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860C" w14:textId="539707A2" w:rsidR="00754C9A" w:rsidRPr="00644028" w:rsidRDefault="003F2A50" w:rsidP="00441B6F">
      <w:pPr>
        <w:pStyle w:val="Title"/>
        <w:spacing w:after="0"/>
        <w:jc w:val="both"/>
        <w:rPr>
          <w:rFonts w:ascii="Arial" w:hAnsi="Arial" w:cs="Arial"/>
        </w:rPr>
      </w:pPr>
      <w:r w:rsidRPr="00644028">
        <w:rPr>
          <w:rFonts w:ascii="Arial" w:hAnsi="Arial" w:cs="Arial"/>
          <w:bCs/>
          <w:i/>
          <w:iCs/>
          <w:u w:val="single"/>
        </w:rPr>
        <w:t>Original Research Article</w:t>
      </w:r>
    </w:p>
    <w:p w14:paraId="5F52A077" w14:textId="16DDFB11" w:rsidR="006F1CFC" w:rsidRPr="00644028" w:rsidRDefault="006F1CFC" w:rsidP="006F1CFC">
      <w:pPr>
        <w:pStyle w:val="FirstParagraph"/>
        <w:spacing w:line="360" w:lineRule="auto"/>
        <w:jc w:val="right"/>
        <w:rPr>
          <w:rFonts w:ascii="Arial" w:hAnsi="Arial" w:cs="Arial"/>
          <w:b/>
          <w:bCs/>
        </w:rPr>
      </w:pPr>
      <w:r w:rsidRPr="00644028">
        <w:rPr>
          <w:rFonts w:ascii="Arial" w:hAnsi="Arial" w:cs="Arial"/>
          <w:b/>
          <w:bCs/>
        </w:rPr>
        <w:t>EVALUATION OF RISK FACTORS OF ENDOPHTHALMITIS REQUIRING EVISCERATION/ENUCLEATION AMONG PATIENTS WITH ENDOPHTHALMITIS AT KCMC FROM 2020–2024</w:t>
      </w:r>
    </w:p>
    <w:p w14:paraId="0CC81E5B" w14:textId="77777777" w:rsidR="00A258C3" w:rsidRPr="00644028" w:rsidRDefault="00A258C3" w:rsidP="00441B6F">
      <w:pPr>
        <w:pStyle w:val="Author"/>
        <w:spacing w:line="240" w:lineRule="auto"/>
        <w:jc w:val="both"/>
        <w:rPr>
          <w:rFonts w:ascii="Arial" w:hAnsi="Arial" w:cs="Arial"/>
          <w:sz w:val="36"/>
        </w:rPr>
      </w:pPr>
    </w:p>
    <w:p w14:paraId="47118869" w14:textId="77777777" w:rsidR="002C57D2" w:rsidRPr="00644028" w:rsidRDefault="002C57D2" w:rsidP="00441B6F">
      <w:pPr>
        <w:pStyle w:val="Affiliation"/>
        <w:spacing w:after="0" w:line="240" w:lineRule="auto"/>
        <w:jc w:val="both"/>
        <w:rPr>
          <w:rFonts w:ascii="Arial" w:hAnsi="Arial" w:cs="Arial"/>
        </w:rPr>
      </w:pPr>
    </w:p>
    <w:p w14:paraId="06AB0DF2" w14:textId="3A2EE0C2" w:rsidR="00B01FCD" w:rsidRPr="00644028" w:rsidRDefault="00BD6E28" w:rsidP="00441B6F">
      <w:pPr>
        <w:pStyle w:val="Copyright"/>
        <w:spacing w:after="0" w:line="240" w:lineRule="auto"/>
        <w:jc w:val="both"/>
        <w:rPr>
          <w:rFonts w:ascii="Arial" w:hAnsi="Arial" w:cs="Arial"/>
        </w:rPr>
        <w:sectPr w:rsidR="00B01FCD" w:rsidRPr="00644028" w:rsidSect="00185C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44028">
        <w:rPr>
          <w:rFonts w:ascii="Arial" w:hAnsi="Arial" w:cs="Arial"/>
          <w:noProof/>
        </w:rPr>
        <mc:AlternateContent>
          <mc:Choice Requires="wps">
            <w:drawing>
              <wp:inline distT="0" distB="0" distL="0" distR="0" wp14:anchorId="3CB343B1" wp14:editId="536DE674">
                <wp:extent cx="5303520" cy="635"/>
                <wp:effectExtent l="15240" t="12700" r="15240" b="15875"/>
                <wp:docPr id="8791907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133C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644028">
        <w:rPr>
          <w:rFonts w:ascii="Arial" w:hAnsi="Arial" w:cs="Arial"/>
        </w:rPr>
        <w:t>.</w:t>
      </w:r>
    </w:p>
    <w:p w14:paraId="6B42C2AC" w14:textId="05897F5E" w:rsidR="00B01FCD" w:rsidRPr="00644028" w:rsidRDefault="00B01FCD" w:rsidP="00441B6F">
      <w:pPr>
        <w:pStyle w:val="AbstHead"/>
        <w:spacing w:after="0"/>
        <w:jc w:val="both"/>
        <w:rPr>
          <w:rFonts w:ascii="Arial" w:hAnsi="Arial" w:cs="Arial"/>
        </w:rPr>
      </w:pPr>
      <w:r w:rsidRPr="00644028">
        <w:rPr>
          <w:rFonts w:ascii="Arial" w:hAnsi="Arial" w:cs="Arial"/>
        </w:rPr>
        <w:t>ABSTRACT</w:t>
      </w:r>
      <w:r w:rsidR="0066510A" w:rsidRPr="00644028">
        <w:rPr>
          <w:rFonts w:ascii="Arial" w:hAnsi="Arial" w:cs="Arial"/>
        </w:rPr>
        <w:t xml:space="preserve"> </w:t>
      </w:r>
    </w:p>
    <w:p w14:paraId="7B331E71" w14:textId="77777777" w:rsidR="00790ADA" w:rsidRPr="0064402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44028" w14:paraId="70961EBF" w14:textId="77777777" w:rsidTr="001E44FE">
        <w:tc>
          <w:tcPr>
            <w:tcW w:w="9576" w:type="dxa"/>
            <w:shd w:val="clear" w:color="auto" w:fill="F2F2F2"/>
          </w:tcPr>
          <w:p w14:paraId="77371087" w14:textId="77777777" w:rsidR="00E3114E" w:rsidRPr="00644028" w:rsidRDefault="00E3114E" w:rsidP="00441B6F">
            <w:pPr>
              <w:pStyle w:val="Body"/>
              <w:spacing w:after="0"/>
              <w:rPr>
                <w:rFonts w:ascii="Arial" w:eastAsia="Calibri" w:hAnsi="Arial" w:cs="Arial"/>
                <w:b/>
                <w:szCs w:val="22"/>
              </w:rPr>
            </w:pPr>
          </w:p>
          <w:p w14:paraId="5439CA8B" w14:textId="5562045C" w:rsidR="006C0F2B" w:rsidRPr="00644028" w:rsidRDefault="00BA1B01" w:rsidP="006C0F2B">
            <w:pPr>
              <w:pStyle w:val="BodyText"/>
              <w:spacing w:after="0"/>
              <w:jc w:val="both"/>
              <w:rPr>
                <w:rFonts w:ascii="Arial" w:hAnsi="Arial" w:cs="Arial"/>
                <w:lang w:val="en-GB"/>
              </w:rPr>
            </w:pPr>
            <w:r w:rsidRPr="00644028">
              <w:rPr>
                <w:rFonts w:ascii="Arial" w:eastAsia="Calibri" w:hAnsi="Arial" w:cs="Arial"/>
                <w:b/>
                <w:szCs w:val="22"/>
              </w:rPr>
              <w:t xml:space="preserve">Aim: </w:t>
            </w:r>
            <w:r w:rsidR="006C0F2B" w:rsidRPr="00644028">
              <w:rPr>
                <w:rFonts w:ascii="Arial" w:hAnsi="Arial" w:cs="Arial"/>
                <w:lang w:val="en-GB"/>
              </w:rPr>
              <w:t>To evaluate the risk factors associated with endophthalmitis requiring evisceration/enucleation among patients managed at Kilimanjaro Christian Medical Centre (KCMC) in Northern Tanzania.</w:t>
            </w:r>
          </w:p>
          <w:p w14:paraId="144FB493" w14:textId="02E94D32" w:rsidR="00BA1B01" w:rsidRPr="00644028" w:rsidRDefault="00BA1B01" w:rsidP="00441B6F">
            <w:pPr>
              <w:pStyle w:val="Body"/>
              <w:spacing w:after="0"/>
              <w:rPr>
                <w:rFonts w:ascii="Arial" w:eastAsia="Calibri" w:hAnsi="Arial" w:cs="Arial"/>
                <w:szCs w:val="22"/>
              </w:rPr>
            </w:pPr>
            <w:r w:rsidRPr="00644028">
              <w:rPr>
                <w:rFonts w:ascii="Arial" w:eastAsia="Calibri" w:hAnsi="Arial" w:cs="Arial"/>
                <w:b/>
                <w:szCs w:val="22"/>
              </w:rPr>
              <w:t>Study design</w:t>
            </w:r>
            <w:r w:rsidR="006C0F2B" w:rsidRPr="00644028">
              <w:rPr>
                <w:rFonts w:ascii="Arial" w:eastAsia="Calibri" w:hAnsi="Arial" w:cs="Arial"/>
                <w:b/>
                <w:szCs w:val="22"/>
              </w:rPr>
              <w:t>:</w:t>
            </w:r>
            <w:r w:rsidR="006C0F2B" w:rsidRPr="00644028">
              <w:rPr>
                <w:rFonts w:ascii="Arial" w:eastAsia="Calibri" w:hAnsi="Arial" w:cs="Arial"/>
                <w:szCs w:val="22"/>
              </w:rPr>
              <w:t xml:space="preserve"> Hospital</w:t>
            </w:r>
            <w:r w:rsidR="00007A0A" w:rsidRPr="00644028">
              <w:rPr>
                <w:rFonts w:ascii="Arial" w:eastAsia="Calibri" w:hAnsi="Arial" w:cs="Arial"/>
                <w:szCs w:val="22"/>
              </w:rPr>
              <w:t>-</w:t>
            </w:r>
            <w:r w:rsidR="006C0F2B" w:rsidRPr="00644028">
              <w:rPr>
                <w:rFonts w:ascii="Arial" w:eastAsia="Calibri" w:hAnsi="Arial" w:cs="Arial"/>
                <w:szCs w:val="22"/>
              </w:rPr>
              <w:t>based retrospective analytic cross-sectional study.</w:t>
            </w:r>
          </w:p>
          <w:p w14:paraId="50CF1669" w14:textId="4F3843EC" w:rsidR="00BA1B01" w:rsidRPr="00644028" w:rsidRDefault="00BA1B01" w:rsidP="00441B6F">
            <w:pPr>
              <w:pStyle w:val="Body"/>
              <w:spacing w:after="0"/>
              <w:rPr>
                <w:rFonts w:ascii="Arial" w:eastAsia="Calibri" w:hAnsi="Arial" w:cs="Arial"/>
                <w:szCs w:val="22"/>
              </w:rPr>
            </w:pPr>
            <w:r w:rsidRPr="00644028">
              <w:rPr>
                <w:rFonts w:ascii="Arial" w:eastAsia="Calibri" w:hAnsi="Arial" w:cs="Arial"/>
                <w:b/>
                <w:szCs w:val="22"/>
              </w:rPr>
              <w:t>Place and Duration of Study</w:t>
            </w:r>
            <w:r w:rsidR="006C0F2B" w:rsidRPr="00644028">
              <w:rPr>
                <w:rFonts w:ascii="Arial" w:eastAsia="Calibri" w:hAnsi="Arial" w:cs="Arial"/>
                <w:b/>
                <w:szCs w:val="22"/>
              </w:rPr>
              <w:t xml:space="preserve">: </w:t>
            </w:r>
            <w:r w:rsidR="006C0F2B" w:rsidRPr="00644028">
              <w:rPr>
                <w:rFonts w:ascii="Arial" w:eastAsia="Calibri" w:hAnsi="Arial" w:cs="Arial"/>
                <w:bCs/>
                <w:szCs w:val="22"/>
              </w:rPr>
              <w:t xml:space="preserve">Kilimanjaro Christian Medical Center (KCMC) </w:t>
            </w:r>
            <w:r w:rsidR="00007A0A" w:rsidRPr="00644028">
              <w:rPr>
                <w:rFonts w:ascii="Arial" w:eastAsia="Calibri" w:hAnsi="Arial" w:cs="Arial"/>
                <w:bCs/>
                <w:szCs w:val="22"/>
              </w:rPr>
              <w:t>E</w:t>
            </w:r>
            <w:r w:rsidR="006C0F2B" w:rsidRPr="00644028">
              <w:rPr>
                <w:rFonts w:ascii="Arial" w:eastAsia="Calibri" w:hAnsi="Arial" w:cs="Arial"/>
                <w:bCs/>
                <w:szCs w:val="22"/>
              </w:rPr>
              <w:t>ye Department, Moshi</w:t>
            </w:r>
            <w:r w:rsidR="00007A0A" w:rsidRPr="00644028">
              <w:rPr>
                <w:rFonts w:ascii="Arial" w:eastAsia="Calibri" w:hAnsi="Arial" w:cs="Arial"/>
                <w:bCs/>
                <w:szCs w:val="22"/>
              </w:rPr>
              <w:t>,</w:t>
            </w:r>
            <w:r w:rsidR="006C0F2B" w:rsidRPr="00644028">
              <w:rPr>
                <w:rFonts w:ascii="Arial" w:eastAsia="Calibri" w:hAnsi="Arial" w:cs="Arial"/>
                <w:bCs/>
                <w:szCs w:val="22"/>
              </w:rPr>
              <w:t xml:space="preserve"> Tanzania</w:t>
            </w:r>
            <w:r w:rsidR="00007A0A" w:rsidRPr="00644028">
              <w:rPr>
                <w:rFonts w:ascii="Arial" w:eastAsia="Calibri" w:hAnsi="Arial" w:cs="Arial"/>
                <w:bCs/>
                <w:szCs w:val="22"/>
              </w:rPr>
              <w:t>,</w:t>
            </w:r>
            <w:r w:rsidR="00BD6E28" w:rsidRPr="00644028">
              <w:rPr>
                <w:rFonts w:ascii="Arial" w:eastAsia="Calibri" w:hAnsi="Arial" w:cs="Arial"/>
                <w:szCs w:val="22"/>
              </w:rPr>
              <w:t xml:space="preserve"> from January 2020 to December 2024.</w:t>
            </w:r>
          </w:p>
          <w:p w14:paraId="339B9E06" w14:textId="3330CB28" w:rsidR="00BA1B01" w:rsidRPr="00644028" w:rsidRDefault="00BA1B01" w:rsidP="00BD6E28">
            <w:pPr>
              <w:pStyle w:val="BodyText"/>
              <w:spacing w:after="0"/>
              <w:jc w:val="both"/>
              <w:rPr>
                <w:rFonts w:ascii="Arial" w:hAnsi="Arial" w:cs="Arial"/>
              </w:rPr>
            </w:pPr>
            <w:r w:rsidRPr="00644028">
              <w:rPr>
                <w:rFonts w:ascii="Arial" w:eastAsia="Calibri" w:hAnsi="Arial" w:cs="Arial"/>
                <w:b/>
                <w:bCs/>
                <w:szCs w:val="22"/>
              </w:rPr>
              <w:t>Methodology:</w:t>
            </w:r>
            <w:r w:rsidRPr="00644028">
              <w:rPr>
                <w:rFonts w:ascii="Arial" w:eastAsia="Calibri" w:hAnsi="Arial" w:cs="Arial"/>
                <w:szCs w:val="22"/>
              </w:rPr>
              <w:t xml:space="preserve"> </w:t>
            </w:r>
            <w:r w:rsidR="00BD6E28" w:rsidRPr="00644028">
              <w:rPr>
                <w:rFonts w:ascii="Arial" w:hAnsi="Arial" w:cs="Arial"/>
              </w:rPr>
              <w:t xml:space="preserve">A total of 211 patients diagnosed with and treated for endophthalmitis </w:t>
            </w:r>
            <w:r w:rsidR="00D65B9B" w:rsidRPr="00644028">
              <w:rPr>
                <w:rFonts w:ascii="Arial" w:hAnsi="Arial" w:cs="Arial"/>
              </w:rPr>
              <w:t xml:space="preserve">during </w:t>
            </w:r>
            <w:r w:rsidR="00007A0A" w:rsidRPr="00644028">
              <w:rPr>
                <w:rFonts w:ascii="Arial" w:hAnsi="Arial" w:cs="Arial"/>
              </w:rPr>
              <w:t xml:space="preserve">the </w:t>
            </w:r>
            <w:r w:rsidR="00D65B9B" w:rsidRPr="00644028">
              <w:rPr>
                <w:rFonts w:ascii="Arial" w:hAnsi="Arial" w:cs="Arial"/>
              </w:rPr>
              <w:t>study period</w:t>
            </w:r>
            <w:r w:rsidR="00BD6E28" w:rsidRPr="00644028">
              <w:rPr>
                <w:rFonts w:ascii="Arial" w:hAnsi="Arial" w:cs="Arial"/>
              </w:rPr>
              <w:t xml:space="preserve"> were included. Clinical records were reviewed</w:t>
            </w:r>
            <w:r w:rsidR="00007A0A" w:rsidRPr="00644028">
              <w:rPr>
                <w:rFonts w:ascii="Arial" w:hAnsi="Arial" w:cs="Arial"/>
              </w:rPr>
              <w:t>,</w:t>
            </w:r>
            <w:r w:rsidR="00BD6E28" w:rsidRPr="00644028">
              <w:rPr>
                <w:rFonts w:ascii="Arial" w:hAnsi="Arial" w:cs="Arial"/>
              </w:rPr>
              <w:t xml:space="preserve"> and relevant demographic, clinical</w:t>
            </w:r>
            <w:r w:rsidR="00E213B1" w:rsidRPr="00644028">
              <w:rPr>
                <w:rFonts w:ascii="Arial" w:hAnsi="Arial" w:cs="Arial"/>
              </w:rPr>
              <w:t>,</w:t>
            </w:r>
            <w:r w:rsidR="00BD6E28" w:rsidRPr="00644028">
              <w:rPr>
                <w:rFonts w:ascii="Arial" w:hAnsi="Arial" w:cs="Arial"/>
              </w:rPr>
              <w:t xml:space="preserve"> and treatment data were extracted. Patients were grouped by outcome into those with eyes preserved and those who underwent evisceration. Modified Poisson regression was used to assess associations between potential risk factors and endophthalmitis requiring evisceration, with adjusted prevalence ratios and 95%confidence intervals reported. A </w:t>
            </w:r>
            <w:r w:rsidR="00D169A3" w:rsidRPr="00644028">
              <w:rPr>
                <w:rFonts w:ascii="Arial" w:hAnsi="Arial" w:cs="Arial"/>
                <w:i/>
                <w:iCs/>
              </w:rPr>
              <w:t>P</w:t>
            </w:r>
            <w:r w:rsidR="00BD6E28" w:rsidRPr="00644028">
              <w:rPr>
                <w:rFonts w:ascii="Arial" w:hAnsi="Arial" w:cs="Arial"/>
              </w:rPr>
              <w:t>-value &lt;0.05 was considered statistically significant.</w:t>
            </w:r>
          </w:p>
          <w:p w14:paraId="3E501528" w14:textId="1829D87A" w:rsidR="00BD6E28" w:rsidRPr="00644028" w:rsidRDefault="00BA1B01" w:rsidP="00441B6F">
            <w:pPr>
              <w:pStyle w:val="Body"/>
              <w:spacing w:after="0"/>
              <w:rPr>
                <w:rFonts w:ascii="Arial" w:hAnsi="Arial" w:cs="Arial"/>
              </w:rPr>
            </w:pPr>
            <w:r w:rsidRPr="00644028">
              <w:rPr>
                <w:rFonts w:ascii="Arial" w:eastAsia="Calibri" w:hAnsi="Arial" w:cs="Arial"/>
                <w:b/>
                <w:bCs/>
                <w:szCs w:val="22"/>
              </w:rPr>
              <w:t>Results:</w:t>
            </w:r>
            <w:r w:rsidRPr="00644028">
              <w:rPr>
                <w:rFonts w:ascii="Arial" w:eastAsia="Calibri" w:hAnsi="Arial" w:cs="Arial"/>
                <w:szCs w:val="22"/>
              </w:rPr>
              <w:t xml:space="preserve"> </w:t>
            </w:r>
            <w:bookmarkStart w:id="0" w:name="_Hlk199526465"/>
            <w:r w:rsidR="00E213B1" w:rsidRPr="00644028">
              <w:rPr>
                <w:rFonts w:ascii="Arial" w:eastAsia="Calibri" w:hAnsi="Arial" w:cs="Arial"/>
                <w:szCs w:val="22"/>
              </w:rPr>
              <w:t>O</w:t>
            </w:r>
            <w:r w:rsidR="00BD6E28" w:rsidRPr="00644028">
              <w:rPr>
                <w:rFonts w:ascii="Arial" w:hAnsi="Arial" w:cs="Arial"/>
              </w:rPr>
              <w:t>f 15</w:t>
            </w:r>
            <w:r w:rsidR="00E213B1" w:rsidRPr="00644028">
              <w:rPr>
                <w:rFonts w:ascii="Arial" w:hAnsi="Arial" w:cs="Arial"/>
              </w:rPr>
              <w:t>,</w:t>
            </w:r>
            <w:r w:rsidR="00BD6E28" w:rsidRPr="00644028">
              <w:rPr>
                <w:rFonts w:ascii="Arial" w:hAnsi="Arial" w:cs="Arial"/>
              </w:rPr>
              <w:t xml:space="preserve">171 admissions </w:t>
            </w:r>
            <w:r w:rsidR="0039009E" w:rsidRPr="00644028">
              <w:rPr>
                <w:rFonts w:ascii="Arial" w:hAnsi="Arial" w:cs="Arial"/>
              </w:rPr>
              <w:t>to</w:t>
            </w:r>
            <w:r w:rsidR="00E213B1" w:rsidRPr="00644028">
              <w:rPr>
                <w:rFonts w:ascii="Arial" w:hAnsi="Arial" w:cs="Arial"/>
              </w:rPr>
              <w:t xml:space="preserve"> the</w:t>
            </w:r>
            <w:r w:rsidR="00BD6E28" w:rsidRPr="00644028">
              <w:rPr>
                <w:rFonts w:ascii="Arial" w:hAnsi="Arial" w:cs="Arial"/>
              </w:rPr>
              <w:t xml:space="preserve"> KCMC eye department between January 2020 and December 2024, 211 patients were diagnosed and managed for endophthalmitis, yielding a prevalence of 1.39%. </w:t>
            </w:r>
            <w:bookmarkEnd w:id="0"/>
            <w:r w:rsidR="00BD6E28" w:rsidRPr="00644028">
              <w:rPr>
                <w:rFonts w:ascii="Arial" w:hAnsi="Arial" w:cs="Arial"/>
              </w:rPr>
              <w:t xml:space="preserve">Among these, 38 (18%) underwent evisceration. </w:t>
            </w:r>
            <w:r w:rsidR="0039009E" w:rsidRPr="00644028">
              <w:rPr>
                <w:rFonts w:ascii="Arial" w:hAnsi="Arial" w:cs="Arial"/>
              </w:rPr>
              <w:t>I</w:t>
            </w:r>
            <w:r w:rsidR="00BD6E28" w:rsidRPr="00644028">
              <w:rPr>
                <w:rFonts w:ascii="Arial" w:hAnsi="Arial" w:cs="Arial"/>
              </w:rPr>
              <w:t>n multivaria</w:t>
            </w:r>
            <w:r w:rsidR="0039009E" w:rsidRPr="00644028">
              <w:rPr>
                <w:rFonts w:ascii="Arial" w:hAnsi="Arial" w:cs="Arial"/>
              </w:rPr>
              <w:t>ble</w:t>
            </w:r>
            <w:r w:rsidR="00BD6E28" w:rsidRPr="00644028">
              <w:rPr>
                <w:rFonts w:ascii="Arial" w:hAnsi="Arial" w:cs="Arial"/>
              </w:rPr>
              <w:t xml:space="preserve"> analysis, two factors were independently associated with increased risk of evisceration: cornea</w:t>
            </w:r>
            <w:r w:rsidR="0039009E" w:rsidRPr="00644028">
              <w:rPr>
                <w:rFonts w:ascii="Arial" w:hAnsi="Arial" w:cs="Arial"/>
              </w:rPr>
              <w:t>l</w:t>
            </w:r>
            <w:r w:rsidR="00BD6E28" w:rsidRPr="00644028">
              <w:rPr>
                <w:rFonts w:ascii="Arial" w:hAnsi="Arial" w:cs="Arial"/>
              </w:rPr>
              <w:t xml:space="preserve"> ulcer</w:t>
            </w:r>
            <w:r w:rsidR="00E213B1" w:rsidRPr="00644028">
              <w:rPr>
                <w:rFonts w:ascii="Arial" w:hAnsi="Arial" w:cs="Arial"/>
              </w:rPr>
              <w:t>-</w:t>
            </w:r>
            <w:r w:rsidR="00BD6E28" w:rsidRPr="00644028">
              <w:rPr>
                <w:rFonts w:ascii="Arial" w:hAnsi="Arial" w:cs="Arial"/>
              </w:rPr>
              <w:t xml:space="preserve">related etiology </w:t>
            </w:r>
            <w:r w:rsidR="00C34152" w:rsidRPr="00644028">
              <w:rPr>
                <w:rFonts w:ascii="Arial" w:hAnsi="Arial" w:cs="Arial"/>
              </w:rPr>
              <w:t xml:space="preserve">(APR: 3.18; 95% CI: 1.54–6.60; </w:t>
            </w:r>
            <w:r w:rsidR="00C34152" w:rsidRPr="00644028">
              <w:rPr>
                <w:rFonts w:ascii="Arial" w:hAnsi="Arial" w:cs="Arial"/>
                <w:i/>
                <w:iCs/>
              </w:rPr>
              <w:t>P</w:t>
            </w:r>
            <w:r w:rsidR="00C34152" w:rsidRPr="00644028">
              <w:rPr>
                <w:rFonts w:ascii="Arial" w:hAnsi="Arial" w:cs="Arial"/>
              </w:rPr>
              <w:t>=0.002)</w:t>
            </w:r>
            <w:r w:rsidR="0039009E" w:rsidRPr="00644028">
              <w:rPr>
                <w:rFonts w:ascii="Arial" w:hAnsi="Arial" w:cs="Arial"/>
              </w:rPr>
              <w:t xml:space="preserve"> </w:t>
            </w:r>
            <w:r w:rsidR="00BD6E28" w:rsidRPr="00644028">
              <w:rPr>
                <w:rFonts w:ascii="Arial" w:hAnsi="Arial" w:cs="Arial"/>
              </w:rPr>
              <w:t>and poor presenting visual acuity of 5 logMAR (APR</w:t>
            </w:r>
            <w:r w:rsidR="00E213B1" w:rsidRPr="00644028">
              <w:rPr>
                <w:rFonts w:ascii="Arial" w:hAnsi="Arial" w:cs="Arial"/>
              </w:rPr>
              <w:t>:</w:t>
            </w:r>
            <w:r w:rsidR="00BD6E28" w:rsidRPr="00644028">
              <w:rPr>
                <w:rFonts w:ascii="Arial" w:hAnsi="Arial" w:cs="Arial"/>
              </w:rPr>
              <w:t>3.19; 95%CI</w:t>
            </w:r>
            <w:r w:rsidR="00E213B1" w:rsidRPr="00644028">
              <w:rPr>
                <w:rFonts w:ascii="Arial" w:hAnsi="Arial" w:cs="Arial"/>
              </w:rPr>
              <w:t>:</w:t>
            </w:r>
            <w:r w:rsidR="00BD6E28" w:rsidRPr="00644028">
              <w:rPr>
                <w:rFonts w:ascii="Arial" w:hAnsi="Arial" w:cs="Arial"/>
              </w:rPr>
              <w:t xml:space="preserve"> 1.95</w:t>
            </w:r>
            <w:r w:rsidR="00E213B1" w:rsidRPr="00644028">
              <w:rPr>
                <w:rFonts w:ascii="Arial" w:hAnsi="Arial" w:cs="Arial"/>
              </w:rPr>
              <w:t xml:space="preserve">- </w:t>
            </w:r>
            <w:r w:rsidR="00BD6E28" w:rsidRPr="00644028">
              <w:rPr>
                <w:rFonts w:ascii="Arial" w:hAnsi="Arial" w:cs="Arial"/>
              </w:rPr>
              <w:t xml:space="preserve">5.21; </w:t>
            </w:r>
            <w:r w:rsidR="00D169A3" w:rsidRPr="00644028">
              <w:rPr>
                <w:rFonts w:ascii="Arial" w:hAnsi="Arial" w:cs="Arial"/>
                <w:i/>
                <w:iCs/>
              </w:rPr>
              <w:t>P</w:t>
            </w:r>
            <w:r w:rsidR="00BD6E28" w:rsidRPr="00644028">
              <w:rPr>
                <w:rFonts w:ascii="Arial" w:hAnsi="Arial" w:cs="Arial"/>
              </w:rPr>
              <w:t>&lt;0.001). Other variables</w:t>
            </w:r>
            <w:r w:rsidR="00E213B1" w:rsidRPr="00644028">
              <w:rPr>
                <w:rFonts w:ascii="Arial" w:hAnsi="Arial" w:cs="Arial"/>
              </w:rPr>
              <w:t>,</w:t>
            </w:r>
            <w:r w:rsidR="00BD6E28" w:rsidRPr="00644028">
              <w:rPr>
                <w:rFonts w:ascii="Arial" w:hAnsi="Arial" w:cs="Arial"/>
              </w:rPr>
              <w:t xml:space="preserve"> such as delayed presentation, lower IOP, and lack of vitrectomy</w:t>
            </w:r>
            <w:r w:rsidR="00E213B1" w:rsidRPr="00644028">
              <w:rPr>
                <w:rFonts w:ascii="Arial" w:hAnsi="Arial" w:cs="Arial"/>
              </w:rPr>
              <w:t>,</w:t>
            </w:r>
            <w:r w:rsidR="00BD6E28" w:rsidRPr="00644028">
              <w:rPr>
                <w:rFonts w:ascii="Arial" w:hAnsi="Arial" w:cs="Arial"/>
              </w:rPr>
              <w:t xml:space="preserve"> were significant in </w:t>
            </w:r>
            <w:r w:rsidR="00E53F89" w:rsidRPr="00644028">
              <w:rPr>
                <w:rFonts w:ascii="Arial" w:hAnsi="Arial" w:cs="Arial"/>
              </w:rPr>
              <w:t>b</w:t>
            </w:r>
            <w:r w:rsidR="00BD6E28" w:rsidRPr="00644028">
              <w:rPr>
                <w:rFonts w:ascii="Arial" w:hAnsi="Arial" w:cs="Arial"/>
              </w:rPr>
              <w:t>ivaria</w:t>
            </w:r>
            <w:r w:rsidR="0039009E" w:rsidRPr="00644028">
              <w:rPr>
                <w:rFonts w:ascii="Arial" w:hAnsi="Arial" w:cs="Arial"/>
              </w:rPr>
              <w:t>ble</w:t>
            </w:r>
            <w:r w:rsidR="00BD6E28" w:rsidRPr="00644028">
              <w:rPr>
                <w:rFonts w:ascii="Arial" w:hAnsi="Arial" w:cs="Arial"/>
              </w:rPr>
              <w:t xml:space="preserve"> analysis but did not remain significant after adjustment.</w:t>
            </w:r>
          </w:p>
          <w:p w14:paraId="6679FAC4" w14:textId="3904C127" w:rsidR="00505F06" w:rsidRPr="00644028" w:rsidRDefault="00BA1B01" w:rsidP="00441B6F">
            <w:pPr>
              <w:pStyle w:val="Body"/>
              <w:spacing w:after="0"/>
              <w:rPr>
                <w:rFonts w:ascii="Arial" w:eastAsia="Calibri" w:hAnsi="Arial" w:cs="Arial"/>
                <w:szCs w:val="22"/>
              </w:rPr>
            </w:pPr>
            <w:r w:rsidRPr="00644028">
              <w:rPr>
                <w:rFonts w:ascii="Arial" w:eastAsia="Calibri" w:hAnsi="Arial" w:cs="Arial"/>
                <w:b/>
                <w:bCs/>
                <w:szCs w:val="22"/>
              </w:rPr>
              <w:t>Conclusion:</w:t>
            </w:r>
            <w:r w:rsidRPr="00644028">
              <w:rPr>
                <w:rFonts w:ascii="Arial" w:eastAsia="Calibri" w:hAnsi="Arial" w:cs="Arial"/>
                <w:szCs w:val="22"/>
              </w:rPr>
              <w:t xml:space="preserve"> </w:t>
            </w:r>
            <w:r w:rsidR="00BD6E28" w:rsidRPr="00644028">
              <w:rPr>
                <w:rFonts w:ascii="Arial" w:hAnsi="Arial" w:cs="Arial"/>
              </w:rPr>
              <w:t>Corneal ulcer etiology and poor presenting visual acuity were the strongest predictors of evisceration among patients with endophthalmitis at KCMC. These findings underscore the need for early diagnosis, prompt referral, and timely surgical intervention.</w:t>
            </w:r>
            <w:r w:rsidR="00CC7C14" w:rsidRPr="00644028">
              <w:rPr>
                <w:rFonts w:ascii="Arial" w:hAnsi="Arial" w:cs="Arial"/>
              </w:rPr>
              <w:t xml:space="preserve"> </w:t>
            </w:r>
            <w:r w:rsidR="00CC7C14" w:rsidRPr="00644028">
              <w:rPr>
                <w:rFonts w:ascii="Arial" w:hAnsi="Arial" w:cs="Arial"/>
              </w:rPr>
              <w:t xml:space="preserve">However, the </w:t>
            </w:r>
            <w:bookmarkStart w:id="1" w:name="_Hlk215513279"/>
            <w:r w:rsidR="00CC7C14" w:rsidRPr="00644028">
              <w:rPr>
                <w:rFonts w:ascii="Arial" w:hAnsi="Arial" w:cs="Arial"/>
              </w:rPr>
              <w:t xml:space="preserve">interpretation of these results should consider the retrospective cross-sectional design, which limits causal inference, and the absence of endogenous endophthalmitis cases, which may reduce </w:t>
            </w:r>
            <w:r w:rsidR="00CC7C14" w:rsidRPr="00644028">
              <w:rPr>
                <w:rFonts w:ascii="Arial" w:hAnsi="Arial" w:cs="Arial"/>
              </w:rPr>
              <w:t>generalizability</w:t>
            </w:r>
            <w:r w:rsidR="00CC7C14" w:rsidRPr="00644028">
              <w:rPr>
                <w:rFonts w:ascii="Arial" w:hAnsi="Arial" w:cs="Arial"/>
              </w:rPr>
              <w:t>.</w:t>
            </w:r>
            <w:bookmarkEnd w:id="1"/>
          </w:p>
        </w:tc>
      </w:tr>
    </w:tbl>
    <w:p w14:paraId="4A2674A8" w14:textId="77777777" w:rsidR="00636EB2" w:rsidRPr="00644028" w:rsidRDefault="00636EB2" w:rsidP="00441B6F">
      <w:pPr>
        <w:pStyle w:val="Body"/>
        <w:spacing w:after="0"/>
        <w:rPr>
          <w:rFonts w:ascii="Arial" w:hAnsi="Arial" w:cs="Arial"/>
          <w:i/>
        </w:rPr>
      </w:pPr>
    </w:p>
    <w:p w14:paraId="43365003" w14:textId="235D6A61" w:rsidR="00790ADA" w:rsidRPr="00644028" w:rsidRDefault="005C335D" w:rsidP="005C335D">
      <w:pPr>
        <w:pStyle w:val="BodyText"/>
        <w:spacing w:line="360" w:lineRule="auto"/>
        <w:jc w:val="both"/>
        <w:rPr>
          <w:rFonts w:ascii="Arial" w:hAnsi="Arial" w:cs="Arial"/>
          <w:i/>
          <w:iCs/>
        </w:rPr>
      </w:pPr>
      <w:r w:rsidRPr="00644028">
        <w:rPr>
          <w:rFonts w:ascii="Arial" w:hAnsi="Arial" w:cs="Arial"/>
          <w:i/>
          <w:iCs/>
        </w:rPr>
        <w:t>Keywords: Endophthalmitis, evisceration, enucleation, risk factors, corneal ulcer.</w:t>
      </w:r>
    </w:p>
    <w:p w14:paraId="0413B333" w14:textId="77777777" w:rsidR="00505F06" w:rsidRPr="00644028" w:rsidRDefault="00505F06" w:rsidP="00723168">
      <w:pPr>
        <w:pStyle w:val="Body"/>
        <w:spacing w:after="0"/>
        <w:rPr>
          <w:rFonts w:ascii="Arial" w:hAnsi="Arial" w:cs="Arial"/>
          <w:i/>
        </w:rPr>
      </w:pPr>
    </w:p>
    <w:p w14:paraId="02CE68E6" w14:textId="51C87D50" w:rsidR="007F7B32" w:rsidRPr="00644028" w:rsidRDefault="00902823" w:rsidP="00723168">
      <w:pPr>
        <w:pStyle w:val="AbstHead"/>
        <w:spacing w:after="0"/>
        <w:jc w:val="both"/>
        <w:rPr>
          <w:rFonts w:ascii="Arial" w:hAnsi="Arial" w:cs="Arial"/>
        </w:rPr>
      </w:pPr>
      <w:r w:rsidRPr="00644028">
        <w:rPr>
          <w:rFonts w:ascii="Arial" w:hAnsi="Arial" w:cs="Arial"/>
        </w:rPr>
        <w:t xml:space="preserve">1. </w:t>
      </w:r>
      <w:r w:rsidR="00B01FCD" w:rsidRPr="00644028">
        <w:rPr>
          <w:rFonts w:ascii="Arial" w:hAnsi="Arial" w:cs="Arial"/>
        </w:rPr>
        <w:t>INTRODUCTION</w:t>
      </w:r>
      <w:r w:rsidR="007F7B32" w:rsidRPr="00644028">
        <w:rPr>
          <w:rFonts w:ascii="Arial" w:hAnsi="Arial" w:cs="Arial"/>
        </w:rPr>
        <w:t xml:space="preserve"> </w:t>
      </w:r>
    </w:p>
    <w:p w14:paraId="439AE9F7" w14:textId="77777777" w:rsidR="00790ADA" w:rsidRPr="00644028" w:rsidRDefault="00790ADA" w:rsidP="00723168">
      <w:pPr>
        <w:pStyle w:val="AbstHead"/>
        <w:spacing w:after="0"/>
        <w:jc w:val="both"/>
        <w:rPr>
          <w:rFonts w:ascii="Arial" w:hAnsi="Arial" w:cs="Arial"/>
        </w:rPr>
      </w:pPr>
    </w:p>
    <w:p w14:paraId="249D8CB8" w14:textId="77777777" w:rsidR="00BF0BB8" w:rsidRPr="00BF0BB8" w:rsidRDefault="00BF0BB8" w:rsidP="00BF0BB8">
      <w:pPr>
        <w:pStyle w:val="Body"/>
        <w:rPr>
          <w:rFonts w:ascii="Arial" w:hAnsi="Arial" w:cs="Arial"/>
          <w:lang w:val="en-BW" w:eastAsia="en-GB"/>
        </w:rPr>
      </w:pPr>
      <w:r w:rsidRPr="00BF0BB8">
        <w:rPr>
          <w:rFonts w:ascii="Arial" w:hAnsi="Arial" w:cs="Arial"/>
          <w:lang w:val="en-BW" w:eastAsia="en-GB"/>
        </w:rPr>
        <w:t>Endophthalmitis is a severe intraocular inflammatory condition characterized by infection-induced inflammation that affects both the anterior and posterior segments of the eye (Smith et al., 2025). It is typically caused by bacterial or fungal pathogens and may arise from external sources – such as surgery or trauma - or from internal hematogenous spread from systemic infection. In some instances, it may occur alongside infections such as keratitis or scleritis (Smith et al., 2025). It is considered a true ocular emergency due to its rapid progression and potential for irreversible vision loss or anatomical loss of the globe (Das, 2018).</w:t>
      </w:r>
    </w:p>
    <w:p w14:paraId="4B2C3068" w14:textId="77777777" w:rsidR="00BF0BB8" w:rsidRPr="00BF0BB8" w:rsidRDefault="00BF0BB8" w:rsidP="00BF0BB8">
      <w:pPr>
        <w:pStyle w:val="Body"/>
        <w:rPr>
          <w:rFonts w:ascii="Arial" w:hAnsi="Arial" w:cs="Arial"/>
          <w:lang w:val="en-BW" w:eastAsia="en-GB"/>
        </w:rPr>
      </w:pPr>
      <w:r w:rsidRPr="00BF0BB8">
        <w:rPr>
          <w:rFonts w:ascii="Arial" w:hAnsi="Arial" w:cs="Arial"/>
          <w:lang w:val="en-BW" w:eastAsia="en-GB"/>
        </w:rPr>
        <w:lastRenderedPageBreak/>
        <w:t>The clinical presentation typically includes painful decreased vision, eyelid edema, conjunctival injection, corneal edema, hypopyon, and vitritis (Kamjoo et al., 2024). Although diagnosis is primarily clinical, it may be supported by aqueous or vitreous sampling for microbiological confirmation. However, 20–30% of cases are culture-negative, complicating diagnosis and management (Durand, 2017). The Endophthalmitis Vitrectomy Study (EVS) recommends prompt administration of intravitreal antibiotics in all cases and early vitrectomy, particularly for those with only light perception vision (Das, 2018).</w:t>
      </w:r>
    </w:p>
    <w:p w14:paraId="7949DD25" w14:textId="0504CC5F" w:rsidR="00BF0BB8" w:rsidRPr="00BF0BB8" w:rsidRDefault="00BF0BB8" w:rsidP="00BF0BB8">
      <w:pPr>
        <w:pStyle w:val="Body"/>
        <w:rPr>
          <w:rFonts w:ascii="Arial" w:hAnsi="Arial" w:cs="Arial"/>
          <w:lang w:val="en-BW" w:eastAsia="en-GB"/>
        </w:rPr>
      </w:pPr>
      <w:r w:rsidRPr="00BF0BB8">
        <w:rPr>
          <w:rFonts w:ascii="Arial" w:hAnsi="Arial" w:cs="Arial"/>
          <w:lang w:val="en-BW" w:eastAsia="en-GB"/>
        </w:rPr>
        <w:t xml:space="preserve">While rare, endophthalmitis presents a significant burden due to its severe consequences. Globally, its incidence varies with the cause, ranging from 0.03%–0.36% following cataract surgery, and up to 2-7% following ocular trauma (Shwardz, 2016; Kim et al., 2025). Studies from various countries report evisceration or enucleation rates of 10–25% among affected eyes (Lu et al., 2016; Gupta et al., 2014; Ahmad et al., 2022; Merly et al., 2022). At KCMC in Tanzania, a study by Kisanga (2017) estimated a 0.35% prevalence of postoperative endophthalmitis, with a 15.4% evisceration rate. However, the overall prevalence and evisceration rate from all </w:t>
      </w:r>
      <w:r w:rsidRPr="00644028">
        <w:rPr>
          <w:rFonts w:ascii="Arial" w:hAnsi="Arial" w:cs="Arial"/>
          <w:lang w:val="en-BW" w:eastAsia="en-GB"/>
        </w:rPr>
        <w:t>aetiologies</w:t>
      </w:r>
      <w:r w:rsidRPr="00BF0BB8">
        <w:rPr>
          <w:rFonts w:ascii="Arial" w:hAnsi="Arial" w:cs="Arial"/>
          <w:lang w:val="en-BW" w:eastAsia="en-GB"/>
        </w:rPr>
        <w:t xml:space="preserve"> remain unknown.</w:t>
      </w:r>
    </w:p>
    <w:p w14:paraId="21B5CCB4" w14:textId="24404567" w:rsidR="00BF0BB8" w:rsidRPr="00BF0BB8" w:rsidRDefault="00BF0BB8" w:rsidP="00BF0BB8">
      <w:pPr>
        <w:pStyle w:val="Body"/>
        <w:rPr>
          <w:rFonts w:ascii="Arial" w:hAnsi="Arial" w:cs="Arial"/>
          <w:lang w:val="en-BW" w:eastAsia="en-GB"/>
        </w:rPr>
      </w:pPr>
      <w:r w:rsidRPr="00BF0BB8">
        <w:rPr>
          <w:rFonts w:ascii="Arial" w:hAnsi="Arial" w:cs="Arial"/>
          <w:lang w:val="en-BW" w:eastAsia="en-GB"/>
        </w:rPr>
        <w:t xml:space="preserve">The outcome of endophthalmitis depends on several factors, including </w:t>
      </w:r>
      <w:r w:rsidRPr="00644028">
        <w:rPr>
          <w:rFonts w:ascii="Arial" w:hAnsi="Arial" w:cs="Arial"/>
          <w:lang w:val="en-BW" w:eastAsia="en-GB"/>
        </w:rPr>
        <w:t>aetiology</w:t>
      </w:r>
      <w:r w:rsidRPr="00BF0BB8">
        <w:rPr>
          <w:rFonts w:ascii="Arial" w:hAnsi="Arial" w:cs="Arial"/>
          <w:lang w:val="en-BW" w:eastAsia="en-GB"/>
        </w:rPr>
        <w:t>, presenting visual acuity, timing of intervention, and microbial virulence (Schwartz et al., 2017). Despite advances in antimicrobial therapy and surgical interventions, a subset of patients progresses to globe destruction, requiring evisceration or enucleation, procedures associated not only with permanent vision loss but also significant psychosocial and cosmetic consequences (Korn et al., 2023). Although evisceration is simpler and offers better cosmesis, enucleation may be necessary in cases with posterior extension and panophthalmitis (Ababneh et al., 2015).</w:t>
      </w:r>
    </w:p>
    <w:p w14:paraId="567ADD65" w14:textId="77777777" w:rsidR="00BF0BB8" w:rsidRPr="00BF0BB8" w:rsidRDefault="00BF0BB8" w:rsidP="00BF0BB8">
      <w:pPr>
        <w:pStyle w:val="Body"/>
        <w:rPr>
          <w:rFonts w:ascii="Arial" w:hAnsi="Arial" w:cs="Arial"/>
          <w:lang w:val="en-BW" w:eastAsia="en-GB"/>
        </w:rPr>
      </w:pPr>
      <w:r w:rsidRPr="00BF0BB8">
        <w:rPr>
          <w:rFonts w:ascii="Arial" w:hAnsi="Arial" w:cs="Arial"/>
          <w:lang w:val="en-BW" w:eastAsia="en-GB"/>
        </w:rPr>
        <w:t>Current literature primarily focuses on postoperative endophthalmitis and general risk factors for poor outcomes. Studies addressing predictors for evisceration/enucleation in endophthalmitis are limited and mainly from high-income settings. These typically cite poor presenting vision, corneal ulcer-related endophthalmitis, endogenous sources, high intraocular pressure, and the presence of RAPD as common risk factors (Ahmad et al., 2022; Merly et al., 2022; Lu et al., 2016).</w:t>
      </w:r>
    </w:p>
    <w:p w14:paraId="428C5AE3" w14:textId="77777777" w:rsidR="00BF0BB8" w:rsidRPr="00BF0BB8" w:rsidRDefault="00BF0BB8" w:rsidP="00BF0BB8">
      <w:pPr>
        <w:pStyle w:val="Body"/>
        <w:rPr>
          <w:rFonts w:ascii="Arial" w:hAnsi="Arial" w:cs="Arial"/>
          <w:lang w:val="en-BW" w:eastAsia="en-GB"/>
        </w:rPr>
      </w:pPr>
      <w:r w:rsidRPr="00BF0BB8">
        <w:rPr>
          <w:rFonts w:ascii="Arial" w:hAnsi="Arial" w:cs="Arial"/>
          <w:lang w:val="en-BW" w:eastAsia="en-GB"/>
        </w:rPr>
        <w:t>In Tanzania, there is a notable gap in published data on risk factors for endophthalmitis requiring evisceration. Identifying these predictors within a local context is essential for early intervention, improved triage, and prevention of avoidable ocular loss. This study aims to bridge that gap by evaluating the clinical and treatment-related risk factors for evisceration among patients treated at KCMC from January 2020 to December 2024.</w:t>
      </w:r>
    </w:p>
    <w:p w14:paraId="6B082103" w14:textId="77777777" w:rsidR="00790ADA" w:rsidRPr="00644028" w:rsidRDefault="00790ADA" w:rsidP="00723168">
      <w:pPr>
        <w:pStyle w:val="Body"/>
        <w:spacing w:after="0"/>
        <w:rPr>
          <w:rFonts w:ascii="Arial" w:hAnsi="Arial" w:cs="Arial"/>
        </w:rPr>
      </w:pPr>
    </w:p>
    <w:p w14:paraId="31E761FB" w14:textId="04E543B4" w:rsidR="007F7B32" w:rsidRPr="00644028" w:rsidRDefault="00902823" w:rsidP="00723168">
      <w:pPr>
        <w:pStyle w:val="AbstHead"/>
        <w:spacing w:after="0"/>
        <w:jc w:val="both"/>
        <w:rPr>
          <w:rFonts w:ascii="Arial" w:hAnsi="Arial" w:cs="Arial"/>
        </w:rPr>
      </w:pPr>
      <w:r w:rsidRPr="00644028">
        <w:rPr>
          <w:rFonts w:ascii="Arial" w:hAnsi="Arial" w:cs="Arial"/>
        </w:rPr>
        <w:t xml:space="preserve">2. </w:t>
      </w:r>
      <w:r w:rsidR="006B57D0" w:rsidRPr="00644028">
        <w:rPr>
          <w:rFonts w:ascii="Arial" w:hAnsi="Arial" w:cs="Arial"/>
        </w:rPr>
        <w:t>methodology</w:t>
      </w:r>
      <w:r w:rsidR="007F7B32" w:rsidRPr="00644028">
        <w:rPr>
          <w:rFonts w:ascii="Arial" w:hAnsi="Arial" w:cs="Arial"/>
        </w:rPr>
        <w:t xml:space="preserve"> </w:t>
      </w:r>
    </w:p>
    <w:p w14:paraId="14A6B79F" w14:textId="77777777" w:rsidR="00790ADA" w:rsidRPr="00644028" w:rsidRDefault="00790ADA" w:rsidP="00723168">
      <w:pPr>
        <w:pStyle w:val="AbstHead"/>
        <w:spacing w:after="0"/>
        <w:jc w:val="both"/>
        <w:rPr>
          <w:rFonts w:ascii="Arial" w:hAnsi="Arial" w:cs="Arial"/>
        </w:rPr>
      </w:pPr>
    </w:p>
    <w:p w14:paraId="33D08CBB" w14:textId="77777777" w:rsidR="007E5FBC" w:rsidRPr="00644028" w:rsidRDefault="007E5FBC" w:rsidP="00723168">
      <w:pPr>
        <w:pStyle w:val="Compact"/>
        <w:jc w:val="both"/>
        <w:rPr>
          <w:rFonts w:ascii="Arial" w:hAnsi="Arial" w:cs="Arial"/>
          <w:b/>
          <w:bCs/>
          <w:sz w:val="22"/>
          <w:szCs w:val="22"/>
        </w:rPr>
      </w:pPr>
      <w:r w:rsidRPr="00644028">
        <w:rPr>
          <w:rFonts w:ascii="Arial" w:hAnsi="Arial" w:cs="Arial"/>
          <w:b/>
          <w:bCs/>
          <w:sz w:val="22"/>
          <w:szCs w:val="22"/>
        </w:rPr>
        <w:t>2.1 STUDY DESIGN AND SETTING</w:t>
      </w:r>
    </w:p>
    <w:p w14:paraId="23BED8A6" w14:textId="79ABDA51" w:rsidR="004C5244" w:rsidRPr="00644028" w:rsidRDefault="004C5244" w:rsidP="004C5244">
      <w:pPr>
        <w:pStyle w:val="Compact"/>
        <w:spacing w:before="0" w:after="0"/>
        <w:jc w:val="both"/>
        <w:rPr>
          <w:rFonts w:ascii="Arial" w:eastAsia="Calibri" w:hAnsi="Arial" w:cs="Arial"/>
          <w:noProof/>
          <w:color w:val="000000"/>
          <w:sz w:val="20"/>
          <w:szCs w:val="20"/>
          <w:lang w:val="en-BW"/>
          <w14:ligatures w14:val="standardContextual"/>
        </w:rPr>
      </w:pPr>
      <w:r w:rsidRPr="004C5244">
        <w:rPr>
          <w:rFonts w:ascii="Arial" w:eastAsia="Calibri" w:hAnsi="Arial" w:cs="Arial"/>
          <w:noProof/>
          <w:color w:val="000000"/>
          <w:sz w:val="20"/>
          <w:szCs w:val="20"/>
          <w:lang w:val="en-BW"/>
          <w14:ligatures w14:val="standardContextual"/>
        </w:rPr>
        <w:t>This hospital-based retrospective analysis of secondary data was conducted  in the Ophthalmology Department at Kilimanjaro Christian Medical Center (KCMC) from January 2020 to December 2024. KCMC is located in Moshi City, Kilimanjaro Province, and is a zonal referral hospital serving over 15 million residents in northern Tanzania. It has a capacity of 800 people, with 630 regular beds, 90 canvas beds, and 40 incubators. The ophthalmology department is a key referral center for Northeastern Tanzania, including the Kilimanjaro, Arusha, Tanga, and Manyara regions, and provides care to more than 38,000 patients each year. Additionally, the department functions as a training hub for ophthalmologists, vitreoretinal surgeons, pediatric ophthalmologists, ophthalmologist assistants, optometrists, eye assistants, and medical students</w:t>
      </w:r>
      <w:r w:rsidRPr="00644028">
        <w:rPr>
          <w:rFonts w:ascii="Arial" w:eastAsia="Calibri" w:hAnsi="Arial" w:cs="Arial"/>
          <w:noProof/>
          <w:color w:val="000000"/>
          <w:sz w:val="20"/>
          <w:szCs w:val="20"/>
          <w:lang w:val="en-BW"/>
          <w14:ligatures w14:val="standardContextual"/>
        </w:rPr>
        <w:t>.</w:t>
      </w:r>
    </w:p>
    <w:p w14:paraId="38CF5BE6" w14:textId="77777777" w:rsidR="004C5244" w:rsidRPr="004C5244" w:rsidRDefault="004C5244" w:rsidP="004C5244">
      <w:pPr>
        <w:pStyle w:val="Compact"/>
        <w:jc w:val="both"/>
        <w:rPr>
          <w:rFonts w:ascii="Arial" w:eastAsia="Calibri" w:hAnsi="Arial" w:cs="Arial"/>
          <w:noProof/>
          <w:color w:val="000000"/>
          <w:sz w:val="20"/>
          <w:szCs w:val="20"/>
          <w:lang w:val="en-BW"/>
          <w14:ligatures w14:val="standardContextual"/>
        </w:rPr>
      </w:pPr>
    </w:p>
    <w:p w14:paraId="05693806" w14:textId="77777777" w:rsidR="00D65B9B" w:rsidRPr="00644028" w:rsidRDefault="007E5FBC" w:rsidP="00D65B9B">
      <w:pPr>
        <w:pStyle w:val="Compact"/>
        <w:jc w:val="both"/>
        <w:rPr>
          <w:rFonts w:ascii="Arial" w:eastAsia="Calibri" w:hAnsi="Arial" w:cs="Arial"/>
          <w:b/>
          <w:bCs/>
          <w:noProof/>
          <w:color w:val="000000"/>
          <w:sz w:val="22"/>
          <w:szCs w:val="22"/>
          <w14:ligatures w14:val="standardContextual"/>
        </w:rPr>
      </w:pPr>
      <w:r w:rsidRPr="00644028">
        <w:rPr>
          <w:rFonts w:ascii="Arial" w:eastAsia="Calibri" w:hAnsi="Arial" w:cs="Arial"/>
          <w:b/>
          <w:bCs/>
          <w:noProof/>
          <w:color w:val="000000"/>
          <w:sz w:val="22"/>
          <w:szCs w:val="22"/>
          <w14:ligatures w14:val="standardContextual"/>
        </w:rPr>
        <w:t>2.2 STUDY POPULATION AND ELIGIBILITY CRITERIA</w:t>
      </w:r>
    </w:p>
    <w:p w14:paraId="42DD8678" w14:textId="018D6D7F" w:rsidR="00C8353D" w:rsidRPr="00644028" w:rsidRDefault="00C8353D" w:rsidP="00723168">
      <w:pPr>
        <w:pStyle w:val="Compact"/>
        <w:rPr>
          <w:rFonts w:ascii="Arial" w:hAnsi="Arial" w:cs="Arial"/>
          <w:sz w:val="20"/>
          <w:szCs w:val="20"/>
        </w:rPr>
      </w:pPr>
      <w:bookmarkStart w:id="2" w:name="_Toc103910626"/>
      <w:bookmarkStart w:id="3" w:name="_Toc141875887"/>
      <w:bookmarkStart w:id="4" w:name="_Toc202112578"/>
      <w:r w:rsidRPr="00644028">
        <w:rPr>
          <w:rFonts w:ascii="Arial" w:hAnsi="Arial" w:cs="Arial"/>
          <w:sz w:val="20"/>
          <w:szCs w:val="20"/>
        </w:rPr>
        <w:t>This study included all patients who were clinically diagnosed and managed for endophthalmitis at the KCMC Eye Department during the study period, regardless of etiology. Excluded were records of patients managed for endophthalmitis based on other suspicions but without definitive clinical signs such as hypopyon or vitritis; patients partially managed in our institution and then transferred out; patients who refused treatment; and those with missing data</w:t>
      </w:r>
      <w:r w:rsidRPr="00644028">
        <w:rPr>
          <w:rFonts w:ascii="Arial" w:hAnsi="Arial" w:cs="Arial"/>
          <w:sz w:val="20"/>
          <w:szCs w:val="20"/>
        </w:rPr>
        <w:t>.</w:t>
      </w:r>
    </w:p>
    <w:p w14:paraId="0C52A774" w14:textId="77777777" w:rsidR="00C8353D" w:rsidRPr="00644028" w:rsidRDefault="00C8353D" w:rsidP="00723168">
      <w:pPr>
        <w:pStyle w:val="Compact"/>
        <w:rPr>
          <w:rFonts w:ascii="Arial" w:hAnsi="Arial" w:cs="Arial"/>
          <w:sz w:val="20"/>
          <w:szCs w:val="20"/>
        </w:rPr>
      </w:pPr>
    </w:p>
    <w:p w14:paraId="595AB743" w14:textId="6D0DBB76" w:rsidR="007E5FBC" w:rsidRPr="00644028" w:rsidRDefault="007E5FBC" w:rsidP="00723168">
      <w:pPr>
        <w:pStyle w:val="Compact"/>
        <w:rPr>
          <w:rFonts w:ascii="Arial" w:eastAsia="Calibri" w:hAnsi="Arial" w:cs="Arial"/>
          <w:b/>
          <w:bCs/>
          <w:noProof/>
          <w:color w:val="000000"/>
          <w:sz w:val="22"/>
          <w:szCs w:val="22"/>
          <w14:ligatures w14:val="standardContextual"/>
        </w:rPr>
      </w:pPr>
      <w:r w:rsidRPr="00644028">
        <w:rPr>
          <w:rFonts w:ascii="Arial" w:eastAsia="Calibri" w:hAnsi="Arial" w:cs="Arial"/>
          <w:b/>
          <w:bCs/>
          <w:noProof/>
          <w:color w:val="000000"/>
          <w:sz w:val="22"/>
          <w:szCs w:val="22"/>
          <w14:ligatures w14:val="standardContextual"/>
        </w:rPr>
        <w:t>2.</w:t>
      </w:r>
      <w:r w:rsidR="00AA192C" w:rsidRPr="00644028">
        <w:rPr>
          <w:rFonts w:ascii="Arial" w:eastAsia="Calibri" w:hAnsi="Arial" w:cs="Arial"/>
          <w:b/>
          <w:bCs/>
          <w:noProof/>
          <w:color w:val="000000"/>
          <w:sz w:val="22"/>
          <w:szCs w:val="22"/>
          <w14:ligatures w14:val="standardContextual"/>
        </w:rPr>
        <w:t>3</w:t>
      </w:r>
      <w:r w:rsidRPr="00644028">
        <w:rPr>
          <w:rFonts w:ascii="Arial" w:eastAsia="Calibri" w:hAnsi="Arial" w:cs="Arial"/>
          <w:b/>
          <w:bCs/>
          <w:noProof/>
          <w:color w:val="000000"/>
          <w:sz w:val="22"/>
          <w:szCs w:val="22"/>
          <w14:ligatures w14:val="standardContextual"/>
        </w:rPr>
        <w:t xml:space="preserve"> DATA COLLECTION TOOLS</w:t>
      </w:r>
      <w:bookmarkEnd w:id="2"/>
      <w:bookmarkEnd w:id="3"/>
      <w:bookmarkEnd w:id="4"/>
    </w:p>
    <w:p w14:paraId="0835590A" w14:textId="77777777" w:rsidR="007E5FBC" w:rsidRPr="00644028" w:rsidRDefault="007E5FBC" w:rsidP="00723168">
      <w:pPr>
        <w:pStyle w:val="Compact"/>
        <w:rPr>
          <w:rFonts w:ascii="Arial" w:eastAsia="Calibri" w:hAnsi="Arial" w:cs="Arial"/>
          <w:noProof/>
          <w:color w:val="000000"/>
          <w:sz w:val="20"/>
          <w:szCs w:val="20"/>
          <w14:ligatures w14:val="standardContextual"/>
        </w:rPr>
      </w:pPr>
      <w:r w:rsidRPr="00644028">
        <w:rPr>
          <w:rFonts w:ascii="Arial" w:eastAsia="Calibri" w:hAnsi="Arial" w:cs="Arial"/>
          <w:noProof/>
          <w:color w:val="000000"/>
          <w:sz w:val="20"/>
          <w:szCs w:val="20"/>
          <w14:ligatures w14:val="standardContextual"/>
        </w:rPr>
        <w:t xml:space="preserve">Extracting information from patients' medical records was performed via a data collection form. Measures included demographic and clinical history, physical findings treatments received and treatment outcome. Basic demographic details included age and gender. Clinical information included history of presenting complaints entailing which eye affected, number of days of having symptoms before presenting to health facility. Symptoms presented with including decreased vision, presence of pain, eye redness, eye discharge and swollen eyelids. ocular history including history of any previous eye surgeries, intraocular injections, eye trauma and cornea ulcer. Past medical history to assess for any presence of comorbidities like diabetes and any immunosuppression. Physical examination findings included presenting visual acuity, </w:t>
      </w:r>
      <w:r w:rsidRPr="00644028">
        <w:rPr>
          <w:rFonts w:ascii="Arial" w:eastAsia="Calibri" w:hAnsi="Arial" w:cs="Arial"/>
          <w:noProof/>
          <w:color w:val="000000"/>
          <w:sz w:val="20"/>
          <w:szCs w:val="20"/>
          <w14:ligatures w14:val="standardContextual"/>
        </w:rPr>
        <w:lastRenderedPageBreak/>
        <w:t xml:space="preserve">intraocular pressure, presence of signs such as conjunctival congestion, cornea edema, hypopyon, vitritis. Treatment received included topical antibiotics, intravitreal antibiotics or vitrectomy. The treatment outcome was either eye preservation or eye removal. If eye was preserved, final visual acuity was recorded. </w:t>
      </w:r>
    </w:p>
    <w:p w14:paraId="01A583FE" w14:textId="77777777" w:rsidR="007E5FBC" w:rsidRPr="00644028" w:rsidRDefault="007E5FBC" w:rsidP="00723168">
      <w:pPr>
        <w:pStyle w:val="Compact"/>
        <w:rPr>
          <w:rFonts w:ascii="Arial" w:eastAsia="Calibri" w:hAnsi="Arial" w:cs="Arial"/>
          <w:noProof/>
          <w:color w:val="000000"/>
          <w:sz w:val="20"/>
          <w:szCs w:val="20"/>
          <w14:ligatures w14:val="standardContextual"/>
        </w:rPr>
      </w:pPr>
    </w:p>
    <w:p w14:paraId="45C552F5" w14:textId="4F732DF1" w:rsidR="007E5FBC" w:rsidRPr="00644028" w:rsidRDefault="007E5FBC" w:rsidP="00723168">
      <w:pPr>
        <w:pStyle w:val="Compact"/>
        <w:rPr>
          <w:rFonts w:ascii="Arial" w:eastAsia="Calibri" w:hAnsi="Arial" w:cs="Arial"/>
          <w:b/>
          <w:bCs/>
          <w:noProof/>
          <w:color w:val="000000"/>
          <w:sz w:val="22"/>
          <w:szCs w:val="22"/>
          <w14:ligatures w14:val="standardContextual"/>
        </w:rPr>
      </w:pPr>
      <w:bookmarkStart w:id="5" w:name="_Toc141875888"/>
      <w:bookmarkStart w:id="6" w:name="_Toc202112579"/>
      <w:r w:rsidRPr="00644028">
        <w:rPr>
          <w:rFonts w:ascii="Arial" w:eastAsia="Calibri" w:hAnsi="Arial" w:cs="Arial"/>
          <w:b/>
          <w:bCs/>
          <w:noProof/>
          <w:color w:val="000000"/>
          <w:sz w:val="22"/>
          <w:szCs w:val="22"/>
          <w14:ligatures w14:val="standardContextual"/>
        </w:rPr>
        <w:t>2.</w:t>
      </w:r>
      <w:r w:rsidR="00AA192C" w:rsidRPr="00644028">
        <w:rPr>
          <w:rFonts w:ascii="Arial" w:eastAsia="Calibri" w:hAnsi="Arial" w:cs="Arial"/>
          <w:b/>
          <w:bCs/>
          <w:noProof/>
          <w:color w:val="000000"/>
          <w:sz w:val="22"/>
          <w:szCs w:val="22"/>
          <w14:ligatures w14:val="standardContextual"/>
        </w:rPr>
        <w:t>4</w:t>
      </w:r>
      <w:r w:rsidRPr="00644028">
        <w:rPr>
          <w:rFonts w:ascii="Arial" w:eastAsia="Calibri" w:hAnsi="Arial" w:cs="Arial"/>
          <w:b/>
          <w:bCs/>
          <w:noProof/>
          <w:color w:val="000000"/>
          <w:sz w:val="22"/>
          <w:szCs w:val="22"/>
          <w14:ligatures w14:val="standardContextual"/>
        </w:rPr>
        <w:t xml:space="preserve"> DATA COLLECTION METHOD</w:t>
      </w:r>
      <w:bookmarkEnd w:id="5"/>
      <w:bookmarkEnd w:id="6"/>
    </w:p>
    <w:p w14:paraId="3E0C56E0" w14:textId="77777777" w:rsidR="007E5FBC" w:rsidRPr="00644028" w:rsidRDefault="007E5FBC" w:rsidP="00723168">
      <w:pPr>
        <w:pStyle w:val="Compact"/>
        <w:rPr>
          <w:rFonts w:ascii="Arial" w:eastAsia="Calibri" w:hAnsi="Arial" w:cs="Arial"/>
          <w:noProof/>
          <w:color w:val="000000"/>
          <w:sz w:val="20"/>
          <w:szCs w:val="20"/>
          <w14:ligatures w14:val="standardContextual"/>
        </w:rPr>
      </w:pPr>
      <w:r w:rsidRPr="00644028">
        <w:rPr>
          <w:rFonts w:ascii="Arial" w:eastAsia="Calibri" w:hAnsi="Arial" w:cs="Arial"/>
          <w:noProof/>
          <w:color w:val="000000"/>
          <w:sz w:val="20"/>
          <w:szCs w:val="20"/>
          <w14:ligatures w14:val="standardContextual"/>
        </w:rPr>
        <w:t>All patients with a diagnosis and managed for endophthalmitis between January 2020-December 2024 were identified from ward admission book, minor theater and theater registers. The files were then pulled out from medical records for analysis. Data collection tool was used to collect information. Different endophthalmitis categories were classified into exogenous subgroups (post-surgical, post traumatic, cornea ulcer related). There were no endogenous cases identified. A postsurgical category included endophthalmitis cases that resulted from complication of any ophthalmology procedure including intravitreal injection. The category for post-traumatic endophthalmitis encompassed patients who developed endophthalmitis because of a traumatic open globe injury, penetrating injury, or an intraocular foreign body. Endophthalmitis in the presence of epithelial defect was classified as cornea ulcer related endophthalmitis. Therapy modalities which include topical antibiotics, subconjunctival and intravitreal antibiotics injections, vitrectomy and evisceration/ enucleation were documented for each patient. From treatment outcome, patients were divided into 2 groups: those whose eyes underwent eviscerated/enucleated and those whose eyes were preserved. The frequencies of the selected data within the above 2 groups were compared and statistically analyzed.</w:t>
      </w:r>
    </w:p>
    <w:p w14:paraId="7A6D9475" w14:textId="77777777" w:rsidR="007E5FBC" w:rsidRPr="00644028" w:rsidRDefault="007E5FBC" w:rsidP="007E5FBC">
      <w:pPr>
        <w:pStyle w:val="Compact"/>
        <w:spacing w:line="360" w:lineRule="auto"/>
        <w:rPr>
          <w:rFonts w:ascii="Arial" w:eastAsia="Calibri" w:hAnsi="Arial" w:cs="Arial"/>
          <w:noProof/>
          <w:color w:val="000000"/>
          <w:sz w:val="20"/>
          <w:szCs w:val="20"/>
          <w14:ligatures w14:val="standardContextual"/>
        </w:rPr>
      </w:pPr>
    </w:p>
    <w:p w14:paraId="58E53879" w14:textId="752ED0D6" w:rsidR="007E5FBC" w:rsidRPr="00644028" w:rsidRDefault="007E5FBC" w:rsidP="00723168">
      <w:pPr>
        <w:pStyle w:val="Compact"/>
        <w:rPr>
          <w:rFonts w:ascii="Arial" w:eastAsia="Calibri" w:hAnsi="Arial" w:cs="Arial"/>
          <w:b/>
          <w:bCs/>
          <w:noProof/>
          <w:color w:val="000000"/>
          <w:sz w:val="22"/>
          <w:szCs w:val="22"/>
          <w14:ligatures w14:val="standardContextual"/>
        </w:rPr>
      </w:pPr>
      <w:r w:rsidRPr="00644028">
        <w:rPr>
          <w:rFonts w:ascii="Arial" w:eastAsia="Calibri" w:hAnsi="Arial" w:cs="Arial"/>
          <w:b/>
          <w:bCs/>
          <w:noProof/>
          <w:color w:val="000000"/>
          <w:sz w:val="22"/>
          <w:szCs w:val="22"/>
          <w14:ligatures w14:val="standardContextual"/>
        </w:rPr>
        <w:t>2.</w:t>
      </w:r>
      <w:r w:rsidR="00AA192C" w:rsidRPr="00644028">
        <w:rPr>
          <w:rFonts w:ascii="Arial" w:eastAsia="Calibri" w:hAnsi="Arial" w:cs="Arial"/>
          <w:b/>
          <w:bCs/>
          <w:noProof/>
          <w:color w:val="000000"/>
          <w:sz w:val="22"/>
          <w:szCs w:val="22"/>
          <w14:ligatures w14:val="standardContextual"/>
        </w:rPr>
        <w:t>5</w:t>
      </w:r>
      <w:r w:rsidRPr="00644028">
        <w:rPr>
          <w:rFonts w:ascii="Arial" w:eastAsia="Calibri" w:hAnsi="Arial" w:cs="Arial"/>
          <w:b/>
          <w:bCs/>
          <w:noProof/>
          <w:color w:val="000000"/>
          <w:sz w:val="22"/>
          <w:szCs w:val="22"/>
          <w14:ligatures w14:val="standardContextual"/>
        </w:rPr>
        <w:t xml:space="preserve"> DATA</w:t>
      </w:r>
      <w:bookmarkStart w:id="7" w:name="_Toc103910633"/>
      <w:bookmarkStart w:id="8" w:name="_Toc141875892"/>
      <w:bookmarkStart w:id="9" w:name="_Toc202112580"/>
      <w:r w:rsidRPr="00644028">
        <w:rPr>
          <w:rFonts w:ascii="Arial" w:eastAsia="Calibri" w:hAnsi="Arial" w:cs="Arial"/>
          <w:b/>
          <w:bCs/>
          <w:noProof/>
          <w:color w:val="000000"/>
          <w:sz w:val="22"/>
          <w:szCs w:val="22"/>
          <w14:ligatures w14:val="standardContextual"/>
        </w:rPr>
        <w:t xml:space="preserve"> ANALYSIS</w:t>
      </w:r>
      <w:bookmarkEnd w:id="7"/>
      <w:bookmarkEnd w:id="8"/>
      <w:bookmarkEnd w:id="9"/>
    </w:p>
    <w:p w14:paraId="6CB4706B" w14:textId="77777777" w:rsidR="007E5FBC" w:rsidRPr="00644028" w:rsidRDefault="007E5FBC" w:rsidP="00723168">
      <w:pPr>
        <w:pStyle w:val="Compact"/>
        <w:rPr>
          <w:rFonts w:ascii="Arial" w:eastAsia="Calibri" w:hAnsi="Arial" w:cs="Arial"/>
          <w:noProof/>
          <w:color w:val="000000"/>
          <w:sz w:val="20"/>
          <w:szCs w:val="20"/>
          <w14:ligatures w14:val="standardContextual"/>
        </w:rPr>
      </w:pPr>
      <w:r w:rsidRPr="00644028">
        <w:rPr>
          <w:rFonts w:ascii="Arial" w:eastAsia="Calibri" w:hAnsi="Arial" w:cs="Arial"/>
          <w:noProof/>
          <w:color w:val="000000"/>
          <w:sz w:val="20"/>
          <w:szCs w:val="20"/>
          <w14:ligatures w14:val="standardContextual"/>
        </w:rPr>
        <w:t xml:space="preserve">The data was analyzed using STATA version 17(Stata Corp LLC, College Station, Texas, USA). Data processing included encoding, labeling, defining variables and values, recording, and generating new variables. Descriptive statistics were used to summarize data: categorical variables were summarized using frequency and percentages, while numeric variables were summarized using the mean with standard deviation (SD) or median with interquartile range (IQR), as appropriate. To compare baseline characteristics between participants who underwent evisceration and those whose eyes were preserved, a chi-square (χ2) test was employed for categorical variables. Variables with a P-value of less than 0.05 were considered to indicate significant differences. A modified Poisson regression model with robust error variance was used to identify factors associated with Endophthalmitis requiring evisceration. Initially, bivariable regression model  were fitted for each independent variable to estimate crude prevalence ratio (CPR). Subsequently, a multivariable regression model was used to obtain adjusted prevalence ratio (APR) controlling for potential confounding factors. Variables with </w:t>
      </w:r>
      <w:r w:rsidRPr="00644028">
        <w:rPr>
          <w:rFonts w:ascii="Arial" w:eastAsia="Calibri" w:hAnsi="Arial" w:cs="Arial"/>
          <w:i/>
          <w:iCs/>
          <w:noProof/>
          <w:color w:val="000000"/>
          <w:sz w:val="20"/>
          <w:szCs w:val="20"/>
          <w14:ligatures w14:val="standardContextual"/>
        </w:rPr>
        <w:t>P</w:t>
      </w:r>
      <w:r w:rsidRPr="00644028">
        <w:rPr>
          <w:rFonts w:ascii="Arial" w:eastAsia="Calibri" w:hAnsi="Arial" w:cs="Arial"/>
          <w:noProof/>
          <w:color w:val="000000"/>
          <w:sz w:val="20"/>
          <w:szCs w:val="20"/>
          <w14:ligatures w14:val="standardContextual"/>
        </w:rPr>
        <w:t xml:space="preserve">-value of less than 0.05 in multivariable analysis, were considered statistically significant. </w:t>
      </w:r>
    </w:p>
    <w:p w14:paraId="3375A318" w14:textId="77777777" w:rsidR="00A03B96" w:rsidRPr="00644028" w:rsidRDefault="00A03B96" w:rsidP="00723168">
      <w:pPr>
        <w:pStyle w:val="Body"/>
        <w:spacing w:after="0"/>
        <w:rPr>
          <w:rFonts w:ascii="Arial" w:hAnsi="Arial" w:cs="Arial"/>
        </w:rPr>
      </w:pPr>
    </w:p>
    <w:p w14:paraId="4EA9FAF9" w14:textId="5B078BBF" w:rsidR="00902823" w:rsidRPr="00644028" w:rsidRDefault="00000F8F" w:rsidP="00723168">
      <w:pPr>
        <w:pStyle w:val="Head1"/>
        <w:spacing w:after="0"/>
        <w:jc w:val="both"/>
        <w:rPr>
          <w:rFonts w:ascii="Arial" w:hAnsi="Arial" w:cs="Arial"/>
        </w:rPr>
      </w:pPr>
      <w:r w:rsidRPr="00644028">
        <w:rPr>
          <w:rFonts w:ascii="Arial" w:hAnsi="Arial" w:cs="Arial"/>
        </w:rPr>
        <w:t>3</w:t>
      </w:r>
      <w:r w:rsidR="00902823" w:rsidRPr="00644028">
        <w:rPr>
          <w:rFonts w:ascii="Arial" w:hAnsi="Arial" w:cs="Arial"/>
        </w:rPr>
        <w:t xml:space="preserve">. </w:t>
      </w:r>
      <w:r w:rsidRPr="00644028">
        <w:rPr>
          <w:rFonts w:ascii="Arial" w:hAnsi="Arial" w:cs="Arial"/>
        </w:rPr>
        <w:t xml:space="preserve">results </w:t>
      </w:r>
    </w:p>
    <w:p w14:paraId="7F34FD0F" w14:textId="77777777" w:rsidR="0086202B" w:rsidRPr="00644028" w:rsidRDefault="0086202B" w:rsidP="00723168">
      <w:pPr>
        <w:pStyle w:val="Head1"/>
        <w:spacing w:after="0"/>
        <w:jc w:val="both"/>
        <w:rPr>
          <w:rFonts w:ascii="Arial" w:hAnsi="Arial" w:cs="Arial"/>
        </w:rPr>
      </w:pPr>
    </w:p>
    <w:p w14:paraId="78D96A26" w14:textId="77777777" w:rsidR="007E5FBC" w:rsidRPr="00644028" w:rsidRDefault="007E5FBC" w:rsidP="00723168">
      <w:pPr>
        <w:pStyle w:val="Compact"/>
        <w:jc w:val="both"/>
        <w:rPr>
          <w:rFonts w:ascii="Arial" w:hAnsi="Arial" w:cs="Arial"/>
          <w:sz w:val="20"/>
          <w:szCs w:val="20"/>
        </w:rPr>
      </w:pPr>
      <w:r w:rsidRPr="00644028">
        <w:rPr>
          <w:rFonts w:ascii="Arial" w:hAnsi="Arial" w:cs="Arial"/>
          <w:sz w:val="20"/>
          <w:szCs w:val="20"/>
        </w:rPr>
        <w:t>Out of 15171 ophthalmology department admissions during study period, 211 patients were eligible for the study (figure 1).</w:t>
      </w:r>
    </w:p>
    <w:p w14:paraId="47CA2ACA" w14:textId="77777777" w:rsidR="007E5FBC" w:rsidRPr="00644028" w:rsidRDefault="007E5FBC" w:rsidP="007E5FBC">
      <w:pPr>
        <w:pStyle w:val="Compact"/>
        <w:spacing w:line="360" w:lineRule="auto"/>
        <w:jc w:val="both"/>
        <w:rPr>
          <w:rFonts w:ascii="Arial" w:hAnsi="Arial" w:cs="Arial"/>
          <w:sz w:val="20"/>
          <w:szCs w:val="20"/>
        </w:rPr>
      </w:pPr>
    </w:p>
    <w:p w14:paraId="31D8724F" w14:textId="77777777" w:rsidR="007E5FBC" w:rsidRPr="00644028" w:rsidRDefault="007E5FBC" w:rsidP="007E5FBC">
      <w:pPr>
        <w:pStyle w:val="Compact"/>
        <w:spacing w:line="360" w:lineRule="auto"/>
        <w:jc w:val="both"/>
        <w:rPr>
          <w:rFonts w:ascii="Arial" w:hAnsi="Arial" w:cs="Arial"/>
          <w:b/>
          <w:bCs/>
          <w:sz w:val="20"/>
          <w:szCs w:val="20"/>
        </w:rPr>
      </w:pPr>
      <w:r w:rsidRPr="00644028">
        <w:rPr>
          <w:rFonts w:ascii="Arial" w:eastAsia="Calibri" w:hAnsi="Arial" w:cs="Arial"/>
          <w:noProof/>
          <w:color w:val="000000"/>
          <w:sz w:val="20"/>
          <w:szCs w:val="20"/>
          <w14:ligatures w14:val="standardContextual"/>
        </w:rPr>
        <w:lastRenderedPageBreak/>
        <w:drawing>
          <wp:inline distT="0" distB="0" distL="0" distR="0" wp14:anchorId="194E17F2" wp14:editId="63F96D5D">
            <wp:extent cx="5731510" cy="3696196"/>
            <wp:effectExtent l="0" t="0" r="0" b="38100"/>
            <wp:docPr id="188842825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7A5FBE4" w14:textId="77777777" w:rsidR="007E5FBC" w:rsidRPr="00644028" w:rsidRDefault="007E5FBC" w:rsidP="007E5FBC">
      <w:pPr>
        <w:pStyle w:val="Compact"/>
        <w:spacing w:line="360" w:lineRule="auto"/>
        <w:jc w:val="both"/>
        <w:rPr>
          <w:rFonts w:ascii="Arial" w:hAnsi="Arial" w:cs="Arial"/>
          <w:b/>
          <w:bCs/>
          <w:sz w:val="20"/>
          <w:szCs w:val="20"/>
        </w:rPr>
      </w:pPr>
    </w:p>
    <w:p w14:paraId="15BD46B4" w14:textId="77777777" w:rsidR="007E5FBC" w:rsidRPr="00644028" w:rsidRDefault="007E5FBC" w:rsidP="007E5FBC">
      <w:pPr>
        <w:pStyle w:val="Compact"/>
        <w:jc w:val="center"/>
        <w:rPr>
          <w:rFonts w:ascii="Arial" w:hAnsi="Arial" w:cs="Arial"/>
          <w:b/>
          <w:bCs/>
          <w:sz w:val="22"/>
          <w:szCs w:val="22"/>
        </w:rPr>
      </w:pPr>
      <w:bookmarkStart w:id="10" w:name="_Toc202112607"/>
      <w:r w:rsidRPr="00644028">
        <w:rPr>
          <w:rFonts w:ascii="Arial" w:hAnsi="Arial" w:cs="Arial"/>
          <w:b/>
          <w:bCs/>
          <w:sz w:val="22"/>
          <w:szCs w:val="22"/>
        </w:rPr>
        <w:t xml:space="preserve">Figure </w:t>
      </w:r>
      <w:r w:rsidRPr="00644028">
        <w:rPr>
          <w:rFonts w:ascii="Arial" w:hAnsi="Arial" w:cs="Arial"/>
          <w:b/>
          <w:bCs/>
          <w:sz w:val="22"/>
          <w:szCs w:val="22"/>
        </w:rPr>
        <w:fldChar w:fldCharType="begin"/>
      </w:r>
      <w:r w:rsidRPr="00644028">
        <w:rPr>
          <w:rFonts w:ascii="Arial" w:hAnsi="Arial" w:cs="Arial"/>
          <w:b/>
          <w:bCs/>
          <w:sz w:val="22"/>
          <w:szCs w:val="22"/>
        </w:rPr>
        <w:instrText xml:space="preserve"> SEQ Figure \* ARABIC </w:instrText>
      </w:r>
      <w:r w:rsidRPr="00644028">
        <w:rPr>
          <w:rFonts w:ascii="Arial" w:hAnsi="Arial" w:cs="Arial"/>
          <w:b/>
          <w:bCs/>
          <w:sz w:val="22"/>
          <w:szCs w:val="22"/>
        </w:rPr>
        <w:fldChar w:fldCharType="separate"/>
      </w:r>
      <w:r w:rsidRPr="00644028">
        <w:rPr>
          <w:rFonts w:ascii="Arial" w:hAnsi="Arial" w:cs="Arial"/>
          <w:b/>
          <w:bCs/>
          <w:sz w:val="22"/>
          <w:szCs w:val="22"/>
        </w:rPr>
        <w:t>1</w:t>
      </w:r>
      <w:r w:rsidRPr="00644028">
        <w:rPr>
          <w:rFonts w:ascii="Arial" w:hAnsi="Arial" w:cs="Arial"/>
          <w:b/>
          <w:bCs/>
          <w:sz w:val="22"/>
          <w:szCs w:val="22"/>
        </w:rPr>
        <w:fldChar w:fldCharType="end"/>
      </w:r>
      <w:r w:rsidRPr="00644028">
        <w:rPr>
          <w:rFonts w:ascii="Arial" w:hAnsi="Arial" w:cs="Arial"/>
          <w:b/>
          <w:bCs/>
          <w:sz w:val="22"/>
          <w:szCs w:val="22"/>
        </w:rPr>
        <w:t>: Flow Chart</w:t>
      </w:r>
      <w:bookmarkEnd w:id="10"/>
      <w:r w:rsidRPr="00644028">
        <w:rPr>
          <w:rFonts w:ascii="Arial" w:hAnsi="Arial" w:cs="Arial"/>
          <w:b/>
          <w:bCs/>
          <w:sz w:val="22"/>
          <w:szCs w:val="22"/>
        </w:rPr>
        <w:t xml:space="preserve"> of patient selection process</w:t>
      </w:r>
    </w:p>
    <w:p w14:paraId="6C8F4D7A" w14:textId="77777777" w:rsidR="003F07F5" w:rsidRPr="00644028" w:rsidRDefault="003F07F5" w:rsidP="007E5FBC">
      <w:pPr>
        <w:pStyle w:val="Compact"/>
        <w:jc w:val="center"/>
        <w:rPr>
          <w:rFonts w:ascii="Arial" w:hAnsi="Arial" w:cs="Arial"/>
          <w:b/>
          <w:bCs/>
          <w:sz w:val="22"/>
          <w:szCs w:val="22"/>
        </w:rPr>
      </w:pPr>
    </w:p>
    <w:p w14:paraId="4BCA834D" w14:textId="77777777" w:rsidR="0086202B" w:rsidRPr="00644028" w:rsidRDefault="003F07F5" w:rsidP="00723168">
      <w:pPr>
        <w:pStyle w:val="Compact"/>
        <w:jc w:val="both"/>
        <w:rPr>
          <w:rFonts w:ascii="Arial" w:hAnsi="Arial" w:cs="Arial"/>
          <w:b/>
          <w:bCs/>
          <w:sz w:val="22"/>
          <w:szCs w:val="22"/>
        </w:rPr>
      </w:pPr>
      <w:r w:rsidRPr="00644028">
        <w:rPr>
          <w:rFonts w:ascii="Arial" w:hAnsi="Arial" w:cs="Arial"/>
          <w:b/>
          <w:bCs/>
          <w:sz w:val="22"/>
          <w:szCs w:val="22"/>
        </w:rPr>
        <w:t>3.1 PARTICIPANTS BACKGROUND CHARACTERISTICS</w:t>
      </w:r>
    </w:p>
    <w:p w14:paraId="017E7BF5" w14:textId="77777777" w:rsidR="00C8353D" w:rsidRPr="00644028" w:rsidRDefault="00C8353D" w:rsidP="00C8353D">
      <w:pPr>
        <w:pStyle w:val="Compact"/>
        <w:jc w:val="both"/>
        <w:rPr>
          <w:rFonts w:ascii="Arial" w:hAnsi="Arial" w:cs="Arial"/>
          <w:sz w:val="20"/>
          <w:szCs w:val="20"/>
        </w:rPr>
      </w:pPr>
      <w:bookmarkStart w:id="11" w:name="_Toc201061676"/>
      <w:r w:rsidRPr="00644028">
        <w:rPr>
          <w:rFonts w:ascii="Arial" w:hAnsi="Arial" w:cs="Arial"/>
          <w:sz w:val="20"/>
          <w:szCs w:val="20"/>
        </w:rPr>
        <w:t>A total of 211 patients who were diagnosed and managed for endophthalmitis were enrolled in the study, yielding a prevalence of 1.39%. Among them, 38(18%) underwent evisceration, while 173 (82%) had the eye preserved. Male participants were 125 (59.2%), while females were 86 (40.8%).  The median age was 43 (IQR = 16 -63). Age distribution was as follows: 59(28.0%) were children (0-18 years), 25 (11.8%) youth (19 – 34 years), 88 (41.7%) adults (35 – 65 years), and 39 (18.5%) elderly (&gt;65years). The left eye was affected in 113 (53.6%) and the right eye in 98 (46.4%). A history of diabetes was reported in 27 participants (12.8%). Regarding PITC serology status, 3 (1.4%) were positive, while 74 (35.1%) were negative, and 134 (63.5%) had an unknown status. The duration of symptoms was 14 days or less in 139 (65.9%) participants and exceeded 14 days in 72 (34.1%) of participants. The mean presenting visual acuity (VA) in the affected eye was 3.69 (+/- 1.04) logMAR, and in the non-affected eye it was 0.37 (+/- 0.74) logMAR. The median intraocular pressure in the affected eye was 8mmHg (IQR5-12) and 12 mmHg (IQR 11-14) in the non-affected eye. In terms of treatment, most patients (176, 83.4%) received topical, subconjunctival, and intravitreal therapy, while 35 (16.6%) underwent vitrectomy in addition. Background characteristics are summarized in Table 1.</w:t>
      </w:r>
    </w:p>
    <w:p w14:paraId="374726FF" w14:textId="77777777" w:rsidR="00C8353D" w:rsidRPr="00644028" w:rsidRDefault="00C8353D" w:rsidP="00C8353D">
      <w:pPr>
        <w:pStyle w:val="Compact"/>
        <w:jc w:val="both"/>
        <w:rPr>
          <w:rFonts w:ascii="Arial" w:hAnsi="Arial" w:cs="Arial"/>
          <w:sz w:val="20"/>
          <w:szCs w:val="20"/>
        </w:rPr>
      </w:pPr>
    </w:p>
    <w:p w14:paraId="407CCDF6" w14:textId="3716D1E1" w:rsidR="003F07F5" w:rsidRPr="00644028" w:rsidRDefault="003F07F5" w:rsidP="003F07F5">
      <w:pPr>
        <w:pStyle w:val="Compact"/>
        <w:spacing w:line="360" w:lineRule="auto"/>
        <w:jc w:val="both"/>
        <w:rPr>
          <w:rFonts w:ascii="Arial" w:hAnsi="Arial" w:cs="Arial"/>
          <w:sz w:val="22"/>
          <w:szCs w:val="22"/>
        </w:rPr>
      </w:pPr>
      <w:r w:rsidRPr="00644028">
        <w:rPr>
          <w:rFonts w:ascii="Arial" w:eastAsia="Times New Roman" w:hAnsi="Arial" w:cs="Arial"/>
          <w:b/>
          <w:bCs/>
          <w:sz w:val="22"/>
          <w:szCs w:val="22"/>
          <w:lang w:eastAsia="en-GB"/>
        </w:rPr>
        <w:t xml:space="preserve">Table </w:t>
      </w:r>
      <w:r w:rsidRPr="00644028">
        <w:rPr>
          <w:rFonts w:ascii="Arial" w:eastAsia="Times New Roman" w:hAnsi="Arial" w:cs="Arial"/>
          <w:b/>
          <w:bCs/>
          <w:sz w:val="22"/>
          <w:szCs w:val="22"/>
          <w:lang w:eastAsia="en-GB"/>
        </w:rPr>
        <w:fldChar w:fldCharType="begin"/>
      </w:r>
      <w:r w:rsidRPr="00644028">
        <w:rPr>
          <w:rFonts w:ascii="Arial" w:eastAsia="Times New Roman" w:hAnsi="Arial" w:cs="Arial"/>
          <w:b/>
          <w:bCs/>
          <w:sz w:val="22"/>
          <w:szCs w:val="22"/>
          <w:lang w:eastAsia="en-GB"/>
        </w:rPr>
        <w:instrText xml:space="preserve"> SEQ Table \* ARABIC </w:instrText>
      </w:r>
      <w:r w:rsidRPr="00644028">
        <w:rPr>
          <w:rFonts w:ascii="Arial" w:eastAsia="Times New Roman" w:hAnsi="Arial" w:cs="Arial"/>
          <w:b/>
          <w:bCs/>
          <w:sz w:val="22"/>
          <w:szCs w:val="22"/>
          <w:lang w:eastAsia="en-GB"/>
        </w:rPr>
        <w:fldChar w:fldCharType="separate"/>
      </w:r>
      <w:r w:rsidRPr="00644028">
        <w:rPr>
          <w:rFonts w:ascii="Arial" w:eastAsia="Times New Roman" w:hAnsi="Arial" w:cs="Arial"/>
          <w:b/>
          <w:bCs/>
          <w:noProof/>
          <w:sz w:val="22"/>
          <w:szCs w:val="22"/>
          <w:lang w:eastAsia="en-GB"/>
        </w:rPr>
        <w:t>1</w:t>
      </w:r>
      <w:r w:rsidRPr="00644028">
        <w:rPr>
          <w:rFonts w:ascii="Arial" w:eastAsia="Times New Roman" w:hAnsi="Arial" w:cs="Arial"/>
          <w:b/>
          <w:bCs/>
          <w:noProof/>
          <w:sz w:val="22"/>
          <w:szCs w:val="22"/>
          <w:lang w:eastAsia="en-GB"/>
        </w:rPr>
        <w:fldChar w:fldCharType="end"/>
      </w:r>
      <w:r w:rsidRPr="00644028">
        <w:rPr>
          <w:rFonts w:ascii="Arial" w:eastAsia="Times New Roman" w:hAnsi="Arial" w:cs="Arial"/>
          <w:b/>
          <w:bCs/>
          <w:sz w:val="22"/>
          <w:szCs w:val="22"/>
          <w:lang w:eastAsia="en-GB"/>
        </w:rPr>
        <w:t>: Background characteristics of participants (N=211)</w:t>
      </w:r>
      <w:bookmarkEnd w:id="11"/>
    </w:p>
    <w:tbl>
      <w:tblPr>
        <w:tblW w:w="5000" w:type="pct"/>
        <w:tblLook w:val="04A0" w:firstRow="1" w:lastRow="0" w:firstColumn="1" w:lastColumn="0" w:noHBand="0" w:noVBand="1"/>
      </w:tblPr>
      <w:tblGrid>
        <w:gridCol w:w="7739"/>
        <w:gridCol w:w="2132"/>
        <w:gridCol w:w="929"/>
      </w:tblGrid>
      <w:tr w:rsidR="003F07F5" w:rsidRPr="00644028" w14:paraId="21EEC466" w14:textId="77777777" w:rsidTr="003F07F5">
        <w:trPr>
          <w:trHeight w:val="300"/>
        </w:trPr>
        <w:tc>
          <w:tcPr>
            <w:tcW w:w="3583" w:type="pct"/>
            <w:tcBorders>
              <w:top w:val="single" w:sz="12" w:space="0" w:color="auto"/>
              <w:bottom w:val="single" w:sz="12" w:space="0" w:color="auto"/>
            </w:tcBorders>
            <w:noWrap/>
            <w:vAlign w:val="bottom"/>
            <w:hideMark/>
          </w:tcPr>
          <w:p w14:paraId="0EF6244C" w14:textId="77777777" w:rsidR="003F07F5" w:rsidRPr="00644028" w:rsidRDefault="003F07F5" w:rsidP="00AD2E9D">
            <w:pPr>
              <w:rPr>
                <w:rFonts w:ascii="Arial" w:hAnsi="Arial" w:cs="Arial"/>
                <w:b/>
                <w:bCs/>
                <w:color w:val="000000"/>
              </w:rPr>
            </w:pPr>
            <w:r w:rsidRPr="00644028">
              <w:rPr>
                <w:rFonts w:ascii="Arial" w:hAnsi="Arial" w:cs="Arial"/>
                <w:b/>
                <w:bCs/>
                <w:color w:val="000000"/>
              </w:rPr>
              <w:t>Characteristics</w:t>
            </w:r>
          </w:p>
        </w:tc>
        <w:tc>
          <w:tcPr>
            <w:tcW w:w="987" w:type="pct"/>
            <w:tcBorders>
              <w:top w:val="single" w:sz="12" w:space="0" w:color="auto"/>
              <w:bottom w:val="single" w:sz="12" w:space="0" w:color="auto"/>
            </w:tcBorders>
            <w:noWrap/>
            <w:vAlign w:val="bottom"/>
            <w:hideMark/>
          </w:tcPr>
          <w:p w14:paraId="13DB277E"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n</w:t>
            </w:r>
          </w:p>
        </w:tc>
        <w:tc>
          <w:tcPr>
            <w:tcW w:w="430" w:type="pct"/>
            <w:tcBorders>
              <w:top w:val="single" w:sz="12" w:space="0" w:color="auto"/>
              <w:bottom w:val="single" w:sz="12" w:space="0" w:color="auto"/>
            </w:tcBorders>
            <w:noWrap/>
            <w:vAlign w:val="bottom"/>
            <w:hideMark/>
          </w:tcPr>
          <w:p w14:paraId="5986C2DF"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w:t>
            </w:r>
          </w:p>
        </w:tc>
      </w:tr>
      <w:tr w:rsidR="003F07F5" w:rsidRPr="00644028" w14:paraId="05C615FC" w14:textId="77777777" w:rsidTr="003F07F5">
        <w:trPr>
          <w:trHeight w:val="300"/>
        </w:trPr>
        <w:tc>
          <w:tcPr>
            <w:tcW w:w="3583" w:type="pct"/>
            <w:tcBorders>
              <w:top w:val="single" w:sz="12" w:space="0" w:color="auto"/>
            </w:tcBorders>
            <w:noWrap/>
            <w:vAlign w:val="bottom"/>
            <w:hideMark/>
          </w:tcPr>
          <w:p w14:paraId="5FF1394C" w14:textId="77777777" w:rsidR="003F07F5" w:rsidRPr="00644028" w:rsidRDefault="003F07F5" w:rsidP="00AD2E9D">
            <w:pPr>
              <w:rPr>
                <w:rFonts w:ascii="Arial" w:hAnsi="Arial" w:cs="Arial"/>
                <w:b/>
                <w:bCs/>
                <w:color w:val="000000"/>
              </w:rPr>
            </w:pPr>
            <w:r w:rsidRPr="00644028">
              <w:rPr>
                <w:rFonts w:ascii="Arial" w:hAnsi="Arial" w:cs="Arial"/>
                <w:b/>
                <w:bCs/>
                <w:color w:val="000000"/>
              </w:rPr>
              <w:t>Sex of the participant</w:t>
            </w:r>
          </w:p>
        </w:tc>
        <w:tc>
          <w:tcPr>
            <w:tcW w:w="987" w:type="pct"/>
            <w:tcBorders>
              <w:top w:val="single" w:sz="12" w:space="0" w:color="auto"/>
            </w:tcBorders>
            <w:noWrap/>
            <w:vAlign w:val="bottom"/>
            <w:hideMark/>
          </w:tcPr>
          <w:p w14:paraId="442FF3F2" w14:textId="77777777" w:rsidR="003F07F5" w:rsidRPr="00644028" w:rsidRDefault="003F07F5" w:rsidP="00AD2E9D">
            <w:pPr>
              <w:jc w:val="center"/>
              <w:rPr>
                <w:rFonts w:ascii="Arial" w:hAnsi="Arial" w:cs="Arial"/>
                <w:color w:val="000000"/>
              </w:rPr>
            </w:pPr>
          </w:p>
        </w:tc>
        <w:tc>
          <w:tcPr>
            <w:tcW w:w="430" w:type="pct"/>
            <w:tcBorders>
              <w:top w:val="single" w:sz="12" w:space="0" w:color="auto"/>
            </w:tcBorders>
            <w:noWrap/>
            <w:vAlign w:val="bottom"/>
            <w:hideMark/>
          </w:tcPr>
          <w:p w14:paraId="7EAE74DC" w14:textId="77777777" w:rsidR="003F07F5" w:rsidRPr="00644028" w:rsidRDefault="003F07F5" w:rsidP="00AD2E9D">
            <w:pPr>
              <w:jc w:val="center"/>
              <w:rPr>
                <w:rFonts w:ascii="Arial" w:hAnsi="Arial" w:cs="Arial"/>
                <w:color w:val="000000"/>
              </w:rPr>
            </w:pPr>
          </w:p>
        </w:tc>
      </w:tr>
      <w:tr w:rsidR="003F07F5" w:rsidRPr="00644028" w14:paraId="042978C6" w14:textId="77777777" w:rsidTr="003F07F5">
        <w:trPr>
          <w:trHeight w:val="300"/>
        </w:trPr>
        <w:tc>
          <w:tcPr>
            <w:tcW w:w="3583" w:type="pct"/>
            <w:noWrap/>
            <w:vAlign w:val="bottom"/>
            <w:hideMark/>
          </w:tcPr>
          <w:p w14:paraId="1B4613FB" w14:textId="77777777" w:rsidR="003F07F5" w:rsidRPr="00644028" w:rsidRDefault="003F07F5" w:rsidP="00AD2E9D">
            <w:pPr>
              <w:ind w:left="510"/>
              <w:rPr>
                <w:rFonts w:ascii="Arial" w:hAnsi="Arial" w:cs="Arial"/>
                <w:color w:val="000000"/>
              </w:rPr>
            </w:pPr>
            <w:r w:rsidRPr="00644028">
              <w:rPr>
                <w:rFonts w:ascii="Arial" w:hAnsi="Arial" w:cs="Arial"/>
                <w:color w:val="000000"/>
              </w:rPr>
              <w:t>Male</w:t>
            </w:r>
          </w:p>
        </w:tc>
        <w:tc>
          <w:tcPr>
            <w:tcW w:w="987" w:type="pct"/>
            <w:noWrap/>
            <w:vAlign w:val="bottom"/>
            <w:hideMark/>
          </w:tcPr>
          <w:p w14:paraId="6A7936D5" w14:textId="77777777" w:rsidR="003F07F5" w:rsidRPr="00644028" w:rsidRDefault="003F07F5" w:rsidP="00AD2E9D">
            <w:pPr>
              <w:jc w:val="center"/>
              <w:rPr>
                <w:rFonts w:ascii="Arial" w:hAnsi="Arial" w:cs="Arial"/>
                <w:color w:val="000000"/>
              </w:rPr>
            </w:pPr>
            <w:r w:rsidRPr="00644028">
              <w:rPr>
                <w:rFonts w:ascii="Arial" w:hAnsi="Arial" w:cs="Arial"/>
                <w:color w:val="000000"/>
              </w:rPr>
              <w:t>125</w:t>
            </w:r>
          </w:p>
        </w:tc>
        <w:tc>
          <w:tcPr>
            <w:tcW w:w="430" w:type="pct"/>
            <w:noWrap/>
            <w:vAlign w:val="bottom"/>
            <w:hideMark/>
          </w:tcPr>
          <w:p w14:paraId="4739817D" w14:textId="77777777" w:rsidR="003F07F5" w:rsidRPr="00644028" w:rsidRDefault="003F07F5" w:rsidP="00AD2E9D">
            <w:pPr>
              <w:jc w:val="center"/>
              <w:rPr>
                <w:rFonts w:ascii="Arial" w:hAnsi="Arial" w:cs="Arial"/>
                <w:color w:val="000000"/>
              </w:rPr>
            </w:pPr>
            <w:r w:rsidRPr="00644028">
              <w:rPr>
                <w:rFonts w:ascii="Arial" w:hAnsi="Arial" w:cs="Arial"/>
                <w:color w:val="000000"/>
              </w:rPr>
              <w:t>59.2</w:t>
            </w:r>
          </w:p>
        </w:tc>
      </w:tr>
      <w:tr w:rsidR="003F07F5" w:rsidRPr="00644028" w14:paraId="5BCB860D" w14:textId="77777777" w:rsidTr="003F07F5">
        <w:trPr>
          <w:trHeight w:val="300"/>
        </w:trPr>
        <w:tc>
          <w:tcPr>
            <w:tcW w:w="3583" w:type="pct"/>
            <w:noWrap/>
            <w:vAlign w:val="bottom"/>
            <w:hideMark/>
          </w:tcPr>
          <w:p w14:paraId="460AE7AC" w14:textId="77777777" w:rsidR="003F07F5" w:rsidRPr="00644028" w:rsidRDefault="003F07F5" w:rsidP="00AD2E9D">
            <w:pPr>
              <w:ind w:left="510"/>
              <w:rPr>
                <w:rFonts w:ascii="Arial" w:hAnsi="Arial" w:cs="Arial"/>
                <w:color w:val="000000"/>
              </w:rPr>
            </w:pPr>
            <w:r w:rsidRPr="00644028">
              <w:rPr>
                <w:rFonts w:ascii="Arial" w:hAnsi="Arial" w:cs="Arial"/>
                <w:color w:val="000000"/>
              </w:rPr>
              <w:t>Female</w:t>
            </w:r>
          </w:p>
        </w:tc>
        <w:tc>
          <w:tcPr>
            <w:tcW w:w="987" w:type="pct"/>
            <w:noWrap/>
            <w:vAlign w:val="bottom"/>
            <w:hideMark/>
          </w:tcPr>
          <w:p w14:paraId="2B667D9D" w14:textId="77777777" w:rsidR="003F07F5" w:rsidRPr="00644028" w:rsidRDefault="003F07F5" w:rsidP="00AD2E9D">
            <w:pPr>
              <w:jc w:val="center"/>
              <w:rPr>
                <w:rFonts w:ascii="Arial" w:hAnsi="Arial" w:cs="Arial"/>
                <w:color w:val="000000"/>
              </w:rPr>
            </w:pPr>
            <w:r w:rsidRPr="00644028">
              <w:rPr>
                <w:rFonts w:ascii="Arial" w:hAnsi="Arial" w:cs="Arial"/>
                <w:color w:val="000000"/>
              </w:rPr>
              <w:t>86</w:t>
            </w:r>
          </w:p>
        </w:tc>
        <w:tc>
          <w:tcPr>
            <w:tcW w:w="430" w:type="pct"/>
            <w:noWrap/>
            <w:vAlign w:val="bottom"/>
            <w:hideMark/>
          </w:tcPr>
          <w:p w14:paraId="15EDB87E" w14:textId="77777777" w:rsidR="003F07F5" w:rsidRPr="00644028" w:rsidRDefault="003F07F5" w:rsidP="00AD2E9D">
            <w:pPr>
              <w:jc w:val="center"/>
              <w:rPr>
                <w:rFonts w:ascii="Arial" w:hAnsi="Arial" w:cs="Arial"/>
                <w:color w:val="000000"/>
              </w:rPr>
            </w:pPr>
            <w:r w:rsidRPr="00644028">
              <w:rPr>
                <w:rFonts w:ascii="Arial" w:hAnsi="Arial" w:cs="Arial"/>
                <w:color w:val="000000"/>
              </w:rPr>
              <w:t>40.8</w:t>
            </w:r>
          </w:p>
        </w:tc>
      </w:tr>
      <w:tr w:rsidR="003F07F5" w:rsidRPr="00644028" w14:paraId="4453B729" w14:textId="77777777" w:rsidTr="003F07F5">
        <w:trPr>
          <w:trHeight w:val="300"/>
        </w:trPr>
        <w:tc>
          <w:tcPr>
            <w:tcW w:w="3583" w:type="pct"/>
            <w:noWrap/>
            <w:vAlign w:val="bottom"/>
            <w:hideMark/>
          </w:tcPr>
          <w:p w14:paraId="29E2771E" w14:textId="77777777" w:rsidR="003F07F5" w:rsidRPr="00644028" w:rsidRDefault="003F07F5" w:rsidP="00AD2E9D">
            <w:pPr>
              <w:rPr>
                <w:rFonts w:ascii="Arial" w:hAnsi="Arial" w:cs="Arial"/>
                <w:b/>
                <w:bCs/>
                <w:color w:val="000000"/>
              </w:rPr>
            </w:pPr>
            <w:r w:rsidRPr="00644028">
              <w:rPr>
                <w:rFonts w:ascii="Arial" w:hAnsi="Arial" w:cs="Arial"/>
                <w:b/>
                <w:bCs/>
                <w:color w:val="000000"/>
              </w:rPr>
              <w:t>Age of the participant</w:t>
            </w:r>
          </w:p>
        </w:tc>
        <w:tc>
          <w:tcPr>
            <w:tcW w:w="987" w:type="pct"/>
            <w:noWrap/>
            <w:vAlign w:val="bottom"/>
            <w:hideMark/>
          </w:tcPr>
          <w:p w14:paraId="70007DEE" w14:textId="77777777" w:rsidR="003F07F5" w:rsidRPr="00644028" w:rsidRDefault="003F07F5" w:rsidP="00AD2E9D">
            <w:pPr>
              <w:jc w:val="center"/>
              <w:rPr>
                <w:rFonts w:ascii="Arial" w:hAnsi="Arial" w:cs="Arial"/>
                <w:color w:val="000000"/>
              </w:rPr>
            </w:pPr>
          </w:p>
        </w:tc>
        <w:tc>
          <w:tcPr>
            <w:tcW w:w="430" w:type="pct"/>
            <w:noWrap/>
            <w:vAlign w:val="bottom"/>
            <w:hideMark/>
          </w:tcPr>
          <w:p w14:paraId="5DEC10F7" w14:textId="77777777" w:rsidR="003F07F5" w:rsidRPr="00644028" w:rsidRDefault="003F07F5" w:rsidP="00AD2E9D">
            <w:pPr>
              <w:jc w:val="center"/>
              <w:rPr>
                <w:rFonts w:ascii="Arial" w:hAnsi="Arial" w:cs="Arial"/>
                <w:color w:val="000000"/>
              </w:rPr>
            </w:pPr>
          </w:p>
        </w:tc>
      </w:tr>
      <w:tr w:rsidR="003F07F5" w:rsidRPr="00644028" w14:paraId="0F267021" w14:textId="77777777" w:rsidTr="003F07F5">
        <w:trPr>
          <w:trHeight w:val="300"/>
        </w:trPr>
        <w:tc>
          <w:tcPr>
            <w:tcW w:w="3583" w:type="pct"/>
            <w:noWrap/>
            <w:vAlign w:val="bottom"/>
            <w:hideMark/>
          </w:tcPr>
          <w:p w14:paraId="5AA67B28" w14:textId="77777777" w:rsidR="003F07F5" w:rsidRPr="00644028" w:rsidRDefault="003F07F5" w:rsidP="00AD2E9D">
            <w:pPr>
              <w:ind w:left="510"/>
              <w:rPr>
                <w:rFonts w:ascii="Arial" w:hAnsi="Arial" w:cs="Arial"/>
                <w:color w:val="000000"/>
              </w:rPr>
            </w:pPr>
            <w:r w:rsidRPr="00644028">
              <w:rPr>
                <w:rFonts w:ascii="Arial" w:hAnsi="Arial" w:cs="Arial"/>
                <w:color w:val="000000"/>
              </w:rPr>
              <w:t>0 - 18years (children)</w:t>
            </w:r>
          </w:p>
        </w:tc>
        <w:tc>
          <w:tcPr>
            <w:tcW w:w="987" w:type="pct"/>
            <w:noWrap/>
            <w:vAlign w:val="bottom"/>
            <w:hideMark/>
          </w:tcPr>
          <w:p w14:paraId="3FCF9083" w14:textId="77777777" w:rsidR="003F07F5" w:rsidRPr="00644028" w:rsidRDefault="003F07F5" w:rsidP="00AD2E9D">
            <w:pPr>
              <w:jc w:val="center"/>
              <w:rPr>
                <w:rFonts w:ascii="Arial" w:hAnsi="Arial" w:cs="Arial"/>
                <w:color w:val="000000"/>
              </w:rPr>
            </w:pPr>
            <w:r w:rsidRPr="00644028">
              <w:rPr>
                <w:rFonts w:ascii="Arial" w:hAnsi="Arial" w:cs="Arial"/>
                <w:color w:val="000000"/>
              </w:rPr>
              <w:t>59</w:t>
            </w:r>
          </w:p>
        </w:tc>
        <w:tc>
          <w:tcPr>
            <w:tcW w:w="430" w:type="pct"/>
            <w:noWrap/>
            <w:vAlign w:val="bottom"/>
            <w:hideMark/>
          </w:tcPr>
          <w:p w14:paraId="18E7C969" w14:textId="77777777" w:rsidR="003F07F5" w:rsidRPr="00644028" w:rsidRDefault="003F07F5" w:rsidP="00AD2E9D">
            <w:pPr>
              <w:jc w:val="center"/>
              <w:rPr>
                <w:rFonts w:ascii="Arial" w:hAnsi="Arial" w:cs="Arial"/>
                <w:color w:val="000000"/>
              </w:rPr>
            </w:pPr>
            <w:r w:rsidRPr="00644028">
              <w:rPr>
                <w:rFonts w:ascii="Arial" w:hAnsi="Arial" w:cs="Arial"/>
                <w:color w:val="000000"/>
              </w:rPr>
              <w:t>28</w:t>
            </w:r>
          </w:p>
        </w:tc>
      </w:tr>
      <w:tr w:rsidR="003F07F5" w:rsidRPr="00644028" w14:paraId="3553035E" w14:textId="77777777" w:rsidTr="003F07F5">
        <w:trPr>
          <w:trHeight w:val="300"/>
        </w:trPr>
        <w:tc>
          <w:tcPr>
            <w:tcW w:w="3583" w:type="pct"/>
            <w:noWrap/>
            <w:vAlign w:val="bottom"/>
            <w:hideMark/>
          </w:tcPr>
          <w:p w14:paraId="50A85131" w14:textId="77777777" w:rsidR="003F07F5" w:rsidRPr="00644028" w:rsidRDefault="003F07F5" w:rsidP="00AD2E9D">
            <w:pPr>
              <w:ind w:left="510"/>
              <w:rPr>
                <w:rFonts w:ascii="Arial" w:hAnsi="Arial" w:cs="Arial"/>
                <w:color w:val="000000"/>
              </w:rPr>
            </w:pPr>
            <w:r w:rsidRPr="00644028">
              <w:rPr>
                <w:rFonts w:ascii="Arial" w:hAnsi="Arial" w:cs="Arial"/>
                <w:color w:val="000000"/>
              </w:rPr>
              <w:t>19 - 34years (youth)</w:t>
            </w:r>
          </w:p>
        </w:tc>
        <w:tc>
          <w:tcPr>
            <w:tcW w:w="987" w:type="pct"/>
            <w:noWrap/>
            <w:vAlign w:val="bottom"/>
            <w:hideMark/>
          </w:tcPr>
          <w:p w14:paraId="643FAF46" w14:textId="77777777" w:rsidR="003F07F5" w:rsidRPr="00644028" w:rsidRDefault="003F07F5" w:rsidP="00AD2E9D">
            <w:pPr>
              <w:jc w:val="center"/>
              <w:rPr>
                <w:rFonts w:ascii="Arial" w:hAnsi="Arial" w:cs="Arial"/>
                <w:color w:val="000000"/>
              </w:rPr>
            </w:pPr>
            <w:r w:rsidRPr="00644028">
              <w:rPr>
                <w:rFonts w:ascii="Arial" w:hAnsi="Arial" w:cs="Arial"/>
                <w:color w:val="000000"/>
              </w:rPr>
              <w:t>25</w:t>
            </w:r>
          </w:p>
        </w:tc>
        <w:tc>
          <w:tcPr>
            <w:tcW w:w="430" w:type="pct"/>
            <w:noWrap/>
            <w:vAlign w:val="bottom"/>
            <w:hideMark/>
          </w:tcPr>
          <w:p w14:paraId="7A33EE89" w14:textId="77777777" w:rsidR="003F07F5" w:rsidRPr="00644028" w:rsidRDefault="003F07F5" w:rsidP="00AD2E9D">
            <w:pPr>
              <w:jc w:val="center"/>
              <w:rPr>
                <w:rFonts w:ascii="Arial" w:hAnsi="Arial" w:cs="Arial"/>
                <w:color w:val="000000"/>
              </w:rPr>
            </w:pPr>
            <w:r w:rsidRPr="00644028">
              <w:rPr>
                <w:rFonts w:ascii="Arial" w:hAnsi="Arial" w:cs="Arial"/>
                <w:color w:val="000000"/>
              </w:rPr>
              <w:t>11.8</w:t>
            </w:r>
          </w:p>
        </w:tc>
      </w:tr>
      <w:tr w:rsidR="003F07F5" w:rsidRPr="00644028" w14:paraId="016DB8C2" w14:textId="77777777" w:rsidTr="003F07F5">
        <w:trPr>
          <w:trHeight w:val="300"/>
        </w:trPr>
        <w:tc>
          <w:tcPr>
            <w:tcW w:w="3583" w:type="pct"/>
            <w:noWrap/>
            <w:vAlign w:val="bottom"/>
            <w:hideMark/>
          </w:tcPr>
          <w:p w14:paraId="4CB501E4" w14:textId="77777777" w:rsidR="003F07F5" w:rsidRPr="00644028" w:rsidRDefault="003F07F5" w:rsidP="00AD2E9D">
            <w:pPr>
              <w:ind w:left="510"/>
              <w:rPr>
                <w:rFonts w:ascii="Arial" w:hAnsi="Arial" w:cs="Arial"/>
                <w:color w:val="000000"/>
              </w:rPr>
            </w:pPr>
            <w:r w:rsidRPr="00644028">
              <w:rPr>
                <w:rFonts w:ascii="Arial" w:hAnsi="Arial" w:cs="Arial"/>
                <w:color w:val="000000"/>
              </w:rPr>
              <w:t>35 - 65years (adults)</w:t>
            </w:r>
          </w:p>
        </w:tc>
        <w:tc>
          <w:tcPr>
            <w:tcW w:w="987" w:type="pct"/>
            <w:noWrap/>
            <w:vAlign w:val="bottom"/>
            <w:hideMark/>
          </w:tcPr>
          <w:p w14:paraId="57167260" w14:textId="77777777" w:rsidR="003F07F5" w:rsidRPr="00644028" w:rsidRDefault="003F07F5" w:rsidP="00AD2E9D">
            <w:pPr>
              <w:jc w:val="center"/>
              <w:rPr>
                <w:rFonts w:ascii="Arial" w:hAnsi="Arial" w:cs="Arial"/>
                <w:color w:val="000000"/>
              </w:rPr>
            </w:pPr>
            <w:r w:rsidRPr="00644028">
              <w:rPr>
                <w:rFonts w:ascii="Arial" w:hAnsi="Arial" w:cs="Arial"/>
                <w:color w:val="000000"/>
              </w:rPr>
              <w:t>88</w:t>
            </w:r>
          </w:p>
        </w:tc>
        <w:tc>
          <w:tcPr>
            <w:tcW w:w="430" w:type="pct"/>
            <w:noWrap/>
            <w:vAlign w:val="bottom"/>
            <w:hideMark/>
          </w:tcPr>
          <w:p w14:paraId="132EB1F5" w14:textId="77777777" w:rsidR="003F07F5" w:rsidRPr="00644028" w:rsidRDefault="003F07F5" w:rsidP="00AD2E9D">
            <w:pPr>
              <w:jc w:val="center"/>
              <w:rPr>
                <w:rFonts w:ascii="Arial" w:hAnsi="Arial" w:cs="Arial"/>
                <w:color w:val="000000"/>
              </w:rPr>
            </w:pPr>
            <w:r w:rsidRPr="00644028">
              <w:rPr>
                <w:rFonts w:ascii="Arial" w:hAnsi="Arial" w:cs="Arial"/>
                <w:color w:val="000000"/>
              </w:rPr>
              <w:t>41.7</w:t>
            </w:r>
          </w:p>
        </w:tc>
      </w:tr>
      <w:tr w:rsidR="003F07F5" w:rsidRPr="00644028" w14:paraId="16FFB09B" w14:textId="77777777" w:rsidTr="003F07F5">
        <w:trPr>
          <w:trHeight w:val="300"/>
        </w:trPr>
        <w:tc>
          <w:tcPr>
            <w:tcW w:w="3583" w:type="pct"/>
            <w:noWrap/>
            <w:vAlign w:val="bottom"/>
            <w:hideMark/>
          </w:tcPr>
          <w:p w14:paraId="69559928" w14:textId="77777777" w:rsidR="003F07F5" w:rsidRPr="00644028" w:rsidRDefault="003F07F5" w:rsidP="00AD2E9D">
            <w:pPr>
              <w:ind w:left="510"/>
              <w:rPr>
                <w:rFonts w:ascii="Arial" w:hAnsi="Arial" w:cs="Arial"/>
                <w:color w:val="000000"/>
              </w:rPr>
            </w:pPr>
            <w:r w:rsidRPr="00644028">
              <w:rPr>
                <w:rFonts w:ascii="Arial" w:hAnsi="Arial" w:cs="Arial"/>
                <w:color w:val="000000"/>
              </w:rPr>
              <w:t>&gt; 65years (Elderly)</w:t>
            </w:r>
          </w:p>
        </w:tc>
        <w:tc>
          <w:tcPr>
            <w:tcW w:w="987" w:type="pct"/>
            <w:noWrap/>
            <w:vAlign w:val="bottom"/>
            <w:hideMark/>
          </w:tcPr>
          <w:p w14:paraId="13E17398" w14:textId="77777777" w:rsidR="003F07F5" w:rsidRPr="00644028" w:rsidRDefault="003F07F5" w:rsidP="00AD2E9D">
            <w:pPr>
              <w:jc w:val="center"/>
              <w:rPr>
                <w:rFonts w:ascii="Arial" w:hAnsi="Arial" w:cs="Arial"/>
                <w:color w:val="000000"/>
              </w:rPr>
            </w:pPr>
            <w:r w:rsidRPr="00644028">
              <w:rPr>
                <w:rFonts w:ascii="Arial" w:hAnsi="Arial" w:cs="Arial"/>
                <w:color w:val="000000"/>
              </w:rPr>
              <w:t>39</w:t>
            </w:r>
          </w:p>
        </w:tc>
        <w:tc>
          <w:tcPr>
            <w:tcW w:w="430" w:type="pct"/>
            <w:noWrap/>
            <w:vAlign w:val="bottom"/>
            <w:hideMark/>
          </w:tcPr>
          <w:p w14:paraId="4B1C47EA" w14:textId="77777777" w:rsidR="003F07F5" w:rsidRPr="00644028" w:rsidRDefault="003F07F5" w:rsidP="00AD2E9D">
            <w:pPr>
              <w:jc w:val="center"/>
              <w:rPr>
                <w:rFonts w:ascii="Arial" w:hAnsi="Arial" w:cs="Arial"/>
                <w:color w:val="000000"/>
              </w:rPr>
            </w:pPr>
            <w:r w:rsidRPr="00644028">
              <w:rPr>
                <w:rFonts w:ascii="Arial" w:hAnsi="Arial" w:cs="Arial"/>
                <w:color w:val="000000"/>
              </w:rPr>
              <w:t>18.5</w:t>
            </w:r>
          </w:p>
        </w:tc>
      </w:tr>
      <w:tr w:rsidR="003F07F5" w:rsidRPr="00644028" w14:paraId="78E7302D" w14:textId="77777777" w:rsidTr="003F07F5">
        <w:trPr>
          <w:trHeight w:val="300"/>
        </w:trPr>
        <w:tc>
          <w:tcPr>
            <w:tcW w:w="3583" w:type="pct"/>
            <w:noWrap/>
            <w:vAlign w:val="bottom"/>
            <w:hideMark/>
          </w:tcPr>
          <w:p w14:paraId="6A26E08E" w14:textId="77777777" w:rsidR="003F07F5" w:rsidRPr="00644028" w:rsidRDefault="003F07F5" w:rsidP="00AD2E9D">
            <w:pPr>
              <w:ind w:left="510"/>
              <w:rPr>
                <w:rFonts w:ascii="Arial" w:hAnsi="Arial" w:cs="Arial"/>
                <w:i/>
                <w:iCs/>
                <w:color w:val="000000"/>
              </w:rPr>
            </w:pPr>
            <w:r w:rsidRPr="00644028">
              <w:rPr>
                <w:rFonts w:ascii="Arial" w:hAnsi="Arial" w:cs="Arial"/>
                <w:i/>
                <w:iCs/>
                <w:color w:val="000000"/>
              </w:rPr>
              <w:lastRenderedPageBreak/>
              <w:t>Median (IQR)</w:t>
            </w:r>
          </w:p>
        </w:tc>
        <w:tc>
          <w:tcPr>
            <w:tcW w:w="987" w:type="pct"/>
            <w:noWrap/>
            <w:vAlign w:val="bottom"/>
            <w:hideMark/>
          </w:tcPr>
          <w:p w14:paraId="708194E7" w14:textId="77777777" w:rsidR="003F07F5" w:rsidRPr="00644028" w:rsidRDefault="003F07F5" w:rsidP="00AD2E9D">
            <w:pPr>
              <w:jc w:val="center"/>
              <w:rPr>
                <w:rFonts w:ascii="Arial" w:hAnsi="Arial" w:cs="Arial"/>
                <w:i/>
                <w:iCs/>
                <w:color w:val="000000"/>
              </w:rPr>
            </w:pPr>
            <w:r w:rsidRPr="00644028">
              <w:rPr>
                <w:rFonts w:ascii="Arial" w:hAnsi="Arial" w:cs="Arial"/>
                <w:i/>
                <w:iCs/>
                <w:color w:val="000000"/>
              </w:rPr>
              <w:t>43(16-63)</w:t>
            </w:r>
          </w:p>
        </w:tc>
        <w:tc>
          <w:tcPr>
            <w:tcW w:w="430" w:type="pct"/>
            <w:noWrap/>
            <w:vAlign w:val="bottom"/>
            <w:hideMark/>
          </w:tcPr>
          <w:p w14:paraId="363A62A5" w14:textId="77777777" w:rsidR="003F07F5" w:rsidRPr="00644028" w:rsidRDefault="003F07F5" w:rsidP="00AD2E9D">
            <w:pPr>
              <w:jc w:val="center"/>
              <w:rPr>
                <w:rFonts w:ascii="Arial" w:hAnsi="Arial" w:cs="Arial"/>
                <w:color w:val="000000"/>
              </w:rPr>
            </w:pPr>
          </w:p>
        </w:tc>
      </w:tr>
      <w:tr w:rsidR="003F07F5" w:rsidRPr="00644028" w14:paraId="6623E691" w14:textId="77777777" w:rsidTr="003F07F5">
        <w:trPr>
          <w:trHeight w:val="300"/>
        </w:trPr>
        <w:tc>
          <w:tcPr>
            <w:tcW w:w="3583" w:type="pct"/>
            <w:noWrap/>
            <w:vAlign w:val="bottom"/>
            <w:hideMark/>
          </w:tcPr>
          <w:p w14:paraId="58301F30" w14:textId="77777777" w:rsidR="003F07F5" w:rsidRPr="00644028" w:rsidRDefault="003F07F5" w:rsidP="00AD2E9D">
            <w:pPr>
              <w:rPr>
                <w:rFonts w:ascii="Arial" w:hAnsi="Arial" w:cs="Arial"/>
                <w:b/>
                <w:bCs/>
                <w:color w:val="000000"/>
              </w:rPr>
            </w:pPr>
            <w:r w:rsidRPr="00644028">
              <w:rPr>
                <w:rFonts w:ascii="Arial" w:hAnsi="Arial" w:cs="Arial"/>
                <w:b/>
                <w:bCs/>
                <w:color w:val="000000"/>
              </w:rPr>
              <w:t>Eye Affected</w:t>
            </w:r>
          </w:p>
        </w:tc>
        <w:tc>
          <w:tcPr>
            <w:tcW w:w="987" w:type="pct"/>
            <w:noWrap/>
            <w:vAlign w:val="bottom"/>
            <w:hideMark/>
          </w:tcPr>
          <w:p w14:paraId="4929638E" w14:textId="77777777" w:rsidR="003F07F5" w:rsidRPr="00644028" w:rsidRDefault="003F07F5" w:rsidP="00AD2E9D">
            <w:pPr>
              <w:jc w:val="center"/>
              <w:rPr>
                <w:rFonts w:ascii="Arial" w:hAnsi="Arial" w:cs="Arial"/>
                <w:color w:val="000000"/>
              </w:rPr>
            </w:pPr>
          </w:p>
        </w:tc>
        <w:tc>
          <w:tcPr>
            <w:tcW w:w="430" w:type="pct"/>
            <w:noWrap/>
            <w:vAlign w:val="bottom"/>
            <w:hideMark/>
          </w:tcPr>
          <w:p w14:paraId="53DD26BC" w14:textId="77777777" w:rsidR="003F07F5" w:rsidRPr="00644028" w:rsidRDefault="003F07F5" w:rsidP="00AD2E9D">
            <w:pPr>
              <w:jc w:val="center"/>
              <w:rPr>
                <w:rFonts w:ascii="Arial" w:hAnsi="Arial" w:cs="Arial"/>
                <w:color w:val="000000"/>
              </w:rPr>
            </w:pPr>
          </w:p>
        </w:tc>
      </w:tr>
      <w:tr w:rsidR="003F07F5" w:rsidRPr="00644028" w14:paraId="2A5D890C" w14:textId="77777777" w:rsidTr="003F07F5">
        <w:trPr>
          <w:trHeight w:val="300"/>
        </w:trPr>
        <w:tc>
          <w:tcPr>
            <w:tcW w:w="3583" w:type="pct"/>
            <w:noWrap/>
            <w:vAlign w:val="bottom"/>
            <w:hideMark/>
          </w:tcPr>
          <w:p w14:paraId="0A513493" w14:textId="77777777" w:rsidR="003F07F5" w:rsidRPr="00644028" w:rsidRDefault="003F07F5" w:rsidP="00AD2E9D">
            <w:pPr>
              <w:ind w:left="510"/>
              <w:rPr>
                <w:rFonts w:ascii="Arial" w:hAnsi="Arial" w:cs="Arial"/>
                <w:color w:val="000000"/>
              </w:rPr>
            </w:pPr>
            <w:r w:rsidRPr="00644028">
              <w:rPr>
                <w:rFonts w:ascii="Arial" w:hAnsi="Arial" w:cs="Arial"/>
                <w:color w:val="000000"/>
              </w:rPr>
              <w:t>Right</w:t>
            </w:r>
          </w:p>
        </w:tc>
        <w:tc>
          <w:tcPr>
            <w:tcW w:w="987" w:type="pct"/>
            <w:noWrap/>
            <w:vAlign w:val="bottom"/>
            <w:hideMark/>
          </w:tcPr>
          <w:p w14:paraId="685AB475" w14:textId="77777777" w:rsidR="003F07F5" w:rsidRPr="00644028" w:rsidRDefault="003F07F5" w:rsidP="00AD2E9D">
            <w:pPr>
              <w:jc w:val="center"/>
              <w:rPr>
                <w:rFonts w:ascii="Arial" w:hAnsi="Arial" w:cs="Arial"/>
                <w:color w:val="000000"/>
              </w:rPr>
            </w:pPr>
            <w:r w:rsidRPr="00644028">
              <w:rPr>
                <w:rFonts w:ascii="Arial" w:hAnsi="Arial" w:cs="Arial"/>
                <w:color w:val="000000"/>
              </w:rPr>
              <w:t>98</w:t>
            </w:r>
          </w:p>
        </w:tc>
        <w:tc>
          <w:tcPr>
            <w:tcW w:w="430" w:type="pct"/>
            <w:noWrap/>
            <w:vAlign w:val="bottom"/>
            <w:hideMark/>
          </w:tcPr>
          <w:p w14:paraId="7AC9CA29" w14:textId="77777777" w:rsidR="003F07F5" w:rsidRPr="00644028" w:rsidRDefault="003F07F5" w:rsidP="00AD2E9D">
            <w:pPr>
              <w:jc w:val="center"/>
              <w:rPr>
                <w:rFonts w:ascii="Arial" w:hAnsi="Arial" w:cs="Arial"/>
                <w:color w:val="000000"/>
              </w:rPr>
            </w:pPr>
            <w:r w:rsidRPr="00644028">
              <w:rPr>
                <w:rFonts w:ascii="Arial" w:hAnsi="Arial" w:cs="Arial"/>
                <w:color w:val="000000"/>
              </w:rPr>
              <w:t>46.4</w:t>
            </w:r>
          </w:p>
        </w:tc>
      </w:tr>
      <w:tr w:rsidR="003F07F5" w:rsidRPr="00644028" w14:paraId="4F4CD8E7" w14:textId="77777777" w:rsidTr="003F07F5">
        <w:trPr>
          <w:trHeight w:val="300"/>
        </w:trPr>
        <w:tc>
          <w:tcPr>
            <w:tcW w:w="3583" w:type="pct"/>
            <w:noWrap/>
            <w:vAlign w:val="bottom"/>
            <w:hideMark/>
          </w:tcPr>
          <w:p w14:paraId="615F5877" w14:textId="77777777" w:rsidR="003F07F5" w:rsidRPr="00644028" w:rsidRDefault="003F07F5" w:rsidP="00AD2E9D">
            <w:pPr>
              <w:ind w:left="510"/>
              <w:rPr>
                <w:rFonts w:ascii="Arial" w:hAnsi="Arial" w:cs="Arial"/>
                <w:color w:val="000000"/>
              </w:rPr>
            </w:pPr>
            <w:r w:rsidRPr="00644028">
              <w:rPr>
                <w:rFonts w:ascii="Arial" w:hAnsi="Arial" w:cs="Arial"/>
                <w:color w:val="000000"/>
              </w:rPr>
              <w:t>Left</w:t>
            </w:r>
          </w:p>
        </w:tc>
        <w:tc>
          <w:tcPr>
            <w:tcW w:w="987" w:type="pct"/>
            <w:noWrap/>
            <w:vAlign w:val="bottom"/>
            <w:hideMark/>
          </w:tcPr>
          <w:p w14:paraId="21D1B588" w14:textId="77777777" w:rsidR="003F07F5" w:rsidRPr="00644028" w:rsidRDefault="003F07F5" w:rsidP="00AD2E9D">
            <w:pPr>
              <w:jc w:val="center"/>
              <w:rPr>
                <w:rFonts w:ascii="Arial" w:hAnsi="Arial" w:cs="Arial"/>
                <w:color w:val="000000"/>
              </w:rPr>
            </w:pPr>
            <w:r w:rsidRPr="00644028">
              <w:rPr>
                <w:rFonts w:ascii="Arial" w:hAnsi="Arial" w:cs="Arial"/>
                <w:color w:val="000000"/>
              </w:rPr>
              <w:t>113</w:t>
            </w:r>
          </w:p>
        </w:tc>
        <w:tc>
          <w:tcPr>
            <w:tcW w:w="430" w:type="pct"/>
            <w:noWrap/>
            <w:vAlign w:val="bottom"/>
            <w:hideMark/>
          </w:tcPr>
          <w:p w14:paraId="052DF641" w14:textId="77777777" w:rsidR="003F07F5" w:rsidRPr="00644028" w:rsidRDefault="003F07F5" w:rsidP="00AD2E9D">
            <w:pPr>
              <w:jc w:val="center"/>
              <w:rPr>
                <w:rFonts w:ascii="Arial" w:hAnsi="Arial" w:cs="Arial"/>
                <w:color w:val="000000"/>
              </w:rPr>
            </w:pPr>
            <w:r w:rsidRPr="00644028">
              <w:rPr>
                <w:rFonts w:ascii="Arial" w:hAnsi="Arial" w:cs="Arial"/>
                <w:color w:val="000000"/>
              </w:rPr>
              <w:t>53.6</w:t>
            </w:r>
          </w:p>
        </w:tc>
      </w:tr>
      <w:tr w:rsidR="003F07F5" w:rsidRPr="00644028" w14:paraId="4009D6D0" w14:textId="77777777" w:rsidTr="003F07F5">
        <w:trPr>
          <w:trHeight w:val="300"/>
        </w:trPr>
        <w:tc>
          <w:tcPr>
            <w:tcW w:w="3583" w:type="pct"/>
            <w:noWrap/>
            <w:vAlign w:val="bottom"/>
            <w:hideMark/>
          </w:tcPr>
          <w:p w14:paraId="522A0616" w14:textId="77777777" w:rsidR="003F07F5" w:rsidRPr="00644028" w:rsidRDefault="003F07F5" w:rsidP="00AD2E9D">
            <w:pPr>
              <w:rPr>
                <w:rFonts w:ascii="Arial" w:hAnsi="Arial" w:cs="Arial"/>
                <w:b/>
                <w:bCs/>
                <w:color w:val="000000"/>
              </w:rPr>
            </w:pPr>
            <w:r w:rsidRPr="00644028">
              <w:rPr>
                <w:rFonts w:ascii="Arial" w:hAnsi="Arial" w:cs="Arial"/>
                <w:b/>
                <w:bCs/>
                <w:color w:val="000000"/>
              </w:rPr>
              <w:t>History of diabetes</w:t>
            </w:r>
          </w:p>
        </w:tc>
        <w:tc>
          <w:tcPr>
            <w:tcW w:w="987" w:type="pct"/>
            <w:noWrap/>
            <w:vAlign w:val="bottom"/>
            <w:hideMark/>
          </w:tcPr>
          <w:p w14:paraId="3138509C" w14:textId="77777777" w:rsidR="003F07F5" w:rsidRPr="00644028" w:rsidRDefault="003F07F5" w:rsidP="00AD2E9D">
            <w:pPr>
              <w:jc w:val="center"/>
              <w:rPr>
                <w:rFonts w:ascii="Arial" w:hAnsi="Arial" w:cs="Arial"/>
                <w:color w:val="000000"/>
              </w:rPr>
            </w:pPr>
          </w:p>
        </w:tc>
        <w:tc>
          <w:tcPr>
            <w:tcW w:w="430" w:type="pct"/>
            <w:noWrap/>
            <w:vAlign w:val="bottom"/>
            <w:hideMark/>
          </w:tcPr>
          <w:p w14:paraId="5879499C" w14:textId="77777777" w:rsidR="003F07F5" w:rsidRPr="00644028" w:rsidRDefault="003F07F5" w:rsidP="00AD2E9D">
            <w:pPr>
              <w:jc w:val="center"/>
              <w:rPr>
                <w:rFonts w:ascii="Arial" w:hAnsi="Arial" w:cs="Arial"/>
                <w:color w:val="000000"/>
              </w:rPr>
            </w:pPr>
          </w:p>
        </w:tc>
      </w:tr>
      <w:tr w:rsidR="003F07F5" w:rsidRPr="00644028" w14:paraId="5B9D0167" w14:textId="77777777" w:rsidTr="003F07F5">
        <w:trPr>
          <w:trHeight w:val="300"/>
        </w:trPr>
        <w:tc>
          <w:tcPr>
            <w:tcW w:w="3583" w:type="pct"/>
            <w:noWrap/>
            <w:vAlign w:val="bottom"/>
            <w:hideMark/>
          </w:tcPr>
          <w:p w14:paraId="5482CE0A" w14:textId="77777777" w:rsidR="003F07F5" w:rsidRPr="00644028" w:rsidRDefault="003F07F5" w:rsidP="00AD2E9D">
            <w:pPr>
              <w:ind w:left="510"/>
              <w:rPr>
                <w:rFonts w:ascii="Arial" w:hAnsi="Arial" w:cs="Arial"/>
                <w:color w:val="000000"/>
              </w:rPr>
            </w:pPr>
            <w:r w:rsidRPr="00644028">
              <w:rPr>
                <w:rFonts w:ascii="Arial" w:hAnsi="Arial" w:cs="Arial"/>
                <w:color w:val="000000"/>
              </w:rPr>
              <w:t>No</w:t>
            </w:r>
          </w:p>
        </w:tc>
        <w:tc>
          <w:tcPr>
            <w:tcW w:w="987" w:type="pct"/>
            <w:noWrap/>
            <w:vAlign w:val="bottom"/>
            <w:hideMark/>
          </w:tcPr>
          <w:p w14:paraId="392745BA" w14:textId="77777777" w:rsidR="003F07F5" w:rsidRPr="00644028" w:rsidRDefault="003F07F5" w:rsidP="00AD2E9D">
            <w:pPr>
              <w:jc w:val="center"/>
              <w:rPr>
                <w:rFonts w:ascii="Arial" w:hAnsi="Arial" w:cs="Arial"/>
                <w:color w:val="000000"/>
              </w:rPr>
            </w:pPr>
            <w:r w:rsidRPr="00644028">
              <w:rPr>
                <w:rFonts w:ascii="Arial" w:hAnsi="Arial" w:cs="Arial"/>
                <w:color w:val="000000"/>
              </w:rPr>
              <w:t>184</w:t>
            </w:r>
          </w:p>
        </w:tc>
        <w:tc>
          <w:tcPr>
            <w:tcW w:w="430" w:type="pct"/>
            <w:noWrap/>
            <w:vAlign w:val="bottom"/>
            <w:hideMark/>
          </w:tcPr>
          <w:p w14:paraId="32AAC038" w14:textId="77777777" w:rsidR="003F07F5" w:rsidRPr="00644028" w:rsidRDefault="003F07F5" w:rsidP="00AD2E9D">
            <w:pPr>
              <w:jc w:val="center"/>
              <w:rPr>
                <w:rFonts w:ascii="Arial" w:hAnsi="Arial" w:cs="Arial"/>
                <w:color w:val="000000"/>
              </w:rPr>
            </w:pPr>
            <w:r w:rsidRPr="00644028">
              <w:rPr>
                <w:rFonts w:ascii="Arial" w:hAnsi="Arial" w:cs="Arial"/>
                <w:color w:val="000000"/>
              </w:rPr>
              <w:t>87.2</w:t>
            </w:r>
          </w:p>
        </w:tc>
      </w:tr>
      <w:tr w:rsidR="003F07F5" w:rsidRPr="00644028" w14:paraId="7828E8EF" w14:textId="77777777" w:rsidTr="003F07F5">
        <w:trPr>
          <w:trHeight w:val="300"/>
        </w:trPr>
        <w:tc>
          <w:tcPr>
            <w:tcW w:w="3583" w:type="pct"/>
            <w:noWrap/>
            <w:vAlign w:val="bottom"/>
            <w:hideMark/>
          </w:tcPr>
          <w:p w14:paraId="314BBD30" w14:textId="77777777" w:rsidR="003F07F5" w:rsidRPr="00644028" w:rsidRDefault="003F07F5" w:rsidP="00AD2E9D">
            <w:pPr>
              <w:ind w:left="510"/>
              <w:rPr>
                <w:rFonts w:ascii="Arial" w:hAnsi="Arial" w:cs="Arial"/>
                <w:color w:val="000000"/>
              </w:rPr>
            </w:pPr>
            <w:r w:rsidRPr="00644028">
              <w:rPr>
                <w:rFonts w:ascii="Arial" w:hAnsi="Arial" w:cs="Arial"/>
                <w:color w:val="000000"/>
              </w:rPr>
              <w:t>Yes</w:t>
            </w:r>
          </w:p>
        </w:tc>
        <w:tc>
          <w:tcPr>
            <w:tcW w:w="987" w:type="pct"/>
            <w:noWrap/>
            <w:vAlign w:val="bottom"/>
            <w:hideMark/>
          </w:tcPr>
          <w:p w14:paraId="41A59C13" w14:textId="77777777" w:rsidR="003F07F5" w:rsidRPr="00644028" w:rsidRDefault="003F07F5" w:rsidP="00AD2E9D">
            <w:pPr>
              <w:jc w:val="center"/>
              <w:rPr>
                <w:rFonts w:ascii="Arial" w:hAnsi="Arial" w:cs="Arial"/>
                <w:color w:val="000000"/>
              </w:rPr>
            </w:pPr>
            <w:r w:rsidRPr="00644028">
              <w:rPr>
                <w:rFonts w:ascii="Arial" w:hAnsi="Arial" w:cs="Arial"/>
                <w:color w:val="000000"/>
              </w:rPr>
              <w:t>27</w:t>
            </w:r>
          </w:p>
        </w:tc>
        <w:tc>
          <w:tcPr>
            <w:tcW w:w="430" w:type="pct"/>
            <w:noWrap/>
            <w:vAlign w:val="bottom"/>
            <w:hideMark/>
          </w:tcPr>
          <w:p w14:paraId="0961633E" w14:textId="77777777" w:rsidR="003F07F5" w:rsidRPr="00644028" w:rsidRDefault="003F07F5" w:rsidP="00AD2E9D">
            <w:pPr>
              <w:jc w:val="center"/>
              <w:rPr>
                <w:rFonts w:ascii="Arial" w:hAnsi="Arial" w:cs="Arial"/>
                <w:color w:val="000000"/>
              </w:rPr>
            </w:pPr>
            <w:r w:rsidRPr="00644028">
              <w:rPr>
                <w:rFonts w:ascii="Arial" w:hAnsi="Arial" w:cs="Arial"/>
                <w:color w:val="000000"/>
              </w:rPr>
              <w:t>12.8</w:t>
            </w:r>
          </w:p>
        </w:tc>
      </w:tr>
      <w:tr w:rsidR="003F07F5" w:rsidRPr="00644028" w14:paraId="17764B2F" w14:textId="77777777" w:rsidTr="003F07F5">
        <w:trPr>
          <w:trHeight w:val="300"/>
        </w:trPr>
        <w:tc>
          <w:tcPr>
            <w:tcW w:w="3583" w:type="pct"/>
            <w:noWrap/>
            <w:vAlign w:val="bottom"/>
            <w:hideMark/>
          </w:tcPr>
          <w:p w14:paraId="547D077E" w14:textId="77777777" w:rsidR="003F07F5" w:rsidRPr="00644028" w:rsidRDefault="003F07F5" w:rsidP="00AD2E9D">
            <w:pPr>
              <w:rPr>
                <w:rFonts w:ascii="Arial" w:hAnsi="Arial" w:cs="Arial"/>
                <w:b/>
                <w:bCs/>
                <w:color w:val="000000"/>
              </w:rPr>
            </w:pPr>
            <w:r w:rsidRPr="00644028">
              <w:rPr>
                <w:rFonts w:ascii="Arial" w:hAnsi="Arial" w:cs="Arial"/>
                <w:b/>
                <w:bCs/>
                <w:color w:val="000000"/>
              </w:rPr>
              <w:t>PITC serology status</w:t>
            </w:r>
          </w:p>
        </w:tc>
        <w:tc>
          <w:tcPr>
            <w:tcW w:w="987" w:type="pct"/>
            <w:noWrap/>
            <w:vAlign w:val="bottom"/>
            <w:hideMark/>
          </w:tcPr>
          <w:p w14:paraId="5B95518D" w14:textId="77777777" w:rsidR="003F07F5" w:rsidRPr="00644028" w:rsidRDefault="003F07F5" w:rsidP="00AD2E9D">
            <w:pPr>
              <w:jc w:val="center"/>
              <w:rPr>
                <w:rFonts w:ascii="Arial" w:hAnsi="Arial" w:cs="Arial"/>
                <w:color w:val="000000"/>
              </w:rPr>
            </w:pPr>
          </w:p>
        </w:tc>
        <w:tc>
          <w:tcPr>
            <w:tcW w:w="430" w:type="pct"/>
            <w:noWrap/>
            <w:vAlign w:val="bottom"/>
            <w:hideMark/>
          </w:tcPr>
          <w:p w14:paraId="0A6673D4" w14:textId="77777777" w:rsidR="003F07F5" w:rsidRPr="00644028" w:rsidRDefault="003F07F5" w:rsidP="00AD2E9D">
            <w:pPr>
              <w:jc w:val="center"/>
              <w:rPr>
                <w:rFonts w:ascii="Arial" w:hAnsi="Arial" w:cs="Arial"/>
                <w:color w:val="000000"/>
              </w:rPr>
            </w:pPr>
          </w:p>
        </w:tc>
      </w:tr>
      <w:tr w:rsidR="003F07F5" w:rsidRPr="00644028" w14:paraId="642D1420" w14:textId="77777777" w:rsidTr="003F07F5">
        <w:trPr>
          <w:trHeight w:val="300"/>
        </w:trPr>
        <w:tc>
          <w:tcPr>
            <w:tcW w:w="3583" w:type="pct"/>
            <w:noWrap/>
            <w:vAlign w:val="bottom"/>
            <w:hideMark/>
          </w:tcPr>
          <w:p w14:paraId="302F0246" w14:textId="77777777" w:rsidR="003F07F5" w:rsidRPr="00644028" w:rsidRDefault="003F07F5" w:rsidP="00AD2E9D">
            <w:pPr>
              <w:ind w:left="510"/>
              <w:rPr>
                <w:rFonts w:ascii="Arial" w:hAnsi="Arial" w:cs="Arial"/>
                <w:color w:val="000000"/>
              </w:rPr>
            </w:pPr>
            <w:r w:rsidRPr="00644028">
              <w:rPr>
                <w:rFonts w:ascii="Arial" w:hAnsi="Arial" w:cs="Arial"/>
                <w:color w:val="000000"/>
              </w:rPr>
              <w:t>Negative</w:t>
            </w:r>
          </w:p>
        </w:tc>
        <w:tc>
          <w:tcPr>
            <w:tcW w:w="987" w:type="pct"/>
            <w:noWrap/>
            <w:vAlign w:val="bottom"/>
            <w:hideMark/>
          </w:tcPr>
          <w:p w14:paraId="1676F3C0" w14:textId="77777777" w:rsidR="003F07F5" w:rsidRPr="00644028" w:rsidRDefault="003F07F5" w:rsidP="00AD2E9D">
            <w:pPr>
              <w:jc w:val="center"/>
              <w:rPr>
                <w:rFonts w:ascii="Arial" w:hAnsi="Arial" w:cs="Arial"/>
                <w:color w:val="000000"/>
              </w:rPr>
            </w:pPr>
            <w:r w:rsidRPr="00644028">
              <w:rPr>
                <w:rFonts w:ascii="Arial" w:hAnsi="Arial" w:cs="Arial"/>
                <w:color w:val="000000"/>
              </w:rPr>
              <w:t>74</w:t>
            </w:r>
          </w:p>
        </w:tc>
        <w:tc>
          <w:tcPr>
            <w:tcW w:w="430" w:type="pct"/>
            <w:noWrap/>
            <w:vAlign w:val="bottom"/>
            <w:hideMark/>
          </w:tcPr>
          <w:p w14:paraId="6C71C8B1" w14:textId="77777777" w:rsidR="003F07F5" w:rsidRPr="00644028" w:rsidRDefault="003F07F5" w:rsidP="00AD2E9D">
            <w:pPr>
              <w:jc w:val="center"/>
              <w:rPr>
                <w:rFonts w:ascii="Arial" w:hAnsi="Arial" w:cs="Arial"/>
                <w:color w:val="000000"/>
              </w:rPr>
            </w:pPr>
            <w:r w:rsidRPr="00644028">
              <w:rPr>
                <w:rFonts w:ascii="Arial" w:hAnsi="Arial" w:cs="Arial"/>
                <w:color w:val="000000"/>
              </w:rPr>
              <w:t>35.1</w:t>
            </w:r>
          </w:p>
        </w:tc>
      </w:tr>
      <w:tr w:rsidR="003F07F5" w:rsidRPr="00644028" w14:paraId="25B15B68" w14:textId="77777777" w:rsidTr="003F07F5">
        <w:trPr>
          <w:trHeight w:val="300"/>
        </w:trPr>
        <w:tc>
          <w:tcPr>
            <w:tcW w:w="3583" w:type="pct"/>
            <w:noWrap/>
            <w:vAlign w:val="bottom"/>
            <w:hideMark/>
          </w:tcPr>
          <w:p w14:paraId="306A0A22" w14:textId="77777777" w:rsidR="003F07F5" w:rsidRPr="00644028" w:rsidRDefault="003F07F5" w:rsidP="00AD2E9D">
            <w:pPr>
              <w:ind w:left="510"/>
              <w:rPr>
                <w:rFonts w:ascii="Arial" w:hAnsi="Arial" w:cs="Arial"/>
                <w:color w:val="000000"/>
              </w:rPr>
            </w:pPr>
            <w:r w:rsidRPr="00644028">
              <w:rPr>
                <w:rFonts w:ascii="Arial" w:hAnsi="Arial" w:cs="Arial"/>
                <w:color w:val="000000"/>
              </w:rPr>
              <w:t>Positive</w:t>
            </w:r>
          </w:p>
        </w:tc>
        <w:tc>
          <w:tcPr>
            <w:tcW w:w="987" w:type="pct"/>
            <w:noWrap/>
            <w:vAlign w:val="bottom"/>
            <w:hideMark/>
          </w:tcPr>
          <w:p w14:paraId="6F139384" w14:textId="77777777" w:rsidR="003F07F5" w:rsidRPr="00644028" w:rsidRDefault="003F07F5" w:rsidP="00AD2E9D">
            <w:pPr>
              <w:jc w:val="center"/>
              <w:rPr>
                <w:rFonts w:ascii="Arial" w:hAnsi="Arial" w:cs="Arial"/>
                <w:color w:val="000000"/>
              </w:rPr>
            </w:pPr>
            <w:r w:rsidRPr="00644028">
              <w:rPr>
                <w:rFonts w:ascii="Arial" w:hAnsi="Arial" w:cs="Arial"/>
                <w:color w:val="000000"/>
              </w:rPr>
              <w:t>3</w:t>
            </w:r>
          </w:p>
        </w:tc>
        <w:tc>
          <w:tcPr>
            <w:tcW w:w="430" w:type="pct"/>
            <w:noWrap/>
            <w:vAlign w:val="bottom"/>
            <w:hideMark/>
          </w:tcPr>
          <w:p w14:paraId="5D0F0EA3" w14:textId="77777777" w:rsidR="003F07F5" w:rsidRPr="00644028" w:rsidRDefault="003F07F5" w:rsidP="00AD2E9D">
            <w:pPr>
              <w:jc w:val="center"/>
              <w:rPr>
                <w:rFonts w:ascii="Arial" w:hAnsi="Arial" w:cs="Arial"/>
                <w:color w:val="000000"/>
              </w:rPr>
            </w:pPr>
            <w:r w:rsidRPr="00644028">
              <w:rPr>
                <w:rFonts w:ascii="Arial" w:hAnsi="Arial" w:cs="Arial"/>
                <w:color w:val="000000"/>
              </w:rPr>
              <w:t>1.4</w:t>
            </w:r>
          </w:p>
        </w:tc>
      </w:tr>
      <w:tr w:rsidR="003F07F5" w:rsidRPr="00644028" w14:paraId="297F6703" w14:textId="77777777" w:rsidTr="003F07F5">
        <w:trPr>
          <w:trHeight w:val="300"/>
        </w:trPr>
        <w:tc>
          <w:tcPr>
            <w:tcW w:w="3583" w:type="pct"/>
            <w:noWrap/>
            <w:vAlign w:val="bottom"/>
            <w:hideMark/>
          </w:tcPr>
          <w:p w14:paraId="200C769B" w14:textId="77777777" w:rsidR="003F07F5" w:rsidRPr="00644028" w:rsidRDefault="003F07F5" w:rsidP="00AD2E9D">
            <w:pPr>
              <w:ind w:left="510"/>
              <w:rPr>
                <w:rFonts w:ascii="Arial" w:hAnsi="Arial" w:cs="Arial"/>
                <w:color w:val="000000"/>
              </w:rPr>
            </w:pPr>
            <w:r w:rsidRPr="00644028">
              <w:rPr>
                <w:rFonts w:ascii="Arial" w:hAnsi="Arial" w:cs="Arial"/>
                <w:color w:val="000000"/>
              </w:rPr>
              <w:t>Unknown</w:t>
            </w:r>
          </w:p>
        </w:tc>
        <w:tc>
          <w:tcPr>
            <w:tcW w:w="987" w:type="pct"/>
            <w:noWrap/>
            <w:vAlign w:val="bottom"/>
            <w:hideMark/>
          </w:tcPr>
          <w:p w14:paraId="192ED946" w14:textId="77777777" w:rsidR="003F07F5" w:rsidRPr="00644028" w:rsidRDefault="003F07F5" w:rsidP="00AD2E9D">
            <w:pPr>
              <w:jc w:val="center"/>
              <w:rPr>
                <w:rFonts w:ascii="Arial" w:hAnsi="Arial" w:cs="Arial"/>
                <w:color w:val="000000"/>
              </w:rPr>
            </w:pPr>
            <w:r w:rsidRPr="00644028">
              <w:rPr>
                <w:rFonts w:ascii="Arial" w:hAnsi="Arial" w:cs="Arial"/>
                <w:color w:val="000000"/>
              </w:rPr>
              <w:t>134</w:t>
            </w:r>
          </w:p>
        </w:tc>
        <w:tc>
          <w:tcPr>
            <w:tcW w:w="430" w:type="pct"/>
            <w:noWrap/>
            <w:vAlign w:val="bottom"/>
            <w:hideMark/>
          </w:tcPr>
          <w:p w14:paraId="3552186A" w14:textId="77777777" w:rsidR="003F07F5" w:rsidRPr="00644028" w:rsidRDefault="003F07F5" w:rsidP="00AD2E9D">
            <w:pPr>
              <w:jc w:val="center"/>
              <w:rPr>
                <w:rFonts w:ascii="Arial" w:hAnsi="Arial" w:cs="Arial"/>
                <w:color w:val="000000"/>
              </w:rPr>
            </w:pPr>
            <w:r w:rsidRPr="00644028">
              <w:rPr>
                <w:rFonts w:ascii="Arial" w:hAnsi="Arial" w:cs="Arial"/>
                <w:color w:val="000000"/>
              </w:rPr>
              <w:t>63.5</w:t>
            </w:r>
          </w:p>
        </w:tc>
      </w:tr>
      <w:tr w:rsidR="003F07F5" w:rsidRPr="00644028" w14:paraId="3CFC5AAD" w14:textId="77777777" w:rsidTr="003F07F5">
        <w:trPr>
          <w:trHeight w:val="300"/>
        </w:trPr>
        <w:tc>
          <w:tcPr>
            <w:tcW w:w="3583" w:type="pct"/>
            <w:noWrap/>
            <w:vAlign w:val="bottom"/>
            <w:hideMark/>
          </w:tcPr>
          <w:p w14:paraId="179FA307" w14:textId="77777777" w:rsidR="003F07F5" w:rsidRPr="00644028" w:rsidRDefault="003F07F5" w:rsidP="00AD2E9D">
            <w:pPr>
              <w:rPr>
                <w:rFonts w:ascii="Arial" w:hAnsi="Arial" w:cs="Arial"/>
                <w:b/>
                <w:bCs/>
                <w:color w:val="000000"/>
              </w:rPr>
            </w:pPr>
            <w:r w:rsidRPr="00644028">
              <w:rPr>
                <w:rFonts w:ascii="Arial" w:hAnsi="Arial" w:cs="Arial"/>
                <w:b/>
                <w:bCs/>
                <w:color w:val="000000"/>
              </w:rPr>
              <w:t xml:space="preserve">Length of symptoms </w:t>
            </w:r>
          </w:p>
        </w:tc>
        <w:tc>
          <w:tcPr>
            <w:tcW w:w="987" w:type="pct"/>
            <w:noWrap/>
            <w:vAlign w:val="bottom"/>
            <w:hideMark/>
          </w:tcPr>
          <w:p w14:paraId="623DFB37" w14:textId="77777777" w:rsidR="003F07F5" w:rsidRPr="00644028" w:rsidRDefault="003F07F5" w:rsidP="00AD2E9D">
            <w:pPr>
              <w:jc w:val="center"/>
              <w:rPr>
                <w:rFonts w:ascii="Arial" w:hAnsi="Arial" w:cs="Arial"/>
                <w:color w:val="000000"/>
              </w:rPr>
            </w:pPr>
          </w:p>
        </w:tc>
        <w:tc>
          <w:tcPr>
            <w:tcW w:w="430" w:type="pct"/>
            <w:noWrap/>
            <w:vAlign w:val="bottom"/>
            <w:hideMark/>
          </w:tcPr>
          <w:p w14:paraId="7EDB453E" w14:textId="77777777" w:rsidR="003F07F5" w:rsidRPr="00644028" w:rsidRDefault="003F07F5" w:rsidP="00AD2E9D">
            <w:pPr>
              <w:jc w:val="center"/>
              <w:rPr>
                <w:rFonts w:ascii="Arial" w:hAnsi="Arial" w:cs="Arial"/>
                <w:color w:val="000000"/>
              </w:rPr>
            </w:pPr>
          </w:p>
        </w:tc>
      </w:tr>
      <w:tr w:rsidR="003F07F5" w:rsidRPr="00644028" w14:paraId="5E039096" w14:textId="77777777" w:rsidTr="003F07F5">
        <w:trPr>
          <w:trHeight w:val="300"/>
        </w:trPr>
        <w:tc>
          <w:tcPr>
            <w:tcW w:w="3583" w:type="pct"/>
            <w:noWrap/>
            <w:vAlign w:val="bottom"/>
            <w:hideMark/>
          </w:tcPr>
          <w:p w14:paraId="382F8221" w14:textId="77777777" w:rsidR="003F07F5" w:rsidRPr="00644028" w:rsidRDefault="003F07F5" w:rsidP="00AD2E9D">
            <w:pPr>
              <w:ind w:left="510"/>
              <w:rPr>
                <w:rFonts w:ascii="Arial" w:hAnsi="Arial" w:cs="Arial"/>
                <w:color w:val="000000"/>
              </w:rPr>
            </w:pPr>
            <w:r w:rsidRPr="00644028">
              <w:rPr>
                <w:rFonts w:ascii="Arial" w:hAnsi="Arial" w:cs="Arial"/>
                <w:color w:val="000000"/>
              </w:rPr>
              <w:t>≤14</w:t>
            </w:r>
          </w:p>
        </w:tc>
        <w:tc>
          <w:tcPr>
            <w:tcW w:w="987" w:type="pct"/>
            <w:noWrap/>
            <w:vAlign w:val="bottom"/>
            <w:hideMark/>
          </w:tcPr>
          <w:p w14:paraId="119FF951" w14:textId="77777777" w:rsidR="003F07F5" w:rsidRPr="00644028" w:rsidRDefault="003F07F5" w:rsidP="00AD2E9D">
            <w:pPr>
              <w:jc w:val="center"/>
              <w:rPr>
                <w:rFonts w:ascii="Arial" w:hAnsi="Arial" w:cs="Arial"/>
                <w:color w:val="000000"/>
              </w:rPr>
            </w:pPr>
            <w:r w:rsidRPr="00644028">
              <w:rPr>
                <w:rFonts w:ascii="Arial" w:hAnsi="Arial" w:cs="Arial"/>
                <w:color w:val="000000"/>
              </w:rPr>
              <w:t>139</w:t>
            </w:r>
          </w:p>
        </w:tc>
        <w:tc>
          <w:tcPr>
            <w:tcW w:w="430" w:type="pct"/>
            <w:noWrap/>
            <w:vAlign w:val="bottom"/>
            <w:hideMark/>
          </w:tcPr>
          <w:p w14:paraId="412C5D49" w14:textId="77777777" w:rsidR="003F07F5" w:rsidRPr="00644028" w:rsidRDefault="003F07F5" w:rsidP="00AD2E9D">
            <w:pPr>
              <w:jc w:val="center"/>
              <w:rPr>
                <w:rFonts w:ascii="Arial" w:hAnsi="Arial" w:cs="Arial"/>
                <w:color w:val="000000"/>
              </w:rPr>
            </w:pPr>
            <w:r w:rsidRPr="00644028">
              <w:rPr>
                <w:rFonts w:ascii="Arial" w:hAnsi="Arial" w:cs="Arial"/>
                <w:color w:val="000000"/>
              </w:rPr>
              <w:t>65.9</w:t>
            </w:r>
          </w:p>
        </w:tc>
      </w:tr>
      <w:tr w:rsidR="003F07F5" w:rsidRPr="00644028" w14:paraId="15CA8028" w14:textId="77777777" w:rsidTr="003F07F5">
        <w:trPr>
          <w:trHeight w:val="300"/>
        </w:trPr>
        <w:tc>
          <w:tcPr>
            <w:tcW w:w="3583" w:type="pct"/>
            <w:noWrap/>
            <w:vAlign w:val="bottom"/>
            <w:hideMark/>
          </w:tcPr>
          <w:p w14:paraId="49CEA6E1" w14:textId="77777777" w:rsidR="003F07F5" w:rsidRPr="00644028" w:rsidRDefault="003F07F5" w:rsidP="00AD2E9D">
            <w:pPr>
              <w:ind w:left="510"/>
              <w:rPr>
                <w:rFonts w:ascii="Arial" w:hAnsi="Arial" w:cs="Arial"/>
                <w:color w:val="000000"/>
              </w:rPr>
            </w:pPr>
            <w:r w:rsidRPr="00644028">
              <w:rPr>
                <w:rFonts w:ascii="Arial" w:hAnsi="Arial" w:cs="Arial"/>
                <w:color w:val="000000"/>
              </w:rPr>
              <w:t>&gt;14</w:t>
            </w:r>
          </w:p>
        </w:tc>
        <w:tc>
          <w:tcPr>
            <w:tcW w:w="987" w:type="pct"/>
            <w:noWrap/>
            <w:vAlign w:val="bottom"/>
            <w:hideMark/>
          </w:tcPr>
          <w:p w14:paraId="17E4DE28" w14:textId="77777777" w:rsidR="003F07F5" w:rsidRPr="00644028" w:rsidRDefault="003F07F5" w:rsidP="00AD2E9D">
            <w:pPr>
              <w:jc w:val="center"/>
              <w:rPr>
                <w:rFonts w:ascii="Arial" w:hAnsi="Arial" w:cs="Arial"/>
                <w:color w:val="000000"/>
              </w:rPr>
            </w:pPr>
            <w:r w:rsidRPr="00644028">
              <w:rPr>
                <w:rFonts w:ascii="Arial" w:hAnsi="Arial" w:cs="Arial"/>
                <w:color w:val="000000"/>
              </w:rPr>
              <w:t>72</w:t>
            </w:r>
          </w:p>
        </w:tc>
        <w:tc>
          <w:tcPr>
            <w:tcW w:w="430" w:type="pct"/>
            <w:noWrap/>
            <w:vAlign w:val="bottom"/>
            <w:hideMark/>
          </w:tcPr>
          <w:p w14:paraId="422B64E5" w14:textId="77777777" w:rsidR="003F07F5" w:rsidRPr="00644028" w:rsidRDefault="003F07F5" w:rsidP="00AD2E9D">
            <w:pPr>
              <w:jc w:val="center"/>
              <w:rPr>
                <w:rFonts w:ascii="Arial" w:hAnsi="Arial" w:cs="Arial"/>
                <w:color w:val="000000"/>
              </w:rPr>
            </w:pPr>
            <w:r w:rsidRPr="00644028">
              <w:rPr>
                <w:rFonts w:ascii="Arial" w:hAnsi="Arial" w:cs="Arial"/>
                <w:color w:val="000000"/>
              </w:rPr>
              <w:t>34.1</w:t>
            </w:r>
          </w:p>
        </w:tc>
      </w:tr>
      <w:tr w:rsidR="003F07F5" w:rsidRPr="00644028" w14:paraId="5C8B5B02" w14:textId="77777777" w:rsidTr="003F07F5">
        <w:trPr>
          <w:trHeight w:val="300"/>
        </w:trPr>
        <w:tc>
          <w:tcPr>
            <w:tcW w:w="3583" w:type="pct"/>
            <w:noWrap/>
            <w:vAlign w:val="bottom"/>
          </w:tcPr>
          <w:p w14:paraId="14A345A4" w14:textId="77777777" w:rsidR="003F07F5" w:rsidRPr="00644028" w:rsidRDefault="003F07F5" w:rsidP="00AD2E9D">
            <w:pPr>
              <w:rPr>
                <w:rFonts w:ascii="Arial" w:eastAsia="Calibri" w:hAnsi="Arial" w:cs="Arial"/>
                <w:b/>
                <w:bCs/>
                <w:kern w:val="2"/>
                <w14:ligatures w14:val="standardContextual"/>
              </w:rPr>
            </w:pPr>
            <w:r w:rsidRPr="00644028">
              <w:rPr>
                <w:rFonts w:ascii="Arial" w:hAnsi="Arial" w:cs="Arial"/>
                <w:b/>
                <w:bCs/>
                <w:color w:val="000000"/>
              </w:rPr>
              <w:t>Presenting</w:t>
            </w:r>
            <w:r w:rsidRPr="00644028">
              <w:rPr>
                <w:rFonts w:ascii="Arial" w:eastAsia="Calibri" w:hAnsi="Arial" w:cs="Arial"/>
                <w:b/>
                <w:bCs/>
                <w:kern w:val="2"/>
                <w14:ligatures w14:val="standardContextual"/>
              </w:rPr>
              <w:t xml:space="preserve"> VA (In log mar) </w:t>
            </w:r>
          </w:p>
          <w:p w14:paraId="56B36684" w14:textId="77777777" w:rsidR="003F07F5" w:rsidRPr="00644028" w:rsidRDefault="003F07F5" w:rsidP="00AD2E9D">
            <w:pPr>
              <w:ind w:left="510"/>
              <w:rPr>
                <w:rFonts w:ascii="Arial" w:hAnsi="Arial" w:cs="Arial"/>
                <w:i/>
                <w:iCs/>
                <w:color w:val="000000"/>
              </w:rPr>
            </w:pPr>
            <w:r w:rsidRPr="00644028">
              <w:rPr>
                <w:rFonts w:ascii="Arial" w:eastAsia="Calibri" w:hAnsi="Arial" w:cs="Arial"/>
                <w:kern w:val="2"/>
                <w14:ligatures w14:val="standardContextual"/>
              </w:rPr>
              <w:t>Affected eye</w:t>
            </w:r>
            <w:r w:rsidRPr="00644028">
              <w:rPr>
                <w:rFonts w:ascii="Arial" w:eastAsia="Calibri" w:hAnsi="Arial" w:cs="Arial"/>
                <w:i/>
                <w:iCs/>
                <w:kern w:val="2"/>
                <w14:ligatures w14:val="standardContextual"/>
              </w:rPr>
              <w:t xml:space="preserve"> Mean (SD)</w:t>
            </w:r>
          </w:p>
        </w:tc>
        <w:tc>
          <w:tcPr>
            <w:tcW w:w="987" w:type="pct"/>
            <w:noWrap/>
            <w:vAlign w:val="bottom"/>
          </w:tcPr>
          <w:p w14:paraId="3B70A9CC" w14:textId="77777777" w:rsidR="003F07F5" w:rsidRPr="00644028" w:rsidRDefault="003F07F5" w:rsidP="00AD2E9D">
            <w:pPr>
              <w:jc w:val="center"/>
              <w:rPr>
                <w:rFonts w:ascii="Arial" w:hAnsi="Arial" w:cs="Arial"/>
                <w:i/>
                <w:iCs/>
                <w:color w:val="000000"/>
              </w:rPr>
            </w:pPr>
            <w:r w:rsidRPr="00644028">
              <w:rPr>
                <w:rFonts w:ascii="Arial" w:eastAsia="Calibri" w:hAnsi="Arial" w:cs="Arial"/>
                <w:i/>
                <w:iCs/>
                <w:kern w:val="2"/>
                <w14:ligatures w14:val="standardContextual"/>
              </w:rPr>
              <w:t>3.69(±1.04)</w:t>
            </w:r>
          </w:p>
        </w:tc>
        <w:tc>
          <w:tcPr>
            <w:tcW w:w="430" w:type="pct"/>
            <w:noWrap/>
            <w:vAlign w:val="bottom"/>
          </w:tcPr>
          <w:p w14:paraId="6C2EDAC3" w14:textId="77777777" w:rsidR="003F07F5" w:rsidRPr="00644028" w:rsidRDefault="003F07F5" w:rsidP="00AD2E9D">
            <w:pPr>
              <w:jc w:val="center"/>
              <w:rPr>
                <w:rFonts w:ascii="Arial" w:hAnsi="Arial" w:cs="Arial"/>
                <w:color w:val="000000"/>
              </w:rPr>
            </w:pPr>
          </w:p>
        </w:tc>
      </w:tr>
      <w:tr w:rsidR="003F07F5" w:rsidRPr="00644028" w14:paraId="2DF066EB" w14:textId="77777777" w:rsidTr="003F07F5">
        <w:trPr>
          <w:trHeight w:val="300"/>
        </w:trPr>
        <w:tc>
          <w:tcPr>
            <w:tcW w:w="3583" w:type="pct"/>
            <w:noWrap/>
          </w:tcPr>
          <w:p w14:paraId="692F326B" w14:textId="77777777" w:rsidR="003F07F5" w:rsidRPr="00644028" w:rsidRDefault="003F07F5" w:rsidP="00AD2E9D">
            <w:pPr>
              <w:rPr>
                <w:rFonts w:ascii="Arial" w:hAnsi="Arial" w:cs="Arial"/>
                <w:color w:val="000000"/>
              </w:rPr>
            </w:pPr>
            <w:r w:rsidRPr="00644028">
              <w:rPr>
                <w:rFonts w:ascii="Arial" w:eastAsia="Calibri" w:hAnsi="Arial" w:cs="Arial"/>
                <w:kern w:val="2"/>
                <w14:ligatures w14:val="standardContextual"/>
              </w:rPr>
              <w:t xml:space="preserve">         Non-Affected eye</w:t>
            </w:r>
            <w:r w:rsidRPr="00644028">
              <w:rPr>
                <w:rFonts w:ascii="Arial" w:eastAsia="Calibri" w:hAnsi="Arial" w:cs="Arial"/>
                <w:i/>
                <w:iCs/>
                <w:kern w:val="2"/>
                <w14:ligatures w14:val="standardContextual"/>
              </w:rPr>
              <w:t xml:space="preserve"> Mean (SD)</w:t>
            </w:r>
          </w:p>
        </w:tc>
        <w:tc>
          <w:tcPr>
            <w:tcW w:w="987" w:type="pct"/>
            <w:noWrap/>
            <w:vAlign w:val="bottom"/>
          </w:tcPr>
          <w:p w14:paraId="52AE12C7" w14:textId="77777777" w:rsidR="003F07F5" w:rsidRPr="00644028" w:rsidRDefault="003F07F5" w:rsidP="00AD2E9D">
            <w:pPr>
              <w:jc w:val="center"/>
              <w:rPr>
                <w:rFonts w:ascii="Arial" w:hAnsi="Arial" w:cs="Arial"/>
                <w:color w:val="000000"/>
              </w:rPr>
            </w:pPr>
            <w:r w:rsidRPr="00644028">
              <w:rPr>
                <w:rFonts w:ascii="Arial" w:eastAsia="Calibri" w:hAnsi="Arial" w:cs="Arial"/>
                <w:kern w:val="2"/>
                <w14:ligatures w14:val="standardContextual"/>
              </w:rPr>
              <w:t>0.37(±0.74)</w:t>
            </w:r>
          </w:p>
        </w:tc>
        <w:tc>
          <w:tcPr>
            <w:tcW w:w="430" w:type="pct"/>
            <w:noWrap/>
            <w:vAlign w:val="bottom"/>
          </w:tcPr>
          <w:p w14:paraId="7B13494F" w14:textId="77777777" w:rsidR="003F07F5" w:rsidRPr="00644028" w:rsidRDefault="003F07F5" w:rsidP="00AD2E9D">
            <w:pPr>
              <w:jc w:val="center"/>
              <w:rPr>
                <w:rFonts w:ascii="Arial" w:hAnsi="Arial" w:cs="Arial"/>
                <w:color w:val="000000"/>
              </w:rPr>
            </w:pPr>
          </w:p>
        </w:tc>
      </w:tr>
      <w:tr w:rsidR="003F07F5" w:rsidRPr="00644028" w14:paraId="43E352AD" w14:textId="77777777" w:rsidTr="003F07F5">
        <w:trPr>
          <w:trHeight w:val="300"/>
        </w:trPr>
        <w:tc>
          <w:tcPr>
            <w:tcW w:w="3583" w:type="pct"/>
            <w:noWrap/>
            <w:vAlign w:val="bottom"/>
          </w:tcPr>
          <w:p w14:paraId="7AA90BBA" w14:textId="77777777" w:rsidR="003F07F5" w:rsidRPr="00644028" w:rsidRDefault="003F07F5" w:rsidP="00AD2E9D">
            <w:pPr>
              <w:rPr>
                <w:rFonts w:ascii="Arial" w:hAnsi="Arial" w:cs="Arial"/>
                <w:b/>
                <w:bCs/>
                <w:color w:val="000000"/>
              </w:rPr>
            </w:pPr>
            <w:r w:rsidRPr="00644028">
              <w:rPr>
                <w:rFonts w:ascii="Arial" w:hAnsi="Arial" w:cs="Arial"/>
                <w:b/>
                <w:bCs/>
                <w:color w:val="000000"/>
              </w:rPr>
              <w:t xml:space="preserve">Presenting IOP </w:t>
            </w:r>
          </w:p>
        </w:tc>
        <w:tc>
          <w:tcPr>
            <w:tcW w:w="987" w:type="pct"/>
            <w:noWrap/>
            <w:vAlign w:val="bottom"/>
          </w:tcPr>
          <w:p w14:paraId="4233CDEA" w14:textId="77777777" w:rsidR="003F07F5" w:rsidRPr="00644028" w:rsidRDefault="003F07F5" w:rsidP="00AD2E9D">
            <w:pPr>
              <w:jc w:val="center"/>
              <w:rPr>
                <w:rFonts w:ascii="Arial" w:hAnsi="Arial" w:cs="Arial"/>
                <w:color w:val="000000"/>
              </w:rPr>
            </w:pPr>
          </w:p>
        </w:tc>
        <w:tc>
          <w:tcPr>
            <w:tcW w:w="430" w:type="pct"/>
            <w:noWrap/>
            <w:vAlign w:val="bottom"/>
          </w:tcPr>
          <w:p w14:paraId="586F60D9" w14:textId="77777777" w:rsidR="003F07F5" w:rsidRPr="00644028" w:rsidRDefault="003F07F5" w:rsidP="00AD2E9D">
            <w:pPr>
              <w:jc w:val="center"/>
              <w:rPr>
                <w:rFonts w:ascii="Arial" w:hAnsi="Arial" w:cs="Arial"/>
                <w:color w:val="000000"/>
              </w:rPr>
            </w:pPr>
          </w:p>
        </w:tc>
      </w:tr>
      <w:tr w:rsidR="003F07F5" w:rsidRPr="00644028" w14:paraId="305263A3" w14:textId="77777777" w:rsidTr="003F07F5">
        <w:trPr>
          <w:trHeight w:val="300"/>
        </w:trPr>
        <w:tc>
          <w:tcPr>
            <w:tcW w:w="3583" w:type="pct"/>
            <w:noWrap/>
            <w:vAlign w:val="bottom"/>
          </w:tcPr>
          <w:p w14:paraId="02E79BA1" w14:textId="77777777" w:rsidR="003F07F5" w:rsidRPr="00644028" w:rsidRDefault="003F07F5" w:rsidP="00AD2E9D">
            <w:pPr>
              <w:ind w:left="510"/>
              <w:rPr>
                <w:rFonts w:ascii="Arial" w:hAnsi="Arial" w:cs="Arial"/>
                <w:i/>
                <w:iCs/>
                <w:color w:val="000000"/>
              </w:rPr>
            </w:pPr>
            <w:r w:rsidRPr="00644028">
              <w:rPr>
                <w:rFonts w:ascii="Arial" w:hAnsi="Arial" w:cs="Arial"/>
                <w:color w:val="000000"/>
              </w:rPr>
              <w:t>Affected eye</w:t>
            </w:r>
            <w:r w:rsidRPr="00644028">
              <w:rPr>
                <w:rFonts w:ascii="Arial" w:hAnsi="Arial" w:cs="Arial"/>
                <w:i/>
                <w:iCs/>
                <w:color w:val="000000"/>
              </w:rPr>
              <w:t xml:space="preserve"> Median (IQR)</w:t>
            </w:r>
          </w:p>
        </w:tc>
        <w:tc>
          <w:tcPr>
            <w:tcW w:w="987" w:type="pct"/>
            <w:noWrap/>
            <w:vAlign w:val="bottom"/>
          </w:tcPr>
          <w:p w14:paraId="0A4A2EBB" w14:textId="77777777" w:rsidR="003F07F5" w:rsidRPr="00644028" w:rsidRDefault="003F07F5" w:rsidP="00AD2E9D">
            <w:pPr>
              <w:jc w:val="center"/>
              <w:rPr>
                <w:rFonts w:ascii="Arial" w:hAnsi="Arial" w:cs="Arial"/>
                <w:color w:val="000000"/>
              </w:rPr>
            </w:pPr>
            <w:r w:rsidRPr="00644028">
              <w:rPr>
                <w:rFonts w:ascii="Arial" w:hAnsi="Arial" w:cs="Arial"/>
                <w:color w:val="000000"/>
              </w:rPr>
              <w:t>8(5-12)</w:t>
            </w:r>
          </w:p>
        </w:tc>
        <w:tc>
          <w:tcPr>
            <w:tcW w:w="430" w:type="pct"/>
            <w:noWrap/>
            <w:vAlign w:val="bottom"/>
          </w:tcPr>
          <w:p w14:paraId="5AEF7B19" w14:textId="77777777" w:rsidR="003F07F5" w:rsidRPr="00644028" w:rsidRDefault="003F07F5" w:rsidP="00AD2E9D">
            <w:pPr>
              <w:jc w:val="center"/>
              <w:rPr>
                <w:rFonts w:ascii="Arial" w:hAnsi="Arial" w:cs="Arial"/>
                <w:color w:val="000000"/>
              </w:rPr>
            </w:pPr>
          </w:p>
        </w:tc>
      </w:tr>
      <w:tr w:rsidR="003F07F5" w:rsidRPr="00644028" w14:paraId="2D0574BF" w14:textId="77777777" w:rsidTr="003F07F5">
        <w:trPr>
          <w:trHeight w:val="300"/>
        </w:trPr>
        <w:tc>
          <w:tcPr>
            <w:tcW w:w="3583" w:type="pct"/>
            <w:noWrap/>
            <w:vAlign w:val="bottom"/>
            <w:hideMark/>
          </w:tcPr>
          <w:p w14:paraId="63C52E8B" w14:textId="77777777" w:rsidR="003F07F5" w:rsidRPr="00644028" w:rsidRDefault="003F07F5" w:rsidP="00AD2E9D">
            <w:pPr>
              <w:rPr>
                <w:rFonts w:ascii="Arial" w:hAnsi="Arial" w:cs="Arial"/>
                <w:i/>
                <w:iCs/>
                <w:color w:val="000000"/>
              </w:rPr>
            </w:pPr>
            <w:r w:rsidRPr="00644028">
              <w:rPr>
                <w:rFonts w:ascii="Arial" w:hAnsi="Arial" w:cs="Arial"/>
                <w:i/>
                <w:iCs/>
                <w:color w:val="000000"/>
              </w:rPr>
              <w:t xml:space="preserve">        </w:t>
            </w:r>
            <w:r w:rsidRPr="00644028">
              <w:rPr>
                <w:rFonts w:ascii="Arial" w:hAnsi="Arial" w:cs="Arial"/>
                <w:color w:val="000000"/>
              </w:rPr>
              <w:t>Non-Affected</w:t>
            </w:r>
            <w:r w:rsidRPr="00644028">
              <w:rPr>
                <w:rFonts w:ascii="Arial" w:hAnsi="Arial" w:cs="Arial"/>
                <w:i/>
                <w:iCs/>
                <w:color w:val="000000"/>
              </w:rPr>
              <w:t xml:space="preserve"> Median (IQR)</w:t>
            </w:r>
          </w:p>
          <w:p w14:paraId="1E976B88" w14:textId="77777777" w:rsidR="003F07F5" w:rsidRPr="00644028" w:rsidRDefault="003F07F5" w:rsidP="00AD2E9D">
            <w:pPr>
              <w:rPr>
                <w:rFonts w:ascii="Arial" w:hAnsi="Arial" w:cs="Arial"/>
                <w:b/>
                <w:bCs/>
                <w:color w:val="000000"/>
              </w:rPr>
            </w:pPr>
          </w:p>
        </w:tc>
        <w:tc>
          <w:tcPr>
            <w:tcW w:w="987" w:type="pct"/>
            <w:noWrap/>
            <w:vAlign w:val="bottom"/>
            <w:hideMark/>
          </w:tcPr>
          <w:p w14:paraId="3204FC80" w14:textId="77777777" w:rsidR="003F07F5" w:rsidRPr="00644028" w:rsidRDefault="003F07F5" w:rsidP="00AD2E9D">
            <w:pPr>
              <w:rPr>
                <w:rFonts w:ascii="Arial" w:hAnsi="Arial" w:cs="Arial"/>
                <w:color w:val="000000"/>
              </w:rPr>
            </w:pPr>
            <w:r w:rsidRPr="00644028">
              <w:rPr>
                <w:rFonts w:ascii="Arial" w:hAnsi="Arial" w:cs="Arial"/>
                <w:color w:val="000000"/>
              </w:rPr>
              <w:t xml:space="preserve">    12(11-14)</w:t>
            </w:r>
          </w:p>
        </w:tc>
        <w:tc>
          <w:tcPr>
            <w:tcW w:w="430" w:type="pct"/>
            <w:noWrap/>
            <w:vAlign w:val="bottom"/>
            <w:hideMark/>
          </w:tcPr>
          <w:p w14:paraId="045787E8" w14:textId="77777777" w:rsidR="003F07F5" w:rsidRPr="00644028" w:rsidRDefault="003F07F5" w:rsidP="00AD2E9D">
            <w:pPr>
              <w:jc w:val="center"/>
              <w:rPr>
                <w:rFonts w:ascii="Arial" w:hAnsi="Arial" w:cs="Arial"/>
                <w:color w:val="000000"/>
              </w:rPr>
            </w:pPr>
          </w:p>
        </w:tc>
      </w:tr>
      <w:tr w:rsidR="003F07F5" w:rsidRPr="00644028" w14:paraId="56A59B1A" w14:textId="77777777" w:rsidTr="003F07F5">
        <w:trPr>
          <w:trHeight w:val="300"/>
        </w:trPr>
        <w:tc>
          <w:tcPr>
            <w:tcW w:w="3583" w:type="pct"/>
            <w:noWrap/>
            <w:vAlign w:val="bottom"/>
            <w:hideMark/>
          </w:tcPr>
          <w:p w14:paraId="455C9655" w14:textId="77777777" w:rsidR="003F07F5" w:rsidRPr="00644028" w:rsidRDefault="003F07F5" w:rsidP="00AD2E9D">
            <w:pPr>
              <w:rPr>
                <w:rFonts w:ascii="Arial" w:hAnsi="Arial" w:cs="Arial"/>
                <w:b/>
                <w:bCs/>
                <w:color w:val="000000"/>
              </w:rPr>
            </w:pPr>
            <w:r w:rsidRPr="00644028">
              <w:rPr>
                <w:rFonts w:ascii="Arial" w:hAnsi="Arial" w:cs="Arial"/>
                <w:b/>
                <w:bCs/>
                <w:color w:val="000000"/>
              </w:rPr>
              <w:t>Treatment received</w:t>
            </w:r>
          </w:p>
          <w:p w14:paraId="0C0017A5" w14:textId="77777777" w:rsidR="003F07F5" w:rsidRPr="00644028" w:rsidRDefault="003F07F5" w:rsidP="00AD2E9D">
            <w:pPr>
              <w:ind w:left="510"/>
              <w:rPr>
                <w:rFonts w:ascii="Arial" w:hAnsi="Arial" w:cs="Arial"/>
                <w:color w:val="000000"/>
              </w:rPr>
            </w:pPr>
            <w:r w:rsidRPr="00644028">
              <w:rPr>
                <w:rFonts w:ascii="Arial" w:hAnsi="Arial" w:cs="Arial"/>
                <w:color w:val="000000"/>
              </w:rPr>
              <w:t>Topical, Subconjunctival &amp; Intravitreal</w:t>
            </w:r>
          </w:p>
        </w:tc>
        <w:tc>
          <w:tcPr>
            <w:tcW w:w="987" w:type="pct"/>
            <w:noWrap/>
            <w:vAlign w:val="bottom"/>
            <w:hideMark/>
          </w:tcPr>
          <w:p w14:paraId="7A97C378" w14:textId="77777777" w:rsidR="003F07F5" w:rsidRPr="00644028" w:rsidRDefault="003F07F5" w:rsidP="00AD2E9D">
            <w:pPr>
              <w:jc w:val="center"/>
              <w:rPr>
                <w:rFonts w:ascii="Arial" w:hAnsi="Arial" w:cs="Arial"/>
                <w:color w:val="000000"/>
              </w:rPr>
            </w:pPr>
            <w:r w:rsidRPr="00644028">
              <w:rPr>
                <w:rFonts w:ascii="Arial" w:hAnsi="Arial" w:cs="Arial"/>
                <w:color w:val="000000"/>
              </w:rPr>
              <w:t>176</w:t>
            </w:r>
          </w:p>
        </w:tc>
        <w:tc>
          <w:tcPr>
            <w:tcW w:w="430" w:type="pct"/>
            <w:noWrap/>
            <w:vAlign w:val="bottom"/>
            <w:hideMark/>
          </w:tcPr>
          <w:p w14:paraId="2B32CB14" w14:textId="77777777" w:rsidR="003F07F5" w:rsidRPr="00644028" w:rsidRDefault="003F07F5" w:rsidP="00AD2E9D">
            <w:pPr>
              <w:jc w:val="center"/>
              <w:rPr>
                <w:rFonts w:ascii="Arial" w:hAnsi="Arial" w:cs="Arial"/>
                <w:color w:val="000000"/>
              </w:rPr>
            </w:pPr>
            <w:r w:rsidRPr="00644028">
              <w:rPr>
                <w:rFonts w:ascii="Arial" w:hAnsi="Arial" w:cs="Arial"/>
                <w:color w:val="000000"/>
              </w:rPr>
              <w:t>83.4</w:t>
            </w:r>
          </w:p>
        </w:tc>
      </w:tr>
      <w:tr w:rsidR="003F07F5" w:rsidRPr="00644028" w14:paraId="1FBA0081" w14:textId="77777777" w:rsidTr="003F07F5">
        <w:trPr>
          <w:trHeight w:val="300"/>
        </w:trPr>
        <w:tc>
          <w:tcPr>
            <w:tcW w:w="3583" w:type="pct"/>
            <w:noWrap/>
            <w:vAlign w:val="bottom"/>
            <w:hideMark/>
          </w:tcPr>
          <w:p w14:paraId="2A3C104F" w14:textId="77777777" w:rsidR="003F07F5" w:rsidRPr="00644028" w:rsidRDefault="003F07F5" w:rsidP="00AD2E9D">
            <w:pPr>
              <w:ind w:left="510"/>
              <w:rPr>
                <w:rFonts w:ascii="Arial" w:hAnsi="Arial" w:cs="Arial"/>
                <w:color w:val="000000"/>
              </w:rPr>
            </w:pPr>
            <w:r w:rsidRPr="00644028">
              <w:rPr>
                <w:rFonts w:ascii="Arial" w:hAnsi="Arial" w:cs="Arial"/>
                <w:color w:val="000000"/>
              </w:rPr>
              <w:t>Topical, Subconjunctival, intravitreal &amp; Vitrectomy</w:t>
            </w:r>
          </w:p>
        </w:tc>
        <w:tc>
          <w:tcPr>
            <w:tcW w:w="987" w:type="pct"/>
            <w:noWrap/>
            <w:vAlign w:val="bottom"/>
            <w:hideMark/>
          </w:tcPr>
          <w:p w14:paraId="5D4A74B3" w14:textId="77777777" w:rsidR="003F07F5" w:rsidRPr="00644028" w:rsidRDefault="003F07F5" w:rsidP="00AD2E9D">
            <w:pPr>
              <w:jc w:val="center"/>
              <w:rPr>
                <w:rFonts w:ascii="Arial" w:hAnsi="Arial" w:cs="Arial"/>
                <w:color w:val="000000"/>
              </w:rPr>
            </w:pPr>
            <w:r w:rsidRPr="00644028">
              <w:rPr>
                <w:rFonts w:ascii="Arial" w:hAnsi="Arial" w:cs="Arial"/>
                <w:color w:val="000000"/>
              </w:rPr>
              <w:t>35</w:t>
            </w:r>
          </w:p>
        </w:tc>
        <w:tc>
          <w:tcPr>
            <w:tcW w:w="430" w:type="pct"/>
            <w:noWrap/>
            <w:vAlign w:val="bottom"/>
            <w:hideMark/>
          </w:tcPr>
          <w:p w14:paraId="0C6BD43E" w14:textId="77777777" w:rsidR="003F07F5" w:rsidRPr="00644028" w:rsidRDefault="003F07F5" w:rsidP="00AD2E9D">
            <w:pPr>
              <w:jc w:val="center"/>
              <w:rPr>
                <w:rFonts w:ascii="Arial" w:hAnsi="Arial" w:cs="Arial"/>
                <w:color w:val="000000"/>
              </w:rPr>
            </w:pPr>
            <w:r w:rsidRPr="00644028">
              <w:rPr>
                <w:rFonts w:ascii="Arial" w:hAnsi="Arial" w:cs="Arial"/>
                <w:color w:val="000000"/>
              </w:rPr>
              <w:t>16.6</w:t>
            </w:r>
          </w:p>
        </w:tc>
      </w:tr>
      <w:tr w:rsidR="003F07F5" w:rsidRPr="00644028" w14:paraId="196D1D52" w14:textId="77777777" w:rsidTr="003F07F5">
        <w:trPr>
          <w:trHeight w:val="300"/>
        </w:trPr>
        <w:tc>
          <w:tcPr>
            <w:tcW w:w="3583" w:type="pct"/>
            <w:noWrap/>
            <w:vAlign w:val="bottom"/>
          </w:tcPr>
          <w:p w14:paraId="3DB20E42" w14:textId="77777777" w:rsidR="003F07F5" w:rsidRPr="00644028" w:rsidRDefault="003F07F5" w:rsidP="00AD2E9D">
            <w:pPr>
              <w:rPr>
                <w:rFonts w:ascii="Arial" w:hAnsi="Arial" w:cs="Arial"/>
                <w:color w:val="000000"/>
              </w:rPr>
            </w:pPr>
            <w:r w:rsidRPr="00644028">
              <w:rPr>
                <w:rFonts w:ascii="Arial" w:hAnsi="Arial" w:cs="Arial"/>
                <w:b/>
                <w:bCs/>
                <w:color w:val="000000"/>
              </w:rPr>
              <w:t xml:space="preserve">Treatment outcome </w:t>
            </w:r>
          </w:p>
        </w:tc>
        <w:tc>
          <w:tcPr>
            <w:tcW w:w="987" w:type="pct"/>
            <w:noWrap/>
            <w:vAlign w:val="bottom"/>
          </w:tcPr>
          <w:p w14:paraId="72D9D90F" w14:textId="77777777" w:rsidR="003F07F5" w:rsidRPr="00644028" w:rsidRDefault="003F07F5" w:rsidP="00AD2E9D">
            <w:pPr>
              <w:jc w:val="center"/>
              <w:rPr>
                <w:rFonts w:ascii="Arial" w:hAnsi="Arial" w:cs="Arial"/>
                <w:color w:val="000000"/>
              </w:rPr>
            </w:pPr>
          </w:p>
        </w:tc>
        <w:tc>
          <w:tcPr>
            <w:tcW w:w="430" w:type="pct"/>
            <w:noWrap/>
            <w:vAlign w:val="bottom"/>
          </w:tcPr>
          <w:p w14:paraId="2A69018C" w14:textId="77777777" w:rsidR="003F07F5" w:rsidRPr="00644028" w:rsidRDefault="003F07F5" w:rsidP="00AD2E9D">
            <w:pPr>
              <w:jc w:val="center"/>
              <w:rPr>
                <w:rFonts w:ascii="Arial" w:hAnsi="Arial" w:cs="Arial"/>
                <w:color w:val="000000"/>
              </w:rPr>
            </w:pPr>
          </w:p>
        </w:tc>
      </w:tr>
      <w:tr w:rsidR="003F07F5" w:rsidRPr="00644028" w14:paraId="1E741278" w14:textId="77777777" w:rsidTr="003F07F5">
        <w:trPr>
          <w:trHeight w:val="300"/>
        </w:trPr>
        <w:tc>
          <w:tcPr>
            <w:tcW w:w="3583" w:type="pct"/>
            <w:noWrap/>
            <w:vAlign w:val="bottom"/>
          </w:tcPr>
          <w:p w14:paraId="0A0A94E1" w14:textId="77777777" w:rsidR="003F07F5" w:rsidRPr="00644028" w:rsidRDefault="003F07F5" w:rsidP="00AD2E9D">
            <w:pPr>
              <w:ind w:left="510"/>
              <w:rPr>
                <w:rFonts w:ascii="Arial" w:hAnsi="Arial" w:cs="Arial"/>
                <w:color w:val="000000"/>
              </w:rPr>
            </w:pPr>
            <w:r w:rsidRPr="00644028">
              <w:rPr>
                <w:rFonts w:ascii="Arial" w:hAnsi="Arial" w:cs="Arial"/>
                <w:color w:val="000000"/>
              </w:rPr>
              <w:t>Preserved</w:t>
            </w:r>
          </w:p>
        </w:tc>
        <w:tc>
          <w:tcPr>
            <w:tcW w:w="987" w:type="pct"/>
            <w:noWrap/>
            <w:vAlign w:val="bottom"/>
          </w:tcPr>
          <w:p w14:paraId="52FE3728" w14:textId="77777777" w:rsidR="003F07F5" w:rsidRPr="00644028" w:rsidRDefault="003F07F5" w:rsidP="00AD2E9D">
            <w:pPr>
              <w:jc w:val="center"/>
              <w:rPr>
                <w:rFonts w:ascii="Arial" w:hAnsi="Arial" w:cs="Arial"/>
                <w:color w:val="000000"/>
              </w:rPr>
            </w:pPr>
            <w:r w:rsidRPr="00644028">
              <w:rPr>
                <w:rFonts w:ascii="Arial" w:hAnsi="Arial" w:cs="Arial"/>
                <w:color w:val="000000"/>
              </w:rPr>
              <w:t>173</w:t>
            </w:r>
          </w:p>
        </w:tc>
        <w:tc>
          <w:tcPr>
            <w:tcW w:w="430" w:type="pct"/>
            <w:noWrap/>
            <w:vAlign w:val="bottom"/>
          </w:tcPr>
          <w:p w14:paraId="7D96D4F1" w14:textId="77777777" w:rsidR="003F07F5" w:rsidRPr="00644028" w:rsidRDefault="003F07F5" w:rsidP="00AD2E9D">
            <w:pPr>
              <w:jc w:val="center"/>
              <w:rPr>
                <w:rFonts w:ascii="Arial" w:hAnsi="Arial" w:cs="Arial"/>
                <w:color w:val="000000"/>
              </w:rPr>
            </w:pPr>
            <w:r w:rsidRPr="00644028">
              <w:rPr>
                <w:rFonts w:ascii="Arial" w:hAnsi="Arial" w:cs="Arial"/>
                <w:color w:val="000000"/>
              </w:rPr>
              <w:t>82.0</w:t>
            </w:r>
          </w:p>
        </w:tc>
      </w:tr>
      <w:tr w:rsidR="003F07F5" w:rsidRPr="00644028" w14:paraId="22793532" w14:textId="77777777" w:rsidTr="003F07F5">
        <w:trPr>
          <w:trHeight w:val="300"/>
        </w:trPr>
        <w:tc>
          <w:tcPr>
            <w:tcW w:w="3583" w:type="pct"/>
            <w:noWrap/>
            <w:vAlign w:val="bottom"/>
          </w:tcPr>
          <w:p w14:paraId="65F5553E" w14:textId="77777777" w:rsidR="003F07F5" w:rsidRPr="00644028" w:rsidRDefault="003F07F5" w:rsidP="00AD2E9D">
            <w:pPr>
              <w:ind w:left="510"/>
              <w:rPr>
                <w:rFonts w:ascii="Arial" w:hAnsi="Arial" w:cs="Arial"/>
                <w:color w:val="000000"/>
              </w:rPr>
            </w:pPr>
            <w:r w:rsidRPr="00644028">
              <w:rPr>
                <w:rFonts w:ascii="Arial" w:hAnsi="Arial" w:cs="Arial"/>
                <w:color w:val="000000"/>
              </w:rPr>
              <w:t>Eviscerated</w:t>
            </w:r>
          </w:p>
        </w:tc>
        <w:tc>
          <w:tcPr>
            <w:tcW w:w="987" w:type="pct"/>
            <w:noWrap/>
            <w:vAlign w:val="bottom"/>
          </w:tcPr>
          <w:p w14:paraId="0FD40896" w14:textId="77777777" w:rsidR="003F07F5" w:rsidRPr="00644028" w:rsidRDefault="003F07F5" w:rsidP="00AD2E9D">
            <w:pPr>
              <w:jc w:val="center"/>
              <w:rPr>
                <w:rFonts w:ascii="Arial" w:hAnsi="Arial" w:cs="Arial"/>
                <w:color w:val="000000"/>
              </w:rPr>
            </w:pPr>
            <w:r w:rsidRPr="00644028">
              <w:rPr>
                <w:rFonts w:ascii="Arial" w:hAnsi="Arial" w:cs="Arial"/>
                <w:color w:val="000000"/>
              </w:rPr>
              <w:t>38</w:t>
            </w:r>
          </w:p>
        </w:tc>
        <w:tc>
          <w:tcPr>
            <w:tcW w:w="430" w:type="pct"/>
            <w:noWrap/>
            <w:vAlign w:val="bottom"/>
          </w:tcPr>
          <w:p w14:paraId="545A2CE5" w14:textId="77777777" w:rsidR="003F07F5" w:rsidRPr="00644028" w:rsidRDefault="003F07F5" w:rsidP="00AD2E9D">
            <w:pPr>
              <w:jc w:val="center"/>
              <w:rPr>
                <w:rFonts w:ascii="Arial" w:hAnsi="Arial" w:cs="Arial"/>
                <w:color w:val="000000"/>
              </w:rPr>
            </w:pPr>
            <w:r w:rsidRPr="00644028">
              <w:rPr>
                <w:rFonts w:ascii="Arial" w:hAnsi="Arial" w:cs="Arial"/>
                <w:color w:val="000000"/>
              </w:rPr>
              <w:t>18.0</w:t>
            </w:r>
          </w:p>
        </w:tc>
      </w:tr>
      <w:tr w:rsidR="003F07F5" w:rsidRPr="00644028" w14:paraId="0DB064F9" w14:textId="77777777" w:rsidTr="003F07F5">
        <w:trPr>
          <w:trHeight w:val="300"/>
        </w:trPr>
        <w:tc>
          <w:tcPr>
            <w:tcW w:w="3583" w:type="pct"/>
            <w:tcBorders>
              <w:bottom w:val="single" w:sz="12" w:space="0" w:color="auto"/>
            </w:tcBorders>
            <w:noWrap/>
            <w:vAlign w:val="bottom"/>
          </w:tcPr>
          <w:p w14:paraId="1EFA7723" w14:textId="77777777" w:rsidR="003F07F5" w:rsidRPr="00644028" w:rsidRDefault="003F07F5" w:rsidP="00AD2E9D">
            <w:pPr>
              <w:ind w:left="510"/>
              <w:rPr>
                <w:rFonts w:ascii="Arial" w:hAnsi="Arial" w:cs="Arial"/>
                <w:i/>
                <w:iCs/>
                <w:color w:val="000000"/>
              </w:rPr>
            </w:pPr>
            <w:bookmarkStart w:id="12" w:name="_Hlk198320218"/>
          </w:p>
        </w:tc>
        <w:tc>
          <w:tcPr>
            <w:tcW w:w="987" w:type="pct"/>
            <w:tcBorders>
              <w:bottom w:val="single" w:sz="12" w:space="0" w:color="auto"/>
            </w:tcBorders>
            <w:noWrap/>
            <w:vAlign w:val="bottom"/>
          </w:tcPr>
          <w:p w14:paraId="09B9477E" w14:textId="77777777" w:rsidR="003F07F5" w:rsidRPr="00644028" w:rsidRDefault="003F07F5" w:rsidP="00AD2E9D">
            <w:pPr>
              <w:rPr>
                <w:rFonts w:ascii="Arial" w:hAnsi="Arial" w:cs="Arial"/>
                <w:color w:val="000000"/>
              </w:rPr>
            </w:pPr>
          </w:p>
        </w:tc>
        <w:tc>
          <w:tcPr>
            <w:tcW w:w="430" w:type="pct"/>
            <w:tcBorders>
              <w:bottom w:val="single" w:sz="12" w:space="0" w:color="auto"/>
            </w:tcBorders>
            <w:noWrap/>
            <w:vAlign w:val="bottom"/>
          </w:tcPr>
          <w:p w14:paraId="23F87515" w14:textId="77777777" w:rsidR="003F07F5" w:rsidRPr="00644028" w:rsidRDefault="003F07F5" w:rsidP="00AD2E9D">
            <w:pPr>
              <w:jc w:val="center"/>
              <w:rPr>
                <w:rFonts w:ascii="Arial" w:hAnsi="Arial" w:cs="Arial"/>
                <w:color w:val="000000"/>
              </w:rPr>
            </w:pPr>
          </w:p>
        </w:tc>
      </w:tr>
      <w:bookmarkEnd w:id="12"/>
    </w:tbl>
    <w:p w14:paraId="07FFBD63" w14:textId="77777777" w:rsidR="0086202B" w:rsidRPr="00644028" w:rsidRDefault="0086202B" w:rsidP="003F07F5">
      <w:pPr>
        <w:spacing w:line="360" w:lineRule="auto"/>
        <w:jc w:val="both"/>
        <w:rPr>
          <w:rFonts w:ascii="Arial" w:eastAsia="Calibri" w:hAnsi="Arial" w:cs="Arial"/>
          <w:b/>
          <w:bCs/>
          <w:kern w:val="2"/>
          <w14:ligatures w14:val="standardContextual"/>
        </w:rPr>
      </w:pPr>
    </w:p>
    <w:p w14:paraId="0EF7DD05" w14:textId="11F67110" w:rsidR="003F07F5" w:rsidRPr="00644028" w:rsidRDefault="0086202B" w:rsidP="00723168">
      <w:pPr>
        <w:jc w:val="both"/>
        <w:rPr>
          <w:rFonts w:ascii="Arial" w:eastAsia="Calibri" w:hAnsi="Arial" w:cs="Arial"/>
          <w:b/>
          <w:bCs/>
          <w:kern w:val="2"/>
          <w:sz w:val="22"/>
          <w:szCs w:val="22"/>
          <w14:ligatures w14:val="standardContextual"/>
        </w:rPr>
      </w:pPr>
      <w:r w:rsidRPr="00644028">
        <w:rPr>
          <w:rFonts w:ascii="Arial" w:eastAsia="Calibri" w:hAnsi="Arial" w:cs="Arial"/>
          <w:b/>
          <w:bCs/>
          <w:kern w:val="2"/>
          <w:sz w:val="22"/>
          <w:szCs w:val="22"/>
          <w14:ligatures w14:val="standardContextual"/>
        </w:rPr>
        <w:t>3.2 PROPORTION OF ENDOPHTHALMITIS CASES BY ETIOLOGY.</w:t>
      </w:r>
    </w:p>
    <w:p w14:paraId="06719014" w14:textId="77777777" w:rsidR="00575C3F" w:rsidRPr="00644028" w:rsidRDefault="00575C3F" w:rsidP="00575C3F">
      <w:pPr>
        <w:jc w:val="both"/>
        <w:rPr>
          <w:rFonts w:ascii="Arial" w:eastAsia="Calibri" w:hAnsi="Arial" w:cs="Arial"/>
          <w:kern w:val="2"/>
          <w14:ligatures w14:val="standardContextual"/>
        </w:rPr>
      </w:pPr>
      <w:r w:rsidRPr="00644028">
        <w:rPr>
          <w:rFonts w:ascii="Arial" w:eastAsia="Calibri" w:hAnsi="Arial" w:cs="Arial"/>
          <w:kern w:val="2"/>
          <w14:ligatures w14:val="standardContextual"/>
        </w:rPr>
        <w:t>Figure 2 shows the proportion of Endophthalmitis cases by etiology. Corneal ulcer-related infections were the most common cause, accounting for 50.2% of cases. Post-traumatic endophthalmitis was the second leading etiology observed in 29.4 % of patients. Post-surgical endophthalmitis accounted for the remaining 20.4% cases. This distribution highlights infectious keratitis (corneal ulcer) as the predominant predisposing factor for endophthalmitis in this population, followed by trauma and intraocular surgery.</w:t>
      </w:r>
    </w:p>
    <w:p w14:paraId="4DB105E3" w14:textId="77777777" w:rsidR="00575C3F" w:rsidRPr="00644028" w:rsidRDefault="00575C3F" w:rsidP="00575C3F">
      <w:pPr>
        <w:jc w:val="both"/>
        <w:rPr>
          <w:rFonts w:ascii="Arial" w:eastAsia="Calibri" w:hAnsi="Arial" w:cs="Arial"/>
          <w:b/>
          <w:bCs/>
          <w:kern w:val="2"/>
          <w14:ligatures w14:val="standardContextual"/>
        </w:rPr>
      </w:pPr>
    </w:p>
    <w:p w14:paraId="55E6C463" w14:textId="72035F72" w:rsidR="003F07F5" w:rsidRPr="00644028" w:rsidRDefault="003F07F5" w:rsidP="00723168">
      <w:pPr>
        <w:jc w:val="both"/>
        <w:rPr>
          <w:rFonts w:ascii="Arial" w:eastAsia="Calibri" w:hAnsi="Arial" w:cs="Arial"/>
          <w:kern w:val="2"/>
          <w14:ligatures w14:val="standardContextual"/>
        </w:rPr>
      </w:pPr>
      <w:r w:rsidRPr="00644028">
        <w:rPr>
          <w:rFonts w:ascii="Arial" w:eastAsia="Calibri" w:hAnsi="Arial" w:cs="Arial"/>
          <w:kern w:val="2"/>
          <w14:ligatures w14:val="standardContextual"/>
        </w:rPr>
        <w:t>.</w:t>
      </w:r>
    </w:p>
    <w:p w14:paraId="1108E3F5" w14:textId="77777777" w:rsidR="003F07F5" w:rsidRPr="00644028" w:rsidRDefault="003F07F5" w:rsidP="003F07F5">
      <w:pPr>
        <w:spacing w:line="360" w:lineRule="auto"/>
        <w:jc w:val="both"/>
        <w:rPr>
          <w:rFonts w:ascii="Arial" w:eastAsia="Calibri" w:hAnsi="Arial" w:cs="Arial"/>
          <w:kern w:val="2"/>
          <w14:ligatures w14:val="standardContextual"/>
        </w:rPr>
      </w:pPr>
    </w:p>
    <w:p w14:paraId="1D1DE740" w14:textId="77777777" w:rsidR="003F07F5" w:rsidRPr="00644028" w:rsidRDefault="003F07F5" w:rsidP="003F07F5">
      <w:pPr>
        <w:spacing w:line="360" w:lineRule="auto"/>
        <w:jc w:val="both"/>
        <w:rPr>
          <w:rFonts w:ascii="Arial" w:eastAsia="Calibri" w:hAnsi="Arial" w:cs="Arial"/>
          <w:kern w:val="2"/>
          <w14:ligatures w14:val="standardContextual"/>
        </w:rPr>
      </w:pPr>
    </w:p>
    <w:p w14:paraId="1F3D5366" w14:textId="77777777" w:rsidR="003F07F5" w:rsidRPr="00644028" w:rsidRDefault="003F07F5" w:rsidP="003F07F5">
      <w:pPr>
        <w:spacing w:line="360" w:lineRule="auto"/>
        <w:jc w:val="both"/>
        <w:rPr>
          <w:rFonts w:ascii="Arial" w:eastAsia="Calibri" w:hAnsi="Arial" w:cs="Arial"/>
          <w:kern w:val="2"/>
          <w14:ligatures w14:val="standardContextual"/>
        </w:rPr>
      </w:pPr>
    </w:p>
    <w:p w14:paraId="0EB53F08" w14:textId="77777777" w:rsidR="003F07F5" w:rsidRPr="00644028" w:rsidRDefault="003F07F5" w:rsidP="003F07F5">
      <w:pPr>
        <w:spacing w:line="360" w:lineRule="auto"/>
        <w:jc w:val="both"/>
        <w:rPr>
          <w:rFonts w:ascii="Arial" w:eastAsia="Calibri" w:hAnsi="Arial" w:cs="Arial"/>
          <w:kern w:val="2"/>
          <w14:ligatures w14:val="standardContextual"/>
        </w:rPr>
      </w:pPr>
      <w:r w:rsidRPr="00644028">
        <w:rPr>
          <w:rFonts w:ascii="Arial" w:hAnsi="Arial" w:cs="Arial"/>
          <w:noProof/>
        </w:rPr>
        <w:lastRenderedPageBreak/>
        <w:drawing>
          <wp:inline distT="0" distB="0" distL="0" distR="0" wp14:anchorId="5EB2A887" wp14:editId="05D3FDA1">
            <wp:extent cx="5419725" cy="2905125"/>
            <wp:effectExtent l="0" t="0" r="9525" b="9525"/>
            <wp:docPr id="416046866" name="Chart 1">
              <a:extLst xmlns:a="http://schemas.openxmlformats.org/drawingml/2006/main">
                <a:ext uri="{FF2B5EF4-FFF2-40B4-BE49-F238E27FC236}">
                  <a16:creationId xmlns:a16="http://schemas.microsoft.com/office/drawing/2014/main" id="{40D20A23-1ACB-1050-DF87-69683452D0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3FDA9D" w14:textId="77777777" w:rsidR="003F07F5" w:rsidRPr="00644028" w:rsidRDefault="003F07F5" w:rsidP="003F07F5">
      <w:pPr>
        <w:spacing w:before="240" w:line="360" w:lineRule="auto"/>
        <w:rPr>
          <w:rFonts w:ascii="Arial" w:hAnsi="Arial" w:cs="Arial"/>
          <w:b/>
          <w:bCs/>
          <w:lang w:eastAsia="en-GB"/>
        </w:rPr>
      </w:pPr>
      <w:bookmarkStart w:id="13" w:name="_Toc201061687"/>
      <w:r w:rsidRPr="00644028">
        <w:rPr>
          <w:rFonts w:ascii="Arial" w:hAnsi="Arial" w:cs="Arial"/>
          <w:b/>
          <w:bCs/>
          <w:lang w:eastAsia="en-GB"/>
        </w:rPr>
        <w:t xml:space="preserve">Figure </w:t>
      </w:r>
      <w:r w:rsidRPr="00644028">
        <w:rPr>
          <w:rFonts w:ascii="Arial" w:hAnsi="Arial" w:cs="Arial"/>
          <w:b/>
          <w:bCs/>
          <w:lang w:eastAsia="en-GB"/>
        </w:rPr>
        <w:fldChar w:fldCharType="begin"/>
      </w:r>
      <w:r w:rsidRPr="00644028">
        <w:rPr>
          <w:rFonts w:ascii="Arial" w:hAnsi="Arial" w:cs="Arial"/>
          <w:b/>
          <w:bCs/>
          <w:lang w:eastAsia="en-GB"/>
        </w:rPr>
        <w:instrText xml:space="preserve"> SEQ Figure \* ARABIC </w:instrText>
      </w:r>
      <w:r w:rsidRPr="00644028">
        <w:rPr>
          <w:rFonts w:ascii="Arial" w:hAnsi="Arial" w:cs="Arial"/>
          <w:b/>
          <w:bCs/>
          <w:lang w:eastAsia="en-GB"/>
        </w:rPr>
        <w:fldChar w:fldCharType="separate"/>
      </w:r>
      <w:r w:rsidRPr="00644028">
        <w:rPr>
          <w:rFonts w:ascii="Arial" w:hAnsi="Arial" w:cs="Arial"/>
          <w:b/>
          <w:bCs/>
          <w:noProof/>
          <w:lang w:eastAsia="en-GB"/>
        </w:rPr>
        <w:t>2</w:t>
      </w:r>
      <w:r w:rsidRPr="00644028">
        <w:rPr>
          <w:rFonts w:ascii="Arial" w:hAnsi="Arial" w:cs="Arial"/>
          <w:b/>
          <w:bCs/>
          <w:noProof/>
          <w:lang w:eastAsia="en-GB"/>
        </w:rPr>
        <w:fldChar w:fldCharType="end"/>
      </w:r>
      <w:r w:rsidRPr="00644028">
        <w:rPr>
          <w:rFonts w:ascii="Arial" w:hAnsi="Arial" w:cs="Arial"/>
          <w:b/>
          <w:bCs/>
          <w:lang w:eastAsia="en-GB"/>
        </w:rPr>
        <w:t>: Proportion of endophthalmitis cases by etiology among study participants (N=211)</w:t>
      </w:r>
      <w:bookmarkEnd w:id="13"/>
    </w:p>
    <w:p w14:paraId="591F400A" w14:textId="77777777" w:rsidR="003F07F5" w:rsidRPr="00644028" w:rsidRDefault="003F07F5" w:rsidP="003F07F5">
      <w:pPr>
        <w:spacing w:before="240" w:line="360" w:lineRule="auto"/>
        <w:rPr>
          <w:rFonts w:ascii="Arial" w:eastAsia="Calibri" w:hAnsi="Arial" w:cs="Arial"/>
          <w:kern w:val="2"/>
          <w14:ligatures w14:val="standardContextual"/>
        </w:rPr>
      </w:pPr>
    </w:p>
    <w:p w14:paraId="388BB215" w14:textId="2337EC74" w:rsidR="003F07F5" w:rsidRPr="00644028" w:rsidRDefault="0086202B" w:rsidP="00723168">
      <w:pPr>
        <w:jc w:val="both"/>
        <w:rPr>
          <w:rFonts w:ascii="Arial" w:eastAsia="Calibri" w:hAnsi="Arial" w:cs="Arial"/>
          <w:b/>
          <w:bCs/>
          <w:sz w:val="22"/>
          <w:szCs w:val="22"/>
        </w:rPr>
      </w:pPr>
      <w:bookmarkStart w:id="14" w:name="_Toc202112585"/>
      <w:r w:rsidRPr="00644028">
        <w:rPr>
          <w:rFonts w:ascii="Arial" w:eastAsia="Calibri" w:hAnsi="Arial" w:cs="Arial"/>
          <w:b/>
          <w:bCs/>
          <w:sz w:val="22"/>
          <w:szCs w:val="22"/>
        </w:rPr>
        <w:t>3.3 CLINICAL OUTCOME OF ENDOPHTHALMITIS TREATMENT</w:t>
      </w:r>
      <w:bookmarkEnd w:id="14"/>
    </w:p>
    <w:p w14:paraId="2F4CC854" w14:textId="77777777" w:rsidR="00723168" w:rsidRPr="00644028" w:rsidRDefault="00723168" w:rsidP="00723168">
      <w:pPr>
        <w:jc w:val="both"/>
        <w:rPr>
          <w:rFonts w:ascii="Arial" w:eastAsia="Calibri" w:hAnsi="Arial" w:cs="Arial"/>
          <w:b/>
          <w:bCs/>
          <w:sz w:val="22"/>
          <w:szCs w:val="22"/>
        </w:rPr>
      </w:pPr>
    </w:p>
    <w:p w14:paraId="14C52A31" w14:textId="77E4E5F3" w:rsidR="0086202B" w:rsidRPr="00644028" w:rsidRDefault="0086202B" w:rsidP="00723168">
      <w:pPr>
        <w:jc w:val="both"/>
        <w:rPr>
          <w:rFonts w:ascii="Arial" w:eastAsia="Calibri" w:hAnsi="Arial" w:cs="Arial"/>
          <w:b/>
          <w:bCs/>
          <w:u w:val="single"/>
        </w:rPr>
      </w:pPr>
      <w:r w:rsidRPr="00644028">
        <w:rPr>
          <w:rFonts w:ascii="Arial" w:eastAsia="Calibri" w:hAnsi="Arial" w:cs="Arial"/>
          <w:b/>
          <w:bCs/>
          <w:u w:val="single"/>
        </w:rPr>
        <w:t>3.3.1 Eviscerated vs preserved eyes</w:t>
      </w:r>
    </w:p>
    <w:p w14:paraId="623BA917" w14:textId="7970CFEC" w:rsidR="003F07F5" w:rsidRPr="00644028" w:rsidRDefault="00575C3F" w:rsidP="00723168">
      <w:pPr>
        <w:jc w:val="both"/>
        <w:rPr>
          <w:rFonts w:ascii="Arial" w:eastAsia="Calibri" w:hAnsi="Arial" w:cs="Arial"/>
        </w:rPr>
      </w:pPr>
      <w:r w:rsidRPr="00644028">
        <w:rPr>
          <w:rFonts w:ascii="Arial" w:eastAsia="Calibri" w:hAnsi="Arial" w:cs="Arial"/>
        </w:rPr>
        <w:t>Of the 211 participants enrolled in the study, 38 eyes underwent evisceration, while 173 eyes were preserved (Table 2). Among the 38 endophthalmitis cases that underwent evisceration, the majority (32, 84.2%) were corneal ulcer-related. This was followed by post-traumatic cases, which represent 6 cases (15.8%). Notably, no cases of post-surgical endophthalmitis resulted in evisceration</w:t>
      </w:r>
      <w:r w:rsidR="003F07F5" w:rsidRPr="00644028">
        <w:rPr>
          <w:rFonts w:ascii="Arial" w:eastAsia="Calibri" w:hAnsi="Arial" w:cs="Arial"/>
        </w:rPr>
        <w:t>.</w:t>
      </w:r>
    </w:p>
    <w:p w14:paraId="25D2D2EA" w14:textId="447E3EC0" w:rsidR="003F07F5" w:rsidRPr="00644028" w:rsidRDefault="0086202B" w:rsidP="00723168">
      <w:pPr>
        <w:jc w:val="both"/>
        <w:rPr>
          <w:rFonts w:ascii="Arial" w:eastAsia="Calibri" w:hAnsi="Arial" w:cs="Arial"/>
          <w:b/>
          <w:bCs/>
          <w:u w:val="single"/>
        </w:rPr>
      </w:pPr>
      <w:r w:rsidRPr="00644028">
        <w:rPr>
          <w:rFonts w:ascii="Arial" w:eastAsia="Calibri" w:hAnsi="Arial" w:cs="Arial"/>
          <w:b/>
          <w:bCs/>
          <w:u w:val="single"/>
        </w:rPr>
        <w:t>3.3.2 Visual outcome of endophthalmitis cases</w:t>
      </w:r>
    </w:p>
    <w:p w14:paraId="01E7F0E2" w14:textId="4A67220F" w:rsidR="003F07F5" w:rsidRPr="00644028" w:rsidRDefault="00575C3F" w:rsidP="00575C3F">
      <w:pPr>
        <w:jc w:val="both"/>
        <w:rPr>
          <w:rFonts w:ascii="Arial" w:eastAsia="Calibri" w:hAnsi="Arial" w:cs="Arial"/>
        </w:rPr>
      </w:pPr>
      <w:r w:rsidRPr="00644028">
        <w:rPr>
          <w:rFonts w:ascii="Arial" w:eastAsia="Calibri" w:hAnsi="Arial" w:cs="Arial"/>
        </w:rPr>
        <w:t>Figure 3 illustrates a comparison of presenting and final mean VA in logMAR for the preserved eyes group and the presenting mean VA for the eviscerated eyes group, stratified by the cause of endophthalmitis. In corneal ulcer-related Endophthalmitis, participants in the preserved eyes group had a mean presenting VA of 3.42 logMAR, improving slightly to a final VA of 3.24. On the other hand, Participants in the eviscerated eyes group had a worse mean VA of 4.59 logMAR, indicating more severe visual compromise at presentation. In post-trauma endophthalmitis, participants in the preserved eyes group had a mean presenting VA of 4.01 logMAR, improving slightly to a final VA of 3.92 logMAR. Lastly, post-surgical endophthalmitis demonstrated relatively better visual outcomes among all etiologies. Participants in the preserved eyes group had a mean presenting VA of 2.88 logMAR, with a slight improvement to the final mean VA of 2.73. Notably, none of the participants in this group underwent evisceration.</w:t>
      </w:r>
    </w:p>
    <w:p w14:paraId="7CCF8B9C" w14:textId="77777777" w:rsidR="00575C3F" w:rsidRPr="00644028" w:rsidRDefault="00575C3F" w:rsidP="00575C3F">
      <w:pPr>
        <w:jc w:val="both"/>
        <w:rPr>
          <w:rFonts w:ascii="Arial" w:eastAsia="Calibri" w:hAnsi="Arial" w:cs="Arial"/>
        </w:rPr>
      </w:pPr>
    </w:p>
    <w:p w14:paraId="3B3F460F" w14:textId="77777777" w:rsidR="0086202B" w:rsidRPr="00644028" w:rsidRDefault="003F07F5" w:rsidP="003F07F5">
      <w:pPr>
        <w:spacing w:line="360" w:lineRule="auto"/>
        <w:jc w:val="both"/>
        <w:rPr>
          <w:rFonts w:ascii="Arial" w:hAnsi="Arial" w:cs="Arial"/>
          <w:b/>
          <w:bCs/>
          <w:lang w:eastAsia="en-GB"/>
        </w:rPr>
      </w:pPr>
      <w:bookmarkStart w:id="15" w:name="_Toc201061677"/>
      <w:r w:rsidRPr="00644028">
        <w:rPr>
          <w:rFonts w:ascii="Arial" w:hAnsi="Arial" w:cs="Arial"/>
          <w:b/>
          <w:bCs/>
          <w:lang w:eastAsia="en-GB"/>
        </w:rPr>
        <w:t xml:space="preserve">Table </w:t>
      </w:r>
      <w:r w:rsidRPr="00644028">
        <w:rPr>
          <w:rFonts w:ascii="Arial" w:hAnsi="Arial" w:cs="Arial"/>
          <w:b/>
          <w:bCs/>
          <w:lang w:eastAsia="en-GB"/>
        </w:rPr>
        <w:fldChar w:fldCharType="begin"/>
      </w:r>
      <w:r w:rsidRPr="00644028">
        <w:rPr>
          <w:rFonts w:ascii="Arial" w:hAnsi="Arial" w:cs="Arial"/>
          <w:b/>
          <w:bCs/>
          <w:lang w:eastAsia="en-GB"/>
        </w:rPr>
        <w:instrText xml:space="preserve"> SEQ Table \* ARABIC </w:instrText>
      </w:r>
      <w:r w:rsidRPr="00644028">
        <w:rPr>
          <w:rFonts w:ascii="Arial" w:hAnsi="Arial" w:cs="Arial"/>
          <w:b/>
          <w:bCs/>
          <w:lang w:eastAsia="en-GB"/>
        </w:rPr>
        <w:fldChar w:fldCharType="separate"/>
      </w:r>
      <w:r w:rsidRPr="00644028">
        <w:rPr>
          <w:rFonts w:ascii="Arial" w:hAnsi="Arial" w:cs="Arial"/>
          <w:b/>
          <w:bCs/>
          <w:noProof/>
          <w:lang w:eastAsia="en-GB"/>
        </w:rPr>
        <w:t>2</w:t>
      </w:r>
      <w:r w:rsidRPr="00644028">
        <w:rPr>
          <w:rFonts w:ascii="Arial" w:hAnsi="Arial" w:cs="Arial"/>
          <w:b/>
          <w:bCs/>
          <w:noProof/>
          <w:lang w:eastAsia="en-GB"/>
        </w:rPr>
        <w:fldChar w:fldCharType="end"/>
      </w:r>
      <w:r w:rsidRPr="00644028">
        <w:rPr>
          <w:rFonts w:ascii="Arial" w:hAnsi="Arial" w:cs="Arial"/>
          <w:b/>
          <w:bCs/>
          <w:lang w:eastAsia="en-GB"/>
        </w:rPr>
        <w:t xml:space="preserve">: Frequency of clinical outcome; Eviscerated eyes group vs Preserved eyes group Based on etiology. Total </w:t>
      </w:r>
    </w:p>
    <w:p w14:paraId="1B27B9EF" w14:textId="523AF7BF" w:rsidR="003F07F5" w:rsidRPr="00644028" w:rsidRDefault="003F07F5" w:rsidP="003F07F5">
      <w:pPr>
        <w:spacing w:line="360" w:lineRule="auto"/>
        <w:jc w:val="both"/>
        <w:rPr>
          <w:rFonts w:ascii="Arial" w:hAnsi="Arial" w:cs="Arial"/>
          <w:b/>
          <w:bCs/>
          <w:lang w:eastAsia="en-GB"/>
        </w:rPr>
      </w:pPr>
      <w:r w:rsidRPr="00644028">
        <w:rPr>
          <w:rFonts w:ascii="Arial" w:hAnsi="Arial" w:cs="Arial"/>
          <w:b/>
          <w:bCs/>
          <w:lang w:eastAsia="en-GB"/>
        </w:rPr>
        <w:t>N= 211</w:t>
      </w:r>
      <w:bookmarkEnd w:id="15"/>
    </w:p>
    <w:p w14:paraId="16DAE6AC" w14:textId="77777777" w:rsidR="0086202B" w:rsidRPr="00644028" w:rsidRDefault="0086202B" w:rsidP="003F07F5">
      <w:pPr>
        <w:spacing w:line="360" w:lineRule="auto"/>
        <w:jc w:val="both"/>
        <w:rPr>
          <w:rFonts w:ascii="Arial" w:eastAsia="Calibri" w:hAnsi="Arial" w:cs="Arial"/>
          <w:kern w:val="2"/>
          <w14:ligatures w14:val="standardContextual"/>
        </w:rPr>
      </w:pP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568"/>
        <w:gridCol w:w="3313"/>
        <w:gridCol w:w="380"/>
      </w:tblGrid>
      <w:tr w:rsidR="003F07F5" w:rsidRPr="00644028" w14:paraId="78BC615A" w14:textId="77777777" w:rsidTr="00AD2E9D">
        <w:trPr>
          <w:jc w:val="center"/>
        </w:trPr>
        <w:tc>
          <w:tcPr>
            <w:tcW w:w="1638" w:type="pct"/>
            <w:tcBorders>
              <w:top w:val="single" w:sz="4" w:space="0" w:color="auto"/>
              <w:bottom w:val="single" w:sz="4" w:space="0" w:color="auto"/>
            </w:tcBorders>
          </w:tcPr>
          <w:p w14:paraId="5E14BCD2" w14:textId="77777777" w:rsidR="003F07F5" w:rsidRPr="00644028" w:rsidRDefault="003F07F5" w:rsidP="00AD2E9D">
            <w:pPr>
              <w:jc w:val="center"/>
              <w:rPr>
                <w:rFonts w:ascii="Arial" w:hAnsi="Arial" w:cs="Arial"/>
                <w:b/>
                <w:kern w:val="2"/>
                <w:sz w:val="20"/>
                <w:szCs w:val="20"/>
                <w14:ligatures w14:val="standardContextual"/>
              </w:rPr>
            </w:pPr>
            <w:r w:rsidRPr="00644028">
              <w:rPr>
                <w:rFonts w:ascii="Arial" w:hAnsi="Arial" w:cs="Arial"/>
                <w:b/>
                <w:kern w:val="2"/>
                <w:sz w:val="20"/>
                <w:szCs w:val="20"/>
                <w14:ligatures w14:val="standardContextual"/>
              </w:rPr>
              <w:t>Etiology of endophthalmitis cases</w:t>
            </w:r>
          </w:p>
        </w:tc>
        <w:tc>
          <w:tcPr>
            <w:tcW w:w="1652" w:type="pct"/>
            <w:tcBorders>
              <w:top w:val="single" w:sz="4" w:space="0" w:color="auto"/>
              <w:bottom w:val="single" w:sz="4" w:space="0" w:color="auto"/>
            </w:tcBorders>
          </w:tcPr>
          <w:p w14:paraId="5C9CAA91" w14:textId="77777777" w:rsidR="003F07F5" w:rsidRPr="00644028" w:rsidRDefault="003F07F5" w:rsidP="00AD2E9D">
            <w:pPr>
              <w:jc w:val="center"/>
              <w:rPr>
                <w:rFonts w:ascii="Arial" w:hAnsi="Arial" w:cs="Arial"/>
                <w:b/>
                <w:kern w:val="2"/>
                <w:sz w:val="20"/>
                <w:szCs w:val="20"/>
                <w14:ligatures w14:val="standardContextual"/>
              </w:rPr>
            </w:pPr>
            <w:r w:rsidRPr="00644028">
              <w:rPr>
                <w:rFonts w:ascii="Arial" w:hAnsi="Arial" w:cs="Arial"/>
                <w:b/>
                <w:kern w:val="2"/>
                <w:sz w:val="20"/>
                <w:szCs w:val="20"/>
                <w14:ligatures w14:val="standardContextual"/>
              </w:rPr>
              <w:t>Eviscerated eyes group =38</w:t>
            </w:r>
          </w:p>
          <w:p w14:paraId="01485432" w14:textId="77777777" w:rsidR="003F07F5" w:rsidRPr="00644028" w:rsidRDefault="003F07F5" w:rsidP="00AD2E9D">
            <w:pPr>
              <w:tabs>
                <w:tab w:val="left" w:pos="960"/>
                <w:tab w:val="center" w:pos="1250"/>
              </w:tabs>
              <w:rPr>
                <w:rFonts w:ascii="Arial" w:hAnsi="Arial" w:cs="Arial"/>
                <w:b/>
                <w:kern w:val="2"/>
                <w:sz w:val="20"/>
                <w:szCs w:val="20"/>
                <w14:ligatures w14:val="standardContextual"/>
              </w:rPr>
            </w:pPr>
            <w:r w:rsidRPr="00644028">
              <w:rPr>
                <w:rFonts w:ascii="Arial" w:hAnsi="Arial" w:cs="Arial"/>
                <w:b/>
                <w:kern w:val="2"/>
                <w:sz w:val="20"/>
                <w:szCs w:val="20"/>
                <w14:ligatures w14:val="standardContextual"/>
              </w:rPr>
              <w:tab/>
              <w:t>n (%)</w:t>
            </w:r>
          </w:p>
        </w:tc>
        <w:tc>
          <w:tcPr>
            <w:tcW w:w="1710" w:type="pct"/>
            <w:gridSpan w:val="2"/>
            <w:tcBorders>
              <w:top w:val="single" w:sz="4" w:space="0" w:color="auto"/>
              <w:bottom w:val="single" w:sz="4" w:space="0" w:color="auto"/>
            </w:tcBorders>
          </w:tcPr>
          <w:p w14:paraId="4ED2BBA2" w14:textId="77777777" w:rsidR="003F07F5" w:rsidRPr="00644028" w:rsidRDefault="003F07F5" w:rsidP="00AD2E9D">
            <w:pPr>
              <w:jc w:val="center"/>
              <w:rPr>
                <w:rFonts w:ascii="Arial" w:hAnsi="Arial" w:cs="Arial"/>
                <w:b/>
                <w:kern w:val="2"/>
                <w:sz w:val="20"/>
                <w:szCs w:val="20"/>
                <w14:ligatures w14:val="standardContextual"/>
              </w:rPr>
            </w:pPr>
            <w:r w:rsidRPr="00644028">
              <w:rPr>
                <w:rFonts w:ascii="Arial" w:hAnsi="Arial" w:cs="Arial"/>
                <w:b/>
                <w:kern w:val="2"/>
                <w:sz w:val="20"/>
                <w:szCs w:val="20"/>
                <w14:ligatures w14:val="standardContextual"/>
              </w:rPr>
              <w:t>Preserved eyes group =173</w:t>
            </w:r>
          </w:p>
          <w:p w14:paraId="05751BE9" w14:textId="77777777" w:rsidR="003F07F5" w:rsidRPr="00644028" w:rsidRDefault="003F07F5" w:rsidP="00AD2E9D">
            <w:pPr>
              <w:jc w:val="center"/>
              <w:rPr>
                <w:rFonts w:ascii="Arial" w:hAnsi="Arial" w:cs="Arial"/>
                <w:b/>
                <w:kern w:val="2"/>
                <w:sz w:val="20"/>
                <w:szCs w:val="20"/>
                <w14:ligatures w14:val="standardContextual"/>
              </w:rPr>
            </w:pPr>
            <w:r w:rsidRPr="00644028">
              <w:rPr>
                <w:rFonts w:ascii="Arial" w:hAnsi="Arial" w:cs="Arial"/>
                <w:b/>
                <w:kern w:val="2"/>
                <w:sz w:val="20"/>
                <w:szCs w:val="20"/>
                <w14:ligatures w14:val="standardContextual"/>
              </w:rPr>
              <w:t>n (%)</w:t>
            </w:r>
          </w:p>
        </w:tc>
      </w:tr>
      <w:tr w:rsidR="003F07F5" w:rsidRPr="00644028" w14:paraId="7B1612D5" w14:textId="77777777" w:rsidTr="00AD2E9D">
        <w:trPr>
          <w:gridAfter w:val="1"/>
          <w:wAfter w:w="176" w:type="pct"/>
          <w:jc w:val="center"/>
        </w:trPr>
        <w:tc>
          <w:tcPr>
            <w:tcW w:w="1638" w:type="pct"/>
          </w:tcPr>
          <w:p w14:paraId="6DEFC43C"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 xml:space="preserve">Cornea ulcer related </w:t>
            </w:r>
          </w:p>
        </w:tc>
        <w:tc>
          <w:tcPr>
            <w:tcW w:w="1652" w:type="pct"/>
          </w:tcPr>
          <w:p w14:paraId="22482C75"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32 (84)</w:t>
            </w:r>
          </w:p>
        </w:tc>
        <w:tc>
          <w:tcPr>
            <w:tcW w:w="1534" w:type="pct"/>
          </w:tcPr>
          <w:p w14:paraId="45DE4551"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74 (43)</w:t>
            </w:r>
          </w:p>
        </w:tc>
      </w:tr>
      <w:tr w:rsidR="003F07F5" w:rsidRPr="00644028" w14:paraId="4A2D0B9D" w14:textId="77777777" w:rsidTr="00AD2E9D">
        <w:trPr>
          <w:gridAfter w:val="1"/>
          <w:wAfter w:w="176" w:type="pct"/>
          <w:trHeight w:val="70"/>
          <w:jc w:val="center"/>
        </w:trPr>
        <w:tc>
          <w:tcPr>
            <w:tcW w:w="1638" w:type="pct"/>
          </w:tcPr>
          <w:p w14:paraId="18DD707D"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Post traumatic</w:t>
            </w:r>
          </w:p>
        </w:tc>
        <w:tc>
          <w:tcPr>
            <w:tcW w:w="1652" w:type="pct"/>
          </w:tcPr>
          <w:p w14:paraId="02312FAD"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6 (16)</w:t>
            </w:r>
          </w:p>
        </w:tc>
        <w:tc>
          <w:tcPr>
            <w:tcW w:w="1534" w:type="pct"/>
          </w:tcPr>
          <w:p w14:paraId="33FE9F2B"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56 (32)</w:t>
            </w:r>
          </w:p>
        </w:tc>
      </w:tr>
      <w:tr w:rsidR="003F07F5" w:rsidRPr="00644028" w14:paraId="6252CD42" w14:textId="77777777" w:rsidTr="00AD2E9D">
        <w:trPr>
          <w:gridAfter w:val="1"/>
          <w:wAfter w:w="176" w:type="pct"/>
          <w:trHeight w:val="70"/>
          <w:jc w:val="center"/>
        </w:trPr>
        <w:tc>
          <w:tcPr>
            <w:tcW w:w="1638" w:type="pct"/>
          </w:tcPr>
          <w:p w14:paraId="3D237275"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Post Surgical</w:t>
            </w:r>
          </w:p>
        </w:tc>
        <w:tc>
          <w:tcPr>
            <w:tcW w:w="1652" w:type="pct"/>
          </w:tcPr>
          <w:p w14:paraId="13EAC5FA"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0 (0)</w:t>
            </w:r>
          </w:p>
        </w:tc>
        <w:tc>
          <w:tcPr>
            <w:tcW w:w="1534" w:type="pct"/>
          </w:tcPr>
          <w:p w14:paraId="30B9C8A2" w14:textId="77777777" w:rsidR="003F07F5" w:rsidRPr="00644028" w:rsidRDefault="003F07F5" w:rsidP="00AD2E9D">
            <w:pPr>
              <w:jc w:val="center"/>
              <w:rPr>
                <w:rFonts w:ascii="Arial" w:hAnsi="Arial" w:cs="Arial"/>
                <w:kern w:val="2"/>
                <w:sz w:val="20"/>
                <w:szCs w:val="20"/>
                <w14:ligatures w14:val="standardContextual"/>
              </w:rPr>
            </w:pPr>
            <w:r w:rsidRPr="00644028">
              <w:rPr>
                <w:rFonts w:ascii="Arial" w:hAnsi="Arial" w:cs="Arial"/>
                <w:kern w:val="2"/>
                <w:sz w:val="20"/>
                <w:szCs w:val="20"/>
                <w14:ligatures w14:val="standardContextual"/>
              </w:rPr>
              <w:t>43 (25)</w:t>
            </w:r>
          </w:p>
        </w:tc>
      </w:tr>
    </w:tbl>
    <w:p w14:paraId="1D995816" w14:textId="77777777" w:rsidR="003F07F5" w:rsidRPr="00644028" w:rsidRDefault="003F07F5" w:rsidP="003F07F5">
      <w:pPr>
        <w:rPr>
          <w:rFonts w:ascii="Arial" w:eastAsia="Calibri" w:hAnsi="Arial" w:cs="Arial"/>
          <w:kern w:val="2"/>
          <w14:ligatures w14:val="standardContextual"/>
        </w:rPr>
      </w:pPr>
    </w:p>
    <w:p w14:paraId="1ED5082E" w14:textId="77777777" w:rsidR="003F07F5" w:rsidRPr="00644028" w:rsidRDefault="003F07F5" w:rsidP="003F07F5">
      <w:pPr>
        <w:rPr>
          <w:rFonts w:ascii="Arial" w:eastAsia="Calibri" w:hAnsi="Arial" w:cs="Arial"/>
          <w:kern w:val="2"/>
          <w14:ligatures w14:val="standardContextual"/>
        </w:rPr>
      </w:pPr>
    </w:p>
    <w:p w14:paraId="6DA78B6C" w14:textId="77777777" w:rsidR="003F07F5" w:rsidRPr="00644028" w:rsidRDefault="003F07F5" w:rsidP="003F07F5">
      <w:pPr>
        <w:rPr>
          <w:rFonts w:ascii="Arial" w:eastAsia="Calibri" w:hAnsi="Arial" w:cs="Arial"/>
          <w:kern w:val="2"/>
          <w14:ligatures w14:val="standardContextual"/>
        </w:rPr>
      </w:pPr>
    </w:p>
    <w:p w14:paraId="4F9CAFB6" w14:textId="77777777" w:rsidR="003F07F5" w:rsidRPr="00644028" w:rsidRDefault="003F07F5" w:rsidP="003F07F5">
      <w:pPr>
        <w:spacing w:after="160" w:line="278" w:lineRule="auto"/>
        <w:rPr>
          <w:rFonts w:ascii="Arial" w:hAnsi="Arial" w:cs="Arial"/>
        </w:rPr>
      </w:pPr>
      <w:r w:rsidRPr="00644028">
        <w:rPr>
          <w:rFonts w:ascii="Arial" w:hAnsi="Arial" w:cs="Arial"/>
          <w:noProof/>
        </w:rPr>
        <w:lastRenderedPageBreak/>
        <w:drawing>
          <wp:inline distT="0" distB="0" distL="0" distR="0" wp14:anchorId="2CDF3AF4" wp14:editId="336F3EBC">
            <wp:extent cx="5731510" cy="2672868"/>
            <wp:effectExtent l="0" t="0" r="2540" b="13335"/>
            <wp:docPr id="1343271010" name="Chart 1">
              <a:extLst xmlns:a="http://schemas.openxmlformats.org/drawingml/2006/main">
                <a:ext uri="{FF2B5EF4-FFF2-40B4-BE49-F238E27FC236}">
                  <a16:creationId xmlns:a16="http://schemas.microsoft.com/office/drawing/2014/main" id="{5C14B6FD-3474-FB6B-73A3-B70DE0EAA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0DAE29" w14:textId="77777777" w:rsidR="003F07F5" w:rsidRPr="00644028" w:rsidRDefault="003F07F5" w:rsidP="003F07F5">
      <w:pPr>
        <w:spacing w:before="240" w:line="360" w:lineRule="auto"/>
        <w:rPr>
          <w:rFonts w:ascii="Arial" w:hAnsi="Arial" w:cs="Arial"/>
        </w:rPr>
      </w:pPr>
      <w:bookmarkStart w:id="16" w:name="_Toc201061688"/>
      <w:r w:rsidRPr="00644028">
        <w:rPr>
          <w:rFonts w:ascii="Arial" w:hAnsi="Arial" w:cs="Arial"/>
          <w:b/>
          <w:bCs/>
          <w:lang w:eastAsia="en-GB"/>
        </w:rPr>
        <w:t xml:space="preserve">Figure </w:t>
      </w:r>
      <w:r w:rsidRPr="00644028">
        <w:rPr>
          <w:rFonts w:ascii="Arial" w:hAnsi="Arial" w:cs="Arial"/>
          <w:b/>
          <w:bCs/>
          <w:lang w:eastAsia="en-GB"/>
        </w:rPr>
        <w:fldChar w:fldCharType="begin"/>
      </w:r>
      <w:r w:rsidRPr="00644028">
        <w:rPr>
          <w:rFonts w:ascii="Arial" w:hAnsi="Arial" w:cs="Arial"/>
          <w:b/>
          <w:bCs/>
          <w:lang w:eastAsia="en-GB"/>
        </w:rPr>
        <w:instrText xml:space="preserve"> SEQ Figure \* ARABIC </w:instrText>
      </w:r>
      <w:r w:rsidRPr="00644028">
        <w:rPr>
          <w:rFonts w:ascii="Arial" w:hAnsi="Arial" w:cs="Arial"/>
          <w:b/>
          <w:bCs/>
          <w:lang w:eastAsia="en-GB"/>
        </w:rPr>
        <w:fldChar w:fldCharType="separate"/>
      </w:r>
      <w:r w:rsidRPr="00644028">
        <w:rPr>
          <w:rFonts w:ascii="Arial" w:hAnsi="Arial" w:cs="Arial"/>
          <w:b/>
          <w:bCs/>
          <w:noProof/>
          <w:lang w:eastAsia="en-GB"/>
        </w:rPr>
        <w:t>3</w:t>
      </w:r>
      <w:r w:rsidRPr="00644028">
        <w:rPr>
          <w:rFonts w:ascii="Arial" w:hAnsi="Arial" w:cs="Arial"/>
          <w:b/>
          <w:bCs/>
          <w:noProof/>
          <w:lang w:eastAsia="en-GB"/>
        </w:rPr>
        <w:fldChar w:fldCharType="end"/>
      </w:r>
      <w:r w:rsidRPr="00644028">
        <w:rPr>
          <w:rFonts w:ascii="Arial" w:hAnsi="Arial" w:cs="Arial"/>
          <w:b/>
          <w:bCs/>
          <w:lang w:eastAsia="en-GB"/>
        </w:rPr>
        <w:t>: Comparison of presenting and final mean VA in logMAR for preserved eyes group and the presenting means VA for eviscerated eyes group.</w:t>
      </w:r>
      <w:bookmarkEnd w:id="16"/>
    </w:p>
    <w:p w14:paraId="48EC50E8" w14:textId="0EB8179D" w:rsidR="003F07F5" w:rsidRPr="00644028" w:rsidRDefault="003F07F5" w:rsidP="00723168">
      <w:pPr>
        <w:spacing w:before="240"/>
        <w:jc w:val="both"/>
        <w:rPr>
          <w:rFonts w:ascii="Arial" w:eastAsia="Calibri" w:hAnsi="Arial" w:cs="Arial"/>
          <w:b/>
          <w:bCs/>
          <w:sz w:val="22"/>
          <w:szCs w:val="22"/>
        </w:rPr>
      </w:pPr>
      <w:bookmarkStart w:id="17" w:name="_Toc202112588"/>
      <w:r w:rsidRPr="00644028">
        <w:rPr>
          <w:rFonts w:ascii="Arial" w:eastAsia="Calibri" w:hAnsi="Arial" w:cs="Arial"/>
          <w:b/>
          <w:bCs/>
          <w:sz w:val="22"/>
          <w:szCs w:val="22"/>
        </w:rPr>
        <w:t>3.4 RISK FACTORS ASSOCIATED WITH ENDOPHTHALMITIS REQUIRING EVISCERATION</w:t>
      </w:r>
      <w:bookmarkEnd w:id="17"/>
    </w:p>
    <w:p w14:paraId="7A5E0582" w14:textId="77777777" w:rsidR="00533CC6" w:rsidRPr="00644028" w:rsidRDefault="00533CC6" w:rsidP="00723168">
      <w:pPr>
        <w:jc w:val="both"/>
        <w:rPr>
          <w:rFonts w:ascii="Arial" w:eastAsia="Calibri" w:hAnsi="Arial" w:cs="Arial"/>
          <w:b/>
          <w:bCs/>
          <w:sz w:val="22"/>
          <w:szCs w:val="22"/>
        </w:rPr>
      </w:pPr>
      <w:bookmarkStart w:id="18" w:name="_Toc202112589"/>
    </w:p>
    <w:p w14:paraId="2CE89D0A" w14:textId="0F1D8402" w:rsidR="003F07F5" w:rsidRPr="00644028" w:rsidRDefault="003F07F5" w:rsidP="00723168">
      <w:pPr>
        <w:jc w:val="both"/>
        <w:rPr>
          <w:rFonts w:ascii="Arial" w:eastAsia="Calibri" w:hAnsi="Arial" w:cs="Arial"/>
          <w:b/>
          <w:bCs/>
          <w:u w:val="single"/>
        </w:rPr>
      </w:pPr>
      <w:r w:rsidRPr="00644028">
        <w:rPr>
          <w:rFonts w:ascii="Arial" w:eastAsia="Calibri" w:hAnsi="Arial" w:cs="Arial"/>
          <w:b/>
          <w:bCs/>
          <w:u w:val="single"/>
        </w:rPr>
        <w:t>3.4.1 Comparison of clinical characteristics between eviscerated and preserved groups</w:t>
      </w:r>
      <w:bookmarkEnd w:id="18"/>
    </w:p>
    <w:p w14:paraId="07B0A2CE" w14:textId="424A9677" w:rsidR="003F07F5" w:rsidRPr="00644028" w:rsidRDefault="0094366E" w:rsidP="0094366E">
      <w:pPr>
        <w:spacing w:after="160"/>
        <w:jc w:val="both"/>
        <w:rPr>
          <w:rFonts w:ascii="Arial" w:eastAsia="Calibri" w:hAnsi="Arial" w:cs="Arial"/>
          <w:kern w:val="2"/>
          <w14:ligatures w14:val="standardContextual"/>
        </w:rPr>
      </w:pPr>
      <w:r w:rsidRPr="00644028">
        <w:rPr>
          <w:rFonts w:ascii="Arial" w:eastAsia="Calibri" w:hAnsi="Arial" w:cs="Arial"/>
        </w:rPr>
        <w:t>The Eviscerated eye group significantly differed by age of the participant (P= 0.003), cause of endophthalmitis (P&lt;0.001), number of days from onset of symptoms to 1st presentation(P=0.002), presenting VA of affected eye (P&lt;0.001), history of diabetes (P= 0.038), and treatment received (P= 0.002). Participants aged &gt; 43 years were significantly more likely to undergo evisceration compared to those aged ≤43 years. Evisceration occurred in 26% of older patients versus 10.3% of younger ones (ᵪ2 = 8.7827, P= 0.003). Visual acuity was strongly associated with evisceration. Patients presenting with VA of =5 logMAR had a much higher rate of evisceration (51.9%) compared to those with VA &lt;5 logMAR (6.9%) (ᵪ2 = 24.1832, P&lt;0.001). A significantly higher proportion of those with cornea ulcer-related endophthalmitis required evisceration (30.2%) compared to those with other causes (5.7%) (ᵪ2 = 21.3979, P&lt;0.001). Those who presented more than 14 days after onset had significantly higher evisceration rates (34.7%) than those presenting earlier (9.4%) (χ² = 20.6743, P &lt; 0.001). All patients who received vitrectomy in addition to medical therapy preserved their eyes, whereas those who received only medical therapy had a higher evisceration rate (21.6%) (ᵪ2 = 9.2167, P&lt;0.002).   Interestingly, a significantly lower proportion of diabetic patients was observed in the eviscerated group (3.7%) compared to the preserved group (ᵪ2 = 4.2913, P&lt;0.038). No significant associations were found between the eviscerated eye group and sex, IOP at presentation, or PITC serology status. There was no statistical difference in the proportion of males and females between the eviscerated and preserved groups (ᵪ2 = 0.8387, P=0.36). Most patients had unknown HIV status in both groups. No significant association was observed between PITC serology status and evisceration outcome (ᵪ2 = 2.4278, P = 0.297). Lastly, there was no statistically significant difference in evisceration by IOP at presentation (χ² = 0.9987, P = 0.318).</w:t>
      </w:r>
    </w:p>
    <w:p w14:paraId="73FC4BF0" w14:textId="77777777" w:rsidR="003F07F5" w:rsidRPr="00644028" w:rsidRDefault="003F07F5" w:rsidP="003F07F5">
      <w:pPr>
        <w:spacing w:line="360" w:lineRule="auto"/>
        <w:jc w:val="both"/>
        <w:rPr>
          <w:rFonts w:ascii="Arial" w:eastAsia="Calibri" w:hAnsi="Arial" w:cs="Arial"/>
          <w:b/>
          <w:bCs/>
          <w:kern w:val="2"/>
          <w14:ligatures w14:val="standardContextual"/>
        </w:rPr>
      </w:pPr>
      <w:bookmarkStart w:id="19" w:name="_Toc201061678"/>
      <w:bookmarkStart w:id="20" w:name="_Hlk198469297"/>
      <w:r w:rsidRPr="00644028">
        <w:rPr>
          <w:rFonts w:ascii="Arial" w:hAnsi="Arial" w:cs="Arial"/>
          <w:b/>
          <w:bCs/>
          <w:lang w:eastAsia="en-GB"/>
        </w:rPr>
        <w:t xml:space="preserve">Table </w:t>
      </w:r>
      <w:r w:rsidRPr="00644028">
        <w:rPr>
          <w:rFonts w:ascii="Arial" w:hAnsi="Arial" w:cs="Arial"/>
          <w:b/>
          <w:bCs/>
          <w:lang w:eastAsia="en-GB"/>
        </w:rPr>
        <w:fldChar w:fldCharType="begin"/>
      </w:r>
      <w:r w:rsidRPr="00644028">
        <w:rPr>
          <w:rFonts w:ascii="Arial" w:hAnsi="Arial" w:cs="Arial"/>
          <w:b/>
          <w:bCs/>
          <w:lang w:eastAsia="en-GB"/>
        </w:rPr>
        <w:instrText xml:space="preserve"> SEQ Table \* ARABIC </w:instrText>
      </w:r>
      <w:r w:rsidRPr="00644028">
        <w:rPr>
          <w:rFonts w:ascii="Arial" w:hAnsi="Arial" w:cs="Arial"/>
          <w:b/>
          <w:bCs/>
          <w:lang w:eastAsia="en-GB"/>
        </w:rPr>
        <w:fldChar w:fldCharType="separate"/>
      </w:r>
      <w:r w:rsidRPr="00644028">
        <w:rPr>
          <w:rFonts w:ascii="Arial" w:hAnsi="Arial" w:cs="Arial"/>
          <w:b/>
          <w:bCs/>
          <w:noProof/>
          <w:lang w:eastAsia="en-GB"/>
        </w:rPr>
        <w:t>3</w:t>
      </w:r>
      <w:r w:rsidRPr="00644028">
        <w:rPr>
          <w:rFonts w:ascii="Arial" w:hAnsi="Arial" w:cs="Arial"/>
          <w:b/>
          <w:bCs/>
          <w:noProof/>
          <w:lang w:eastAsia="en-GB"/>
        </w:rPr>
        <w:fldChar w:fldCharType="end"/>
      </w:r>
      <w:r w:rsidRPr="00644028">
        <w:rPr>
          <w:rFonts w:ascii="Arial" w:hAnsi="Arial" w:cs="Arial"/>
          <w:b/>
          <w:bCs/>
          <w:lang w:eastAsia="en-GB"/>
        </w:rPr>
        <w:t>: Comparison of participants characteristics between eviscerated &amp; eye preserved groups</w:t>
      </w:r>
      <w:bookmarkEnd w:id="19"/>
      <w:bookmarkEnd w:id="20"/>
      <w:r w:rsidRPr="00644028">
        <w:rPr>
          <w:rFonts w:ascii="Arial" w:eastAsia="Calibri" w:hAnsi="Arial" w:cs="Arial"/>
          <w:b/>
          <w:bCs/>
          <w:kern w:val="2"/>
          <w14:ligatures w14:val="standardContextual"/>
        </w:rPr>
        <w:t xml:space="preserve"> </w:t>
      </w:r>
    </w:p>
    <w:tbl>
      <w:tblPr>
        <w:tblW w:w="8909" w:type="dxa"/>
        <w:tblLook w:val="04A0" w:firstRow="1" w:lastRow="0" w:firstColumn="1" w:lastColumn="0" w:noHBand="0" w:noVBand="1"/>
      </w:tblPr>
      <w:tblGrid>
        <w:gridCol w:w="2953"/>
        <w:gridCol w:w="1739"/>
        <w:gridCol w:w="1793"/>
        <w:gridCol w:w="1212"/>
        <w:gridCol w:w="1212"/>
      </w:tblGrid>
      <w:tr w:rsidR="003F07F5" w:rsidRPr="00644028" w14:paraId="31317FEF" w14:textId="77777777" w:rsidTr="00AD2E9D">
        <w:trPr>
          <w:trHeight w:val="300"/>
        </w:trPr>
        <w:tc>
          <w:tcPr>
            <w:tcW w:w="2953" w:type="dxa"/>
            <w:tcBorders>
              <w:top w:val="single" w:sz="12" w:space="0" w:color="auto"/>
            </w:tcBorders>
            <w:noWrap/>
            <w:vAlign w:val="bottom"/>
            <w:hideMark/>
          </w:tcPr>
          <w:p w14:paraId="30FA2F33" w14:textId="77777777" w:rsidR="003F07F5" w:rsidRPr="00644028" w:rsidRDefault="003F07F5" w:rsidP="00AD2E9D">
            <w:pPr>
              <w:rPr>
                <w:rFonts w:ascii="Arial" w:hAnsi="Arial" w:cs="Arial"/>
                <w:b/>
                <w:bCs/>
                <w:color w:val="000000"/>
              </w:rPr>
            </w:pPr>
            <w:r w:rsidRPr="00644028">
              <w:rPr>
                <w:rFonts w:ascii="Arial" w:hAnsi="Arial" w:cs="Arial"/>
                <w:b/>
                <w:bCs/>
                <w:color w:val="000000"/>
              </w:rPr>
              <w:t> Characteristic</w:t>
            </w:r>
          </w:p>
        </w:tc>
        <w:tc>
          <w:tcPr>
            <w:tcW w:w="3532" w:type="dxa"/>
            <w:gridSpan w:val="2"/>
            <w:tcBorders>
              <w:top w:val="single" w:sz="12" w:space="0" w:color="auto"/>
            </w:tcBorders>
            <w:noWrap/>
            <w:vAlign w:val="bottom"/>
            <w:hideMark/>
          </w:tcPr>
          <w:p w14:paraId="08F1787E"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Evisceration</w:t>
            </w:r>
          </w:p>
          <w:p w14:paraId="32A83FC2" w14:textId="77777777" w:rsidR="003F07F5" w:rsidRPr="00644028" w:rsidRDefault="003F07F5" w:rsidP="00AD2E9D">
            <w:pPr>
              <w:jc w:val="center"/>
              <w:rPr>
                <w:rFonts w:ascii="Arial" w:hAnsi="Arial" w:cs="Arial"/>
                <w:b/>
                <w:bCs/>
                <w:color w:val="000000"/>
              </w:rPr>
            </w:pPr>
          </w:p>
        </w:tc>
        <w:tc>
          <w:tcPr>
            <w:tcW w:w="1212" w:type="dxa"/>
            <w:tcBorders>
              <w:top w:val="single" w:sz="12" w:space="0" w:color="auto"/>
            </w:tcBorders>
          </w:tcPr>
          <w:p w14:paraId="7BA2C1FA" w14:textId="77777777" w:rsidR="003F07F5" w:rsidRPr="003510F4" w:rsidRDefault="003F07F5" w:rsidP="00AD2E9D">
            <w:pPr>
              <w:jc w:val="center"/>
              <w:rPr>
                <w:rFonts w:ascii="Arial" w:hAnsi="Arial" w:cs="Arial"/>
                <w:b/>
                <w:bCs/>
                <w:color w:val="000000"/>
                <w:sz w:val="22"/>
                <w:szCs w:val="22"/>
              </w:rPr>
            </w:pPr>
            <w:bookmarkStart w:id="21" w:name="_Hlk202089030"/>
            <w:r w:rsidRPr="003510F4">
              <w:rPr>
                <w:rFonts w:ascii="Arial" w:hAnsi="Arial" w:cs="Arial"/>
                <w:b/>
                <w:bCs/>
                <w:color w:val="000000"/>
                <w:sz w:val="22"/>
                <w:szCs w:val="22"/>
              </w:rPr>
              <w:t>ᵪ</w:t>
            </w:r>
            <w:r w:rsidRPr="003510F4">
              <w:rPr>
                <w:rFonts w:ascii="Arial" w:hAnsi="Arial" w:cs="Arial"/>
                <w:b/>
                <w:bCs/>
                <w:color w:val="000000"/>
                <w:sz w:val="22"/>
                <w:szCs w:val="22"/>
                <w:vertAlign w:val="superscript"/>
              </w:rPr>
              <w:t>2</w:t>
            </w:r>
            <w:bookmarkEnd w:id="21"/>
          </w:p>
        </w:tc>
        <w:tc>
          <w:tcPr>
            <w:tcW w:w="1212" w:type="dxa"/>
            <w:tcBorders>
              <w:top w:val="single" w:sz="12" w:space="0" w:color="auto"/>
            </w:tcBorders>
            <w:noWrap/>
            <w:vAlign w:val="bottom"/>
            <w:hideMark/>
          </w:tcPr>
          <w:p w14:paraId="2DF87F1E" w14:textId="77777777" w:rsidR="003F07F5" w:rsidRPr="00644028" w:rsidRDefault="003F07F5" w:rsidP="00AD2E9D">
            <w:pPr>
              <w:jc w:val="center"/>
              <w:rPr>
                <w:rFonts w:ascii="Arial" w:hAnsi="Arial" w:cs="Arial"/>
                <w:b/>
                <w:bCs/>
                <w:color w:val="000000"/>
              </w:rPr>
            </w:pPr>
            <w:r w:rsidRPr="00644028">
              <w:rPr>
                <w:rFonts w:ascii="Arial" w:hAnsi="Arial" w:cs="Arial"/>
                <w:b/>
                <w:bCs/>
                <w:i/>
                <w:iCs/>
                <w:color w:val="000000"/>
              </w:rPr>
              <w:t>P</w:t>
            </w:r>
            <w:r w:rsidRPr="00644028">
              <w:rPr>
                <w:rFonts w:ascii="Arial" w:hAnsi="Arial" w:cs="Arial"/>
                <w:b/>
                <w:bCs/>
                <w:color w:val="000000"/>
              </w:rPr>
              <w:t>-value</w:t>
            </w:r>
          </w:p>
        </w:tc>
      </w:tr>
      <w:tr w:rsidR="003F07F5" w:rsidRPr="00644028" w14:paraId="7FECB659" w14:textId="77777777" w:rsidTr="00AD2E9D">
        <w:trPr>
          <w:trHeight w:val="300"/>
        </w:trPr>
        <w:tc>
          <w:tcPr>
            <w:tcW w:w="2953" w:type="dxa"/>
            <w:noWrap/>
            <w:vAlign w:val="bottom"/>
            <w:hideMark/>
          </w:tcPr>
          <w:p w14:paraId="5305CC17" w14:textId="77777777" w:rsidR="003F07F5" w:rsidRPr="00644028" w:rsidRDefault="003F07F5" w:rsidP="00AD2E9D">
            <w:pPr>
              <w:rPr>
                <w:rFonts w:ascii="Arial" w:hAnsi="Arial" w:cs="Arial"/>
                <w:b/>
                <w:bCs/>
                <w:color w:val="000000"/>
              </w:rPr>
            </w:pPr>
            <w:r w:rsidRPr="00644028">
              <w:rPr>
                <w:rFonts w:ascii="Arial" w:hAnsi="Arial" w:cs="Arial"/>
                <w:b/>
                <w:bCs/>
                <w:color w:val="000000"/>
              </w:rPr>
              <w:t> </w:t>
            </w:r>
          </w:p>
        </w:tc>
        <w:tc>
          <w:tcPr>
            <w:tcW w:w="1739" w:type="dxa"/>
            <w:tcBorders>
              <w:top w:val="single" w:sz="12" w:space="0" w:color="auto"/>
              <w:bottom w:val="single" w:sz="12" w:space="0" w:color="auto"/>
            </w:tcBorders>
            <w:noWrap/>
            <w:vAlign w:val="bottom"/>
            <w:hideMark/>
          </w:tcPr>
          <w:p w14:paraId="20736726"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Preserved=173</w:t>
            </w:r>
          </w:p>
        </w:tc>
        <w:tc>
          <w:tcPr>
            <w:tcW w:w="1793" w:type="dxa"/>
            <w:tcBorders>
              <w:top w:val="single" w:sz="12" w:space="0" w:color="auto"/>
              <w:bottom w:val="single" w:sz="12" w:space="0" w:color="auto"/>
            </w:tcBorders>
            <w:noWrap/>
            <w:vAlign w:val="bottom"/>
            <w:hideMark/>
          </w:tcPr>
          <w:p w14:paraId="0648D9A6"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Eviscerated=38</w:t>
            </w:r>
          </w:p>
        </w:tc>
        <w:tc>
          <w:tcPr>
            <w:tcW w:w="1212" w:type="dxa"/>
          </w:tcPr>
          <w:p w14:paraId="33D27BAA" w14:textId="77777777" w:rsidR="003F07F5" w:rsidRPr="00644028" w:rsidRDefault="003F07F5" w:rsidP="00AD2E9D">
            <w:pPr>
              <w:jc w:val="center"/>
              <w:rPr>
                <w:rFonts w:ascii="Arial" w:hAnsi="Arial" w:cs="Arial"/>
                <w:b/>
                <w:bCs/>
                <w:color w:val="000000"/>
              </w:rPr>
            </w:pPr>
          </w:p>
        </w:tc>
        <w:tc>
          <w:tcPr>
            <w:tcW w:w="1212" w:type="dxa"/>
            <w:noWrap/>
            <w:vAlign w:val="bottom"/>
            <w:hideMark/>
          </w:tcPr>
          <w:p w14:paraId="2CDEF1BD" w14:textId="77777777" w:rsidR="003F07F5" w:rsidRPr="00644028" w:rsidRDefault="003F07F5" w:rsidP="00AD2E9D">
            <w:pPr>
              <w:jc w:val="center"/>
              <w:rPr>
                <w:rFonts w:ascii="Arial" w:hAnsi="Arial" w:cs="Arial"/>
                <w:b/>
                <w:bCs/>
                <w:color w:val="000000"/>
              </w:rPr>
            </w:pPr>
          </w:p>
        </w:tc>
      </w:tr>
      <w:tr w:rsidR="003F07F5" w:rsidRPr="00644028" w14:paraId="2EC19F42" w14:textId="77777777" w:rsidTr="00AD2E9D">
        <w:trPr>
          <w:trHeight w:val="300"/>
        </w:trPr>
        <w:tc>
          <w:tcPr>
            <w:tcW w:w="2953" w:type="dxa"/>
            <w:tcBorders>
              <w:bottom w:val="single" w:sz="12" w:space="0" w:color="auto"/>
            </w:tcBorders>
            <w:noWrap/>
            <w:vAlign w:val="bottom"/>
          </w:tcPr>
          <w:p w14:paraId="371C7A9B" w14:textId="77777777" w:rsidR="003F07F5" w:rsidRPr="00644028" w:rsidRDefault="003F07F5" w:rsidP="00AD2E9D">
            <w:pPr>
              <w:rPr>
                <w:rFonts w:ascii="Arial" w:hAnsi="Arial" w:cs="Arial"/>
                <w:b/>
                <w:bCs/>
                <w:color w:val="000000"/>
              </w:rPr>
            </w:pPr>
          </w:p>
        </w:tc>
        <w:tc>
          <w:tcPr>
            <w:tcW w:w="1739" w:type="dxa"/>
            <w:tcBorders>
              <w:top w:val="single" w:sz="12" w:space="0" w:color="auto"/>
              <w:bottom w:val="single" w:sz="12" w:space="0" w:color="auto"/>
            </w:tcBorders>
            <w:noWrap/>
            <w:vAlign w:val="bottom"/>
          </w:tcPr>
          <w:p w14:paraId="5A9852F7" w14:textId="77777777" w:rsidR="003F07F5" w:rsidRPr="00644028" w:rsidRDefault="003F07F5" w:rsidP="00AD2E9D">
            <w:pPr>
              <w:jc w:val="center"/>
              <w:rPr>
                <w:rFonts w:ascii="Arial" w:hAnsi="Arial" w:cs="Arial"/>
                <w:b/>
                <w:bCs/>
                <w:color w:val="000000"/>
              </w:rPr>
            </w:pPr>
            <w:proofErr w:type="gramStart"/>
            <w:r w:rsidRPr="00644028">
              <w:rPr>
                <w:rFonts w:ascii="Arial" w:hAnsi="Arial" w:cs="Arial"/>
                <w:b/>
                <w:bCs/>
                <w:color w:val="000000"/>
              </w:rPr>
              <w:t>n(</w:t>
            </w:r>
            <w:proofErr w:type="gramEnd"/>
            <w:r w:rsidRPr="00644028">
              <w:rPr>
                <w:rFonts w:ascii="Arial" w:hAnsi="Arial" w:cs="Arial"/>
                <w:b/>
                <w:bCs/>
                <w:color w:val="000000"/>
              </w:rPr>
              <w:t>%)</w:t>
            </w:r>
          </w:p>
        </w:tc>
        <w:tc>
          <w:tcPr>
            <w:tcW w:w="1793" w:type="dxa"/>
            <w:tcBorders>
              <w:top w:val="single" w:sz="12" w:space="0" w:color="auto"/>
              <w:bottom w:val="single" w:sz="12" w:space="0" w:color="auto"/>
            </w:tcBorders>
            <w:noWrap/>
            <w:vAlign w:val="bottom"/>
          </w:tcPr>
          <w:p w14:paraId="20B3B296" w14:textId="77777777" w:rsidR="003F07F5" w:rsidRPr="00644028" w:rsidRDefault="003F07F5" w:rsidP="00AD2E9D">
            <w:pPr>
              <w:jc w:val="center"/>
              <w:rPr>
                <w:rFonts w:ascii="Arial" w:hAnsi="Arial" w:cs="Arial"/>
                <w:b/>
                <w:bCs/>
                <w:color w:val="000000"/>
              </w:rPr>
            </w:pPr>
            <w:proofErr w:type="gramStart"/>
            <w:r w:rsidRPr="00644028">
              <w:rPr>
                <w:rFonts w:ascii="Arial" w:hAnsi="Arial" w:cs="Arial"/>
                <w:b/>
                <w:bCs/>
                <w:color w:val="000000"/>
              </w:rPr>
              <w:t>n(</w:t>
            </w:r>
            <w:proofErr w:type="gramEnd"/>
            <w:r w:rsidRPr="00644028">
              <w:rPr>
                <w:rFonts w:ascii="Arial" w:hAnsi="Arial" w:cs="Arial"/>
                <w:b/>
                <w:bCs/>
                <w:color w:val="000000"/>
              </w:rPr>
              <w:t>%)</w:t>
            </w:r>
          </w:p>
        </w:tc>
        <w:tc>
          <w:tcPr>
            <w:tcW w:w="1212" w:type="dxa"/>
            <w:tcBorders>
              <w:bottom w:val="single" w:sz="12" w:space="0" w:color="auto"/>
            </w:tcBorders>
          </w:tcPr>
          <w:p w14:paraId="28D6EAB4" w14:textId="77777777" w:rsidR="003F07F5" w:rsidRPr="00644028" w:rsidRDefault="003F07F5" w:rsidP="00AD2E9D">
            <w:pPr>
              <w:jc w:val="center"/>
              <w:rPr>
                <w:rFonts w:ascii="Arial" w:hAnsi="Arial" w:cs="Arial"/>
                <w:b/>
                <w:bCs/>
                <w:color w:val="000000"/>
              </w:rPr>
            </w:pPr>
          </w:p>
        </w:tc>
        <w:tc>
          <w:tcPr>
            <w:tcW w:w="1212" w:type="dxa"/>
            <w:tcBorders>
              <w:bottom w:val="single" w:sz="12" w:space="0" w:color="auto"/>
            </w:tcBorders>
            <w:noWrap/>
            <w:vAlign w:val="bottom"/>
          </w:tcPr>
          <w:p w14:paraId="57F6B66F" w14:textId="77777777" w:rsidR="003F07F5" w:rsidRPr="00644028" w:rsidRDefault="003F07F5" w:rsidP="00AD2E9D">
            <w:pPr>
              <w:jc w:val="center"/>
              <w:rPr>
                <w:rFonts w:ascii="Arial" w:hAnsi="Arial" w:cs="Arial"/>
                <w:b/>
                <w:bCs/>
                <w:color w:val="000000"/>
              </w:rPr>
            </w:pPr>
          </w:p>
        </w:tc>
      </w:tr>
      <w:tr w:rsidR="003F07F5" w:rsidRPr="00644028" w14:paraId="4B5240DA" w14:textId="77777777" w:rsidTr="00AD2E9D">
        <w:trPr>
          <w:trHeight w:val="300"/>
        </w:trPr>
        <w:tc>
          <w:tcPr>
            <w:tcW w:w="2953" w:type="dxa"/>
            <w:tcBorders>
              <w:top w:val="single" w:sz="12" w:space="0" w:color="auto"/>
            </w:tcBorders>
            <w:noWrap/>
            <w:vAlign w:val="bottom"/>
            <w:hideMark/>
          </w:tcPr>
          <w:p w14:paraId="55078622" w14:textId="77777777" w:rsidR="003F07F5" w:rsidRPr="00644028" w:rsidRDefault="003F07F5" w:rsidP="00AD2E9D">
            <w:pPr>
              <w:rPr>
                <w:rFonts w:ascii="Arial" w:hAnsi="Arial" w:cs="Arial"/>
                <w:color w:val="000000"/>
              </w:rPr>
            </w:pPr>
            <w:r w:rsidRPr="00644028">
              <w:rPr>
                <w:rFonts w:ascii="Arial" w:hAnsi="Arial" w:cs="Arial"/>
                <w:b/>
                <w:bCs/>
                <w:color w:val="000000"/>
              </w:rPr>
              <w:t>Sex of the participant</w:t>
            </w:r>
          </w:p>
        </w:tc>
        <w:tc>
          <w:tcPr>
            <w:tcW w:w="1739" w:type="dxa"/>
            <w:tcBorders>
              <w:top w:val="single" w:sz="12" w:space="0" w:color="auto"/>
            </w:tcBorders>
            <w:noWrap/>
            <w:vAlign w:val="bottom"/>
            <w:hideMark/>
          </w:tcPr>
          <w:p w14:paraId="1CB1BA6B" w14:textId="77777777" w:rsidR="003F07F5" w:rsidRPr="00644028" w:rsidRDefault="003F07F5" w:rsidP="00AD2E9D">
            <w:pPr>
              <w:jc w:val="center"/>
              <w:rPr>
                <w:rFonts w:ascii="Arial" w:hAnsi="Arial" w:cs="Arial"/>
                <w:color w:val="000000"/>
              </w:rPr>
            </w:pPr>
          </w:p>
        </w:tc>
        <w:tc>
          <w:tcPr>
            <w:tcW w:w="1793" w:type="dxa"/>
            <w:tcBorders>
              <w:top w:val="single" w:sz="12" w:space="0" w:color="auto"/>
            </w:tcBorders>
            <w:noWrap/>
            <w:vAlign w:val="bottom"/>
            <w:hideMark/>
          </w:tcPr>
          <w:p w14:paraId="69495C35" w14:textId="77777777" w:rsidR="003F07F5" w:rsidRPr="00644028" w:rsidRDefault="003F07F5" w:rsidP="00AD2E9D">
            <w:pPr>
              <w:jc w:val="center"/>
              <w:rPr>
                <w:rFonts w:ascii="Arial" w:hAnsi="Arial" w:cs="Arial"/>
                <w:color w:val="000000"/>
              </w:rPr>
            </w:pPr>
          </w:p>
        </w:tc>
        <w:tc>
          <w:tcPr>
            <w:tcW w:w="1212" w:type="dxa"/>
            <w:tcBorders>
              <w:top w:val="single" w:sz="12" w:space="0" w:color="auto"/>
            </w:tcBorders>
            <w:vAlign w:val="bottom"/>
          </w:tcPr>
          <w:p w14:paraId="3E634614" w14:textId="77777777" w:rsidR="003F07F5" w:rsidRPr="00644028" w:rsidRDefault="003F07F5" w:rsidP="00AD2E9D">
            <w:pPr>
              <w:jc w:val="center"/>
              <w:rPr>
                <w:rFonts w:ascii="Arial" w:hAnsi="Arial" w:cs="Arial"/>
                <w:color w:val="000000"/>
              </w:rPr>
            </w:pPr>
            <w:bookmarkStart w:id="22" w:name="_Hlk202091726"/>
            <w:r w:rsidRPr="00644028">
              <w:rPr>
                <w:rFonts w:ascii="Arial" w:eastAsia="Calibri" w:hAnsi="Arial" w:cs="Arial"/>
                <w:color w:val="000000"/>
                <w:kern w:val="2"/>
                <w14:ligatures w14:val="standardContextual"/>
              </w:rPr>
              <w:t>0.8387</w:t>
            </w:r>
            <w:bookmarkEnd w:id="22"/>
          </w:p>
        </w:tc>
        <w:tc>
          <w:tcPr>
            <w:tcW w:w="1212" w:type="dxa"/>
            <w:tcBorders>
              <w:top w:val="single" w:sz="12" w:space="0" w:color="auto"/>
            </w:tcBorders>
            <w:noWrap/>
            <w:vAlign w:val="bottom"/>
            <w:hideMark/>
          </w:tcPr>
          <w:p w14:paraId="01844B88" w14:textId="77777777" w:rsidR="003F07F5" w:rsidRPr="00644028" w:rsidRDefault="003F07F5" w:rsidP="00AD2E9D">
            <w:pPr>
              <w:jc w:val="center"/>
              <w:rPr>
                <w:rFonts w:ascii="Arial" w:hAnsi="Arial" w:cs="Arial"/>
                <w:color w:val="000000"/>
              </w:rPr>
            </w:pPr>
            <w:r w:rsidRPr="00644028">
              <w:rPr>
                <w:rFonts w:ascii="Arial" w:hAnsi="Arial" w:cs="Arial"/>
                <w:color w:val="000000"/>
              </w:rPr>
              <w:t>0.36</w:t>
            </w:r>
          </w:p>
        </w:tc>
      </w:tr>
      <w:tr w:rsidR="003F07F5" w:rsidRPr="00644028" w14:paraId="6EF8E98A" w14:textId="77777777" w:rsidTr="00AD2E9D">
        <w:trPr>
          <w:trHeight w:val="300"/>
        </w:trPr>
        <w:tc>
          <w:tcPr>
            <w:tcW w:w="2953" w:type="dxa"/>
            <w:noWrap/>
            <w:vAlign w:val="bottom"/>
            <w:hideMark/>
          </w:tcPr>
          <w:p w14:paraId="2D8EB7A0" w14:textId="77777777" w:rsidR="003F07F5" w:rsidRPr="00644028" w:rsidRDefault="003F07F5" w:rsidP="00AD2E9D">
            <w:pPr>
              <w:ind w:left="510"/>
              <w:rPr>
                <w:rFonts w:ascii="Arial" w:hAnsi="Arial" w:cs="Arial"/>
                <w:color w:val="000000"/>
              </w:rPr>
            </w:pPr>
            <w:r w:rsidRPr="00644028">
              <w:rPr>
                <w:rFonts w:ascii="Arial" w:hAnsi="Arial" w:cs="Arial"/>
                <w:color w:val="000000"/>
              </w:rPr>
              <w:t>Male</w:t>
            </w:r>
          </w:p>
        </w:tc>
        <w:tc>
          <w:tcPr>
            <w:tcW w:w="1739" w:type="dxa"/>
            <w:noWrap/>
            <w:vAlign w:val="bottom"/>
            <w:hideMark/>
          </w:tcPr>
          <w:p w14:paraId="57273E8E" w14:textId="77777777" w:rsidR="003F07F5" w:rsidRPr="00644028" w:rsidRDefault="003F07F5" w:rsidP="00AD2E9D">
            <w:pPr>
              <w:jc w:val="center"/>
              <w:rPr>
                <w:rFonts w:ascii="Arial" w:hAnsi="Arial" w:cs="Arial"/>
                <w:color w:val="000000"/>
              </w:rPr>
            </w:pPr>
            <w:r w:rsidRPr="00644028">
              <w:rPr>
                <w:rFonts w:ascii="Arial" w:hAnsi="Arial" w:cs="Arial"/>
                <w:color w:val="000000"/>
              </w:rPr>
              <w:t>105(84)</w:t>
            </w:r>
          </w:p>
        </w:tc>
        <w:tc>
          <w:tcPr>
            <w:tcW w:w="1793" w:type="dxa"/>
            <w:noWrap/>
            <w:vAlign w:val="bottom"/>
            <w:hideMark/>
          </w:tcPr>
          <w:p w14:paraId="1797A7BA" w14:textId="77777777" w:rsidR="003F07F5" w:rsidRPr="00644028" w:rsidRDefault="003F07F5" w:rsidP="00AD2E9D">
            <w:pPr>
              <w:jc w:val="center"/>
              <w:rPr>
                <w:rFonts w:ascii="Arial" w:hAnsi="Arial" w:cs="Arial"/>
                <w:color w:val="000000"/>
              </w:rPr>
            </w:pPr>
            <w:r w:rsidRPr="00644028">
              <w:rPr>
                <w:rFonts w:ascii="Arial" w:hAnsi="Arial" w:cs="Arial"/>
                <w:color w:val="000000"/>
              </w:rPr>
              <w:t>20(16)</w:t>
            </w:r>
          </w:p>
        </w:tc>
        <w:tc>
          <w:tcPr>
            <w:tcW w:w="1212" w:type="dxa"/>
            <w:vAlign w:val="bottom"/>
          </w:tcPr>
          <w:p w14:paraId="300A51C1" w14:textId="77777777" w:rsidR="003F07F5" w:rsidRPr="00644028" w:rsidRDefault="003F07F5" w:rsidP="00AD2E9D">
            <w:pPr>
              <w:jc w:val="center"/>
              <w:rPr>
                <w:rFonts w:ascii="Arial" w:hAnsi="Arial" w:cs="Arial"/>
                <w:color w:val="000000"/>
              </w:rPr>
            </w:pPr>
          </w:p>
        </w:tc>
        <w:tc>
          <w:tcPr>
            <w:tcW w:w="1212" w:type="dxa"/>
            <w:noWrap/>
            <w:vAlign w:val="bottom"/>
            <w:hideMark/>
          </w:tcPr>
          <w:p w14:paraId="16EF2205" w14:textId="77777777" w:rsidR="003F07F5" w:rsidRPr="00644028" w:rsidRDefault="003F07F5" w:rsidP="00AD2E9D">
            <w:pPr>
              <w:jc w:val="center"/>
              <w:rPr>
                <w:rFonts w:ascii="Arial" w:hAnsi="Arial" w:cs="Arial"/>
                <w:color w:val="000000"/>
              </w:rPr>
            </w:pPr>
          </w:p>
        </w:tc>
      </w:tr>
      <w:tr w:rsidR="003F07F5" w:rsidRPr="00644028" w14:paraId="5D15B60A" w14:textId="77777777" w:rsidTr="00AD2E9D">
        <w:trPr>
          <w:trHeight w:val="300"/>
        </w:trPr>
        <w:tc>
          <w:tcPr>
            <w:tcW w:w="2953" w:type="dxa"/>
            <w:noWrap/>
            <w:vAlign w:val="bottom"/>
            <w:hideMark/>
          </w:tcPr>
          <w:p w14:paraId="5E243729" w14:textId="77777777" w:rsidR="003F07F5" w:rsidRPr="00644028" w:rsidRDefault="003F07F5" w:rsidP="00AD2E9D">
            <w:pPr>
              <w:ind w:left="510"/>
              <w:rPr>
                <w:rFonts w:ascii="Arial" w:hAnsi="Arial" w:cs="Arial"/>
                <w:color w:val="000000"/>
              </w:rPr>
            </w:pPr>
            <w:r w:rsidRPr="00644028">
              <w:rPr>
                <w:rFonts w:ascii="Arial" w:hAnsi="Arial" w:cs="Arial"/>
                <w:color w:val="000000"/>
              </w:rPr>
              <w:t>Female</w:t>
            </w:r>
          </w:p>
        </w:tc>
        <w:tc>
          <w:tcPr>
            <w:tcW w:w="1739" w:type="dxa"/>
            <w:noWrap/>
            <w:vAlign w:val="bottom"/>
            <w:hideMark/>
          </w:tcPr>
          <w:p w14:paraId="2E650C9E" w14:textId="77777777" w:rsidR="003F07F5" w:rsidRPr="00644028" w:rsidRDefault="003F07F5" w:rsidP="00AD2E9D">
            <w:pPr>
              <w:jc w:val="center"/>
              <w:rPr>
                <w:rFonts w:ascii="Arial" w:hAnsi="Arial" w:cs="Arial"/>
                <w:color w:val="000000"/>
              </w:rPr>
            </w:pPr>
            <w:r w:rsidRPr="00644028">
              <w:rPr>
                <w:rFonts w:ascii="Arial" w:hAnsi="Arial" w:cs="Arial"/>
                <w:color w:val="000000"/>
              </w:rPr>
              <w:t>68(79.1)</w:t>
            </w:r>
          </w:p>
        </w:tc>
        <w:tc>
          <w:tcPr>
            <w:tcW w:w="1793" w:type="dxa"/>
            <w:noWrap/>
            <w:vAlign w:val="bottom"/>
            <w:hideMark/>
          </w:tcPr>
          <w:p w14:paraId="75A1D260" w14:textId="77777777" w:rsidR="003F07F5" w:rsidRPr="00644028" w:rsidRDefault="003F07F5" w:rsidP="00AD2E9D">
            <w:pPr>
              <w:jc w:val="center"/>
              <w:rPr>
                <w:rFonts w:ascii="Arial" w:hAnsi="Arial" w:cs="Arial"/>
                <w:color w:val="000000"/>
              </w:rPr>
            </w:pPr>
            <w:r w:rsidRPr="00644028">
              <w:rPr>
                <w:rFonts w:ascii="Arial" w:hAnsi="Arial" w:cs="Arial"/>
                <w:color w:val="000000"/>
              </w:rPr>
              <w:t>18(20.9)</w:t>
            </w:r>
          </w:p>
        </w:tc>
        <w:tc>
          <w:tcPr>
            <w:tcW w:w="1212" w:type="dxa"/>
            <w:vAlign w:val="bottom"/>
          </w:tcPr>
          <w:p w14:paraId="5C10A9EE" w14:textId="77777777" w:rsidR="003F07F5" w:rsidRPr="00644028" w:rsidRDefault="003F07F5" w:rsidP="00AD2E9D">
            <w:pPr>
              <w:jc w:val="center"/>
              <w:rPr>
                <w:rFonts w:ascii="Arial" w:hAnsi="Arial" w:cs="Arial"/>
                <w:color w:val="000000"/>
              </w:rPr>
            </w:pPr>
          </w:p>
        </w:tc>
        <w:tc>
          <w:tcPr>
            <w:tcW w:w="1212" w:type="dxa"/>
            <w:noWrap/>
            <w:vAlign w:val="bottom"/>
            <w:hideMark/>
          </w:tcPr>
          <w:p w14:paraId="0653EF73" w14:textId="77777777" w:rsidR="003F07F5" w:rsidRPr="00644028" w:rsidRDefault="003F07F5" w:rsidP="00AD2E9D">
            <w:pPr>
              <w:jc w:val="center"/>
              <w:rPr>
                <w:rFonts w:ascii="Arial" w:hAnsi="Arial" w:cs="Arial"/>
                <w:color w:val="000000"/>
              </w:rPr>
            </w:pPr>
          </w:p>
        </w:tc>
      </w:tr>
      <w:tr w:rsidR="003F07F5" w:rsidRPr="00644028" w14:paraId="389CE14F" w14:textId="77777777" w:rsidTr="00AD2E9D">
        <w:trPr>
          <w:trHeight w:val="300"/>
        </w:trPr>
        <w:tc>
          <w:tcPr>
            <w:tcW w:w="2953" w:type="dxa"/>
            <w:noWrap/>
            <w:vAlign w:val="bottom"/>
            <w:hideMark/>
          </w:tcPr>
          <w:p w14:paraId="24F57E5E" w14:textId="77777777" w:rsidR="003F07F5" w:rsidRPr="00644028" w:rsidRDefault="003F07F5" w:rsidP="00AD2E9D">
            <w:pPr>
              <w:rPr>
                <w:rFonts w:ascii="Arial" w:hAnsi="Arial" w:cs="Arial"/>
                <w:color w:val="000000"/>
              </w:rPr>
            </w:pPr>
            <w:r w:rsidRPr="00644028">
              <w:rPr>
                <w:rFonts w:ascii="Arial" w:hAnsi="Arial" w:cs="Arial"/>
                <w:b/>
                <w:bCs/>
                <w:color w:val="000000"/>
              </w:rPr>
              <w:t>Age of the participant</w:t>
            </w:r>
          </w:p>
        </w:tc>
        <w:tc>
          <w:tcPr>
            <w:tcW w:w="1739" w:type="dxa"/>
            <w:noWrap/>
            <w:vAlign w:val="bottom"/>
            <w:hideMark/>
          </w:tcPr>
          <w:p w14:paraId="78FDA2BA" w14:textId="77777777" w:rsidR="003F07F5" w:rsidRPr="00644028" w:rsidRDefault="003F07F5" w:rsidP="00AD2E9D">
            <w:pPr>
              <w:jc w:val="center"/>
              <w:rPr>
                <w:rFonts w:ascii="Arial" w:hAnsi="Arial" w:cs="Arial"/>
                <w:color w:val="000000"/>
              </w:rPr>
            </w:pPr>
          </w:p>
        </w:tc>
        <w:tc>
          <w:tcPr>
            <w:tcW w:w="1793" w:type="dxa"/>
            <w:noWrap/>
            <w:vAlign w:val="bottom"/>
            <w:hideMark/>
          </w:tcPr>
          <w:p w14:paraId="3558BDD2" w14:textId="77777777" w:rsidR="003F07F5" w:rsidRPr="00644028" w:rsidRDefault="003F07F5" w:rsidP="00AD2E9D">
            <w:pPr>
              <w:jc w:val="center"/>
              <w:rPr>
                <w:rFonts w:ascii="Arial" w:hAnsi="Arial" w:cs="Arial"/>
                <w:color w:val="000000"/>
              </w:rPr>
            </w:pPr>
          </w:p>
        </w:tc>
        <w:tc>
          <w:tcPr>
            <w:tcW w:w="1212" w:type="dxa"/>
            <w:vAlign w:val="bottom"/>
          </w:tcPr>
          <w:p w14:paraId="2876EBB2" w14:textId="77777777" w:rsidR="003F07F5" w:rsidRPr="00644028" w:rsidRDefault="003F07F5" w:rsidP="00AD2E9D">
            <w:pPr>
              <w:jc w:val="center"/>
              <w:rPr>
                <w:rFonts w:ascii="Arial" w:hAnsi="Arial" w:cs="Arial"/>
                <w:color w:val="000000"/>
              </w:rPr>
            </w:pPr>
            <w:bookmarkStart w:id="23" w:name="_Hlk202089006"/>
            <w:r w:rsidRPr="00644028">
              <w:rPr>
                <w:rFonts w:ascii="Arial" w:eastAsia="Calibri" w:hAnsi="Arial" w:cs="Arial"/>
                <w:color w:val="000000"/>
                <w:kern w:val="2"/>
                <w14:ligatures w14:val="standardContextual"/>
              </w:rPr>
              <w:t>8.7827</w:t>
            </w:r>
            <w:bookmarkEnd w:id="23"/>
          </w:p>
        </w:tc>
        <w:tc>
          <w:tcPr>
            <w:tcW w:w="1212" w:type="dxa"/>
            <w:noWrap/>
            <w:vAlign w:val="bottom"/>
            <w:hideMark/>
          </w:tcPr>
          <w:p w14:paraId="753CCD4C" w14:textId="77777777" w:rsidR="003F07F5" w:rsidRPr="00644028" w:rsidRDefault="003F07F5" w:rsidP="00AD2E9D">
            <w:pPr>
              <w:jc w:val="center"/>
              <w:rPr>
                <w:rFonts w:ascii="Arial" w:hAnsi="Arial" w:cs="Arial"/>
                <w:color w:val="000000"/>
              </w:rPr>
            </w:pPr>
            <w:r w:rsidRPr="00644028">
              <w:rPr>
                <w:rFonts w:ascii="Arial" w:hAnsi="Arial" w:cs="Arial"/>
                <w:color w:val="000000"/>
              </w:rPr>
              <w:t>0.003</w:t>
            </w:r>
          </w:p>
        </w:tc>
      </w:tr>
      <w:tr w:rsidR="003F07F5" w:rsidRPr="00644028" w14:paraId="467F44E1" w14:textId="77777777" w:rsidTr="00AD2E9D">
        <w:trPr>
          <w:trHeight w:val="300"/>
        </w:trPr>
        <w:tc>
          <w:tcPr>
            <w:tcW w:w="2953" w:type="dxa"/>
            <w:noWrap/>
            <w:vAlign w:val="bottom"/>
            <w:hideMark/>
          </w:tcPr>
          <w:p w14:paraId="757C618C" w14:textId="77777777" w:rsidR="003F07F5" w:rsidRPr="00644028" w:rsidRDefault="003F07F5" w:rsidP="00AD2E9D">
            <w:pPr>
              <w:ind w:left="510"/>
              <w:rPr>
                <w:rFonts w:ascii="Arial" w:hAnsi="Arial" w:cs="Arial"/>
                <w:color w:val="000000"/>
              </w:rPr>
            </w:pPr>
            <w:r w:rsidRPr="00644028">
              <w:rPr>
                <w:rFonts w:ascii="Arial" w:hAnsi="Arial" w:cs="Arial"/>
                <w:color w:val="000000"/>
              </w:rPr>
              <w:t>≤43</w:t>
            </w:r>
          </w:p>
        </w:tc>
        <w:tc>
          <w:tcPr>
            <w:tcW w:w="1739" w:type="dxa"/>
            <w:noWrap/>
            <w:vAlign w:val="bottom"/>
            <w:hideMark/>
          </w:tcPr>
          <w:p w14:paraId="3FB72D7F" w14:textId="77777777" w:rsidR="003F07F5" w:rsidRPr="00644028" w:rsidRDefault="003F07F5" w:rsidP="00AD2E9D">
            <w:pPr>
              <w:jc w:val="center"/>
              <w:rPr>
                <w:rFonts w:ascii="Arial" w:hAnsi="Arial" w:cs="Arial"/>
                <w:color w:val="000000"/>
              </w:rPr>
            </w:pPr>
            <w:r w:rsidRPr="00644028">
              <w:rPr>
                <w:rFonts w:ascii="Arial" w:hAnsi="Arial" w:cs="Arial"/>
                <w:color w:val="000000"/>
              </w:rPr>
              <w:t>96(89.7)</w:t>
            </w:r>
          </w:p>
        </w:tc>
        <w:tc>
          <w:tcPr>
            <w:tcW w:w="1793" w:type="dxa"/>
            <w:noWrap/>
            <w:vAlign w:val="bottom"/>
            <w:hideMark/>
          </w:tcPr>
          <w:p w14:paraId="715941DE" w14:textId="77777777" w:rsidR="003F07F5" w:rsidRPr="00644028" w:rsidRDefault="003F07F5" w:rsidP="00AD2E9D">
            <w:pPr>
              <w:jc w:val="center"/>
              <w:rPr>
                <w:rFonts w:ascii="Arial" w:hAnsi="Arial" w:cs="Arial"/>
                <w:color w:val="000000"/>
              </w:rPr>
            </w:pPr>
            <w:r w:rsidRPr="00644028">
              <w:rPr>
                <w:rFonts w:ascii="Arial" w:hAnsi="Arial" w:cs="Arial"/>
                <w:color w:val="000000"/>
              </w:rPr>
              <w:t>11(10.3)</w:t>
            </w:r>
          </w:p>
        </w:tc>
        <w:tc>
          <w:tcPr>
            <w:tcW w:w="1212" w:type="dxa"/>
            <w:vAlign w:val="bottom"/>
          </w:tcPr>
          <w:p w14:paraId="0840CE99" w14:textId="77777777" w:rsidR="003F07F5" w:rsidRPr="00644028" w:rsidRDefault="003F07F5" w:rsidP="00AD2E9D">
            <w:pPr>
              <w:jc w:val="center"/>
              <w:rPr>
                <w:rFonts w:ascii="Arial" w:hAnsi="Arial" w:cs="Arial"/>
                <w:color w:val="000000"/>
              </w:rPr>
            </w:pPr>
          </w:p>
        </w:tc>
        <w:tc>
          <w:tcPr>
            <w:tcW w:w="1212" w:type="dxa"/>
            <w:noWrap/>
            <w:vAlign w:val="bottom"/>
            <w:hideMark/>
          </w:tcPr>
          <w:p w14:paraId="39427B41" w14:textId="77777777" w:rsidR="003F07F5" w:rsidRPr="00644028" w:rsidRDefault="003F07F5" w:rsidP="00AD2E9D">
            <w:pPr>
              <w:jc w:val="center"/>
              <w:rPr>
                <w:rFonts w:ascii="Arial" w:hAnsi="Arial" w:cs="Arial"/>
                <w:color w:val="000000"/>
              </w:rPr>
            </w:pPr>
          </w:p>
        </w:tc>
      </w:tr>
      <w:tr w:rsidR="003F07F5" w:rsidRPr="00644028" w14:paraId="5755D038" w14:textId="77777777" w:rsidTr="00AD2E9D">
        <w:trPr>
          <w:trHeight w:val="300"/>
        </w:trPr>
        <w:tc>
          <w:tcPr>
            <w:tcW w:w="2953" w:type="dxa"/>
            <w:noWrap/>
            <w:vAlign w:val="bottom"/>
            <w:hideMark/>
          </w:tcPr>
          <w:p w14:paraId="1B824488" w14:textId="77777777" w:rsidR="003F07F5" w:rsidRPr="00644028" w:rsidRDefault="003F07F5" w:rsidP="00AD2E9D">
            <w:pPr>
              <w:ind w:left="510"/>
              <w:rPr>
                <w:rFonts w:ascii="Arial" w:hAnsi="Arial" w:cs="Arial"/>
                <w:color w:val="000000"/>
              </w:rPr>
            </w:pPr>
            <w:r w:rsidRPr="00644028">
              <w:rPr>
                <w:rFonts w:ascii="Arial" w:hAnsi="Arial" w:cs="Arial"/>
                <w:color w:val="000000"/>
              </w:rPr>
              <w:t>&gt;43</w:t>
            </w:r>
          </w:p>
        </w:tc>
        <w:tc>
          <w:tcPr>
            <w:tcW w:w="1739" w:type="dxa"/>
            <w:noWrap/>
            <w:vAlign w:val="bottom"/>
            <w:hideMark/>
          </w:tcPr>
          <w:p w14:paraId="6F8BD23F" w14:textId="77777777" w:rsidR="003F07F5" w:rsidRPr="00644028" w:rsidRDefault="003F07F5" w:rsidP="00AD2E9D">
            <w:pPr>
              <w:jc w:val="center"/>
              <w:rPr>
                <w:rFonts w:ascii="Arial" w:hAnsi="Arial" w:cs="Arial"/>
                <w:color w:val="000000"/>
              </w:rPr>
            </w:pPr>
            <w:r w:rsidRPr="00644028">
              <w:rPr>
                <w:rFonts w:ascii="Arial" w:hAnsi="Arial" w:cs="Arial"/>
                <w:color w:val="000000"/>
              </w:rPr>
              <w:t>77(74)</w:t>
            </w:r>
          </w:p>
        </w:tc>
        <w:tc>
          <w:tcPr>
            <w:tcW w:w="1793" w:type="dxa"/>
            <w:noWrap/>
            <w:vAlign w:val="bottom"/>
            <w:hideMark/>
          </w:tcPr>
          <w:p w14:paraId="620DA79B" w14:textId="77777777" w:rsidR="003F07F5" w:rsidRPr="00644028" w:rsidRDefault="003F07F5" w:rsidP="00AD2E9D">
            <w:pPr>
              <w:jc w:val="center"/>
              <w:rPr>
                <w:rFonts w:ascii="Arial" w:hAnsi="Arial" w:cs="Arial"/>
                <w:color w:val="000000"/>
              </w:rPr>
            </w:pPr>
            <w:r w:rsidRPr="00644028">
              <w:rPr>
                <w:rFonts w:ascii="Arial" w:hAnsi="Arial" w:cs="Arial"/>
                <w:color w:val="000000"/>
              </w:rPr>
              <w:t>27(26)</w:t>
            </w:r>
          </w:p>
        </w:tc>
        <w:tc>
          <w:tcPr>
            <w:tcW w:w="1212" w:type="dxa"/>
            <w:vAlign w:val="bottom"/>
          </w:tcPr>
          <w:p w14:paraId="40E3D4BA" w14:textId="77777777" w:rsidR="003F07F5" w:rsidRPr="00644028" w:rsidRDefault="003F07F5" w:rsidP="00AD2E9D">
            <w:pPr>
              <w:jc w:val="center"/>
              <w:rPr>
                <w:rFonts w:ascii="Arial" w:hAnsi="Arial" w:cs="Arial"/>
                <w:color w:val="000000"/>
              </w:rPr>
            </w:pPr>
          </w:p>
        </w:tc>
        <w:tc>
          <w:tcPr>
            <w:tcW w:w="1212" w:type="dxa"/>
            <w:noWrap/>
            <w:vAlign w:val="bottom"/>
            <w:hideMark/>
          </w:tcPr>
          <w:p w14:paraId="7F64C13A" w14:textId="77777777" w:rsidR="003F07F5" w:rsidRPr="00644028" w:rsidRDefault="003F07F5" w:rsidP="00AD2E9D">
            <w:pPr>
              <w:jc w:val="center"/>
              <w:rPr>
                <w:rFonts w:ascii="Arial" w:hAnsi="Arial" w:cs="Arial"/>
                <w:color w:val="000000"/>
              </w:rPr>
            </w:pPr>
          </w:p>
        </w:tc>
      </w:tr>
      <w:tr w:rsidR="003F07F5" w:rsidRPr="00644028" w14:paraId="25ACD401" w14:textId="77777777" w:rsidTr="00AD2E9D">
        <w:trPr>
          <w:trHeight w:val="300"/>
        </w:trPr>
        <w:tc>
          <w:tcPr>
            <w:tcW w:w="2953" w:type="dxa"/>
            <w:noWrap/>
            <w:vAlign w:val="bottom"/>
            <w:hideMark/>
          </w:tcPr>
          <w:p w14:paraId="1221E1D1" w14:textId="77777777" w:rsidR="003F07F5" w:rsidRPr="00644028" w:rsidRDefault="003F07F5" w:rsidP="00AD2E9D">
            <w:pPr>
              <w:rPr>
                <w:rFonts w:ascii="Arial" w:hAnsi="Arial" w:cs="Arial"/>
                <w:b/>
                <w:bCs/>
                <w:color w:val="000000"/>
              </w:rPr>
            </w:pPr>
            <w:r w:rsidRPr="00644028">
              <w:rPr>
                <w:rFonts w:ascii="Arial" w:hAnsi="Arial" w:cs="Arial"/>
                <w:b/>
                <w:bCs/>
                <w:color w:val="000000"/>
              </w:rPr>
              <w:t>Cause of endophthalmitis</w:t>
            </w:r>
          </w:p>
        </w:tc>
        <w:tc>
          <w:tcPr>
            <w:tcW w:w="1739" w:type="dxa"/>
            <w:noWrap/>
            <w:vAlign w:val="bottom"/>
            <w:hideMark/>
          </w:tcPr>
          <w:p w14:paraId="38E0D0DD" w14:textId="77777777" w:rsidR="003F07F5" w:rsidRPr="00644028" w:rsidRDefault="003F07F5" w:rsidP="00AD2E9D">
            <w:pPr>
              <w:jc w:val="center"/>
              <w:rPr>
                <w:rFonts w:ascii="Arial" w:hAnsi="Arial" w:cs="Arial"/>
                <w:color w:val="000000"/>
              </w:rPr>
            </w:pPr>
          </w:p>
        </w:tc>
        <w:tc>
          <w:tcPr>
            <w:tcW w:w="1793" w:type="dxa"/>
            <w:noWrap/>
            <w:vAlign w:val="bottom"/>
            <w:hideMark/>
          </w:tcPr>
          <w:p w14:paraId="23B98222" w14:textId="77777777" w:rsidR="003F07F5" w:rsidRPr="00644028" w:rsidRDefault="003F07F5" w:rsidP="00AD2E9D">
            <w:pPr>
              <w:jc w:val="center"/>
              <w:rPr>
                <w:rFonts w:ascii="Arial" w:hAnsi="Arial" w:cs="Arial"/>
                <w:color w:val="000000"/>
              </w:rPr>
            </w:pPr>
          </w:p>
        </w:tc>
        <w:tc>
          <w:tcPr>
            <w:tcW w:w="1212" w:type="dxa"/>
            <w:vAlign w:val="bottom"/>
          </w:tcPr>
          <w:p w14:paraId="1EC20FA5" w14:textId="77777777" w:rsidR="003F07F5" w:rsidRPr="00644028" w:rsidRDefault="003F07F5" w:rsidP="00AD2E9D">
            <w:pPr>
              <w:jc w:val="center"/>
              <w:rPr>
                <w:rFonts w:ascii="Arial" w:hAnsi="Arial" w:cs="Arial"/>
                <w:color w:val="000000"/>
              </w:rPr>
            </w:pPr>
            <w:bookmarkStart w:id="24" w:name="_Hlk202090223"/>
            <w:r w:rsidRPr="00644028">
              <w:rPr>
                <w:rFonts w:ascii="Arial" w:eastAsia="Calibri" w:hAnsi="Arial" w:cs="Arial"/>
                <w:color w:val="000000"/>
                <w:kern w:val="2"/>
                <w14:ligatures w14:val="standardContextual"/>
              </w:rPr>
              <w:t>21.3979</w:t>
            </w:r>
            <w:bookmarkEnd w:id="24"/>
          </w:p>
        </w:tc>
        <w:tc>
          <w:tcPr>
            <w:tcW w:w="1212" w:type="dxa"/>
            <w:noWrap/>
            <w:vAlign w:val="bottom"/>
            <w:hideMark/>
          </w:tcPr>
          <w:p w14:paraId="15DEF6C0" w14:textId="77777777" w:rsidR="003F07F5" w:rsidRPr="00644028" w:rsidRDefault="003F07F5" w:rsidP="00AD2E9D">
            <w:pPr>
              <w:jc w:val="center"/>
              <w:rPr>
                <w:rFonts w:ascii="Arial" w:hAnsi="Arial" w:cs="Arial"/>
                <w:color w:val="000000"/>
              </w:rPr>
            </w:pPr>
            <w:r w:rsidRPr="00644028">
              <w:rPr>
                <w:rFonts w:ascii="Arial" w:hAnsi="Arial" w:cs="Arial"/>
                <w:color w:val="000000"/>
              </w:rPr>
              <w:t>&lt;0.001</w:t>
            </w:r>
          </w:p>
        </w:tc>
      </w:tr>
      <w:tr w:rsidR="003F07F5" w:rsidRPr="00644028" w14:paraId="2BD186AD" w14:textId="77777777" w:rsidTr="00AD2E9D">
        <w:trPr>
          <w:trHeight w:val="300"/>
        </w:trPr>
        <w:tc>
          <w:tcPr>
            <w:tcW w:w="2953" w:type="dxa"/>
            <w:noWrap/>
            <w:vAlign w:val="bottom"/>
            <w:hideMark/>
          </w:tcPr>
          <w:p w14:paraId="724E034D" w14:textId="77777777" w:rsidR="003F07F5" w:rsidRPr="00644028" w:rsidRDefault="003F07F5" w:rsidP="00AD2E9D">
            <w:pPr>
              <w:ind w:left="510"/>
              <w:rPr>
                <w:rFonts w:ascii="Arial" w:hAnsi="Arial" w:cs="Arial"/>
                <w:color w:val="000000"/>
              </w:rPr>
            </w:pPr>
            <w:r w:rsidRPr="00644028">
              <w:rPr>
                <w:rFonts w:ascii="Arial" w:hAnsi="Arial" w:cs="Arial"/>
                <w:color w:val="000000"/>
              </w:rPr>
              <w:lastRenderedPageBreak/>
              <w:t>Cornea ulcer related</w:t>
            </w:r>
          </w:p>
        </w:tc>
        <w:tc>
          <w:tcPr>
            <w:tcW w:w="1739" w:type="dxa"/>
            <w:noWrap/>
            <w:vAlign w:val="bottom"/>
            <w:hideMark/>
          </w:tcPr>
          <w:p w14:paraId="35E1921E" w14:textId="77777777" w:rsidR="003F07F5" w:rsidRPr="00644028" w:rsidRDefault="003F07F5" w:rsidP="00AD2E9D">
            <w:pPr>
              <w:jc w:val="center"/>
              <w:rPr>
                <w:rFonts w:ascii="Arial" w:hAnsi="Arial" w:cs="Arial"/>
                <w:color w:val="000000"/>
              </w:rPr>
            </w:pPr>
            <w:r w:rsidRPr="00644028">
              <w:rPr>
                <w:rFonts w:ascii="Arial" w:hAnsi="Arial" w:cs="Arial"/>
                <w:color w:val="000000"/>
              </w:rPr>
              <w:t>74(69.8)</w:t>
            </w:r>
          </w:p>
        </w:tc>
        <w:tc>
          <w:tcPr>
            <w:tcW w:w="1793" w:type="dxa"/>
            <w:noWrap/>
            <w:vAlign w:val="bottom"/>
            <w:hideMark/>
          </w:tcPr>
          <w:p w14:paraId="29AF472A" w14:textId="77777777" w:rsidR="003F07F5" w:rsidRPr="00644028" w:rsidRDefault="003F07F5" w:rsidP="00AD2E9D">
            <w:pPr>
              <w:jc w:val="center"/>
              <w:rPr>
                <w:rFonts w:ascii="Arial" w:hAnsi="Arial" w:cs="Arial"/>
                <w:color w:val="000000"/>
              </w:rPr>
            </w:pPr>
            <w:r w:rsidRPr="00644028">
              <w:rPr>
                <w:rFonts w:ascii="Arial" w:hAnsi="Arial" w:cs="Arial"/>
                <w:color w:val="000000"/>
              </w:rPr>
              <w:t>32(30.2)</w:t>
            </w:r>
          </w:p>
        </w:tc>
        <w:tc>
          <w:tcPr>
            <w:tcW w:w="1212" w:type="dxa"/>
            <w:vAlign w:val="bottom"/>
          </w:tcPr>
          <w:p w14:paraId="4449EDED" w14:textId="77777777" w:rsidR="003F07F5" w:rsidRPr="00644028" w:rsidRDefault="003F07F5" w:rsidP="00AD2E9D">
            <w:pPr>
              <w:jc w:val="center"/>
              <w:rPr>
                <w:rFonts w:ascii="Arial" w:hAnsi="Arial" w:cs="Arial"/>
                <w:color w:val="000000"/>
              </w:rPr>
            </w:pPr>
          </w:p>
        </w:tc>
        <w:tc>
          <w:tcPr>
            <w:tcW w:w="1212" w:type="dxa"/>
            <w:noWrap/>
            <w:vAlign w:val="bottom"/>
            <w:hideMark/>
          </w:tcPr>
          <w:p w14:paraId="63396481" w14:textId="77777777" w:rsidR="003F07F5" w:rsidRPr="00644028" w:rsidRDefault="003F07F5" w:rsidP="00AD2E9D">
            <w:pPr>
              <w:jc w:val="center"/>
              <w:rPr>
                <w:rFonts w:ascii="Arial" w:hAnsi="Arial" w:cs="Arial"/>
                <w:color w:val="000000"/>
              </w:rPr>
            </w:pPr>
          </w:p>
        </w:tc>
      </w:tr>
      <w:tr w:rsidR="003F07F5" w:rsidRPr="00644028" w14:paraId="004AD404" w14:textId="77777777" w:rsidTr="00AD2E9D">
        <w:trPr>
          <w:trHeight w:val="300"/>
        </w:trPr>
        <w:tc>
          <w:tcPr>
            <w:tcW w:w="2953" w:type="dxa"/>
            <w:noWrap/>
            <w:vAlign w:val="bottom"/>
            <w:hideMark/>
          </w:tcPr>
          <w:p w14:paraId="20285E36" w14:textId="77777777" w:rsidR="003F07F5" w:rsidRPr="00644028" w:rsidRDefault="003F07F5" w:rsidP="00AD2E9D">
            <w:pPr>
              <w:ind w:left="510"/>
              <w:rPr>
                <w:rFonts w:ascii="Arial" w:hAnsi="Arial" w:cs="Arial"/>
                <w:color w:val="000000"/>
              </w:rPr>
            </w:pPr>
            <w:r w:rsidRPr="00644028">
              <w:rPr>
                <w:rFonts w:ascii="Arial" w:hAnsi="Arial" w:cs="Arial"/>
                <w:color w:val="000000"/>
              </w:rPr>
              <w:t>Other</w:t>
            </w:r>
          </w:p>
        </w:tc>
        <w:tc>
          <w:tcPr>
            <w:tcW w:w="1739" w:type="dxa"/>
            <w:noWrap/>
            <w:vAlign w:val="bottom"/>
            <w:hideMark/>
          </w:tcPr>
          <w:p w14:paraId="47B2FC68" w14:textId="77777777" w:rsidR="003F07F5" w:rsidRPr="00644028" w:rsidRDefault="003F07F5" w:rsidP="00AD2E9D">
            <w:pPr>
              <w:jc w:val="center"/>
              <w:rPr>
                <w:rFonts w:ascii="Arial" w:hAnsi="Arial" w:cs="Arial"/>
                <w:color w:val="000000"/>
              </w:rPr>
            </w:pPr>
            <w:r w:rsidRPr="00644028">
              <w:rPr>
                <w:rFonts w:ascii="Arial" w:hAnsi="Arial" w:cs="Arial"/>
                <w:color w:val="000000"/>
              </w:rPr>
              <w:t>99(94.3)</w:t>
            </w:r>
          </w:p>
        </w:tc>
        <w:tc>
          <w:tcPr>
            <w:tcW w:w="1793" w:type="dxa"/>
            <w:noWrap/>
            <w:vAlign w:val="bottom"/>
            <w:hideMark/>
          </w:tcPr>
          <w:p w14:paraId="388A03DD" w14:textId="77777777" w:rsidR="003F07F5" w:rsidRPr="00644028" w:rsidRDefault="003F07F5" w:rsidP="00AD2E9D">
            <w:pPr>
              <w:jc w:val="center"/>
              <w:rPr>
                <w:rFonts w:ascii="Arial" w:hAnsi="Arial" w:cs="Arial"/>
                <w:color w:val="000000"/>
              </w:rPr>
            </w:pPr>
            <w:r w:rsidRPr="00644028">
              <w:rPr>
                <w:rFonts w:ascii="Arial" w:hAnsi="Arial" w:cs="Arial"/>
                <w:color w:val="000000"/>
              </w:rPr>
              <w:t>6(5.7)</w:t>
            </w:r>
          </w:p>
        </w:tc>
        <w:tc>
          <w:tcPr>
            <w:tcW w:w="1212" w:type="dxa"/>
            <w:vAlign w:val="bottom"/>
          </w:tcPr>
          <w:p w14:paraId="21C30636" w14:textId="77777777" w:rsidR="003F07F5" w:rsidRPr="00644028" w:rsidRDefault="003F07F5" w:rsidP="00AD2E9D">
            <w:pPr>
              <w:jc w:val="center"/>
              <w:rPr>
                <w:rFonts w:ascii="Arial" w:hAnsi="Arial" w:cs="Arial"/>
                <w:color w:val="000000"/>
              </w:rPr>
            </w:pPr>
          </w:p>
        </w:tc>
        <w:tc>
          <w:tcPr>
            <w:tcW w:w="1212" w:type="dxa"/>
            <w:noWrap/>
            <w:vAlign w:val="bottom"/>
            <w:hideMark/>
          </w:tcPr>
          <w:p w14:paraId="51D1FFB0" w14:textId="77777777" w:rsidR="003F07F5" w:rsidRPr="00644028" w:rsidRDefault="003F07F5" w:rsidP="00AD2E9D">
            <w:pPr>
              <w:jc w:val="center"/>
              <w:rPr>
                <w:rFonts w:ascii="Arial" w:hAnsi="Arial" w:cs="Arial"/>
                <w:color w:val="000000"/>
              </w:rPr>
            </w:pPr>
          </w:p>
        </w:tc>
      </w:tr>
      <w:tr w:rsidR="003F07F5" w:rsidRPr="00644028" w14:paraId="06A79C8B" w14:textId="77777777" w:rsidTr="00AD2E9D">
        <w:trPr>
          <w:trHeight w:val="300"/>
        </w:trPr>
        <w:tc>
          <w:tcPr>
            <w:tcW w:w="2953" w:type="dxa"/>
            <w:noWrap/>
            <w:vAlign w:val="bottom"/>
            <w:hideMark/>
          </w:tcPr>
          <w:p w14:paraId="51B43F18" w14:textId="77777777" w:rsidR="003F07F5" w:rsidRPr="00644028" w:rsidRDefault="003F07F5" w:rsidP="00AD2E9D">
            <w:pPr>
              <w:rPr>
                <w:rFonts w:ascii="Arial" w:hAnsi="Arial" w:cs="Arial"/>
                <w:color w:val="000000"/>
              </w:rPr>
            </w:pPr>
            <w:r w:rsidRPr="00644028">
              <w:rPr>
                <w:rFonts w:ascii="Arial" w:hAnsi="Arial" w:cs="Arial"/>
                <w:b/>
                <w:bCs/>
                <w:color w:val="000000"/>
              </w:rPr>
              <w:t>History of diabetes</w:t>
            </w:r>
          </w:p>
        </w:tc>
        <w:tc>
          <w:tcPr>
            <w:tcW w:w="1739" w:type="dxa"/>
            <w:noWrap/>
            <w:vAlign w:val="bottom"/>
            <w:hideMark/>
          </w:tcPr>
          <w:p w14:paraId="0AE56AEB" w14:textId="77777777" w:rsidR="003F07F5" w:rsidRPr="00644028" w:rsidRDefault="003F07F5" w:rsidP="00AD2E9D">
            <w:pPr>
              <w:jc w:val="center"/>
              <w:rPr>
                <w:rFonts w:ascii="Arial" w:hAnsi="Arial" w:cs="Arial"/>
                <w:color w:val="000000"/>
              </w:rPr>
            </w:pPr>
          </w:p>
        </w:tc>
        <w:tc>
          <w:tcPr>
            <w:tcW w:w="1793" w:type="dxa"/>
            <w:noWrap/>
            <w:vAlign w:val="bottom"/>
            <w:hideMark/>
          </w:tcPr>
          <w:p w14:paraId="1E436A27" w14:textId="77777777" w:rsidR="003F07F5" w:rsidRPr="00644028" w:rsidRDefault="003F07F5" w:rsidP="00AD2E9D">
            <w:pPr>
              <w:jc w:val="center"/>
              <w:rPr>
                <w:rFonts w:ascii="Arial" w:hAnsi="Arial" w:cs="Arial"/>
                <w:color w:val="000000"/>
              </w:rPr>
            </w:pPr>
          </w:p>
        </w:tc>
        <w:tc>
          <w:tcPr>
            <w:tcW w:w="1212" w:type="dxa"/>
            <w:vAlign w:val="bottom"/>
          </w:tcPr>
          <w:p w14:paraId="1B4C172A" w14:textId="77777777" w:rsidR="003F07F5" w:rsidRPr="00644028" w:rsidRDefault="003F07F5" w:rsidP="00AD2E9D">
            <w:pPr>
              <w:jc w:val="center"/>
              <w:rPr>
                <w:rFonts w:ascii="Arial" w:hAnsi="Arial" w:cs="Arial"/>
                <w:color w:val="000000"/>
              </w:rPr>
            </w:pPr>
            <w:r w:rsidRPr="00644028">
              <w:rPr>
                <w:rFonts w:ascii="Arial" w:eastAsia="Calibri" w:hAnsi="Arial" w:cs="Arial"/>
                <w:color w:val="000000"/>
                <w:kern w:val="2"/>
                <w14:ligatures w14:val="standardContextual"/>
              </w:rPr>
              <w:t>4.2913</w:t>
            </w:r>
          </w:p>
        </w:tc>
        <w:tc>
          <w:tcPr>
            <w:tcW w:w="1212" w:type="dxa"/>
            <w:noWrap/>
            <w:vAlign w:val="bottom"/>
            <w:hideMark/>
          </w:tcPr>
          <w:p w14:paraId="51215430" w14:textId="77777777" w:rsidR="003F07F5" w:rsidRPr="00644028" w:rsidRDefault="003F07F5" w:rsidP="00AD2E9D">
            <w:pPr>
              <w:jc w:val="center"/>
              <w:rPr>
                <w:rFonts w:ascii="Arial" w:hAnsi="Arial" w:cs="Arial"/>
                <w:color w:val="000000"/>
              </w:rPr>
            </w:pPr>
            <w:r w:rsidRPr="00644028">
              <w:rPr>
                <w:rFonts w:ascii="Arial" w:hAnsi="Arial" w:cs="Arial"/>
                <w:color w:val="000000"/>
              </w:rPr>
              <w:t>0.038</w:t>
            </w:r>
          </w:p>
        </w:tc>
      </w:tr>
      <w:tr w:rsidR="003F07F5" w:rsidRPr="00644028" w14:paraId="13D59185" w14:textId="77777777" w:rsidTr="00AD2E9D">
        <w:trPr>
          <w:trHeight w:val="300"/>
        </w:trPr>
        <w:tc>
          <w:tcPr>
            <w:tcW w:w="2953" w:type="dxa"/>
            <w:noWrap/>
            <w:vAlign w:val="bottom"/>
            <w:hideMark/>
          </w:tcPr>
          <w:p w14:paraId="672D3192" w14:textId="77777777" w:rsidR="003F07F5" w:rsidRPr="00644028" w:rsidRDefault="003F07F5" w:rsidP="00AD2E9D">
            <w:pPr>
              <w:ind w:left="510"/>
              <w:rPr>
                <w:rFonts w:ascii="Arial" w:hAnsi="Arial" w:cs="Arial"/>
                <w:color w:val="000000"/>
              </w:rPr>
            </w:pPr>
            <w:r w:rsidRPr="00644028">
              <w:rPr>
                <w:rFonts w:ascii="Arial" w:hAnsi="Arial" w:cs="Arial"/>
                <w:color w:val="000000"/>
              </w:rPr>
              <w:t>No</w:t>
            </w:r>
          </w:p>
        </w:tc>
        <w:tc>
          <w:tcPr>
            <w:tcW w:w="1739" w:type="dxa"/>
            <w:noWrap/>
            <w:vAlign w:val="bottom"/>
            <w:hideMark/>
          </w:tcPr>
          <w:p w14:paraId="4BD3AD44" w14:textId="77777777" w:rsidR="003F07F5" w:rsidRPr="00644028" w:rsidRDefault="003F07F5" w:rsidP="00AD2E9D">
            <w:pPr>
              <w:jc w:val="center"/>
              <w:rPr>
                <w:rFonts w:ascii="Arial" w:hAnsi="Arial" w:cs="Arial"/>
                <w:color w:val="000000"/>
              </w:rPr>
            </w:pPr>
            <w:r w:rsidRPr="00644028">
              <w:rPr>
                <w:rFonts w:ascii="Arial" w:hAnsi="Arial" w:cs="Arial"/>
                <w:color w:val="000000"/>
              </w:rPr>
              <w:t>147(79.9)</w:t>
            </w:r>
          </w:p>
        </w:tc>
        <w:tc>
          <w:tcPr>
            <w:tcW w:w="1793" w:type="dxa"/>
            <w:noWrap/>
            <w:vAlign w:val="bottom"/>
            <w:hideMark/>
          </w:tcPr>
          <w:p w14:paraId="12AAF3E1" w14:textId="77777777" w:rsidR="003F07F5" w:rsidRPr="00644028" w:rsidRDefault="003F07F5" w:rsidP="00AD2E9D">
            <w:pPr>
              <w:jc w:val="center"/>
              <w:rPr>
                <w:rFonts w:ascii="Arial" w:hAnsi="Arial" w:cs="Arial"/>
                <w:color w:val="000000"/>
              </w:rPr>
            </w:pPr>
            <w:r w:rsidRPr="00644028">
              <w:rPr>
                <w:rFonts w:ascii="Arial" w:hAnsi="Arial" w:cs="Arial"/>
                <w:color w:val="000000"/>
              </w:rPr>
              <w:t>37(20.1)</w:t>
            </w:r>
          </w:p>
        </w:tc>
        <w:tc>
          <w:tcPr>
            <w:tcW w:w="1212" w:type="dxa"/>
            <w:vAlign w:val="bottom"/>
          </w:tcPr>
          <w:p w14:paraId="435AC0FA" w14:textId="77777777" w:rsidR="003F07F5" w:rsidRPr="00644028" w:rsidRDefault="003F07F5" w:rsidP="00AD2E9D">
            <w:pPr>
              <w:jc w:val="center"/>
              <w:rPr>
                <w:rFonts w:ascii="Arial" w:hAnsi="Arial" w:cs="Arial"/>
                <w:color w:val="000000"/>
              </w:rPr>
            </w:pPr>
          </w:p>
        </w:tc>
        <w:tc>
          <w:tcPr>
            <w:tcW w:w="1212" w:type="dxa"/>
            <w:noWrap/>
            <w:vAlign w:val="bottom"/>
            <w:hideMark/>
          </w:tcPr>
          <w:p w14:paraId="0BAA002E" w14:textId="77777777" w:rsidR="003F07F5" w:rsidRPr="00644028" w:rsidRDefault="003F07F5" w:rsidP="00AD2E9D">
            <w:pPr>
              <w:jc w:val="center"/>
              <w:rPr>
                <w:rFonts w:ascii="Arial" w:hAnsi="Arial" w:cs="Arial"/>
                <w:color w:val="000000"/>
              </w:rPr>
            </w:pPr>
          </w:p>
        </w:tc>
      </w:tr>
      <w:tr w:rsidR="003F07F5" w:rsidRPr="00644028" w14:paraId="6C80139E" w14:textId="77777777" w:rsidTr="00AD2E9D">
        <w:trPr>
          <w:trHeight w:val="300"/>
        </w:trPr>
        <w:tc>
          <w:tcPr>
            <w:tcW w:w="2953" w:type="dxa"/>
            <w:noWrap/>
            <w:vAlign w:val="bottom"/>
            <w:hideMark/>
          </w:tcPr>
          <w:p w14:paraId="033C66A0" w14:textId="77777777" w:rsidR="003F07F5" w:rsidRPr="00644028" w:rsidRDefault="003F07F5" w:rsidP="00AD2E9D">
            <w:pPr>
              <w:ind w:left="510"/>
              <w:rPr>
                <w:rFonts w:ascii="Arial" w:hAnsi="Arial" w:cs="Arial"/>
                <w:color w:val="000000"/>
              </w:rPr>
            </w:pPr>
            <w:r w:rsidRPr="00644028">
              <w:rPr>
                <w:rFonts w:ascii="Arial" w:hAnsi="Arial" w:cs="Arial"/>
                <w:color w:val="000000"/>
              </w:rPr>
              <w:t>Yes</w:t>
            </w:r>
          </w:p>
        </w:tc>
        <w:tc>
          <w:tcPr>
            <w:tcW w:w="1739" w:type="dxa"/>
            <w:noWrap/>
            <w:vAlign w:val="bottom"/>
            <w:hideMark/>
          </w:tcPr>
          <w:p w14:paraId="3F39AA4B" w14:textId="77777777" w:rsidR="003F07F5" w:rsidRPr="00644028" w:rsidRDefault="003F07F5" w:rsidP="00AD2E9D">
            <w:pPr>
              <w:jc w:val="center"/>
              <w:rPr>
                <w:rFonts w:ascii="Arial" w:hAnsi="Arial" w:cs="Arial"/>
                <w:color w:val="000000"/>
              </w:rPr>
            </w:pPr>
            <w:r w:rsidRPr="00644028">
              <w:rPr>
                <w:rFonts w:ascii="Arial" w:hAnsi="Arial" w:cs="Arial"/>
                <w:color w:val="000000"/>
              </w:rPr>
              <w:t>26(96.3)</w:t>
            </w:r>
          </w:p>
        </w:tc>
        <w:tc>
          <w:tcPr>
            <w:tcW w:w="1793" w:type="dxa"/>
            <w:noWrap/>
            <w:vAlign w:val="bottom"/>
            <w:hideMark/>
          </w:tcPr>
          <w:p w14:paraId="2246D27F" w14:textId="77777777" w:rsidR="003F07F5" w:rsidRPr="00644028" w:rsidRDefault="003F07F5" w:rsidP="00AD2E9D">
            <w:pPr>
              <w:jc w:val="center"/>
              <w:rPr>
                <w:rFonts w:ascii="Arial" w:hAnsi="Arial" w:cs="Arial"/>
                <w:color w:val="000000"/>
              </w:rPr>
            </w:pPr>
            <w:r w:rsidRPr="00644028">
              <w:rPr>
                <w:rFonts w:ascii="Arial" w:hAnsi="Arial" w:cs="Arial"/>
                <w:color w:val="000000"/>
              </w:rPr>
              <w:t>1(3.7)</w:t>
            </w:r>
          </w:p>
        </w:tc>
        <w:tc>
          <w:tcPr>
            <w:tcW w:w="1212" w:type="dxa"/>
            <w:vAlign w:val="bottom"/>
          </w:tcPr>
          <w:p w14:paraId="1206150D" w14:textId="77777777" w:rsidR="003F07F5" w:rsidRPr="00644028" w:rsidRDefault="003F07F5" w:rsidP="00AD2E9D">
            <w:pPr>
              <w:jc w:val="center"/>
              <w:rPr>
                <w:rFonts w:ascii="Arial" w:hAnsi="Arial" w:cs="Arial"/>
                <w:color w:val="000000"/>
              </w:rPr>
            </w:pPr>
          </w:p>
        </w:tc>
        <w:tc>
          <w:tcPr>
            <w:tcW w:w="1212" w:type="dxa"/>
            <w:noWrap/>
            <w:vAlign w:val="bottom"/>
            <w:hideMark/>
          </w:tcPr>
          <w:p w14:paraId="0E624F12" w14:textId="77777777" w:rsidR="003F07F5" w:rsidRPr="00644028" w:rsidRDefault="003F07F5" w:rsidP="00AD2E9D">
            <w:pPr>
              <w:jc w:val="center"/>
              <w:rPr>
                <w:rFonts w:ascii="Arial" w:hAnsi="Arial" w:cs="Arial"/>
                <w:color w:val="000000"/>
              </w:rPr>
            </w:pPr>
          </w:p>
        </w:tc>
      </w:tr>
      <w:tr w:rsidR="003F07F5" w:rsidRPr="00644028" w14:paraId="77285D40" w14:textId="77777777" w:rsidTr="00AD2E9D">
        <w:trPr>
          <w:trHeight w:val="300"/>
        </w:trPr>
        <w:tc>
          <w:tcPr>
            <w:tcW w:w="2953" w:type="dxa"/>
            <w:noWrap/>
            <w:vAlign w:val="bottom"/>
            <w:hideMark/>
          </w:tcPr>
          <w:p w14:paraId="087D8971" w14:textId="77777777" w:rsidR="003F07F5" w:rsidRPr="00644028" w:rsidRDefault="003F07F5" w:rsidP="00AD2E9D">
            <w:pPr>
              <w:rPr>
                <w:rFonts w:ascii="Arial" w:hAnsi="Arial" w:cs="Arial"/>
                <w:b/>
                <w:bCs/>
                <w:color w:val="000000"/>
              </w:rPr>
            </w:pPr>
            <w:r w:rsidRPr="00644028">
              <w:rPr>
                <w:rFonts w:ascii="Arial" w:hAnsi="Arial" w:cs="Arial"/>
                <w:b/>
                <w:bCs/>
                <w:color w:val="000000"/>
              </w:rPr>
              <w:t>PITC serology status</w:t>
            </w:r>
          </w:p>
        </w:tc>
        <w:tc>
          <w:tcPr>
            <w:tcW w:w="1739" w:type="dxa"/>
            <w:noWrap/>
            <w:vAlign w:val="bottom"/>
            <w:hideMark/>
          </w:tcPr>
          <w:p w14:paraId="530E5D09" w14:textId="77777777" w:rsidR="003F07F5" w:rsidRPr="00644028" w:rsidRDefault="003F07F5" w:rsidP="00AD2E9D">
            <w:pPr>
              <w:jc w:val="center"/>
              <w:rPr>
                <w:rFonts w:ascii="Arial" w:hAnsi="Arial" w:cs="Arial"/>
                <w:color w:val="000000"/>
              </w:rPr>
            </w:pPr>
          </w:p>
        </w:tc>
        <w:tc>
          <w:tcPr>
            <w:tcW w:w="1793" w:type="dxa"/>
            <w:noWrap/>
            <w:vAlign w:val="bottom"/>
            <w:hideMark/>
          </w:tcPr>
          <w:p w14:paraId="691409D1" w14:textId="77777777" w:rsidR="003F07F5" w:rsidRPr="00644028" w:rsidRDefault="003F07F5" w:rsidP="00AD2E9D">
            <w:pPr>
              <w:jc w:val="center"/>
              <w:rPr>
                <w:rFonts w:ascii="Arial" w:hAnsi="Arial" w:cs="Arial"/>
                <w:color w:val="000000"/>
              </w:rPr>
            </w:pPr>
          </w:p>
        </w:tc>
        <w:tc>
          <w:tcPr>
            <w:tcW w:w="1212" w:type="dxa"/>
            <w:vAlign w:val="bottom"/>
          </w:tcPr>
          <w:p w14:paraId="40C9982D" w14:textId="77777777" w:rsidR="003F07F5" w:rsidRPr="00644028" w:rsidRDefault="003F07F5" w:rsidP="00AD2E9D">
            <w:pPr>
              <w:jc w:val="center"/>
              <w:rPr>
                <w:rFonts w:ascii="Arial" w:hAnsi="Arial" w:cs="Arial"/>
                <w:color w:val="000000"/>
              </w:rPr>
            </w:pPr>
            <w:r w:rsidRPr="00644028">
              <w:rPr>
                <w:rFonts w:ascii="Arial" w:eastAsia="Calibri" w:hAnsi="Arial" w:cs="Arial"/>
                <w:color w:val="000000"/>
                <w:kern w:val="2"/>
                <w14:ligatures w14:val="standardContextual"/>
              </w:rPr>
              <w:t>2.4278</w:t>
            </w:r>
          </w:p>
        </w:tc>
        <w:tc>
          <w:tcPr>
            <w:tcW w:w="1212" w:type="dxa"/>
            <w:noWrap/>
            <w:vAlign w:val="bottom"/>
            <w:hideMark/>
          </w:tcPr>
          <w:p w14:paraId="10DFDCDA" w14:textId="77777777" w:rsidR="003F07F5" w:rsidRPr="00644028" w:rsidRDefault="003F07F5" w:rsidP="00AD2E9D">
            <w:pPr>
              <w:jc w:val="center"/>
              <w:rPr>
                <w:rFonts w:ascii="Arial" w:hAnsi="Arial" w:cs="Arial"/>
                <w:color w:val="000000"/>
              </w:rPr>
            </w:pPr>
            <w:r w:rsidRPr="00644028">
              <w:rPr>
                <w:rFonts w:ascii="Arial" w:hAnsi="Arial" w:cs="Arial"/>
                <w:color w:val="000000"/>
              </w:rPr>
              <w:t>0.297</w:t>
            </w:r>
          </w:p>
        </w:tc>
      </w:tr>
      <w:tr w:rsidR="003F07F5" w:rsidRPr="00644028" w14:paraId="3028C7F5" w14:textId="77777777" w:rsidTr="00AD2E9D">
        <w:trPr>
          <w:trHeight w:val="300"/>
        </w:trPr>
        <w:tc>
          <w:tcPr>
            <w:tcW w:w="2953" w:type="dxa"/>
            <w:noWrap/>
            <w:vAlign w:val="bottom"/>
            <w:hideMark/>
          </w:tcPr>
          <w:p w14:paraId="628E5A15" w14:textId="77777777" w:rsidR="003F07F5" w:rsidRPr="00644028" w:rsidRDefault="003F07F5" w:rsidP="00AD2E9D">
            <w:pPr>
              <w:ind w:left="510"/>
              <w:rPr>
                <w:rFonts w:ascii="Arial" w:hAnsi="Arial" w:cs="Arial"/>
                <w:color w:val="000000"/>
              </w:rPr>
            </w:pPr>
            <w:r w:rsidRPr="00644028">
              <w:rPr>
                <w:rFonts w:ascii="Arial" w:hAnsi="Arial" w:cs="Arial"/>
                <w:color w:val="000000"/>
              </w:rPr>
              <w:t>Negative</w:t>
            </w:r>
          </w:p>
        </w:tc>
        <w:tc>
          <w:tcPr>
            <w:tcW w:w="1739" w:type="dxa"/>
            <w:noWrap/>
            <w:vAlign w:val="bottom"/>
            <w:hideMark/>
          </w:tcPr>
          <w:p w14:paraId="0A22BEF5" w14:textId="77777777" w:rsidR="003F07F5" w:rsidRPr="00644028" w:rsidRDefault="003F07F5" w:rsidP="00AD2E9D">
            <w:pPr>
              <w:jc w:val="center"/>
              <w:rPr>
                <w:rFonts w:ascii="Arial" w:hAnsi="Arial" w:cs="Arial"/>
                <w:color w:val="000000"/>
              </w:rPr>
            </w:pPr>
            <w:r w:rsidRPr="00644028">
              <w:rPr>
                <w:rFonts w:ascii="Arial" w:hAnsi="Arial" w:cs="Arial"/>
                <w:color w:val="000000"/>
              </w:rPr>
              <w:t>64(86.5)</w:t>
            </w:r>
          </w:p>
        </w:tc>
        <w:tc>
          <w:tcPr>
            <w:tcW w:w="1793" w:type="dxa"/>
            <w:noWrap/>
            <w:vAlign w:val="bottom"/>
            <w:hideMark/>
          </w:tcPr>
          <w:p w14:paraId="720482FC" w14:textId="77777777" w:rsidR="003F07F5" w:rsidRPr="00644028" w:rsidRDefault="003F07F5" w:rsidP="00AD2E9D">
            <w:pPr>
              <w:jc w:val="center"/>
              <w:rPr>
                <w:rFonts w:ascii="Arial" w:hAnsi="Arial" w:cs="Arial"/>
                <w:color w:val="000000"/>
              </w:rPr>
            </w:pPr>
            <w:r w:rsidRPr="00644028">
              <w:rPr>
                <w:rFonts w:ascii="Arial" w:hAnsi="Arial" w:cs="Arial"/>
                <w:color w:val="000000"/>
              </w:rPr>
              <w:t>10(13.5)</w:t>
            </w:r>
          </w:p>
        </w:tc>
        <w:tc>
          <w:tcPr>
            <w:tcW w:w="1212" w:type="dxa"/>
            <w:vAlign w:val="bottom"/>
          </w:tcPr>
          <w:p w14:paraId="3221F06A" w14:textId="77777777" w:rsidR="003F07F5" w:rsidRPr="00644028" w:rsidRDefault="003F07F5" w:rsidP="00AD2E9D">
            <w:pPr>
              <w:jc w:val="center"/>
              <w:rPr>
                <w:rFonts w:ascii="Arial" w:hAnsi="Arial" w:cs="Arial"/>
                <w:color w:val="000000"/>
              </w:rPr>
            </w:pPr>
          </w:p>
        </w:tc>
        <w:tc>
          <w:tcPr>
            <w:tcW w:w="1212" w:type="dxa"/>
            <w:noWrap/>
            <w:vAlign w:val="bottom"/>
            <w:hideMark/>
          </w:tcPr>
          <w:p w14:paraId="5B10D784" w14:textId="77777777" w:rsidR="003F07F5" w:rsidRPr="00644028" w:rsidRDefault="003F07F5" w:rsidP="00AD2E9D">
            <w:pPr>
              <w:jc w:val="center"/>
              <w:rPr>
                <w:rFonts w:ascii="Arial" w:hAnsi="Arial" w:cs="Arial"/>
                <w:color w:val="000000"/>
              </w:rPr>
            </w:pPr>
          </w:p>
        </w:tc>
      </w:tr>
      <w:tr w:rsidR="003F07F5" w:rsidRPr="00644028" w14:paraId="75BD3F15" w14:textId="77777777" w:rsidTr="00AD2E9D">
        <w:trPr>
          <w:trHeight w:val="300"/>
        </w:trPr>
        <w:tc>
          <w:tcPr>
            <w:tcW w:w="2953" w:type="dxa"/>
            <w:noWrap/>
            <w:vAlign w:val="bottom"/>
            <w:hideMark/>
          </w:tcPr>
          <w:p w14:paraId="278BD626" w14:textId="77777777" w:rsidR="003F07F5" w:rsidRPr="00644028" w:rsidRDefault="003F07F5" w:rsidP="00AD2E9D">
            <w:pPr>
              <w:ind w:left="510"/>
              <w:rPr>
                <w:rFonts w:ascii="Arial" w:hAnsi="Arial" w:cs="Arial"/>
                <w:color w:val="000000"/>
              </w:rPr>
            </w:pPr>
            <w:r w:rsidRPr="00644028">
              <w:rPr>
                <w:rFonts w:ascii="Arial" w:hAnsi="Arial" w:cs="Arial"/>
                <w:color w:val="000000"/>
              </w:rPr>
              <w:t>Positive</w:t>
            </w:r>
          </w:p>
        </w:tc>
        <w:tc>
          <w:tcPr>
            <w:tcW w:w="1739" w:type="dxa"/>
            <w:noWrap/>
            <w:vAlign w:val="bottom"/>
            <w:hideMark/>
          </w:tcPr>
          <w:p w14:paraId="3AA348F8" w14:textId="77777777" w:rsidR="003F07F5" w:rsidRPr="00644028" w:rsidRDefault="003F07F5" w:rsidP="00AD2E9D">
            <w:pPr>
              <w:jc w:val="center"/>
              <w:rPr>
                <w:rFonts w:ascii="Arial" w:hAnsi="Arial" w:cs="Arial"/>
                <w:color w:val="000000"/>
              </w:rPr>
            </w:pPr>
            <w:r w:rsidRPr="00644028">
              <w:rPr>
                <w:rFonts w:ascii="Arial" w:hAnsi="Arial" w:cs="Arial"/>
                <w:color w:val="000000"/>
              </w:rPr>
              <w:t>3(100)</w:t>
            </w:r>
          </w:p>
        </w:tc>
        <w:tc>
          <w:tcPr>
            <w:tcW w:w="1793" w:type="dxa"/>
            <w:noWrap/>
            <w:vAlign w:val="bottom"/>
            <w:hideMark/>
          </w:tcPr>
          <w:p w14:paraId="253331C7" w14:textId="77777777" w:rsidR="003F07F5" w:rsidRPr="00644028" w:rsidRDefault="003F07F5" w:rsidP="00AD2E9D">
            <w:pPr>
              <w:jc w:val="center"/>
              <w:rPr>
                <w:rFonts w:ascii="Arial" w:hAnsi="Arial" w:cs="Arial"/>
                <w:color w:val="000000"/>
              </w:rPr>
            </w:pPr>
            <w:r w:rsidRPr="00644028">
              <w:rPr>
                <w:rFonts w:ascii="Arial" w:hAnsi="Arial" w:cs="Arial"/>
                <w:color w:val="000000"/>
              </w:rPr>
              <w:t>0(0)</w:t>
            </w:r>
          </w:p>
        </w:tc>
        <w:tc>
          <w:tcPr>
            <w:tcW w:w="1212" w:type="dxa"/>
            <w:vAlign w:val="bottom"/>
          </w:tcPr>
          <w:p w14:paraId="38097769" w14:textId="77777777" w:rsidR="003F07F5" w:rsidRPr="00644028" w:rsidRDefault="003F07F5" w:rsidP="00AD2E9D">
            <w:pPr>
              <w:jc w:val="center"/>
              <w:rPr>
                <w:rFonts w:ascii="Arial" w:hAnsi="Arial" w:cs="Arial"/>
                <w:color w:val="000000"/>
              </w:rPr>
            </w:pPr>
          </w:p>
        </w:tc>
        <w:tc>
          <w:tcPr>
            <w:tcW w:w="1212" w:type="dxa"/>
            <w:noWrap/>
            <w:vAlign w:val="bottom"/>
            <w:hideMark/>
          </w:tcPr>
          <w:p w14:paraId="5E36C1FF" w14:textId="77777777" w:rsidR="003F07F5" w:rsidRPr="00644028" w:rsidRDefault="003F07F5" w:rsidP="00AD2E9D">
            <w:pPr>
              <w:jc w:val="center"/>
              <w:rPr>
                <w:rFonts w:ascii="Arial" w:hAnsi="Arial" w:cs="Arial"/>
                <w:color w:val="000000"/>
              </w:rPr>
            </w:pPr>
          </w:p>
        </w:tc>
      </w:tr>
      <w:tr w:rsidR="003F07F5" w:rsidRPr="00644028" w14:paraId="2CE18EEC" w14:textId="77777777" w:rsidTr="00AD2E9D">
        <w:trPr>
          <w:trHeight w:val="300"/>
        </w:trPr>
        <w:tc>
          <w:tcPr>
            <w:tcW w:w="2953" w:type="dxa"/>
            <w:noWrap/>
            <w:vAlign w:val="bottom"/>
            <w:hideMark/>
          </w:tcPr>
          <w:p w14:paraId="7829F499" w14:textId="77777777" w:rsidR="003F07F5" w:rsidRPr="00644028" w:rsidRDefault="003F07F5" w:rsidP="00AD2E9D">
            <w:pPr>
              <w:ind w:left="510"/>
              <w:rPr>
                <w:rFonts w:ascii="Arial" w:hAnsi="Arial" w:cs="Arial"/>
                <w:color w:val="000000"/>
              </w:rPr>
            </w:pPr>
            <w:r w:rsidRPr="00644028">
              <w:rPr>
                <w:rFonts w:ascii="Arial" w:hAnsi="Arial" w:cs="Arial"/>
                <w:color w:val="000000"/>
              </w:rPr>
              <w:t>unknown</w:t>
            </w:r>
          </w:p>
        </w:tc>
        <w:tc>
          <w:tcPr>
            <w:tcW w:w="1739" w:type="dxa"/>
            <w:noWrap/>
            <w:vAlign w:val="bottom"/>
            <w:hideMark/>
          </w:tcPr>
          <w:p w14:paraId="7C99880A" w14:textId="77777777" w:rsidR="003F07F5" w:rsidRPr="00644028" w:rsidRDefault="003F07F5" w:rsidP="00AD2E9D">
            <w:pPr>
              <w:jc w:val="center"/>
              <w:rPr>
                <w:rFonts w:ascii="Arial" w:hAnsi="Arial" w:cs="Arial"/>
                <w:color w:val="000000"/>
              </w:rPr>
            </w:pPr>
            <w:r w:rsidRPr="00644028">
              <w:rPr>
                <w:rFonts w:ascii="Arial" w:hAnsi="Arial" w:cs="Arial"/>
                <w:color w:val="000000"/>
              </w:rPr>
              <w:t>106(79.1)</w:t>
            </w:r>
          </w:p>
        </w:tc>
        <w:tc>
          <w:tcPr>
            <w:tcW w:w="1793" w:type="dxa"/>
            <w:noWrap/>
            <w:vAlign w:val="bottom"/>
            <w:hideMark/>
          </w:tcPr>
          <w:p w14:paraId="2904EE95" w14:textId="77777777" w:rsidR="003F07F5" w:rsidRPr="00644028" w:rsidRDefault="003F07F5" w:rsidP="00AD2E9D">
            <w:pPr>
              <w:jc w:val="center"/>
              <w:rPr>
                <w:rFonts w:ascii="Arial" w:hAnsi="Arial" w:cs="Arial"/>
                <w:color w:val="000000"/>
              </w:rPr>
            </w:pPr>
            <w:r w:rsidRPr="00644028">
              <w:rPr>
                <w:rFonts w:ascii="Arial" w:hAnsi="Arial" w:cs="Arial"/>
                <w:color w:val="000000"/>
              </w:rPr>
              <w:t>28(20.9)</w:t>
            </w:r>
          </w:p>
        </w:tc>
        <w:tc>
          <w:tcPr>
            <w:tcW w:w="1212" w:type="dxa"/>
            <w:vAlign w:val="bottom"/>
          </w:tcPr>
          <w:p w14:paraId="3D4182DA" w14:textId="77777777" w:rsidR="003F07F5" w:rsidRPr="00644028" w:rsidRDefault="003F07F5" w:rsidP="00AD2E9D">
            <w:pPr>
              <w:jc w:val="center"/>
              <w:rPr>
                <w:rFonts w:ascii="Arial" w:hAnsi="Arial" w:cs="Arial"/>
                <w:color w:val="000000"/>
              </w:rPr>
            </w:pPr>
          </w:p>
        </w:tc>
        <w:tc>
          <w:tcPr>
            <w:tcW w:w="1212" w:type="dxa"/>
            <w:noWrap/>
            <w:vAlign w:val="bottom"/>
            <w:hideMark/>
          </w:tcPr>
          <w:p w14:paraId="1545ABEE" w14:textId="77777777" w:rsidR="003F07F5" w:rsidRPr="00644028" w:rsidRDefault="003F07F5" w:rsidP="00AD2E9D">
            <w:pPr>
              <w:jc w:val="center"/>
              <w:rPr>
                <w:rFonts w:ascii="Arial" w:hAnsi="Arial" w:cs="Arial"/>
                <w:color w:val="000000"/>
              </w:rPr>
            </w:pPr>
          </w:p>
        </w:tc>
      </w:tr>
      <w:tr w:rsidR="003F07F5" w:rsidRPr="00644028" w14:paraId="4F7F60C1" w14:textId="77777777" w:rsidTr="00AD2E9D">
        <w:trPr>
          <w:trHeight w:val="300"/>
        </w:trPr>
        <w:tc>
          <w:tcPr>
            <w:tcW w:w="2953" w:type="dxa"/>
            <w:noWrap/>
            <w:vAlign w:val="bottom"/>
            <w:hideMark/>
          </w:tcPr>
          <w:p w14:paraId="6434B5D2" w14:textId="77777777" w:rsidR="003F07F5" w:rsidRPr="00644028" w:rsidRDefault="003F07F5" w:rsidP="00AD2E9D">
            <w:pPr>
              <w:rPr>
                <w:rFonts w:ascii="Arial" w:hAnsi="Arial" w:cs="Arial"/>
                <w:color w:val="000000"/>
              </w:rPr>
            </w:pPr>
            <w:r w:rsidRPr="00644028">
              <w:rPr>
                <w:rFonts w:ascii="Arial" w:hAnsi="Arial" w:cs="Arial"/>
                <w:b/>
                <w:bCs/>
                <w:color w:val="000000"/>
              </w:rPr>
              <w:t>Number of days from onset of symptoms to 1st presentation</w:t>
            </w:r>
          </w:p>
        </w:tc>
        <w:tc>
          <w:tcPr>
            <w:tcW w:w="1739" w:type="dxa"/>
            <w:noWrap/>
            <w:vAlign w:val="bottom"/>
            <w:hideMark/>
          </w:tcPr>
          <w:p w14:paraId="55301B12" w14:textId="77777777" w:rsidR="003F07F5" w:rsidRPr="00644028" w:rsidRDefault="003F07F5" w:rsidP="00AD2E9D">
            <w:pPr>
              <w:jc w:val="center"/>
              <w:rPr>
                <w:rFonts w:ascii="Arial" w:hAnsi="Arial" w:cs="Arial"/>
                <w:color w:val="000000"/>
              </w:rPr>
            </w:pPr>
          </w:p>
        </w:tc>
        <w:tc>
          <w:tcPr>
            <w:tcW w:w="1793" w:type="dxa"/>
            <w:noWrap/>
            <w:vAlign w:val="bottom"/>
            <w:hideMark/>
          </w:tcPr>
          <w:p w14:paraId="318B5CF4" w14:textId="77777777" w:rsidR="003F07F5" w:rsidRPr="00644028" w:rsidRDefault="003F07F5" w:rsidP="00AD2E9D">
            <w:pPr>
              <w:jc w:val="center"/>
              <w:rPr>
                <w:rFonts w:ascii="Arial" w:hAnsi="Arial" w:cs="Arial"/>
                <w:color w:val="000000"/>
              </w:rPr>
            </w:pPr>
          </w:p>
        </w:tc>
        <w:tc>
          <w:tcPr>
            <w:tcW w:w="1212" w:type="dxa"/>
            <w:vAlign w:val="bottom"/>
          </w:tcPr>
          <w:p w14:paraId="4A79C732" w14:textId="77777777" w:rsidR="003F07F5" w:rsidRPr="00644028" w:rsidRDefault="003F07F5" w:rsidP="00AD2E9D">
            <w:pPr>
              <w:jc w:val="center"/>
              <w:rPr>
                <w:rFonts w:ascii="Arial" w:hAnsi="Arial" w:cs="Arial"/>
                <w:color w:val="000000"/>
              </w:rPr>
            </w:pPr>
            <w:bookmarkStart w:id="25" w:name="_Hlk202091361"/>
            <w:r w:rsidRPr="00644028">
              <w:rPr>
                <w:rFonts w:ascii="Arial" w:eastAsia="Calibri" w:hAnsi="Arial" w:cs="Arial"/>
                <w:color w:val="000000"/>
                <w:kern w:val="2"/>
                <w14:ligatures w14:val="standardContextual"/>
              </w:rPr>
              <w:t>20.6743</w:t>
            </w:r>
            <w:bookmarkEnd w:id="25"/>
          </w:p>
        </w:tc>
        <w:tc>
          <w:tcPr>
            <w:tcW w:w="1212" w:type="dxa"/>
            <w:noWrap/>
            <w:vAlign w:val="bottom"/>
            <w:hideMark/>
          </w:tcPr>
          <w:p w14:paraId="3CDB98BD" w14:textId="77777777" w:rsidR="003F07F5" w:rsidRPr="00644028" w:rsidRDefault="003F07F5" w:rsidP="00AD2E9D">
            <w:pPr>
              <w:jc w:val="center"/>
              <w:rPr>
                <w:rFonts w:ascii="Arial" w:hAnsi="Arial" w:cs="Arial"/>
                <w:color w:val="000000"/>
              </w:rPr>
            </w:pPr>
            <w:r w:rsidRPr="00644028">
              <w:rPr>
                <w:rFonts w:ascii="Arial" w:hAnsi="Arial" w:cs="Arial"/>
                <w:color w:val="000000"/>
              </w:rPr>
              <w:t>&lt;0.001</w:t>
            </w:r>
          </w:p>
        </w:tc>
      </w:tr>
      <w:tr w:rsidR="003F07F5" w:rsidRPr="00644028" w14:paraId="1D5E5106" w14:textId="77777777" w:rsidTr="00AD2E9D">
        <w:trPr>
          <w:trHeight w:val="300"/>
        </w:trPr>
        <w:tc>
          <w:tcPr>
            <w:tcW w:w="2953" w:type="dxa"/>
            <w:noWrap/>
            <w:vAlign w:val="bottom"/>
            <w:hideMark/>
          </w:tcPr>
          <w:p w14:paraId="64AF9AA3" w14:textId="77777777" w:rsidR="003F07F5" w:rsidRPr="00644028" w:rsidRDefault="003F07F5" w:rsidP="00AD2E9D">
            <w:pPr>
              <w:ind w:left="510"/>
              <w:rPr>
                <w:rFonts w:ascii="Arial" w:hAnsi="Arial" w:cs="Arial"/>
                <w:color w:val="000000"/>
              </w:rPr>
            </w:pPr>
            <w:r w:rsidRPr="00644028">
              <w:rPr>
                <w:rFonts w:ascii="Arial" w:hAnsi="Arial" w:cs="Arial"/>
                <w:color w:val="000000"/>
              </w:rPr>
              <w:t>&lt;=14</w:t>
            </w:r>
          </w:p>
        </w:tc>
        <w:tc>
          <w:tcPr>
            <w:tcW w:w="1739" w:type="dxa"/>
            <w:noWrap/>
            <w:vAlign w:val="bottom"/>
            <w:hideMark/>
          </w:tcPr>
          <w:p w14:paraId="3FCC46D7" w14:textId="77777777" w:rsidR="003F07F5" w:rsidRPr="00644028" w:rsidRDefault="003F07F5" w:rsidP="00AD2E9D">
            <w:pPr>
              <w:jc w:val="center"/>
              <w:rPr>
                <w:rFonts w:ascii="Arial" w:hAnsi="Arial" w:cs="Arial"/>
                <w:color w:val="000000"/>
              </w:rPr>
            </w:pPr>
            <w:r w:rsidRPr="00644028">
              <w:rPr>
                <w:rFonts w:ascii="Arial" w:hAnsi="Arial" w:cs="Arial"/>
                <w:color w:val="000000"/>
              </w:rPr>
              <w:t>126(90.6)</w:t>
            </w:r>
          </w:p>
        </w:tc>
        <w:tc>
          <w:tcPr>
            <w:tcW w:w="1793" w:type="dxa"/>
            <w:noWrap/>
            <w:vAlign w:val="bottom"/>
            <w:hideMark/>
          </w:tcPr>
          <w:p w14:paraId="1AC687F7" w14:textId="77777777" w:rsidR="003F07F5" w:rsidRPr="00644028" w:rsidRDefault="003F07F5" w:rsidP="00AD2E9D">
            <w:pPr>
              <w:jc w:val="center"/>
              <w:rPr>
                <w:rFonts w:ascii="Arial" w:hAnsi="Arial" w:cs="Arial"/>
                <w:color w:val="000000"/>
              </w:rPr>
            </w:pPr>
            <w:r w:rsidRPr="00644028">
              <w:rPr>
                <w:rFonts w:ascii="Arial" w:hAnsi="Arial" w:cs="Arial"/>
                <w:color w:val="000000"/>
              </w:rPr>
              <w:t>13(9.4)</w:t>
            </w:r>
          </w:p>
        </w:tc>
        <w:tc>
          <w:tcPr>
            <w:tcW w:w="1212" w:type="dxa"/>
            <w:vAlign w:val="bottom"/>
          </w:tcPr>
          <w:p w14:paraId="4D5ACABF" w14:textId="77777777" w:rsidR="003F07F5" w:rsidRPr="00644028" w:rsidRDefault="003F07F5" w:rsidP="00AD2E9D">
            <w:pPr>
              <w:jc w:val="center"/>
              <w:rPr>
                <w:rFonts w:ascii="Arial" w:hAnsi="Arial" w:cs="Arial"/>
                <w:color w:val="000000"/>
              </w:rPr>
            </w:pPr>
          </w:p>
        </w:tc>
        <w:tc>
          <w:tcPr>
            <w:tcW w:w="1212" w:type="dxa"/>
            <w:noWrap/>
            <w:vAlign w:val="bottom"/>
            <w:hideMark/>
          </w:tcPr>
          <w:p w14:paraId="2F20EE2F" w14:textId="77777777" w:rsidR="003F07F5" w:rsidRPr="00644028" w:rsidRDefault="003F07F5" w:rsidP="00AD2E9D">
            <w:pPr>
              <w:jc w:val="center"/>
              <w:rPr>
                <w:rFonts w:ascii="Arial" w:hAnsi="Arial" w:cs="Arial"/>
                <w:color w:val="000000"/>
              </w:rPr>
            </w:pPr>
          </w:p>
        </w:tc>
      </w:tr>
      <w:tr w:rsidR="003F07F5" w:rsidRPr="00644028" w14:paraId="70C6F4B5" w14:textId="77777777" w:rsidTr="00AD2E9D">
        <w:trPr>
          <w:trHeight w:val="300"/>
        </w:trPr>
        <w:tc>
          <w:tcPr>
            <w:tcW w:w="2953" w:type="dxa"/>
            <w:noWrap/>
            <w:vAlign w:val="bottom"/>
            <w:hideMark/>
          </w:tcPr>
          <w:p w14:paraId="465725C0" w14:textId="77777777" w:rsidR="003F07F5" w:rsidRPr="00644028" w:rsidRDefault="003F07F5" w:rsidP="00AD2E9D">
            <w:pPr>
              <w:ind w:left="510"/>
              <w:rPr>
                <w:rFonts w:ascii="Arial" w:hAnsi="Arial" w:cs="Arial"/>
                <w:color w:val="000000"/>
              </w:rPr>
            </w:pPr>
            <w:r w:rsidRPr="00644028">
              <w:rPr>
                <w:rFonts w:ascii="Arial" w:hAnsi="Arial" w:cs="Arial"/>
                <w:color w:val="000000"/>
              </w:rPr>
              <w:t>&gt;14</w:t>
            </w:r>
          </w:p>
        </w:tc>
        <w:tc>
          <w:tcPr>
            <w:tcW w:w="1739" w:type="dxa"/>
            <w:noWrap/>
            <w:vAlign w:val="bottom"/>
            <w:hideMark/>
          </w:tcPr>
          <w:p w14:paraId="18501709" w14:textId="77777777" w:rsidR="003F07F5" w:rsidRPr="00644028" w:rsidRDefault="003F07F5" w:rsidP="00AD2E9D">
            <w:pPr>
              <w:jc w:val="center"/>
              <w:rPr>
                <w:rFonts w:ascii="Arial" w:hAnsi="Arial" w:cs="Arial"/>
                <w:color w:val="000000"/>
              </w:rPr>
            </w:pPr>
            <w:r w:rsidRPr="00644028">
              <w:rPr>
                <w:rFonts w:ascii="Arial" w:hAnsi="Arial" w:cs="Arial"/>
                <w:color w:val="000000"/>
              </w:rPr>
              <w:t>47(65.3)</w:t>
            </w:r>
          </w:p>
        </w:tc>
        <w:tc>
          <w:tcPr>
            <w:tcW w:w="1793" w:type="dxa"/>
            <w:noWrap/>
            <w:vAlign w:val="bottom"/>
            <w:hideMark/>
          </w:tcPr>
          <w:p w14:paraId="53907768" w14:textId="77777777" w:rsidR="003F07F5" w:rsidRPr="00644028" w:rsidRDefault="003F07F5" w:rsidP="00AD2E9D">
            <w:pPr>
              <w:jc w:val="center"/>
              <w:rPr>
                <w:rFonts w:ascii="Arial" w:hAnsi="Arial" w:cs="Arial"/>
                <w:color w:val="000000"/>
              </w:rPr>
            </w:pPr>
            <w:r w:rsidRPr="00644028">
              <w:rPr>
                <w:rFonts w:ascii="Arial" w:hAnsi="Arial" w:cs="Arial"/>
                <w:color w:val="000000"/>
              </w:rPr>
              <w:t>25(34.7)</w:t>
            </w:r>
          </w:p>
        </w:tc>
        <w:tc>
          <w:tcPr>
            <w:tcW w:w="1212" w:type="dxa"/>
            <w:vAlign w:val="bottom"/>
          </w:tcPr>
          <w:p w14:paraId="6841A107" w14:textId="77777777" w:rsidR="003F07F5" w:rsidRPr="00644028" w:rsidRDefault="003F07F5" w:rsidP="00AD2E9D">
            <w:pPr>
              <w:jc w:val="center"/>
              <w:rPr>
                <w:rFonts w:ascii="Arial" w:hAnsi="Arial" w:cs="Arial"/>
                <w:color w:val="000000"/>
              </w:rPr>
            </w:pPr>
          </w:p>
        </w:tc>
        <w:tc>
          <w:tcPr>
            <w:tcW w:w="1212" w:type="dxa"/>
            <w:noWrap/>
            <w:vAlign w:val="bottom"/>
            <w:hideMark/>
          </w:tcPr>
          <w:p w14:paraId="38CB77FD" w14:textId="77777777" w:rsidR="003F07F5" w:rsidRPr="00644028" w:rsidRDefault="003F07F5" w:rsidP="00AD2E9D">
            <w:pPr>
              <w:jc w:val="center"/>
              <w:rPr>
                <w:rFonts w:ascii="Arial" w:hAnsi="Arial" w:cs="Arial"/>
                <w:color w:val="000000"/>
              </w:rPr>
            </w:pPr>
          </w:p>
        </w:tc>
      </w:tr>
      <w:tr w:rsidR="003F07F5" w:rsidRPr="00644028" w14:paraId="4B21544D" w14:textId="77777777" w:rsidTr="00AD2E9D">
        <w:trPr>
          <w:trHeight w:val="300"/>
        </w:trPr>
        <w:tc>
          <w:tcPr>
            <w:tcW w:w="2953" w:type="dxa"/>
            <w:noWrap/>
            <w:vAlign w:val="bottom"/>
            <w:hideMark/>
          </w:tcPr>
          <w:p w14:paraId="1BA6AEC1" w14:textId="77777777" w:rsidR="003F07F5" w:rsidRPr="00644028" w:rsidRDefault="003F07F5" w:rsidP="00AD2E9D">
            <w:pPr>
              <w:rPr>
                <w:rFonts w:ascii="Arial" w:hAnsi="Arial" w:cs="Arial"/>
                <w:color w:val="000000"/>
              </w:rPr>
            </w:pPr>
            <w:r w:rsidRPr="00644028">
              <w:rPr>
                <w:rFonts w:ascii="Arial" w:hAnsi="Arial" w:cs="Arial"/>
                <w:b/>
                <w:bCs/>
                <w:color w:val="000000"/>
              </w:rPr>
              <w:t>Treatment received</w:t>
            </w:r>
          </w:p>
        </w:tc>
        <w:tc>
          <w:tcPr>
            <w:tcW w:w="1739" w:type="dxa"/>
            <w:noWrap/>
            <w:vAlign w:val="bottom"/>
            <w:hideMark/>
          </w:tcPr>
          <w:p w14:paraId="648AE446" w14:textId="77777777" w:rsidR="003F07F5" w:rsidRPr="00644028" w:rsidRDefault="003F07F5" w:rsidP="00AD2E9D">
            <w:pPr>
              <w:jc w:val="center"/>
              <w:rPr>
                <w:rFonts w:ascii="Arial" w:hAnsi="Arial" w:cs="Arial"/>
                <w:color w:val="000000"/>
              </w:rPr>
            </w:pPr>
          </w:p>
        </w:tc>
        <w:tc>
          <w:tcPr>
            <w:tcW w:w="1793" w:type="dxa"/>
            <w:noWrap/>
            <w:vAlign w:val="bottom"/>
            <w:hideMark/>
          </w:tcPr>
          <w:p w14:paraId="3F643A2E" w14:textId="77777777" w:rsidR="003F07F5" w:rsidRPr="00644028" w:rsidRDefault="003F07F5" w:rsidP="00AD2E9D">
            <w:pPr>
              <w:jc w:val="center"/>
              <w:rPr>
                <w:rFonts w:ascii="Arial" w:hAnsi="Arial" w:cs="Arial"/>
                <w:color w:val="000000"/>
              </w:rPr>
            </w:pPr>
          </w:p>
        </w:tc>
        <w:tc>
          <w:tcPr>
            <w:tcW w:w="1212" w:type="dxa"/>
            <w:vAlign w:val="bottom"/>
          </w:tcPr>
          <w:p w14:paraId="0318CE02" w14:textId="77777777" w:rsidR="003F07F5" w:rsidRPr="00644028" w:rsidRDefault="003F07F5" w:rsidP="00AD2E9D">
            <w:pPr>
              <w:jc w:val="center"/>
              <w:rPr>
                <w:rFonts w:ascii="Arial" w:hAnsi="Arial" w:cs="Arial"/>
                <w:color w:val="000000"/>
              </w:rPr>
            </w:pPr>
            <w:bookmarkStart w:id="26" w:name="_Hlk202092348"/>
            <w:r w:rsidRPr="00644028">
              <w:rPr>
                <w:rFonts w:ascii="Arial" w:eastAsia="Calibri" w:hAnsi="Arial" w:cs="Arial"/>
                <w:color w:val="000000"/>
                <w:kern w:val="2"/>
                <w14:ligatures w14:val="standardContextual"/>
              </w:rPr>
              <w:t>9.2167</w:t>
            </w:r>
            <w:bookmarkEnd w:id="26"/>
          </w:p>
        </w:tc>
        <w:tc>
          <w:tcPr>
            <w:tcW w:w="1212" w:type="dxa"/>
            <w:noWrap/>
            <w:vAlign w:val="bottom"/>
            <w:hideMark/>
          </w:tcPr>
          <w:p w14:paraId="69A3C74A" w14:textId="77777777" w:rsidR="003F07F5" w:rsidRPr="00644028" w:rsidRDefault="003F07F5" w:rsidP="00AD2E9D">
            <w:pPr>
              <w:jc w:val="center"/>
              <w:rPr>
                <w:rFonts w:ascii="Arial" w:hAnsi="Arial" w:cs="Arial"/>
                <w:color w:val="000000"/>
              </w:rPr>
            </w:pPr>
            <w:r w:rsidRPr="00644028">
              <w:rPr>
                <w:rFonts w:ascii="Arial" w:hAnsi="Arial" w:cs="Arial"/>
                <w:color w:val="000000"/>
              </w:rPr>
              <w:t>0.002</w:t>
            </w:r>
          </w:p>
        </w:tc>
      </w:tr>
      <w:tr w:rsidR="003F07F5" w:rsidRPr="00644028" w14:paraId="7AED9C53" w14:textId="77777777" w:rsidTr="00AD2E9D">
        <w:trPr>
          <w:trHeight w:val="300"/>
        </w:trPr>
        <w:tc>
          <w:tcPr>
            <w:tcW w:w="2953" w:type="dxa"/>
            <w:noWrap/>
            <w:vAlign w:val="bottom"/>
            <w:hideMark/>
          </w:tcPr>
          <w:p w14:paraId="58ABE676" w14:textId="77777777" w:rsidR="003F07F5" w:rsidRPr="00644028" w:rsidRDefault="003F07F5" w:rsidP="00AD2E9D">
            <w:pPr>
              <w:ind w:left="510"/>
              <w:rPr>
                <w:rFonts w:ascii="Arial" w:hAnsi="Arial" w:cs="Arial"/>
                <w:color w:val="000000"/>
              </w:rPr>
            </w:pPr>
            <w:r w:rsidRPr="00644028">
              <w:rPr>
                <w:rFonts w:ascii="Arial" w:hAnsi="Arial" w:cs="Arial"/>
                <w:color w:val="000000"/>
              </w:rPr>
              <w:t>Topical and Intravitreal</w:t>
            </w:r>
          </w:p>
        </w:tc>
        <w:tc>
          <w:tcPr>
            <w:tcW w:w="1739" w:type="dxa"/>
            <w:noWrap/>
            <w:vAlign w:val="bottom"/>
            <w:hideMark/>
          </w:tcPr>
          <w:p w14:paraId="55B52A90" w14:textId="77777777" w:rsidR="003F07F5" w:rsidRPr="00644028" w:rsidRDefault="003F07F5" w:rsidP="00AD2E9D">
            <w:pPr>
              <w:jc w:val="center"/>
              <w:rPr>
                <w:rFonts w:ascii="Arial" w:hAnsi="Arial" w:cs="Arial"/>
                <w:color w:val="000000"/>
              </w:rPr>
            </w:pPr>
            <w:r w:rsidRPr="00644028">
              <w:rPr>
                <w:rFonts w:ascii="Arial" w:hAnsi="Arial" w:cs="Arial"/>
                <w:color w:val="000000"/>
              </w:rPr>
              <w:t>138(78.4)</w:t>
            </w:r>
          </w:p>
        </w:tc>
        <w:tc>
          <w:tcPr>
            <w:tcW w:w="1793" w:type="dxa"/>
            <w:noWrap/>
            <w:vAlign w:val="bottom"/>
            <w:hideMark/>
          </w:tcPr>
          <w:p w14:paraId="222EAD28" w14:textId="77777777" w:rsidR="003F07F5" w:rsidRPr="00644028" w:rsidRDefault="003F07F5" w:rsidP="00AD2E9D">
            <w:pPr>
              <w:jc w:val="center"/>
              <w:rPr>
                <w:rFonts w:ascii="Arial" w:hAnsi="Arial" w:cs="Arial"/>
                <w:color w:val="000000"/>
              </w:rPr>
            </w:pPr>
            <w:r w:rsidRPr="00644028">
              <w:rPr>
                <w:rFonts w:ascii="Arial" w:hAnsi="Arial" w:cs="Arial"/>
                <w:color w:val="000000"/>
              </w:rPr>
              <w:t>38(21.6)</w:t>
            </w:r>
          </w:p>
        </w:tc>
        <w:tc>
          <w:tcPr>
            <w:tcW w:w="1212" w:type="dxa"/>
            <w:vAlign w:val="bottom"/>
          </w:tcPr>
          <w:p w14:paraId="73B59F03" w14:textId="77777777" w:rsidR="003F07F5" w:rsidRPr="00644028" w:rsidRDefault="003F07F5" w:rsidP="00AD2E9D">
            <w:pPr>
              <w:jc w:val="center"/>
              <w:rPr>
                <w:rFonts w:ascii="Arial" w:hAnsi="Arial" w:cs="Arial"/>
                <w:color w:val="000000"/>
              </w:rPr>
            </w:pPr>
          </w:p>
        </w:tc>
        <w:tc>
          <w:tcPr>
            <w:tcW w:w="1212" w:type="dxa"/>
            <w:noWrap/>
            <w:vAlign w:val="bottom"/>
            <w:hideMark/>
          </w:tcPr>
          <w:p w14:paraId="19A21ADF" w14:textId="77777777" w:rsidR="003F07F5" w:rsidRPr="00644028" w:rsidRDefault="003F07F5" w:rsidP="00AD2E9D">
            <w:pPr>
              <w:jc w:val="center"/>
              <w:rPr>
                <w:rFonts w:ascii="Arial" w:hAnsi="Arial" w:cs="Arial"/>
                <w:color w:val="000000"/>
              </w:rPr>
            </w:pPr>
          </w:p>
        </w:tc>
      </w:tr>
      <w:tr w:rsidR="003F07F5" w:rsidRPr="00644028" w14:paraId="562B4CDB" w14:textId="77777777" w:rsidTr="00AD2E9D">
        <w:trPr>
          <w:trHeight w:val="300"/>
        </w:trPr>
        <w:tc>
          <w:tcPr>
            <w:tcW w:w="2953" w:type="dxa"/>
            <w:noWrap/>
            <w:vAlign w:val="bottom"/>
            <w:hideMark/>
          </w:tcPr>
          <w:p w14:paraId="089308A7" w14:textId="77777777" w:rsidR="003F07F5" w:rsidRPr="00644028" w:rsidRDefault="003F07F5" w:rsidP="00AD2E9D">
            <w:pPr>
              <w:ind w:left="510"/>
              <w:rPr>
                <w:rFonts w:ascii="Arial" w:hAnsi="Arial" w:cs="Arial"/>
                <w:color w:val="000000"/>
              </w:rPr>
            </w:pPr>
            <w:r w:rsidRPr="00644028">
              <w:rPr>
                <w:rFonts w:ascii="Arial" w:hAnsi="Arial" w:cs="Arial"/>
                <w:color w:val="000000"/>
              </w:rPr>
              <w:t>Topical, intravitreal and Vitrectomy</w:t>
            </w:r>
          </w:p>
        </w:tc>
        <w:tc>
          <w:tcPr>
            <w:tcW w:w="1739" w:type="dxa"/>
            <w:noWrap/>
            <w:vAlign w:val="bottom"/>
            <w:hideMark/>
          </w:tcPr>
          <w:p w14:paraId="0BBFA2BF" w14:textId="77777777" w:rsidR="003F07F5" w:rsidRPr="00644028" w:rsidRDefault="003F07F5" w:rsidP="00AD2E9D">
            <w:pPr>
              <w:jc w:val="center"/>
              <w:rPr>
                <w:rFonts w:ascii="Arial" w:hAnsi="Arial" w:cs="Arial"/>
                <w:color w:val="000000"/>
              </w:rPr>
            </w:pPr>
            <w:r w:rsidRPr="00644028">
              <w:rPr>
                <w:rFonts w:ascii="Arial" w:hAnsi="Arial" w:cs="Arial"/>
                <w:color w:val="000000"/>
              </w:rPr>
              <w:t>35(100)</w:t>
            </w:r>
          </w:p>
        </w:tc>
        <w:tc>
          <w:tcPr>
            <w:tcW w:w="1793" w:type="dxa"/>
            <w:noWrap/>
            <w:vAlign w:val="bottom"/>
            <w:hideMark/>
          </w:tcPr>
          <w:p w14:paraId="51D33614" w14:textId="77777777" w:rsidR="003F07F5" w:rsidRPr="00644028" w:rsidRDefault="003F07F5" w:rsidP="00AD2E9D">
            <w:pPr>
              <w:jc w:val="center"/>
              <w:rPr>
                <w:rFonts w:ascii="Arial" w:hAnsi="Arial" w:cs="Arial"/>
                <w:color w:val="000000"/>
              </w:rPr>
            </w:pPr>
            <w:r w:rsidRPr="00644028">
              <w:rPr>
                <w:rFonts w:ascii="Arial" w:hAnsi="Arial" w:cs="Arial"/>
                <w:color w:val="000000"/>
              </w:rPr>
              <w:t>0(0)</w:t>
            </w:r>
          </w:p>
        </w:tc>
        <w:tc>
          <w:tcPr>
            <w:tcW w:w="1212" w:type="dxa"/>
            <w:vAlign w:val="bottom"/>
          </w:tcPr>
          <w:p w14:paraId="2ECE7C0D" w14:textId="77777777" w:rsidR="003F07F5" w:rsidRPr="00644028" w:rsidRDefault="003F07F5" w:rsidP="00AD2E9D">
            <w:pPr>
              <w:jc w:val="center"/>
              <w:rPr>
                <w:rFonts w:ascii="Arial" w:hAnsi="Arial" w:cs="Arial"/>
                <w:color w:val="000000"/>
              </w:rPr>
            </w:pPr>
          </w:p>
        </w:tc>
        <w:tc>
          <w:tcPr>
            <w:tcW w:w="1212" w:type="dxa"/>
            <w:noWrap/>
            <w:vAlign w:val="bottom"/>
            <w:hideMark/>
          </w:tcPr>
          <w:p w14:paraId="4279CFF2" w14:textId="77777777" w:rsidR="003F07F5" w:rsidRPr="00644028" w:rsidRDefault="003F07F5" w:rsidP="00AD2E9D">
            <w:pPr>
              <w:jc w:val="center"/>
              <w:rPr>
                <w:rFonts w:ascii="Arial" w:hAnsi="Arial" w:cs="Arial"/>
                <w:color w:val="000000"/>
              </w:rPr>
            </w:pPr>
          </w:p>
        </w:tc>
      </w:tr>
      <w:tr w:rsidR="003F07F5" w:rsidRPr="00644028" w14:paraId="07B8B311" w14:textId="77777777" w:rsidTr="00AD2E9D">
        <w:trPr>
          <w:trHeight w:val="300"/>
        </w:trPr>
        <w:tc>
          <w:tcPr>
            <w:tcW w:w="2953" w:type="dxa"/>
            <w:noWrap/>
            <w:vAlign w:val="bottom"/>
            <w:hideMark/>
          </w:tcPr>
          <w:p w14:paraId="56305482" w14:textId="77777777" w:rsidR="003F07F5" w:rsidRPr="00644028" w:rsidRDefault="003F07F5" w:rsidP="00AD2E9D">
            <w:pPr>
              <w:rPr>
                <w:rFonts w:ascii="Arial" w:hAnsi="Arial" w:cs="Arial"/>
                <w:b/>
                <w:bCs/>
                <w:color w:val="000000"/>
              </w:rPr>
            </w:pPr>
            <w:r w:rsidRPr="00644028">
              <w:rPr>
                <w:rFonts w:ascii="Arial" w:hAnsi="Arial" w:cs="Arial"/>
                <w:b/>
                <w:bCs/>
                <w:color w:val="000000"/>
              </w:rPr>
              <w:t>IOP at presentation of affected eye</w:t>
            </w:r>
          </w:p>
        </w:tc>
        <w:tc>
          <w:tcPr>
            <w:tcW w:w="1739" w:type="dxa"/>
            <w:noWrap/>
            <w:vAlign w:val="bottom"/>
            <w:hideMark/>
          </w:tcPr>
          <w:p w14:paraId="1726EF19" w14:textId="77777777" w:rsidR="003F07F5" w:rsidRPr="00644028" w:rsidRDefault="003F07F5" w:rsidP="00AD2E9D">
            <w:pPr>
              <w:jc w:val="center"/>
              <w:rPr>
                <w:rFonts w:ascii="Arial" w:hAnsi="Arial" w:cs="Arial"/>
                <w:color w:val="000000"/>
              </w:rPr>
            </w:pPr>
          </w:p>
        </w:tc>
        <w:tc>
          <w:tcPr>
            <w:tcW w:w="1793" w:type="dxa"/>
            <w:noWrap/>
            <w:vAlign w:val="bottom"/>
            <w:hideMark/>
          </w:tcPr>
          <w:p w14:paraId="4BAF4CD3" w14:textId="77777777" w:rsidR="003F07F5" w:rsidRPr="00644028" w:rsidRDefault="003F07F5" w:rsidP="00AD2E9D">
            <w:pPr>
              <w:jc w:val="center"/>
              <w:rPr>
                <w:rFonts w:ascii="Arial" w:hAnsi="Arial" w:cs="Arial"/>
                <w:color w:val="000000"/>
              </w:rPr>
            </w:pPr>
          </w:p>
        </w:tc>
        <w:tc>
          <w:tcPr>
            <w:tcW w:w="1212" w:type="dxa"/>
            <w:vAlign w:val="bottom"/>
          </w:tcPr>
          <w:p w14:paraId="1F232414" w14:textId="77777777" w:rsidR="003F07F5" w:rsidRPr="00644028" w:rsidRDefault="003F07F5" w:rsidP="00AD2E9D">
            <w:pPr>
              <w:jc w:val="center"/>
              <w:rPr>
                <w:rFonts w:ascii="Arial" w:hAnsi="Arial" w:cs="Arial"/>
                <w:color w:val="000000"/>
              </w:rPr>
            </w:pPr>
            <w:r w:rsidRPr="00644028">
              <w:rPr>
                <w:rFonts w:ascii="Arial" w:eastAsia="Calibri" w:hAnsi="Arial" w:cs="Arial"/>
                <w:color w:val="000000"/>
                <w:kern w:val="2"/>
                <w14:ligatures w14:val="standardContextual"/>
              </w:rPr>
              <w:t>0.9987</w:t>
            </w:r>
          </w:p>
        </w:tc>
        <w:tc>
          <w:tcPr>
            <w:tcW w:w="1212" w:type="dxa"/>
            <w:noWrap/>
            <w:vAlign w:val="bottom"/>
            <w:hideMark/>
          </w:tcPr>
          <w:p w14:paraId="222BDC8C" w14:textId="77777777" w:rsidR="003F07F5" w:rsidRPr="00644028" w:rsidRDefault="003F07F5" w:rsidP="00AD2E9D">
            <w:pPr>
              <w:jc w:val="center"/>
              <w:rPr>
                <w:rFonts w:ascii="Arial" w:hAnsi="Arial" w:cs="Arial"/>
                <w:color w:val="000000"/>
              </w:rPr>
            </w:pPr>
            <w:r w:rsidRPr="00644028">
              <w:rPr>
                <w:rFonts w:ascii="Arial" w:hAnsi="Arial" w:cs="Arial"/>
                <w:color w:val="000000"/>
              </w:rPr>
              <w:t>0.318</w:t>
            </w:r>
          </w:p>
        </w:tc>
      </w:tr>
      <w:tr w:rsidR="003F07F5" w:rsidRPr="00644028" w14:paraId="49ADAD9D" w14:textId="77777777" w:rsidTr="00AD2E9D">
        <w:trPr>
          <w:trHeight w:val="300"/>
        </w:trPr>
        <w:tc>
          <w:tcPr>
            <w:tcW w:w="2953" w:type="dxa"/>
            <w:noWrap/>
            <w:vAlign w:val="bottom"/>
            <w:hideMark/>
          </w:tcPr>
          <w:p w14:paraId="53BA3C3C" w14:textId="77777777" w:rsidR="003F07F5" w:rsidRPr="00644028" w:rsidRDefault="003F07F5" w:rsidP="00AD2E9D">
            <w:pPr>
              <w:ind w:left="510"/>
              <w:rPr>
                <w:rFonts w:ascii="Arial" w:hAnsi="Arial" w:cs="Arial"/>
                <w:color w:val="000000"/>
              </w:rPr>
            </w:pPr>
            <w:r w:rsidRPr="00644028">
              <w:rPr>
                <w:rFonts w:ascii="Arial" w:hAnsi="Arial" w:cs="Arial"/>
                <w:color w:val="000000"/>
              </w:rPr>
              <w:t>≤21</w:t>
            </w:r>
          </w:p>
        </w:tc>
        <w:tc>
          <w:tcPr>
            <w:tcW w:w="1739" w:type="dxa"/>
            <w:noWrap/>
            <w:vAlign w:val="bottom"/>
            <w:hideMark/>
          </w:tcPr>
          <w:p w14:paraId="2AA5B851" w14:textId="77777777" w:rsidR="003F07F5" w:rsidRPr="00644028" w:rsidRDefault="003F07F5" w:rsidP="00AD2E9D">
            <w:pPr>
              <w:jc w:val="center"/>
              <w:rPr>
                <w:rFonts w:ascii="Arial" w:hAnsi="Arial" w:cs="Arial"/>
                <w:color w:val="000000"/>
              </w:rPr>
            </w:pPr>
            <w:r w:rsidRPr="00644028">
              <w:rPr>
                <w:rFonts w:ascii="Arial" w:hAnsi="Arial" w:cs="Arial"/>
                <w:color w:val="000000"/>
              </w:rPr>
              <w:t>161(81.3)</w:t>
            </w:r>
          </w:p>
        </w:tc>
        <w:tc>
          <w:tcPr>
            <w:tcW w:w="1793" w:type="dxa"/>
            <w:noWrap/>
            <w:vAlign w:val="bottom"/>
            <w:hideMark/>
          </w:tcPr>
          <w:p w14:paraId="329CD232" w14:textId="77777777" w:rsidR="003F07F5" w:rsidRPr="00644028" w:rsidRDefault="003F07F5" w:rsidP="00AD2E9D">
            <w:pPr>
              <w:jc w:val="center"/>
              <w:rPr>
                <w:rFonts w:ascii="Arial" w:hAnsi="Arial" w:cs="Arial"/>
                <w:color w:val="000000"/>
              </w:rPr>
            </w:pPr>
            <w:r w:rsidRPr="00644028">
              <w:rPr>
                <w:rFonts w:ascii="Arial" w:hAnsi="Arial" w:cs="Arial"/>
                <w:color w:val="000000"/>
              </w:rPr>
              <w:t>37(18.7)</w:t>
            </w:r>
          </w:p>
        </w:tc>
        <w:tc>
          <w:tcPr>
            <w:tcW w:w="1212" w:type="dxa"/>
            <w:vAlign w:val="bottom"/>
          </w:tcPr>
          <w:p w14:paraId="453888AD" w14:textId="77777777" w:rsidR="003F07F5" w:rsidRPr="00644028" w:rsidRDefault="003F07F5" w:rsidP="00AD2E9D">
            <w:pPr>
              <w:jc w:val="center"/>
              <w:rPr>
                <w:rFonts w:ascii="Arial" w:hAnsi="Arial" w:cs="Arial"/>
                <w:color w:val="000000"/>
              </w:rPr>
            </w:pPr>
          </w:p>
        </w:tc>
        <w:tc>
          <w:tcPr>
            <w:tcW w:w="1212" w:type="dxa"/>
            <w:noWrap/>
            <w:vAlign w:val="bottom"/>
            <w:hideMark/>
          </w:tcPr>
          <w:p w14:paraId="24E03DC0" w14:textId="77777777" w:rsidR="003F07F5" w:rsidRPr="00644028" w:rsidRDefault="003F07F5" w:rsidP="00AD2E9D">
            <w:pPr>
              <w:jc w:val="center"/>
              <w:rPr>
                <w:rFonts w:ascii="Arial" w:hAnsi="Arial" w:cs="Arial"/>
                <w:color w:val="000000"/>
              </w:rPr>
            </w:pPr>
          </w:p>
        </w:tc>
      </w:tr>
      <w:tr w:rsidR="003F07F5" w:rsidRPr="00644028" w14:paraId="060B1764" w14:textId="77777777" w:rsidTr="00AD2E9D">
        <w:trPr>
          <w:trHeight w:val="300"/>
        </w:trPr>
        <w:tc>
          <w:tcPr>
            <w:tcW w:w="2953" w:type="dxa"/>
            <w:noWrap/>
            <w:vAlign w:val="bottom"/>
            <w:hideMark/>
          </w:tcPr>
          <w:p w14:paraId="26EA4916" w14:textId="77777777" w:rsidR="003F07F5" w:rsidRPr="00644028" w:rsidRDefault="003F07F5" w:rsidP="00AD2E9D">
            <w:pPr>
              <w:ind w:left="510"/>
              <w:rPr>
                <w:rFonts w:ascii="Arial" w:hAnsi="Arial" w:cs="Arial"/>
                <w:color w:val="000000"/>
              </w:rPr>
            </w:pPr>
            <w:r w:rsidRPr="00644028">
              <w:rPr>
                <w:rFonts w:ascii="Arial" w:hAnsi="Arial" w:cs="Arial"/>
                <w:color w:val="000000"/>
              </w:rPr>
              <w:t>&gt;21</w:t>
            </w:r>
          </w:p>
        </w:tc>
        <w:tc>
          <w:tcPr>
            <w:tcW w:w="1739" w:type="dxa"/>
            <w:noWrap/>
            <w:vAlign w:val="bottom"/>
            <w:hideMark/>
          </w:tcPr>
          <w:p w14:paraId="05029DCC" w14:textId="77777777" w:rsidR="003F07F5" w:rsidRPr="00644028" w:rsidRDefault="003F07F5" w:rsidP="00AD2E9D">
            <w:pPr>
              <w:jc w:val="center"/>
              <w:rPr>
                <w:rFonts w:ascii="Arial" w:hAnsi="Arial" w:cs="Arial"/>
                <w:color w:val="000000"/>
              </w:rPr>
            </w:pPr>
            <w:r w:rsidRPr="00644028">
              <w:rPr>
                <w:rFonts w:ascii="Arial" w:hAnsi="Arial" w:cs="Arial"/>
                <w:color w:val="000000"/>
              </w:rPr>
              <w:t>12(92.3)</w:t>
            </w:r>
          </w:p>
        </w:tc>
        <w:tc>
          <w:tcPr>
            <w:tcW w:w="1793" w:type="dxa"/>
            <w:noWrap/>
            <w:vAlign w:val="bottom"/>
            <w:hideMark/>
          </w:tcPr>
          <w:p w14:paraId="506C558E" w14:textId="77777777" w:rsidR="003F07F5" w:rsidRPr="00644028" w:rsidRDefault="003F07F5" w:rsidP="00AD2E9D">
            <w:pPr>
              <w:jc w:val="center"/>
              <w:rPr>
                <w:rFonts w:ascii="Arial" w:hAnsi="Arial" w:cs="Arial"/>
                <w:color w:val="000000"/>
              </w:rPr>
            </w:pPr>
            <w:r w:rsidRPr="00644028">
              <w:rPr>
                <w:rFonts w:ascii="Arial" w:hAnsi="Arial" w:cs="Arial"/>
                <w:color w:val="000000"/>
              </w:rPr>
              <w:t>1(7.7)</w:t>
            </w:r>
          </w:p>
        </w:tc>
        <w:tc>
          <w:tcPr>
            <w:tcW w:w="1212" w:type="dxa"/>
            <w:vAlign w:val="bottom"/>
          </w:tcPr>
          <w:p w14:paraId="671AF622" w14:textId="77777777" w:rsidR="003F07F5" w:rsidRPr="00644028" w:rsidRDefault="003F07F5" w:rsidP="00AD2E9D">
            <w:pPr>
              <w:jc w:val="center"/>
              <w:rPr>
                <w:rFonts w:ascii="Arial" w:hAnsi="Arial" w:cs="Arial"/>
                <w:color w:val="000000"/>
              </w:rPr>
            </w:pPr>
          </w:p>
        </w:tc>
        <w:tc>
          <w:tcPr>
            <w:tcW w:w="1212" w:type="dxa"/>
            <w:noWrap/>
            <w:vAlign w:val="bottom"/>
            <w:hideMark/>
          </w:tcPr>
          <w:p w14:paraId="1061767B" w14:textId="77777777" w:rsidR="003F07F5" w:rsidRPr="00644028" w:rsidRDefault="003F07F5" w:rsidP="00AD2E9D">
            <w:pPr>
              <w:jc w:val="center"/>
              <w:rPr>
                <w:rFonts w:ascii="Arial" w:hAnsi="Arial" w:cs="Arial"/>
                <w:color w:val="000000"/>
              </w:rPr>
            </w:pPr>
          </w:p>
        </w:tc>
      </w:tr>
      <w:tr w:rsidR="003F07F5" w:rsidRPr="00644028" w14:paraId="02C15C6A" w14:textId="77777777" w:rsidTr="00AD2E9D">
        <w:trPr>
          <w:trHeight w:val="300"/>
        </w:trPr>
        <w:tc>
          <w:tcPr>
            <w:tcW w:w="2953" w:type="dxa"/>
            <w:noWrap/>
            <w:vAlign w:val="bottom"/>
            <w:hideMark/>
          </w:tcPr>
          <w:p w14:paraId="728D0E79" w14:textId="77777777" w:rsidR="003F07F5" w:rsidRPr="00644028" w:rsidRDefault="003F07F5" w:rsidP="00AD2E9D">
            <w:pPr>
              <w:rPr>
                <w:rFonts w:ascii="Arial" w:hAnsi="Arial" w:cs="Arial"/>
                <w:b/>
                <w:bCs/>
                <w:color w:val="000000"/>
              </w:rPr>
            </w:pPr>
            <w:r w:rsidRPr="00644028">
              <w:rPr>
                <w:rFonts w:ascii="Arial" w:hAnsi="Arial" w:cs="Arial"/>
                <w:b/>
                <w:bCs/>
                <w:color w:val="000000"/>
              </w:rPr>
              <w:t>Presenting VA of affected eye</w:t>
            </w:r>
          </w:p>
        </w:tc>
        <w:tc>
          <w:tcPr>
            <w:tcW w:w="1739" w:type="dxa"/>
            <w:noWrap/>
            <w:vAlign w:val="bottom"/>
            <w:hideMark/>
          </w:tcPr>
          <w:p w14:paraId="28712C2C" w14:textId="77777777" w:rsidR="003F07F5" w:rsidRPr="00644028" w:rsidRDefault="003F07F5" w:rsidP="00AD2E9D">
            <w:pPr>
              <w:jc w:val="center"/>
              <w:rPr>
                <w:rFonts w:ascii="Arial" w:hAnsi="Arial" w:cs="Arial"/>
                <w:color w:val="000000"/>
              </w:rPr>
            </w:pPr>
          </w:p>
        </w:tc>
        <w:tc>
          <w:tcPr>
            <w:tcW w:w="1793" w:type="dxa"/>
            <w:noWrap/>
            <w:vAlign w:val="bottom"/>
            <w:hideMark/>
          </w:tcPr>
          <w:p w14:paraId="18B86356" w14:textId="77777777" w:rsidR="003F07F5" w:rsidRPr="00644028" w:rsidRDefault="003F07F5" w:rsidP="00AD2E9D">
            <w:pPr>
              <w:jc w:val="center"/>
              <w:rPr>
                <w:rFonts w:ascii="Arial" w:hAnsi="Arial" w:cs="Arial"/>
                <w:color w:val="000000"/>
              </w:rPr>
            </w:pPr>
          </w:p>
        </w:tc>
        <w:tc>
          <w:tcPr>
            <w:tcW w:w="1212" w:type="dxa"/>
            <w:vAlign w:val="bottom"/>
          </w:tcPr>
          <w:p w14:paraId="74C79B6D" w14:textId="77777777" w:rsidR="003F07F5" w:rsidRPr="00644028" w:rsidRDefault="003F07F5" w:rsidP="00AD2E9D">
            <w:pPr>
              <w:jc w:val="center"/>
              <w:rPr>
                <w:rFonts w:ascii="Arial" w:hAnsi="Arial" w:cs="Arial"/>
                <w:color w:val="000000"/>
              </w:rPr>
            </w:pPr>
            <w:r w:rsidRPr="00644028">
              <w:rPr>
                <w:rFonts w:ascii="Arial" w:eastAsia="Calibri" w:hAnsi="Arial" w:cs="Arial"/>
                <w:color w:val="000000"/>
                <w:kern w:val="2"/>
                <w14:ligatures w14:val="standardContextual"/>
              </w:rPr>
              <w:t>24.1832</w:t>
            </w:r>
          </w:p>
        </w:tc>
        <w:tc>
          <w:tcPr>
            <w:tcW w:w="1212" w:type="dxa"/>
            <w:noWrap/>
            <w:vAlign w:val="bottom"/>
            <w:hideMark/>
          </w:tcPr>
          <w:p w14:paraId="28A2A5DA" w14:textId="77777777" w:rsidR="003F07F5" w:rsidRPr="00644028" w:rsidRDefault="003F07F5" w:rsidP="00AD2E9D">
            <w:pPr>
              <w:jc w:val="center"/>
              <w:rPr>
                <w:rFonts w:ascii="Arial" w:hAnsi="Arial" w:cs="Arial"/>
                <w:color w:val="000000"/>
              </w:rPr>
            </w:pPr>
            <w:r w:rsidRPr="00644028">
              <w:rPr>
                <w:rFonts w:ascii="Arial" w:hAnsi="Arial" w:cs="Arial"/>
                <w:color w:val="000000"/>
              </w:rPr>
              <w:t>&lt;0.001</w:t>
            </w:r>
          </w:p>
        </w:tc>
      </w:tr>
      <w:tr w:rsidR="003F07F5" w:rsidRPr="00644028" w14:paraId="261758A0" w14:textId="77777777" w:rsidTr="00AD2E9D">
        <w:trPr>
          <w:trHeight w:val="300"/>
        </w:trPr>
        <w:tc>
          <w:tcPr>
            <w:tcW w:w="2953" w:type="dxa"/>
            <w:noWrap/>
            <w:vAlign w:val="bottom"/>
            <w:hideMark/>
          </w:tcPr>
          <w:p w14:paraId="4F02F52C" w14:textId="77777777" w:rsidR="003F07F5" w:rsidRPr="00644028" w:rsidRDefault="003F07F5" w:rsidP="00AD2E9D">
            <w:pPr>
              <w:ind w:left="510"/>
              <w:rPr>
                <w:rFonts w:ascii="Arial" w:hAnsi="Arial" w:cs="Arial"/>
                <w:color w:val="000000"/>
              </w:rPr>
            </w:pPr>
            <w:r w:rsidRPr="00644028">
              <w:rPr>
                <w:rFonts w:ascii="Arial" w:hAnsi="Arial" w:cs="Arial"/>
                <w:color w:val="000000"/>
              </w:rPr>
              <w:t>&lt;5 (logMAR)</w:t>
            </w:r>
          </w:p>
        </w:tc>
        <w:tc>
          <w:tcPr>
            <w:tcW w:w="1739" w:type="dxa"/>
            <w:noWrap/>
            <w:vAlign w:val="bottom"/>
            <w:hideMark/>
          </w:tcPr>
          <w:p w14:paraId="3F846856" w14:textId="77777777" w:rsidR="003F07F5" w:rsidRPr="00644028" w:rsidRDefault="003F07F5" w:rsidP="00AD2E9D">
            <w:pPr>
              <w:jc w:val="center"/>
              <w:rPr>
                <w:rFonts w:ascii="Arial" w:hAnsi="Arial" w:cs="Arial"/>
                <w:color w:val="000000"/>
              </w:rPr>
            </w:pPr>
            <w:r w:rsidRPr="00644028">
              <w:rPr>
                <w:rFonts w:ascii="Arial" w:hAnsi="Arial" w:cs="Arial"/>
                <w:color w:val="000000"/>
              </w:rPr>
              <w:t>148(93.1)</w:t>
            </w:r>
          </w:p>
        </w:tc>
        <w:tc>
          <w:tcPr>
            <w:tcW w:w="1793" w:type="dxa"/>
            <w:noWrap/>
            <w:vAlign w:val="bottom"/>
            <w:hideMark/>
          </w:tcPr>
          <w:p w14:paraId="55A3836F" w14:textId="77777777" w:rsidR="003F07F5" w:rsidRPr="00644028" w:rsidRDefault="003F07F5" w:rsidP="00AD2E9D">
            <w:pPr>
              <w:jc w:val="center"/>
              <w:rPr>
                <w:rFonts w:ascii="Arial" w:hAnsi="Arial" w:cs="Arial"/>
                <w:color w:val="000000"/>
              </w:rPr>
            </w:pPr>
            <w:r w:rsidRPr="00644028">
              <w:rPr>
                <w:rFonts w:ascii="Arial" w:hAnsi="Arial" w:cs="Arial"/>
                <w:color w:val="000000"/>
              </w:rPr>
              <w:t>11(6.9)</w:t>
            </w:r>
          </w:p>
        </w:tc>
        <w:tc>
          <w:tcPr>
            <w:tcW w:w="1212" w:type="dxa"/>
            <w:vAlign w:val="bottom"/>
          </w:tcPr>
          <w:p w14:paraId="7CF60B24" w14:textId="77777777" w:rsidR="003F07F5" w:rsidRPr="00644028" w:rsidRDefault="003F07F5" w:rsidP="00AD2E9D">
            <w:pPr>
              <w:jc w:val="center"/>
              <w:rPr>
                <w:rFonts w:ascii="Arial" w:hAnsi="Arial" w:cs="Arial"/>
                <w:color w:val="000000"/>
              </w:rPr>
            </w:pPr>
          </w:p>
        </w:tc>
        <w:tc>
          <w:tcPr>
            <w:tcW w:w="1212" w:type="dxa"/>
            <w:noWrap/>
            <w:vAlign w:val="bottom"/>
            <w:hideMark/>
          </w:tcPr>
          <w:p w14:paraId="061671C5" w14:textId="77777777" w:rsidR="003F07F5" w:rsidRPr="00644028" w:rsidRDefault="003F07F5" w:rsidP="00AD2E9D">
            <w:pPr>
              <w:jc w:val="center"/>
              <w:rPr>
                <w:rFonts w:ascii="Arial" w:hAnsi="Arial" w:cs="Arial"/>
                <w:color w:val="000000"/>
              </w:rPr>
            </w:pPr>
          </w:p>
        </w:tc>
      </w:tr>
      <w:tr w:rsidR="003F07F5" w:rsidRPr="00644028" w14:paraId="30D2F5A0" w14:textId="77777777" w:rsidTr="00AD2E9D">
        <w:trPr>
          <w:trHeight w:val="300"/>
        </w:trPr>
        <w:tc>
          <w:tcPr>
            <w:tcW w:w="2953" w:type="dxa"/>
            <w:tcBorders>
              <w:bottom w:val="single" w:sz="12" w:space="0" w:color="auto"/>
            </w:tcBorders>
            <w:noWrap/>
            <w:vAlign w:val="bottom"/>
            <w:hideMark/>
          </w:tcPr>
          <w:p w14:paraId="68AFC598" w14:textId="77777777" w:rsidR="003F07F5" w:rsidRPr="00644028" w:rsidRDefault="003F07F5" w:rsidP="00AD2E9D">
            <w:pPr>
              <w:ind w:left="510"/>
              <w:rPr>
                <w:rFonts w:ascii="Arial" w:hAnsi="Arial" w:cs="Arial"/>
                <w:color w:val="000000"/>
              </w:rPr>
            </w:pPr>
            <w:r w:rsidRPr="00644028">
              <w:rPr>
                <w:rFonts w:ascii="Arial" w:hAnsi="Arial" w:cs="Arial"/>
                <w:color w:val="000000"/>
              </w:rPr>
              <w:t>=5 (logMAR)</w:t>
            </w:r>
          </w:p>
        </w:tc>
        <w:tc>
          <w:tcPr>
            <w:tcW w:w="1739" w:type="dxa"/>
            <w:tcBorders>
              <w:bottom w:val="single" w:sz="12" w:space="0" w:color="auto"/>
            </w:tcBorders>
            <w:noWrap/>
            <w:vAlign w:val="bottom"/>
            <w:hideMark/>
          </w:tcPr>
          <w:p w14:paraId="3A3C3F65" w14:textId="77777777" w:rsidR="003F07F5" w:rsidRPr="00644028" w:rsidRDefault="003F07F5" w:rsidP="00AD2E9D">
            <w:pPr>
              <w:jc w:val="center"/>
              <w:rPr>
                <w:rFonts w:ascii="Arial" w:hAnsi="Arial" w:cs="Arial"/>
                <w:color w:val="000000"/>
              </w:rPr>
            </w:pPr>
            <w:r w:rsidRPr="00644028">
              <w:rPr>
                <w:rFonts w:ascii="Arial" w:hAnsi="Arial" w:cs="Arial"/>
                <w:color w:val="000000"/>
              </w:rPr>
              <w:t>25(48.1)</w:t>
            </w:r>
          </w:p>
        </w:tc>
        <w:tc>
          <w:tcPr>
            <w:tcW w:w="1793" w:type="dxa"/>
            <w:tcBorders>
              <w:bottom w:val="single" w:sz="12" w:space="0" w:color="auto"/>
            </w:tcBorders>
            <w:noWrap/>
            <w:vAlign w:val="bottom"/>
            <w:hideMark/>
          </w:tcPr>
          <w:p w14:paraId="3458E41A" w14:textId="77777777" w:rsidR="003F07F5" w:rsidRPr="00644028" w:rsidRDefault="003F07F5" w:rsidP="00AD2E9D">
            <w:pPr>
              <w:jc w:val="center"/>
              <w:rPr>
                <w:rFonts w:ascii="Arial" w:hAnsi="Arial" w:cs="Arial"/>
                <w:color w:val="000000"/>
              </w:rPr>
            </w:pPr>
            <w:r w:rsidRPr="00644028">
              <w:rPr>
                <w:rFonts w:ascii="Arial" w:hAnsi="Arial" w:cs="Arial"/>
                <w:color w:val="000000"/>
              </w:rPr>
              <w:t>27(51.9)</w:t>
            </w:r>
          </w:p>
        </w:tc>
        <w:tc>
          <w:tcPr>
            <w:tcW w:w="1212" w:type="dxa"/>
            <w:tcBorders>
              <w:bottom w:val="single" w:sz="12" w:space="0" w:color="auto"/>
            </w:tcBorders>
            <w:vAlign w:val="bottom"/>
          </w:tcPr>
          <w:p w14:paraId="51338E30" w14:textId="77777777" w:rsidR="003F07F5" w:rsidRPr="00644028" w:rsidRDefault="003F07F5" w:rsidP="00AD2E9D">
            <w:pPr>
              <w:jc w:val="center"/>
              <w:rPr>
                <w:rFonts w:ascii="Arial" w:hAnsi="Arial" w:cs="Arial"/>
                <w:color w:val="000000"/>
              </w:rPr>
            </w:pPr>
          </w:p>
        </w:tc>
        <w:tc>
          <w:tcPr>
            <w:tcW w:w="1212" w:type="dxa"/>
            <w:tcBorders>
              <w:bottom w:val="single" w:sz="12" w:space="0" w:color="auto"/>
            </w:tcBorders>
            <w:noWrap/>
            <w:vAlign w:val="bottom"/>
            <w:hideMark/>
          </w:tcPr>
          <w:p w14:paraId="41E2B1FC" w14:textId="77777777" w:rsidR="003F07F5" w:rsidRPr="00644028" w:rsidRDefault="003F07F5" w:rsidP="00AD2E9D">
            <w:pPr>
              <w:jc w:val="center"/>
              <w:rPr>
                <w:rFonts w:ascii="Arial" w:hAnsi="Arial" w:cs="Arial"/>
                <w:color w:val="000000"/>
              </w:rPr>
            </w:pPr>
          </w:p>
        </w:tc>
      </w:tr>
    </w:tbl>
    <w:p w14:paraId="0B4B5771" w14:textId="77777777" w:rsidR="007E5FBC" w:rsidRPr="00644028" w:rsidRDefault="007E5FBC" w:rsidP="00441B6F">
      <w:pPr>
        <w:pStyle w:val="Head1"/>
        <w:spacing w:after="0"/>
        <w:jc w:val="both"/>
        <w:rPr>
          <w:rFonts w:ascii="Arial" w:hAnsi="Arial" w:cs="Arial"/>
        </w:rPr>
      </w:pPr>
    </w:p>
    <w:p w14:paraId="654E2AB0" w14:textId="77777777" w:rsidR="00533CC6" w:rsidRPr="00644028" w:rsidRDefault="00AA192C" w:rsidP="00533CC6">
      <w:pPr>
        <w:jc w:val="both"/>
        <w:rPr>
          <w:rFonts w:ascii="Arial" w:eastAsia="Calibri" w:hAnsi="Arial" w:cs="Arial"/>
          <w:b/>
          <w:bCs/>
          <w:u w:val="single"/>
        </w:rPr>
      </w:pPr>
      <w:bookmarkStart w:id="27" w:name="_Toc202112590"/>
      <w:r w:rsidRPr="00644028">
        <w:rPr>
          <w:rFonts w:ascii="Arial" w:eastAsia="Calibri" w:hAnsi="Arial" w:cs="Arial"/>
          <w:b/>
          <w:bCs/>
          <w:u w:val="single"/>
        </w:rPr>
        <w:t>3</w:t>
      </w:r>
      <w:r w:rsidR="003F07F5" w:rsidRPr="00644028">
        <w:rPr>
          <w:rFonts w:ascii="Arial" w:eastAsia="Calibri" w:hAnsi="Arial" w:cs="Arial"/>
          <w:b/>
          <w:bCs/>
          <w:u w:val="single"/>
        </w:rPr>
        <w:t>.4.2 Risk factors associated with endophthalmitis requiring evisceration</w:t>
      </w:r>
      <w:bookmarkEnd w:id="27"/>
    </w:p>
    <w:p w14:paraId="098E7F1B" w14:textId="77777777" w:rsidR="006756B9" w:rsidRPr="00644028" w:rsidRDefault="006756B9" w:rsidP="006756B9">
      <w:pPr>
        <w:spacing w:before="240"/>
        <w:rPr>
          <w:rFonts w:ascii="Arial" w:eastAsia="Calibri" w:hAnsi="Arial" w:cs="Arial"/>
        </w:rPr>
      </w:pPr>
      <w:r w:rsidRPr="00644028">
        <w:rPr>
          <w:rFonts w:ascii="Arial" w:eastAsia="Calibri" w:hAnsi="Arial" w:cs="Arial"/>
        </w:rPr>
        <w:t>Table 4 presents the Crude Prevalence Ratios (CPR) and Adjusted Prevalence Ratios (APR), along with corresponding 95% confidence intervals and P-values, for factors associated with evisceration among participants. Participants aged above 43 years were 2.5 significantly more likely to undergo evisceration compared to those aged 43 years and below (CPR: 2.53; 95% CI: 1.32–4.83; P= 0.005), while individuals with corneal ulcer–related endophthalmitis were 5 times significantly more likely of undergoing evisceration compared to participants with other causes (CPR: 5.28; 95% CI: 2.30–12.13; P&lt;0.001). Participants who delayed presentation for more than 14 days were 3.7 times significantly more likely to undergo evisceration than those who presented within 14 days (CPR: 3.71; 95% CI: 2.02–6.82; P&lt;0.001). For every increase in IOP at presentation, participants were 14% less likely to be eviscerated (CPR: 0.86; 95% CI: 0.76–0.97; P=0.015), while for a decrease in presenting VA, participants were 4 times significantly more likely to be eviscerated (CPR: 4.02; 95% CI: 2.51–6.45; p&lt;0.001). In adjusted analysis, participants with corneal ulcer–related endophthalmitis were 3 times significantly more likely of undergoing evisceration compared to participants with other causes (APR: 3.18; 95% CI: 1.54–6.60; P=0.002), while for every decrease in presenting VA, participants were 3 times significantly more likely to be eviscerated (APR: 3.19; 95% CI: 1.95–5.21; P&lt;0.001).</w:t>
      </w:r>
    </w:p>
    <w:p w14:paraId="3E816060" w14:textId="6E212B7E" w:rsidR="003F07F5" w:rsidRPr="00644028" w:rsidRDefault="003F07F5" w:rsidP="006756B9">
      <w:pPr>
        <w:spacing w:before="240"/>
        <w:rPr>
          <w:rFonts w:ascii="Arial" w:eastAsia="Calibri" w:hAnsi="Arial" w:cs="Arial"/>
          <w:b/>
          <w:bCs/>
          <w:kern w:val="2"/>
          <w14:ligatures w14:val="standardContextual"/>
        </w:rPr>
      </w:pPr>
      <w:r w:rsidRPr="00644028">
        <w:rPr>
          <w:rFonts w:ascii="Arial" w:hAnsi="Arial" w:cs="Arial"/>
          <w:b/>
          <w:bCs/>
          <w:lang w:eastAsia="en-GB"/>
        </w:rPr>
        <w:t xml:space="preserve">Table </w:t>
      </w:r>
      <w:r w:rsidRPr="00644028">
        <w:rPr>
          <w:rFonts w:ascii="Arial" w:hAnsi="Arial" w:cs="Arial"/>
          <w:b/>
          <w:bCs/>
          <w:lang w:eastAsia="en-GB"/>
        </w:rPr>
        <w:fldChar w:fldCharType="begin"/>
      </w:r>
      <w:r w:rsidRPr="00644028">
        <w:rPr>
          <w:rFonts w:ascii="Arial" w:hAnsi="Arial" w:cs="Arial"/>
          <w:b/>
          <w:bCs/>
          <w:lang w:eastAsia="en-GB"/>
        </w:rPr>
        <w:instrText xml:space="preserve"> SEQ Table \* ARABIC </w:instrText>
      </w:r>
      <w:r w:rsidRPr="00644028">
        <w:rPr>
          <w:rFonts w:ascii="Arial" w:hAnsi="Arial" w:cs="Arial"/>
          <w:b/>
          <w:bCs/>
          <w:lang w:eastAsia="en-GB"/>
        </w:rPr>
        <w:fldChar w:fldCharType="separate"/>
      </w:r>
      <w:r w:rsidRPr="00644028">
        <w:rPr>
          <w:rFonts w:ascii="Arial" w:hAnsi="Arial" w:cs="Arial"/>
          <w:b/>
          <w:bCs/>
          <w:noProof/>
          <w:lang w:eastAsia="en-GB"/>
        </w:rPr>
        <w:t>4</w:t>
      </w:r>
      <w:r w:rsidRPr="00644028">
        <w:rPr>
          <w:rFonts w:ascii="Arial" w:hAnsi="Arial" w:cs="Arial"/>
          <w:b/>
          <w:bCs/>
          <w:noProof/>
          <w:lang w:eastAsia="en-GB"/>
        </w:rPr>
        <w:fldChar w:fldCharType="end"/>
      </w:r>
      <w:r w:rsidRPr="00644028">
        <w:rPr>
          <w:rFonts w:ascii="Arial" w:hAnsi="Arial" w:cs="Arial"/>
          <w:b/>
          <w:bCs/>
          <w:lang w:eastAsia="en-GB"/>
        </w:rPr>
        <w:t>: Factors associated with Endophthalmitis requiring evisceration</w:t>
      </w:r>
    </w:p>
    <w:tbl>
      <w:tblPr>
        <w:tblW w:w="10373" w:type="dxa"/>
        <w:tblInd w:w="-655" w:type="dxa"/>
        <w:tblLook w:val="04A0" w:firstRow="1" w:lastRow="0" w:firstColumn="1" w:lastColumn="0" w:noHBand="0" w:noVBand="1"/>
      </w:tblPr>
      <w:tblGrid>
        <w:gridCol w:w="4235"/>
        <w:gridCol w:w="2075"/>
        <w:gridCol w:w="1173"/>
        <w:gridCol w:w="1804"/>
        <w:gridCol w:w="1086"/>
      </w:tblGrid>
      <w:tr w:rsidR="003F07F5" w:rsidRPr="00644028" w14:paraId="7D0A7FFE" w14:textId="77777777" w:rsidTr="00AD2E9D">
        <w:trPr>
          <w:trHeight w:val="250"/>
        </w:trPr>
        <w:tc>
          <w:tcPr>
            <w:tcW w:w="4235" w:type="dxa"/>
            <w:tcBorders>
              <w:top w:val="single" w:sz="12" w:space="0" w:color="auto"/>
              <w:bottom w:val="single" w:sz="12" w:space="0" w:color="auto"/>
            </w:tcBorders>
            <w:noWrap/>
            <w:vAlign w:val="bottom"/>
            <w:hideMark/>
          </w:tcPr>
          <w:p w14:paraId="045B15C0" w14:textId="77777777" w:rsidR="003F07F5" w:rsidRPr="00644028" w:rsidRDefault="003F07F5" w:rsidP="00AD2E9D">
            <w:pPr>
              <w:rPr>
                <w:rFonts w:ascii="Arial" w:hAnsi="Arial" w:cs="Arial"/>
                <w:b/>
                <w:bCs/>
                <w:color w:val="000000"/>
              </w:rPr>
            </w:pPr>
            <w:r w:rsidRPr="00644028">
              <w:rPr>
                <w:rFonts w:ascii="Arial" w:hAnsi="Arial" w:cs="Arial"/>
                <w:b/>
                <w:bCs/>
                <w:color w:val="000000"/>
              </w:rPr>
              <w:t>Variable</w:t>
            </w:r>
          </w:p>
        </w:tc>
        <w:tc>
          <w:tcPr>
            <w:tcW w:w="2075" w:type="dxa"/>
            <w:tcBorders>
              <w:top w:val="single" w:sz="12" w:space="0" w:color="auto"/>
              <w:bottom w:val="single" w:sz="12" w:space="0" w:color="auto"/>
            </w:tcBorders>
            <w:noWrap/>
            <w:vAlign w:val="bottom"/>
            <w:hideMark/>
          </w:tcPr>
          <w:p w14:paraId="355E162E"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CPR</w:t>
            </w:r>
          </w:p>
        </w:tc>
        <w:tc>
          <w:tcPr>
            <w:tcW w:w="1173" w:type="dxa"/>
            <w:tcBorders>
              <w:top w:val="single" w:sz="12" w:space="0" w:color="auto"/>
              <w:bottom w:val="single" w:sz="12" w:space="0" w:color="auto"/>
            </w:tcBorders>
            <w:noWrap/>
            <w:vAlign w:val="bottom"/>
            <w:hideMark/>
          </w:tcPr>
          <w:p w14:paraId="7585BBB9" w14:textId="77777777" w:rsidR="003F07F5" w:rsidRPr="00644028" w:rsidRDefault="003F07F5" w:rsidP="00AD2E9D">
            <w:pPr>
              <w:jc w:val="center"/>
              <w:rPr>
                <w:rFonts w:ascii="Arial" w:hAnsi="Arial" w:cs="Arial"/>
                <w:b/>
                <w:bCs/>
                <w:color w:val="000000"/>
              </w:rPr>
            </w:pPr>
            <w:r w:rsidRPr="00644028">
              <w:rPr>
                <w:rFonts w:ascii="Arial" w:hAnsi="Arial" w:cs="Arial"/>
                <w:b/>
                <w:bCs/>
                <w:i/>
                <w:iCs/>
                <w:color w:val="000000"/>
              </w:rPr>
              <w:t>P</w:t>
            </w:r>
            <w:r w:rsidRPr="00644028">
              <w:rPr>
                <w:rFonts w:ascii="Arial" w:hAnsi="Arial" w:cs="Arial"/>
                <w:b/>
                <w:bCs/>
                <w:color w:val="000000"/>
              </w:rPr>
              <w:t>-value</w:t>
            </w:r>
          </w:p>
        </w:tc>
        <w:tc>
          <w:tcPr>
            <w:tcW w:w="1804" w:type="dxa"/>
            <w:tcBorders>
              <w:top w:val="single" w:sz="12" w:space="0" w:color="auto"/>
              <w:bottom w:val="single" w:sz="12" w:space="0" w:color="auto"/>
            </w:tcBorders>
            <w:noWrap/>
            <w:vAlign w:val="bottom"/>
            <w:hideMark/>
          </w:tcPr>
          <w:p w14:paraId="267FA052"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APR</w:t>
            </w:r>
          </w:p>
        </w:tc>
        <w:tc>
          <w:tcPr>
            <w:tcW w:w="1086" w:type="dxa"/>
            <w:tcBorders>
              <w:top w:val="single" w:sz="12" w:space="0" w:color="auto"/>
              <w:bottom w:val="single" w:sz="12" w:space="0" w:color="auto"/>
            </w:tcBorders>
            <w:noWrap/>
            <w:vAlign w:val="bottom"/>
            <w:hideMark/>
          </w:tcPr>
          <w:p w14:paraId="093623DD" w14:textId="77777777" w:rsidR="003F07F5" w:rsidRPr="00644028" w:rsidRDefault="003F07F5" w:rsidP="00AD2E9D">
            <w:pPr>
              <w:jc w:val="center"/>
              <w:rPr>
                <w:rFonts w:ascii="Arial" w:hAnsi="Arial" w:cs="Arial"/>
                <w:b/>
                <w:bCs/>
                <w:color w:val="000000"/>
              </w:rPr>
            </w:pPr>
            <w:r w:rsidRPr="00644028">
              <w:rPr>
                <w:rFonts w:ascii="Arial" w:hAnsi="Arial" w:cs="Arial"/>
                <w:b/>
                <w:bCs/>
                <w:i/>
                <w:iCs/>
                <w:color w:val="000000"/>
              </w:rPr>
              <w:t>P-</w:t>
            </w:r>
            <w:r w:rsidRPr="00644028">
              <w:rPr>
                <w:rFonts w:ascii="Arial" w:hAnsi="Arial" w:cs="Arial"/>
                <w:b/>
                <w:bCs/>
                <w:color w:val="000000"/>
              </w:rPr>
              <w:t>value</w:t>
            </w:r>
          </w:p>
        </w:tc>
      </w:tr>
      <w:tr w:rsidR="003F07F5" w:rsidRPr="00644028" w14:paraId="286CD896" w14:textId="77777777" w:rsidTr="00AD2E9D">
        <w:trPr>
          <w:trHeight w:val="250"/>
        </w:trPr>
        <w:tc>
          <w:tcPr>
            <w:tcW w:w="4235" w:type="dxa"/>
            <w:tcBorders>
              <w:top w:val="single" w:sz="12" w:space="0" w:color="auto"/>
            </w:tcBorders>
            <w:noWrap/>
            <w:vAlign w:val="bottom"/>
            <w:hideMark/>
          </w:tcPr>
          <w:p w14:paraId="16DD21A5" w14:textId="77777777" w:rsidR="003F07F5" w:rsidRPr="00644028" w:rsidRDefault="003F07F5" w:rsidP="00AD2E9D">
            <w:pPr>
              <w:rPr>
                <w:rFonts w:ascii="Arial" w:hAnsi="Arial" w:cs="Arial"/>
                <w:b/>
                <w:bCs/>
                <w:color w:val="000000"/>
              </w:rPr>
            </w:pPr>
            <w:r w:rsidRPr="00644028">
              <w:rPr>
                <w:rFonts w:ascii="Arial" w:hAnsi="Arial" w:cs="Arial"/>
                <w:b/>
                <w:bCs/>
                <w:color w:val="000000"/>
              </w:rPr>
              <w:t>Sex of the participant</w:t>
            </w:r>
          </w:p>
        </w:tc>
        <w:tc>
          <w:tcPr>
            <w:tcW w:w="2075" w:type="dxa"/>
            <w:tcBorders>
              <w:top w:val="single" w:sz="12" w:space="0" w:color="auto"/>
            </w:tcBorders>
            <w:noWrap/>
            <w:vAlign w:val="bottom"/>
            <w:hideMark/>
          </w:tcPr>
          <w:p w14:paraId="3C607FD9" w14:textId="77777777" w:rsidR="003F07F5" w:rsidRPr="00644028" w:rsidRDefault="003F07F5" w:rsidP="00AD2E9D">
            <w:pPr>
              <w:rPr>
                <w:rFonts w:ascii="Arial" w:hAnsi="Arial" w:cs="Arial"/>
                <w:b/>
                <w:bCs/>
                <w:color w:val="000000"/>
              </w:rPr>
            </w:pPr>
            <w:r w:rsidRPr="00644028">
              <w:rPr>
                <w:rFonts w:ascii="Arial" w:hAnsi="Arial" w:cs="Arial"/>
                <w:b/>
                <w:bCs/>
                <w:color w:val="000000"/>
              </w:rPr>
              <w:t> </w:t>
            </w:r>
          </w:p>
        </w:tc>
        <w:tc>
          <w:tcPr>
            <w:tcW w:w="1173" w:type="dxa"/>
            <w:tcBorders>
              <w:top w:val="single" w:sz="12" w:space="0" w:color="auto"/>
            </w:tcBorders>
            <w:noWrap/>
            <w:vAlign w:val="bottom"/>
            <w:hideMark/>
          </w:tcPr>
          <w:p w14:paraId="5D15778E" w14:textId="77777777" w:rsidR="003F07F5" w:rsidRPr="00644028" w:rsidRDefault="003F07F5" w:rsidP="00AD2E9D">
            <w:pPr>
              <w:rPr>
                <w:rFonts w:ascii="Arial" w:hAnsi="Arial" w:cs="Arial"/>
                <w:b/>
                <w:bCs/>
                <w:color w:val="000000"/>
              </w:rPr>
            </w:pPr>
            <w:r w:rsidRPr="00644028">
              <w:rPr>
                <w:rFonts w:ascii="Arial" w:hAnsi="Arial" w:cs="Arial"/>
                <w:b/>
                <w:bCs/>
                <w:color w:val="000000"/>
              </w:rPr>
              <w:t> </w:t>
            </w:r>
          </w:p>
        </w:tc>
        <w:tc>
          <w:tcPr>
            <w:tcW w:w="1804" w:type="dxa"/>
            <w:tcBorders>
              <w:top w:val="single" w:sz="12" w:space="0" w:color="auto"/>
            </w:tcBorders>
            <w:noWrap/>
            <w:vAlign w:val="bottom"/>
            <w:hideMark/>
          </w:tcPr>
          <w:p w14:paraId="1B98669E" w14:textId="77777777" w:rsidR="003F07F5" w:rsidRPr="00644028" w:rsidRDefault="003F07F5" w:rsidP="00AD2E9D">
            <w:pPr>
              <w:rPr>
                <w:rFonts w:ascii="Arial" w:hAnsi="Arial" w:cs="Arial"/>
                <w:b/>
                <w:bCs/>
                <w:color w:val="000000"/>
              </w:rPr>
            </w:pPr>
            <w:r w:rsidRPr="00644028">
              <w:rPr>
                <w:rFonts w:ascii="Arial" w:hAnsi="Arial" w:cs="Arial"/>
                <w:b/>
                <w:bCs/>
                <w:color w:val="000000"/>
              </w:rPr>
              <w:t> </w:t>
            </w:r>
          </w:p>
        </w:tc>
        <w:tc>
          <w:tcPr>
            <w:tcW w:w="1086" w:type="dxa"/>
            <w:tcBorders>
              <w:top w:val="single" w:sz="12" w:space="0" w:color="auto"/>
            </w:tcBorders>
            <w:noWrap/>
            <w:vAlign w:val="bottom"/>
            <w:hideMark/>
          </w:tcPr>
          <w:p w14:paraId="40A581AE" w14:textId="77777777" w:rsidR="003F07F5" w:rsidRPr="00644028" w:rsidRDefault="003F07F5" w:rsidP="00AD2E9D">
            <w:pPr>
              <w:rPr>
                <w:rFonts w:ascii="Arial" w:hAnsi="Arial" w:cs="Arial"/>
                <w:b/>
                <w:bCs/>
                <w:color w:val="000000"/>
              </w:rPr>
            </w:pPr>
            <w:r w:rsidRPr="00644028">
              <w:rPr>
                <w:rFonts w:ascii="Arial" w:hAnsi="Arial" w:cs="Arial"/>
                <w:b/>
                <w:bCs/>
                <w:color w:val="000000"/>
              </w:rPr>
              <w:t> </w:t>
            </w:r>
          </w:p>
        </w:tc>
      </w:tr>
      <w:tr w:rsidR="003F07F5" w:rsidRPr="00644028" w14:paraId="0EAAABBA" w14:textId="77777777" w:rsidTr="00AD2E9D">
        <w:trPr>
          <w:trHeight w:val="250"/>
        </w:trPr>
        <w:tc>
          <w:tcPr>
            <w:tcW w:w="4235" w:type="dxa"/>
            <w:noWrap/>
            <w:vAlign w:val="bottom"/>
            <w:hideMark/>
          </w:tcPr>
          <w:p w14:paraId="72BDCD4D" w14:textId="77777777" w:rsidR="003F07F5" w:rsidRPr="00644028" w:rsidRDefault="003F07F5" w:rsidP="00AD2E9D">
            <w:pPr>
              <w:ind w:left="510"/>
              <w:rPr>
                <w:rFonts w:ascii="Arial" w:hAnsi="Arial" w:cs="Arial"/>
                <w:color w:val="000000"/>
              </w:rPr>
            </w:pPr>
            <w:r w:rsidRPr="00644028">
              <w:rPr>
                <w:rFonts w:ascii="Arial" w:hAnsi="Arial" w:cs="Arial"/>
                <w:color w:val="000000"/>
              </w:rPr>
              <w:t>Male</w:t>
            </w:r>
          </w:p>
        </w:tc>
        <w:tc>
          <w:tcPr>
            <w:tcW w:w="2075" w:type="dxa"/>
            <w:noWrap/>
            <w:vAlign w:val="bottom"/>
            <w:hideMark/>
          </w:tcPr>
          <w:p w14:paraId="767A08DE" w14:textId="77777777" w:rsidR="003F07F5" w:rsidRPr="00644028" w:rsidRDefault="003F07F5" w:rsidP="00AD2E9D">
            <w:pPr>
              <w:jc w:val="center"/>
              <w:rPr>
                <w:rFonts w:ascii="Arial" w:hAnsi="Arial" w:cs="Arial"/>
                <w:color w:val="000000"/>
              </w:rPr>
            </w:pPr>
            <w:r w:rsidRPr="00644028">
              <w:rPr>
                <w:rFonts w:ascii="Arial" w:hAnsi="Arial" w:cs="Arial"/>
                <w:color w:val="000000"/>
              </w:rPr>
              <w:t>Ref</w:t>
            </w:r>
          </w:p>
        </w:tc>
        <w:tc>
          <w:tcPr>
            <w:tcW w:w="1173" w:type="dxa"/>
            <w:noWrap/>
            <w:vAlign w:val="bottom"/>
            <w:hideMark/>
          </w:tcPr>
          <w:p w14:paraId="42B31D44"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c>
          <w:tcPr>
            <w:tcW w:w="1804" w:type="dxa"/>
            <w:noWrap/>
            <w:vAlign w:val="bottom"/>
            <w:hideMark/>
          </w:tcPr>
          <w:p w14:paraId="6C7693D7" w14:textId="77777777" w:rsidR="003F07F5" w:rsidRPr="00644028" w:rsidRDefault="003F07F5" w:rsidP="00AD2E9D">
            <w:pPr>
              <w:jc w:val="center"/>
              <w:rPr>
                <w:rFonts w:ascii="Arial" w:hAnsi="Arial" w:cs="Arial"/>
                <w:color w:val="000000"/>
              </w:rPr>
            </w:pPr>
            <w:r w:rsidRPr="00644028">
              <w:rPr>
                <w:rFonts w:ascii="Arial" w:hAnsi="Arial" w:cs="Arial"/>
                <w:color w:val="000000"/>
              </w:rPr>
              <w:t>Ref</w:t>
            </w:r>
          </w:p>
        </w:tc>
        <w:tc>
          <w:tcPr>
            <w:tcW w:w="1086" w:type="dxa"/>
            <w:noWrap/>
            <w:vAlign w:val="bottom"/>
            <w:hideMark/>
          </w:tcPr>
          <w:p w14:paraId="1C128CA7"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r>
      <w:tr w:rsidR="003F07F5" w:rsidRPr="00644028" w14:paraId="290AEE58" w14:textId="77777777" w:rsidTr="00AD2E9D">
        <w:trPr>
          <w:trHeight w:val="250"/>
        </w:trPr>
        <w:tc>
          <w:tcPr>
            <w:tcW w:w="4235" w:type="dxa"/>
            <w:noWrap/>
            <w:vAlign w:val="bottom"/>
            <w:hideMark/>
          </w:tcPr>
          <w:p w14:paraId="448AB5DE" w14:textId="77777777" w:rsidR="003F07F5" w:rsidRPr="00644028" w:rsidRDefault="003F07F5" w:rsidP="00AD2E9D">
            <w:pPr>
              <w:ind w:left="510"/>
              <w:rPr>
                <w:rFonts w:ascii="Arial" w:hAnsi="Arial" w:cs="Arial"/>
                <w:color w:val="000000"/>
              </w:rPr>
            </w:pPr>
            <w:r w:rsidRPr="00644028">
              <w:rPr>
                <w:rFonts w:ascii="Arial" w:hAnsi="Arial" w:cs="Arial"/>
                <w:color w:val="000000"/>
              </w:rPr>
              <w:t>Female</w:t>
            </w:r>
          </w:p>
        </w:tc>
        <w:tc>
          <w:tcPr>
            <w:tcW w:w="2075" w:type="dxa"/>
            <w:noWrap/>
            <w:vAlign w:val="bottom"/>
            <w:hideMark/>
          </w:tcPr>
          <w:p w14:paraId="186FE170" w14:textId="77777777" w:rsidR="003F07F5" w:rsidRPr="00644028" w:rsidRDefault="003F07F5" w:rsidP="00AD2E9D">
            <w:pPr>
              <w:jc w:val="center"/>
              <w:rPr>
                <w:rFonts w:ascii="Arial" w:hAnsi="Arial" w:cs="Arial"/>
                <w:color w:val="000000"/>
              </w:rPr>
            </w:pPr>
            <w:r w:rsidRPr="00644028">
              <w:rPr>
                <w:rFonts w:ascii="Arial" w:hAnsi="Arial" w:cs="Arial"/>
                <w:color w:val="000000"/>
              </w:rPr>
              <w:t>1.31(0.74-2.33)</w:t>
            </w:r>
          </w:p>
        </w:tc>
        <w:tc>
          <w:tcPr>
            <w:tcW w:w="1173" w:type="dxa"/>
            <w:noWrap/>
            <w:vAlign w:val="bottom"/>
            <w:hideMark/>
          </w:tcPr>
          <w:p w14:paraId="17284CB9" w14:textId="77777777" w:rsidR="003F07F5" w:rsidRPr="00644028" w:rsidRDefault="003F07F5" w:rsidP="00AD2E9D">
            <w:pPr>
              <w:jc w:val="center"/>
              <w:rPr>
                <w:rFonts w:ascii="Arial" w:hAnsi="Arial" w:cs="Arial"/>
                <w:color w:val="000000"/>
              </w:rPr>
            </w:pPr>
            <w:r w:rsidRPr="00644028">
              <w:rPr>
                <w:rFonts w:ascii="Arial" w:hAnsi="Arial" w:cs="Arial"/>
                <w:color w:val="000000"/>
              </w:rPr>
              <w:t>0.362</w:t>
            </w:r>
          </w:p>
        </w:tc>
        <w:tc>
          <w:tcPr>
            <w:tcW w:w="1804" w:type="dxa"/>
            <w:noWrap/>
            <w:vAlign w:val="bottom"/>
            <w:hideMark/>
          </w:tcPr>
          <w:p w14:paraId="0014102E" w14:textId="77777777" w:rsidR="003F07F5" w:rsidRPr="00644028" w:rsidRDefault="003F07F5" w:rsidP="00AD2E9D">
            <w:pPr>
              <w:jc w:val="center"/>
              <w:rPr>
                <w:rFonts w:ascii="Arial" w:hAnsi="Arial" w:cs="Arial"/>
                <w:color w:val="000000"/>
              </w:rPr>
            </w:pPr>
            <w:r w:rsidRPr="00644028">
              <w:rPr>
                <w:rFonts w:ascii="Arial" w:hAnsi="Arial" w:cs="Arial"/>
                <w:color w:val="000000"/>
              </w:rPr>
              <w:t>0.85(0.54-1.34)</w:t>
            </w:r>
          </w:p>
        </w:tc>
        <w:tc>
          <w:tcPr>
            <w:tcW w:w="1086" w:type="dxa"/>
            <w:noWrap/>
            <w:vAlign w:val="bottom"/>
            <w:hideMark/>
          </w:tcPr>
          <w:p w14:paraId="1CBD6651" w14:textId="77777777" w:rsidR="003F07F5" w:rsidRPr="00644028" w:rsidRDefault="003F07F5" w:rsidP="00AD2E9D">
            <w:pPr>
              <w:jc w:val="center"/>
              <w:rPr>
                <w:rFonts w:ascii="Arial" w:hAnsi="Arial" w:cs="Arial"/>
                <w:color w:val="000000"/>
              </w:rPr>
            </w:pPr>
            <w:r w:rsidRPr="00644028">
              <w:rPr>
                <w:rFonts w:ascii="Arial" w:hAnsi="Arial" w:cs="Arial"/>
                <w:color w:val="000000"/>
              </w:rPr>
              <w:t>0.486</w:t>
            </w:r>
          </w:p>
        </w:tc>
      </w:tr>
      <w:tr w:rsidR="003F07F5" w:rsidRPr="00644028" w14:paraId="14CC373E" w14:textId="77777777" w:rsidTr="00AD2E9D">
        <w:trPr>
          <w:trHeight w:val="250"/>
        </w:trPr>
        <w:tc>
          <w:tcPr>
            <w:tcW w:w="4235" w:type="dxa"/>
            <w:noWrap/>
            <w:vAlign w:val="bottom"/>
            <w:hideMark/>
          </w:tcPr>
          <w:p w14:paraId="236680EF" w14:textId="77777777" w:rsidR="003F07F5" w:rsidRPr="00644028" w:rsidRDefault="003F07F5" w:rsidP="00AD2E9D">
            <w:pPr>
              <w:rPr>
                <w:rFonts w:ascii="Arial" w:hAnsi="Arial" w:cs="Arial"/>
                <w:b/>
                <w:bCs/>
                <w:color w:val="000000"/>
              </w:rPr>
            </w:pPr>
            <w:r w:rsidRPr="00644028">
              <w:rPr>
                <w:rFonts w:ascii="Arial" w:hAnsi="Arial" w:cs="Arial"/>
                <w:b/>
                <w:bCs/>
                <w:color w:val="000000"/>
              </w:rPr>
              <w:t>Age of the participant</w:t>
            </w:r>
          </w:p>
        </w:tc>
        <w:tc>
          <w:tcPr>
            <w:tcW w:w="2075" w:type="dxa"/>
            <w:noWrap/>
            <w:vAlign w:val="bottom"/>
            <w:hideMark/>
          </w:tcPr>
          <w:p w14:paraId="2E6D17EF"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173" w:type="dxa"/>
            <w:noWrap/>
            <w:vAlign w:val="bottom"/>
            <w:hideMark/>
          </w:tcPr>
          <w:p w14:paraId="2A3BEDC3"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804" w:type="dxa"/>
            <w:noWrap/>
            <w:vAlign w:val="bottom"/>
            <w:hideMark/>
          </w:tcPr>
          <w:p w14:paraId="581D25AF"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086" w:type="dxa"/>
            <w:noWrap/>
            <w:vAlign w:val="bottom"/>
            <w:hideMark/>
          </w:tcPr>
          <w:p w14:paraId="713B8E3A"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r>
      <w:tr w:rsidR="003F07F5" w:rsidRPr="00644028" w14:paraId="621A7FEF" w14:textId="77777777" w:rsidTr="00AD2E9D">
        <w:trPr>
          <w:trHeight w:val="250"/>
        </w:trPr>
        <w:tc>
          <w:tcPr>
            <w:tcW w:w="4235" w:type="dxa"/>
            <w:noWrap/>
            <w:vAlign w:val="bottom"/>
            <w:hideMark/>
          </w:tcPr>
          <w:p w14:paraId="796FF5D9" w14:textId="77777777" w:rsidR="003F07F5" w:rsidRPr="00644028" w:rsidRDefault="003F07F5" w:rsidP="00AD2E9D">
            <w:pPr>
              <w:ind w:left="510"/>
              <w:rPr>
                <w:rFonts w:ascii="Arial" w:hAnsi="Arial" w:cs="Arial"/>
                <w:color w:val="000000"/>
              </w:rPr>
            </w:pPr>
            <w:r w:rsidRPr="00644028">
              <w:rPr>
                <w:rFonts w:ascii="Arial" w:hAnsi="Arial" w:cs="Arial"/>
                <w:color w:val="000000"/>
              </w:rPr>
              <w:t>≤43</w:t>
            </w:r>
          </w:p>
        </w:tc>
        <w:tc>
          <w:tcPr>
            <w:tcW w:w="2075" w:type="dxa"/>
            <w:noWrap/>
            <w:vAlign w:val="bottom"/>
            <w:hideMark/>
          </w:tcPr>
          <w:p w14:paraId="57378C1A" w14:textId="77777777" w:rsidR="003F07F5" w:rsidRPr="00644028" w:rsidRDefault="003F07F5" w:rsidP="00AD2E9D">
            <w:pPr>
              <w:jc w:val="center"/>
              <w:rPr>
                <w:rFonts w:ascii="Arial" w:hAnsi="Arial" w:cs="Arial"/>
                <w:color w:val="000000"/>
              </w:rPr>
            </w:pPr>
            <w:r w:rsidRPr="00644028">
              <w:rPr>
                <w:rFonts w:ascii="Arial" w:hAnsi="Arial" w:cs="Arial"/>
                <w:color w:val="000000"/>
              </w:rPr>
              <w:t>Ref</w:t>
            </w:r>
          </w:p>
        </w:tc>
        <w:tc>
          <w:tcPr>
            <w:tcW w:w="1173" w:type="dxa"/>
            <w:noWrap/>
            <w:vAlign w:val="bottom"/>
            <w:hideMark/>
          </w:tcPr>
          <w:p w14:paraId="0906AE78"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c>
          <w:tcPr>
            <w:tcW w:w="1804" w:type="dxa"/>
            <w:noWrap/>
            <w:vAlign w:val="bottom"/>
            <w:hideMark/>
          </w:tcPr>
          <w:p w14:paraId="605FF015" w14:textId="77777777" w:rsidR="003F07F5" w:rsidRPr="00644028" w:rsidRDefault="003F07F5" w:rsidP="00AD2E9D">
            <w:pPr>
              <w:jc w:val="center"/>
              <w:rPr>
                <w:rFonts w:ascii="Arial" w:hAnsi="Arial" w:cs="Arial"/>
                <w:color w:val="000000"/>
              </w:rPr>
            </w:pPr>
            <w:r w:rsidRPr="00644028">
              <w:rPr>
                <w:rFonts w:ascii="Arial" w:hAnsi="Arial" w:cs="Arial"/>
                <w:color w:val="000000"/>
              </w:rPr>
              <w:t>Ref</w:t>
            </w:r>
          </w:p>
        </w:tc>
        <w:tc>
          <w:tcPr>
            <w:tcW w:w="1086" w:type="dxa"/>
            <w:noWrap/>
            <w:vAlign w:val="bottom"/>
            <w:hideMark/>
          </w:tcPr>
          <w:p w14:paraId="5B8A4233"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r>
      <w:tr w:rsidR="003F07F5" w:rsidRPr="00644028" w14:paraId="423AF907" w14:textId="77777777" w:rsidTr="00AD2E9D">
        <w:trPr>
          <w:trHeight w:val="250"/>
        </w:trPr>
        <w:tc>
          <w:tcPr>
            <w:tcW w:w="4235" w:type="dxa"/>
            <w:noWrap/>
            <w:vAlign w:val="bottom"/>
            <w:hideMark/>
          </w:tcPr>
          <w:p w14:paraId="2DAAD2C3" w14:textId="77777777" w:rsidR="003F07F5" w:rsidRPr="00644028" w:rsidRDefault="003F07F5" w:rsidP="00AD2E9D">
            <w:pPr>
              <w:ind w:left="510"/>
              <w:rPr>
                <w:rFonts w:ascii="Arial" w:hAnsi="Arial" w:cs="Arial"/>
                <w:color w:val="000000"/>
              </w:rPr>
            </w:pPr>
            <w:r w:rsidRPr="00644028">
              <w:rPr>
                <w:rFonts w:ascii="Arial" w:hAnsi="Arial" w:cs="Arial"/>
                <w:color w:val="000000"/>
              </w:rPr>
              <w:t>&gt;43</w:t>
            </w:r>
          </w:p>
        </w:tc>
        <w:tc>
          <w:tcPr>
            <w:tcW w:w="2075" w:type="dxa"/>
            <w:noWrap/>
            <w:vAlign w:val="bottom"/>
            <w:hideMark/>
          </w:tcPr>
          <w:p w14:paraId="0D643BA4" w14:textId="77777777" w:rsidR="003F07F5" w:rsidRPr="00644028" w:rsidRDefault="003F07F5" w:rsidP="00AD2E9D">
            <w:pPr>
              <w:jc w:val="center"/>
              <w:rPr>
                <w:rFonts w:ascii="Arial" w:hAnsi="Arial" w:cs="Arial"/>
                <w:color w:val="000000"/>
              </w:rPr>
            </w:pPr>
            <w:r w:rsidRPr="00644028">
              <w:rPr>
                <w:rFonts w:ascii="Arial" w:hAnsi="Arial" w:cs="Arial"/>
                <w:color w:val="000000"/>
              </w:rPr>
              <w:t>2.53(1.32-4.83)</w:t>
            </w:r>
          </w:p>
        </w:tc>
        <w:tc>
          <w:tcPr>
            <w:tcW w:w="1173" w:type="dxa"/>
            <w:noWrap/>
            <w:vAlign w:val="bottom"/>
            <w:hideMark/>
          </w:tcPr>
          <w:p w14:paraId="5950A9EA" w14:textId="77777777" w:rsidR="003F07F5" w:rsidRPr="00644028" w:rsidRDefault="003F07F5" w:rsidP="00AD2E9D">
            <w:pPr>
              <w:jc w:val="center"/>
              <w:rPr>
                <w:rFonts w:ascii="Arial" w:hAnsi="Arial" w:cs="Arial"/>
                <w:color w:val="000000"/>
              </w:rPr>
            </w:pPr>
            <w:r w:rsidRPr="00644028">
              <w:rPr>
                <w:rFonts w:ascii="Arial" w:hAnsi="Arial" w:cs="Arial"/>
                <w:color w:val="000000"/>
              </w:rPr>
              <w:t>0.005</w:t>
            </w:r>
          </w:p>
        </w:tc>
        <w:tc>
          <w:tcPr>
            <w:tcW w:w="1804" w:type="dxa"/>
            <w:noWrap/>
            <w:vAlign w:val="bottom"/>
            <w:hideMark/>
          </w:tcPr>
          <w:p w14:paraId="06935DB6" w14:textId="77777777" w:rsidR="003F07F5" w:rsidRPr="00644028" w:rsidRDefault="003F07F5" w:rsidP="00AD2E9D">
            <w:pPr>
              <w:jc w:val="center"/>
              <w:rPr>
                <w:rFonts w:ascii="Arial" w:hAnsi="Arial" w:cs="Arial"/>
                <w:color w:val="000000"/>
              </w:rPr>
            </w:pPr>
            <w:r w:rsidRPr="00644028">
              <w:rPr>
                <w:rFonts w:ascii="Arial" w:hAnsi="Arial" w:cs="Arial"/>
                <w:color w:val="000000"/>
              </w:rPr>
              <w:t>1.69(0.95-3.02)</w:t>
            </w:r>
          </w:p>
        </w:tc>
        <w:tc>
          <w:tcPr>
            <w:tcW w:w="1086" w:type="dxa"/>
            <w:noWrap/>
            <w:vAlign w:val="bottom"/>
            <w:hideMark/>
          </w:tcPr>
          <w:p w14:paraId="5E7ED194" w14:textId="77777777" w:rsidR="003F07F5" w:rsidRPr="00644028" w:rsidRDefault="003F07F5" w:rsidP="00AD2E9D">
            <w:pPr>
              <w:jc w:val="center"/>
              <w:rPr>
                <w:rFonts w:ascii="Arial" w:hAnsi="Arial" w:cs="Arial"/>
                <w:color w:val="000000"/>
              </w:rPr>
            </w:pPr>
            <w:r w:rsidRPr="00644028">
              <w:rPr>
                <w:rFonts w:ascii="Arial" w:hAnsi="Arial" w:cs="Arial"/>
                <w:color w:val="000000"/>
              </w:rPr>
              <w:t>0.074</w:t>
            </w:r>
          </w:p>
        </w:tc>
      </w:tr>
      <w:tr w:rsidR="003F07F5" w:rsidRPr="00644028" w14:paraId="00A22480" w14:textId="77777777" w:rsidTr="00AD2E9D">
        <w:trPr>
          <w:trHeight w:val="250"/>
        </w:trPr>
        <w:tc>
          <w:tcPr>
            <w:tcW w:w="4235" w:type="dxa"/>
            <w:noWrap/>
            <w:vAlign w:val="bottom"/>
            <w:hideMark/>
          </w:tcPr>
          <w:p w14:paraId="6B704859" w14:textId="77777777" w:rsidR="003F07F5" w:rsidRPr="00644028" w:rsidRDefault="003F07F5" w:rsidP="00AD2E9D">
            <w:pPr>
              <w:rPr>
                <w:rFonts w:ascii="Arial" w:hAnsi="Arial" w:cs="Arial"/>
                <w:b/>
                <w:bCs/>
                <w:color w:val="000000"/>
              </w:rPr>
            </w:pPr>
            <w:r w:rsidRPr="00644028">
              <w:rPr>
                <w:rFonts w:ascii="Arial" w:hAnsi="Arial" w:cs="Arial"/>
                <w:b/>
                <w:bCs/>
                <w:color w:val="000000"/>
              </w:rPr>
              <w:t>Cause of endophthalmitis</w:t>
            </w:r>
          </w:p>
        </w:tc>
        <w:tc>
          <w:tcPr>
            <w:tcW w:w="2075" w:type="dxa"/>
            <w:noWrap/>
            <w:vAlign w:val="bottom"/>
            <w:hideMark/>
          </w:tcPr>
          <w:p w14:paraId="4D94711F"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173" w:type="dxa"/>
            <w:noWrap/>
            <w:vAlign w:val="bottom"/>
            <w:hideMark/>
          </w:tcPr>
          <w:p w14:paraId="52C49697"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804" w:type="dxa"/>
            <w:noWrap/>
            <w:vAlign w:val="bottom"/>
            <w:hideMark/>
          </w:tcPr>
          <w:p w14:paraId="5AD20103"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086" w:type="dxa"/>
            <w:noWrap/>
            <w:vAlign w:val="bottom"/>
            <w:hideMark/>
          </w:tcPr>
          <w:p w14:paraId="457DA7FB"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r>
      <w:tr w:rsidR="003F07F5" w:rsidRPr="00644028" w14:paraId="42B3EEF4" w14:textId="77777777" w:rsidTr="00AD2E9D">
        <w:trPr>
          <w:trHeight w:val="250"/>
        </w:trPr>
        <w:tc>
          <w:tcPr>
            <w:tcW w:w="4235" w:type="dxa"/>
            <w:noWrap/>
            <w:vAlign w:val="bottom"/>
            <w:hideMark/>
          </w:tcPr>
          <w:p w14:paraId="675EED95" w14:textId="77777777" w:rsidR="003F07F5" w:rsidRPr="00644028" w:rsidRDefault="003F07F5" w:rsidP="00AD2E9D">
            <w:pPr>
              <w:ind w:left="510"/>
              <w:rPr>
                <w:rFonts w:ascii="Arial" w:hAnsi="Arial" w:cs="Arial"/>
                <w:color w:val="000000"/>
              </w:rPr>
            </w:pPr>
            <w:r w:rsidRPr="00644028">
              <w:rPr>
                <w:rFonts w:ascii="Arial" w:hAnsi="Arial" w:cs="Arial"/>
                <w:color w:val="000000"/>
              </w:rPr>
              <w:t>Cornea ulcer related</w:t>
            </w:r>
          </w:p>
        </w:tc>
        <w:tc>
          <w:tcPr>
            <w:tcW w:w="2075" w:type="dxa"/>
            <w:noWrap/>
            <w:vAlign w:val="bottom"/>
            <w:hideMark/>
          </w:tcPr>
          <w:p w14:paraId="3FCD57FA" w14:textId="77777777" w:rsidR="003F07F5" w:rsidRPr="00644028" w:rsidRDefault="003F07F5" w:rsidP="00AD2E9D">
            <w:pPr>
              <w:jc w:val="center"/>
              <w:rPr>
                <w:rFonts w:ascii="Arial" w:hAnsi="Arial" w:cs="Arial"/>
                <w:color w:val="000000"/>
              </w:rPr>
            </w:pPr>
            <w:r w:rsidRPr="00644028">
              <w:rPr>
                <w:rFonts w:ascii="Arial" w:hAnsi="Arial" w:cs="Arial"/>
                <w:color w:val="000000"/>
              </w:rPr>
              <w:t>5.28(2.30-12.13)</w:t>
            </w:r>
          </w:p>
        </w:tc>
        <w:tc>
          <w:tcPr>
            <w:tcW w:w="1173" w:type="dxa"/>
            <w:noWrap/>
            <w:vAlign w:val="bottom"/>
            <w:hideMark/>
          </w:tcPr>
          <w:p w14:paraId="43B4F7DF" w14:textId="77777777" w:rsidR="003F07F5" w:rsidRPr="00644028" w:rsidRDefault="003F07F5" w:rsidP="00AD2E9D">
            <w:pPr>
              <w:jc w:val="center"/>
              <w:rPr>
                <w:rFonts w:ascii="Arial" w:hAnsi="Arial" w:cs="Arial"/>
                <w:color w:val="000000"/>
              </w:rPr>
            </w:pPr>
            <w:r w:rsidRPr="00644028">
              <w:rPr>
                <w:rFonts w:ascii="Arial" w:hAnsi="Arial" w:cs="Arial"/>
                <w:color w:val="000000"/>
              </w:rPr>
              <w:t>&lt;0.001</w:t>
            </w:r>
          </w:p>
        </w:tc>
        <w:tc>
          <w:tcPr>
            <w:tcW w:w="1804" w:type="dxa"/>
            <w:noWrap/>
            <w:vAlign w:val="bottom"/>
            <w:hideMark/>
          </w:tcPr>
          <w:p w14:paraId="10960EFD" w14:textId="77777777" w:rsidR="003F07F5" w:rsidRPr="00644028" w:rsidRDefault="003F07F5" w:rsidP="00AD2E9D">
            <w:pPr>
              <w:jc w:val="center"/>
              <w:rPr>
                <w:rFonts w:ascii="Arial" w:hAnsi="Arial" w:cs="Arial"/>
                <w:color w:val="000000"/>
              </w:rPr>
            </w:pPr>
            <w:r w:rsidRPr="00644028">
              <w:rPr>
                <w:rFonts w:ascii="Arial" w:hAnsi="Arial" w:cs="Arial"/>
                <w:color w:val="000000"/>
              </w:rPr>
              <w:t>3.18(1.54-6.60)</w:t>
            </w:r>
          </w:p>
        </w:tc>
        <w:tc>
          <w:tcPr>
            <w:tcW w:w="1086" w:type="dxa"/>
            <w:noWrap/>
            <w:vAlign w:val="bottom"/>
            <w:hideMark/>
          </w:tcPr>
          <w:p w14:paraId="67C9C5BE" w14:textId="77777777" w:rsidR="003F07F5" w:rsidRPr="00644028" w:rsidRDefault="003F07F5" w:rsidP="00AD2E9D">
            <w:pPr>
              <w:jc w:val="center"/>
              <w:rPr>
                <w:rFonts w:ascii="Arial" w:hAnsi="Arial" w:cs="Arial"/>
                <w:color w:val="000000"/>
              </w:rPr>
            </w:pPr>
            <w:r w:rsidRPr="00644028">
              <w:rPr>
                <w:rFonts w:ascii="Arial" w:hAnsi="Arial" w:cs="Arial"/>
                <w:color w:val="000000"/>
              </w:rPr>
              <w:t>0.002</w:t>
            </w:r>
          </w:p>
        </w:tc>
      </w:tr>
      <w:tr w:rsidR="003F07F5" w:rsidRPr="00644028" w14:paraId="7E57EFD5" w14:textId="77777777" w:rsidTr="00AD2E9D">
        <w:trPr>
          <w:trHeight w:val="250"/>
        </w:trPr>
        <w:tc>
          <w:tcPr>
            <w:tcW w:w="4235" w:type="dxa"/>
            <w:noWrap/>
            <w:vAlign w:val="bottom"/>
            <w:hideMark/>
          </w:tcPr>
          <w:p w14:paraId="0BE2D3D2" w14:textId="77777777" w:rsidR="003F07F5" w:rsidRPr="00644028" w:rsidRDefault="003F07F5" w:rsidP="00AD2E9D">
            <w:pPr>
              <w:ind w:left="510"/>
              <w:rPr>
                <w:rFonts w:ascii="Arial" w:hAnsi="Arial" w:cs="Arial"/>
                <w:color w:val="000000"/>
              </w:rPr>
            </w:pPr>
            <w:r w:rsidRPr="00644028">
              <w:rPr>
                <w:rFonts w:ascii="Arial" w:hAnsi="Arial" w:cs="Arial"/>
                <w:color w:val="000000"/>
              </w:rPr>
              <w:lastRenderedPageBreak/>
              <w:t>Other</w:t>
            </w:r>
          </w:p>
        </w:tc>
        <w:tc>
          <w:tcPr>
            <w:tcW w:w="2075" w:type="dxa"/>
            <w:noWrap/>
            <w:vAlign w:val="bottom"/>
            <w:hideMark/>
          </w:tcPr>
          <w:p w14:paraId="17E4D637" w14:textId="77777777" w:rsidR="003F07F5" w:rsidRPr="00644028" w:rsidRDefault="003F07F5" w:rsidP="00AD2E9D">
            <w:pPr>
              <w:jc w:val="center"/>
              <w:rPr>
                <w:rFonts w:ascii="Arial" w:hAnsi="Arial" w:cs="Arial"/>
                <w:color w:val="000000"/>
              </w:rPr>
            </w:pPr>
            <w:r w:rsidRPr="00644028">
              <w:rPr>
                <w:rFonts w:ascii="Arial" w:hAnsi="Arial" w:cs="Arial"/>
                <w:color w:val="000000"/>
              </w:rPr>
              <w:t>Ref</w:t>
            </w:r>
          </w:p>
        </w:tc>
        <w:tc>
          <w:tcPr>
            <w:tcW w:w="1173" w:type="dxa"/>
            <w:noWrap/>
            <w:vAlign w:val="bottom"/>
            <w:hideMark/>
          </w:tcPr>
          <w:p w14:paraId="40FAB4ED"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c>
          <w:tcPr>
            <w:tcW w:w="1804" w:type="dxa"/>
            <w:noWrap/>
            <w:vAlign w:val="bottom"/>
            <w:hideMark/>
          </w:tcPr>
          <w:p w14:paraId="6CFBC3BC"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c>
          <w:tcPr>
            <w:tcW w:w="1086" w:type="dxa"/>
            <w:noWrap/>
            <w:vAlign w:val="bottom"/>
            <w:hideMark/>
          </w:tcPr>
          <w:p w14:paraId="1190E2C2"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r>
      <w:tr w:rsidR="003F07F5" w:rsidRPr="00644028" w14:paraId="2C92F68F" w14:textId="77777777" w:rsidTr="00AD2E9D">
        <w:trPr>
          <w:trHeight w:val="250"/>
        </w:trPr>
        <w:tc>
          <w:tcPr>
            <w:tcW w:w="4235" w:type="dxa"/>
            <w:noWrap/>
            <w:vAlign w:val="bottom"/>
            <w:hideMark/>
          </w:tcPr>
          <w:p w14:paraId="0E98C9E6" w14:textId="77777777" w:rsidR="003F07F5" w:rsidRPr="00644028" w:rsidRDefault="003F07F5" w:rsidP="00AD2E9D">
            <w:pPr>
              <w:rPr>
                <w:rFonts w:ascii="Arial" w:hAnsi="Arial" w:cs="Arial"/>
                <w:b/>
                <w:bCs/>
                <w:color w:val="000000"/>
              </w:rPr>
            </w:pPr>
            <w:r w:rsidRPr="00644028">
              <w:rPr>
                <w:rFonts w:ascii="Arial" w:hAnsi="Arial" w:cs="Arial"/>
                <w:b/>
                <w:bCs/>
                <w:color w:val="000000"/>
              </w:rPr>
              <w:t>Number of days from onset of symptoms to 1st presentation</w:t>
            </w:r>
          </w:p>
        </w:tc>
        <w:tc>
          <w:tcPr>
            <w:tcW w:w="2075" w:type="dxa"/>
            <w:noWrap/>
            <w:vAlign w:val="bottom"/>
            <w:hideMark/>
          </w:tcPr>
          <w:p w14:paraId="1686386D"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173" w:type="dxa"/>
            <w:noWrap/>
            <w:vAlign w:val="bottom"/>
            <w:hideMark/>
          </w:tcPr>
          <w:p w14:paraId="362F6618"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804" w:type="dxa"/>
            <w:noWrap/>
            <w:vAlign w:val="bottom"/>
            <w:hideMark/>
          </w:tcPr>
          <w:p w14:paraId="536C7EE9"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c>
          <w:tcPr>
            <w:tcW w:w="1086" w:type="dxa"/>
            <w:noWrap/>
            <w:vAlign w:val="bottom"/>
            <w:hideMark/>
          </w:tcPr>
          <w:p w14:paraId="044D8278" w14:textId="77777777" w:rsidR="003F07F5" w:rsidRPr="00644028" w:rsidRDefault="003F07F5" w:rsidP="00AD2E9D">
            <w:pPr>
              <w:jc w:val="center"/>
              <w:rPr>
                <w:rFonts w:ascii="Arial" w:hAnsi="Arial" w:cs="Arial"/>
                <w:b/>
                <w:bCs/>
                <w:color w:val="000000"/>
              </w:rPr>
            </w:pPr>
            <w:r w:rsidRPr="00644028">
              <w:rPr>
                <w:rFonts w:ascii="Arial" w:hAnsi="Arial" w:cs="Arial"/>
                <w:b/>
                <w:bCs/>
                <w:color w:val="000000"/>
              </w:rPr>
              <w:t> </w:t>
            </w:r>
          </w:p>
        </w:tc>
      </w:tr>
      <w:tr w:rsidR="003F07F5" w:rsidRPr="00644028" w14:paraId="5C7B86CE" w14:textId="77777777" w:rsidTr="00AD2E9D">
        <w:trPr>
          <w:trHeight w:val="250"/>
        </w:trPr>
        <w:tc>
          <w:tcPr>
            <w:tcW w:w="4235" w:type="dxa"/>
            <w:noWrap/>
            <w:vAlign w:val="bottom"/>
            <w:hideMark/>
          </w:tcPr>
          <w:p w14:paraId="1D0991EF" w14:textId="77777777" w:rsidR="003F07F5" w:rsidRPr="00644028" w:rsidRDefault="003F07F5" w:rsidP="00AD2E9D">
            <w:pPr>
              <w:ind w:left="510"/>
              <w:rPr>
                <w:rFonts w:ascii="Arial" w:hAnsi="Arial" w:cs="Arial"/>
                <w:color w:val="000000"/>
              </w:rPr>
            </w:pPr>
            <w:r w:rsidRPr="00644028">
              <w:rPr>
                <w:rFonts w:ascii="Arial" w:hAnsi="Arial" w:cs="Arial"/>
                <w:color w:val="000000"/>
              </w:rPr>
              <w:t>≤14</w:t>
            </w:r>
          </w:p>
        </w:tc>
        <w:tc>
          <w:tcPr>
            <w:tcW w:w="2075" w:type="dxa"/>
            <w:noWrap/>
            <w:vAlign w:val="bottom"/>
            <w:hideMark/>
          </w:tcPr>
          <w:p w14:paraId="13304A54" w14:textId="77777777" w:rsidR="003F07F5" w:rsidRPr="00644028" w:rsidRDefault="003F07F5" w:rsidP="00AD2E9D">
            <w:pPr>
              <w:jc w:val="center"/>
              <w:rPr>
                <w:rFonts w:ascii="Arial" w:hAnsi="Arial" w:cs="Arial"/>
                <w:color w:val="000000"/>
              </w:rPr>
            </w:pPr>
            <w:r w:rsidRPr="00644028">
              <w:rPr>
                <w:rFonts w:ascii="Arial" w:hAnsi="Arial" w:cs="Arial"/>
                <w:color w:val="000000"/>
              </w:rPr>
              <w:t>Ref</w:t>
            </w:r>
          </w:p>
        </w:tc>
        <w:tc>
          <w:tcPr>
            <w:tcW w:w="1173" w:type="dxa"/>
            <w:noWrap/>
            <w:vAlign w:val="bottom"/>
            <w:hideMark/>
          </w:tcPr>
          <w:p w14:paraId="3EA03D73"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c>
          <w:tcPr>
            <w:tcW w:w="1804" w:type="dxa"/>
            <w:noWrap/>
            <w:vAlign w:val="bottom"/>
            <w:hideMark/>
          </w:tcPr>
          <w:p w14:paraId="246242D0" w14:textId="77777777" w:rsidR="003F07F5" w:rsidRPr="00644028" w:rsidRDefault="003F07F5" w:rsidP="00AD2E9D">
            <w:pPr>
              <w:jc w:val="center"/>
              <w:rPr>
                <w:rFonts w:ascii="Arial" w:hAnsi="Arial" w:cs="Arial"/>
                <w:color w:val="000000"/>
              </w:rPr>
            </w:pPr>
            <w:r w:rsidRPr="00644028">
              <w:rPr>
                <w:rFonts w:ascii="Arial" w:hAnsi="Arial" w:cs="Arial"/>
                <w:color w:val="000000"/>
              </w:rPr>
              <w:t>Ref</w:t>
            </w:r>
          </w:p>
        </w:tc>
        <w:tc>
          <w:tcPr>
            <w:tcW w:w="1086" w:type="dxa"/>
            <w:noWrap/>
            <w:vAlign w:val="bottom"/>
            <w:hideMark/>
          </w:tcPr>
          <w:p w14:paraId="68A9FDD3" w14:textId="77777777" w:rsidR="003F07F5" w:rsidRPr="00644028" w:rsidRDefault="003F07F5" w:rsidP="00AD2E9D">
            <w:pPr>
              <w:jc w:val="center"/>
              <w:rPr>
                <w:rFonts w:ascii="Arial" w:hAnsi="Arial" w:cs="Arial"/>
                <w:color w:val="000000"/>
              </w:rPr>
            </w:pPr>
            <w:r w:rsidRPr="00644028">
              <w:rPr>
                <w:rFonts w:ascii="Arial" w:hAnsi="Arial" w:cs="Arial"/>
                <w:color w:val="000000"/>
              </w:rPr>
              <w:t> </w:t>
            </w:r>
          </w:p>
        </w:tc>
      </w:tr>
      <w:tr w:rsidR="003F07F5" w:rsidRPr="00644028" w14:paraId="6FE9BA78" w14:textId="77777777" w:rsidTr="00AD2E9D">
        <w:trPr>
          <w:trHeight w:val="250"/>
        </w:trPr>
        <w:tc>
          <w:tcPr>
            <w:tcW w:w="4235" w:type="dxa"/>
            <w:noWrap/>
            <w:vAlign w:val="bottom"/>
            <w:hideMark/>
          </w:tcPr>
          <w:p w14:paraId="09EF700B" w14:textId="77777777" w:rsidR="003F07F5" w:rsidRPr="00644028" w:rsidRDefault="003F07F5" w:rsidP="00AD2E9D">
            <w:pPr>
              <w:ind w:left="510"/>
              <w:rPr>
                <w:rFonts w:ascii="Arial" w:hAnsi="Arial" w:cs="Arial"/>
                <w:color w:val="000000"/>
              </w:rPr>
            </w:pPr>
            <w:r w:rsidRPr="00644028">
              <w:rPr>
                <w:rFonts w:ascii="Arial" w:hAnsi="Arial" w:cs="Arial"/>
                <w:color w:val="000000"/>
              </w:rPr>
              <w:t>&gt;14</w:t>
            </w:r>
          </w:p>
        </w:tc>
        <w:tc>
          <w:tcPr>
            <w:tcW w:w="2075" w:type="dxa"/>
            <w:noWrap/>
            <w:vAlign w:val="bottom"/>
            <w:hideMark/>
          </w:tcPr>
          <w:p w14:paraId="41AA1C5B" w14:textId="77777777" w:rsidR="003F07F5" w:rsidRPr="00644028" w:rsidRDefault="003F07F5" w:rsidP="00AD2E9D">
            <w:pPr>
              <w:jc w:val="center"/>
              <w:rPr>
                <w:rFonts w:ascii="Arial" w:hAnsi="Arial" w:cs="Arial"/>
                <w:color w:val="000000"/>
              </w:rPr>
            </w:pPr>
            <w:r w:rsidRPr="00644028">
              <w:rPr>
                <w:rFonts w:ascii="Arial" w:hAnsi="Arial" w:cs="Arial"/>
                <w:color w:val="000000"/>
              </w:rPr>
              <w:t>3.71(2.02-6.82)</w:t>
            </w:r>
          </w:p>
        </w:tc>
        <w:tc>
          <w:tcPr>
            <w:tcW w:w="1173" w:type="dxa"/>
            <w:noWrap/>
            <w:vAlign w:val="bottom"/>
            <w:hideMark/>
          </w:tcPr>
          <w:p w14:paraId="360E980A" w14:textId="77777777" w:rsidR="003F07F5" w:rsidRPr="00644028" w:rsidRDefault="003F07F5" w:rsidP="00AD2E9D">
            <w:pPr>
              <w:jc w:val="center"/>
              <w:rPr>
                <w:rFonts w:ascii="Arial" w:hAnsi="Arial" w:cs="Arial"/>
                <w:color w:val="000000"/>
              </w:rPr>
            </w:pPr>
            <w:r w:rsidRPr="00644028">
              <w:rPr>
                <w:rFonts w:ascii="Arial" w:hAnsi="Arial" w:cs="Arial"/>
                <w:color w:val="000000"/>
              </w:rPr>
              <w:t>&lt;0.001</w:t>
            </w:r>
          </w:p>
        </w:tc>
        <w:tc>
          <w:tcPr>
            <w:tcW w:w="1804" w:type="dxa"/>
            <w:noWrap/>
            <w:vAlign w:val="bottom"/>
            <w:hideMark/>
          </w:tcPr>
          <w:p w14:paraId="68EB8E53" w14:textId="77777777" w:rsidR="003F07F5" w:rsidRPr="00644028" w:rsidRDefault="003F07F5" w:rsidP="00AD2E9D">
            <w:pPr>
              <w:jc w:val="center"/>
              <w:rPr>
                <w:rFonts w:ascii="Arial" w:hAnsi="Arial" w:cs="Arial"/>
                <w:color w:val="000000"/>
              </w:rPr>
            </w:pPr>
            <w:r w:rsidRPr="00644028">
              <w:rPr>
                <w:rFonts w:ascii="Arial" w:hAnsi="Arial" w:cs="Arial"/>
                <w:color w:val="000000"/>
              </w:rPr>
              <w:t>1.48(0.84-2.61)</w:t>
            </w:r>
          </w:p>
        </w:tc>
        <w:tc>
          <w:tcPr>
            <w:tcW w:w="1086" w:type="dxa"/>
            <w:noWrap/>
            <w:vAlign w:val="bottom"/>
            <w:hideMark/>
          </w:tcPr>
          <w:p w14:paraId="2FBFE610" w14:textId="77777777" w:rsidR="003F07F5" w:rsidRPr="00644028" w:rsidRDefault="003F07F5" w:rsidP="00AD2E9D">
            <w:pPr>
              <w:jc w:val="center"/>
              <w:rPr>
                <w:rFonts w:ascii="Arial" w:hAnsi="Arial" w:cs="Arial"/>
                <w:color w:val="000000"/>
              </w:rPr>
            </w:pPr>
            <w:r w:rsidRPr="00644028">
              <w:rPr>
                <w:rFonts w:ascii="Arial" w:hAnsi="Arial" w:cs="Arial"/>
                <w:color w:val="000000"/>
              </w:rPr>
              <w:t>0.172</w:t>
            </w:r>
          </w:p>
        </w:tc>
      </w:tr>
      <w:tr w:rsidR="003F07F5" w:rsidRPr="00644028" w14:paraId="7850A507" w14:textId="77777777" w:rsidTr="00AD2E9D">
        <w:trPr>
          <w:trHeight w:val="250"/>
        </w:trPr>
        <w:tc>
          <w:tcPr>
            <w:tcW w:w="4235" w:type="dxa"/>
            <w:noWrap/>
            <w:vAlign w:val="bottom"/>
            <w:hideMark/>
          </w:tcPr>
          <w:p w14:paraId="74A37272" w14:textId="77777777" w:rsidR="003F07F5" w:rsidRPr="00644028" w:rsidRDefault="003F07F5" w:rsidP="00AD2E9D">
            <w:pPr>
              <w:rPr>
                <w:rFonts w:ascii="Arial" w:hAnsi="Arial" w:cs="Arial"/>
                <w:b/>
                <w:bCs/>
                <w:color w:val="000000"/>
              </w:rPr>
            </w:pPr>
            <w:r w:rsidRPr="00644028">
              <w:rPr>
                <w:rFonts w:ascii="Arial" w:hAnsi="Arial" w:cs="Arial"/>
                <w:b/>
                <w:bCs/>
                <w:color w:val="000000"/>
              </w:rPr>
              <w:t>IOP at presentation of affected eye</w:t>
            </w:r>
          </w:p>
        </w:tc>
        <w:tc>
          <w:tcPr>
            <w:tcW w:w="2075" w:type="dxa"/>
            <w:noWrap/>
            <w:vAlign w:val="bottom"/>
            <w:hideMark/>
          </w:tcPr>
          <w:p w14:paraId="3D6A6C23" w14:textId="77777777" w:rsidR="003F07F5" w:rsidRPr="00644028" w:rsidRDefault="003F07F5" w:rsidP="00AD2E9D">
            <w:pPr>
              <w:jc w:val="center"/>
              <w:rPr>
                <w:rFonts w:ascii="Arial" w:hAnsi="Arial" w:cs="Arial"/>
                <w:color w:val="000000"/>
              </w:rPr>
            </w:pPr>
            <w:r w:rsidRPr="00644028">
              <w:rPr>
                <w:rFonts w:ascii="Arial" w:hAnsi="Arial" w:cs="Arial"/>
                <w:color w:val="000000"/>
              </w:rPr>
              <w:t>0.86(0.76-0.97)</w:t>
            </w:r>
          </w:p>
        </w:tc>
        <w:tc>
          <w:tcPr>
            <w:tcW w:w="1173" w:type="dxa"/>
            <w:noWrap/>
            <w:vAlign w:val="bottom"/>
            <w:hideMark/>
          </w:tcPr>
          <w:p w14:paraId="36C343C5" w14:textId="77777777" w:rsidR="003F07F5" w:rsidRPr="00644028" w:rsidRDefault="003F07F5" w:rsidP="00AD2E9D">
            <w:pPr>
              <w:jc w:val="center"/>
              <w:rPr>
                <w:rFonts w:ascii="Arial" w:hAnsi="Arial" w:cs="Arial"/>
                <w:color w:val="000000"/>
              </w:rPr>
            </w:pPr>
            <w:r w:rsidRPr="00644028">
              <w:rPr>
                <w:rFonts w:ascii="Arial" w:hAnsi="Arial" w:cs="Arial"/>
                <w:color w:val="000000"/>
              </w:rPr>
              <w:t>0.015</w:t>
            </w:r>
          </w:p>
        </w:tc>
        <w:tc>
          <w:tcPr>
            <w:tcW w:w="1804" w:type="dxa"/>
            <w:noWrap/>
            <w:vAlign w:val="bottom"/>
            <w:hideMark/>
          </w:tcPr>
          <w:p w14:paraId="7C0BBA39" w14:textId="77777777" w:rsidR="003F07F5" w:rsidRPr="00644028" w:rsidRDefault="003F07F5" w:rsidP="00AD2E9D">
            <w:pPr>
              <w:jc w:val="center"/>
              <w:rPr>
                <w:rFonts w:ascii="Arial" w:hAnsi="Arial" w:cs="Arial"/>
                <w:color w:val="000000"/>
              </w:rPr>
            </w:pPr>
            <w:r w:rsidRPr="00644028">
              <w:rPr>
                <w:rFonts w:ascii="Arial" w:hAnsi="Arial" w:cs="Arial"/>
                <w:color w:val="000000"/>
              </w:rPr>
              <w:t>0.93(0.85-1.03)</w:t>
            </w:r>
          </w:p>
        </w:tc>
        <w:tc>
          <w:tcPr>
            <w:tcW w:w="1086" w:type="dxa"/>
            <w:noWrap/>
            <w:vAlign w:val="bottom"/>
            <w:hideMark/>
          </w:tcPr>
          <w:p w14:paraId="68F41EDB" w14:textId="77777777" w:rsidR="003F07F5" w:rsidRPr="00644028" w:rsidRDefault="003F07F5" w:rsidP="00AD2E9D">
            <w:pPr>
              <w:jc w:val="center"/>
              <w:rPr>
                <w:rFonts w:ascii="Arial" w:hAnsi="Arial" w:cs="Arial"/>
                <w:color w:val="000000"/>
              </w:rPr>
            </w:pPr>
            <w:r w:rsidRPr="00644028">
              <w:rPr>
                <w:rFonts w:ascii="Arial" w:hAnsi="Arial" w:cs="Arial"/>
                <w:color w:val="000000"/>
              </w:rPr>
              <w:t>0.16</w:t>
            </w:r>
          </w:p>
        </w:tc>
      </w:tr>
      <w:tr w:rsidR="003F07F5" w:rsidRPr="00644028" w14:paraId="2B0EC3AD" w14:textId="77777777" w:rsidTr="00AD2E9D">
        <w:trPr>
          <w:trHeight w:val="250"/>
        </w:trPr>
        <w:tc>
          <w:tcPr>
            <w:tcW w:w="4235" w:type="dxa"/>
            <w:tcBorders>
              <w:bottom w:val="single" w:sz="12" w:space="0" w:color="auto"/>
            </w:tcBorders>
            <w:noWrap/>
            <w:vAlign w:val="bottom"/>
            <w:hideMark/>
          </w:tcPr>
          <w:p w14:paraId="48D7E5D8" w14:textId="77777777" w:rsidR="003F07F5" w:rsidRPr="00644028" w:rsidRDefault="003F07F5" w:rsidP="00AD2E9D">
            <w:pPr>
              <w:rPr>
                <w:rFonts w:ascii="Arial" w:hAnsi="Arial" w:cs="Arial"/>
                <w:b/>
                <w:bCs/>
                <w:color w:val="000000"/>
              </w:rPr>
            </w:pPr>
            <w:r w:rsidRPr="00644028">
              <w:rPr>
                <w:rFonts w:ascii="Arial" w:hAnsi="Arial" w:cs="Arial"/>
                <w:b/>
                <w:bCs/>
                <w:color w:val="000000"/>
              </w:rPr>
              <w:t>Presenting VA of affected eye</w:t>
            </w:r>
          </w:p>
        </w:tc>
        <w:tc>
          <w:tcPr>
            <w:tcW w:w="2075" w:type="dxa"/>
            <w:tcBorders>
              <w:bottom w:val="single" w:sz="12" w:space="0" w:color="auto"/>
            </w:tcBorders>
            <w:noWrap/>
            <w:vAlign w:val="bottom"/>
            <w:hideMark/>
          </w:tcPr>
          <w:p w14:paraId="1D996351" w14:textId="77777777" w:rsidR="003F07F5" w:rsidRPr="00644028" w:rsidRDefault="003F07F5" w:rsidP="00AD2E9D">
            <w:pPr>
              <w:jc w:val="center"/>
              <w:rPr>
                <w:rFonts w:ascii="Arial" w:hAnsi="Arial" w:cs="Arial"/>
                <w:color w:val="000000"/>
              </w:rPr>
            </w:pPr>
            <w:r w:rsidRPr="00644028">
              <w:rPr>
                <w:rFonts w:ascii="Arial" w:hAnsi="Arial" w:cs="Arial"/>
                <w:color w:val="000000"/>
              </w:rPr>
              <w:t>4.02(2.51-6.45)</w:t>
            </w:r>
          </w:p>
        </w:tc>
        <w:tc>
          <w:tcPr>
            <w:tcW w:w="1173" w:type="dxa"/>
            <w:tcBorders>
              <w:bottom w:val="single" w:sz="12" w:space="0" w:color="auto"/>
            </w:tcBorders>
            <w:noWrap/>
            <w:vAlign w:val="bottom"/>
            <w:hideMark/>
          </w:tcPr>
          <w:p w14:paraId="2083D7B8" w14:textId="77777777" w:rsidR="003F07F5" w:rsidRPr="00644028" w:rsidRDefault="003F07F5" w:rsidP="00AD2E9D">
            <w:pPr>
              <w:jc w:val="center"/>
              <w:rPr>
                <w:rFonts w:ascii="Arial" w:hAnsi="Arial" w:cs="Arial"/>
                <w:color w:val="000000"/>
              </w:rPr>
            </w:pPr>
            <w:r w:rsidRPr="00644028">
              <w:rPr>
                <w:rFonts w:ascii="Arial" w:hAnsi="Arial" w:cs="Arial"/>
                <w:color w:val="000000"/>
              </w:rPr>
              <w:t>&lt;0.001</w:t>
            </w:r>
          </w:p>
        </w:tc>
        <w:tc>
          <w:tcPr>
            <w:tcW w:w="1804" w:type="dxa"/>
            <w:tcBorders>
              <w:bottom w:val="single" w:sz="12" w:space="0" w:color="auto"/>
            </w:tcBorders>
            <w:noWrap/>
            <w:vAlign w:val="bottom"/>
            <w:hideMark/>
          </w:tcPr>
          <w:p w14:paraId="7CF777A5" w14:textId="77777777" w:rsidR="003F07F5" w:rsidRPr="00644028" w:rsidRDefault="003F07F5" w:rsidP="00AD2E9D">
            <w:pPr>
              <w:jc w:val="center"/>
              <w:rPr>
                <w:rFonts w:ascii="Arial" w:hAnsi="Arial" w:cs="Arial"/>
                <w:color w:val="000000"/>
              </w:rPr>
            </w:pPr>
            <w:r w:rsidRPr="00644028">
              <w:rPr>
                <w:rFonts w:ascii="Arial" w:hAnsi="Arial" w:cs="Arial"/>
                <w:color w:val="000000"/>
              </w:rPr>
              <w:t>3.19(1.95-5.21)</w:t>
            </w:r>
          </w:p>
        </w:tc>
        <w:tc>
          <w:tcPr>
            <w:tcW w:w="1086" w:type="dxa"/>
            <w:tcBorders>
              <w:bottom w:val="single" w:sz="12" w:space="0" w:color="auto"/>
            </w:tcBorders>
            <w:noWrap/>
            <w:vAlign w:val="bottom"/>
            <w:hideMark/>
          </w:tcPr>
          <w:p w14:paraId="3CB5F1EC" w14:textId="77777777" w:rsidR="003F07F5" w:rsidRPr="00644028" w:rsidRDefault="003F07F5" w:rsidP="00AD2E9D">
            <w:pPr>
              <w:jc w:val="center"/>
              <w:rPr>
                <w:rFonts w:ascii="Arial" w:hAnsi="Arial" w:cs="Arial"/>
                <w:color w:val="000000"/>
              </w:rPr>
            </w:pPr>
            <w:r w:rsidRPr="00644028">
              <w:rPr>
                <w:rFonts w:ascii="Arial" w:hAnsi="Arial" w:cs="Arial"/>
                <w:color w:val="000000"/>
              </w:rPr>
              <w:t>&lt;0.001</w:t>
            </w:r>
          </w:p>
        </w:tc>
      </w:tr>
    </w:tbl>
    <w:p w14:paraId="6C0A7A78" w14:textId="77777777" w:rsidR="00C745DA" w:rsidRPr="00644028" w:rsidRDefault="00C745DA" w:rsidP="003F07F5">
      <w:pPr>
        <w:spacing w:line="360" w:lineRule="auto"/>
        <w:jc w:val="both"/>
        <w:rPr>
          <w:rFonts w:ascii="Arial" w:hAnsi="Arial" w:cs="Arial"/>
          <w:b/>
          <w:bCs/>
          <w:sz w:val="22"/>
          <w:szCs w:val="22"/>
        </w:rPr>
      </w:pPr>
    </w:p>
    <w:p w14:paraId="482AE204" w14:textId="77777777" w:rsidR="00723168" w:rsidRPr="00644028" w:rsidRDefault="00723168" w:rsidP="003F07F5">
      <w:pPr>
        <w:spacing w:line="360" w:lineRule="auto"/>
        <w:jc w:val="both"/>
        <w:rPr>
          <w:rFonts w:ascii="Arial" w:hAnsi="Arial" w:cs="Arial"/>
          <w:b/>
          <w:bCs/>
          <w:sz w:val="22"/>
          <w:szCs w:val="22"/>
        </w:rPr>
      </w:pPr>
    </w:p>
    <w:p w14:paraId="121331B3" w14:textId="1A272D88" w:rsidR="003F07F5" w:rsidRPr="00644028" w:rsidRDefault="003F5054" w:rsidP="00AA192C">
      <w:pPr>
        <w:jc w:val="both"/>
        <w:rPr>
          <w:rFonts w:ascii="Arial" w:hAnsi="Arial" w:cs="Arial"/>
          <w:b/>
          <w:bCs/>
          <w:sz w:val="22"/>
          <w:szCs w:val="22"/>
        </w:rPr>
      </w:pPr>
      <w:r w:rsidRPr="00644028">
        <w:rPr>
          <w:rFonts w:ascii="Arial" w:hAnsi="Arial" w:cs="Arial"/>
          <w:b/>
          <w:bCs/>
          <w:sz w:val="22"/>
          <w:szCs w:val="22"/>
        </w:rPr>
        <w:t>4.</w:t>
      </w:r>
      <w:r w:rsidR="003F07F5" w:rsidRPr="00644028">
        <w:rPr>
          <w:rFonts w:ascii="Arial" w:hAnsi="Arial" w:cs="Arial"/>
          <w:b/>
          <w:bCs/>
          <w:sz w:val="22"/>
          <w:szCs w:val="22"/>
        </w:rPr>
        <w:t xml:space="preserve">DISCUSSION </w:t>
      </w:r>
    </w:p>
    <w:p w14:paraId="019B763E" w14:textId="77777777" w:rsidR="00C745DA" w:rsidRPr="00644028" w:rsidRDefault="00C745DA" w:rsidP="00AA192C">
      <w:pPr>
        <w:jc w:val="both"/>
        <w:rPr>
          <w:rFonts w:ascii="Arial" w:hAnsi="Arial" w:cs="Arial"/>
          <w:b/>
          <w:bCs/>
          <w:sz w:val="22"/>
          <w:szCs w:val="22"/>
        </w:rPr>
      </w:pPr>
    </w:p>
    <w:p w14:paraId="32F5A0D2" w14:textId="3B319C02" w:rsidR="00E53F89" w:rsidRPr="00644028" w:rsidRDefault="00E53F89" w:rsidP="00E53F89">
      <w:pPr>
        <w:jc w:val="both"/>
        <w:rPr>
          <w:rFonts w:ascii="Arial" w:hAnsi="Arial" w:cs="Arial"/>
          <w:color w:val="000000" w:themeColor="text1"/>
          <w:kern w:val="24"/>
        </w:rPr>
      </w:pPr>
      <w:r w:rsidRPr="00644028">
        <w:rPr>
          <w:rFonts w:ascii="Arial" w:hAnsi="Arial" w:cs="Arial"/>
          <w:color w:val="000000" w:themeColor="text1"/>
          <w:kern w:val="24"/>
        </w:rPr>
        <w:t>The results showed an overall prevalence of endophthalmitis of 1.39% and a significant burden of 18% of endophthalmitis requiring evisceration. Corneal ulcer emerged as the predominant cause of endophthalmitis and was significantly associated with evisceration. Older age, delayed presentation beyond 14 days, and poor presenting visual acuity were also linked to worse outcomes. While several factors showed significance in bivariable analysis, multivariable regression confirmed that corneal ulcer etiology and poor presenting visual acuity were independent predictors of evisceration.</w:t>
      </w:r>
    </w:p>
    <w:p w14:paraId="142771FB" w14:textId="77777777" w:rsidR="00E53F89" w:rsidRPr="00644028" w:rsidRDefault="00E53F89" w:rsidP="00E53F89">
      <w:pPr>
        <w:jc w:val="both"/>
        <w:rPr>
          <w:rFonts w:ascii="Arial" w:hAnsi="Arial" w:cs="Arial"/>
          <w:color w:val="000000" w:themeColor="text1"/>
          <w:kern w:val="24"/>
        </w:rPr>
      </w:pPr>
    </w:p>
    <w:p w14:paraId="52D213E7" w14:textId="2EBF66EE" w:rsidR="00E53F89" w:rsidRPr="00644028" w:rsidRDefault="00E53F89" w:rsidP="00E53F89">
      <w:pPr>
        <w:jc w:val="both"/>
        <w:rPr>
          <w:rFonts w:ascii="Arial" w:hAnsi="Arial" w:cs="Arial"/>
          <w:color w:val="000000" w:themeColor="text1"/>
          <w:kern w:val="24"/>
        </w:rPr>
      </w:pPr>
      <w:r w:rsidRPr="00644028">
        <w:rPr>
          <w:rFonts w:ascii="Arial" w:hAnsi="Arial" w:cs="Arial"/>
          <w:color w:val="000000" w:themeColor="text1"/>
          <w:kern w:val="24"/>
        </w:rPr>
        <w:t>In this study, an all-cause endophthalmitis prevalence rate was 1.39%, which aligns with the rarity of this condition. Endophthalmitis remains a rare but severe ocular emergency. This relatively low figure may reflect several factors, including effective aseptic techniques and infection control practices in the surgical setting, and the use of antibiotic prophylaxis for open globe injuries. The relatively lower overall prevalence could also be partly attributed to the exclusion of mild endophthalmitis cases without hypopyon or vitritis. Although standard endophthalmitis management protocols allow for the treatment of clinically suspicious cases based on risk factors and general inflammatory signs, the presence of hypopyon and vitritis is considered a hallmark of intraocular infection. Thus, these exclusion criteria were applied to maintain diagnostic specificity and enhance the accuracy of findings. The prevalence is notably higher than postoperative endophthalmitis rates typically reported in global literature.  Creuzot-</w:t>
      </w:r>
      <w:proofErr w:type="spellStart"/>
      <w:r w:rsidRPr="00644028">
        <w:rPr>
          <w:rFonts w:ascii="Arial" w:hAnsi="Arial" w:cs="Arial"/>
          <w:color w:val="000000" w:themeColor="text1"/>
          <w:kern w:val="24"/>
        </w:rPr>
        <w:t>Garcher</w:t>
      </w:r>
      <w:proofErr w:type="spellEnd"/>
      <w:r w:rsidRPr="00644028">
        <w:rPr>
          <w:rFonts w:ascii="Arial" w:hAnsi="Arial" w:cs="Arial"/>
          <w:color w:val="000000" w:themeColor="text1"/>
          <w:kern w:val="24"/>
        </w:rPr>
        <w:t xml:space="preserve"> et al (2016) reported a decline in postoperative endophthalmitis incidence from 0.145% to 0.053% in France, attributed to the introduction of intraoperative intracameral antibiotics prophylaxis, improved surgical techniques, and enhanced postoperative care. Similarly, Kisanga (2017) reported a postoperative prevalence of 0.35% in Tanzania. The higher prevalence observed in this study reflects a broader inclusion of etiological sources beyond postoperative cases, including trauma and corneal ulcers. These findings echo those of du Toit et al. (2016), who highlighted the burden of trauma–related ocular emergencies in regions with limited healthcare access.</w:t>
      </w:r>
    </w:p>
    <w:p w14:paraId="493C244B" w14:textId="77777777" w:rsidR="00E53F89" w:rsidRPr="00644028" w:rsidRDefault="00E53F89" w:rsidP="00E53F89">
      <w:pPr>
        <w:jc w:val="both"/>
        <w:rPr>
          <w:rFonts w:ascii="Arial" w:hAnsi="Arial" w:cs="Arial"/>
          <w:color w:val="000000" w:themeColor="text1"/>
          <w:kern w:val="24"/>
        </w:rPr>
      </w:pPr>
    </w:p>
    <w:p w14:paraId="70C55F44" w14:textId="35C3C200" w:rsidR="00E53F89" w:rsidRPr="00644028" w:rsidRDefault="00E53F89" w:rsidP="00E53F89">
      <w:pPr>
        <w:jc w:val="both"/>
        <w:rPr>
          <w:rFonts w:ascii="Arial" w:hAnsi="Arial" w:cs="Arial"/>
          <w:color w:val="000000" w:themeColor="text1"/>
          <w:kern w:val="24"/>
        </w:rPr>
      </w:pPr>
      <w:r w:rsidRPr="00644028">
        <w:rPr>
          <w:rFonts w:ascii="Arial" w:hAnsi="Arial" w:cs="Arial"/>
          <w:color w:val="000000" w:themeColor="text1"/>
          <w:kern w:val="24"/>
        </w:rPr>
        <w:t>Regarding etiologic proportions distribution in this study, corneal ulcer-related endophthalmitis was the most common cause (50.2%), followed by post-traumatic (29.4%) and post-surgical cases (20.4%). The high burden of corneal ulcer-associated endophthalmitis reflects the rural background of much of the patient population, where farming-related injuries involving vegetative matter predispose individuals to microbial keratitis. These infections often progress to intraocular involvement due to delayed treatment and, in some cases, the use of traditional remedies. In contrast, post-surgical endophthalmitis accounted for the lowest proportion, possibly reflecting good infection prevention practices at KCMC, including the use of prophylactic antibiotics and adherence to aseptic techniques. Nevertheless, continued vigilance remains necessary. These findings were consistent with those from low- and middle-income settings, where corneal ulcers account for most cases. Similarly, in India, Dave et al. (2019) identified microbial keratitis as the leading cause, accounting for 58.24% of all cases, followed by postoperative cases at 22.26% and post-trauma at 14.43%. In contrast, high-income countries typically report postoperative endophthalmitis as the predominant etiology. Ahmad et al. (2022) found that 37.5% of cases in the USA were postoperative, followed by trauma (21%) and endogenous infections (10%). Malmin et al (2020) in Norway reported 76% postoperative cases, endogenous (15%), and post-trauma, only 5%. These findings clearly demonstrate that the clinical course and outcomes of endophthalmitis are heavily influenced by the underlying etiology.</w:t>
      </w:r>
    </w:p>
    <w:p w14:paraId="5EE49795" w14:textId="77777777" w:rsidR="00E53F89" w:rsidRPr="00644028" w:rsidRDefault="00E53F89" w:rsidP="00E53F89">
      <w:pPr>
        <w:jc w:val="both"/>
        <w:rPr>
          <w:rFonts w:ascii="Arial" w:hAnsi="Arial" w:cs="Arial"/>
          <w:color w:val="000000" w:themeColor="text1"/>
          <w:kern w:val="24"/>
        </w:rPr>
      </w:pPr>
    </w:p>
    <w:p w14:paraId="02980DEB" w14:textId="77777777" w:rsidR="00E53F89" w:rsidRPr="00644028" w:rsidRDefault="00E53F89" w:rsidP="00E53F89">
      <w:pPr>
        <w:jc w:val="both"/>
        <w:rPr>
          <w:rFonts w:ascii="Arial" w:hAnsi="Arial" w:cs="Arial"/>
          <w:color w:val="000000" w:themeColor="text1"/>
          <w:kern w:val="24"/>
        </w:rPr>
      </w:pPr>
      <w:r w:rsidRPr="00644028">
        <w:rPr>
          <w:rFonts w:ascii="Arial" w:hAnsi="Arial" w:cs="Arial"/>
          <w:color w:val="000000" w:themeColor="text1"/>
          <w:kern w:val="24"/>
        </w:rPr>
        <w:t xml:space="preserve">The evisceration rate in this study was 18%. When stratified by etiology, corneal ulcer-related endophthalmitis accounted for most cases (84%), followed by post-traumatic cases. Notably, none of the post-surgical cases underwent evisceration. These findings highlight how ulcerative pathologies often result in extensive tissue necrosis, poor antimicrobial penetration, and are frequently caused by highly virulent organisms such as fungal or gram-negative bacteria. Such infections often present late, beyond the therapeutic window for globe salvage, necessitating evisceration either for pain control or prevention of sympathetic ophthalmia. The evisceration rate observed in this study is generally consistent with those reported in previous literature. In a study done in China, Lu et al (2016) documented a rate of 14.3% between 2008 and 2015. Ahmad et al. (2022) in a Californian cohort observed a slightly lower rate of 9.88%, suggesting better globe salvage in settings with earlier presentation and possibly more advanced intervention strategies. However, higher rates have been </w:t>
      </w:r>
      <w:r w:rsidRPr="00644028">
        <w:rPr>
          <w:rFonts w:ascii="Arial" w:hAnsi="Arial" w:cs="Arial"/>
          <w:color w:val="000000" w:themeColor="text1"/>
          <w:kern w:val="24"/>
        </w:rPr>
        <w:lastRenderedPageBreak/>
        <w:t xml:space="preserve">reported elsewhere. For example, A study in Puerto Rico by Merly et al. (2022) found that 46.38% of cases underwent evisceration or enucleation, a notably higher proportion likely reflecting a predominance of microbial keratitis etiologies and possibly delayed access to care. Similarly, </w:t>
      </w:r>
      <w:proofErr w:type="spellStart"/>
      <w:r w:rsidRPr="00644028">
        <w:rPr>
          <w:rFonts w:ascii="Arial" w:hAnsi="Arial" w:cs="Arial"/>
          <w:color w:val="000000" w:themeColor="text1"/>
          <w:kern w:val="24"/>
        </w:rPr>
        <w:t>Lourthai</w:t>
      </w:r>
      <w:proofErr w:type="spellEnd"/>
      <w:r w:rsidRPr="00644028">
        <w:rPr>
          <w:rFonts w:ascii="Arial" w:hAnsi="Arial" w:cs="Arial"/>
          <w:color w:val="000000" w:themeColor="text1"/>
          <w:kern w:val="24"/>
        </w:rPr>
        <w:t xml:space="preserve"> et al. (2021) in Thailand also reported a 25% enucleation rate in endogenous endophthalmitis, attributed to fulminant Klebsiella infection.</w:t>
      </w:r>
    </w:p>
    <w:p w14:paraId="1E5A9B3C" w14:textId="77777777" w:rsidR="00E53F89" w:rsidRPr="00644028" w:rsidRDefault="00E53F89" w:rsidP="00E53F89">
      <w:pPr>
        <w:jc w:val="both"/>
        <w:rPr>
          <w:rFonts w:ascii="Arial" w:hAnsi="Arial" w:cs="Arial"/>
          <w:color w:val="000000" w:themeColor="text1"/>
          <w:kern w:val="24"/>
        </w:rPr>
      </w:pPr>
    </w:p>
    <w:p w14:paraId="64109EDB" w14:textId="2E911CDB" w:rsidR="00E53F89" w:rsidRPr="00644028" w:rsidRDefault="00E53F89" w:rsidP="00E53F89">
      <w:pPr>
        <w:jc w:val="both"/>
        <w:rPr>
          <w:rFonts w:ascii="Arial" w:hAnsi="Arial" w:cs="Arial"/>
          <w:color w:val="000000" w:themeColor="text1"/>
          <w:kern w:val="24"/>
        </w:rPr>
      </w:pPr>
      <w:r w:rsidRPr="00644028">
        <w:rPr>
          <w:rFonts w:ascii="Arial" w:hAnsi="Arial" w:cs="Arial"/>
          <w:color w:val="000000" w:themeColor="text1"/>
          <w:kern w:val="24"/>
        </w:rPr>
        <w:t>When stratifying endophthalmitis cases that required evisceration by etiology, our findings are in line with those reported in China. Lu et al. (2016) reported that 50% of evisceration cases were due to corneal ulcers. A striking observation in our study is that none of the post-surgical cases required evisceration. This contrasts with findings from Kisanga (2017), who reported a 15.4%evisceration rate among postoperative endophthalmitis cases at the same institution (KCMC) between 2007 and 2017. Several factors may account for this difference. One possible explanation is the improvement in postoperative infection prevention protocols and surgical asepsis over time, including the increased adoption of intracameral antibiotics and stricter sterilization techniques. This observation may indicate a positive trend in surgical quality and postoperative care at KCMC, highlighting the effectiveness of institutional changes implemented since the earlier study period.</w:t>
      </w:r>
    </w:p>
    <w:p w14:paraId="6CAB20FB" w14:textId="77777777" w:rsidR="00E53F89" w:rsidRPr="00644028" w:rsidRDefault="00E53F89" w:rsidP="00E53F89">
      <w:pPr>
        <w:jc w:val="both"/>
        <w:rPr>
          <w:rFonts w:ascii="Arial" w:hAnsi="Arial" w:cs="Arial"/>
          <w:color w:val="000000" w:themeColor="text1"/>
          <w:kern w:val="24"/>
        </w:rPr>
      </w:pPr>
      <w:r w:rsidRPr="00644028">
        <w:rPr>
          <w:rFonts w:ascii="Arial" w:hAnsi="Arial" w:cs="Arial"/>
          <w:color w:val="000000" w:themeColor="text1"/>
          <w:kern w:val="24"/>
        </w:rPr>
        <w:t>The visual outcomes among preserved eyes in this study were notably poor, with only marginal improvement observed - from a mean presenting VA of 3.42 logMAR to a final VA of 3.24 logMAR. This minimal change suggests that although anatomical preservation was achieved, functional recovery was extremely limited, consistent with the guarded prognosis for endophthalmitis. Similarly, Lu et al. (2016) reported poor outcomes, with more than 60% of salvaged eyes in their cohort achieving VA&gt; 2.0 logMAR. In a Puerto Rican study by Merely et al (2022), only a small proportion of eyes achieved vision better than 20/200, reinforcing the finding that structural preservation of the eye does not necessarily translate into visual restoration in low to middle-income countries. In contrast, Ahmad et al. (2022) reported greater visual improvement. In their study, VA improved from 1.96 (SD 0.73) at presentation to 0.56 (SD 0.45) after treatment (P&lt;0.0001), indicating not only anatomical success but also meaningful visual restoration. These better outcomes were attributed to stronger health systems and earlier intervention.</w:t>
      </w:r>
    </w:p>
    <w:p w14:paraId="68352C95" w14:textId="77777777" w:rsidR="00E53F89" w:rsidRPr="00644028" w:rsidRDefault="00E53F89" w:rsidP="00E53F89">
      <w:pPr>
        <w:jc w:val="both"/>
        <w:rPr>
          <w:rFonts w:ascii="Arial" w:hAnsi="Arial" w:cs="Arial"/>
          <w:color w:val="000000" w:themeColor="text1"/>
          <w:kern w:val="24"/>
        </w:rPr>
      </w:pPr>
    </w:p>
    <w:p w14:paraId="7D47C25E" w14:textId="5AFC3D5F" w:rsidR="00025F6C" w:rsidRPr="00644028" w:rsidRDefault="00E53F89" w:rsidP="00E53F89">
      <w:pPr>
        <w:jc w:val="both"/>
        <w:rPr>
          <w:rFonts w:ascii="Arial" w:hAnsi="Arial" w:cs="Arial"/>
          <w:color w:val="000000" w:themeColor="text1"/>
          <w:kern w:val="24"/>
        </w:rPr>
      </w:pPr>
      <w:r w:rsidRPr="00644028">
        <w:rPr>
          <w:rFonts w:ascii="Arial" w:hAnsi="Arial" w:cs="Arial"/>
          <w:color w:val="000000" w:themeColor="text1"/>
          <w:kern w:val="24"/>
        </w:rPr>
        <w:t>In this study, the strongest independent risk factors associated with endophthalmitis requiring evisceration included Corneal ulcer-related endophthalmitis (APR: 3.18; 95% CI: 1.54–6.60; P = 0.002) and presenting visual acuity of no perception of light (NPL) (APR: 3.19; 95% CI: 1.95–5.21; P&lt; 0.001). Cornea ulcer-associated endophthalmitis is often linked to vegetative trauma particularly in rural populations with increased exposure. In such cases, causative organisms are commonly fungi or aggressive bacteria capable of invading intraocular structures; delayed presentation further worsens the prognosis due to poor treatment response, often necessitating evisceration. Similarly, presenting VA of NPL reflects profound intraocular damage often due to widespread infection and retinal necrosis associated with irreversible structural and functional loss. In such advanced cases, therapeutic focus shifts from vision preservation to controlling pain and infection, making evisceration a more likely outcome. These findings align with several international studies conducted in both high- and middle-income settings. Corneal ulcer-related endophthalmitis has also been identified as a strong risk factor for evisceration in China (Lu et al.2016) (b= 2.595± 0.639, P&lt; 0.001), and in Puerto Rico (Lugo Merly et al.), where OR 7.946 (95% CI 2.273–33.135), P=0.005. Likewise, a strong association between NPL and evisceration has been consistently observed. Ahmad et al. reported an OR of 7.86 for poor VA; Lu et al. found it to be a significant independent factor; and Lugo Merly et al. reported an OR of 17.8 for NLP. Together, these findings emphasize that corneal ulcer and poor VA at presentation are key predictors of disease severity.</w:t>
      </w:r>
    </w:p>
    <w:p w14:paraId="45C1DB67" w14:textId="77777777" w:rsidR="00E53F89" w:rsidRPr="00644028" w:rsidRDefault="00E53F89" w:rsidP="00E53F89">
      <w:pPr>
        <w:pStyle w:val="Heading2"/>
        <w:jc w:val="both"/>
        <w:rPr>
          <w:rFonts w:ascii="Arial" w:hAnsi="Arial" w:cs="Arial"/>
        </w:rPr>
      </w:pPr>
      <w:bookmarkStart w:id="28" w:name="_Toc202112593"/>
    </w:p>
    <w:bookmarkEnd w:id="28"/>
    <w:p w14:paraId="244987B4" w14:textId="77777777" w:rsidR="00E53F89" w:rsidRPr="00644028" w:rsidRDefault="00E53F89" w:rsidP="00E53F89">
      <w:pPr>
        <w:jc w:val="both"/>
        <w:rPr>
          <w:rFonts w:ascii="Arial" w:hAnsi="Arial" w:cs="Arial"/>
          <w:b/>
          <w:bCs/>
        </w:rPr>
      </w:pPr>
      <w:r w:rsidRPr="00644028">
        <w:rPr>
          <w:rFonts w:ascii="Arial" w:hAnsi="Arial" w:cs="Arial"/>
          <w:b/>
          <w:bCs/>
        </w:rPr>
        <w:t>5. STRENGTHS AND LIMITATIONS</w:t>
      </w:r>
    </w:p>
    <w:p w14:paraId="225923C4" w14:textId="77777777" w:rsidR="00E53F89" w:rsidRPr="00644028" w:rsidRDefault="00E53F89" w:rsidP="00E53F89">
      <w:pPr>
        <w:jc w:val="both"/>
        <w:rPr>
          <w:rFonts w:ascii="Arial" w:hAnsi="Arial" w:cs="Arial"/>
          <w:b/>
          <w:bCs/>
        </w:rPr>
      </w:pPr>
    </w:p>
    <w:p w14:paraId="1FFB3AA2" w14:textId="665240EF" w:rsidR="00CA6DE0" w:rsidRPr="00644028" w:rsidRDefault="00CA6DE0" w:rsidP="00CA6DE0">
      <w:pPr>
        <w:pStyle w:val="ConcHead"/>
        <w:spacing w:after="0"/>
        <w:jc w:val="both"/>
        <w:rPr>
          <w:rFonts w:ascii="Arial" w:hAnsi="Arial" w:cs="Arial"/>
          <w:bCs/>
          <w:caps w:val="0"/>
          <w:sz w:val="20"/>
        </w:rPr>
      </w:pPr>
      <w:r w:rsidRPr="00644028">
        <w:rPr>
          <w:rFonts w:ascii="Arial" w:hAnsi="Arial" w:cs="Arial"/>
          <w:bCs/>
          <w:caps w:val="0"/>
          <w:sz w:val="20"/>
        </w:rPr>
        <w:t>5.1</w:t>
      </w:r>
      <w:r w:rsidRPr="00644028">
        <w:rPr>
          <w:rFonts w:ascii="Arial" w:hAnsi="Arial" w:cs="Arial"/>
          <w:bCs/>
          <w:caps w:val="0"/>
          <w:sz w:val="20"/>
        </w:rPr>
        <w:t xml:space="preserve"> </w:t>
      </w:r>
      <w:r w:rsidRPr="00644028">
        <w:rPr>
          <w:rFonts w:ascii="Arial" w:hAnsi="Arial" w:cs="Arial"/>
          <w:bCs/>
          <w:caps w:val="0"/>
          <w:sz w:val="20"/>
        </w:rPr>
        <w:t>STRENGTHS</w:t>
      </w:r>
    </w:p>
    <w:p w14:paraId="532F27BC" w14:textId="77777777" w:rsidR="00CA6DE0" w:rsidRPr="00644028" w:rsidRDefault="00CA6DE0" w:rsidP="00CA6DE0">
      <w:pPr>
        <w:pStyle w:val="ConcHead"/>
        <w:spacing w:after="0"/>
        <w:jc w:val="both"/>
        <w:rPr>
          <w:rFonts w:ascii="Arial" w:hAnsi="Arial" w:cs="Arial"/>
          <w:b w:val="0"/>
          <w:caps w:val="0"/>
          <w:sz w:val="20"/>
        </w:rPr>
      </w:pPr>
      <w:r w:rsidRPr="00644028">
        <w:rPr>
          <w:rFonts w:ascii="Arial" w:hAnsi="Arial" w:cs="Arial"/>
          <w:b w:val="0"/>
          <w:caps w:val="0"/>
          <w:sz w:val="20"/>
        </w:rPr>
        <w:t>The study used a complete census of eligible patients diagnosed and managed for endophthalmitis at a tertiary center over a five-year period, minimizing selection bias and enhancing the representativeness of findings within the hospital setting. Also, it utilized real-world clinical data, making results highly relevant to local clinical practice.</w:t>
      </w:r>
    </w:p>
    <w:p w14:paraId="6DBF7E04" w14:textId="77777777" w:rsidR="00CA6DE0" w:rsidRPr="00644028" w:rsidRDefault="00CA6DE0" w:rsidP="00CA6DE0">
      <w:pPr>
        <w:pStyle w:val="ConcHead"/>
        <w:spacing w:after="0"/>
        <w:jc w:val="both"/>
        <w:rPr>
          <w:rFonts w:ascii="Arial" w:hAnsi="Arial" w:cs="Arial"/>
          <w:b w:val="0"/>
          <w:caps w:val="0"/>
          <w:sz w:val="20"/>
        </w:rPr>
      </w:pPr>
    </w:p>
    <w:p w14:paraId="4E1B100B" w14:textId="77777777" w:rsidR="00CA6DE0" w:rsidRPr="00644028" w:rsidRDefault="00CA6DE0" w:rsidP="00CA6DE0">
      <w:pPr>
        <w:pStyle w:val="ConcHead"/>
        <w:spacing w:after="0"/>
        <w:jc w:val="both"/>
        <w:rPr>
          <w:rFonts w:ascii="Arial" w:hAnsi="Arial" w:cs="Arial"/>
          <w:bCs/>
          <w:caps w:val="0"/>
          <w:sz w:val="20"/>
        </w:rPr>
      </w:pPr>
      <w:r w:rsidRPr="00644028">
        <w:rPr>
          <w:rFonts w:ascii="Arial" w:hAnsi="Arial" w:cs="Arial"/>
          <w:bCs/>
          <w:caps w:val="0"/>
          <w:sz w:val="20"/>
        </w:rPr>
        <w:t>5.2 LIMITATIONS</w:t>
      </w:r>
    </w:p>
    <w:p w14:paraId="33E50CAD" w14:textId="77777777" w:rsidR="00CA6DE0" w:rsidRPr="00644028" w:rsidRDefault="00CA6DE0" w:rsidP="00CA6DE0">
      <w:pPr>
        <w:pStyle w:val="ConcHead"/>
        <w:spacing w:after="0"/>
        <w:jc w:val="both"/>
        <w:rPr>
          <w:rFonts w:ascii="Arial" w:hAnsi="Arial" w:cs="Arial"/>
          <w:bCs/>
          <w:caps w:val="0"/>
          <w:sz w:val="20"/>
        </w:rPr>
      </w:pPr>
      <w:r w:rsidRPr="00644028">
        <w:rPr>
          <w:rFonts w:ascii="Arial" w:hAnsi="Arial" w:cs="Arial"/>
          <w:b w:val="0"/>
          <w:caps w:val="0"/>
          <w:sz w:val="20"/>
        </w:rPr>
        <w:t>The interpretation of these results should consider the retrospective cross-sectional design, which limits causal inference, and the absence of endogenous endophthalmitis cases, which may reduce generalizability. Furthermore, as a retrospective study, it depended on the accuracy and completeness of medical records. Cases with missing or incomplete documentation had to be excluded, potentially introducing selection bias. Additionally, the study was hospital-based in a tertiary care center, and findings may not be generalized to the broader population, particularly those who did not access tertiary care</w:t>
      </w:r>
      <w:r w:rsidRPr="00644028">
        <w:rPr>
          <w:rFonts w:ascii="Arial" w:hAnsi="Arial" w:cs="Arial"/>
          <w:bCs/>
          <w:caps w:val="0"/>
          <w:sz w:val="20"/>
        </w:rPr>
        <w:t>.</w:t>
      </w:r>
    </w:p>
    <w:p w14:paraId="022BFB77" w14:textId="77777777" w:rsidR="00CA6DE0" w:rsidRPr="00644028" w:rsidRDefault="00CA6DE0" w:rsidP="00CA6DE0">
      <w:pPr>
        <w:pStyle w:val="ConcHead"/>
        <w:spacing w:after="0"/>
        <w:jc w:val="both"/>
        <w:rPr>
          <w:rFonts w:ascii="Arial" w:hAnsi="Arial" w:cs="Arial"/>
          <w:bCs/>
          <w:caps w:val="0"/>
          <w:sz w:val="20"/>
        </w:rPr>
      </w:pPr>
    </w:p>
    <w:p w14:paraId="77EE66EE" w14:textId="34E1A748" w:rsidR="00B01FCD" w:rsidRPr="00644028" w:rsidRDefault="00B43252" w:rsidP="00CA6DE0">
      <w:pPr>
        <w:pStyle w:val="ConcHead"/>
        <w:spacing w:after="0"/>
        <w:jc w:val="both"/>
        <w:rPr>
          <w:rFonts w:ascii="Arial" w:hAnsi="Arial" w:cs="Arial"/>
          <w:bCs/>
          <w:caps w:val="0"/>
          <w:sz w:val="20"/>
        </w:rPr>
      </w:pPr>
      <w:r w:rsidRPr="00644028">
        <w:rPr>
          <w:rFonts w:ascii="Arial" w:hAnsi="Arial" w:cs="Arial"/>
        </w:rPr>
        <w:t>6</w:t>
      </w:r>
      <w:r w:rsidR="00000F8F" w:rsidRPr="00644028">
        <w:rPr>
          <w:rFonts w:ascii="Arial" w:hAnsi="Arial" w:cs="Arial"/>
        </w:rPr>
        <w:t xml:space="preserve">. </w:t>
      </w:r>
      <w:r w:rsidR="00B01FCD" w:rsidRPr="00644028">
        <w:rPr>
          <w:rFonts w:ascii="Arial" w:hAnsi="Arial" w:cs="Arial"/>
        </w:rPr>
        <w:t>Conclusion</w:t>
      </w:r>
    </w:p>
    <w:p w14:paraId="4C014C32" w14:textId="715748B7" w:rsidR="003F07F5" w:rsidRPr="00644028" w:rsidRDefault="003F07F5" w:rsidP="00723168">
      <w:pPr>
        <w:jc w:val="both"/>
        <w:rPr>
          <w:rFonts w:ascii="Arial" w:hAnsi="Arial" w:cs="Arial"/>
          <w:lang w:eastAsia="en-GB"/>
        </w:rPr>
      </w:pPr>
      <w:r w:rsidRPr="00644028">
        <w:rPr>
          <w:rFonts w:ascii="Arial" w:hAnsi="Arial" w:cs="Arial"/>
          <w:lang w:eastAsia="en-GB"/>
        </w:rPr>
        <w:t xml:space="preserve">This study identified key clinical factors associated with risk of evisceration among patients diagnosed and managed for endophthalmitis at a tertiary referral hospital in Northern Tanzania. The overall prevalence of endophthalmitis to be 1.39%, with cornea ulcer - related endophthalmitis accounting for approximately 50% of cases.  The evisceration rate among </w:t>
      </w:r>
      <w:r w:rsidRPr="00644028">
        <w:rPr>
          <w:rFonts w:ascii="Arial" w:hAnsi="Arial" w:cs="Arial"/>
          <w:lang w:eastAsia="en-GB"/>
        </w:rPr>
        <w:lastRenderedPageBreak/>
        <w:t>endophthalmitis cases was 18%. Cornea ulcer related etiology and poor presenting VA (No perception of light) were the strongest independent predictors of endophthalmitis requiring evisceration. These results underscore the importance of early detection, timely referral and aggressive management, particularly in patients presenting with microbial keratitis and severe vision loss</w:t>
      </w:r>
      <w:r w:rsidR="002C52C8" w:rsidRPr="00644028">
        <w:rPr>
          <w:rFonts w:ascii="Arial" w:hAnsi="Arial" w:cs="Arial"/>
          <w:lang w:eastAsia="en-GB"/>
        </w:rPr>
        <w:t>,</w:t>
      </w:r>
      <w:r w:rsidRPr="00644028">
        <w:rPr>
          <w:rFonts w:ascii="Arial" w:hAnsi="Arial" w:cs="Arial"/>
          <w:lang w:eastAsia="en-GB"/>
        </w:rPr>
        <w:t xml:space="preserve"> </w:t>
      </w:r>
      <w:r w:rsidR="00533CC6" w:rsidRPr="00644028">
        <w:rPr>
          <w:rFonts w:ascii="Arial" w:hAnsi="Arial" w:cs="Arial"/>
          <w:lang w:eastAsia="en-GB"/>
        </w:rPr>
        <w:t>which may</w:t>
      </w:r>
      <w:r w:rsidRPr="00644028">
        <w:rPr>
          <w:rFonts w:ascii="Arial" w:hAnsi="Arial" w:cs="Arial"/>
          <w:lang w:eastAsia="en-GB"/>
        </w:rPr>
        <w:t xml:space="preserve"> significantly reduce the burden of irreversible ocular loss. In the absence of previously published data from Tanzania on this topic, this study fills a critical evidence gap and provides a foundation for future prospective research.</w:t>
      </w:r>
    </w:p>
    <w:p w14:paraId="12B139BE" w14:textId="77777777" w:rsidR="00790ADA" w:rsidRPr="00644028" w:rsidRDefault="00790ADA" w:rsidP="00441B6F">
      <w:pPr>
        <w:pStyle w:val="Body"/>
        <w:spacing w:after="0"/>
        <w:rPr>
          <w:rFonts w:ascii="Arial" w:hAnsi="Arial" w:cs="Arial"/>
          <w:sz w:val="22"/>
          <w:szCs w:val="22"/>
        </w:rPr>
      </w:pPr>
    </w:p>
    <w:p w14:paraId="4CE1E85D" w14:textId="77777777" w:rsidR="00BD454A" w:rsidRPr="00644028" w:rsidRDefault="00BD454A" w:rsidP="00AA192C">
      <w:pPr>
        <w:jc w:val="both"/>
        <w:rPr>
          <w:rFonts w:ascii="Arial" w:hAnsi="Arial" w:cs="Arial"/>
          <w:bCs/>
        </w:rPr>
      </w:pPr>
    </w:p>
    <w:p w14:paraId="716DC3B0" w14:textId="356255B6" w:rsidR="00BD454A" w:rsidRPr="00644028" w:rsidRDefault="00BD454A" w:rsidP="00BD454A">
      <w:pPr>
        <w:rPr>
          <w:rFonts w:ascii="Arial" w:hAnsi="Arial" w:cs="Arial"/>
          <w:bCs/>
        </w:rPr>
      </w:pPr>
      <w:r w:rsidRPr="00644028">
        <w:rPr>
          <w:rFonts w:ascii="Arial" w:hAnsi="Arial" w:cs="Arial"/>
          <w:b/>
          <w:bCs/>
          <w:sz w:val="22"/>
          <w:szCs w:val="22"/>
        </w:rPr>
        <w:t>DISCLAIMER (ARTIFICIAL INTELLIGENCE)</w:t>
      </w:r>
      <w:r w:rsidRPr="00644028">
        <w:rPr>
          <w:rFonts w:ascii="Arial" w:hAnsi="Arial" w:cs="Arial"/>
          <w:bCs/>
        </w:rPr>
        <w:br/>
        <w:t>The author(s) hereby declare that no generative artificial intelligence tools - including large language models (e.g., ChatGPT, Copilot) or text-to-image systems were used in the writing, editing, or preparation of this manuscript.</w:t>
      </w:r>
    </w:p>
    <w:p w14:paraId="411B1AB0" w14:textId="77777777" w:rsidR="00AA192C" w:rsidRPr="00644028" w:rsidRDefault="00AA192C" w:rsidP="00AA192C">
      <w:pPr>
        <w:pStyle w:val="ReferHead"/>
        <w:spacing w:after="0"/>
        <w:jc w:val="both"/>
        <w:rPr>
          <w:rFonts w:ascii="Arial" w:hAnsi="Arial" w:cs="Arial"/>
          <w:bCs/>
        </w:rPr>
      </w:pPr>
    </w:p>
    <w:p w14:paraId="63DD99AF" w14:textId="31C81F21" w:rsidR="005C784C" w:rsidRPr="00644028" w:rsidRDefault="005C784C" w:rsidP="00441B6F">
      <w:pPr>
        <w:pStyle w:val="ReferHead"/>
        <w:spacing w:after="0"/>
        <w:jc w:val="both"/>
        <w:rPr>
          <w:rFonts w:ascii="Arial" w:hAnsi="Arial" w:cs="Arial"/>
          <w:bCs/>
        </w:rPr>
      </w:pPr>
      <w:r w:rsidRPr="00644028">
        <w:rPr>
          <w:rFonts w:ascii="Arial" w:hAnsi="Arial" w:cs="Arial"/>
          <w:bCs/>
        </w:rPr>
        <w:t xml:space="preserve">Ethical approval </w:t>
      </w:r>
    </w:p>
    <w:p w14:paraId="720F59C7" w14:textId="7DC3EE10" w:rsidR="009A2001" w:rsidRPr="00CB5484" w:rsidRDefault="00B41759" w:rsidP="009A2001">
      <w:pPr>
        <w:pStyle w:val="ReferHead"/>
        <w:spacing w:after="0"/>
        <w:jc w:val="both"/>
        <w:rPr>
          <w:rFonts w:ascii="Arial" w:hAnsi="Arial" w:cs="Arial"/>
          <w:b w:val="0"/>
          <w:caps w:val="0"/>
          <w:sz w:val="20"/>
          <w:u w:val="single"/>
        </w:rPr>
      </w:pPr>
      <w:r w:rsidRPr="00CB5484">
        <w:rPr>
          <w:rFonts w:ascii="Arial" w:eastAsia="Arial Unicode MS" w:hAnsi="Arial" w:cs="Arial"/>
          <w:b w:val="0"/>
          <w:caps w:val="0"/>
          <w:kern w:val="24"/>
          <w:sz w:val="20"/>
        </w:rPr>
        <w:t>A</w:t>
      </w:r>
      <w:r w:rsidR="009A2001" w:rsidRPr="00CB5484">
        <w:rPr>
          <w:rFonts w:ascii="Arial" w:eastAsia="Arial Unicode MS" w:hAnsi="Arial" w:cs="Arial"/>
          <w:b w:val="0"/>
          <w:caps w:val="0"/>
          <w:kern w:val="24"/>
          <w:sz w:val="20"/>
        </w:rPr>
        <w:t xml:space="preserve">pproval to conduct this study was sought from the </w:t>
      </w:r>
      <w:r w:rsidRPr="00CB5484">
        <w:rPr>
          <w:rFonts w:ascii="Arial" w:eastAsia="Arial Unicode MS" w:hAnsi="Arial" w:cs="Arial"/>
          <w:b w:val="0"/>
          <w:caps w:val="0"/>
          <w:kern w:val="24"/>
          <w:sz w:val="20"/>
        </w:rPr>
        <w:t>Kilimanjaro</w:t>
      </w:r>
      <w:r w:rsidR="009A2001" w:rsidRPr="00CB5484">
        <w:rPr>
          <w:rFonts w:ascii="Arial" w:eastAsia="Arial Unicode MS" w:hAnsi="Arial" w:cs="Arial"/>
          <w:b w:val="0"/>
          <w:caps w:val="0"/>
          <w:kern w:val="24"/>
          <w:sz w:val="20"/>
        </w:rPr>
        <w:t xml:space="preserve"> </w:t>
      </w:r>
      <w:r w:rsidRPr="00CB5484">
        <w:rPr>
          <w:rFonts w:ascii="Arial" w:eastAsia="Arial Unicode MS" w:hAnsi="Arial" w:cs="Arial"/>
          <w:b w:val="0"/>
          <w:caps w:val="0"/>
          <w:kern w:val="24"/>
          <w:sz w:val="20"/>
        </w:rPr>
        <w:t>Christian</w:t>
      </w:r>
      <w:r w:rsidR="009A2001" w:rsidRPr="00CB5484">
        <w:rPr>
          <w:rFonts w:ascii="Arial" w:eastAsia="Arial Unicode MS" w:hAnsi="Arial" w:cs="Arial"/>
          <w:b w:val="0"/>
          <w:caps w:val="0"/>
          <w:kern w:val="24"/>
          <w:sz w:val="20"/>
        </w:rPr>
        <w:t xml:space="preserve"> </w:t>
      </w:r>
      <w:r w:rsidRPr="00CB5484">
        <w:rPr>
          <w:rFonts w:ascii="Arial" w:eastAsia="Arial Unicode MS" w:hAnsi="Arial" w:cs="Arial"/>
          <w:b w:val="0"/>
          <w:caps w:val="0"/>
          <w:kern w:val="24"/>
          <w:sz w:val="20"/>
        </w:rPr>
        <w:t xml:space="preserve">Medical </w:t>
      </w:r>
      <w:r w:rsidR="006A24F0" w:rsidRPr="00CB5484">
        <w:rPr>
          <w:rFonts w:ascii="Arial" w:eastAsia="Arial Unicode MS" w:hAnsi="Arial" w:cs="Arial"/>
          <w:b w:val="0"/>
          <w:caps w:val="0"/>
          <w:kern w:val="24"/>
          <w:sz w:val="20"/>
        </w:rPr>
        <w:t>University Center</w:t>
      </w:r>
      <w:r w:rsidRPr="00CB5484">
        <w:rPr>
          <w:rFonts w:ascii="Arial" w:eastAsia="Arial Unicode MS" w:hAnsi="Arial" w:cs="Arial"/>
          <w:b w:val="0"/>
          <w:caps w:val="0"/>
          <w:kern w:val="24"/>
          <w:sz w:val="20"/>
        </w:rPr>
        <w:t xml:space="preserve"> R</w:t>
      </w:r>
      <w:r w:rsidR="009A2001" w:rsidRPr="00CB5484">
        <w:rPr>
          <w:rFonts w:ascii="Arial" w:eastAsia="Arial Unicode MS" w:hAnsi="Arial" w:cs="Arial"/>
          <w:b w:val="0"/>
          <w:caps w:val="0"/>
          <w:kern w:val="24"/>
          <w:sz w:val="20"/>
        </w:rPr>
        <w:t xml:space="preserve">esearch and </w:t>
      </w:r>
      <w:r w:rsidRPr="00CB5484">
        <w:rPr>
          <w:rFonts w:ascii="Arial" w:eastAsia="Arial Unicode MS" w:hAnsi="Arial" w:cs="Arial"/>
          <w:b w:val="0"/>
          <w:caps w:val="0"/>
          <w:kern w:val="24"/>
          <w:sz w:val="20"/>
        </w:rPr>
        <w:t>E</w:t>
      </w:r>
      <w:r w:rsidR="009A2001" w:rsidRPr="00CB5484">
        <w:rPr>
          <w:rFonts w:ascii="Arial" w:eastAsia="Arial Unicode MS" w:hAnsi="Arial" w:cs="Arial"/>
          <w:b w:val="0"/>
          <w:caps w:val="0"/>
          <w:kern w:val="24"/>
          <w:sz w:val="20"/>
        </w:rPr>
        <w:t xml:space="preserve">thics </w:t>
      </w:r>
      <w:r w:rsidRPr="00CB5484">
        <w:rPr>
          <w:rFonts w:ascii="Arial" w:eastAsia="Arial Unicode MS" w:hAnsi="Arial" w:cs="Arial"/>
          <w:b w:val="0"/>
          <w:caps w:val="0"/>
          <w:kern w:val="24"/>
          <w:sz w:val="20"/>
        </w:rPr>
        <w:t>R</w:t>
      </w:r>
      <w:r w:rsidR="009A2001" w:rsidRPr="00CB5484">
        <w:rPr>
          <w:rFonts w:ascii="Arial" w:eastAsia="Arial Unicode MS" w:hAnsi="Arial" w:cs="Arial"/>
          <w:b w:val="0"/>
          <w:caps w:val="0"/>
          <w:kern w:val="24"/>
          <w:sz w:val="20"/>
        </w:rPr>
        <w:t xml:space="preserve">eview </w:t>
      </w:r>
      <w:r w:rsidRPr="00CB5484">
        <w:rPr>
          <w:rFonts w:ascii="Arial" w:eastAsia="Arial Unicode MS" w:hAnsi="Arial" w:cs="Arial"/>
          <w:b w:val="0"/>
          <w:caps w:val="0"/>
          <w:kern w:val="24"/>
          <w:sz w:val="20"/>
        </w:rPr>
        <w:t>C</w:t>
      </w:r>
      <w:r w:rsidR="009A2001" w:rsidRPr="00CB5484">
        <w:rPr>
          <w:rFonts w:ascii="Arial" w:eastAsia="Arial Unicode MS" w:hAnsi="Arial" w:cs="Arial"/>
          <w:b w:val="0"/>
          <w:caps w:val="0"/>
          <w:kern w:val="24"/>
          <w:sz w:val="20"/>
        </w:rPr>
        <w:t xml:space="preserve">ommittee </w:t>
      </w:r>
      <w:r w:rsidRPr="00CB5484">
        <w:rPr>
          <w:rFonts w:ascii="Arial" w:eastAsia="Arial Unicode MS" w:hAnsi="Arial" w:cs="Arial"/>
          <w:b w:val="0"/>
          <w:bCs/>
          <w:caps w:val="0"/>
          <w:kern w:val="24"/>
          <w:sz w:val="20"/>
        </w:rPr>
        <w:t>and</w:t>
      </w:r>
      <w:r w:rsidR="009A2001" w:rsidRPr="00CB5484">
        <w:rPr>
          <w:rFonts w:ascii="Arial" w:eastAsia="Arial Unicode MS" w:hAnsi="Arial" w:cs="Arial"/>
          <w:b w:val="0"/>
          <w:bCs/>
          <w:caps w:val="0"/>
          <w:kern w:val="24"/>
          <w:sz w:val="20"/>
        </w:rPr>
        <w:t xml:space="preserve"> ethical clearance certificate number PG151/2024 was issued</w:t>
      </w:r>
      <w:r w:rsidR="009A2001" w:rsidRPr="00CB5484">
        <w:rPr>
          <w:rFonts w:ascii="Arial" w:eastAsia="Arial Unicode MS" w:hAnsi="Arial" w:cs="Arial"/>
          <w:b w:val="0"/>
          <w:caps w:val="0"/>
          <w:kern w:val="24"/>
          <w:sz w:val="20"/>
        </w:rPr>
        <w:t xml:space="preserve">. </w:t>
      </w:r>
      <w:r w:rsidRPr="00CB5484">
        <w:rPr>
          <w:rFonts w:ascii="Arial" w:eastAsia="Arial Unicode MS" w:hAnsi="Arial" w:cs="Arial"/>
          <w:b w:val="0"/>
          <w:caps w:val="0"/>
          <w:kern w:val="24"/>
          <w:sz w:val="20"/>
        </w:rPr>
        <w:t>A</w:t>
      </w:r>
      <w:r w:rsidR="009A2001" w:rsidRPr="00CB5484">
        <w:rPr>
          <w:rFonts w:ascii="Arial" w:eastAsia="Arial Unicode MS" w:hAnsi="Arial" w:cs="Arial"/>
          <w:b w:val="0"/>
          <w:caps w:val="0"/>
          <w:kern w:val="24"/>
          <w:sz w:val="20"/>
        </w:rPr>
        <w:t>uthorization to access hospital data was secured from the director of hospital services, with coordination through the head of the ophthalmology department. confidentiality was maintained throughout the data collection process</w:t>
      </w:r>
    </w:p>
    <w:p w14:paraId="544424DE" w14:textId="77777777" w:rsidR="00860000" w:rsidRPr="00644028" w:rsidRDefault="00860000" w:rsidP="00441B6F">
      <w:pPr>
        <w:pStyle w:val="ReferHead"/>
        <w:spacing w:after="0"/>
        <w:jc w:val="both"/>
        <w:rPr>
          <w:rFonts w:ascii="Arial" w:hAnsi="Arial" w:cs="Arial"/>
        </w:rPr>
      </w:pPr>
    </w:p>
    <w:p w14:paraId="4474DDBF" w14:textId="77777777" w:rsidR="009A2001" w:rsidRPr="00644028" w:rsidRDefault="009A2001" w:rsidP="00441B6F">
      <w:pPr>
        <w:pStyle w:val="ReferHead"/>
        <w:spacing w:after="0"/>
        <w:jc w:val="both"/>
        <w:rPr>
          <w:rFonts w:ascii="Arial" w:hAnsi="Arial" w:cs="Arial"/>
          <w:sz w:val="20"/>
        </w:rPr>
      </w:pPr>
    </w:p>
    <w:p w14:paraId="55474CDC" w14:textId="77777777" w:rsidR="00B01FCD" w:rsidRPr="00644028" w:rsidRDefault="00B01FCD" w:rsidP="00441B6F">
      <w:pPr>
        <w:pStyle w:val="ReferHead"/>
        <w:spacing w:after="0"/>
        <w:jc w:val="both"/>
        <w:rPr>
          <w:rFonts w:ascii="Arial" w:hAnsi="Arial" w:cs="Arial"/>
          <w:sz w:val="20"/>
        </w:rPr>
      </w:pPr>
      <w:r w:rsidRPr="00644028">
        <w:rPr>
          <w:rFonts w:ascii="Arial" w:hAnsi="Arial" w:cs="Arial"/>
          <w:sz w:val="20"/>
        </w:rPr>
        <w:t>References</w:t>
      </w:r>
    </w:p>
    <w:p w14:paraId="34B12DB3" w14:textId="0048C564" w:rsidR="0094711A" w:rsidRPr="002A0532" w:rsidRDefault="00C02503" w:rsidP="002A0532">
      <w:pPr>
        <w:spacing w:after="240" w:line="360" w:lineRule="auto"/>
        <w:ind w:left="1134" w:hanging="1134"/>
        <w:jc w:val="both"/>
        <w:rPr>
          <w:rFonts w:ascii="Arial" w:eastAsiaTheme="minorEastAsia" w:hAnsi="Arial" w:cs="Arial"/>
          <w:color w:val="000000" w:themeColor="text1"/>
          <w:kern w:val="24"/>
        </w:rPr>
      </w:pPr>
      <w:r w:rsidRPr="00644028">
        <w:rPr>
          <w:rFonts w:ascii="Arial" w:eastAsiaTheme="minorEastAsia" w:hAnsi="Arial" w:cs="Arial"/>
          <w:color w:val="000000" w:themeColor="text1"/>
          <w:kern w:val="24"/>
        </w:rPr>
        <w:t xml:space="preserve">Ababneh O.H, </w:t>
      </w:r>
      <w:proofErr w:type="spellStart"/>
      <w:r w:rsidRPr="00644028">
        <w:rPr>
          <w:rFonts w:ascii="Arial" w:eastAsiaTheme="minorEastAsia" w:hAnsi="Arial" w:cs="Arial"/>
          <w:color w:val="000000" w:themeColor="text1"/>
          <w:kern w:val="24"/>
        </w:rPr>
        <w:t>Abotaleb</w:t>
      </w:r>
      <w:proofErr w:type="spellEnd"/>
      <w:r w:rsidRPr="00644028">
        <w:rPr>
          <w:rFonts w:ascii="Arial" w:eastAsiaTheme="minorEastAsia" w:hAnsi="Arial" w:cs="Arial"/>
          <w:color w:val="000000" w:themeColor="text1"/>
          <w:kern w:val="24"/>
        </w:rPr>
        <w:t xml:space="preserve"> E.A, </w:t>
      </w:r>
      <w:proofErr w:type="spellStart"/>
      <w:r w:rsidRPr="00644028">
        <w:rPr>
          <w:rFonts w:ascii="Arial" w:eastAsiaTheme="minorEastAsia" w:hAnsi="Arial" w:cs="Arial"/>
          <w:color w:val="000000" w:themeColor="text1"/>
          <w:kern w:val="24"/>
        </w:rPr>
        <w:t>Ameeh</w:t>
      </w:r>
      <w:proofErr w:type="spellEnd"/>
      <w:r w:rsidRPr="00644028">
        <w:rPr>
          <w:rFonts w:ascii="Arial" w:eastAsiaTheme="minorEastAsia" w:hAnsi="Arial" w:cs="Arial"/>
          <w:color w:val="000000" w:themeColor="text1"/>
          <w:kern w:val="24"/>
        </w:rPr>
        <w:t xml:space="preserve"> M.A.A &amp; Yusef A.Y (2015). Enucleation and evisceration at a tertiary care hospital in a developing country. </w:t>
      </w:r>
      <w:r w:rsidRPr="00644028">
        <w:rPr>
          <w:rFonts w:ascii="Arial" w:eastAsiaTheme="minorEastAsia" w:hAnsi="Arial" w:cs="Arial"/>
          <w:i/>
          <w:iCs/>
          <w:color w:val="000000" w:themeColor="text1"/>
          <w:kern w:val="24"/>
        </w:rPr>
        <w:t>BMC ophthalmology</w:t>
      </w:r>
      <w:r w:rsidRPr="00644028">
        <w:rPr>
          <w:rFonts w:ascii="Arial" w:eastAsiaTheme="minorEastAsia" w:hAnsi="Arial" w:cs="Arial"/>
          <w:color w:val="000000" w:themeColor="text1"/>
          <w:kern w:val="24"/>
        </w:rPr>
        <w:t>, 15:120</w:t>
      </w:r>
      <w:r w:rsidR="0094711A" w:rsidRPr="00644028">
        <w:rPr>
          <w:rFonts w:ascii="Arial" w:eastAsiaTheme="minorEastAsia" w:hAnsi="Arial" w:cs="Arial"/>
          <w:color w:val="000000" w:themeColor="text1"/>
          <w:kern w:val="24"/>
        </w:rPr>
        <w:t xml:space="preserve"> </w:t>
      </w:r>
      <w:hyperlink r:id="rId21" w:history="1">
        <w:r w:rsidR="0094711A" w:rsidRPr="00644028">
          <w:rPr>
            <w:rStyle w:val="Hyperlink"/>
            <w:rFonts w:ascii="Arial" w:eastAsiaTheme="minorEastAsia" w:hAnsi="Arial" w:cs="Arial"/>
            <w:kern w:val="24"/>
          </w:rPr>
          <w:t>https://doi.org/10.1186/s12886-015-0108-x</w:t>
        </w:r>
      </w:hyperlink>
    </w:p>
    <w:p w14:paraId="08BB568F" w14:textId="02C94275" w:rsidR="0094711A" w:rsidRPr="00644028" w:rsidRDefault="00C02503" w:rsidP="002A0532">
      <w:pPr>
        <w:spacing w:after="240" w:line="360" w:lineRule="auto"/>
        <w:ind w:left="1134" w:hanging="1134"/>
        <w:jc w:val="both"/>
        <w:rPr>
          <w:rFonts w:ascii="Arial" w:eastAsiaTheme="minorEastAsia" w:hAnsi="Arial" w:cs="Arial"/>
          <w:color w:val="000000" w:themeColor="text1"/>
          <w:kern w:val="24"/>
        </w:rPr>
      </w:pPr>
      <w:r w:rsidRPr="00644028">
        <w:rPr>
          <w:rFonts w:ascii="Arial" w:eastAsiaTheme="minorEastAsia" w:hAnsi="Arial" w:cs="Arial"/>
          <w:color w:val="000000" w:themeColor="text1"/>
          <w:kern w:val="24"/>
        </w:rPr>
        <w:t xml:space="preserve">Ahmad M, Parikh R, Akhlaq A, Pradeep T, </w:t>
      </w:r>
      <w:proofErr w:type="spellStart"/>
      <w:r w:rsidRPr="00644028">
        <w:rPr>
          <w:rFonts w:ascii="Arial" w:eastAsiaTheme="minorEastAsia" w:hAnsi="Arial" w:cs="Arial"/>
          <w:color w:val="000000" w:themeColor="text1"/>
          <w:kern w:val="24"/>
        </w:rPr>
        <w:t>Breazzano</w:t>
      </w:r>
      <w:proofErr w:type="spellEnd"/>
      <w:r w:rsidRPr="00644028">
        <w:rPr>
          <w:rFonts w:ascii="Arial" w:eastAsiaTheme="minorEastAsia" w:hAnsi="Arial" w:cs="Arial"/>
          <w:color w:val="000000" w:themeColor="text1"/>
          <w:kern w:val="24"/>
        </w:rPr>
        <w:t xml:space="preserve"> M &amp; Fu R (2022) Risk factors for enucleation or evisceration in endophthalmitis. </w:t>
      </w:r>
      <w:r w:rsidRPr="00644028">
        <w:rPr>
          <w:rFonts w:ascii="Arial" w:eastAsiaTheme="minorEastAsia" w:hAnsi="Arial" w:cs="Arial"/>
          <w:i/>
          <w:iCs/>
          <w:color w:val="000000" w:themeColor="text1"/>
          <w:kern w:val="24"/>
        </w:rPr>
        <w:t>The international journal on Orbit disorders</w:t>
      </w:r>
      <w:r w:rsidRPr="00644028">
        <w:rPr>
          <w:rFonts w:ascii="Arial" w:eastAsiaTheme="minorEastAsia" w:hAnsi="Arial" w:cs="Arial"/>
          <w:color w:val="000000" w:themeColor="text1"/>
          <w:kern w:val="24"/>
        </w:rPr>
        <w:t>, oculoplastic and lacrimal surgery, 42(3): 279-289</w:t>
      </w:r>
      <w:r w:rsidR="0094711A" w:rsidRPr="00644028">
        <w:rPr>
          <w:rFonts w:ascii="Arial" w:eastAsiaTheme="minorEastAsia" w:hAnsi="Arial" w:cs="Arial"/>
          <w:color w:val="000000" w:themeColor="text1"/>
          <w:kern w:val="24"/>
        </w:rPr>
        <w:t xml:space="preserve"> </w:t>
      </w:r>
      <w:hyperlink r:id="rId22" w:history="1">
        <w:r w:rsidR="0094711A" w:rsidRPr="00644028">
          <w:rPr>
            <w:rStyle w:val="Hyperlink"/>
            <w:rFonts w:ascii="Arial" w:eastAsiaTheme="minorEastAsia" w:hAnsi="Arial" w:cs="Arial"/>
            <w:kern w:val="24"/>
          </w:rPr>
          <w:t>https://doi.org/10.1080/01676830.2022.2097699</w:t>
        </w:r>
      </w:hyperlink>
    </w:p>
    <w:p w14:paraId="7EF1DEEB" w14:textId="7E072DA9" w:rsidR="0094711A" w:rsidRPr="002A0532" w:rsidRDefault="00C02503" w:rsidP="002A0532">
      <w:pPr>
        <w:spacing w:after="240" w:line="360" w:lineRule="auto"/>
        <w:ind w:left="1134" w:hanging="1134"/>
        <w:jc w:val="both"/>
        <w:rPr>
          <w:rFonts w:ascii="Arial" w:eastAsiaTheme="minorEastAsia" w:hAnsi="Arial" w:cs="Arial"/>
          <w:color w:val="000000" w:themeColor="text1"/>
          <w:kern w:val="24"/>
        </w:rPr>
      </w:pPr>
      <w:r w:rsidRPr="00644028">
        <w:rPr>
          <w:rFonts w:ascii="Arial" w:eastAsiaTheme="minorEastAsia" w:hAnsi="Arial" w:cs="Arial"/>
          <w:color w:val="000000" w:themeColor="text1"/>
          <w:kern w:val="24"/>
        </w:rPr>
        <w:t xml:space="preserve">Braimah I.M, </w:t>
      </w:r>
      <w:proofErr w:type="spellStart"/>
      <w:r w:rsidRPr="00644028">
        <w:rPr>
          <w:rFonts w:ascii="Arial" w:eastAsiaTheme="minorEastAsia" w:hAnsi="Arial" w:cs="Arial"/>
          <w:color w:val="000000" w:themeColor="text1"/>
          <w:kern w:val="24"/>
        </w:rPr>
        <w:t>Essuman</w:t>
      </w:r>
      <w:proofErr w:type="spellEnd"/>
      <w:r w:rsidRPr="00644028">
        <w:rPr>
          <w:rFonts w:ascii="Arial" w:eastAsiaTheme="minorEastAsia" w:hAnsi="Arial" w:cs="Arial"/>
          <w:color w:val="000000" w:themeColor="text1"/>
          <w:kern w:val="24"/>
        </w:rPr>
        <w:t xml:space="preserve"> V.A and </w:t>
      </w:r>
      <w:proofErr w:type="spellStart"/>
      <w:r w:rsidRPr="00644028">
        <w:rPr>
          <w:rFonts w:ascii="Arial" w:eastAsiaTheme="minorEastAsia" w:hAnsi="Arial" w:cs="Arial"/>
          <w:color w:val="000000" w:themeColor="text1"/>
          <w:kern w:val="24"/>
        </w:rPr>
        <w:t>Fordjuor</w:t>
      </w:r>
      <w:proofErr w:type="spellEnd"/>
      <w:r w:rsidRPr="00644028">
        <w:rPr>
          <w:rFonts w:ascii="Arial" w:eastAsiaTheme="minorEastAsia" w:hAnsi="Arial" w:cs="Arial"/>
          <w:color w:val="000000" w:themeColor="text1"/>
          <w:kern w:val="24"/>
        </w:rPr>
        <w:t xml:space="preserve"> G (2017). post cataract surgery endophthalmitis in a Ghanaian population: incidence, risk factors and visual outcome after treatment. East African medical Journal 94 (4): 290-299</w:t>
      </w:r>
      <w:r w:rsidR="0094711A" w:rsidRPr="00644028">
        <w:rPr>
          <w:rFonts w:ascii="Arial" w:eastAsiaTheme="minorEastAsia" w:hAnsi="Arial" w:cs="Arial"/>
          <w:color w:val="000000" w:themeColor="text1"/>
          <w:kern w:val="24"/>
        </w:rPr>
        <w:t xml:space="preserve"> </w:t>
      </w:r>
      <w:hyperlink r:id="rId23" w:history="1">
        <w:r w:rsidR="0094711A" w:rsidRPr="00644028">
          <w:rPr>
            <w:rStyle w:val="Hyperlink"/>
            <w:rFonts w:ascii="Arial" w:eastAsiaTheme="minorEastAsia" w:hAnsi="Arial" w:cs="Arial"/>
            <w:kern w:val="24"/>
          </w:rPr>
          <w:t>https://www.researchgate.net/publication/313385759_Postcataract_surgery_endophthalmitis_in_a_Ghanaian_population_incidence_risk_factors_and_visual_outcome_after_treatment</w:t>
        </w:r>
      </w:hyperlink>
    </w:p>
    <w:p w14:paraId="4C312305" w14:textId="78F4B781" w:rsidR="00C02503" w:rsidRPr="00644028" w:rsidRDefault="00C02503" w:rsidP="00C02503">
      <w:pPr>
        <w:spacing w:after="240" w:line="360" w:lineRule="auto"/>
        <w:ind w:left="1134" w:hanging="1134"/>
        <w:contextualSpacing/>
        <w:jc w:val="both"/>
        <w:rPr>
          <w:rFonts w:ascii="Arial" w:eastAsiaTheme="minorEastAsia" w:hAnsi="Arial" w:cs="Arial"/>
          <w:color w:val="000000" w:themeColor="text1"/>
          <w:kern w:val="24"/>
        </w:rPr>
      </w:pPr>
      <w:r w:rsidRPr="00644028">
        <w:rPr>
          <w:rFonts w:ascii="Arial" w:eastAsiaTheme="minorEastAsia" w:hAnsi="Arial" w:cs="Arial"/>
          <w:color w:val="000000" w:themeColor="text1"/>
          <w:kern w:val="24"/>
        </w:rPr>
        <w:t xml:space="preserve">Das T (2018), </w:t>
      </w:r>
      <w:r w:rsidRPr="00644028">
        <w:rPr>
          <w:rFonts w:ascii="Arial" w:eastAsiaTheme="minorEastAsia" w:hAnsi="Arial" w:cs="Arial"/>
          <w:color w:val="000000" w:themeColor="text1"/>
          <w:kern w:val="24"/>
          <w:u w:val="single"/>
        </w:rPr>
        <w:t>Endophthalmitis-a guide to diagnosis and management,</w:t>
      </w:r>
      <w:r w:rsidRPr="00644028">
        <w:rPr>
          <w:rFonts w:ascii="Arial" w:eastAsiaTheme="minorEastAsia" w:hAnsi="Arial" w:cs="Arial"/>
          <w:color w:val="000000" w:themeColor="text1"/>
          <w:kern w:val="24"/>
        </w:rPr>
        <w:t xml:space="preserve"> 1</w:t>
      </w:r>
      <w:proofErr w:type="spellStart"/>
      <w:r w:rsidRPr="00644028">
        <w:rPr>
          <w:rFonts w:ascii="Arial" w:eastAsiaTheme="minorEastAsia" w:hAnsi="Arial" w:cs="Arial"/>
          <w:color w:val="000000" w:themeColor="text1"/>
          <w:kern w:val="24"/>
          <w:position w:val="10"/>
          <w:vertAlign w:val="superscript"/>
        </w:rPr>
        <w:t>st</w:t>
      </w:r>
      <w:proofErr w:type="spellEnd"/>
      <w:r w:rsidRPr="00644028">
        <w:rPr>
          <w:rFonts w:ascii="Arial" w:eastAsiaTheme="minorEastAsia" w:hAnsi="Arial" w:cs="Arial"/>
          <w:color w:val="000000" w:themeColor="text1"/>
          <w:kern w:val="24"/>
        </w:rPr>
        <w:t xml:space="preserve"> edition. Singapore, Springer Nature Singapore Pte Ltd. </w:t>
      </w:r>
      <w:r w:rsidR="0094711A" w:rsidRPr="00644028">
        <w:rPr>
          <w:rFonts w:ascii="Arial" w:eastAsiaTheme="minorEastAsia" w:hAnsi="Arial" w:cs="Arial"/>
          <w:color w:val="000000" w:themeColor="text1"/>
          <w:kern w:val="24"/>
        </w:rPr>
        <w:t xml:space="preserve"> </w:t>
      </w:r>
      <w:hyperlink r:id="rId24" w:history="1">
        <w:r w:rsidR="0094711A" w:rsidRPr="00644028">
          <w:rPr>
            <w:rStyle w:val="Hyperlink"/>
            <w:rFonts w:ascii="Arial" w:eastAsiaTheme="minorEastAsia" w:hAnsi="Arial" w:cs="Arial"/>
            <w:kern w:val="24"/>
          </w:rPr>
          <w:t>https://doi.org/10.1007/978-981-10-5260-6</w:t>
        </w:r>
      </w:hyperlink>
    </w:p>
    <w:p w14:paraId="55FB2FDF" w14:textId="77777777" w:rsidR="0094711A" w:rsidRPr="00644028" w:rsidRDefault="0094711A" w:rsidP="00C02503">
      <w:pPr>
        <w:spacing w:after="240" w:line="360" w:lineRule="auto"/>
        <w:ind w:left="1134" w:hanging="1134"/>
        <w:contextualSpacing/>
        <w:jc w:val="both"/>
        <w:rPr>
          <w:rFonts w:ascii="Arial" w:hAnsi="Arial" w:cs="Arial"/>
        </w:rPr>
      </w:pPr>
    </w:p>
    <w:p w14:paraId="141948DE" w14:textId="02E38E1D" w:rsidR="00C02503" w:rsidRPr="00644028" w:rsidRDefault="00C02503" w:rsidP="00C02503">
      <w:pPr>
        <w:spacing w:after="240" w:line="360" w:lineRule="auto"/>
        <w:ind w:left="1134" w:hanging="1134"/>
        <w:contextualSpacing/>
        <w:jc w:val="both"/>
        <w:rPr>
          <w:rFonts w:ascii="Arial" w:eastAsiaTheme="minorEastAsia" w:hAnsi="Arial" w:cs="Arial"/>
          <w:color w:val="000000" w:themeColor="text1"/>
          <w:kern w:val="24"/>
          <w:u w:val="single"/>
        </w:rPr>
      </w:pPr>
      <w:r w:rsidRPr="00644028">
        <w:rPr>
          <w:rFonts w:ascii="Arial" w:eastAsiaTheme="minorEastAsia" w:hAnsi="Arial" w:cs="Arial"/>
          <w:color w:val="000000" w:themeColor="text1"/>
          <w:kern w:val="24"/>
        </w:rPr>
        <w:t xml:space="preserve">Dave TV, Dave VP, Sharma S, Karolia R, Joseph J, </w:t>
      </w:r>
      <w:proofErr w:type="spellStart"/>
      <w:r w:rsidRPr="00644028">
        <w:rPr>
          <w:rFonts w:ascii="Arial" w:eastAsiaTheme="minorEastAsia" w:hAnsi="Arial" w:cs="Arial"/>
          <w:color w:val="000000" w:themeColor="text1"/>
          <w:kern w:val="24"/>
        </w:rPr>
        <w:t>Pathengay</w:t>
      </w:r>
      <w:proofErr w:type="spellEnd"/>
      <w:r w:rsidRPr="00644028">
        <w:rPr>
          <w:rFonts w:ascii="Arial" w:eastAsiaTheme="minorEastAsia" w:hAnsi="Arial" w:cs="Arial"/>
          <w:color w:val="000000" w:themeColor="text1"/>
          <w:kern w:val="24"/>
        </w:rPr>
        <w:t xml:space="preserve"> A, </w:t>
      </w:r>
      <w:proofErr w:type="spellStart"/>
      <w:r w:rsidRPr="00644028">
        <w:rPr>
          <w:rFonts w:ascii="Arial" w:eastAsiaTheme="minorEastAsia" w:hAnsi="Arial" w:cs="Arial"/>
          <w:color w:val="000000" w:themeColor="text1"/>
          <w:kern w:val="24"/>
        </w:rPr>
        <w:t>Pappuru</w:t>
      </w:r>
      <w:proofErr w:type="spellEnd"/>
      <w:r w:rsidRPr="00644028">
        <w:rPr>
          <w:rFonts w:ascii="Arial" w:eastAsiaTheme="minorEastAsia" w:hAnsi="Arial" w:cs="Arial"/>
          <w:color w:val="000000" w:themeColor="text1"/>
          <w:kern w:val="24"/>
        </w:rPr>
        <w:t xml:space="preserve"> RR, and Das T (2019). Infectious endophthalmitis leading to evisceration: spectrum of bacterial and fungal pathogens and antibacterial susceptibility profile. Journal of Ophthalmic Inflammation and Infection 9:9 </w:t>
      </w:r>
      <w:hyperlink r:id="rId25" w:history="1">
        <w:r w:rsidRPr="00644028">
          <w:rPr>
            <w:rFonts w:ascii="Arial" w:eastAsiaTheme="minorEastAsia" w:hAnsi="Arial" w:cs="Arial"/>
            <w:color w:val="000000" w:themeColor="text1"/>
            <w:kern w:val="24"/>
            <w:u w:val="single"/>
          </w:rPr>
          <w:t>https://doi.org/10.1186/s12348-019-0174-y</w:t>
        </w:r>
      </w:hyperlink>
      <w:r w:rsidR="0094711A" w:rsidRPr="00644028">
        <w:rPr>
          <w:rFonts w:ascii="Arial" w:eastAsiaTheme="minorEastAsia" w:hAnsi="Arial" w:cs="Arial"/>
          <w:color w:val="000000" w:themeColor="text1"/>
          <w:kern w:val="24"/>
          <w:u w:val="single"/>
        </w:rPr>
        <w:t xml:space="preserve"> </w:t>
      </w:r>
      <w:hyperlink r:id="rId26" w:history="1">
        <w:r w:rsidR="0094711A" w:rsidRPr="00644028">
          <w:rPr>
            <w:rStyle w:val="Hyperlink"/>
            <w:rFonts w:ascii="Arial" w:eastAsiaTheme="minorEastAsia" w:hAnsi="Arial" w:cs="Arial"/>
            <w:kern w:val="24"/>
          </w:rPr>
          <w:t>https://doi.org/10.1186/s12348-019-0174-y</w:t>
        </w:r>
      </w:hyperlink>
    </w:p>
    <w:p w14:paraId="5F80D450" w14:textId="77777777" w:rsidR="0094711A" w:rsidRPr="00644028" w:rsidRDefault="0094711A" w:rsidP="00C02503">
      <w:pPr>
        <w:spacing w:after="240" w:line="360" w:lineRule="auto"/>
        <w:ind w:left="1134" w:hanging="1134"/>
        <w:contextualSpacing/>
        <w:jc w:val="both"/>
        <w:rPr>
          <w:rFonts w:ascii="Arial" w:hAnsi="Arial" w:cs="Arial"/>
        </w:rPr>
      </w:pPr>
    </w:p>
    <w:p w14:paraId="290D1C28" w14:textId="09E97329" w:rsidR="00C02503" w:rsidRPr="00644028" w:rsidRDefault="00C02503" w:rsidP="00C02503">
      <w:pPr>
        <w:spacing w:after="240" w:line="360" w:lineRule="auto"/>
        <w:ind w:left="1134" w:hanging="1134"/>
        <w:contextualSpacing/>
        <w:jc w:val="both"/>
        <w:rPr>
          <w:rFonts w:ascii="Arial" w:hAnsi="Arial" w:cs="Arial"/>
        </w:rPr>
      </w:pPr>
      <w:r w:rsidRPr="00644028">
        <w:rPr>
          <w:rFonts w:ascii="Arial" w:eastAsiaTheme="minorEastAsia" w:hAnsi="Arial" w:cs="Arial"/>
          <w:color w:val="000000" w:themeColor="text1"/>
          <w:kern w:val="24"/>
        </w:rPr>
        <w:t xml:space="preserve"> Durand ML. 2017. Bacterial and fungal endophthalmitis. Clinical Microbiology Review 30:597–613. </w:t>
      </w:r>
      <w:hyperlink r:id="rId27" w:history="1">
        <w:r w:rsidR="0094711A" w:rsidRPr="00644028">
          <w:rPr>
            <w:rStyle w:val="Hyperlink"/>
            <w:rFonts w:ascii="Arial" w:hAnsi="Arial" w:cs="Arial"/>
          </w:rPr>
          <w:t>https://doi.org/10.1128/CMR.00113-16</w:t>
        </w:r>
      </w:hyperlink>
    </w:p>
    <w:p w14:paraId="51D20DFC" w14:textId="77777777" w:rsidR="0094711A" w:rsidRPr="00644028" w:rsidRDefault="0094711A" w:rsidP="00C02503">
      <w:pPr>
        <w:spacing w:after="240" w:line="360" w:lineRule="auto"/>
        <w:ind w:left="1134" w:hanging="1134"/>
        <w:contextualSpacing/>
        <w:jc w:val="both"/>
        <w:rPr>
          <w:rFonts w:ascii="Arial" w:hAnsi="Arial" w:cs="Arial"/>
        </w:rPr>
      </w:pPr>
    </w:p>
    <w:p w14:paraId="783B73BB" w14:textId="152FF895" w:rsidR="009D1B6B" w:rsidRPr="00644028" w:rsidRDefault="00C02503" w:rsidP="00C02503">
      <w:pPr>
        <w:spacing w:after="240" w:line="360" w:lineRule="auto"/>
        <w:ind w:left="1134" w:hanging="1134"/>
        <w:contextualSpacing/>
        <w:jc w:val="both"/>
        <w:rPr>
          <w:rFonts w:ascii="Arial" w:eastAsiaTheme="minorEastAsia" w:hAnsi="Arial" w:cs="Arial"/>
        </w:rPr>
      </w:pPr>
      <w:r w:rsidRPr="00644028">
        <w:rPr>
          <w:rFonts w:ascii="Arial" w:eastAsiaTheme="minorEastAsia" w:hAnsi="Arial" w:cs="Arial"/>
          <w:color w:val="222222"/>
          <w:kern w:val="24"/>
        </w:rPr>
        <w:t>Gupta A, Orlans H.O, Hornby S.J, Bowler CJW (2014). Microbiology and visual outcomes of culture-positive bacterial endophthalmitis in Oxford, UK. </w:t>
      </w:r>
      <w:proofErr w:type="spellStart"/>
      <w:r w:rsidRPr="00644028">
        <w:rPr>
          <w:rFonts w:ascii="Arial" w:eastAsiaTheme="minorEastAsia" w:hAnsi="Arial" w:cs="Arial"/>
          <w:color w:val="222222"/>
          <w:kern w:val="24"/>
        </w:rPr>
        <w:t>Graefes</w:t>
      </w:r>
      <w:proofErr w:type="spellEnd"/>
      <w:r w:rsidRPr="00644028">
        <w:rPr>
          <w:rFonts w:ascii="Arial" w:eastAsiaTheme="minorEastAsia" w:hAnsi="Arial" w:cs="Arial"/>
          <w:color w:val="222222"/>
          <w:kern w:val="24"/>
        </w:rPr>
        <w:t xml:space="preserve"> Archive for Clinical and Experimental Ophthalmology </w:t>
      </w:r>
      <w:r w:rsidRPr="00644028">
        <w:rPr>
          <w:rFonts w:ascii="Arial" w:eastAsiaTheme="minorEastAsia" w:hAnsi="Arial" w:cs="Arial"/>
          <w:b/>
          <w:bCs/>
          <w:color w:val="222222"/>
          <w:kern w:val="24"/>
        </w:rPr>
        <w:t>252</w:t>
      </w:r>
      <w:r w:rsidRPr="00644028">
        <w:rPr>
          <w:rFonts w:ascii="Arial" w:eastAsiaTheme="minorEastAsia" w:hAnsi="Arial" w:cs="Arial"/>
          <w:color w:val="222222"/>
          <w:kern w:val="24"/>
        </w:rPr>
        <w:t xml:space="preserve">, 1825–1830. </w:t>
      </w:r>
      <w:hyperlink r:id="rId28" w:history="1">
        <w:r w:rsidR="009D1B6B" w:rsidRPr="00644028">
          <w:rPr>
            <w:rStyle w:val="Hyperlink"/>
            <w:rFonts w:ascii="Arial" w:hAnsi="Arial" w:cs="Arial"/>
          </w:rPr>
          <w:t>https://doi.org/10.1007/s00417-014-2658-7</w:t>
        </w:r>
      </w:hyperlink>
      <w:r w:rsidR="009D1B6B" w:rsidRPr="00644028">
        <w:rPr>
          <w:rFonts w:ascii="Arial" w:hAnsi="Arial" w:cs="Arial"/>
        </w:rPr>
        <w:t xml:space="preserve"> </w:t>
      </w:r>
      <w:r w:rsidR="009D1B6B" w:rsidRPr="00644028">
        <w:rPr>
          <w:rFonts w:ascii="Arial" w:eastAsiaTheme="minorEastAsia" w:hAnsi="Arial" w:cs="Arial"/>
        </w:rPr>
        <w:t xml:space="preserve"> </w:t>
      </w:r>
    </w:p>
    <w:p w14:paraId="052679CC" w14:textId="451A4E6E" w:rsidR="00C02503" w:rsidRPr="00644028" w:rsidRDefault="00C02503" w:rsidP="00C02503">
      <w:pPr>
        <w:spacing w:after="240" w:line="360" w:lineRule="auto"/>
        <w:ind w:left="1134" w:hanging="1134"/>
        <w:contextualSpacing/>
        <w:jc w:val="both"/>
        <w:rPr>
          <w:rFonts w:ascii="Arial" w:eastAsiaTheme="minorEastAsia" w:hAnsi="Arial" w:cs="Arial"/>
          <w:color w:val="000000" w:themeColor="text1"/>
          <w:kern w:val="24"/>
        </w:rPr>
      </w:pPr>
      <w:r w:rsidRPr="00644028">
        <w:rPr>
          <w:rFonts w:ascii="Arial" w:eastAsiaTheme="minorEastAsia" w:hAnsi="Arial" w:cs="Arial"/>
          <w:color w:val="000000" w:themeColor="text1"/>
          <w:kern w:val="24"/>
        </w:rPr>
        <w:lastRenderedPageBreak/>
        <w:t xml:space="preserve">Hulley SB, Cummings SR, Browner WS, Grady D, Hearst N, Newman TB. (2007). Estimating Sample Size and Power: The Nitty-Gritty. In: Browner WS, Newman TB, Cummings SR, Hulley SB. Editors. </w:t>
      </w:r>
      <w:r w:rsidRPr="00644028">
        <w:rPr>
          <w:rFonts w:ascii="Arial" w:eastAsiaTheme="minorEastAsia" w:hAnsi="Arial" w:cs="Arial"/>
          <w:color w:val="000000" w:themeColor="text1"/>
          <w:kern w:val="24"/>
          <w:u w:val="single"/>
        </w:rPr>
        <w:t>Designing Clinical Research, An Epidemiologic Approach</w:t>
      </w:r>
      <w:r w:rsidRPr="00644028">
        <w:rPr>
          <w:rFonts w:ascii="Arial" w:eastAsiaTheme="minorEastAsia" w:hAnsi="Arial" w:cs="Arial"/>
          <w:color w:val="000000" w:themeColor="text1"/>
          <w:kern w:val="24"/>
        </w:rPr>
        <w:t xml:space="preserve">. Fourth Edition. Philadelphia. </w:t>
      </w:r>
      <w:proofErr w:type="spellStart"/>
      <w:r w:rsidRPr="00644028">
        <w:rPr>
          <w:rFonts w:ascii="Arial" w:eastAsiaTheme="minorEastAsia" w:hAnsi="Arial" w:cs="Arial"/>
          <w:color w:val="000000" w:themeColor="text1"/>
          <w:kern w:val="24"/>
        </w:rPr>
        <w:t>Lippincot</w:t>
      </w:r>
      <w:proofErr w:type="spellEnd"/>
      <w:r w:rsidRPr="00644028">
        <w:rPr>
          <w:rFonts w:ascii="Arial" w:eastAsiaTheme="minorEastAsia" w:hAnsi="Arial" w:cs="Arial"/>
          <w:color w:val="000000" w:themeColor="text1"/>
          <w:kern w:val="24"/>
        </w:rPr>
        <w:t xml:space="preserve"> Williams &amp; Wilkins.</w:t>
      </w:r>
      <w:r w:rsidR="009D1B6B" w:rsidRPr="00644028">
        <w:rPr>
          <w:rFonts w:ascii="Arial" w:eastAsiaTheme="minorEastAsia" w:hAnsi="Arial" w:cs="Arial"/>
          <w:color w:val="000000" w:themeColor="text1"/>
          <w:kern w:val="24"/>
        </w:rPr>
        <w:t xml:space="preserve"> </w:t>
      </w:r>
    </w:p>
    <w:p w14:paraId="5216D300" w14:textId="56F640C2" w:rsidR="009D1B6B" w:rsidRPr="00644028" w:rsidRDefault="009D1B6B" w:rsidP="00C02503">
      <w:pPr>
        <w:spacing w:after="240" w:line="360" w:lineRule="auto"/>
        <w:ind w:left="1134" w:hanging="1134"/>
        <w:contextualSpacing/>
        <w:jc w:val="both"/>
        <w:rPr>
          <w:rFonts w:ascii="Arial" w:eastAsiaTheme="minorEastAsia" w:hAnsi="Arial" w:cs="Arial"/>
          <w:color w:val="000000" w:themeColor="text1"/>
          <w:kern w:val="24"/>
        </w:rPr>
      </w:pPr>
      <w:hyperlink r:id="rId29" w:history="1">
        <w:r w:rsidRPr="00644028">
          <w:rPr>
            <w:rStyle w:val="Hyperlink"/>
            <w:rFonts w:ascii="Arial" w:eastAsiaTheme="minorEastAsia" w:hAnsi="Arial" w:cs="Arial"/>
            <w:kern w:val="24"/>
          </w:rPr>
          <w:t>https://apn.lwwhealthlibrary.com/book.aspx?bookid=1278</w:t>
        </w:r>
      </w:hyperlink>
    </w:p>
    <w:p w14:paraId="3F4E8B14" w14:textId="77777777" w:rsidR="009D1B6B" w:rsidRPr="00644028" w:rsidRDefault="009D1B6B" w:rsidP="00C02503">
      <w:pPr>
        <w:spacing w:after="240" w:line="360" w:lineRule="auto"/>
        <w:ind w:left="1134" w:hanging="1134"/>
        <w:contextualSpacing/>
        <w:jc w:val="both"/>
        <w:rPr>
          <w:rFonts w:ascii="Arial" w:eastAsiaTheme="minorEastAsia" w:hAnsi="Arial" w:cs="Arial"/>
          <w:color w:val="000000" w:themeColor="text1"/>
          <w:kern w:val="24"/>
        </w:rPr>
      </w:pPr>
    </w:p>
    <w:p w14:paraId="301B417B" w14:textId="77777777" w:rsidR="00C02503" w:rsidRPr="00644028" w:rsidRDefault="00C02503" w:rsidP="00C02503">
      <w:pPr>
        <w:spacing w:after="240" w:line="360" w:lineRule="auto"/>
        <w:ind w:left="1134" w:hanging="1134"/>
        <w:contextualSpacing/>
        <w:jc w:val="both"/>
        <w:rPr>
          <w:rFonts w:ascii="Arial" w:hAnsi="Arial" w:cs="Arial"/>
        </w:rPr>
      </w:pPr>
      <w:r w:rsidRPr="00644028">
        <w:rPr>
          <w:rFonts w:ascii="Arial" w:eastAsiaTheme="minorEastAsia" w:hAnsi="Arial" w:cs="Arial"/>
          <w:color w:val="000000" w:themeColor="text1"/>
          <w:kern w:val="24"/>
        </w:rPr>
        <w:t xml:space="preserve">Kim S.J, Fawzi A, Kovach J.L, Patel S, Recchia F.M, </w:t>
      </w:r>
      <w:proofErr w:type="spellStart"/>
      <w:r w:rsidRPr="00644028">
        <w:rPr>
          <w:rFonts w:ascii="Arial" w:eastAsiaTheme="minorEastAsia" w:hAnsi="Arial" w:cs="Arial"/>
          <w:color w:val="000000" w:themeColor="text1"/>
          <w:kern w:val="24"/>
        </w:rPr>
        <w:t>Sobrin</w:t>
      </w:r>
      <w:proofErr w:type="spellEnd"/>
      <w:r w:rsidRPr="00644028">
        <w:rPr>
          <w:rFonts w:ascii="Arial" w:eastAsiaTheme="minorEastAsia" w:hAnsi="Arial" w:cs="Arial"/>
          <w:color w:val="000000" w:themeColor="text1"/>
          <w:kern w:val="24"/>
        </w:rPr>
        <w:t xml:space="preserve"> L, Sun J.K, Wykoff C.C (2023) </w:t>
      </w:r>
      <w:r w:rsidRPr="00644028">
        <w:rPr>
          <w:rFonts w:ascii="Arial" w:eastAsiaTheme="minorEastAsia" w:hAnsi="Arial" w:cs="Arial"/>
          <w:color w:val="000000" w:themeColor="text1"/>
          <w:kern w:val="24"/>
          <w:u w:val="single"/>
        </w:rPr>
        <w:t>Retina and vitreous</w:t>
      </w:r>
      <w:r w:rsidRPr="00644028">
        <w:rPr>
          <w:rFonts w:ascii="Arial" w:eastAsiaTheme="minorEastAsia" w:hAnsi="Arial" w:cs="Arial"/>
          <w:color w:val="000000" w:themeColor="text1"/>
          <w:kern w:val="24"/>
        </w:rPr>
        <w:t xml:space="preserve">, </w:t>
      </w:r>
      <w:r w:rsidRPr="00644028">
        <w:rPr>
          <w:rFonts w:ascii="Arial" w:hAnsi="Arial" w:cs="Arial"/>
        </w:rPr>
        <w:t>American academy of ophthalmology. San Francisco.</w:t>
      </w:r>
    </w:p>
    <w:p w14:paraId="20ABD245" w14:textId="77777777" w:rsidR="00C02503" w:rsidRPr="00644028" w:rsidRDefault="00C02503" w:rsidP="00C02503">
      <w:pPr>
        <w:spacing w:after="240" w:line="360" w:lineRule="auto"/>
        <w:ind w:left="1134" w:hanging="1134"/>
        <w:contextualSpacing/>
        <w:jc w:val="both"/>
        <w:rPr>
          <w:rFonts w:ascii="Arial" w:hAnsi="Arial" w:cs="Arial"/>
        </w:rPr>
      </w:pPr>
      <w:proofErr w:type="spellStart"/>
      <w:r w:rsidRPr="00644028">
        <w:rPr>
          <w:rFonts w:ascii="Arial" w:eastAsiaTheme="minorEastAsia" w:hAnsi="Arial" w:cs="Arial"/>
          <w:color w:val="222222"/>
          <w:kern w:val="24"/>
        </w:rPr>
        <w:t>Kissanga</w:t>
      </w:r>
      <w:proofErr w:type="spellEnd"/>
      <w:r w:rsidRPr="00644028">
        <w:rPr>
          <w:rFonts w:ascii="Arial" w:eastAsiaTheme="minorEastAsia" w:hAnsi="Arial" w:cs="Arial"/>
          <w:color w:val="222222"/>
          <w:kern w:val="24"/>
        </w:rPr>
        <w:t xml:space="preserve"> M.G, (2017). </w:t>
      </w:r>
      <w:r w:rsidRPr="00644028">
        <w:rPr>
          <w:rFonts w:ascii="Arial" w:eastAsiaTheme="minorEastAsia" w:hAnsi="Arial" w:cs="Arial"/>
          <w:color w:val="000000"/>
          <w:kern w:val="24"/>
        </w:rPr>
        <w:t>Prevalence and risk factors of postoperative endophthalmitis among patients attended at KCMC Tanzania; 2007-2017</w:t>
      </w:r>
    </w:p>
    <w:p w14:paraId="7AAE5896" w14:textId="09606263" w:rsidR="00C02503" w:rsidRPr="00644028" w:rsidRDefault="00C02503" w:rsidP="00C02503">
      <w:pPr>
        <w:spacing w:after="240" w:line="360" w:lineRule="auto"/>
        <w:ind w:left="1134" w:hanging="1134"/>
        <w:contextualSpacing/>
        <w:jc w:val="both"/>
        <w:rPr>
          <w:rFonts w:ascii="Arial" w:hAnsi="Arial" w:cs="Arial"/>
        </w:rPr>
      </w:pPr>
      <w:r w:rsidRPr="00644028">
        <w:rPr>
          <w:rFonts w:ascii="Arial" w:hAnsi="Arial" w:cs="Arial"/>
        </w:rPr>
        <w:t xml:space="preserve">Korn B.S, Burkat C.N, Carter K.D, Perry J.D, </w:t>
      </w:r>
      <w:proofErr w:type="spellStart"/>
      <w:r w:rsidRPr="00644028">
        <w:rPr>
          <w:rFonts w:ascii="Arial" w:hAnsi="Arial" w:cs="Arial"/>
        </w:rPr>
        <w:t>Setabutr</w:t>
      </w:r>
      <w:proofErr w:type="spellEnd"/>
      <w:r w:rsidRPr="00644028">
        <w:rPr>
          <w:rFonts w:ascii="Arial" w:hAnsi="Arial" w:cs="Arial"/>
        </w:rPr>
        <w:t xml:space="preserve"> P, Steele E.A, </w:t>
      </w:r>
      <w:proofErr w:type="spellStart"/>
      <w:r w:rsidRPr="00644028">
        <w:rPr>
          <w:rFonts w:ascii="Arial" w:hAnsi="Arial" w:cs="Arial"/>
        </w:rPr>
        <w:t>Vagefi</w:t>
      </w:r>
      <w:proofErr w:type="spellEnd"/>
      <w:r w:rsidRPr="00644028">
        <w:rPr>
          <w:rFonts w:ascii="Arial" w:hAnsi="Arial" w:cs="Arial"/>
        </w:rPr>
        <w:t xml:space="preserve"> M.R. (2021) </w:t>
      </w:r>
      <w:r w:rsidRPr="00644028">
        <w:rPr>
          <w:rFonts w:ascii="Arial" w:hAnsi="Arial" w:cs="Arial"/>
          <w:u w:val="single"/>
        </w:rPr>
        <w:t>Oculofacial plastics and orbital surgery</w:t>
      </w:r>
      <w:r w:rsidRPr="00644028">
        <w:rPr>
          <w:rFonts w:ascii="Arial" w:hAnsi="Arial" w:cs="Arial"/>
        </w:rPr>
        <w:t xml:space="preserve">. </w:t>
      </w:r>
      <w:bookmarkStart w:id="29" w:name="_Hlk171168053"/>
      <w:r w:rsidRPr="00644028">
        <w:rPr>
          <w:rFonts w:ascii="Arial" w:hAnsi="Arial" w:cs="Arial"/>
        </w:rPr>
        <w:t>American academy of ophthalmology. San Francisco.</w:t>
      </w:r>
      <w:r w:rsidR="009D1B6B" w:rsidRPr="00644028">
        <w:rPr>
          <w:rFonts w:ascii="Arial" w:hAnsi="Arial" w:cs="Arial"/>
        </w:rPr>
        <w:t xml:space="preserve"> </w:t>
      </w:r>
      <w:hyperlink r:id="rId30" w:history="1">
        <w:r w:rsidR="009D1B6B" w:rsidRPr="00644028">
          <w:rPr>
            <w:rStyle w:val="Hyperlink"/>
            <w:rFonts w:ascii="Arial" w:hAnsi="Arial" w:cs="Arial"/>
          </w:rPr>
          <w:t>https://store.aao.org/2021-2022-basic-and-clinical-science-course-section-07-oculofacial-plastic-and-orbital-surgery.html</w:t>
        </w:r>
      </w:hyperlink>
    </w:p>
    <w:p w14:paraId="6283D074" w14:textId="77777777" w:rsidR="009D1B6B" w:rsidRPr="00644028" w:rsidRDefault="009D1B6B" w:rsidP="00C02503">
      <w:pPr>
        <w:spacing w:after="240" w:line="360" w:lineRule="auto"/>
        <w:ind w:left="1134" w:hanging="1134"/>
        <w:contextualSpacing/>
        <w:jc w:val="both"/>
        <w:rPr>
          <w:rFonts w:ascii="Arial" w:hAnsi="Arial" w:cs="Arial"/>
        </w:rPr>
      </w:pPr>
    </w:p>
    <w:bookmarkEnd w:id="29"/>
    <w:p w14:paraId="0D896330" w14:textId="74ED68A1" w:rsidR="00C02503" w:rsidRPr="00644028" w:rsidRDefault="00C02503" w:rsidP="00C02503">
      <w:pPr>
        <w:spacing w:after="240" w:line="360" w:lineRule="auto"/>
        <w:ind w:left="1134" w:hanging="1134"/>
        <w:contextualSpacing/>
        <w:jc w:val="both"/>
        <w:rPr>
          <w:rFonts w:ascii="Arial" w:eastAsiaTheme="minorEastAsia" w:hAnsi="Arial" w:cs="Arial"/>
          <w:color w:val="000000"/>
          <w:kern w:val="24"/>
        </w:rPr>
      </w:pPr>
      <w:r w:rsidRPr="00644028">
        <w:rPr>
          <w:rFonts w:ascii="Arial" w:eastAsiaTheme="minorEastAsia" w:hAnsi="Arial" w:cs="Arial"/>
          <w:color w:val="000000"/>
          <w:kern w:val="24"/>
        </w:rPr>
        <w:t>Lu X, Siu-Chun ND, Zheng K, Peng K, Jin C, Xia H, Chen W &amp; Chen H (2016). Risk factors for endophthalmitis requiring evisceration or enucleation. Scientific Report 6, 28100</w:t>
      </w:r>
      <w:r w:rsidR="009D1B6B" w:rsidRPr="00644028">
        <w:rPr>
          <w:rFonts w:ascii="Arial" w:eastAsiaTheme="minorEastAsia" w:hAnsi="Arial" w:cs="Arial"/>
          <w:color w:val="000000"/>
          <w:kern w:val="24"/>
        </w:rPr>
        <w:t xml:space="preserve"> </w:t>
      </w:r>
      <w:hyperlink r:id="rId31" w:history="1">
        <w:r w:rsidR="009D1B6B" w:rsidRPr="00644028">
          <w:rPr>
            <w:rStyle w:val="Hyperlink"/>
            <w:rFonts w:ascii="Arial" w:eastAsiaTheme="minorEastAsia" w:hAnsi="Arial" w:cs="Arial"/>
            <w:kern w:val="24"/>
          </w:rPr>
          <w:t>https://doi.org/10.1038/srep28100</w:t>
        </w:r>
      </w:hyperlink>
    </w:p>
    <w:p w14:paraId="257DD489" w14:textId="77777777" w:rsidR="009D1B6B" w:rsidRPr="00644028" w:rsidRDefault="009D1B6B" w:rsidP="00C02503">
      <w:pPr>
        <w:spacing w:after="240" w:line="360" w:lineRule="auto"/>
        <w:ind w:left="1134" w:hanging="1134"/>
        <w:contextualSpacing/>
        <w:jc w:val="both"/>
        <w:rPr>
          <w:rFonts w:ascii="Arial" w:hAnsi="Arial" w:cs="Arial"/>
        </w:rPr>
      </w:pPr>
    </w:p>
    <w:p w14:paraId="6AAEE31B" w14:textId="20CE3407" w:rsidR="00C02503" w:rsidRPr="00644028" w:rsidRDefault="00C02503" w:rsidP="00C02503">
      <w:pPr>
        <w:spacing w:after="240" w:line="360" w:lineRule="auto"/>
        <w:ind w:left="1134" w:hanging="1134"/>
        <w:contextualSpacing/>
        <w:jc w:val="both"/>
        <w:rPr>
          <w:rFonts w:ascii="Arial" w:eastAsiaTheme="minorEastAsia" w:hAnsi="Arial" w:cs="Arial"/>
          <w:color w:val="000000"/>
          <w:kern w:val="24"/>
        </w:rPr>
      </w:pPr>
      <w:r w:rsidRPr="00644028">
        <w:rPr>
          <w:rFonts w:ascii="Arial" w:eastAsiaTheme="minorEastAsia" w:hAnsi="Arial" w:cs="Arial"/>
          <w:color w:val="000000"/>
          <w:kern w:val="24"/>
        </w:rPr>
        <w:t xml:space="preserve"> Merly LA. N, Toledo M. L.A, Requejo G.A, Meléndez A, Álvarez S, López A., Ríos, R, Villegas V.M, Oliver A.L, (2022). Risk Factors Leading to Enucleation or Evisceration in Infectious Endophthalmitis. Journal of Clinical Medicine. 11; 3145. https://doi.org/10.3390/ jcm11113145</w:t>
      </w:r>
      <w:r w:rsidR="009D1B6B" w:rsidRPr="00644028">
        <w:rPr>
          <w:rFonts w:ascii="Arial" w:eastAsiaTheme="minorEastAsia" w:hAnsi="Arial" w:cs="Arial"/>
          <w:color w:val="000000"/>
          <w:kern w:val="24"/>
        </w:rPr>
        <w:t xml:space="preserve"> </w:t>
      </w:r>
      <w:hyperlink r:id="rId32" w:history="1">
        <w:r w:rsidR="009D1B6B" w:rsidRPr="00644028">
          <w:rPr>
            <w:rStyle w:val="Hyperlink"/>
            <w:rFonts w:ascii="Arial" w:eastAsiaTheme="minorEastAsia" w:hAnsi="Arial" w:cs="Arial"/>
            <w:kern w:val="24"/>
          </w:rPr>
          <w:t>https://doi.org/10.3390/jcm11113145</w:t>
        </w:r>
      </w:hyperlink>
    </w:p>
    <w:p w14:paraId="7B3CC863" w14:textId="77777777" w:rsidR="002A0532" w:rsidRPr="00644028" w:rsidRDefault="002A0532" w:rsidP="002A0532">
      <w:pPr>
        <w:spacing w:after="240" w:line="360" w:lineRule="auto"/>
        <w:contextualSpacing/>
        <w:jc w:val="both"/>
        <w:rPr>
          <w:rFonts w:ascii="Arial" w:hAnsi="Arial" w:cs="Arial"/>
        </w:rPr>
      </w:pPr>
    </w:p>
    <w:p w14:paraId="3178AF1B" w14:textId="75244642" w:rsidR="00C02503" w:rsidRPr="00644028" w:rsidRDefault="00C02503" w:rsidP="00C02503">
      <w:pPr>
        <w:spacing w:after="240" w:line="360" w:lineRule="auto"/>
        <w:ind w:left="1134" w:hanging="1134"/>
        <w:contextualSpacing/>
        <w:jc w:val="both"/>
        <w:rPr>
          <w:rFonts w:ascii="Arial" w:eastAsiaTheme="minorEastAsia" w:hAnsi="Arial" w:cs="Arial"/>
          <w:color w:val="000000"/>
          <w:kern w:val="24"/>
        </w:rPr>
      </w:pPr>
      <w:r w:rsidRPr="00644028">
        <w:rPr>
          <w:rFonts w:ascii="Arial" w:eastAsiaTheme="minorEastAsia" w:hAnsi="Arial" w:cs="Arial"/>
          <w:color w:val="000000"/>
          <w:kern w:val="24"/>
        </w:rPr>
        <w:t>Merwe V.D.J, Hamzah M, Colin C, (2012).  Endophthalmitis prophylaxis with intracameral cefuroxime in South Africa. Journal of Cataract &amp; Refractive Surgery 38(11): p 2054</w:t>
      </w:r>
      <w:r w:rsidR="009D1B6B" w:rsidRPr="00644028">
        <w:rPr>
          <w:rFonts w:ascii="Arial" w:eastAsiaTheme="minorEastAsia" w:hAnsi="Arial" w:cs="Arial"/>
          <w:color w:val="000000"/>
          <w:kern w:val="24"/>
        </w:rPr>
        <w:t xml:space="preserve"> </w:t>
      </w:r>
      <w:hyperlink r:id="rId33" w:history="1">
        <w:r w:rsidR="009D1B6B" w:rsidRPr="00644028">
          <w:rPr>
            <w:rStyle w:val="Hyperlink"/>
            <w:rFonts w:ascii="Arial" w:eastAsiaTheme="minorEastAsia" w:hAnsi="Arial" w:cs="Arial"/>
            <w:kern w:val="24"/>
          </w:rPr>
          <w:t>https://doi.org/10.1016/j.jcrs.2012.09.004</w:t>
        </w:r>
      </w:hyperlink>
    </w:p>
    <w:p w14:paraId="6101BAD4" w14:textId="77777777" w:rsidR="009D1B6B" w:rsidRPr="00644028" w:rsidRDefault="009D1B6B" w:rsidP="00C02503">
      <w:pPr>
        <w:spacing w:after="240" w:line="360" w:lineRule="auto"/>
        <w:ind w:left="1134" w:hanging="1134"/>
        <w:contextualSpacing/>
        <w:jc w:val="both"/>
        <w:rPr>
          <w:rFonts w:ascii="Arial" w:hAnsi="Arial" w:cs="Arial"/>
        </w:rPr>
      </w:pPr>
    </w:p>
    <w:p w14:paraId="7DE26AA2" w14:textId="6D907C4B" w:rsidR="00C02503" w:rsidRPr="00644028" w:rsidRDefault="00C02503" w:rsidP="00C02503">
      <w:pPr>
        <w:spacing w:after="240" w:line="360" w:lineRule="auto"/>
        <w:ind w:left="1134" w:hanging="1134"/>
        <w:contextualSpacing/>
        <w:jc w:val="both"/>
        <w:rPr>
          <w:rFonts w:ascii="Arial" w:eastAsiaTheme="minorEastAsia" w:hAnsi="Arial" w:cs="Arial"/>
          <w:color w:val="222222"/>
          <w:kern w:val="24"/>
        </w:rPr>
      </w:pPr>
      <w:r w:rsidRPr="00644028">
        <w:rPr>
          <w:rFonts w:ascii="Arial" w:eastAsiaTheme="minorEastAsia" w:hAnsi="Arial" w:cs="Arial"/>
          <w:color w:val="000000" w:themeColor="text1"/>
          <w:kern w:val="24"/>
          <w:lang w:val="pl-PL"/>
        </w:rPr>
        <w:t xml:space="preserve">Nowak </w:t>
      </w:r>
      <w:r w:rsidRPr="00644028">
        <w:rPr>
          <w:rFonts w:ascii="Arial" w:eastAsiaTheme="minorEastAsia" w:hAnsi="Arial" w:cs="Arial"/>
          <w:color w:val="000000" w:themeColor="text1"/>
          <w:kern w:val="24"/>
        </w:rPr>
        <w:t xml:space="preserve">M.S, </w:t>
      </w:r>
      <w:r w:rsidRPr="00644028">
        <w:rPr>
          <w:rFonts w:ascii="Arial" w:eastAsiaTheme="minorEastAsia" w:hAnsi="Arial" w:cs="Arial"/>
          <w:color w:val="000000" w:themeColor="text1"/>
          <w:kern w:val="24"/>
          <w:lang w:val="pl-PL"/>
        </w:rPr>
        <w:t xml:space="preserve">Grzybowski </w:t>
      </w:r>
      <w:r w:rsidRPr="00644028">
        <w:rPr>
          <w:rFonts w:ascii="Arial" w:eastAsiaTheme="minorEastAsia" w:hAnsi="Arial" w:cs="Arial"/>
          <w:color w:val="000000" w:themeColor="text1"/>
          <w:kern w:val="24"/>
        </w:rPr>
        <w:t>A</w:t>
      </w:r>
      <w:r w:rsidRPr="00644028">
        <w:rPr>
          <w:rFonts w:ascii="Arial" w:eastAsiaTheme="minorEastAsia" w:hAnsi="Arial" w:cs="Arial"/>
          <w:color w:val="000000" w:themeColor="text1"/>
          <w:kern w:val="24"/>
          <w:lang w:val="pl-PL"/>
        </w:rPr>
        <w:t>,</w:t>
      </w:r>
      <w:r w:rsidRPr="00644028">
        <w:rPr>
          <w:rFonts w:ascii="Arial" w:eastAsiaTheme="minorEastAsia" w:hAnsi="Arial" w:cs="Arial"/>
          <w:color w:val="000000" w:themeColor="text1"/>
          <w:kern w:val="24"/>
        </w:rPr>
        <w:t xml:space="preserve"> </w:t>
      </w:r>
      <w:r w:rsidRPr="00644028">
        <w:rPr>
          <w:rFonts w:ascii="Arial" w:eastAsiaTheme="minorEastAsia" w:hAnsi="Arial" w:cs="Arial"/>
          <w:color w:val="000000" w:themeColor="text1"/>
          <w:kern w:val="24"/>
          <w:lang w:val="pl-PL"/>
        </w:rPr>
        <w:t xml:space="preserve">Małecka </w:t>
      </w:r>
      <w:r w:rsidRPr="00644028">
        <w:rPr>
          <w:rFonts w:ascii="Arial" w:eastAsiaTheme="minorEastAsia" w:hAnsi="Arial" w:cs="Arial"/>
          <w:color w:val="000000" w:themeColor="text1"/>
          <w:kern w:val="24"/>
        </w:rPr>
        <w:t>K.M</w:t>
      </w:r>
      <w:r w:rsidRPr="00644028">
        <w:rPr>
          <w:rFonts w:ascii="Arial" w:eastAsiaTheme="minorEastAsia" w:hAnsi="Arial" w:cs="Arial"/>
          <w:color w:val="000000" w:themeColor="text1"/>
          <w:kern w:val="24"/>
          <w:lang w:val="pl-PL"/>
        </w:rPr>
        <w:t xml:space="preserve"> , Szaflik </w:t>
      </w:r>
      <w:r w:rsidRPr="00644028">
        <w:rPr>
          <w:rFonts w:ascii="Arial" w:eastAsiaTheme="minorEastAsia" w:hAnsi="Arial" w:cs="Arial"/>
          <w:color w:val="000000" w:themeColor="text1"/>
          <w:kern w:val="24"/>
        </w:rPr>
        <w:t>J.P</w:t>
      </w:r>
      <w:r w:rsidRPr="00644028">
        <w:rPr>
          <w:rFonts w:ascii="Arial" w:eastAsiaTheme="minorEastAsia" w:hAnsi="Arial" w:cs="Arial"/>
          <w:color w:val="000000" w:themeColor="text1"/>
          <w:kern w:val="24"/>
          <w:lang w:val="pl-PL"/>
        </w:rPr>
        <w:t xml:space="preserve">, Kozioł </w:t>
      </w:r>
      <w:r w:rsidRPr="00644028">
        <w:rPr>
          <w:rFonts w:ascii="Arial" w:eastAsiaTheme="minorEastAsia" w:hAnsi="Arial" w:cs="Arial"/>
          <w:color w:val="000000" w:themeColor="text1"/>
          <w:kern w:val="24"/>
        </w:rPr>
        <w:t>M</w:t>
      </w:r>
      <w:r w:rsidRPr="00644028">
        <w:rPr>
          <w:rFonts w:ascii="Arial" w:eastAsiaTheme="minorEastAsia" w:hAnsi="Arial" w:cs="Arial"/>
          <w:color w:val="000000" w:themeColor="text1"/>
          <w:kern w:val="24"/>
          <w:lang w:val="pl-PL"/>
        </w:rPr>
        <w:t xml:space="preserve"> , Niemczyk </w:t>
      </w:r>
      <w:r w:rsidRPr="00644028">
        <w:rPr>
          <w:rFonts w:ascii="Arial" w:eastAsiaTheme="minorEastAsia" w:hAnsi="Arial" w:cs="Arial"/>
          <w:color w:val="000000" w:themeColor="text1"/>
          <w:kern w:val="24"/>
        </w:rPr>
        <w:t>W</w:t>
      </w:r>
      <w:r w:rsidRPr="00644028">
        <w:rPr>
          <w:rFonts w:ascii="Arial" w:eastAsiaTheme="minorEastAsia" w:hAnsi="Arial" w:cs="Arial"/>
          <w:color w:val="000000" w:themeColor="text1"/>
          <w:kern w:val="24"/>
          <w:lang w:val="pl-PL"/>
        </w:rPr>
        <w:t xml:space="preserve"> and Liberek</w:t>
      </w:r>
      <w:r w:rsidRPr="00644028">
        <w:rPr>
          <w:rFonts w:ascii="Arial" w:eastAsiaTheme="minorEastAsia" w:hAnsi="Arial" w:cs="Arial"/>
          <w:color w:val="000000" w:themeColor="text1"/>
          <w:kern w:val="24"/>
        </w:rPr>
        <w:t xml:space="preserve"> I.G, (2019) Incidence and Characteristics of Endophthalmitis after Cataract Surgery in Poland, during 2010–2015.</w:t>
      </w:r>
      <w:r w:rsidRPr="00644028">
        <w:rPr>
          <w:rFonts w:ascii="Arial" w:eastAsiaTheme="minorEastAsia" w:hAnsi="Arial" w:cs="Arial"/>
          <w:color w:val="222222"/>
          <w:kern w:val="24"/>
        </w:rPr>
        <w:t xml:space="preserve"> International Journal of Environmental Research and Public Health; 16. 2188</w:t>
      </w:r>
      <w:r w:rsidR="009D1B6B" w:rsidRPr="00644028">
        <w:rPr>
          <w:rFonts w:ascii="Arial" w:eastAsiaTheme="minorEastAsia" w:hAnsi="Arial" w:cs="Arial"/>
          <w:color w:val="222222"/>
          <w:kern w:val="24"/>
        </w:rPr>
        <w:t xml:space="preserve"> </w:t>
      </w:r>
      <w:hyperlink r:id="rId34" w:history="1">
        <w:r w:rsidR="009D1B6B" w:rsidRPr="00644028">
          <w:rPr>
            <w:rStyle w:val="Hyperlink"/>
            <w:rFonts w:ascii="Arial" w:eastAsiaTheme="minorEastAsia" w:hAnsi="Arial" w:cs="Arial"/>
            <w:kern w:val="24"/>
          </w:rPr>
          <w:t>https://doi.org/10.3390/ijerph16122188</w:t>
        </w:r>
      </w:hyperlink>
    </w:p>
    <w:p w14:paraId="559084AE" w14:textId="77777777" w:rsidR="009D1B6B" w:rsidRPr="00644028" w:rsidRDefault="009D1B6B" w:rsidP="00C02503">
      <w:pPr>
        <w:spacing w:after="240" w:line="360" w:lineRule="auto"/>
        <w:ind w:left="1134" w:hanging="1134"/>
        <w:contextualSpacing/>
        <w:jc w:val="both"/>
        <w:rPr>
          <w:rFonts w:ascii="Arial" w:hAnsi="Arial" w:cs="Arial"/>
        </w:rPr>
      </w:pPr>
    </w:p>
    <w:p w14:paraId="7221C228" w14:textId="198C919C" w:rsidR="00C02503" w:rsidRPr="00644028" w:rsidRDefault="00C02503" w:rsidP="00C02503">
      <w:pPr>
        <w:spacing w:after="240" w:line="360" w:lineRule="auto"/>
        <w:ind w:left="1134" w:hanging="1134"/>
        <w:contextualSpacing/>
        <w:jc w:val="both"/>
        <w:rPr>
          <w:rFonts w:ascii="Arial" w:eastAsiaTheme="minorEastAsia" w:hAnsi="Arial" w:cs="Arial"/>
          <w:color w:val="000000" w:themeColor="text1"/>
          <w:kern w:val="24"/>
        </w:rPr>
      </w:pPr>
      <w:r w:rsidRPr="00644028">
        <w:rPr>
          <w:rFonts w:ascii="Arial" w:eastAsiaTheme="minorEastAsia" w:hAnsi="Arial" w:cs="Arial"/>
          <w:color w:val="000000" w:themeColor="text1"/>
          <w:kern w:val="24"/>
        </w:rPr>
        <w:t xml:space="preserve">Pfeiffer ML, Homer N, (2024). American Academy of Ophthalmology. Available at URL </w:t>
      </w:r>
      <w:hyperlink r:id="rId35" w:history="1">
        <w:r w:rsidRPr="00644028">
          <w:rPr>
            <w:rFonts w:ascii="Arial" w:eastAsiaTheme="minorEastAsia" w:hAnsi="Arial" w:cs="Arial"/>
            <w:color w:val="000000" w:themeColor="text1"/>
            <w:kern w:val="24"/>
            <w:u w:val="single"/>
          </w:rPr>
          <w:t>https://eyewiki.aao.org/Enucleation#:~:text=Enucleation%20is%20the%20surgical%20procedure,other%20periorbital%20and%20orbital%20structures</w:t>
        </w:r>
      </w:hyperlink>
      <w:r w:rsidRPr="00644028">
        <w:rPr>
          <w:rFonts w:ascii="Arial" w:eastAsiaTheme="minorEastAsia" w:hAnsi="Arial" w:cs="Arial"/>
          <w:color w:val="000000" w:themeColor="text1"/>
          <w:kern w:val="24"/>
        </w:rPr>
        <w:t>. (Accessed 04 April 2024)</w:t>
      </w:r>
      <w:r w:rsidR="009D1B6B" w:rsidRPr="00644028">
        <w:rPr>
          <w:rFonts w:ascii="Arial" w:eastAsiaTheme="minorEastAsia" w:hAnsi="Arial" w:cs="Arial"/>
          <w:color w:val="000000" w:themeColor="text1"/>
          <w:kern w:val="24"/>
        </w:rPr>
        <w:t xml:space="preserve"> </w:t>
      </w:r>
      <w:hyperlink r:id="rId36" w:history="1">
        <w:r w:rsidR="009D1B6B" w:rsidRPr="00644028">
          <w:rPr>
            <w:rStyle w:val="Hyperlink"/>
            <w:rFonts w:ascii="Arial" w:eastAsiaTheme="minorEastAsia" w:hAnsi="Arial" w:cs="Arial"/>
            <w:kern w:val="24"/>
          </w:rPr>
          <w:t>https://eyewiki.aao.org/Enucleation</w:t>
        </w:r>
      </w:hyperlink>
    </w:p>
    <w:p w14:paraId="3EE42614" w14:textId="77777777" w:rsidR="009D1B6B" w:rsidRPr="00644028" w:rsidRDefault="009D1B6B" w:rsidP="00C02503">
      <w:pPr>
        <w:spacing w:after="240" w:line="360" w:lineRule="auto"/>
        <w:ind w:left="1134" w:hanging="1134"/>
        <w:contextualSpacing/>
        <w:jc w:val="both"/>
        <w:rPr>
          <w:rFonts w:ascii="Arial" w:hAnsi="Arial" w:cs="Arial"/>
        </w:rPr>
      </w:pPr>
    </w:p>
    <w:p w14:paraId="14227BBC" w14:textId="5C282666" w:rsidR="00C02503" w:rsidRPr="00644028" w:rsidRDefault="00C02503" w:rsidP="00C02503">
      <w:pPr>
        <w:spacing w:after="240" w:line="360" w:lineRule="auto"/>
        <w:ind w:left="1134" w:hanging="1134"/>
        <w:contextualSpacing/>
        <w:jc w:val="both"/>
        <w:rPr>
          <w:rFonts w:ascii="Arial" w:eastAsiaTheme="minorEastAsia" w:hAnsi="Arial" w:cs="Arial"/>
          <w:color w:val="000000" w:themeColor="text1"/>
          <w:kern w:val="24"/>
          <w:lang w:val="nl-NL"/>
        </w:rPr>
      </w:pPr>
      <w:r w:rsidRPr="00644028">
        <w:rPr>
          <w:rFonts w:ascii="Arial" w:eastAsiaTheme="minorEastAsia" w:hAnsi="Arial" w:cs="Arial"/>
          <w:color w:val="000000" w:themeColor="text1"/>
          <w:kern w:val="24"/>
        </w:rPr>
        <w:t xml:space="preserve">Sheu J.S, (2017). Endophthalmitis. </w:t>
      </w:r>
      <w:r w:rsidRPr="00644028">
        <w:rPr>
          <w:rFonts w:ascii="Arial" w:eastAsiaTheme="minorEastAsia" w:hAnsi="Arial" w:cs="Arial"/>
          <w:color w:val="000000" w:themeColor="text1"/>
          <w:kern w:val="24"/>
          <w:lang w:val="nl-NL"/>
        </w:rPr>
        <w:t>Korean Journal of  Ophthalmology 2017;31(4):283-289</w:t>
      </w:r>
      <w:r w:rsidR="009D1B6B" w:rsidRPr="00644028">
        <w:rPr>
          <w:rFonts w:ascii="Arial" w:eastAsiaTheme="minorEastAsia" w:hAnsi="Arial" w:cs="Arial"/>
          <w:color w:val="000000" w:themeColor="text1"/>
          <w:kern w:val="24"/>
          <w:lang w:val="nl-NL"/>
        </w:rPr>
        <w:t xml:space="preserve"> </w:t>
      </w:r>
      <w:hyperlink r:id="rId37" w:history="1">
        <w:r w:rsidR="009D1B6B" w:rsidRPr="00644028">
          <w:rPr>
            <w:rStyle w:val="Hyperlink"/>
            <w:rFonts w:ascii="Arial" w:eastAsiaTheme="minorEastAsia" w:hAnsi="Arial" w:cs="Arial"/>
            <w:kern w:val="24"/>
            <w:lang w:val="nl-NL"/>
          </w:rPr>
          <w:t>https://doi.org/10.3341/kjo.2017.0036</w:t>
        </w:r>
      </w:hyperlink>
    </w:p>
    <w:p w14:paraId="5C694412" w14:textId="77777777" w:rsidR="009D1B6B" w:rsidRPr="00644028" w:rsidRDefault="009D1B6B" w:rsidP="00C02503">
      <w:pPr>
        <w:spacing w:after="240" w:line="360" w:lineRule="auto"/>
        <w:ind w:left="1134" w:hanging="1134"/>
        <w:contextualSpacing/>
        <w:jc w:val="both"/>
        <w:rPr>
          <w:rFonts w:ascii="Arial" w:eastAsiaTheme="minorEastAsia" w:hAnsi="Arial" w:cs="Arial"/>
          <w:color w:val="000000" w:themeColor="text1"/>
          <w:kern w:val="24"/>
          <w:lang w:val="nl-NL"/>
        </w:rPr>
      </w:pPr>
    </w:p>
    <w:p w14:paraId="09F190E0" w14:textId="77777777" w:rsidR="00C02503" w:rsidRPr="00644028" w:rsidRDefault="00C02503" w:rsidP="00C02503">
      <w:pPr>
        <w:spacing w:after="240" w:line="360" w:lineRule="auto"/>
        <w:ind w:left="1134" w:hanging="1134"/>
        <w:contextualSpacing/>
        <w:jc w:val="both"/>
        <w:rPr>
          <w:rFonts w:ascii="Arial" w:hAnsi="Arial" w:cs="Arial"/>
        </w:rPr>
      </w:pPr>
      <w:r w:rsidRPr="00644028">
        <w:rPr>
          <w:rFonts w:ascii="Arial" w:hAnsi="Arial" w:cs="Arial"/>
        </w:rPr>
        <w:t xml:space="preserve">Smith M, Wendy, Karen R, Armbrust, Sam s. </w:t>
      </w:r>
      <w:proofErr w:type="spellStart"/>
      <w:r w:rsidRPr="00644028">
        <w:rPr>
          <w:rFonts w:ascii="Arial" w:hAnsi="Arial" w:cs="Arial"/>
        </w:rPr>
        <w:t>Dahr</w:t>
      </w:r>
      <w:proofErr w:type="spellEnd"/>
      <w:r w:rsidRPr="00644028">
        <w:rPr>
          <w:rFonts w:ascii="Arial" w:hAnsi="Arial" w:cs="Arial"/>
        </w:rPr>
        <w:t>, Jessica G Shantha (2023) Uveitis and ocular inflammation. American academy of ophthalmology. San Francisco.</w:t>
      </w:r>
    </w:p>
    <w:p w14:paraId="134F8FFC" w14:textId="5150F0B7" w:rsidR="00C02503" w:rsidRPr="00644028" w:rsidRDefault="00C02503" w:rsidP="00C02503">
      <w:pPr>
        <w:spacing w:after="240" w:line="360" w:lineRule="auto"/>
        <w:ind w:left="1134" w:hanging="1134"/>
        <w:contextualSpacing/>
        <w:jc w:val="both"/>
        <w:rPr>
          <w:rFonts w:ascii="Arial" w:eastAsiaTheme="minorEastAsia" w:hAnsi="Arial" w:cs="Arial"/>
          <w:color w:val="000000" w:themeColor="text1"/>
          <w:kern w:val="24"/>
        </w:rPr>
      </w:pPr>
      <w:r w:rsidRPr="00644028">
        <w:rPr>
          <w:rFonts w:ascii="Arial" w:eastAsiaTheme="minorEastAsia" w:hAnsi="Arial" w:cs="Arial"/>
          <w:color w:val="000000" w:themeColor="text1"/>
          <w:kern w:val="24"/>
          <w:lang w:val="nl-NL"/>
        </w:rPr>
        <w:t xml:space="preserve">Wood M, Bowman R, (2008). </w:t>
      </w:r>
      <w:r w:rsidRPr="00644028">
        <w:rPr>
          <w:rFonts w:ascii="Arial" w:eastAsiaTheme="minorEastAsia" w:hAnsi="Arial" w:cs="Arial"/>
          <w:color w:val="000000" w:themeColor="text1"/>
          <w:kern w:val="24"/>
        </w:rPr>
        <w:t>Prophylactic cefuroxime and endophthalmitis in Tanzania, East Africa. Journal of cataract and refractive surgery. Volume 34.</w:t>
      </w:r>
      <w:r w:rsidR="009D1B6B" w:rsidRPr="00644028">
        <w:rPr>
          <w:rFonts w:ascii="Arial" w:eastAsiaTheme="minorEastAsia" w:hAnsi="Arial" w:cs="Arial"/>
          <w:color w:val="000000" w:themeColor="text1"/>
          <w:kern w:val="24"/>
        </w:rPr>
        <w:t xml:space="preserve"> </w:t>
      </w:r>
      <w:hyperlink r:id="rId38" w:history="1">
        <w:r w:rsidR="009D1B6B" w:rsidRPr="00644028">
          <w:rPr>
            <w:rStyle w:val="Hyperlink"/>
            <w:rFonts w:ascii="Arial" w:eastAsiaTheme="minorEastAsia" w:hAnsi="Arial" w:cs="Arial"/>
            <w:kern w:val="24"/>
          </w:rPr>
          <w:t>https://doi.org/10.1016/j.jcrs.2007.07.047</w:t>
        </w:r>
      </w:hyperlink>
    </w:p>
    <w:p w14:paraId="52114C1C" w14:textId="77777777" w:rsidR="009D1B6B" w:rsidRPr="00644028" w:rsidRDefault="009D1B6B" w:rsidP="00C02503">
      <w:pPr>
        <w:spacing w:after="240" w:line="360" w:lineRule="auto"/>
        <w:ind w:left="1134" w:hanging="1134"/>
        <w:contextualSpacing/>
        <w:jc w:val="both"/>
        <w:rPr>
          <w:rFonts w:ascii="Arial" w:hAnsi="Arial" w:cs="Arial"/>
        </w:rPr>
      </w:pPr>
    </w:p>
    <w:p w14:paraId="6E536945" w14:textId="404FD57B" w:rsidR="00C02503" w:rsidRPr="00644028" w:rsidRDefault="00C02503" w:rsidP="00C02503">
      <w:pPr>
        <w:spacing w:after="240" w:line="360" w:lineRule="auto"/>
        <w:ind w:left="1134" w:hanging="1134"/>
        <w:contextualSpacing/>
        <w:jc w:val="both"/>
        <w:rPr>
          <w:rFonts w:ascii="Arial" w:eastAsiaTheme="minorEastAsia" w:hAnsi="Arial" w:cs="Arial"/>
          <w:color w:val="000000"/>
          <w:kern w:val="24"/>
        </w:rPr>
      </w:pPr>
      <w:r w:rsidRPr="00644028">
        <w:rPr>
          <w:rFonts w:ascii="Arial" w:eastAsiaTheme="minorEastAsia" w:hAnsi="Arial" w:cs="Arial"/>
          <w:color w:val="000000" w:themeColor="text1"/>
          <w:kern w:val="24"/>
        </w:rPr>
        <w:lastRenderedPageBreak/>
        <w:t xml:space="preserve">Zerrouk R, Malek Y, </w:t>
      </w:r>
      <w:proofErr w:type="spellStart"/>
      <w:r w:rsidRPr="00644028">
        <w:rPr>
          <w:rFonts w:ascii="Arial" w:eastAsiaTheme="minorEastAsia" w:hAnsi="Arial" w:cs="Arial"/>
          <w:color w:val="000000" w:themeColor="text1"/>
          <w:kern w:val="24"/>
        </w:rPr>
        <w:t>Elkhoyaali</w:t>
      </w:r>
      <w:proofErr w:type="spellEnd"/>
      <w:r w:rsidRPr="00644028">
        <w:rPr>
          <w:rFonts w:ascii="Arial" w:eastAsiaTheme="minorEastAsia" w:hAnsi="Arial" w:cs="Arial"/>
          <w:color w:val="000000" w:themeColor="text1"/>
          <w:kern w:val="24"/>
        </w:rPr>
        <w:t xml:space="preserve"> A, </w:t>
      </w:r>
      <w:proofErr w:type="spellStart"/>
      <w:r w:rsidRPr="00644028">
        <w:rPr>
          <w:rFonts w:ascii="Arial" w:eastAsiaTheme="minorEastAsia" w:hAnsi="Arial" w:cs="Arial"/>
          <w:color w:val="000000" w:themeColor="text1"/>
          <w:kern w:val="24"/>
        </w:rPr>
        <w:t>Mouzari</w:t>
      </w:r>
      <w:proofErr w:type="spellEnd"/>
      <w:r w:rsidRPr="00644028">
        <w:rPr>
          <w:rFonts w:ascii="Arial" w:eastAsiaTheme="minorEastAsia" w:hAnsi="Arial" w:cs="Arial"/>
          <w:color w:val="000000" w:themeColor="text1"/>
          <w:kern w:val="24"/>
        </w:rPr>
        <w:t xml:space="preserve"> Y, Reda K and </w:t>
      </w:r>
      <w:proofErr w:type="spellStart"/>
      <w:r w:rsidRPr="00644028">
        <w:rPr>
          <w:rFonts w:ascii="Arial" w:eastAsiaTheme="minorEastAsia" w:hAnsi="Arial" w:cs="Arial"/>
          <w:color w:val="000000" w:themeColor="text1"/>
          <w:kern w:val="24"/>
        </w:rPr>
        <w:t>Oubaaz</w:t>
      </w:r>
      <w:proofErr w:type="spellEnd"/>
      <w:r w:rsidRPr="00644028">
        <w:rPr>
          <w:rFonts w:ascii="Arial" w:eastAsiaTheme="minorEastAsia" w:hAnsi="Arial" w:cs="Arial"/>
          <w:color w:val="000000" w:themeColor="text1"/>
          <w:kern w:val="24"/>
        </w:rPr>
        <w:t xml:space="preserve"> A. </w:t>
      </w:r>
      <w:r w:rsidRPr="00644028">
        <w:rPr>
          <w:rFonts w:ascii="Arial" w:eastAsiaTheme="minorEastAsia" w:hAnsi="Arial" w:cs="Arial"/>
          <w:color w:val="000000"/>
          <w:kern w:val="24"/>
        </w:rPr>
        <w:t>Endophthalmitis – 5 years’ experience in a tertiary eye care center training hospital. International journal in ophthalmology research: 10 (4) 1- 7.</w:t>
      </w:r>
      <w:r w:rsidR="009D1B6B" w:rsidRPr="00644028">
        <w:rPr>
          <w:rFonts w:ascii="Arial" w:eastAsiaTheme="minorEastAsia" w:hAnsi="Arial" w:cs="Arial"/>
          <w:color w:val="000000"/>
          <w:kern w:val="24"/>
        </w:rPr>
        <w:t xml:space="preserve"> </w:t>
      </w:r>
      <w:hyperlink r:id="rId39" w:history="1">
        <w:r w:rsidR="009D1B6B" w:rsidRPr="00644028">
          <w:rPr>
            <w:rStyle w:val="Hyperlink"/>
            <w:rFonts w:ascii="Arial" w:eastAsiaTheme="minorEastAsia" w:hAnsi="Arial" w:cs="Arial"/>
            <w:kern w:val="24"/>
          </w:rPr>
          <w:t>https://doi.org/10.9734/or/2019/v10i430115</w:t>
        </w:r>
      </w:hyperlink>
    </w:p>
    <w:p w14:paraId="02A65760" w14:textId="77777777" w:rsidR="009D1B6B" w:rsidRPr="00644028" w:rsidRDefault="009D1B6B" w:rsidP="00C02503">
      <w:pPr>
        <w:spacing w:after="240" w:line="360" w:lineRule="auto"/>
        <w:ind w:left="1134" w:hanging="1134"/>
        <w:contextualSpacing/>
        <w:jc w:val="both"/>
        <w:rPr>
          <w:rFonts w:ascii="Arial" w:hAnsi="Arial" w:cs="Arial"/>
        </w:rPr>
      </w:pPr>
    </w:p>
    <w:p w14:paraId="38CA65FA" w14:textId="576155AB" w:rsidR="00533CC6" w:rsidRPr="00644028" w:rsidRDefault="00533CC6" w:rsidP="00533CC6">
      <w:pPr>
        <w:pStyle w:val="Heading1"/>
        <w:rPr>
          <w:rFonts w:cs="Arial"/>
          <w:sz w:val="22"/>
          <w:szCs w:val="22"/>
        </w:rPr>
      </w:pPr>
      <w:bookmarkStart w:id="30" w:name="_Toc202112544"/>
      <w:r w:rsidRPr="00644028">
        <w:rPr>
          <w:rFonts w:cs="Arial"/>
          <w:sz w:val="22"/>
          <w:szCs w:val="22"/>
        </w:rPr>
        <w:t>KEY OF ABBBREVIATION</w:t>
      </w:r>
      <w:bookmarkEnd w:id="30"/>
      <w:r w:rsidRPr="00644028">
        <w:rPr>
          <w:rFonts w:cs="Arial"/>
          <w:sz w:val="22"/>
          <w:szCs w:val="22"/>
        </w:rPr>
        <w:t>S</w:t>
      </w:r>
    </w:p>
    <w:p w14:paraId="47B6F3B9"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APR        </w:t>
      </w:r>
      <w:r w:rsidRPr="00644028">
        <w:rPr>
          <w:rFonts w:ascii="Arial" w:hAnsi="Arial" w:cs="Arial"/>
          <w:color w:val="000000"/>
        </w:rPr>
        <w:tab/>
        <w:t>Adjusted prevalence ratio</w:t>
      </w:r>
    </w:p>
    <w:p w14:paraId="50B0DA1F"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BCVA       </w:t>
      </w:r>
      <w:r w:rsidRPr="00644028">
        <w:rPr>
          <w:rFonts w:ascii="Arial" w:hAnsi="Arial" w:cs="Arial"/>
          <w:color w:val="000000"/>
        </w:rPr>
        <w:tab/>
        <w:t>Best corrected Visual Acuity</w:t>
      </w:r>
    </w:p>
    <w:p w14:paraId="2BACAFE7"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CI               </w:t>
      </w:r>
      <w:r w:rsidRPr="00644028">
        <w:rPr>
          <w:rFonts w:ascii="Arial" w:hAnsi="Arial" w:cs="Arial"/>
          <w:color w:val="000000"/>
        </w:rPr>
        <w:tab/>
        <w:t>Confidence interval</w:t>
      </w:r>
    </w:p>
    <w:p w14:paraId="1AE50630"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CPR            </w:t>
      </w:r>
      <w:r w:rsidRPr="00644028">
        <w:rPr>
          <w:rFonts w:ascii="Arial" w:hAnsi="Arial" w:cs="Arial"/>
          <w:color w:val="000000"/>
        </w:rPr>
        <w:tab/>
        <w:t>Crude prevalence ratio</w:t>
      </w:r>
    </w:p>
    <w:p w14:paraId="5F2B2E09"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EVS             </w:t>
      </w:r>
      <w:r w:rsidRPr="00644028">
        <w:rPr>
          <w:rFonts w:ascii="Arial" w:hAnsi="Arial" w:cs="Arial"/>
          <w:color w:val="000000"/>
        </w:rPr>
        <w:tab/>
        <w:t>Endophthalmitis Vitrectomy Study</w:t>
      </w:r>
    </w:p>
    <w:p w14:paraId="1691FDDE"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HIV                </w:t>
      </w:r>
      <w:r w:rsidRPr="00644028">
        <w:rPr>
          <w:rFonts w:ascii="Arial" w:hAnsi="Arial" w:cs="Arial"/>
          <w:color w:val="000000"/>
        </w:rPr>
        <w:tab/>
        <w:t>Human immunodeficiency Virus</w:t>
      </w:r>
    </w:p>
    <w:p w14:paraId="79C4E504"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IBS                 </w:t>
      </w:r>
      <w:r w:rsidRPr="00644028">
        <w:rPr>
          <w:rFonts w:ascii="Arial" w:hAnsi="Arial" w:cs="Arial"/>
          <w:color w:val="000000"/>
        </w:rPr>
        <w:tab/>
        <w:t xml:space="preserve">International research Boards </w:t>
      </w:r>
    </w:p>
    <w:p w14:paraId="1192D393"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IOFB              </w:t>
      </w:r>
      <w:r w:rsidRPr="00644028">
        <w:rPr>
          <w:rFonts w:ascii="Arial" w:hAnsi="Arial" w:cs="Arial"/>
          <w:color w:val="000000"/>
        </w:rPr>
        <w:tab/>
        <w:t>Intraocular foreign body</w:t>
      </w:r>
    </w:p>
    <w:p w14:paraId="48CB7177"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IOP                </w:t>
      </w:r>
      <w:r w:rsidRPr="00644028">
        <w:rPr>
          <w:rFonts w:ascii="Arial" w:hAnsi="Arial" w:cs="Arial"/>
          <w:color w:val="000000"/>
        </w:rPr>
        <w:tab/>
        <w:t>Intraocular pressure</w:t>
      </w:r>
    </w:p>
    <w:p w14:paraId="3FCCAB83"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KCMC           </w:t>
      </w:r>
      <w:r w:rsidRPr="00644028">
        <w:rPr>
          <w:rFonts w:ascii="Arial" w:hAnsi="Arial" w:cs="Arial"/>
          <w:color w:val="000000"/>
        </w:rPr>
        <w:tab/>
        <w:t>Kilimanjaro Christian Medical College</w:t>
      </w:r>
    </w:p>
    <w:p w14:paraId="29DC8CCB"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Log MAR       </w:t>
      </w:r>
      <w:r w:rsidRPr="00644028">
        <w:rPr>
          <w:rFonts w:ascii="Arial" w:hAnsi="Arial" w:cs="Arial"/>
          <w:color w:val="000000"/>
        </w:rPr>
        <w:tab/>
        <w:t xml:space="preserve">Logarithm of the Minimum Angle of Resolution </w:t>
      </w:r>
    </w:p>
    <w:p w14:paraId="0D12172C"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MK                 </w:t>
      </w:r>
      <w:r w:rsidRPr="00644028">
        <w:rPr>
          <w:rFonts w:ascii="Arial" w:hAnsi="Arial" w:cs="Arial"/>
          <w:color w:val="000000"/>
        </w:rPr>
        <w:tab/>
        <w:t>Microbial Keratitis</w:t>
      </w:r>
    </w:p>
    <w:p w14:paraId="0A0FBB25"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NPL              </w:t>
      </w:r>
      <w:r w:rsidRPr="00644028">
        <w:rPr>
          <w:rFonts w:ascii="Arial" w:hAnsi="Arial" w:cs="Arial"/>
          <w:color w:val="000000"/>
        </w:rPr>
        <w:tab/>
        <w:t>No perception of light</w:t>
      </w:r>
    </w:p>
    <w:p w14:paraId="188B2AD9"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OR                  </w:t>
      </w:r>
      <w:r w:rsidRPr="00644028">
        <w:rPr>
          <w:rFonts w:ascii="Arial" w:hAnsi="Arial" w:cs="Arial"/>
          <w:color w:val="000000"/>
        </w:rPr>
        <w:tab/>
        <w:t>Odds ratio</w:t>
      </w:r>
    </w:p>
    <w:p w14:paraId="2DF78759"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PITC               </w:t>
      </w:r>
      <w:r w:rsidRPr="00644028">
        <w:rPr>
          <w:rFonts w:ascii="Arial" w:hAnsi="Arial" w:cs="Arial"/>
          <w:color w:val="000000"/>
        </w:rPr>
        <w:tab/>
        <w:t>Provider Initiated Testing and counselling</w:t>
      </w:r>
    </w:p>
    <w:p w14:paraId="0C1023DF"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PL            </w:t>
      </w:r>
      <w:r w:rsidRPr="00644028">
        <w:rPr>
          <w:rFonts w:ascii="Arial" w:hAnsi="Arial" w:cs="Arial"/>
          <w:color w:val="000000"/>
        </w:rPr>
        <w:tab/>
        <w:t>Perception of Light</w:t>
      </w:r>
    </w:p>
    <w:p w14:paraId="623CE0E0"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POE             </w:t>
      </w:r>
      <w:r w:rsidRPr="00644028">
        <w:rPr>
          <w:rFonts w:ascii="Arial" w:hAnsi="Arial" w:cs="Arial"/>
          <w:color w:val="000000"/>
        </w:rPr>
        <w:tab/>
        <w:t>Post-Operative Endophthalmitis</w:t>
      </w:r>
    </w:p>
    <w:p w14:paraId="548BDA6C"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RAPD          </w:t>
      </w:r>
      <w:r w:rsidRPr="00644028">
        <w:rPr>
          <w:rFonts w:ascii="Arial" w:hAnsi="Arial" w:cs="Arial"/>
          <w:color w:val="000000"/>
        </w:rPr>
        <w:tab/>
        <w:t>Relative Afferent Pupillary Defect</w:t>
      </w:r>
    </w:p>
    <w:p w14:paraId="14475467" w14:textId="77777777" w:rsidR="00533CC6" w:rsidRPr="00644028" w:rsidRDefault="00533CC6" w:rsidP="00533CC6">
      <w:pPr>
        <w:spacing w:line="360" w:lineRule="auto"/>
        <w:contextualSpacing/>
        <w:jc w:val="both"/>
        <w:rPr>
          <w:rFonts w:ascii="Arial" w:hAnsi="Arial" w:cs="Arial"/>
        </w:rPr>
      </w:pPr>
      <w:r w:rsidRPr="00644028">
        <w:rPr>
          <w:rFonts w:ascii="Arial" w:hAnsi="Arial" w:cs="Arial"/>
          <w:color w:val="000000"/>
        </w:rPr>
        <w:t xml:space="preserve">SD              </w:t>
      </w:r>
      <w:r w:rsidRPr="00644028">
        <w:rPr>
          <w:rFonts w:ascii="Arial" w:hAnsi="Arial" w:cs="Arial"/>
          <w:color w:val="000000"/>
        </w:rPr>
        <w:tab/>
        <w:t>Standard Deviation</w:t>
      </w:r>
    </w:p>
    <w:p w14:paraId="0F7DADDE" w14:textId="77777777" w:rsidR="00533CC6" w:rsidRPr="00644028" w:rsidRDefault="00533CC6" w:rsidP="00533CC6">
      <w:pPr>
        <w:spacing w:line="360" w:lineRule="auto"/>
        <w:contextualSpacing/>
        <w:jc w:val="both"/>
        <w:rPr>
          <w:rFonts w:ascii="Arial" w:hAnsi="Arial" w:cs="Arial"/>
          <w:color w:val="000000"/>
        </w:rPr>
      </w:pPr>
      <w:r w:rsidRPr="00644028">
        <w:rPr>
          <w:rFonts w:ascii="Arial" w:hAnsi="Arial" w:cs="Arial"/>
          <w:color w:val="000000"/>
        </w:rPr>
        <w:t xml:space="preserve">VA               </w:t>
      </w:r>
      <w:r w:rsidRPr="00644028">
        <w:rPr>
          <w:rFonts w:ascii="Arial" w:hAnsi="Arial" w:cs="Arial"/>
          <w:color w:val="000000"/>
        </w:rPr>
        <w:tab/>
        <w:t>Visual Acuity</w:t>
      </w:r>
    </w:p>
    <w:p w14:paraId="2B5C8990" w14:textId="77777777" w:rsidR="00790ADA" w:rsidRPr="00644028" w:rsidRDefault="00790ADA" w:rsidP="00441B6F">
      <w:pPr>
        <w:pStyle w:val="ReferHead"/>
        <w:spacing w:after="0"/>
        <w:jc w:val="both"/>
        <w:rPr>
          <w:rFonts w:ascii="Arial" w:hAnsi="Arial" w:cs="Arial"/>
          <w:sz w:val="20"/>
        </w:rPr>
      </w:pPr>
    </w:p>
    <w:p w14:paraId="173A9001" w14:textId="77777777" w:rsidR="00B01FCD" w:rsidRPr="00644028" w:rsidRDefault="00B01FCD" w:rsidP="00441B6F">
      <w:pPr>
        <w:pStyle w:val="Appendix"/>
        <w:spacing w:after="0"/>
        <w:jc w:val="both"/>
        <w:rPr>
          <w:rFonts w:ascii="Arial" w:hAnsi="Arial" w:cs="Arial"/>
          <w:b w:val="0"/>
          <w:sz w:val="20"/>
        </w:rPr>
      </w:pPr>
    </w:p>
    <w:sectPr w:rsidR="00B01FCD" w:rsidRPr="00644028" w:rsidSect="00185C8E">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8AFF" w14:textId="77777777" w:rsidR="00A5030E" w:rsidRDefault="00A5030E" w:rsidP="00C37E61">
      <w:r>
        <w:separator/>
      </w:r>
    </w:p>
  </w:endnote>
  <w:endnote w:type="continuationSeparator" w:id="0">
    <w:p w14:paraId="75022E43" w14:textId="77777777" w:rsidR="00A5030E" w:rsidRDefault="00A503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919E" w14:textId="77777777" w:rsidR="00185C8E" w:rsidRDefault="00185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FC3" w14:textId="77777777" w:rsidR="00185C8E" w:rsidRDefault="00185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93FC" w14:textId="77777777" w:rsidR="00185C8E" w:rsidRDefault="00185C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34E9" w14:textId="589E7980" w:rsidR="00BD6E28" w:rsidRDefault="00BD6E28">
    <w:pPr>
      <w:pStyle w:val="Footer"/>
    </w:pPr>
  </w:p>
  <w:p w14:paraId="44514CE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716F" w14:textId="77777777" w:rsidR="00A5030E" w:rsidRDefault="00A5030E" w:rsidP="00C37E61">
      <w:r>
        <w:separator/>
      </w:r>
    </w:p>
  </w:footnote>
  <w:footnote w:type="continuationSeparator" w:id="0">
    <w:p w14:paraId="1A862CD6" w14:textId="77777777" w:rsidR="00A5030E" w:rsidRDefault="00A503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4585" w14:textId="6D4148DE" w:rsidR="00185C8E" w:rsidRDefault="00000000">
    <w:pPr>
      <w:pStyle w:val="Header"/>
    </w:pPr>
    <w:r>
      <w:rPr>
        <w:noProof/>
      </w:rPr>
      <w:pict w14:anchorId="1A168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6"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28C5" w14:textId="43BBB2A6" w:rsidR="00185C8E" w:rsidRDefault="00000000">
    <w:pPr>
      <w:pStyle w:val="Header"/>
    </w:pPr>
    <w:r>
      <w:rPr>
        <w:noProof/>
      </w:rPr>
      <w:pict w14:anchorId="63EE3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7"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8887" w14:textId="7D3CC236" w:rsidR="00296529" w:rsidRPr="00296529" w:rsidRDefault="00000000" w:rsidP="00296529">
    <w:pPr>
      <w:ind w:left="2160"/>
      <w:jc w:val="center"/>
      <w:rPr>
        <w:rFonts w:ascii="Times New Roman" w:eastAsia="Calibri" w:hAnsi="Times New Roman"/>
        <w:i/>
        <w:sz w:val="18"/>
        <w:szCs w:val="22"/>
      </w:rPr>
    </w:pPr>
    <w:r>
      <w:rPr>
        <w:noProof/>
      </w:rPr>
      <w:pict w14:anchorId="4BAB1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5"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767D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A77B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3A48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ECDC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D0DF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2C100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EF69" w14:textId="2A5DAA64" w:rsidR="00185C8E" w:rsidRDefault="00000000">
    <w:pPr>
      <w:pStyle w:val="Header"/>
    </w:pPr>
    <w:r>
      <w:rPr>
        <w:noProof/>
      </w:rPr>
      <w:pict w14:anchorId="11349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9"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DBA0" w14:textId="1708A265" w:rsidR="00185C8E" w:rsidRDefault="00000000">
    <w:pPr>
      <w:pStyle w:val="Header"/>
    </w:pPr>
    <w:r>
      <w:rPr>
        <w:noProof/>
      </w:rPr>
      <w:pict w14:anchorId="62BA1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20"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3C09" w14:textId="6DB2A723" w:rsidR="00185C8E" w:rsidRDefault="00000000">
    <w:pPr>
      <w:pStyle w:val="Header"/>
    </w:pPr>
    <w:r>
      <w:rPr>
        <w:noProof/>
      </w:rPr>
      <w:pict w14:anchorId="3BCE2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595518"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0C3EE9"/>
    <w:multiLevelType w:val="hybridMultilevel"/>
    <w:tmpl w:val="81947408"/>
    <w:lvl w:ilvl="0" w:tplc="DA184722">
      <w:start w:val="1"/>
      <w:numFmt w:val="bullet"/>
      <w:lvlText w:val="•"/>
      <w:lvlJc w:val="left"/>
      <w:pPr>
        <w:ind w:left="720" w:hanging="360"/>
      </w:pPr>
      <w:rPr>
        <w:rFonts w:ascii="Arial" w:hAnsi="Arial"/>
        <w:color w:val="252525"/>
        <w:sz w:val="42"/>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21298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2704420">
    <w:abstractNumId w:val="15"/>
  </w:num>
  <w:num w:numId="3" w16cid:durableId="1503736129">
    <w:abstractNumId w:val="24"/>
  </w:num>
  <w:num w:numId="4" w16cid:durableId="18888816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89771550">
    <w:abstractNumId w:val="7"/>
  </w:num>
  <w:num w:numId="6" w16cid:durableId="686907762">
    <w:abstractNumId w:val="6"/>
  </w:num>
  <w:num w:numId="7" w16cid:durableId="1146892062">
    <w:abstractNumId w:val="1"/>
  </w:num>
  <w:num w:numId="8" w16cid:durableId="158466118">
    <w:abstractNumId w:val="12"/>
  </w:num>
  <w:num w:numId="9" w16cid:durableId="2109152877">
    <w:abstractNumId w:val="26"/>
  </w:num>
  <w:num w:numId="10" w16cid:durableId="1638953945">
    <w:abstractNumId w:val="2"/>
  </w:num>
  <w:num w:numId="11" w16cid:durableId="1290278514">
    <w:abstractNumId w:val="18"/>
  </w:num>
  <w:num w:numId="12" w16cid:durableId="2135753785">
    <w:abstractNumId w:val="3"/>
  </w:num>
  <w:num w:numId="13" w16cid:durableId="140732927">
    <w:abstractNumId w:val="17"/>
  </w:num>
  <w:num w:numId="14" w16cid:durableId="2102675206">
    <w:abstractNumId w:val="8"/>
  </w:num>
  <w:num w:numId="15" w16cid:durableId="1657537373">
    <w:abstractNumId w:val="21"/>
  </w:num>
  <w:num w:numId="16" w16cid:durableId="798260306">
    <w:abstractNumId w:val="5"/>
  </w:num>
  <w:num w:numId="17" w16cid:durableId="2026784344">
    <w:abstractNumId w:val="23"/>
  </w:num>
  <w:num w:numId="18" w16cid:durableId="1171986718">
    <w:abstractNumId w:val="14"/>
  </w:num>
  <w:num w:numId="19" w16cid:durableId="1052341786">
    <w:abstractNumId w:val="29"/>
  </w:num>
  <w:num w:numId="20" w16cid:durableId="1999921543">
    <w:abstractNumId w:val="11"/>
  </w:num>
  <w:num w:numId="21" w16cid:durableId="706031984">
    <w:abstractNumId w:val="9"/>
  </w:num>
  <w:num w:numId="22" w16cid:durableId="482770418">
    <w:abstractNumId w:val="13"/>
  </w:num>
  <w:num w:numId="23" w16cid:durableId="1385058653">
    <w:abstractNumId w:val="19"/>
  </w:num>
  <w:num w:numId="24" w16cid:durableId="2006325174">
    <w:abstractNumId w:val="27"/>
  </w:num>
  <w:num w:numId="25" w16cid:durableId="1666854684">
    <w:abstractNumId w:val="4"/>
  </w:num>
  <w:num w:numId="26" w16cid:durableId="1284969105">
    <w:abstractNumId w:val="16"/>
  </w:num>
  <w:num w:numId="27" w16cid:durableId="1027635029">
    <w:abstractNumId w:val="20"/>
  </w:num>
  <w:num w:numId="28" w16cid:durableId="2143690355">
    <w:abstractNumId w:val="28"/>
  </w:num>
  <w:num w:numId="29" w16cid:durableId="433482771">
    <w:abstractNumId w:val="25"/>
  </w:num>
  <w:num w:numId="30" w16cid:durableId="1552379829">
    <w:abstractNumId w:val="10"/>
  </w:num>
  <w:num w:numId="31" w16cid:durableId="10052855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A0A"/>
    <w:rsid w:val="00025679"/>
    <w:rsid w:val="00025F6C"/>
    <w:rsid w:val="00030174"/>
    <w:rsid w:val="0004579C"/>
    <w:rsid w:val="000A47FA"/>
    <w:rsid w:val="000A65D3"/>
    <w:rsid w:val="000B1E33"/>
    <w:rsid w:val="000D689F"/>
    <w:rsid w:val="000E7B7B"/>
    <w:rsid w:val="000E7D62"/>
    <w:rsid w:val="00103357"/>
    <w:rsid w:val="00120AC5"/>
    <w:rsid w:val="00123C9F"/>
    <w:rsid w:val="00126190"/>
    <w:rsid w:val="00130F17"/>
    <w:rsid w:val="001320BF"/>
    <w:rsid w:val="001508B5"/>
    <w:rsid w:val="00163BC4"/>
    <w:rsid w:val="00185C8E"/>
    <w:rsid w:val="00191062"/>
    <w:rsid w:val="00192B72"/>
    <w:rsid w:val="001A29D8"/>
    <w:rsid w:val="001A5CAA"/>
    <w:rsid w:val="001B0427"/>
    <w:rsid w:val="001D0148"/>
    <w:rsid w:val="001D3A51"/>
    <w:rsid w:val="001E10D2"/>
    <w:rsid w:val="001E25B4"/>
    <w:rsid w:val="001E44FE"/>
    <w:rsid w:val="00200595"/>
    <w:rsid w:val="00204835"/>
    <w:rsid w:val="00231920"/>
    <w:rsid w:val="0023195C"/>
    <w:rsid w:val="00235863"/>
    <w:rsid w:val="0024282C"/>
    <w:rsid w:val="002460DC"/>
    <w:rsid w:val="00250985"/>
    <w:rsid w:val="002556F6"/>
    <w:rsid w:val="00283105"/>
    <w:rsid w:val="00284C4C"/>
    <w:rsid w:val="00287E68"/>
    <w:rsid w:val="00296529"/>
    <w:rsid w:val="002A0532"/>
    <w:rsid w:val="002B27FB"/>
    <w:rsid w:val="002B685A"/>
    <w:rsid w:val="002C52C8"/>
    <w:rsid w:val="002C57D2"/>
    <w:rsid w:val="002E0D56"/>
    <w:rsid w:val="00315186"/>
    <w:rsid w:val="0033343E"/>
    <w:rsid w:val="003510F4"/>
    <w:rsid w:val="003512C2"/>
    <w:rsid w:val="00371FB6"/>
    <w:rsid w:val="003763C1"/>
    <w:rsid w:val="00376BBE"/>
    <w:rsid w:val="0039009E"/>
    <w:rsid w:val="0039224F"/>
    <w:rsid w:val="003A43A4"/>
    <w:rsid w:val="003A7E18"/>
    <w:rsid w:val="003C4C86"/>
    <w:rsid w:val="003C6258"/>
    <w:rsid w:val="003D0CD8"/>
    <w:rsid w:val="003E2904"/>
    <w:rsid w:val="003F07F5"/>
    <w:rsid w:val="003F2A50"/>
    <w:rsid w:val="003F5054"/>
    <w:rsid w:val="00401927"/>
    <w:rsid w:val="004042C8"/>
    <w:rsid w:val="0041027F"/>
    <w:rsid w:val="00412475"/>
    <w:rsid w:val="00423789"/>
    <w:rsid w:val="00440335"/>
    <w:rsid w:val="00440F43"/>
    <w:rsid w:val="00441B6F"/>
    <w:rsid w:val="00446221"/>
    <w:rsid w:val="00450E62"/>
    <w:rsid w:val="004539DB"/>
    <w:rsid w:val="00471A80"/>
    <w:rsid w:val="00473333"/>
    <w:rsid w:val="004861B0"/>
    <w:rsid w:val="00487B10"/>
    <w:rsid w:val="00494825"/>
    <w:rsid w:val="004C5244"/>
    <w:rsid w:val="004D305E"/>
    <w:rsid w:val="004D4277"/>
    <w:rsid w:val="004E1965"/>
    <w:rsid w:val="00502516"/>
    <w:rsid w:val="00505F06"/>
    <w:rsid w:val="00506828"/>
    <w:rsid w:val="0053056E"/>
    <w:rsid w:val="00533CC6"/>
    <w:rsid w:val="00544894"/>
    <w:rsid w:val="00554FDA"/>
    <w:rsid w:val="005723DA"/>
    <w:rsid w:val="005747F5"/>
    <w:rsid w:val="00575C3F"/>
    <w:rsid w:val="005C335D"/>
    <w:rsid w:val="005C3626"/>
    <w:rsid w:val="005C784C"/>
    <w:rsid w:val="005D17F6"/>
    <w:rsid w:val="005D5AD8"/>
    <w:rsid w:val="005E5539"/>
    <w:rsid w:val="00602BF5"/>
    <w:rsid w:val="00617FDD"/>
    <w:rsid w:val="00633614"/>
    <w:rsid w:val="00633F68"/>
    <w:rsid w:val="00636EB2"/>
    <w:rsid w:val="006375B8"/>
    <w:rsid w:val="00644028"/>
    <w:rsid w:val="0066510A"/>
    <w:rsid w:val="00673F9F"/>
    <w:rsid w:val="006756B9"/>
    <w:rsid w:val="006761F6"/>
    <w:rsid w:val="006858ED"/>
    <w:rsid w:val="00686953"/>
    <w:rsid w:val="00687DEA"/>
    <w:rsid w:val="00687E67"/>
    <w:rsid w:val="006967F7"/>
    <w:rsid w:val="006A24F0"/>
    <w:rsid w:val="006A250C"/>
    <w:rsid w:val="006B21D3"/>
    <w:rsid w:val="006B57D0"/>
    <w:rsid w:val="006C0F2B"/>
    <w:rsid w:val="006D30FF"/>
    <w:rsid w:val="006D6940"/>
    <w:rsid w:val="006F11EC"/>
    <w:rsid w:val="006F1CFC"/>
    <w:rsid w:val="0070082C"/>
    <w:rsid w:val="0070500D"/>
    <w:rsid w:val="00723168"/>
    <w:rsid w:val="007369E6"/>
    <w:rsid w:val="00746E59"/>
    <w:rsid w:val="00754C9A"/>
    <w:rsid w:val="0075599A"/>
    <w:rsid w:val="00761D52"/>
    <w:rsid w:val="0077749E"/>
    <w:rsid w:val="00790ADA"/>
    <w:rsid w:val="007D2288"/>
    <w:rsid w:val="007E088F"/>
    <w:rsid w:val="007E4CD2"/>
    <w:rsid w:val="007E5FBC"/>
    <w:rsid w:val="007F331A"/>
    <w:rsid w:val="007F7B32"/>
    <w:rsid w:val="00804BC2"/>
    <w:rsid w:val="0081431A"/>
    <w:rsid w:val="00827C17"/>
    <w:rsid w:val="0083216F"/>
    <w:rsid w:val="00834EAE"/>
    <w:rsid w:val="00860000"/>
    <w:rsid w:val="0086202B"/>
    <w:rsid w:val="00863BD3"/>
    <w:rsid w:val="008641ED"/>
    <w:rsid w:val="00866D66"/>
    <w:rsid w:val="008671C6"/>
    <w:rsid w:val="00875803"/>
    <w:rsid w:val="00881036"/>
    <w:rsid w:val="008A5BEC"/>
    <w:rsid w:val="008B459E"/>
    <w:rsid w:val="008E13AE"/>
    <w:rsid w:val="008E1506"/>
    <w:rsid w:val="008E710C"/>
    <w:rsid w:val="008F69D6"/>
    <w:rsid w:val="00902823"/>
    <w:rsid w:val="00915CA6"/>
    <w:rsid w:val="00927834"/>
    <w:rsid w:val="0094366E"/>
    <w:rsid w:val="0094711A"/>
    <w:rsid w:val="009500A6"/>
    <w:rsid w:val="00957C18"/>
    <w:rsid w:val="00963910"/>
    <w:rsid w:val="009659BA"/>
    <w:rsid w:val="00983040"/>
    <w:rsid w:val="009926DA"/>
    <w:rsid w:val="009A2001"/>
    <w:rsid w:val="009B3FB9"/>
    <w:rsid w:val="009C2465"/>
    <w:rsid w:val="009D1B6B"/>
    <w:rsid w:val="009D35A0"/>
    <w:rsid w:val="009D7EB7"/>
    <w:rsid w:val="009E048A"/>
    <w:rsid w:val="009E08E9"/>
    <w:rsid w:val="009E3DB9"/>
    <w:rsid w:val="009E6E35"/>
    <w:rsid w:val="009F0EDA"/>
    <w:rsid w:val="00A03B96"/>
    <w:rsid w:val="00A05B19"/>
    <w:rsid w:val="00A1134E"/>
    <w:rsid w:val="00A24E7E"/>
    <w:rsid w:val="00A258C3"/>
    <w:rsid w:val="00A347C0"/>
    <w:rsid w:val="00A5030E"/>
    <w:rsid w:val="00A51431"/>
    <w:rsid w:val="00A539AD"/>
    <w:rsid w:val="00A720AE"/>
    <w:rsid w:val="00A7469E"/>
    <w:rsid w:val="00A94063"/>
    <w:rsid w:val="00AA192C"/>
    <w:rsid w:val="00AA6219"/>
    <w:rsid w:val="00AA74E0"/>
    <w:rsid w:val="00AB703F"/>
    <w:rsid w:val="00AC6BB8"/>
    <w:rsid w:val="00AE008F"/>
    <w:rsid w:val="00B01FCD"/>
    <w:rsid w:val="00B1776C"/>
    <w:rsid w:val="00B177AD"/>
    <w:rsid w:val="00B204B7"/>
    <w:rsid w:val="00B41759"/>
    <w:rsid w:val="00B43252"/>
    <w:rsid w:val="00B52583"/>
    <w:rsid w:val="00B52896"/>
    <w:rsid w:val="00B95236"/>
    <w:rsid w:val="00B96BD9"/>
    <w:rsid w:val="00BA1B01"/>
    <w:rsid w:val="00BA2641"/>
    <w:rsid w:val="00BB37AA"/>
    <w:rsid w:val="00BC53A0"/>
    <w:rsid w:val="00BD454A"/>
    <w:rsid w:val="00BD6E28"/>
    <w:rsid w:val="00BE62AD"/>
    <w:rsid w:val="00BF0BB8"/>
    <w:rsid w:val="00BF121F"/>
    <w:rsid w:val="00BF1F80"/>
    <w:rsid w:val="00BF554B"/>
    <w:rsid w:val="00C02503"/>
    <w:rsid w:val="00C166EF"/>
    <w:rsid w:val="00C17EB0"/>
    <w:rsid w:val="00C27F5F"/>
    <w:rsid w:val="00C30A0F"/>
    <w:rsid w:val="00C34152"/>
    <w:rsid w:val="00C37E61"/>
    <w:rsid w:val="00C70F1B"/>
    <w:rsid w:val="00C71A47"/>
    <w:rsid w:val="00C745DA"/>
    <w:rsid w:val="00C7464C"/>
    <w:rsid w:val="00C8353D"/>
    <w:rsid w:val="00C85588"/>
    <w:rsid w:val="00CA6DE0"/>
    <w:rsid w:val="00CB5484"/>
    <w:rsid w:val="00CC7C14"/>
    <w:rsid w:val="00CD6755"/>
    <w:rsid w:val="00CD6856"/>
    <w:rsid w:val="00CE0089"/>
    <w:rsid w:val="00CE793C"/>
    <w:rsid w:val="00CF193C"/>
    <w:rsid w:val="00D169A3"/>
    <w:rsid w:val="00D173F1"/>
    <w:rsid w:val="00D65B9B"/>
    <w:rsid w:val="00D74CB0"/>
    <w:rsid w:val="00D8295D"/>
    <w:rsid w:val="00DC2A65"/>
    <w:rsid w:val="00DE15F0"/>
    <w:rsid w:val="00DE5663"/>
    <w:rsid w:val="00DE78AA"/>
    <w:rsid w:val="00E053D0"/>
    <w:rsid w:val="00E15994"/>
    <w:rsid w:val="00E213B1"/>
    <w:rsid w:val="00E3114E"/>
    <w:rsid w:val="00E31A70"/>
    <w:rsid w:val="00E35B02"/>
    <w:rsid w:val="00E536A4"/>
    <w:rsid w:val="00E53F89"/>
    <w:rsid w:val="00E66496"/>
    <w:rsid w:val="00E66B35"/>
    <w:rsid w:val="00E66E10"/>
    <w:rsid w:val="00E769F6"/>
    <w:rsid w:val="00E8407C"/>
    <w:rsid w:val="00E84F3C"/>
    <w:rsid w:val="00E91661"/>
    <w:rsid w:val="00EA012C"/>
    <w:rsid w:val="00EC6A55"/>
    <w:rsid w:val="00ED0288"/>
    <w:rsid w:val="00EE37CB"/>
    <w:rsid w:val="00EE5111"/>
    <w:rsid w:val="00EE52CB"/>
    <w:rsid w:val="00EF581D"/>
    <w:rsid w:val="00EF7FD8"/>
    <w:rsid w:val="00F06F59"/>
    <w:rsid w:val="00F17988"/>
    <w:rsid w:val="00F469F0"/>
    <w:rsid w:val="00F53273"/>
    <w:rsid w:val="00F60629"/>
    <w:rsid w:val="00F755E4"/>
    <w:rsid w:val="00F77D02"/>
    <w:rsid w:val="00F84188"/>
    <w:rsid w:val="00FB3A86"/>
    <w:rsid w:val="00FC16A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8449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53F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F50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FirstParagraph">
    <w:name w:val="First Paragraph"/>
    <w:basedOn w:val="BodyText"/>
    <w:next w:val="BodyText"/>
    <w:qFormat/>
    <w:rsid w:val="006F1CFC"/>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6F1CFC"/>
    <w:pPr>
      <w:spacing w:after="120"/>
    </w:pPr>
  </w:style>
  <w:style w:type="character" w:customStyle="1" w:styleId="BodyTextChar">
    <w:name w:val="Body Text Char"/>
    <w:basedOn w:val="DefaultParagraphFont"/>
    <w:link w:val="BodyText"/>
    <w:rsid w:val="006F1CFC"/>
    <w:rPr>
      <w:rFonts w:ascii="Helvetica" w:hAnsi="Helvetica"/>
    </w:rPr>
  </w:style>
  <w:style w:type="character" w:customStyle="1" w:styleId="FooterChar">
    <w:name w:val="Footer Char"/>
    <w:basedOn w:val="DefaultParagraphFont"/>
    <w:link w:val="Footer"/>
    <w:uiPriority w:val="99"/>
    <w:rsid w:val="00BD6E28"/>
    <w:rPr>
      <w:rFonts w:ascii="Helvetica" w:hAnsi="Helvetica"/>
    </w:rPr>
  </w:style>
  <w:style w:type="paragraph" w:customStyle="1" w:styleId="Compact">
    <w:name w:val="Compact"/>
    <w:basedOn w:val="BodyText"/>
    <w:qFormat/>
    <w:rsid w:val="007E5FBC"/>
    <w:pPr>
      <w:spacing w:before="36" w:after="36"/>
    </w:pPr>
    <w:rPr>
      <w:rFonts w:asciiTheme="minorHAnsi" w:eastAsiaTheme="minorHAnsi" w:hAnsiTheme="minorHAnsi" w:cstheme="minorBidi"/>
      <w:sz w:val="24"/>
      <w:szCs w:val="24"/>
    </w:rPr>
  </w:style>
  <w:style w:type="character" w:customStyle="1" w:styleId="Heading3Char">
    <w:name w:val="Heading 3 Char"/>
    <w:basedOn w:val="DefaultParagraphFont"/>
    <w:link w:val="Heading3"/>
    <w:semiHidden/>
    <w:rsid w:val="003F5054"/>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025F6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25F6C"/>
    <w:rPr>
      <w:rFonts w:asciiTheme="minorHAnsi" w:eastAsiaTheme="minorHAnsi" w:hAnsiTheme="minorHAnsi"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94711A"/>
    <w:pPr>
      <w:ind w:left="720"/>
      <w:contextualSpacing/>
    </w:pPr>
  </w:style>
  <w:style w:type="character" w:customStyle="1" w:styleId="Heading2Char">
    <w:name w:val="Heading 2 Char"/>
    <w:basedOn w:val="DefaultParagraphFont"/>
    <w:link w:val="Heading2"/>
    <w:semiHidden/>
    <w:rsid w:val="00E53F8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doi.org/10.1186/s12348-019-0174-y" TargetMode="External"/><Relationship Id="rId39" Type="http://schemas.openxmlformats.org/officeDocument/2006/relationships/hyperlink" Target="https://doi.org/10.9734/or/2019/v10i430115" TargetMode="External"/><Relationship Id="rId21" Type="http://schemas.openxmlformats.org/officeDocument/2006/relationships/hyperlink" Target="https://doi.org/10.1186/s12886-015-0108-x" TargetMode="External"/><Relationship Id="rId34" Type="http://schemas.openxmlformats.org/officeDocument/2006/relationships/hyperlink" Target="https://doi.org/10.3390/ijerph16122188"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apn.lwwhealthlibrary.com/book.aspx?bookid=1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981-10-5260-6" TargetMode="External"/><Relationship Id="rId32" Type="http://schemas.openxmlformats.org/officeDocument/2006/relationships/hyperlink" Target="https://doi.org/10.3390/jcm11113145" TargetMode="External"/><Relationship Id="rId37" Type="http://schemas.openxmlformats.org/officeDocument/2006/relationships/hyperlink" Target="https://doi.org/10.3341/kjo.2017.0036"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researchgate.net/publication/313385759_Postcataract_surgery_endophthalmitis_in_a_Ghanaian_population_incidence_risk_factors_and_visual_outcome_after_treatment" TargetMode="External"/><Relationship Id="rId28" Type="http://schemas.openxmlformats.org/officeDocument/2006/relationships/hyperlink" Target="https://doi.org/10.1007/s00417-014-2658-7" TargetMode="External"/><Relationship Id="rId36" Type="http://schemas.openxmlformats.org/officeDocument/2006/relationships/hyperlink" Target="https://eyewiki.aao.org/Enucleation" TargetMode="Externa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s://doi.org/10.1038/srep2810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org/10.1080/01676830.2022.2097699" TargetMode="External"/><Relationship Id="rId27" Type="http://schemas.openxmlformats.org/officeDocument/2006/relationships/hyperlink" Target="https://doi.org/10.1128/CMR.00113-16" TargetMode="External"/><Relationship Id="rId30" Type="http://schemas.openxmlformats.org/officeDocument/2006/relationships/hyperlink" Target="https://store.aao.org/2021-2022-basic-and-clinical-science-course-section-07-oculofacial-plastic-and-orbital-surgery.html" TargetMode="External"/><Relationship Id="rId35" Type="http://schemas.openxmlformats.org/officeDocument/2006/relationships/hyperlink" Target="https://eyewiki.aao.org/Enucleation"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doi.org/10.1186/s12348-019-0174-y" TargetMode="External"/><Relationship Id="rId33" Type="http://schemas.openxmlformats.org/officeDocument/2006/relationships/hyperlink" Target="https://doi.org/10.1016/j.jcrs.2012.09.004" TargetMode="External"/><Relationship Id="rId38" Type="http://schemas.openxmlformats.org/officeDocument/2006/relationships/hyperlink" Target="https://doi.org/10.1016/j.jcrs.2007.07.047" TargetMode="External"/><Relationship Id="rId20" Type="http://schemas.openxmlformats.org/officeDocument/2006/relationships/chart" Target="charts/chart2.xm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C65-48AC-8E07-00A963064AA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C65-48AC-8E07-00A963064AA3}"/>
              </c:ext>
            </c:extLst>
          </c:dPt>
          <c:dPt>
            <c:idx val="2"/>
            <c:bubble3D val="0"/>
            <c:spPr>
              <a:solidFill>
                <a:srgbClr val="FFFF00"/>
              </a:solidFill>
              <a:ln>
                <a:noFill/>
              </a:ln>
              <a:effectLst/>
            </c:spPr>
            <c:extLst>
              <c:ext xmlns:c16="http://schemas.microsoft.com/office/drawing/2014/chart" uri="{C3380CC4-5D6E-409C-BE32-E72D297353CC}">
                <c16:uniqueId val="{00000005-FC65-48AC-8E07-00A963064AA3}"/>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Sheet2!$B$3:$B$5</c:f>
              <c:strCache>
                <c:ptCount val="3"/>
                <c:pt idx="0">
                  <c:v>Cornea ulcer related</c:v>
                </c:pt>
                <c:pt idx="1">
                  <c:v>Post trauma</c:v>
                </c:pt>
                <c:pt idx="2">
                  <c:v>Post surgical</c:v>
                </c:pt>
              </c:strCache>
            </c:strRef>
          </c:cat>
          <c:val>
            <c:numRef>
              <c:f>Sheet2!$C$3:$C$5</c:f>
              <c:numCache>
                <c:formatCode>0.0%</c:formatCode>
                <c:ptCount val="3"/>
                <c:pt idx="0">
                  <c:v>0.502</c:v>
                </c:pt>
                <c:pt idx="1">
                  <c:v>0.29399999999999998</c:v>
                </c:pt>
                <c:pt idx="2">
                  <c:v>0.20399999999999999</c:v>
                </c:pt>
              </c:numCache>
            </c:numRef>
          </c:val>
          <c:extLst>
            <c:ext xmlns:c16="http://schemas.microsoft.com/office/drawing/2014/chart" uri="{C3380CC4-5D6E-409C-BE32-E72D297353CC}">
              <c16:uniqueId val="{00000006-FC65-48AC-8E07-00A963064AA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Sheet2!$B$40</c:f>
              <c:strCache>
                <c:ptCount val="1"/>
                <c:pt idx="0">
                  <c:v>Presenting mean VA  for preserved eye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0800" dist="38100" dir="16200000"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Sheet2!$C$39:$E$39</c:f>
              <c:strCache>
                <c:ptCount val="3"/>
                <c:pt idx="0">
                  <c:v>Cornea ulcer related</c:v>
                </c:pt>
                <c:pt idx="1">
                  <c:v>Post trauma</c:v>
                </c:pt>
                <c:pt idx="2">
                  <c:v>Post surgical</c:v>
                </c:pt>
              </c:strCache>
            </c:strRef>
          </c:cat>
          <c:val>
            <c:numRef>
              <c:f>Sheet2!$C$40:$E$40</c:f>
              <c:numCache>
                <c:formatCode>General</c:formatCode>
                <c:ptCount val="3"/>
                <c:pt idx="0">
                  <c:v>3.42</c:v>
                </c:pt>
                <c:pt idx="1">
                  <c:v>4.01</c:v>
                </c:pt>
                <c:pt idx="2">
                  <c:v>2.88</c:v>
                </c:pt>
              </c:numCache>
            </c:numRef>
          </c:val>
          <c:extLst>
            <c:ext xmlns:c16="http://schemas.microsoft.com/office/drawing/2014/chart" uri="{C3380CC4-5D6E-409C-BE32-E72D297353CC}">
              <c16:uniqueId val="{00000000-C461-4D11-9FF0-8716AEE9FD2A}"/>
            </c:ext>
          </c:extLst>
        </c:ser>
        <c:ser>
          <c:idx val="1"/>
          <c:order val="1"/>
          <c:tx>
            <c:strRef>
              <c:f>Sheet2!$B$41</c:f>
              <c:strCache>
                <c:ptCount val="1"/>
                <c:pt idx="0">
                  <c:v>Final mean VA  for preserved eye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0800" dist="38100" dir="16200000"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Sheet2!$C$39:$E$39</c:f>
              <c:strCache>
                <c:ptCount val="3"/>
                <c:pt idx="0">
                  <c:v>Cornea ulcer related</c:v>
                </c:pt>
                <c:pt idx="1">
                  <c:v>Post trauma</c:v>
                </c:pt>
                <c:pt idx="2">
                  <c:v>Post surgical</c:v>
                </c:pt>
              </c:strCache>
            </c:strRef>
          </c:cat>
          <c:val>
            <c:numRef>
              <c:f>Sheet2!$C$41:$E$41</c:f>
              <c:numCache>
                <c:formatCode>General</c:formatCode>
                <c:ptCount val="3"/>
                <c:pt idx="0">
                  <c:v>3.24</c:v>
                </c:pt>
                <c:pt idx="1">
                  <c:v>3.92</c:v>
                </c:pt>
                <c:pt idx="2">
                  <c:v>2.73</c:v>
                </c:pt>
              </c:numCache>
            </c:numRef>
          </c:val>
          <c:extLst>
            <c:ext xmlns:c16="http://schemas.microsoft.com/office/drawing/2014/chart" uri="{C3380CC4-5D6E-409C-BE32-E72D297353CC}">
              <c16:uniqueId val="{00000001-C461-4D11-9FF0-8716AEE9FD2A}"/>
            </c:ext>
          </c:extLst>
        </c:ser>
        <c:ser>
          <c:idx val="2"/>
          <c:order val="2"/>
          <c:tx>
            <c:strRef>
              <c:f>Sheet2!$B$42</c:f>
              <c:strCache>
                <c:ptCount val="1"/>
                <c:pt idx="0">
                  <c:v>Presenting mean VA  for Eviserated eye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0800" dist="38100" dir="16200000"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Sheet2!$C$39:$E$39</c:f>
              <c:strCache>
                <c:ptCount val="3"/>
                <c:pt idx="0">
                  <c:v>Cornea ulcer related</c:v>
                </c:pt>
                <c:pt idx="1">
                  <c:v>Post trauma</c:v>
                </c:pt>
                <c:pt idx="2">
                  <c:v>Post surgical</c:v>
                </c:pt>
              </c:strCache>
            </c:strRef>
          </c:cat>
          <c:val>
            <c:numRef>
              <c:f>Sheet2!$C$42:$E$42</c:f>
              <c:numCache>
                <c:formatCode>General</c:formatCode>
                <c:ptCount val="3"/>
                <c:pt idx="0">
                  <c:v>4.59</c:v>
                </c:pt>
                <c:pt idx="1">
                  <c:v>5</c:v>
                </c:pt>
              </c:numCache>
            </c:numRef>
          </c:val>
          <c:extLst>
            <c:ext xmlns:c16="http://schemas.microsoft.com/office/drawing/2014/chart" uri="{C3380CC4-5D6E-409C-BE32-E72D297353CC}">
              <c16:uniqueId val="{00000002-C461-4D11-9FF0-8716AEE9FD2A}"/>
            </c:ext>
          </c:extLst>
        </c:ser>
        <c:dLbls>
          <c:dLblPos val="outEnd"/>
          <c:showLegendKey val="0"/>
          <c:showVal val="1"/>
          <c:showCatName val="0"/>
          <c:showSerName val="0"/>
          <c:showPercent val="0"/>
          <c:showBubbleSize val="0"/>
        </c:dLbls>
        <c:gapWidth val="100"/>
        <c:overlap val="-24"/>
        <c:axId val="254697472"/>
        <c:axId val="254699392"/>
      </c:barChart>
      <c:catAx>
        <c:axId val="2546974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sz="1000" b="1" i="0" u="none" strike="noStrike" kern="1200" baseline="0">
                    <a:solidFill>
                      <a:sysClr val="windowText" lastClr="000000"/>
                    </a:solidFill>
                    <a:latin typeface="Arial" panose="020B0604020202020204" pitchFamily="34" charset="0"/>
                    <a:cs typeface="Arial" panose="020B0604020202020204" pitchFamily="34" charset="0"/>
                  </a:rPr>
                  <a:t>Causes of </a:t>
                </a:r>
                <a:r>
                  <a:rPr lang="en-US" sz="1000" b="1" i="0" u="none" strike="noStrike" kern="1200" baseline="0">
                    <a:solidFill>
                      <a:sysClr val="windowText" lastClr="000000"/>
                    </a:solidFill>
                    <a:effectLst/>
                    <a:latin typeface="Arial" panose="020B0604020202020204" pitchFamily="34" charset="0"/>
                    <a:cs typeface="Arial" panose="020B0604020202020204" pitchFamily="34" charset="0"/>
                  </a:rPr>
                  <a:t>Endophthalmitis</a:t>
                </a:r>
                <a:r>
                  <a:rPr lang="en-US" sz="1000" b="1" i="0" u="none" strike="noStrike" kern="1200" baseline="0">
                    <a:solidFill>
                      <a:srgbClr val="44546A"/>
                    </a:solidFill>
                    <a:latin typeface="Arial" panose="020B0604020202020204" pitchFamily="34" charset="0"/>
                    <a:cs typeface="Arial" panose="020B0604020202020204" pitchFamily="34" charset="0"/>
                  </a:rPr>
                  <a: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4699392"/>
        <c:crosses val="autoZero"/>
        <c:auto val="1"/>
        <c:lblAlgn val="ctr"/>
        <c:lblOffset val="100"/>
        <c:noMultiLvlLbl val="0"/>
      </c:catAx>
      <c:valAx>
        <c:axId val="25469939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n-US" sz="1000" b="1" i="0" u="none" strike="noStrike" kern="1200" baseline="0">
                    <a:solidFill>
                      <a:sysClr val="windowText" lastClr="000000"/>
                    </a:solidFill>
                    <a:latin typeface="Arial" panose="020B0604020202020204" pitchFamily="34" charset="0"/>
                    <a:cs typeface="Arial" panose="020B0604020202020204" pitchFamily="34" charset="0"/>
                  </a:rPr>
                  <a:t>VA in LOGMAR</a:t>
                </a:r>
              </a:p>
            </c:rich>
          </c:tx>
          <c:layout>
            <c:manualLayout>
              <c:xMode val="edge"/>
              <c:yMode val="edge"/>
              <c:x val="1.1655009515810525E-2"/>
              <c:y val="0.2250754395931985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en-US"/>
          </a:p>
        </c:txPr>
        <c:crossAx val="254697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5A0DA9-B252-40C8-98E4-C8D6C68C018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x-none"/>
        </a:p>
      </dgm:t>
    </dgm:pt>
    <dgm:pt modelId="{1353C553-3521-4F5B-885C-FAB0896194FF}">
      <dgm:prSet phldrT="[Text]" custT="1"/>
      <dgm:spPr>
        <a:xfrm>
          <a:off x="1415255" y="1873"/>
          <a:ext cx="3289919"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patients admitted at kcmc eye department from January 2020 to December 2024 = 15171</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307489A-5EB8-4829-BB0C-F9878C53C91B}" type="parTrans" cxnId="{1F845CF2-4931-44AC-B65E-84C94954374F}">
      <dgm:prSet/>
      <dgm:spPr/>
      <dgm:t>
        <a:bodyPr/>
        <a:lstStyle/>
        <a:p>
          <a:endParaRPr lang="x-none"/>
        </a:p>
      </dgm:t>
    </dgm:pt>
    <dgm:pt modelId="{98EE5433-0989-496F-AB98-E838FC5D6E54}" type="sibTrans" cxnId="{1F845CF2-4931-44AC-B65E-84C94954374F}">
      <dgm:prSet/>
      <dgm:spPr/>
      <dgm:t>
        <a:bodyPr/>
        <a:lstStyle/>
        <a:p>
          <a:endParaRPr lang="x-none"/>
        </a:p>
      </dgm:t>
    </dgm:pt>
    <dgm:pt modelId="{035DB983-0C3D-45F5-A42A-801302DB572B}">
      <dgm:prSet phldrT="[Text]" custT="1"/>
      <dgm:spPr>
        <a:xfrm>
          <a:off x="1400477" y="612254"/>
          <a:ext cx="3319475" cy="64054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patients managed for endophthalmitis from January 2020 to December 2024 =457</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6911118E-7DED-4840-B8B6-24A37C47C02F}" type="parTrans" cxnId="{AB584F69-589B-4626-8DE0-8351410CA32C}">
      <dgm:prSet/>
      <dgm:spPr>
        <a:xfrm>
          <a:off x="3014495" y="431719"/>
          <a:ext cx="91440" cy="180535"/>
        </a:xfrm>
        <a:custGeom>
          <a:avLst/>
          <a:gdLst/>
          <a:ahLst/>
          <a:cxnLst/>
          <a:rect l="0" t="0" r="0" b="0"/>
          <a:pathLst>
            <a:path>
              <a:moveTo>
                <a:pt x="45720" y="0"/>
              </a:moveTo>
              <a:lnTo>
                <a:pt x="45720" y="180535"/>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x-none"/>
        </a:p>
      </dgm:t>
    </dgm:pt>
    <dgm:pt modelId="{B1AEB065-FB64-4BA5-8F4A-13628C83AFB4}" type="sibTrans" cxnId="{AB584F69-589B-4626-8DE0-8351410CA32C}">
      <dgm:prSet/>
      <dgm:spPr/>
      <dgm:t>
        <a:bodyPr/>
        <a:lstStyle/>
        <a:p>
          <a:endParaRPr lang="x-none"/>
        </a:p>
      </dgm:t>
    </dgm:pt>
    <dgm:pt modelId="{3BD0C49A-AEE5-4EFB-938D-7F9E79670F33}">
      <dgm:prSet custT="1"/>
      <dgm:spPr>
        <a:xfrm>
          <a:off x="3316613" y="3264476"/>
          <a:ext cx="1482374"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Endophthalmitis cases enrolled in the study = 211</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1CE032F-B7EF-49D4-8CE6-EFB68563471D}" type="parTrans" cxnId="{68741342-917D-4496-ABF4-2CFF14EDAAFD}">
      <dgm:prSet/>
      <dgm:spPr>
        <a:xfrm>
          <a:off x="3060215" y="2473560"/>
          <a:ext cx="256398" cy="1005839"/>
        </a:xfrm>
        <a:custGeom>
          <a:avLst/>
          <a:gdLst/>
          <a:ahLst/>
          <a:cxnLst/>
          <a:rect l="0" t="0" r="0" b="0"/>
          <a:pathLst>
            <a:path>
              <a:moveTo>
                <a:pt x="0" y="0"/>
              </a:moveTo>
              <a:lnTo>
                <a:pt x="0" y="1005839"/>
              </a:lnTo>
              <a:lnTo>
                <a:pt x="256398" y="100583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x-none"/>
        </a:p>
      </dgm:t>
    </dgm:pt>
    <dgm:pt modelId="{D265C1D8-02BD-4493-99A5-5B90A04F16F1}" type="sibTrans" cxnId="{68741342-917D-4496-ABF4-2CFF14EDAAFD}">
      <dgm:prSet/>
      <dgm:spPr/>
      <dgm:t>
        <a:bodyPr/>
        <a:lstStyle/>
        <a:p>
          <a:endParaRPr lang="x-none"/>
        </a:p>
      </dgm:t>
    </dgm:pt>
    <dgm:pt modelId="{6E84570B-18B2-4034-AD7D-BD3516DC95D2}" type="asst">
      <dgm:prSet custT="1"/>
      <dgm:spPr>
        <a:xfrm>
          <a:off x="1718804" y="2661437"/>
          <a:ext cx="1229118"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Missing data =48 </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6DBF1BB-202C-421F-8399-9C5FED0EF4B3}" type="parTrans" cxnId="{2ED21DF0-2DE4-4BB4-B394-C1A5BEE2272C}">
      <dgm:prSet/>
      <dgm:spPr>
        <a:xfrm>
          <a:off x="2947922" y="2473560"/>
          <a:ext cx="112292" cy="402799"/>
        </a:xfrm>
        <a:custGeom>
          <a:avLst/>
          <a:gdLst/>
          <a:ahLst/>
          <a:cxnLst/>
          <a:rect l="0" t="0" r="0" b="0"/>
          <a:pathLst>
            <a:path>
              <a:moveTo>
                <a:pt x="112292" y="0"/>
              </a:moveTo>
              <a:lnTo>
                <a:pt x="112292" y="402799"/>
              </a:lnTo>
              <a:lnTo>
                <a:pt x="0" y="40279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x-none"/>
        </a:p>
      </dgm:t>
    </dgm:pt>
    <dgm:pt modelId="{1D304005-3786-4667-9C1A-24CC1DB79ABD}" type="sibTrans" cxnId="{2ED21DF0-2DE4-4BB4-B394-C1A5BEE2272C}">
      <dgm:prSet/>
      <dgm:spPr/>
      <dgm:t>
        <a:bodyPr/>
        <a:lstStyle/>
        <a:p>
          <a:endParaRPr lang="x-none"/>
        </a:p>
      </dgm:t>
    </dgm:pt>
    <dgm:pt modelId="{46846F55-C08D-4F12-B7DB-02BA53677C91}" type="asst">
      <dgm:prSet custT="1"/>
      <dgm:spPr>
        <a:xfrm>
          <a:off x="932521" y="1433333"/>
          <a:ext cx="2037425"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Patients withiout hypopyon or vitris = 198 </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A00E128E-7498-4922-A2B8-19285057E8CD}" type="sibTrans" cxnId="{7EF749A9-638F-40AB-9BB2-6057CB596BAB}">
      <dgm:prSet/>
      <dgm:spPr/>
      <dgm:t>
        <a:bodyPr/>
        <a:lstStyle/>
        <a:p>
          <a:endParaRPr lang="x-none"/>
        </a:p>
      </dgm:t>
    </dgm:pt>
    <dgm:pt modelId="{0AD7D076-3487-4AA1-B8EE-FD794FB373E8}" type="parTrans" cxnId="{7EF749A9-638F-40AB-9BB2-6057CB596BAB}">
      <dgm:prSet/>
      <dgm:spPr>
        <a:xfrm>
          <a:off x="2924227" y="1252798"/>
          <a:ext cx="91440" cy="395458"/>
        </a:xfrm>
        <a:custGeom>
          <a:avLst/>
          <a:gdLst/>
          <a:ahLst/>
          <a:cxnLst/>
          <a:rect l="0" t="0" r="0" b="0"/>
          <a:pathLst>
            <a:path>
              <a:moveTo>
                <a:pt x="135987" y="0"/>
              </a:moveTo>
              <a:lnTo>
                <a:pt x="135987" y="395458"/>
              </a:lnTo>
              <a:lnTo>
                <a:pt x="45720" y="39545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x-none"/>
        </a:p>
      </dgm:t>
    </dgm:pt>
    <dgm:pt modelId="{97B9A3F8-6701-443E-B827-9D45FF6FEC2D}">
      <dgm:prSet custT="1"/>
      <dgm:spPr>
        <a:xfrm>
          <a:off x="2205552" y="2043714"/>
          <a:ext cx="1709324"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US"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Endophthalmitis cases = 259</a:t>
          </a:r>
          <a:endParaRPr lang="x-none"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B9F674C6-2322-43C3-A746-DD6822EFF6C1}" type="sibTrans" cxnId="{3DC737A6-F440-4A2C-932F-66F049BCB138}">
      <dgm:prSet/>
      <dgm:spPr/>
      <dgm:t>
        <a:bodyPr/>
        <a:lstStyle/>
        <a:p>
          <a:endParaRPr lang="x-none"/>
        </a:p>
      </dgm:t>
    </dgm:pt>
    <dgm:pt modelId="{E26A0BE9-E3CD-466F-9C40-0810CC82298C}" type="parTrans" cxnId="{3DC737A6-F440-4A2C-932F-66F049BCB138}">
      <dgm:prSet/>
      <dgm:spPr>
        <a:xfrm>
          <a:off x="3014495" y="1252798"/>
          <a:ext cx="91440" cy="790916"/>
        </a:xfrm>
        <a:custGeom>
          <a:avLst/>
          <a:gdLst/>
          <a:ahLst/>
          <a:cxnLst/>
          <a:rect l="0" t="0" r="0" b="0"/>
          <a:pathLst>
            <a:path>
              <a:moveTo>
                <a:pt x="45720" y="0"/>
              </a:moveTo>
              <a:lnTo>
                <a:pt x="45720" y="79091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x-none"/>
        </a:p>
      </dgm:t>
    </dgm:pt>
    <dgm:pt modelId="{318DEFE2-C3E6-4BC1-B3C1-07B75EA2F2F1}" type="pres">
      <dgm:prSet presAssocID="{FA5A0DA9-B252-40C8-98E4-C8D6C68C0189}" presName="hierChild1" presStyleCnt="0">
        <dgm:presLayoutVars>
          <dgm:orgChart val="1"/>
          <dgm:chPref val="1"/>
          <dgm:dir/>
          <dgm:animOne val="branch"/>
          <dgm:animLvl val="lvl"/>
          <dgm:resizeHandles/>
        </dgm:presLayoutVars>
      </dgm:prSet>
      <dgm:spPr/>
    </dgm:pt>
    <dgm:pt modelId="{2CF6CEA7-785F-4CD2-A5C9-9B3FB70F7CDE}" type="pres">
      <dgm:prSet presAssocID="{1353C553-3521-4F5B-885C-FAB0896194FF}" presName="hierRoot1" presStyleCnt="0">
        <dgm:presLayoutVars>
          <dgm:hierBranch val="init"/>
        </dgm:presLayoutVars>
      </dgm:prSet>
      <dgm:spPr/>
    </dgm:pt>
    <dgm:pt modelId="{2E0F8092-F02B-4461-A81A-3FA93438A8EC}" type="pres">
      <dgm:prSet presAssocID="{1353C553-3521-4F5B-885C-FAB0896194FF}" presName="rootComposite1" presStyleCnt="0"/>
      <dgm:spPr/>
    </dgm:pt>
    <dgm:pt modelId="{162877BB-7651-4D29-B99C-F1F34F083AD8}" type="pres">
      <dgm:prSet presAssocID="{1353C553-3521-4F5B-885C-FAB0896194FF}" presName="rootText1" presStyleLbl="node0" presStyleIdx="0" presStyleCnt="1" custScaleX="382686">
        <dgm:presLayoutVars>
          <dgm:chPref val="3"/>
        </dgm:presLayoutVars>
      </dgm:prSet>
      <dgm:spPr/>
    </dgm:pt>
    <dgm:pt modelId="{639406F4-E43E-41A2-B636-00437DCE5819}" type="pres">
      <dgm:prSet presAssocID="{1353C553-3521-4F5B-885C-FAB0896194FF}" presName="rootConnector1" presStyleLbl="node1" presStyleIdx="0" presStyleCnt="0"/>
      <dgm:spPr/>
    </dgm:pt>
    <dgm:pt modelId="{C16FC9AE-8178-4C1A-9AF6-6349ED37BFE3}" type="pres">
      <dgm:prSet presAssocID="{1353C553-3521-4F5B-885C-FAB0896194FF}" presName="hierChild2" presStyleCnt="0"/>
      <dgm:spPr/>
    </dgm:pt>
    <dgm:pt modelId="{655A6B88-9AA2-4E22-A4E4-BE4FE6969F1D}" type="pres">
      <dgm:prSet presAssocID="{6911118E-7DED-4840-B8B6-24A37C47C02F}" presName="Name37" presStyleLbl="parChTrans1D2" presStyleIdx="0" presStyleCnt="1"/>
      <dgm:spPr/>
    </dgm:pt>
    <dgm:pt modelId="{ACA5FA17-F6F0-4D6C-9352-42329A874E96}" type="pres">
      <dgm:prSet presAssocID="{035DB983-0C3D-45F5-A42A-801302DB572B}" presName="hierRoot2" presStyleCnt="0">
        <dgm:presLayoutVars>
          <dgm:hierBranch val="init"/>
        </dgm:presLayoutVars>
      </dgm:prSet>
      <dgm:spPr/>
    </dgm:pt>
    <dgm:pt modelId="{CB8C2112-AC3E-4015-B40F-C7D91C1355AE}" type="pres">
      <dgm:prSet presAssocID="{035DB983-0C3D-45F5-A42A-801302DB572B}" presName="rootComposite" presStyleCnt="0"/>
      <dgm:spPr/>
    </dgm:pt>
    <dgm:pt modelId="{E64A0631-3EC0-422B-8C7B-4C7AC2B6DCAE}" type="pres">
      <dgm:prSet presAssocID="{035DB983-0C3D-45F5-A42A-801302DB572B}" presName="rootText" presStyleLbl="node2" presStyleIdx="0" presStyleCnt="1" custScaleX="386124" custScaleY="149017" custLinFactNeighborX="1108" custLinFactNeighborY="-2216">
        <dgm:presLayoutVars>
          <dgm:chPref val="3"/>
        </dgm:presLayoutVars>
      </dgm:prSet>
      <dgm:spPr/>
    </dgm:pt>
    <dgm:pt modelId="{B1D69C0F-9DCB-4817-903F-10C5870F8C53}" type="pres">
      <dgm:prSet presAssocID="{035DB983-0C3D-45F5-A42A-801302DB572B}" presName="rootConnector" presStyleLbl="node2" presStyleIdx="0" presStyleCnt="1"/>
      <dgm:spPr/>
    </dgm:pt>
    <dgm:pt modelId="{15A5A7DC-5AC7-45A3-BBC0-E9FA78279FDC}" type="pres">
      <dgm:prSet presAssocID="{035DB983-0C3D-45F5-A42A-801302DB572B}" presName="hierChild4" presStyleCnt="0"/>
      <dgm:spPr/>
    </dgm:pt>
    <dgm:pt modelId="{F4B88AF3-1C20-43A5-9B69-3C64562C19A3}" type="pres">
      <dgm:prSet presAssocID="{E26A0BE9-E3CD-466F-9C40-0810CC82298C}" presName="Name37" presStyleLbl="parChTrans1D3" presStyleIdx="0" presStyleCnt="2"/>
      <dgm:spPr/>
    </dgm:pt>
    <dgm:pt modelId="{4B9B7C43-B782-4F47-AC37-AE5ABCEEE433}" type="pres">
      <dgm:prSet presAssocID="{97B9A3F8-6701-443E-B827-9D45FF6FEC2D}" presName="hierRoot2" presStyleCnt="0">
        <dgm:presLayoutVars>
          <dgm:hierBranch val="init"/>
        </dgm:presLayoutVars>
      </dgm:prSet>
      <dgm:spPr/>
    </dgm:pt>
    <dgm:pt modelId="{B19DD8D7-3DC5-471F-9A30-71ABA82AE204}" type="pres">
      <dgm:prSet presAssocID="{97B9A3F8-6701-443E-B827-9D45FF6FEC2D}" presName="rootComposite" presStyleCnt="0"/>
      <dgm:spPr/>
    </dgm:pt>
    <dgm:pt modelId="{3493B0BF-306F-4EE6-A16A-71DC62D79E3A}" type="pres">
      <dgm:prSet presAssocID="{97B9A3F8-6701-443E-B827-9D45FF6FEC2D}" presName="rootText" presStyleLbl="node3" presStyleIdx="0" presStyleCnt="1" custScaleX="198830">
        <dgm:presLayoutVars>
          <dgm:chPref val="3"/>
        </dgm:presLayoutVars>
      </dgm:prSet>
      <dgm:spPr/>
    </dgm:pt>
    <dgm:pt modelId="{5FB87E11-A4EC-4EA2-9498-A41AA95FDCD3}" type="pres">
      <dgm:prSet presAssocID="{97B9A3F8-6701-443E-B827-9D45FF6FEC2D}" presName="rootConnector" presStyleLbl="node3" presStyleIdx="0" presStyleCnt="1"/>
      <dgm:spPr/>
    </dgm:pt>
    <dgm:pt modelId="{2362A1F5-3385-4863-A354-C08092AB27CA}" type="pres">
      <dgm:prSet presAssocID="{97B9A3F8-6701-443E-B827-9D45FF6FEC2D}" presName="hierChild4" presStyleCnt="0"/>
      <dgm:spPr/>
    </dgm:pt>
    <dgm:pt modelId="{93C48DF8-39B1-49A9-BB19-7B80E6E46355}" type="pres">
      <dgm:prSet presAssocID="{31CE032F-B7EF-49D4-8CE6-EFB68563471D}" presName="Name37" presStyleLbl="parChTrans1D4" presStyleIdx="0" presStyleCnt="2"/>
      <dgm:spPr/>
    </dgm:pt>
    <dgm:pt modelId="{01788D28-4BE9-4A71-B81D-AE80E854A655}" type="pres">
      <dgm:prSet presAssocID="{3BD0C49A-AEE5-4EFB-938D-7F9E79670F33}" presName="hierRoot2" presStyleCnt="0">
        <dgm:presLayoutVars>
          <dgm:hierBranch val="init"/>
        </dgm:presLayoutVars>
      </dgm:prSet>
      <dgm:spPr/>
    </dgm:pt>
    <dgm:pt modelId="{78EA6D0C-BD47-4E12-9EFB-EA8663571B3B}" type="pres">
      <dgm:prSet presAssocID="{3BD0C49A-AEE5-4EFB-938D-7F9E79670F33}" presName="rootComposite" presStyleCnt="0"/>
      <dgm:spPr/>
    </dgm:pt>
    <dgm:pt modelId="{C9191A93-8A8D-4BFD-ADD3-82F0C1A6C422}" type="pres">
      <dgm:prSet presAssocID="{3BD0C49A-AEE5-4EFB-938D-7F9E79670F33}" presName="rootText" presStyleLbl="node4" presStyleIdx="0" presStyleCnt="1" custScaleX="172431">
        <dgm:presLayoutVars>
          <dgm:chPref val="3"/>
        </dgm:presLayoutVars>
      </dgm:prSet>
      <dgm:spPr/>
    </dgm:pt>
    <dgm:pt modelId="{D7554641-E858-4ACE-9DCB-2288C11B3B13}" type="pres">
      <dgm:prSet presAssocID="{3BD0C49A-AEE5-4EFB-938D-7F9E79670F33}" presName="rootConnector" presStyleLbl="node4" presStyleIdx="0" presStyleCnt="1"/>
      <dgm:spPr/>
    </dgm:pt>
    <dgm:pt modelId="{CB585773-D387-4301-86F4-46CDE5C280BF}" type="pres">
      <dgm:prSet presAssocID="{3BD0C49A-AEE5-4EFB-938D-7F9E79670F33}" presName="hierChild4" presStyleCnt="0"/>
      <dgm:spPr/>
    </dgm:pt>
    <dgm:pt modelId="{F81B5339-ADF2-4791-ADF6-4B68952D2AE3}" type="pres">
      <dgm:prSet presAssocID="{3BD0C49A-AEE5-4EFB-938D-7F9E79670F33}" presName="hierChild5" presStyleCnt="0"/>
      <dgm:spPr/>
    </dgm:pt>
    <dgm:pt modelId="{713F9FAD-27D9-4C74-A332-74C11DCE404A}" type="pres">
      <dgm:prSet presAssocID="{97B9A3F8-6701-443E-B827-9D45FF6FEC2D}" presName="hierChild5" presStyleCnt="0"/>
      <dgm:spPr/>
    </dgm:pt>
    <dgm:pt modelId="{F55157C0-A762-4B3A-A6AA-7B3417B5B14A}" type="pres">
      <dgm:prSet presAssocID="{D6DBF1BB-202C-421F-8399-9C5FED0EF4B3}" presName="Name111" presStyleLbl="parChTrans1D4" presStyleIdx="1" presStyleCnt="2"/>
      <dgm:spPr/>
    </dgm:pt>
    <dgm:pt modelId="{63154058-1327-45F3-858C-ADEE21E21D2F}" type="pres">
      <dgm:prSet presAssocID="{6E84570B-18B2-4034-AD7D-BD3516DC95D2}" presName="hierRoot3" presStyleCnt="0">
        <dgm:presLayoutVars>
          <dgm:hierBranch val="init"/>
        </dgm:presLayoutVars>
      </dgm:prSet>
      <dgm:spPr/>
    </dgm:pt>
    <dgm:pt modelId="{D045E6FC-2B2A-4C72-A7E4-7D7843B54DBF}" type="pres">
      <dgm:prSet presAssocID="{6E84570B-18B2-4034-AD7D-BD3516DC95D2}" presName="rootComposite3" presStyleCnt="0"/>
      <dgm:spPr/>
    </dgm:pt>
    <dgm:pt modelId="{C3242172-22D6-4D51-AC2E-F663B60D0310}" type="pres">
      <dgm:prSet presAssocID="{6E84570B-18B2-4034-AD7D-BD3516DC95D2}" presName="rootText3" presStyleLbl="asst3" presStyleIdx="0" presStyleCnt="1" custScaleX="142972" custLinFactNeighborX="-2562" custLinFactNeighborY="1708">
        <dgm:presLayoutVars>
          <dgm:chPref val="3"/>
        </dgm:presLayoutVars>
      </dgm:prSet>
      <dgm:spPr/>
    </dgm:pt>
    <dgm:pt modelId="{03080DFA-6F2E-4D1C-8BC9-581A4C8DF83C}" type="pres">
      <dgm:prSet presAssocID="{6E84570B-18B2-4034-AD7D-BD3516DC95D2}" presName="rootConnector3" presStyleLbl="asst3" presStyleIdx="0" presStyleCnt="1"/>
      <dgm:spPr/>
    </dgm:pt>
    <dgm:pt modelId="{F003C3DE-A713-4A86-A6F2-071E9D1237A3}" type="pres">
      <dgm:prSet presAssocID="{6E84570B-18B2-4034-AD7D-BD3516DC95D2}" presName="hierChild6" presStyleCnt="0"/>
      <dgm:spPr/>
    </dgm:pt>
    <dgm:pt modelId="{44EA6450-3AA8-4B70-8250-5C86B6959610}" type="pres">
      <dgm:prSet presAssocID="{6E84570B-18B2-4034-AD7D-BD3516DC95D2}" presName="hierChild7" presStyleCnt="0"/>
      <dgm:spPr/>
    </dgm:pt>
    <dgm:pt modelId="{56F0F65F-F26A-4DBA-ABAD-0611C10C4129}" type="pres">
      <dgm:prSet presAssocID="{035DB983-0C3D-45F5-A42A-801302DB572B}" presName="hierChild5" presStyleCnt="0"/>
      <dgm:spPr/>
    </dgm:pt>
    <dgm:pt modelId="{F98EBAF3-9F52-4395-BDED-8AB8F61AD21C}" type="pres">
      <dgm:prSet presAssocID="{0AD7D076-3487-4AA1-B8EE-FD794FB373E8}" presName="Name111" presStyleLbl="parChTrans1D3" presStyleIdx="1" presStyleCnt="2"/>
      <dgm:spPr/>
    </dgm:pt>
    <dgm:pt modelId="{F1F14B8B-51C6-40BE-A97E-A957961D7256}" type="pres">
      <dgm:prSet presAssocID="{46846F55-C08D-4F12-B7DB-02BA53677C91}" presName="hierRoot3" presStyleCnt="0">
        <dgm:presLayoutVars>
          <dgm:hierBranch val="init"/>
        </dgm:presLayoutVars>
      </dgm:prSet>
      <dgm:spPr/>
    </dgm:pt>
    <dgm:pt modelId="{E7F94FAD-4272-41EC-9406-2CB8C4788FFB}" type="pres">
      <dgm:prSet presAssocID="{46846F55-C08D-4F12-B7DB-02BA53677C91}" presName="rootComposite3" presStyleCnt="0"/>
      <dgm:spPr/>
    </dgm:pt>
    <dgm:pt modelId="{8AD2FEC3-472D-4937-B2AA-4302090772DF}" type="pres">
      <dgm:prSet presAssocID="{46846F55-C08D-4F12-B7DB-02BA53677C91}" presName="rootText3" presStyleLbl="asst2" presStyleIdx="0" presStyleCnt="1" custScaleX="236995">
        <dgm:presLayoutVars>
          <dgm:chPref val="3"/>
        </dgm:presLayoutVars>
      </dgm:prSet>
      <dgm:spPr/>
    </dgm:pt>
    <dgm:pt modelId="{B98A4635-BD48-4973-9B98-6BEC58C6C1C1}" type="pres">
      <dgm:prSet presAssocID="{46846F55-C08D-4F12-B7DB-02BA53677C91}" presName="rootConnector3" presStyleLbl="asst2" presStyleIdx="0" presStyleCnt="1"/>
      <dgm:spPr/>
    </dgm:pt>
    <dgm:pt modelId="{CD5897F5-0741-456F-855C-0A0EE88ED36C}" type="pres">
      <dgm:prSet presAssocID="{46846F55-C08D-4F12-B7DB-02BA53677C91}" presName="hierChild6" presStyleCnt="0"/>
      <dgm:spPr/>
    </dgm:pt>
    <dgm:pt modelId="{C525E29F-0E70-4BFC-85B9-31B45DC92CA6}" type="pres">
      <dgm:prSet presAssocID="{46846F55-C08D-4F12-B7DB-02BA53677C91}" presName="hierChild7" presStyleCnt="0"/>
      <dgm:spPr/>
    </dgm:pt>
    <dgm:pt modelId="{BD347082-09E3-4E12-ABF5-BAD62BFCDEB9}" type="pres">
      <dgm:prSet presAssocID="{1353C553-3521-4F5B-885C-FAB0896194FF}" presName="hierChild3" presStyleCnt="0"/>
      <dgm:spPr/>
    </dgm:pt>
  </dgm:ptLst>
  <dgm:cxnLst>
    <dgm:cxn modelId="{2E07D21D-1DDE-49DD-A874-84F9C241E8A6}" type="presOf" srcId="{E26A0BE9-E3CD-466F-9C40-0810CC82298C}" destId="{F4B88AF3-1C20-43A5-9B69-3C64562C19A3}" srcOrd="0" destOrd="0" presId="urn:microsoft.com/office/officeart/2005/8/layout/orgChart1"/>
    <dgm:cxn modelId="{08EA8D26-5C07-4270-B1E0-498A593C08E7}" type="presOf" srcId="{035DB983-0C3D-45F5-A42A-801302DB572B}" destId="{E64A0631-3EC0-422B-8C7B-4C7AC2B6DCAE}" srcOrd="0" destOrd="0" presId="urn:microsoft.com/office/officeart/2005/8/layout/orgChart1"/>
    <dgm:cxn modelId="{626DB638-8343-4DA0-8EAA-87A90BB6ECD2}" type="presOf" srcId="{1353C553-3521-4F5B-885C-FAB0896194FF}" destId="{162877BB-7651-4D29-B99C-F1F34F083AD8}" srcOrd="0" destOrd="0" presId="urn:microsoft.com/office/officeart/2005/8/layout/orgChart1"/>
    <dgm:cxn modelId="{68741342-917D-4496-ABF4-2CFF14EDAAFD}" srcId="{97B9A3F8-6701-443E-B827-9D45FF6FEC2D}" destId="{3BD0C49A-AEE5-4EFB-938D-7F9E79670F33}" srcOrd="0" destOrd="0" parTransId="{31CE032F-B7EF-49D4-8CE6-EFB68563471D}" sibTransId="{D265C1D8-02BD-4493-99A5-5B90A04F16F1}"/>
    <dgm:cxn modelId="{AB584F69-589B-4626-8DE0-8351410CA32C}" srcId="{1353C553-3521-4F5B-885C-FAB0896194FF}" destId="{035DB983-0C3D-45F5-A42A-801302DB572B}" srcOrd="0" destOrd="0" parTransId="{6911118E-7DED-4840-B8B6-24A37C47C02F}" sibTransId="{B1AEB065-FB64-4BA5-8F4A-13628C83AFB4}"/>
    <dgm:cxn modelId="{C7BC0C55-7E52-4818-AA47-9C541EC54845}" type="presOf" srcId="{46846F55-C08D-4F12-B7DB-02BA53677C91}" destId="{8AD2FEC3-472D-4937-B2AA-4302090772DF}" srcOrd="0" destOrd="0" presId="urn:microsoft.com/office/officeart/2005/8/layout/orgChart1"/>
    <dgm:cxn modelId="{965C577F-3787-49AB-B98E-30F914FF7655}" type="presOf" srcId="{6E84570B-18B2-4034-AD7D-BD3516DC95D2}" destId="{03080DFA-6F2E-4D1C-8BC9-581A4C8DF83C}" srcOrd="1" destOrd="0" presId="urn:microsoft.com/office/officeart/2005/8/layout/orgChart1"/>
    <dgm:cxn modelId="{87EAD180-D6EE-4D66-8751-4D6FC5C621DD}" type="presOf" srcId="{3BD0C49A-AEE5-4EFB-938D-7F9E79670F33}" destId="{D7554641-E858-4ACE-9DCB-2288C11B3B13}" srcOrd="1" destOrd="0" presId="urn:microsoft.com/office/officeart/2005/8/layout/orgChart1"/>
    <dgm:cxn modelId="{D8575490-E4F0-4CA4-9550-52471E56AA8F}" type="presOf" srcId="{035DB983-0C3D-45F5-A42A-801302DB572B}" destId="{B1D69C0F-9DCB-4817-903F-10C5870F8C53}" srcOrd="1" destOrd="0" presId="urn:microsoft.com/office/officeart/2005/8/layout/orgChart1"/>
    <dgm:cxn modelId="{6ABC5796-D4BD-4542-B757-D32C8EDE0D73}" type="presOf" srcId="{46846F55-C08D-4F12-B7DB-02BA53677C91}" destId="{B98A4635-BD48-4973-9B98-6BEC58C6C1C1}" srcOrd="1" destOrd="0" presId="urn:microsoft.com/office/officeart/2005/8/layout/orgChart1"/>
    <dgm:cxn modelId="{3DC737A6-F440-4A2C-932F-66F049BCB138}" srcId="{035DB983-0C3D-45F5-A42A-801302DB572B}" destId="{97B9A3F8-6701-443E-B827-9D45FF6FEC2D}" srcOrd="0" destOrd="0" parTransId="{E26A0BE9-E3CD-466F-9C40-0810CC82298C}" sibTransId="{B9F674C6-2322-43C3-A746-DD6822EFF6C1}"/>
    <dgm:cxn modelId="{827D3AA6-2DFA-4A47-B3A2-B3C95891D400}" type="presOf" srcId="{6E84570B-18B2-4034-AD7D-BD3516DC95D2}" destId="{C3242172-22D6-4D51-AC2E-F663B60D0310}" srcOrd="0" destOrd="0" presId="urn:microsoft.com/office/officeart/2005/8/layout/orgChart1"/>
    <dgm:cxn modelId="{7EF749A9-638F-40AB-9BB2-6057CB596BAB}" srcId="{035DB983-0C3D-45F5-A42A-801302DB572B}" destId="{46846F55-C08D-4F12-B7DB-02BA53677C91}" srcOrd="1" destOrd="0" parTransId="{0AD7D076-3487-4AA1-B8EE-FD794FB373E8}" sibTransId="{A00E128E-7498-4922-A2B8-19285057E8CD}"/>
    <dgm:cxn modelId="{B2280CAB-8F27-4690-8396-814298356805}" type="presOf" srcId="{1353C553-3521-4F5B-885C-FAB0896194FF}" destId="{639406F4-E43E-41A2-B636-00437DCE5819}" srcOrd="1" destOrd="0" presId="urn:microsoft.com/office/officeart/2005/8/layout/orgChart1"/>
    <dgm:cxn modelId="{E2E8FCBC-F703-413C-8C88-647D8DBC9CEA}" type="presOf" srcId="{97B9A3F8-6701-443E-B827-9D45FF6FEC2D}" destId="{3493B0BF-306F-4EE6-A16A-71DC62D79E3A}" srcOrd="0" destOrd="0" presId="urn:microsoft.com/office/officeart/2005/8/layout/orgChart1"/>
    <dgm:cxn modelId="{9F39C2BD-AED4-4D6B-B2FF-827458AE81CB}" type="presOf" srcId="{3BD0C49A-AEE5-4EFB-938D-7F9E79670F33}" destId="{C9191A93-8A8D-4BFD-ADD3-82F0C1A6C422}" srcOrd="0" destOrd="0" presId="urn:microsoft.com/office/officeart/2005/8/layout/orgChart1"/>
    <dgm:cxn modelId="{E2AEB6CE-4213-479A-886D-AC4A47B652E6}" type="presOf" srcId="{97B9A3F8-6701-443E-B827-9D45FF6FEC2D}" destId="{5FB87E11-A4EC-4EA2-9498-A41AA95FDCD3}" srcOrd="1" destOrd="0" presId="urn:microsoft.com/office/officeart/2005/8/layout/orgChart1"/>
    <dgm:cxn modelId="{D021E4E3-20B7-47DF-9E85-D0167F579388}" type="presOf" srcId="{0AD7D076-3487-4AA1-B8EE-FD794FB373E8}" destId="{F98EBAF3-9F52-4395-BDED-8AB8F61AD21C}" srcOrd="0" destOrd="0" presId="urn:microsoft.com/office/officeart/2005/8/layout/orgChart1"/>
    <dgm:cxn modelId="{445683E4-191E-4F83-8918-1FD8FE430D25}" type="presOf" srcId="{31CE032F-B7EF-49D4-8CE6-EFB68563471D}" destId="{93C48DF8-39B1-49A9-BB19-7B80E6E46355}" srcOrd="0" destOrd="0" presId="urn:microsoft.com/office/officeart/2005/8/layout/orgChart1"/>
    <dgm:cxn modelId="{C1E6B8E7-CBC8-40F7-ABA0-11B1AC791B6B}" type="presOf" srcId="{D6DBF1BB-202C-421F-8399-9C5FED0EF4B3}" destId="{F55157C0-A762-4B3A-A6AA-7B3417B5B14A}" srcOrd="0" destOrd="0" presId="urn:microsoft.com/office/officeart/2005/8/layout/orgChart1"/>
    <dgm:cxn modelId="{456C0DE9-9A15-4527-9E10-66250FAAA02A}" type="presOf" srcId="{FA5A0DA9-B252-40C8-98E4-C8D6C68C0189}" destId="{318DEFE2-C3E6-4BC1-B3C1-07B75EA2F2F1}" srcOrd="0" destOrd="0" presId="urn:microsoft.com/office/officeart/2005/8/layout/orgChart1"/>
    <dgm:cxn modelId="{4961BFEB-42BA-48D9-936C-82DC6CE9313A}" type="presOf" srcId="{6911118E-7DED-4840-B8B6-24A37C47C02F}" destId="{655A6B88-9AA2-4E22-A4E4-BE4FE6969F1D}" srcOrd="0" destOrd="0" presId="urn:microsoft.com/office/officeart/2005/8/layout/orgChart1"/>
    <dgm:cxn modelId="{2ED21DF0-2DE4-4BB4-B394-C1A5BEE2272C}" srcId="{97B9A3F8-6701-443E-B827-9D45FF6FEC2D}" destId="{6E84570B-18B2-4034-AD7D-BD3516DC95D2}" srcOrd="1" destOrd="0" parTransId="{D6DBF1BB-202C-421F-8399-9C5FED0EF4B3}" sibTransId="{1D304005-3786-4667-9C1A-24CC1DB79ABD}"/>
    <dgm:cxn modelId="{1F845CF2-4931-44AC-B65E-84C94954374F}" srcId="{FA5A0DA9-B252-40C8-98E4-C8D6C68C0189}" destId="{1353C553-3521-4F5B-885C-FAB0896194FF}" srcOrd="0" destOrd="0" parTransId="{3307489A-5EB8-4829-BB0C-F9878C53C91B}" sibTransId="{98EE5433-0989-496F-AB98-E838FC5D6E54}"/>
    <dgm:cxn modelId="{E36C9119-241B-4588-81DF-003DAB973483}" type="presParOf" srcId="{318DEFE2-C3E6-4BC1-B3C1-07B75EA2F2F1}" destId="{2CF6CEA7-785F-4CD2-A5C9-9B3FB70F7CDE}" srcOrd="0" destOrd="0" presId="urn:microsoft.com/office/officeart/2005/8/layout/orgChart1"/>
    <dgm:cxn modelId="{8BAE24AB-B584-473C-805C-AD64E3EADB6B}" type="presParOf" srcId="{2CF6CEA7-785F-4CD2-A5C9-9B3FB70F7CDE}" destId="{2E0F8092-F02B-4461-A81A-3FA93438A8EC}" srcOrd="0" destOrd="0" presId="urn:microsoft.com/office/officeart/2005/8/layout/orgChart1"/>
    <dgm:cxn modelId="{4462D3E6-910F-49E6-92F3-78773ACF4301}" type="presParOf" srcId="{2E0F8092-F02B-4461-A81A-3FA93438A8EC}" destId="{162877BB-7651-4D29-B99C-F1F34F083AD8}" srcOrd="0" destOrd="0" presId="urn:microsoft.com/office/officeart/2005/8/layout/orgChart1"/>
    <dgm:cxn modelId="{8B48061E-FBB3-4BB1-8F50-001EF9E3F03D}" type="presParOf" srcId="{2E0F8092-F02B-4461-A81A-3FA93438A8EC}" destId="{639406F4-E43E-41A2-B636-00437DCE5819}" srcOrd="1" destOrd="0" presId="urn:microsoft.com/office/officeart/2005/8/layout/orgChart1"/>
    <dgm:cxn modelId="{333DA1A1-F735-4212-83B8-8ED8E5F91FF7}" type="presParOf" srcId="{2CF6CEA7-785F-4CD2-A5C9-9B3FB70F7CDE}" destId="{C16FC9AE-8178-4C1A-9AF6-6349ED37BFE3}" srcOrd="1" destOrd="0" presId="urn:microsoft.com/office/officeart/2005/8/layout/orgChart1"/>
    <dgm:cxn modelId="{8C722A65-DE32-47F7-B2DD-2ABD37D8CCD8}" type="presParOf" srcId="{C16FC9AE-8178-4C1A-9AF6-6349ED37BFE3}" destId="{655A6B88-9AA2-4E22-A4E4-BE4FE6969F1D}" srcOrd="0" destOrd="0" presId="urn:microsoft.com/office/officeart/2005/8/layout/orgChart1"/>
    <dgm:cxn modelId="{4EF09AFE-7BC3-47F4-A86D-83AE9916186E}" type="presParOf" srcId="{C16FC9AE-8178-4C1A-9AF6-6349ED37BFE3}" destId="{ACA5FA17-F6F0-4D6C-9352-42329A874E96}" srcOrd="1" destOrd="0" presId="urn:microsoft.com/office/officeart/2005/8/layout/orgChart1"/>
    <dgm:cxn modelId="{56A8C4B7-EA78-4FA4-AFB1-818D4429F0D6}" type="presParOf" srcId="{ACA5FA17-F6F0-4D6C-9352-42329A874E96}" destId="{CB8C2112-AC3E-4015-B40F-C7D91C1355AE}" srcOrd="0" destOrd="0" presId="urn:microsoft.com/office/officeart/2005/8/layout/orgChart1"/>
    <dgm:cxn modelId="{616AD3A4-4729-44E5-A6BC-75F7D6128ED2}" type="presParOf" srcId="{CB8C2112-AC3E-4015-B40F-C7D91C1355AE}" destId="{E64A0631-3EC0-422B-8C7B-4C7AC2B6DCAE}" srcOrd="0" destOrd="0" presId="urn:microsoft.com/office/officeart/2005/8/layout/orgChart1"/>
    <dgm:cxn modelId="{7FE883C2-CC49-47BD-A408-5F78DF20B0BB}" type="presParOf" srcId="{CB8C2112-AC3E-4015-B40F-C7D91C1355AE}" destId="{B1D69C0F-9DCB-4817-903F-10C5870F8C53}" srcOrd="1" destOrd="0" presId="urn:microsoft.com/office/officeart/2005/8/layout/orgChart1"/>
    <dgm:cxn modelId="{0CB549BD-416F-42B4-8E6B-9841483877F3}" type="presParOf" srcId="{ACA5FA17-F6F0-4D6C-9352-42329A874E96}" destId="{15A5A7DC-5AC7-45A3-BBC0-E9FA78279FDC}" srcOrd="1" destOrd="0" presId="urn:microsoft.com/office/officeart/2005/8/layout/orgChart1"/>
    <dgm:cxn modelId="{FA611CA0-DCEC-4A25-B12D-11CD2B3AB6AA}" type="presParOf" srcId="{15A5A7DC-5AC7-45A3-BBC0-E9FA78279FDC}" destId="{F4B88AF3-1C20-43A5-9B69-3C64562C19A3}" srcOrd="0" destOrd="0" presId="urn:microsoft.com/office/officeart/2005/8/layout/orgChart1"/>
    <dgm:cxn modelId="{CCDF3097-21C1-42C9-899E-8DAA9338AEF7}" type="presParOf" srcId="{15A5A7DC-5AC7-45A3-BBC0-E9FA78279FDC}" destId="{4B9B7C43-B782-4F47-AC37-AE5ABCEEE433}" srcOrd="1" destOrd="0" presId="urn:microsoft.com/office/officeart/2005/8/layout/orgChart1"/>
    <dgm:cxn modelId="{08ED8FCA-ED60-425E-ADDC-5C018BFAE325}" type="presParOf" srcId="{4B9B7C43-B782-4F47-AC37-AE5ABCEEE433}" destId="{B19DD8D7-3DC5-471F-9A30-71ABA82AE204}" srcOrd="0" destOrd="0" presId="urn:microsoft.com/office/officeart/2005/8/layout/orgChart1"/>
    <dgm:cxn modelId="{A3E18190-FEA3-4EFC-AC7F-88439CD4745E}" type="presParOf" srcId="{B19DD8D7-3DC5-471F-9A30-71ABA82AE204}" destId="{3493B0BF-306F-4EE6-A16A-71DC62D79E3A}" srcOrd="0" destOrd="0" presId="urn:microsoft.com/office/officeart/2005/8/layout/orgChart1"/>
    <dgm:cxn modelId="{492F1EA6-02CC-4DDF-98BF-080788612F8E}" type="presParOf" srcId="{B19DD8D7-3DC5-471F-9A30-71ABA82AE204}" destId="{5FB87E11-A4EC-4EA2-9498-A41AA95FDCD3}" srcOrd="1" destOrd="0" presId="urn:microsoft.com/office/officeart/2005/8/layout/orgChart1"/>
    <dgm:cxn modelId="{CD24C22D-F465-4EEA-B1E4-448672C041FA}" type="presParOf" srcId="{4B9B7C43-B782-4F47-AC37-AE5ABCEEE433}" destId="{2362A1F5-3385-4863-A354-C08092AB27CA}" srcOrd="1" destOrd="0" presId="urn:microsoft.com/office/officeart/2005/8/layout/orgChart1"/>
    <dgm:cxn modelId="{F181FC51-3077-46FD-BF50-3F044DC55BB2}" type="presParOf" srcId="{2362A1F5-3385-4863-A354-C08092AB27CA}" destId="{93C48DF8-39B1-49A9-BB19-7B80E6E46355}" srcOrd="0" destOrd="0" presId="urn:microsoft.com/office/officeart/2005/8/layout/orgChart1"/>
    <dgm:cxn modelId="{85CA3301-E453-4D22-8E0B-D32CF2089940}" type="presParOf" srcId="{2362A1F5-3385-4863-A354-C08092AB27CA}" destId="{01788D28-4BE9-4A71-B81D-AE80E854A655}" srcOrd="1" destOrd="0" presId="urn:microsoft.com/office/officeart/2005/8/layout/orgChart1"/>
    <dgm:cxn modelId="{21FF2D7B-2595-4F3B-9BCB-325C0D8E1D69}" type="presParOf" srcId="{01788D28-4BE9-4A71-B81D-AE80E854A655}" destId="{78EA6D0C-BD47-4E12-9EFB-EA8663571B3B}" srcOrd="0" destOrd="0" presId="urn:microsoft.com/office/officeart/2005/8/layout/orgChart1"/>
    <dgm:cxn modelId="{41A0E0EE-3094-452D-B085-5B22A997DBD7}" type="presParOf" srcId="{78EA6D0C-BD47-4E12-9EFB-EA8663571B3B}" destId="{C9191A93-8A8D-4BFD-ADD3-82F0C1A6C422}" srcOrd="0" destOrd="0" presId="urn:microsoft.com/office/officeart/2005/8/layout/orgChart1"/>
    <dgm:cxn modelId="{61E52D1F-FB64-4761-B894-2E2BD98E9152}" type="presParOf" srcId="{78EA6D0C-BD47-4E12-9EFB-EA8663571B3B}" destId="{D7554641-E858-4ACE-9DCB-2288C11B3B13}" srcOrd="1" destOrd="0" presId="urn:microsoft.com/office/officeart/2005/8/layout/orgChart1"/>
    <dgm:cxn modelId="{D1CBA7E5-D01C-4DF3-97A7-94B15EA804C0}" type="presParOf" srcId="{01788D28-4BE9-4A71-B81D-AE80E854A655}" destId="{CB585773-D387-4301-86F4-46CDE5C280BF}" srcOrd="1" destOrd="0" presId="urn:microsoft.com/office/officeart/2005/8/layout/orgChart1"/>
    <dgm:cxn modelId="{2D391D0A-850F-4210-9122-DF57DC1F742B}" type="presParOf" srcId="{01788D28-4BE9-4A71-B81D-AE80E854A655}" destId="{F81B5339-ADF2-4791-ADF6-4B68952D2AE3}" srcOrd="2" destOrd="0" presId="urn:microsoft.com/office/officeart/2005/8/layout/orgChart1"/>
    <dgm:cxn modelId="{8EB9D959-5B01-436E-8861-E31907E9DC8D}" type="presParOf" srcId="{4B9B7C43-B782-4F47-AC37-AE5ABCEEE433}" destId="{713F9FAD-27D9-4C74-A332-74C11DCE404A}" srcOrd="2" destOrd="0" presId="urn:microsoft.com/office/officeart/2005/8/layout/orgChart1"/>
    <dgm:cxn modelId="{BE4C34E8-19D9-4074-8CCD-2E1C27B45311}" type="presParOf" srcId="{713F9FAD-27D9-4C74-A332-74C11DCE404A}" destId="{F55157C0-A762-4B3A-A6AA-7B3417B5B14A}" srcOrd="0" destOrd="0" presId="urn:microsoft.com/office/officeart/2005/8/layout/orgChart1"/>
    <dgm:cxn modelId="{7C8F329C-B880-4402-AED0-F9D4228916BF}" type="presParOf" srcId="{713F9FAD-27D9-4C74-A332-74C11DCE404A}" destId="{63154058-1327-45F3-858C-ADEE21E21D2F}" srcOrd="1" destOrd="0" presId="urn:microsoft.com/office/officeart/2005/8/layout/orgChart1"/>
    <dgm:cxn modelId="{90528D3D-3846-4106-80D6-C6F18C19A845}" type="presParOf" srcId="{63154058-1327-45F3-858C-ADEE21E21D2F}" destId="{D045E6FC-2B2A-4C72-A7E4-7D7843B54DBF}" srcOrd="0" destOrd="0" presId="urn:microsoft.com/office/officeart/2005/8/layout/orgChart1"/>
    <dgm:cxn modelId="{F4686A3C-ABE7-415C-9603-DCD05D0565E6}" type="presParOf" srcId="{D045E6FC-2B2A-4C72-A7E4-7D7843B54DBF}" destId="{C3242172-22D6-4D51-AC2E-F663B60D0310}" srcOrd="0" destOrd="0" presId="urn:microsoft.com/office/officeart/2005/8/layout/orgChart1"/>
    <dgm:cxn modelId="{FD8CB14A-0A4E-43A4-B491-C211FA2109E9}" type="presParOf" srcId="{D045E6FC-2B2A-4C72-A7E4-7D7843B54DBF}" destId="{03080DFA-6F2E-4D1C-8BC9-581A4C8DF83C}" srcOrd="1" destOrd="0" presId="urn:microsoft.com/office/officeart/2005/8/layout/orgChart1"/>
    <dgm:cxn modelId="{439D70C6-0A94-45B1-9B88-F61DCC36CAC2}" type="presParOf" srcId="{63154058-1327-45F3-858C-ADEE21E21D2F}" destId="{F003C3DE-A713-4A86-A6F2-071E9D1237A3}" srcOrd="1" destOrd="0" presId="urn:microsoft.com/office/officeart/2005/8/layout/orgChart1"/>
    <dgm:cxn modelId="{9593626A-06FE-4004-9CB5-A7E4C4D22DB4}" type="presParOf" srcId="{63154058-1327-45F3-858C-ADEE21E21D2F}" destId="{44EA6450-3AA8-4B70-8250-5C86B6959610}" srcOrd="2" destOrd="0" presId="urn:microsoft.com/office/officeart/2005/8/layout/orgChart1"/>
    <dgm:cxn modelId="{6DE6EF82-690D-4BB4-9F5E-19B161BEEC55}" type="presParOf" srcId="{ACA5FA17-F6F0-4D6C-9352-42329A874E96}" destId="{56F0F65F-F26A-4DBA-ABAD-0611C10C4129}" srcOrd="2" destOrd="0" presId="urn:microsoft.com/office/officeart/2005/8/layout/orgChart1"/>
    <dgm:cxn modelId="{01FE51E3-ED16-418E-BF89-E10AA64BEDD9}" type="presParOf" srcId="{56F0F65F-F26A-4DBA-ABAD-0611C10C4129}" destId="{F98EBAF3-9F52-4395-BDED-8AB8F61AD21C}" srcOrd="0" destOrd="0" presId="urn:microsoft.com/office/officeart/2005/8/layout/orgChart1"/>
    <dgm:cxn modelId="{41C30291-BF11-41B7-82D4-863626D9DDA3}" type="presParOf" srcId="{56F0F65F-F26A-4DBA-ABAD-0611C10C4129}" destId="{F1F14B8B-51C6-40BE-A97E-A957961D7256}" srcOrd="1" destOrd="0" presId="urn:microsoft.com/office/officeart/2005/8/layout/orgChart1"/>
    <dgm:cxn modelId="{591BB577-E7B8-4A43-8656-0C8FB54D1861}" type="presParOf" srcId="{F1F14B8B-51C6-40BE-A97E-A957961D7256}" destId="{E7F94FAD-4272-41EC-9406-2CB8C4788FFB}" srcOrd="0" destOrd="0" presId="urn:microsoft.com/office/officeart/2005/8/layout/orgChart1"/>
    <dgm:cxn modelId="{239DF0A9-7537-4360-8FF8-E0F9E2AFB57C}" type="presParOf" srcId="{E7F94FAD-4272-41EC-9406-2CB8C4788FFB}" destId="{8AD2FEC3-472D-4937-B2AA-4302090772DF}" srcOrd="0" destOrd="0" presId="urn:microsoft.com/office/officeart/2005/8/layout/orgChart1"/>
    <dgm:cxn modelId="{6AAD6301-7CA4-4689-B44A-395FCB4A1AC6}" type="presParOf" srcId="{E7F94FAD-4272-41EC-9406-2CB8C4788FFB}" destId="{B98A4635-BD48-4973-9B98-6BEC58C6C1C1}" srcOrd="1" destOrd="0" presId="urn:microsoft.com/office/officeart/2005/8/layout/orgChart1"/>
    <dgm:cxn modelId="{07D77C9E-2503-4C98-AD39-CAA1C627B6A1}" type="presParOf" srcId="{F1F14B8B-51C6-40BE-A97E-A957961D7256}" destId="{CD5897F5-0741-456F-855C-0A0EE88ED36C}" srcOrd="1" destOrd="0" presId="urn:microsoft.com/office/officeart/2005/8/layout/orgChart1"/>
    <dgm:cxn modelId="{87352978-6142-4080-B584-3056D3FADD0C}" type="presParOf" srcId="{F1F14B8B-51C6-40BE-A97E-A957961D7256}" destId="{C525E29F-0E70-4BFC-85B9-31B45DC92CA6}" srcOrd="2" destOrd="0" presId="urn:microsoft.com/office/officeart/2005/8/layout/orgChart1"/>
    <dgm:cxn modelId="{E9BB7BB2-6B01-4B65-8433-136F15DD68D4}" type="presParOf" srcId="{2CF6CEA7-785F-4CD2-A5C9-9B3FB70F7CDE}" destId="{BD347082-09E3-4E12-ABF5-BAD62BFCDEB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8EBAF3-9F52-4395-BDED-8AB8F61AD21C}">
      <dsp:nvSpPr>
        <dsp:cNvPr id="0" name=""/>
        <dsp:cNvSpPr/>
      </dsp:nvSpPr>
      <dsp:spPr>
        <a:xfrm>
          <a:off x="2969947" y="1243272"/>
          <a:ext cx="99792" cy="404983"/>
        </a:xfrm>
        <a:custGeom>
          <a:avLst/>
          <a:gdLst/>
          <a:ahLst/>
          <a:cxnLst/>
          <a:rect l="0" t="0" r="0" b="0"/>
          <a:pathLst>
            <a:path>
              <a:moveTo>
                <a:pt x="135987" y="0"/>
              </a:moveTo>
              <a:lnTo>
                <a:pt x="135987" y="395458"/>
              </a:lnTo>
              <a:lnTo>
                <a:pt x="45720" y="39545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55157C0-A762-4B3A-A6AA-7B3417B5B14A}">
      <dsp:nvSpPr>
        <dsp:cNvPr id="0" name=""/>
        <dsp:cNvSpPr/>
      </dsp:nvSpPr>
      <dsp:spPr>
        <a:xfrm>
          <a:off x="2947922" y="2473560"/>
          <a:ext cx="112292" cy="402799"/>
        </a:xfrm>
        <a:custGeom>
          <a:avLst/>
          <a:gdLst/>
          <a:ahLst/>
          <a:cxnLst/>
          <a:rect l="0" t="0" r="0" b="0"/>
          <a:pathLst>
            <a:path>
              <a:moveTo>
                <a:pt x="112292" y="0"/>
              </a:moveTo>
              <a:lnTo>
                <a:pt x="112292" y="402799"/>
              </a:lnTo>
              <a:lnTo>
                <a:pt x="0" y="40279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3C48DF8-39B1-49A9-BB19-7B80E6E46355}">
      <dsp:nvSpPr>
        <dsp:cNvPr id="0" name=""/>
        <dsp:cNvSpPr/>
      </dsp:nvSpPr>
      <dsp:spPr>
        <a:xfrm>
          <a:off x="3060215" y="2473560"/>
          <a:ext cx="256398" cy="1005839"/>
        </a:xfrm>
        <a:custGeom>
          <a:avLst/>
          <a:gdLst/>
          <a:ahLst/>
          <a:cxnLst/>
          <a:rect l="0" t="0" r="0" b="0"/>
          <a:pathLst>
            <a:path>
              <a:moveTo>
                <a:pt x="0" y="0"/>
              </a:moveTo>
              <a:lnTo>
                <a:pt x="0" y="1005839"/>
              </a:lnTo>
              <a:lnTo>
                <a:pt x="256398" y="100583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4B88AF3-1C20-43A5-9B69-3C64562C19A3}">
      <dsp:nvSpPr>
        <dsp:cNvPr id="0" name=""/>
        <dsp:cNvSpPr/>
      </dsp:nvSpPr>
      <dsp:spPr>
        <a:xfrm>
          <a:off x="3014495" y="1243272"/>
          <a:ext cx="91440" cy="800441"/>
        </a:xfrm>
        <a:custGeom>
          <a:avLst/>
          <a:gdLst/>
          <a:ahLst/>
          <a:cxnLst/>
          <a:rect l="0" t="0" r="0" b="0"/>
          <a:pathLst>
            <a:path>
              <a:moveTo>
                <a:pt x="45720" y="0"/>
              </a:moveTo>
              <a:lnTo>
                <a:pt x="45720" y="79091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55A6B88-9AA2-4E22-A4E4-BE4FE6969F1D}">
      <dsp:nvSpPr>
        <dsp:cNvPr id="0" name=""/>
        <dsp:cNvSpPr/>
      </dsp:nvSpPr>
      <dsp:spPr>
        <a:xfrm>
          <a:off x="3014495" y="431719"/>
          <a:ext cx="91440" cy="171009"/>
        </a:xfrm>
        <a:custGeom>
          <a:avLst/>
          <a:gdLst/>
          <a:ahLst/>
          <a:cxnLst/>
          <a:rect l="0" t="0" r="0" b="0"/>
          <a:pathLst>
            <a:path>
              <a:moveTo>
                <a:pt x="45720" y="0"/>
              </a:moveTo>
              <a:lnTo>
                <a:pt x="45720" y="180535"/>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62877BB-7651-4D29-B99C-F1F34F083AD8}">
      <dsp:nvSpPr>
        <dsp:cNvPr id="0" name=""/>
        <dsp:cNvSpPr/>
      </dsp:nvSpPr>
      <dsp:spPr>
        <a:xfrm>
          <a:off x="1415255" y="1873"/>
          <a:ext cx="3289919"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patients admitted at kcmc eye department from January 2020 to December 2024 = 15171</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415255" y="1873"/>
        <a:ext cx="3289919" cy="429845"/>
      </dsp:txXfrm>
    </dsp:sp>
    <dsp:sp modelId="{E64A0631-3EC0-422B-8C7B-4C7AC2B6DCAE}">
      <dsp:nvSpPr>
        <dsp:cNvPr id="0" name=""/>
        <dsp:cNvSpPr/>
      </dsp:nvSpPr>
      <dsp:spPr>
        <a:xfrm>
          <a:off x="1410002" y="602729"/>
          <a:ext cx="3319475" cy="64054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All patients managed for endophthalmitis from January 2020 to December 2024 =457</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410002" y="602729"/>
        <a:ext cx="3319475" cy="640543"/>
      </dsp:txXfrm>
    </dsp:sp>
    <dsp:sp modelId="{3493B0BF-306F-4EE6-A16A-71DC62D79E3A}">
      <dsp:nvSpPr>
        <dsp:cNvPr id="0" name=""/>
        <dsp:cNvSpPr/>
      </dsp:nvSpPr>
      <dsp:spPr>
        <a:xfrm>
          <a:off x="2205552" y="2043714"/>
          <a:ext cx="1709324"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Endophthalmitis cases = 259</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205552" y="2043714"/>
        <a:ext cx="1709324" cy="429845"/>
      </dsp:txXfrm>
    </dsp:sp>
    <dsp:sp modelId="{C9191A93-8A8D-4BFD-ADD3-82F0C1A6C422}">
      <dsp:nvSpPr>
        <dsp:cNvPr id="0" name=""/>
        <dsp:cNvSpPr/>
      </dsp:nvSpPr>
      <dsp:spPr>
        <a:xfrm>
          <a:off x="3316613" y="3264476"/>
          <a:ext cx="1482374"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Endophthalmitis cases enrolled in the study = 211</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316613" y="3264476"/>
        <a:ext cx="1482374" cy="429845"/>
      </dsp:txXfrm>
    </dsp:sp>
    <dsp:sp modelId="{C3242172-22D6-4D51-AC2E-F663B60D0310}">
      <dsp:nvSpPr>
        <dsp:cNvPr id="0" name=""/>
        <dsp:cNvSpPr/>
      </dsp:nvSpPr>
      <dsp:spPr>
        <a:xfrm>
          <a:off x="1718804" y="2661437"/>
          <a:ext cx="1229118"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Missing data =48 </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1718804" y="2661437"/>
        <a:ext cx="1229118" cy="429845"/>
      </dsp:txXfrm>
    </dsp:sp>
    <dsp:sp modelId="{8AD2FEC3-472D-4937-B2AA-4302090772DF}">
      <dsp:nvSpPr>
        <dsp:cNvPr id="0" name=""/>
        <dsp:cNvSpPr/>
      </dsp:nvSpPr>
      <dsp:spPr>
        <a:xfrm>
          <a:off x="932521" y="1433333"/>
          <a:ext cx="2037425" cy="42984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Patients withiout hypopyon or vitris = 198 </a:t>
          </a:r>
          <a:endParaRPr lang="x-none"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932521" y="1433333"/>
        <a:ext cx="2037425" cy="4298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894B-2638-4E15-9FFC-8B8CB299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168</TotalTime>
  <Pages>13</Pages>
  <Words>6169</Words>
  <Characters>35164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41251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KANGWA, Tapiwa (Ms)</cp:lastModifiedBy>
  <cp:revision>18</cp:revision>
  <cp:lastPrinted>1999-07-06T11:00:00Z</cp:lastPrinted>
  <dcterms:created xsi:type="dcterms:W3CDTF">2025-12-01T13:57:00Z</dcterms:created>
  <dcterms:modified xsi:type="dcterms:W3CDTF">2025-12-01T19:14:00Z</dcterms:modified>
</cp:coreProperties>
</file>