
<file path=[Content_Types].xml><?xml version="1.0" encoding="utf-8"?>
<Types xmlns="http://schemas.openxmlformats.org/package/2006/content-types">
  <Default Extension="png" ContentType="image/png"/>
  <Default Extension="jpeg" ContentType="image/jpe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C62" w:rsidRDefault="00251C62">
      <w:pPr>
        <w:jc w:val="both"/>
        <w:rPr>
          <w:color w:val="000000"/>
        </w:rPr>
      </w:pPr>
    </w:p>
    <w:p w:rsidR="00251C62" w:rsidRDefault="00B00BC3">
      <w:pPr>
        <w:jc w:val="both"/>
        <w:rPr>
          <w:b/>
          <w:i/>
          <w:color w:val="000000"/>
          <w:sz w:val="32"/>
          <w:szCs w:val="32"/>
        </w:rPr>
      </w:pPr>
      <w:r>
        <w:rPr>
          <w:b/>
          <w:color w:val="000000"/>
          <w:sz w:val="32"/>
          <w:szCs w:val="32"/>
        </w:rPr>
        <w:t xml:space="preserve">Effect of Etiolation and IBA on the </w:t>
      </w:r>
      <w:proofErr w:type="spellStart"/>
      <w:r>
        <w:rPr>
          <w:b/>
          <w:color w:val="000000"/>
          <w:sz w:val="32"/>
          <w:szCs w:val="32"/>
        </w:rPr>
        <w:t>Rhizogenesis</w:t>
      </w:r>
      <w:proofErr w:type="spellEnd"/>
      <w:r>
        <w:rPr>
          <w:b/>
          <w:color w:val="000000"/>
          <w:sz w:val="32"/>
          <w:szCs w:val="32"/>
        </w:rPr>
        <w:t xml:space="preserve"> of </w:t>
      </w:r>
      <w:r>
        <w:rPr>
          <w:b/>
          <w:i/>
          <w:color w:val="000000"/>
          <w:sz w:val="32"/>
          <w:szCs w:val="32"/>
        </w:rPr>
        <w:t xml:space="preserve">Magnolia </w:t>
      </w:r>
      <w:proofErr w:type="spellStart"/>
      <w:r>
        <w:rPr>
          <w:b/>
          <w:i/>
          <w:color w:val="000000"/>
          <w:sz w:val="32"/>
          <w:szCs w:val="32"/>
        </w:rPr>
        <w:t>liliiflora</w:t>
      </w:r>
      <w:proofErr w:type="spellEnd"/>
    </w:p>
    <w:p w:rsidR="005E097A" w:rsidRDefault="005E097A">
      <w:pPr>
        <w:pStyle w:val="BodyText"/>
        <w:rPr>
          <w:b/>
        </w:rPr>
      </w:pPr>
    </w:p>
    <w:p w:rsidR="00251C62" w:rsidRDefault="00B00BC3">
      <w:pPr>
        <w:pStyle w:val="BodyText"/>
        <w:rPr>
          <w:b/>
        </w:rPr>
      </w:pPr>
      <w:r>
        <w:rPr>
          <w:b/>
        </w:rPr>
        <w:t>Abstract</w:t>
      </w:r>
    </w:p>
    <w:p w:rsidR="00251C62" w:rsidRDefault="00251C62">
      <w:pPr>
        <w:jc w:val="both"/>
        <w:rPr>
          <w:color w:val="000000"/>
        </w:rPr>
      </w:pPr>
    </w:p>
    <w:p w:rsidR="00251C62" w:rsidRDefault="00B00BC3">
      <w:pPr>
        <w:jc w:val="both"/>
        <w:rPr>
          <w:color w:val="000000"/>
        </w:rPr>
      </w:pPr>
      <w:r>
        <w:rPr>
          <w:color w:val="000000"/>
        </w:rPr>
        <w:t>The present investigation</w:t>
      </w:r>
      <w:r w:rsidR="00E81ABD">
        <w:rPr>
          <w:color w:val="000000"/>
        </w:rPr>
        <w:t xml:space="preserve"> </w:t>
      </w:r>
      <w:r>
        <w:rPr>
          <w:color w:val="000000"/>
        </w:rPr>
        <w:t xml:space="preserve">was conducted at experimental field of the Division `of Floriculture and Landscape Architecture, Sher-e-Kashmir University of Agricultural sciences &amp;Technology, Shalimar Srinagar during the year 2023-24. The design of the experiment was CRD with 3 replications. The equal number of etiolated and non-etiolated cuttings were taken from </w:t>
      </w:r>
      <w:r>
        <w:rPr>
          <w:i/>
          <w:color w:val="000000"/>
        </w:rPr>
        <w:t xml:space="preserve">Magnolia </w:t>
      </w:r>
      <w:proofErr w:type="spellStart"/>
      <w:r>
        <w:rPr>
          <w:i/>
          <w:color w:val="000000"/>
        </w:rPr>
        <w:t>liliiflora</w:t>
      </w:r>
      <w:proofErr w:type="spellEnd"/>
      <w:r>
        <w:rPr>
          <w:color w:val="000000"/>
        </w:rPr>
        <w:t xml:space="preserve"> plants treated with Indole-3-butyric acid at 0 ppm (control), 1000 ppm, 2000 ppm, 3000 ppm. It was summarized that etiolation followed by IBA treatment significantly enhanced the rooting in </w:t>
      </w:r>
      <w:r>
        <w:rPr>
          <w:i/>
          <w:color w:val="000000"/>
        </w:rPr>
        <w:t xml:space="preserve">Magnolia </w:t>
      </w:r>
      <w:proofErr w:type="spellStart"/>
      <w:r>
        <w:rPr>
          <w:i/>
          <w:color w:val="000000"/>
        </w:rPr>
        <w:t>liliiflora</w:t>
      </w:r>
      <w:proofErr w:type="spellEnd"/>
      <w:r>
        <w:rPr>
          <w:color w:val="000000"/>
        </w:rPr>
        <w:t>. Results indicated that etiolation + IBA 3000 ppm provided the best outcomes across most of the parameters. The treatment produced the highest number of primary roots (6.55), secondary roots (20.66,), root length (12.89 cm), rooting percentage (55</w:t>
      </w:r>
      <w:proofErr w:type="gramStart"/>
      <w:r>
        <w:rPr>
          <w:color w:val="000000"/>
        </w:rPr>
        <w:t>%)and</w:t>
      </w:r>
      <w:proofErr w:type="gramEnd"/>
      <w:r>
        <w:rPr>
          <w:color w:val="000000"/>
        </w:rPr>
        <w:t xml:space="preserve"> survival rate (63.97%) in </w:t>
      </w:r>
      <w:r>
        <w:rPr>
          <w:i/>
          <w:color w:val="000000"/>
        </w:rPr>
        <w:t xml:space="preserve">Magnolia </w:t>
      </w:r>
      <w:proofErr w:type="spellStart"/>
      <w:r>
        <w:rPr>
          <w:i/>
          <w:color w:val="000000"/>
        </w:rPr>
        <w:t>liliiflora</w:t>
      </w:r>
      <w:proofErr w:type="spellEnd"/>
      <w:r>
        <w:rPr>
          <w:color w:val="000000"/>
        </w:rPr>
        <w:t xml:space="preserve">. It also resulted in the shortest days to rooting 55.22 days in </w:t>
      </w:r>
      <w:r>
        <w:rPr>
          <w:i/>
          <w:color w:val="000000"/>
        </w:rPr>
        <w:t xml:space="preserve">Magnolia </w:t>
      </w:r>
      <w:proofErr w:type="spellStart"/>
      <w:r>
        <w:rPr>
          <w:i/>
          <w:color w:val="000000"/>
        </w:rPr>
        <w:t>liliiflora</w:t>
      </w:r>
      <w:proofErr w:type="spellEnd"/>
      <w:r>
        <w:rPr>
          <w:color w:val="000000"/>
        </w:rPr>
        <w:t xml:space="preserve">. These findings suggest that etiolation and using of higher concentrations of rooting hormones, especially IBA at 3000 ppm, significantly enhances propagation success in the </w:t>
      </w:r>
      <w:r>
        <w:rPr>
          <w:i/>
          <w:color w:val="000000"/>
        </w:rPr>
        <w:t xml:space="preserve">Magnolia </w:t>
      </w:r>
      <w:proofErr w:type="spellStart"/>
      <w:r>
        <w:rPr>
          <w:i/>
          <w:color w:val="000000"/>
        </w:rPr>
        <w:t>liliiflora</w:t>
      </w:r>
      <w:proofErr w:type="spellEnd"/>
      <w:r>
        <w:rPr>
          <w:color w:val="000000"/>
        </w:rPr>
        <w:t>.</w:t>
      </w:r>
    </w:p>
    <w:p w:rsidR="00251C62" w:rsidRDefault="00B00BC3">
      <w:pPr>
        <w:pStyle w:val="BodyText"/>
        <w:tabs>
          <w:tab w:val="left" w:pos="709"/>
        </w:tabs>
        <w:spacing w:before="120" w:after="120"/>
        <w:jc w:val="both"/>
        <w:rPr>
          <w:color w:val="000000"/>
        </w:rPr>
      </w:pPr>
      <w:r>
        <w:rPr>
          <w:b/>
          <w:color w:val="000000"/>
        </w:rPr>
        <w:t xml:space="preserve">Keywords: </w:t>
      </w:r>
      <w:r>
        <w:rPr>
          <w:color w:val="000000"/>
        </w:rPr>
        <w:t xml:space="preserve">Etiolation, IBA, </w:t>
      </w:r>
      <w:proofErr w:type="spellStart"/>
      <w:r>
        <w:rPr>
          <w:color w:val="000000"/>
        </w:rPr>
        <w:t>Rhizogenesis</w:t>
      </w:r>
      <w:proofErr w:type="spellEnd"/>
      <w:r>
        <w:rPr>
          <w:color w:val="000000"/>
        </w:rPr>
        <w:t>, Cuttings</w:t>
      </w:r>
      <w:r w:rsidR="00E81ABD">
        <w:rPr>
          <w:color w:val="000000"/>
        </w:rPr>
        <w:t xml:space="preserve">, </w:t>
      </w:r>
      <w:r w:rsidR="00E81ABD" w:rsidRPr="00E81ABD">
        <w:rPr>
          <w:color w:val="000000"/>
        </w:rPr>
        <w:t xml:space="preserve">Magnolia </w:t>
      </w:r>
      <w:proofErr w:type="spellStart"/>
      <w:r w:rsidR="00E81ABD" w:rsidRPr="00E81ABD">
        <w:rPr>
          <w:color w:val="000000"/>
        </w:rPr>
        <w:t>liliiflora</w:t>
      </w:r>
      <w:proofErr w:type="spellEnd"/>
    </w:p>
    <w:p w:rsidR="00251C62" w:rsidRDefault="00251C62">
      <w:pPr>
        <w:jc w:val="both"/>
        <w:rPr>
          <w:color w:val="000000"/>
        </w:rPr>
      </w:pPr>
    </w:p>
    <w:p w:rsidR="00251C62" w:rsidRDefault="00B00BC3">
      <w:pPr>
        <w:jc w:val="both"/>
        <w:rPr>
          <w:b/>
          <w:sz w:val="28"/>
          <w:szCs w:val="28"/>
        </w:rPr>
      </w:pPr>
      <w:r>
        <w:rPr>
          <w:b/>
          <w:sz w:val="28"/>
          <w:szCs w:val="28"/>
        </w:rPr>
        <w:t xml:space="preserve"> Introduction</w:t>
      </w:r>
    </w:p>
    <w:p w:rsidR="00251C62" w:rsidRDefault="00B00BC3">
      <w:pPr>
        <w:pStyle w:val="NormalWeb"/>
        <w:spacing w:line="360" w:lineRule="auto"/>
        <w:jc w:val="both"/>
      </w:pPr>
      <w:r>
        <w:t>Traditionally, magnolias are propagated from seeds. Although growing magnolias from seed is generally easier than vegetative methods, seedlings from named cultivars often do not match the quality of their parent plants. Besides seed propagation, magnolias can also be propagated through grafting and rooting stem cuttings; however, seed germination rates are relatively low, and cuttings frequently have poor rooting success. To produce large quantities of disease-free and genetically uniform planting material, Clonal micro propagation has been adopted as a suitable method.</w:t>
      </w:r>
    </w:p>
    <w:p w:rsidR="00251C62" w:rsidRDefault="00B00BC3">
      <w:pPr>
        <w:pStyle w:val="z-TopofForm1"/>
        <w:spacing w:line="360" w:lineRule="auto"/>
        <w:jc w:val="both"/>
        <w:rPr>
          <w:rFonts w:ascii="Times New Roman" w:hAnsi="Times New Roman" w:cs="Times New Roman"/>
          <w:sz w:val="24"/>
          <w:szCs w:val="24"/>
        </w:rPr>
      </w:pPr>
      <w:r>
        <w:rPr>
          <w:rFonts w:ascii="Times New Roman" w:hAnsi="Times New Roman" w:cs="Times New Roman"/>
          <w:sz w:val="24"/>
          <w:szCs w:val="24"/>
        </w:rPr>
        <w:t>Top of Form</w:t>
      </w:r>
    </w:p>
    <w:p w:rsidR="00251C62" w:rsidRDefault="00B00BC3">
      <w:pPr>
        <w:pStyle w:val="z-BottomofForm1"/>
        <w:spacing w:line="360" w:lineRule="auto"/>
        <w:jc w:val="both"/>
        <w:rPr>
          <w:rFonts w:ascii="Times New Roman" w:hAnsi="Times New Roman" w:cs="Times New Roman"/>
          <w:sz w:val="24"/>
          <w:szCs w:val="24"/>
        </w:rPr>
      </w:pPr>
      <w:r>
        <w:rPr>
          <w:rFonts w:ascii="Times New Roman" w:hAnsi="Times New Roman" w:cs="Times New Roman"/>
          <w:sz w:val="24"/>
          <w:szCs w:val="24"/>
        </w:rPr>
        <w:t>Bottom of Form</w:t>
      </w:r>
    </w:p>
    <w:p w:rsidR="00251C62" w:rsidRDefault="00B00B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ease of rooting varies greatly between different species and cultivars. Some cultivars root so readily that even simple methods and basic care result in high rooting rates. Conversely, other cultivars may only root effectively when specific influencing factors are addressed and maintained. Using stem cuttings is often recommended for quicker establishment and faster production (Kester </w:t>
      </w:r>
      <w:r>
        <w:rPr>
          <w:rFonts w:ascii="Times New Roman" w:hAnsi="Times New Roman" w:cs="Times New Roman"/>
          <w:i/>
          <w:sz w:val="24"/>
          <w:szCs w:val="24"/>
        </w:rPr>
        <w:t>et al</w:t>
      </w:r>
      <w:r>
        <w:rPr>
          <w:rFonts w:ascii="Times New Roman" w:hAnsi="Times New Roman" w:cs="Times New Roman"/>
          <w:sz w:val="24"/>
          <w:szCs w:val="24"/>
        </w:rPr>
        <w:t xml:space="preserve">., 1990). Various treatments and techniques have been developed to assist in propagating difficult-to-root woody plants. Methods such as using Indole-3-Butyric Acid (IBA), etiolation, banding, and layering have been employed to improve rooting success. Indole-3-Butyric Acid, a </w:t>
      </w:r>
      <w:r>
        <w:rPr>
          <w:rFonts w:ascii="Times New Roman" w:hAnsi="Times New Roman" w:cs="Times New Roman"/>
          <w:sz w:val="24"/>
          <w:szCs w:val="24"/>
        </w:rPr>
        <w:lastRenderedPageBreak/>
        <w:t>synthetic auxin, is widely used for rooting stem cuttings and is more effective when dissolved in acetone or ethanol (</w:t>
      </w:r>
      <w:proofErr w:type="spellStart"/>
      <w:r>
        <w:rPr>
          <w:rFonts w:ascii="Times New Roman" w:hAnsi="Times New Roman" w:cs="Times New Roman"/>
          <w:sz w:val="24"/>
          <w:szCs w:val="24"/>
        </w:rPr>
        <w:t>Amissah</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Bassuk</w:t>
      </w:r>
      <w:proofErr w:type="spellEnd"/>
      <w:r>
        <w:rPr>
          <w:rFonts w:ascii="Times New Roman" w:hAnsi="Times New Roman" w:cs="Times New Roman"/>
          <w:sz w:val="24"/>
          <w:szCs w:val="24"/>
        </w:rPr>
        <w:t>, 2004).</w:t>
      </w:r>
    </w:p>
    <w:p w:rsidR="00251C62" w:rsidRDefault="00B00BC3">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rooting success of cuttings can be influenced by various factors, including the position of the crown on the parent plant, the length of the cuttings, and the duration for which cuttings are soaked in external hormones (</w:t>
      </w:r>
      <w:proofErr w:type="spellStart"/>
      <w:r>
        <w:rPr>
          <w:rFonts w:ascii="Times New Roman" w:eastAsia="Times New Roman" w:hAnsi="Times New Roman" w:cs="Times New Roman"/>
          <w:sz w:val="24"/>
          <w:szCs w:val="24"/>
        </w:rPr>
        <w:t>Elhaak</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2015). Nonetheless, the impact of these factors on root initiation can differ between species.</w:t>
      </w:r>
    </w:p>
    <w:p w:rsidR="00251C62" w:rsidRDefault="00B00BC3">
      <w:pPr>
        <w:pBdr>
          <w:bottom w:val="single" w:sz="6" w:space="1" w:color="auto"/>
        </w:pBdr>
        <w:spacing w:after="0" w:line="360" w:lineRule="auto"/>
        <w:jc w:val="both"/>
        <w:rPr>
          <w:rFonts w:ascii="Times New Roman" w:eastAsia="Times New Roman" w:hAnsi="Times New Roman" w:cs="Times New Roman"/>
          <w:vanish/>
          <w:sz w:val="24"/>
          <w:szCs w:val="24"/>
        </w:rPr>
      </w:pPr>
      <w:r>
        <w:rPr>
          <w:rFonts w:ascii="Times New Roman" w:eastAsia="Times New Roman" w:hAnsi="Times New Roman" w:cs="Times New Roman"/>
          <w:vanish/>
          <w:sz w:val="24"/>
          <w:szCs w:val="24"/>
        </w:rPr>
        <w:t>Top of Form</w:t>
      </w:r>
    </w:p>
    <w:p w:rsidR="00251C62" w:rsidRDefault="00B00BC3">
      <w:pPr>
        <w:pBdr>
          <w:top w:val="single" w:sz="6" w:space="1" w:color="auto"/>
        </w:pBdr>
        <w:spacing w:after="0" w:line="360" w:lineRule="auto"/>
        <w:jc w:val="both"/>
        <w:rPr>
          <w:rFonts w:ascii="Times New Roman" w:eastAsia="Times New Roman" w:hAnsi="Times New Roman" w:cs="Times New Roman"/>
          <w:vanish/>
          <w:sz w:val="24"/>
          <w:szCs w:val="24"/>
        </w:rPr>
      </w:pPr>
      <w:r>
        <w:rPr>
          <w:rFonts w:ascii="Times New Roman" w:eastAsia="Times New Roman" w:hAnsi="Times New Roman" w:cs="Times New Roman"/>
          <w:vanish/>
          <w:sz w:val="24"/>
          <w:szCs w:val="24"/>
        </w:rPr>
        <w:t>Bottom of Form</w:t>
      </w:r>
    </w:p>
    <w:p w:rsidR="00251C62" w:rsidRDefault="00B00BC3">
      <w:pPr>
        <w:pStyle w:val="NormalWeb"/>
        <w:spacing w:line="360" w:lineRule="auto"/>
        <w:jc w:val="both"/>
      </w:pPr>
      <w:r>
        <w:t xml:space="preserve">All classes of exogenous hormones auxin, cytokinin, </w:t>
      </w:r>
      <w:proofErr w:type="spellStart"/>
      <w:r>
        <w:t>gibberlin</w:t>
      </w:r>
      <w:proofErr w:type="spellEnd"/>
      <w:r>
        <w:t xml:space="preserve">, ethylene, and abscisic acid, and ancillary compounds such as growth retardants/inhibitors, polyamines, and phenolics influence root initiation directly or indirectly (Davis and </w:t>
      </w:r>
      <w:proofErr w:type="spellStart"/>
      <w:r>
        <w:t>Haissig</w:t>
      </w:r>
      <w:proofErr w:type="spellEnd"/>
      <w:r>
        <w:t xml:space="preserve"> 1990). Exogenous hormones are commonly used in plant propagation methods to enhance the root development, number, and quality of roots. Generally, a high or low concentration of exogenous hormones supplemented in the propagation method could promote or inhibit cell growth. Auxin and gibberellin, particularly IBA, NAA, IAA, and GGR6, have been shown to promote rooting in various plant species, though the success rates can differ. Many studies indicate that IBA and NAA are more effective growth regulators for inducing rooting in cuttings, primarily due to their stability.</w:t>
      </w:r>
    </w:p>
    <w:p w:rsidR="00251C62" w:rsidRDefault="00B00BC3">
      <w:pPr>
        <w:spacing w:line="360" w:lineRule="auto"/>
        <w:jc w:val="both"/>
        <w:rPr>
          <w:rFonts w:ascii="Times New Roman" w:hAnsi="Times New Roman" w:cs="Times New Roman"/>
          <w:i/>
          <w:iCs/>
          <w:sz w:val="24"/>
          <w:szCs w:val="24"/>
        </w:rPr>
      </w:pPr>
      <w:r>
        <w:rPr>
          <w:rFonts w:ascii="Times New Roman" w:eastAsia="Times New Roman" w:hAnsi="Times New Roman" w:cs="Times New Roman"/>
          <w:sz w:val="24"/>
          <w:szCs w:val="24"/>
        </w:rPr>
        <w:t xml:space="preserve">The etiolation process involves covering the shoots with a black cloth structure at the onset of bud break and before leaves emerge. This setup is kept in place to block light from reaching the developing shoots until they have grown sufficiently, typically 2 to 5 inches, to allow for banding. Shoot elongation is monitored through brief visual inspections every few days. Once etiolation is complete, banding material is applied to the base of the etiolated shoots. Hormones may be applied alongside the Velcro band at this time. After approximately four weeks, the cutting is taken by severing the shoot just below the band, which is then removed. The cutting is placed in a mist propagation chamber for rooting, and before insertion, the cuttings are treated with IBA. </w:t>
      </w:r>
      <w:r>
        <w:rPr>
          <w:rFonts w:ascii="Times New Roman" w:hAnsi="Times New Roman" w:cs="Times New Roman"/>
          <w:sz w:val="24"/>
          <w:szCs w:val="24"/>
        </w:rPr>
        <w:t>Stems that are etiolated or shaded tend to develop thicker layers of less specialized parenchymal tissue. This tissue has a higher potential for meristematic activity, which can easily trigger the formation of adventitious root primordia</w:t>
      </w:r>
      <w:r>
        <w:rPr>
          <w:rFonts w:ascii="Times New Roman" w:eastAsia="Times New Roman" w:hAnsi="Times New Roman" w:cs="Times New Roman"/>
          <w:sz w:val="24"/>
          <w:szCs w:val="24"/>
        </w:rPr>
        <w:t xml:space="preserve"> (Maynard and </w:t>
      </w:r>
      <w:proofErr w:type="spellStart"/>
      <w:r>
        <w:rPr>
          <w:rFonts w:ascii="Times New Roman" w:eastAsia="Times New Roman" w:hAnsi="Times New Roman" w:cs="Times New Roman"/>
          <w:sz w:val="24"/>
          <w:szCs w:val="24"/>
        </w:rPr>
        <w:t>Bassuk</w:t>
      </w:r>
      <w:proofErr w:type="spellEnd"/>
      <w:r>
        <w:rPr>
          <w:rFonts w:ascii="Times New Roman" w:eastAsia="Times New Roman" w:hAnsi="Times New Roman" w:cs="Times New Roman"/>
          <w:sz w:val="24"/>
          <w:szCs w:val="24"/>
        </w:rPr>
        <w:t>, 1985).</w:t>
      </w:r>
    </w:p>
    <w:p w:rsidR="00251C62" w:rsidRDefault="00251C62">
      <w:pPr>
        <w:spacing w:line="360" w:lineRule="auto"/>
        <w:jc w:val="both"/>
        <w:rPr>
          <w:rFonts w:ascii="Times New Roman" w:hAnsi="Times New Roman" w:cs="Times New Roman"/>
          <w:b/>
          <w:iCs/>
          <w:sz w:val="28"/>
          <w:szCs w:val="28"/>
        </w:rPr>
      </w:pPr>
    </w:p>
    <w:p w:rsidR="00251C62" w:rsidRDefault="00B00BC3">
      <w:pPr>
        <w:spacing w:line="360" w:lineRule="auto"/>
        <w:jc w:val="both"/>
        <w:rPr>
          <w:rFonts w:ascii="Times New Roman" w:hAnsi="Times New Roman" w:cs="Times New Roman"/>
          <w:b/>
          <w:iCs/>
          <w:sz w:val="28"/>
          <w:szCs w:val="28"/>
        </w:rPr>
      </w:pPr>
      <w:r>
        <w:rPr>
          <w:rFonts w:ascii="Times New Roman" w:hAnsi="Times New Roman" w:cs="Times New Roman"/>
          <w:b/>
          <w:iCs/>
          <w:sz w:val="28"/>
          <w:szCs w:val="28"/>
        </w:rPr>
        <w:t>Materials and Methods</w:t>
      </w:r>
    </w:p>
    <w:p w:rsidR="00251C62" w:rsidRDefault="00B00BC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The investigation “</w:t>
      </w:r>
      <w:r>
        <w:rPr>
          <w:rFonts w:ascii="Times New Roman" w:hAnsi="Times New Roman" w:cs="Times New Roman"/>
          <w:b/>
          <w:sz w:val="24"/>
          <w:szCs w:val="24"/>
        </w:rPr>
        <w:t xml:space="preserve">Effect of etiolation and IBA on </w:t>
      </w:r>
      <w:proofErr w:type="spellStart"/>
      <w:r>
        <w:rPr>
          <w:rFonts w:ascii="Times New Roman" w:hAnsi="Times New Roman" w:cs="Times New Roman"/>
          <w:b/>
          <w:sz w:val="24"/>
          <w:szCs w:val="24"/>
        </w:rPr>
        <w:t>Rhizogenesis</w:t>
      </w:r>
      <w:proofErr w:type="spellEnd"/>
      <w:r>
        <w:rPr>
          <w:rFonts w:ascii="Times New Roman" w:hAnsi="Times New Roman" w:cs="Times New Roman"/>
          <w:b/>
          <w:sz w:val="24"/>
          <w:szCs w:val="24"/>
        </w:rPr>
        <w:t xml:space="preserve"> of </w:t>
      </w:r>
      <w:r>
        <w:rPr>
          <w:rFonts w:ascii="Times New Roman" w:hAnsi="Times New Roman" w:cs="Times New Roman"/>
          <w:b/>
          <w:i/>
          <w:sz w:val="24"/>
          <w:szCs w:val="24"/>
        </w:rPr>
        <w:t xml:space="preserve">Magnolia </w:t>
      </w:r>
      <w:proofErr w:type="spellStart"/>
      <w:r>
        <w:rPr>
          <w:rFonts w:ascii="Times New Roman" w:hAnsi="Times New Roman" w:cs="Times New Roman"/>
          <w:b/>
          <w:i/>
          <w:sz w:val="24"/>
          <w:szCs w:val="24"/>
        </w:rPr>
        <w:t>liliiflora</w:t>
      </w:r>
      <w:proofErr w:type="spellEnd"/>
      <w:r>
        <w:rPr>
          <w:rFonts w:ascii="Times New Roman" w:hAnsi="Times New Roman" w:cs="Times New Roman"/>
          <w:b/>
          <w:sz w:val="24"/>
          <w:szCs w:val="24"/>
        </w:rPr>
        <w:t xml:space="preserve">” </w:t>
      </w:r>
      <w:r>
        <w:rPr>
          <w:rFonts w:ascii="Times New Roman" w:hAnsi="Times New Roman" w:cs="Times New Roman"/>
          <w:sz w:val="24"/>
          <w:szCs w:val="24"/>
        </w:rPr>
        <w:t xml:space="preserve">was conducted during the year 2023-24, in the propagation unit at the experimental Field of Division of Floriculture and Landscape Architecture, Sher-e-Kashmir University of Agricultural Sciences and Technology of Kashmir. The District of Srinagar in the Union Territory of Jammu and Kashmir lies between </w:t>
      </w:r>
      <w:proofErr w:type="gramStart"/>
      <w:r>
        <w:rPr>
          <w:rFonts w:ascii="Times New Roman" w:hAnsi="Times New Roman" w:cs="Times New Roman"/>
          <w:sz w:val="24"/>
          <w:szCs w:val="24"/>
        </w:rPr>
        <w:t>35.5 and 34.7 degrees</w:t>
      </w:r>
      <w:proofErr w:type="gramEnd"/>
      <w:r>
        <w:rPr>
          <w:rFonts w:ascii="Times New Roman" w:hAnsi="Times New Roman" w:cs="Times New Roman"/>
          <w:sz w:val="24"/>
          <w:szCs w:val="24"/>
        </w:rPr>
        <w:t xml:space="preserve"> North latitude and 74.8 to 74.9 degrees East longitude, at an elevation of 1,588 meters above sea level. It is bordered by the impressive Himalayan ranges to the southeast and northeast. The SKUAST-K campus is located at the base of these ranges to the northeast, roughly 15 km from the city center. The climate in general is temperate-cum-Mediterranean and of continental type that is characterized by hot summer and severe cold. Winter extends over 70 days from the middle of December to middle of March with June and July being hottest months and January and February the coldest months.</w:t>
      </w:r>
      <w:r>
        <w:rPr>
          <w:rFonts w:ascii="Times New Roman" w:eastAsia="Times New Roman" w:hAnsi="Times New Roman" w:cs="Times New Roman"/>
          <w:sz w:val="24"/>
          <w:szCs w:val="24"/>
        </w:rPr>
        <w:t xml:space="preserve"> Careful measures were taken to ensure that the cuttings were of similar size. Primarily, cuttings measuring about 10 cm in length and approximately 20 mm in diameter were collected from healthy branches of mother plant.</w:t>
      </w:r>
      <w:r>
        <w:rPr>
          <w:rFonts w:ascii="Times New Roman" w:hAnsi="Times New Roman" w:cs="Times New Roman"/>
          <w:sz w:val="24"/>
          <w:szCs w:val="24"/>
        </w:rPr>
        <w:t xml:space="preserve"> During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week of April limbs were bent downwards to allow lateral shoots to grow. In the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week of April when newly grown shoots are about two inches’ etiolation with adhesive tape covering one inch of shoots leaving one inch free. After about 6 weeks (in first week of June) when shoots are about 7 inches with etiolated basal portion along with equal number of non-etiolated cuttings were taken with their leaves intact.</w:t>
      </w:r>
      <w:r>
        <w:rPr>
          <w:rFonts w:ascii="Times New Roman" w:eastAsia="Times New Roman" w:hAnsi="Times New Roman" w:cs="Times New Roman"/>
          <w:sz w:val="24"/>
          <w:szCs w:val="24"/>
        </w:rPr>
        <w:t xml:space="preserve"> The experiment was carried out in the propagation unit at the experimental field to ensure optimal temperature for root development. Coarse sand was used as the rooting medium, which was drenched with a 0.02% Bavistin solution before planting the cuttings to prevent the transmission of fungal diseases.</w:t>
      </w:r>
      <w:r>
        <w:rPr>
          <w:rFonts w:ascii="Times New Roman" w:hAnsi="Times New Roman" w:cs="Times New Roman"/>
          <w:sz w:val="24"/>
          <w:szCs w:val="24"/>
        </w:rPr>
        <w:t xml:space="preserve"> A straight, horizontal cut was made at the base of each cutting, right below a node. The lower ends of the cuttings were then briefly dipped for 5 seconds in different concentrations of IBA: 1000 ppm, 2000 ppm, and 3000 ppm. Twenty cuttings from each treatment were treated with IBA, and the experiment was replicated thrice using a completely randomized design. Some cuttings were not immersed in any solution and were planted directly after the horizontal cut, as control. The cuttings of </w:t>
      </w:r>
      <w:r>
        <w:rPr>
          <w:rFonts w:ascii="Times New Roman" w:hAnsi="Times New Roman" w:cs="Times New Roman"/>
          <w:i/>
          <w:sz w:val="24"/>
          <w:szCs w:val="24"/>
        </w:rPr>
        <w:t xml:space="preserve">Magnolia </w:t>
      </w:r>
      <w:proofErr w:type="spellStart"/>
      <w:r>
        <w:rPr>
          <w:rFonts w:ascii="Times New Roman" w:hAnsi="Times New Roman" w:cs="Times New Roman"/>
          <w:i/>
          <w:sz w:val="24"/>
          <w:szCs w:val="24"/>
        </w:rPr>
        <w:t>liliiflora</w:t>
      </w:r>
      <w:proofErr w:type="spellEnd"/>
      <w:r>
        <w:rPr>
          <w:rFonts w:ascii="Times New Roman" w:hAnsi="Times New Roman" w:cs="Times New Roman"/>
          <w:sz w:val="24"/>
          <w:szCs w:val="24"/>
        </w:rPr>
        <w:t xml:space="preserve"> treated with IBA were immediately planted during the third week of July. Care was taken to ensure the rooting medium remained moist through regular water spraying, and weeds and dead cuttings were frequently removed. Observations on rooting behavior were recorded 45 days after planting the cuttings. All data collected for the various parameters in </w:t>
      </w:r>
      <w:proofErr w:type="gramStart"/>
      <w:r>
        <w:rPr>
          <w:rFonts w:ascii="Times New Roman" w:hAnsi="Times New Roman" w:cs="Times New Roman"/>
          <w:sz w:val="24"/>
          <w:szCs w:val="24"/>
        </w:rPr>
        <w:t>this studies</w:t>
      </w:r>
      <w:proofErr w:type="gramEnd"/>
      <w:r>
        <w:rPr>
          <w:rFonts w:ascii="Times New Roman" w:hAnsi="Times New Roman" w:cs="Times New Roman"/>
          <w:sz w:val="24"/>
          <w:szCs w:val="24"/>
        </w:rPr>
        <w:t xml:space="preserve"> were statistically analyzed using the methods outlined by Gomez and Gomez (1983). The data related to the rooted </w:t>
      </w:r>
      <w:r>
        <w:rPr>
          <w:rFonts w:ascii="Times New Roman" w:hAnsi="Times New Roman" w:cs="Times New Roman"/>
          <w:sz w:val="24"/>
          <w:szCs w:val="24"/>
        </w:rPr>
        <w:lastRenderedPageBreak/>
        <w:t>cuttings were subjected to analysis of variance for a completely randomized design with three replications, utilizing O.P. Stat. Significance was tested using ‘F’ values at the 5% level of probability. Critical difference (CD) values were calculated whenever the ‘F’ test indicated significance.</w:t>
      </w:r>
    </w:p>
    <w:p w:rsidR="00251C62" w:rsidRDefault="00B00BC3">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809750" cy="22167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9673" cy="2265979"/>
                    </a:xfrm>
                    <a:prstGeom prst="rect">
                      <a:avLst/>
                    </a:prstGeom>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1628775" cy="2243455"/>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9095" cy="2285362"/>
                    </a:xfrm>
                    <a:prstGeom prst="rect">
                      <a:avLst/>
                    </a:prstGeom>
                  </pic:spPr>
                </pic:pic>
              </a:graphicData>
            </a:graphic>
          </wp:inline>
        </w:drawing>
      </w:r>
    </w:p>
    <w:p w:rsidR="00E64426" w:rsidRDefault="00E64426">
      <w:pPr>
        <w:spacing w:line="360" w:lineRule="auto"/>
        <w:rPr>
          <w:rFonts w:ascii="Times New Roman" w:hAnsi="Times New Roman" w:cs="Times New Roman"/>
          <w:b/>
          <w:sz w:val="24"/>
          <w:szCs w:val="24"/>
        </w:rPr>
      </w:pPr>
      <w:r w:rsidRPr="00E64426">
        <w:rPr>
          <w:rFonts w:ascii="Times New Roman" w:hAnsi="Times New Roman" w:cs="Times New Roman"/>
          <w:b/>
          <w:sz w:val="24"/>
          <w:szCs w:val="24"/>
        </w:rPr>
        <w:t xml:space="preserve">1A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64426">
        <w:rPr>
          <w:rFonts w:ascii="Times New Roman" w:hAnsi="Times New Roman" w:cs="Times New Roman"/>
          <w:b/>
          <w:sz w:val="24"/>
          <w:szCs w:val="24"/>
        </w:rPr>
        <w:t>1B</w:t>
      </w:r>
      <w:r>
        <w:rPr>
          <w:rFonts w:ascii="Times New Roman" w:hAnsi="Times New Roman" w:cs="Times New Roman"/>
          <w:b/>
          <w:sz w:val="24"/>
          <w:szCs w:val="24"/>
        </w:rPr>
        <w:tab/>
      </w:r>
    </w:p>
    <w:p w:rsidR="00E64426" w:rsidRDefault="00E64426">
      <w:pPr>
        <w:spacing w:line="360" w:lineRule="auto"/>
        <w:rPr>
          <w:rFonts w:ascii="Times New Roman" w:hAnsi="Times New Roman" w:cs="Times New Roman"/>
          <w:b/>
          <w:sz w:val="24"/>
          <w:szCs w:val="24"/>
        </w:rPr>
      </w:pPr>
      <w:r w:rsidRPr="00E64426">
        <w:rPr>
          <w:rFonts w:ascii="Times New Roman" w:hAnsi="Times New Roman" w:cs="Times New Roman"/>
          <w:b/>
          <w:sz w:val="24"/>
          <w:szCs w:val="24"/>
        </w:rPr>
        <w:t>FIG 1A,1</w:t>
      </w:r>
      <w:proofErr w:type="gramStart"/>
      <w:r w:rsidRPr="00E64426">
        <w:rPr>
          <w:rFonts w:ascii="Times New Roman" w:hAnsi="Times New Roman" w:cs="Times New Roman"/>
          <w:b/>
          <w:sz w:val="24"/>
          <w:szCs w:val="24"/>
        </w:rPr>
        <w:t>B</w:t>
      </w:r>
      <w:r w:rsidRPr="00E64426">
        <w:t xml:space="preserve"> </w:t>
      </w:r>
      <w:r>
        <w:t xml:space="preserve"> </w:t>
      </w:r>
      <w:r w:rsidRPr="00E64426">
        <w:rPr>
          <w:rFonts w:ascii="Times New Roman" w:hAnsi="Times New Roman" w:cs="Times New Roman"/>
          <w:b/>
          <w:sz w:val="24"/>
          <w:szCs w:val="24"/>
        </w:rPr>
        <w:t>Banding</w:t>
      </w:r>
      <w:proofErr w:type="gramEnd"/>
      <w:r w:rsidRPr="00E64426">
        <w:rPr>
          <w:rFonts w:ascii="Times New Roman" w:hAnsi="Times New Roman" w:cs="Times New Roman"/>
          <w:b/>
          <w:sz w:val="24"/>
          <w:szCs w:val="24"/>
        </w:rPr>
        <w:t xml:space="preserve"> of shoots</w:t>
      </w:r>
    </w:p>
    <w:p w:rsidR="00251C62" w:rsidRDefault="00251C62">
      <w:pPr>
        <w:spacing w:line="360" w:lineRule="auto"/>
        <w:rPr>
          <w:rFonts w:ascii="Times New Roman" w:hAnsi="Times New Roman" w:cs="Times New Roman"/>
          <w:b/>
          <w:sz w:val="24"/>
          <w:szCs w:val="24"/>
        </w:rPr>
      </w:pPr>
    </w:p>
    <w:p w:rsidR="00251C62" w:rsidRDefault="00B00BC3">
      <w:pPr>
        <w:spacing w:line="360" w:lineRule="auto"/>
        <w:rPr>
          <w:rFonts w:ascii="Times New Roman" w:hAnsi="Times New Roman" w:cs="Times New Roman"/>
          <w:b/>
          <w:sz w:val="24"/>
          <w:szCs w:val="24"/>
        </w:rPr>
      </w:pPr>
      <w:r>
        <w:rPr>
          <w:rFonts w:ascii="Times New Roman" w:hAnsi="Times New Roman" w:cs="Times New Roman"/>
          <w:noProof/>
          <w:sz w:val="24"/>
          <w:szCs w:val="24"/>
        </w:rPr>
        <w:drawing>
          <wp:inline distT="0" distB="0" distL="0" distR="0">
            <wp:extent cx="1971675" cy="20789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3462" cy="2113027"/>
                    </a:xfrm>
                    <a:prstGeom prst="rect">
                      <a:avLst/>
                    </a:prstGeom>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1724025" cy="2128520"/>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58992" cy="2171928"/>
                    </a:xfrm>
                    <a:prstGeom prst="rect">
                      <a:avLst/>
                    </a:prstGeom>
                  </pic:spPr>
                </pic:pic>
              </a:graphicData>
            </a:graphic>
          </wp:inline>
        </w:drawing>
      </w:r>
    </w:p>
    <w:p w:rsidR="00251C62" w:rsidRDefault="00E64426">
      <w:pPr>
        <w:spacing w:line="360" w:lineRule="auto"/>
        <w:rPr>
          <w:rFonts w:ascii="Times New Roman" w:hAnsi="Times New Roman" w:cs="Times New Roman"/>
          <w:b/>
          <w:sz w:val="24"/>
          <w:szCs w:val="24"/>
        </w:rPr>
      </w:pPr>
      <w:r w:rsidRPr="00E64426">
        <w:rPr>
          <w:rFonts w:ascii="Times New Roman" w:hAnsi="Times New Roman" w:cs="Times New Roman"/>
          <w:b/>
          <w:sz w:val="24"/>
          <w:szCs w:val="24"/>
        </w:rPr>
        <w:t xml:space="preserve">FIG </w:t>
      </w:r>
      <w:r>
        <w:rPr>
          <w:rFonts w:ascii="Times New Roman" w:hAnsi="Times New Roman" w:cs="Times New Roman"/>
          <w:b/>
          <w:sz w:val="24"/>
          <w:szCs w:val="24"/>
        </w:rPr>
        <w:t xml:space="preserve">2 </w:t>
      </w:r>
      <w:r w:rsidR="00B00BC3">
        <w:rPr>
          <w:rFonts w:ascii="Times New Roman" w:hAnsi="Times New Roman" w:cs="Times New Roman"/>
          <w:b/>
          <w:sz w:val="24"/>
          <w:szCs w:val="24"/>
        </w:rPr>
        <w:t xml:space="preserve">Preparation of cuttings                    </w:t>
      </w:r>
      <w:r w:rsidR="00B00BC3">
        <w:rPr>
          <w:rFonts w:ascii="Times New Roman" w:hAnsi="Times New Roman" w:cs="Times New Roman"/>
          <w:b/>
          <w:sz w:val="24"/>
          <w:szCs w:val="24"/>
        </w:rPr>
        <w:tab/>
      </w:r>
      <w:r>
        <w:rPr>
          <w:rFonts w:ascii="Times New Roman" w:hAnsi="Times New Roman" w:cs="Times New Roman"/>
          <w:b/>
          <w:sz w:val="24"/>
          <w:szCs w:val="24"/>
        </w:rPr>
        <w:t xml:space="preserve">        </w:t>
      </w:r>
      <w:r w:rsidRPr="00E64426">
        <w:rPr>
          <w:rFonts w:ascii="Times New Roman" w:hAnsi="Times New Roman" w:cs="Times New Roman"/>
          <w:b/>
          <w:sz w:val="24"/>
          <w:szCs w:val="24"/>
        </w:rPr>
        <w:t xml:space="preserve">FIG </w:t>
      </w:r>
      <w:r>
        <w:rPr>
          <w:rFonts w:ascii="Times New Roman" w:hAnsi="Times New Roman" w:cs="Times New Roman"/>
          <w:b/>
          <w:sz w:val="24"/>
          <w:szCs w:val="24"/>
        </w:rPr>
        <w:t>3</w:t>
      </w:r>
      <w:r w:rsidR="00B00BC3">
        <w:rPr>
          <w:rFonts w:ascii="Times New Roman" w:hAnsi="Times New Roman" w:cs="Times New Roman"/>
          <w:b/>
          <w:sz w:val="24"/>
          <w:szCs w:val="24"/>
        </w:rPr>
        <w:t xml:space="preserve"> Quick dip treatment</w:t>
      </w:r>
    </w:p>
    <w:p w:rsidR="00251C62" w:rsidRDefault="00251C62">
      <w:pPr>
        <w:spacing w:line="360" w:lineRule="auto"/>
        <w:rPr>
          <w:rFonts w:ascii="Times New Roman" w:hAnsi="Times New Roman" w:cs="Times New Roman"/>
          <w:b/>
          <w:sz w:val="24"/>
          <w:szCs w:val="24"/>
        </w:rPr>
      </w:pPr>
    </w:p>
    <w:p w:rsidR="00251C62" w:rsidRDefault="00251C62">
      <w:pPr>
        <w:spacing w:line="360" w:lineRule="auto"/>
        <w:rPr>
          <w:rFonts w:ascii="Times New Roman" w:hAnsi="Times New Roman" w:cs="Times New Roman"/>
          <w:b/>
          <w:sz w:val="24"/>
          <w:szCs w:val="24"/>
        </w:rPr>
      </w:pPr>
    </w:p>
    <w:p w:rsidR="00251C62" w:rsidRDefault="00251C62">
      <w:pPr>
        <w:spacing w:line="360" w:lineRule="auto"/>
        <w:rPr>
          <w:rFonts w:ascii="Times New Roman" w:hAnsi="Times New Roman" w:cs="Times New Roman"/>
          <w:b/>
          <w:sz w:val="24"/>
          <w:szCs w:val="24"/>
        </w:rPr>
      </w:pPr>
    </w:p>
    <w:p w:rsidR="00251C62" w:rsidRDefault="00B00BC3">
      <w:pPr>
        <w:spacing w:line="360" w:lineRule="auto"/>
        <w:rPr>
          <w:rFonts w:ascii="Times New Roman" w:hAnsi="Times New Roman" w:cs="Times New Roman"/>
          <w:b/>
          <w:sz w:val="24"/>
          <w:szCs w:val="24"/>
        </w:rPr>
      </w:pPr>
      <w:r>
        <w:rPr>
          <w:rFonts w:ascii="Times New Roman" w:hAnsi="Times New Roman" w:cs="Times New Roman"/>
          <w:b/>
          <w:sz w:val="24"/>
          <w:szCs w:val="24"/>
        </w:rPr>
        <w:t>RESULT AND DISCUSSION</w:t>
      </w:r>
    </w:p>
    <w:p w:rsidR="00251C62" w:rsidRDefault="00B00BC3">
      <w:pPr>
        <w:pStyle w:val="ListParagraph"/>
        <w:spacing w:line="360" w:lineRule="auto"/>
        <w:ind w:left="780"/>
        <w:jc w:val="both"/>
        <w:rPr>
          <w:rFonts w:ascii="Times New Roman" w:hAnsi="Times New Roman" w:cs="Times New Roman"/>
          <w:sz w:val="24"/>
          <w:szCs w:val="24"/>
        </w:rPr>
      </w:pPr>
      <w:r>
        <w:rPr>
          <w:rFonts w:ascii="Times New Roman" w:hAnsi="Times New Roman" w:cs="Times New Roman"/>
          <w:b/>
          <w:sz w:val="24"/>
          <w:szCs w:val="24"/>
        </w:rPr>
        <w:object w:dxaOrig="6690" w:dyaOrig="3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25pt;height:334.5pt;rotation:-90;flip:x" o:ole="">
            <v:fill rotate="t"/>
            <v:imagedata r:id="rId11" o:title="" cropleft="11615f" embosscolor="white"/>
          </v:shape>
          <o:OLEObject Type="Embed" ProgID="Excel.Sheet.8" ShapeID="_x0000_i1025" DrawAspect="Content" ObjectID="_1828600450" r:id="rId12"/>
        </w:object>
      </w:r>
    </w:p>
    <w:p w:rsidR="00251C62" w:rsidRDefault="00B00BC3">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     Control                  1000 ppm        2000 ppm </w:t>
      </w:r>
      <w:r>
        <w:rPr>
          <w:rFonts w:ascii="Times New Roman" w:hAnsi="Times New Roman" w:cs="Times New Roman"/>
          <w:b/>
          <w:sz w:val="24"/>
          <w:szCs w:val="24"/>
        </w:rPr>
        <w:tab/>
        <w:t xml:space="preserve"> 3000 ppm</w:t>
      </w:r>
    </w:p>
    <w:p w:rsidR="00E64426" w:rsidRDefault="00E64426">
      <w:pPr>
        <w:spacing w:line="360" w:lineRule="auto"/>
        <w:ind w:firstLine="720"/>
        <w:jc w:val="both"/>
        <w:rPr>
          <w:rFonts w:ascii="Times New Roman" w:hAnsi="Times New Roman" w:cs="Times New Roman"/>
          <w:b/>
          <w:sz w:val="24"/>
          <w:szCs w:val="24"/>
        </w:rPr>
      </w:pPr>
      <w:r w:rsidRPr="00E64426">
        <w:rPr>
          <w:rFonts w:ascii="Times New Roman" w:hAnsi="Times New Roman" w:cs="Times New Roman"/>
          <w:b/>
          <w:sz w:val="24"/>
          <w:szCs w:val="24"/>
        </w:rPr>
        <w:t>FIG 4. Rooting density over different concentration</w:t>
      </w:r>
    </w:p>
    <w:p w:rsidR="001142C5" w:rsidRDefault="00B00BC3" w:rsidP="0089365E">
      <w:pPr>
        <w:spacing w:line="360" w:lineRule="auto"/>
        <w:ind w:left="720"/>
        <w:jc w:val="both"/>
        <w:rPr>
          <w:rFonts w:ascii="Times New Roman" w:eastAsia="Calibri" w:hAnsi="Times New Roman" w:cs="Times New Roman"/>
          <w:sz w:val="24"/>
          <w:szCs w:val="24"/>
          <w:lang w:bidi="ar"/>
        </w:rPr>
      </w:pPr>
      <w:r>
        <w:rPr>
          <w:rFonts w:ascii="Times New Roman" w:hAnsi="Times New Roman" w:cs="Times New Roman"/>
          <w:sz w:val="24"/>
          <w:szCs w:val="24"/>
        </w:rPr>
        <w:t xml:space="preserve">The results shown in the Table 1 indicate that the duration for rooting was significantly influenced by the etiolation treatment. Non-etiolated cuttings took more time to develop roots, with an average of 65.60 days, while etiolated cuttings exhibited the shortest rooting time, averaging 63.33 days. whereas non-etiolated cuttings took more days to root, averaging 62.28 days, while etiolated cuttings had the shortest rooting time, with an average of 55.47 days. The time required for rooting in </w:t>
      </w:r>
      <w:r>
        <w:rPr>
          <w:rFonts w:ascii="Times New Roman" w:hAnsi="Times New Roman" w:cs="Times New Roman"/>
          <w:i/>
          <w:sz w:val="24"/>
          <w:szCs w:val="24"/>
        </w:rPr>
        <w:t xml:space="preserve">Magnolia </w:t>
      </w:r>
      <w:proofErr w:type="spellStart"/>
      <w:r>
        <w:rPr>
          <w:rFonts w:ascii="Times New Roman" w:hAnsi="Times New Roman" w:cs="Times New Roman"/>
          <w:i/>
          <w:sz w:val="24"/>
          <w:szCs w:val="24"/>
        </w:rPr>
        <w:t>liliiflora</w:t>
      </w:r>
      <w:proofErr w:type="spellEnd"/>
      <w:r>
        <w:rPr>
          <w:rFonts w:ascii="Times New Roman" w:hAnsi="Times New Roman" w:cs="Times New Roman"/>
          <w:sz w:val="24"/>
          <w:szCs w:val="24"/>
        </w:rPr>
        <w:t xml:space="preserve"> was significantly influenced by the concentrations of IBA. As IBA levels increased from 0 ppm to 3000 ppm, there occurred a notable decrease in the time taken for root initiation. Among the different IBA concentrations, the control group had the longest average rooting time at 69.49 days, followed by the IBA 1000 ppm treatment at 66.66 days. The shortest time for root emergence was observed in cuttings treated with IBA 3000 ppm, averaging 58.10 days. This suggests that </w:t>
      </w:r>
      <w:proofErr w:type="spellStart"/>
      <w:r>
        <w:rPr>
          <w:rFonts w:ascii="Times New Roman" w:hAnsi="Times New Roman" w:cs="Times New Roman"/>
          <w:sz w:val="24"/>
          <w:szCs w:val="24"/>
        </w:rPr>
        <w:t>increasin</w:t>
      </w:r>
      <w:proofErr w:type="spellEnd"/>
      <w:r w:rsidR="00076D34" w:rsidRPr="00076D34">
        <w:rPr>
          <w:rFonts w:ascii="Times New Roman" w:eastAsia="Times New Roman" w:hAnsi="Times New Roman" w:cs="Times New Roman"/>
          <w:color w:val="222222"/>
          <w:sz w:val="24"/>
          <w:szCs w:val="24"/>
          <w:shd w:val="clear" w:color="auto" w:fill="FFFFFF"/>
        </w:rPr>
        <w:t xml:space="preserve"> </w:t>
      </w:r>
      <w:proofErr w:type="spellStart"/>
      <w:r w:rsidR="00076D34">
        <w:rPr>
          <w:rFonts w:ascii="Times New Roman" w:eastAsia="Times New Roman" w:hAnsi="Times New Roman" w:cs="Times New Roman"/>
          <w:color w:val="222222"/>
          <w:sz w:val="24"/>
          <w:szCs w:val="24"/>
          <w:shd w:val="clear" w:color="auto" w:fill="FFFFFF"/>
        </w:rPr>
        <w:t>Doud</w:t>
      </w:r>
      <w:proofErr w:type="spellEnd"/>
      <w:r w:rsidR="00076D34">
        <w:rPr>
          <w:rFonts w:ascii="Times New Roman" w:eastAsia="Times New Roman" w:hAnsi="Times New Roman" w:cs="Times New Roman"/>
          <w:color w:val="222222"/>
          <w:sz w:val="24"/>
          <w:szCs w:val="24"/>
          <w:shd w:val="clear" w:color="auto" w:fill="FFFFFF"/>
        </w:rPr>
        <w:t xml:space="preserve">, S. L. and Carlson, R. F. 1997. Effects of Etiolation, </w:t>
      </w:r>
      <w:proofErr w:type="spellStart"/>
      <w:r w:rsidR="00076D34">
        <w:rPr>
          <w:rFonts w:ascii="Times New Roman" w:eastAsia="Times New Roman" w:hAnsi="Times New Roman" w:cs="Times New Roman"/>
          <w:color w:val="222222"/>
          <w:sz w:val="24"/>
          <w:szCs w:val="24"/>
          <w:shd w:val="clear" w:color="auto" w:fill="FFFFFF"/>
        </w:rPr>
        <w:t>StemAnatomy</w:t>
      </w:r>
      <w:proofErr w:type="spellEnd"/>
      <w:r w:rsidR="00076D34">
        <w:rPr>
          <w:rFonts w:ascii="Times New Roman" w:eastAsia="Times New Roman" w:hAnsi="Times New Roman" w:cs="Times New Roman"/>
          <w:color w:val="222222"/>
          <w:sz w:val="24"/>
          <w:szCs w:val="24"/>
          <w:shd w:val="clear" w:color="auto" w:fill="FFFFFF"/>
        </w:rPr>
        <w:t xml:space="preserve">, and Starch Reserves on Root </w:t>
      </w:r>
      <w:proofErr w:type="spellStart"/>
      <w:r w:rsidR="00076D34">
        <w:rPr>
          <w:rFonts w:ascii="Times New Roman" w:eastAsia="Times New Roman" w:hAnsi="Times New Roman" w:cs="Times New Roman"/>
          <w:color w:val="222222"/>
          <w:sz w:val="24"/>
          <w:szCs w:val="24"/>
          <w:shd w:val="clear" w:color="auto" w:fill="FFFFFF"/>
        </w:rPr>
        <w:t>Intiation</w:t>
      </w:r>
      <w:proofErr w:type="spellEnd"/>
      <w:r w:rsidR="00076D34">
        <w:rPr>
          <w:rFonts w:ascii="Times New Roman" w:eastAsia="Times New Roman" w:hAnsi="Times New Roman" w:cs="Times New Roman"/>
          <w:color w:val="222222"/>
          <w:sz w:val="24"/>
          <w:szCs w:val="24"/>
          <w:shd w:val="clear" w:color="auto" w:fill="FFFFFF"/>
        </w:rPr>
        <w:t xml:space="preserve"> of Layered Malus Clones.</w:t>
      </w:r>
      <w:r w:rsidR="00076D34">
        <w:rPr>
          <w:rFonts w:ascii="Times New Roman" w:eastAsia="Times New Roman" w:hAnsi="Times New Roman" w:cs="Times New Roman"/>
          <w:i/>
          <w:color w:val="222222"/>
          <w:sz w:val="24"/>
          <w:szCs w:val="24"/>
          <w:shd w:val="clear" w:color="auto" w:fill="FFFFFF"/>
        </w:rPr>
        <w:t xml:space="preserve"> Journal of the American Society for Horticultural Science,</w:t>
      </w:r>
      <w:r w:rsidR="00076D34">
        <w:rPr>
          <w:rFonts w:ascii="Times New Roman" w:eastAsia="Times New Roman" w:hAnsi="Times New Roman" w:cs="Times New Roman"/>
          <w:b/>
          <w:color w:val="222222"/>
          <w:sz w:val="24"/>
          <w:szCs w:val="24"/>
          <w:shd w:val="clear" w:color="auto" w:fill="FFFFFF"/>
        </w:rPr>
        <w:t>102</w:t>
      </w:r>
      <w:r w:rsidR="00076D34">
        <w:rPr>
          <w:rFonts w:ascii="Times New Roman" w:eastAsia="Times New Roman" w:hAnsi="Times New Roman" w:cs="Times New Roman"/>
          <w:color w:val="222222"/>
          <w:sz w:val="24"/>
          <w:szCs w:val="24"/>
          <w:shd w:val="clear" w:color="auto" w:fill="FFFFFF"/>
        </w:rPr>
        <w:t>(4): 487-491</w:t>
      </w:r>
      <w:r>
        <w:rPr>
          <w:rFonts w:ascii="Times New Roman" w:hAnsi="Times New Roman" w:cs="Times New Roman"/>
          <w:sz w:val="24"/>
          <w:szCs w:val="24"/>
        </w:rPr>
        <w:t>g IBA concentrations significantly reduced the time to rooting</w:t>
      </w:r>
      <w:r>
        <w:rPr>
          <w:rFonts w:ascii="Times New Roman" w:eastAsia="Times New Roman" w:hAnsi="Times New Roman" w:cs="Times New Roman"/>
          <w:sz w:val="24"/>
          <w:szCs w:val="24"/>
        </w:rPr>
        <w:t xml:space="preserve">. The root count of adventitious primary was greatly affected by the etiolation treatments in </w:t>
      </w:r>
      <w:r>
        <w:rPr>
          <w:rFonts w:ascii="Times New Roman" w:eastAsia="Times New Roman" w:hAnsi="Times New Roman" w:cs="Times New Roman"/>
          <w:i/>
          <w:sz w:val="24"/>
          <w:szCs w:val="24"/>
        </w:rPr>
        <w:t xml:space="preserve">Magnolia </w:t>
      </w:r>
      <w:proofErr w:type="spellStart"/>
      <w:r>
        <w:rPr>
          <w:rFonts w:ascii="Times New Roman" w:eastAsia="Times New Roman" w:hAnsi="Times New Roman" w:cs="Times New Roman"/>
          <w:i/>
          <w:sz w:val="24"/>
          <w:szCs w:val="24"/>
        </w:rPr>
        <w:t>liliiflora</w:t>
      </w:r>
      <w:proofErr w:type="spellEnd"/>
      <w:r>
        <w:rPr>
          <w:rFonts w:ascii="Times New Roman" w:hAnsi="Times New Roman" w:cs="Times New Roman"/>
          <w:sz w:val="24"/>
          <w:szCs w:val="24"/>
        </w:rPr>
        <w:t>.</w:t>
      </w:r>
      <w:r>
        <w:t xml:space="preserve"> </w:t>
      </w:r>
      <w:r>
        <w:rPr>
          <w:rFonts w:ascii="Times New Roman" w:hAnsi="Times New Roman" w:cs="Times New Roman"/>
          <w:sz w:val="24"/>
          <w:szCs w:val="24"/>
        </w:rPr>
        <w:t xml:space="preserve">The number </w:t>
      </w:r>
      <w:r>
        <w:rPr>
          <w:rFonts w:ascii="Times New Roman" w:hAnsi="Times New Roman" w:cs="Times New Roman"/>
          <w:sz w:val="24"/>
          <w:szCs w:val="24"/>
        </w:rPr>
        <w:lastRenderedPageBreak/>
        <w:t>of primary roots recorded were significantly lower in non-etiolated cuttings (2.63) compared to etiolated cuttings, which averaged 4.191, as illustrated in Ta</w:t>
      </w:r>
      <w:r w:rsidR="00D3267F">
        <w:rPr>
          <w:rFonts w:ascii="Times New Roman" w:hAnsi="Times New Roman" w:cs="Times New Roman"/>
          <w:sz w:val="24"/>
          <w:szCs w:val="24"/>
        </w:rPr>
        <w:t>ble 1</w:t>
      </w:r>
      <w:r>
        <w:rPr>
          <w:rFonts w:ascii="Times New Roman" w:hAnsi="Times New Roman" w:cs="Times New Roman"/>
          <w:sz w:val="24"/>
          <w:szCs w:val="24"/>
        </w:rPr>
        <w:t>.</w:t>
      </w:r>
      <w:r>
        <w:t xml:space="preserve"> </w:t>
      </w:r>
      <w:r>
        <w:rPr>
          <w:rFonts w:ascii="Times New Roman" w:hAnsi="Times New Roman" w:cs="Times New Roman"/>
          <w:sz w:val="24"/>
          <w:szCs w:val="24"/>
        </w:rPr>
        <w:t xml:space="preserve">The number of primary adventitious roots in </w:t>
      </w:r>
      <w:r>
        <w:rPr>
          <w:rFonts w:ascii="Times New Roman" w:hAnsi="Times New Roman" w:cs="Times New Roman"/>
          <w:i/>
          <w:sz w:val="24"/>
          <w:szCs w:val="24"/>
        </w:rPr>
        <w:t xml:space="preserve">Magnolia </w:t>
      </w:r>
      <w:proofErr w:type="spellStart"/>
      <w:r>
        <w:rPr>
          <w:rFonts w:ascii="Times New Roman" w:hAnsi="Times New Roman" w:cs="Times New Roman"/>
          <w:i/>
          <w:sz w:val="24"/>
          <w:szCs w:val="24"/>
        </w:rPr>
        <w:t>liliiflora</w:t>
      </w:r>
      <w:proofErr w:type="spellEnd"/>
      <w:r>
        <w:rPr>
          <w:rFonts w:ascii="Times New Roman" w:hAnsi="Times New Roman" w:cs="Times New Roman"/>
          <w:sz w:val="24"/>
          <w:szCs w:val="24"/>
        </w:rPr>
        <w:t xml:space="preserve"> were significantly influenced by varying IBA concentrations, the highest average of primary adventitious roots (5.05) were observed in cuttings treated with IBA 3000 ppm, while the lowest average (2.05) was recorded in the control group.</w:t>
      </w:r>
      <w:r w:rsidR="004C3E7A">
        <w:rPr>
          <w:rFonts w:ascii="Times New Roman" w:hAnsi="Times New Roman" w:cs="Times New Roman"/>
          <w:sz w:val="24"/>
          <w:szCs w:val="24"/>
        </w:rPr>
        <w:t xml:space="preserve"> This is in conformity with </w:t>
      </w:r>
      <w:r w:rsidR="00421519">
        <w:rPr>
          <w:rFonts w:ascii="Times New Roman" w:hAnsi="Times New Roman" w:cs="Times New Roman"/>
          <w:sz w:val="24"/>
          <w:szCs w:val="24"/>
        </w:rPr>
        <w:t xml:space="preserve">Jing </w:t>
      </w:r>
      <w:r w:rsidR="00421519" w:rsidRPr="00421519">
        <w:rPr>
          <w:rFonts w:ascii="Times New Roman" w:hAnsi="Times New Roman" w:cs="Times New Roman"/>
          <w:i/>
          <w:sz w:val="24"/>
          <w:szCs w:val="24"/>
        </w:rPr>
        <w:t>et al</w:t>
      </w:r>
      <w:r w:rsidR="00421519">
        <w:rPr>
          <w:rFonts w:ascii="Times New Roman" w:hAnsi="Times New Roman" w:cs="Times New Roman"/>
          <w:sz w:val="24"/>
          <w:szCs w:val="24"/>
        </w:rPr>
        <w:t xml:space="preserve"> 2018 and </w:t>
      </w:r>
      <w:r w:rsidR="004C3E7A">
        <w:rPr>
          <w:rFonts w:ascii="Times New Roman" w:hAnsi="Times New Roman" w:cs="Times New Roman"/>
          <w:sz w:val="24"/>
          <w:szCs w:val="24"/>
        </w:rPr>
        <w:t xml:space="preserve">Kamila </w:t>
      </w:r>
      <w:r w:rsidR="004C3E7A" w:rsidRPr="004C3E7A">
        <w:rPr>
          <w:rFonts w:ascii="Times New Roman" w:hAnsi="Times New Roman" w:cs="Times New Roman"/>
          <w:i/>
          <w:sz w:val="24"/>
          <w:szCs w:val="24"/>
        </w:rPr>
        <w:t>et al</w:t>
      </w:r>
      <w:r w:rsidR="004C3E7A">
        <w:rPr>
          <w:rFonts w:ascii="Times New Roman" w:hAnsi="Times New Roman" w:cs="Times New Roman"/>
          <w:sz w:val="24"/>
          <w:szCs w:val="24"/>
        </w:rPr>
        <w:t xml:space="preserve"> 2020.</w:t>
      </w:r>
      <w:r>
        <w:rPr>
          <w:rFonts w:ascii="Times New Roman" w:hAnsi="Times New Roman" w:cs="Times New Roman"/>
          <w:sz w:val="24"/>
          <w:szCs w:val="24"/>
        </w:rPr>
        <w:t xml:space="preserve"> The number of secondary roots obtained was significantly less in non-etiolated cuttings 9.05, as compared to number obtained in etiolated cuttings 13.69 in </w:t>
      </w:r>
      <w:r>
        <w:rPr>
          <w:rFonts w:ascii="Times New Roman" w:hAnsi="Times New Roman" w:cs="Times New Roman"/>
          <w:i/>
          <w:sz w:val="24"/>
          <w:szCs w:val="24"/>
        </w:rPr>
        <w:t xml:space="preserve">Magnolia </w:t>
      </w:r>
      <w:proofErr w:type="spellStart"/>
      <w:r>
        <w:rPr>
          <w:rFonts w:ascii="Times New Roman" w:hAnsi="Times New Roman" w:cs="Times New Roman"/>
          <w:i/>
          <w:sz w:val="24"/>
          <w:szCs w:val="24"/>
        </w:rPr>
        <w:t>liliiflora</w:t>
      </w:r>
      <w:proofErr w:type="spellEnd"/>
      <w:r>
        <w:rPr>
          <w:rFonts w:ascii="Times New Roman" w:hAnsi="Times New Roman" w:cs="Times New Roman"/>
          <w:sz w:val="24"/>
          <w:szCs w:val="24"/>
        </w:rPr>
        <w:t xml:space="preserve"> as depicted in the </w:t>
      </w:r>
      <w:r w:rsidR="00301B8E">
        <w:rPr>
          <w:rFonts w:ascii="Times New Roman" w:hAnsi="Times New Roman" w:cs="Times New Roman"/>
          <w:sz w:val="24"/>
          <w:szCs w:val="24"/>
        </w:rPr>
        <w:t>T</w:t>
      </w:r>
      <w:r>
        <w:rPr>
          <w:rFonts w:ascii="Times New Roman" w:hAnsi="Times New Roman" w:cs="Times New Roman"/>
          <w:sz w:val="24"/>
          <w:szCs w:val="24"/>
        </w:rPr>
        <w:t xml:space="preserve">able </w:t>
      </w:r>
      <w:r w:rsidR="00301B8E">
        <w:rPr>
          <w:rFonts w:ascii="Times New Roman" w:hAnsi="Times New Roman" w:cs="Times New Roman"/>
          <w:sz w:val="24"/>
          <w:szCs w:val="24"/>
        </w:rPr>
        <w:t>1</w:t>
      </w:r>
      <w:r>
        <w:rPr>
          <w:rFonts w:ascii="Times New Roman" w:hAnsi="Times New Roman" w:cs="Times New Roman"/>
          <w:sz w:val="24"/>
          <w:szCs w:val="24"/>
        </w:rPr>
        <w:t xml:space="preserve"> In </w:t>
      </w:r>
      <w:r>
        <w:rPr>
          <w:rFonts w:ascii="Times New Roman" w:hAnsi="Times New Roman" w:cs="Times New Roman"/>
          <w:i/>
          <w:sz w:val="24"/>
          <w:szCs w:val="24"/>
        </w:rPr>
        <w:t xml:space="preserve">Magnolia </w:t>
      </w:r>
      <w:proofErr w:type="spellStart"/>
      <w:r>
        <w:rPr>
          <w:rFonts w:ascii="Times New Roman" w:hAnsi="Times New Roman" w:cs="Times New Roman"/>
          <w:i/>
          <w:sz w:val="24"/>
          <w:szCs w:val="24"/>
        </w:rPr>
        <w:t>liliiflora</w:t>
      </w:r>
      <w:proofErr w:type="spellEnd"/>
      <w:r>
        <w:rPr>
          <w:rFonts w:ascii="Times New Roman" w:hAnsi="Times New Roman" w:cs="Times New Roman"/>
          <w:sz w:val="24"/>
          <w:szCs w:val="24"/>
        </w:rPr>
        <w:t xml:space="preserve"> the highest average number of secondary adventitious roots (16.77) were found in cuttings treated with IBA 3000 ppm, while the lowest average number (6.27) was recorded in the control group.</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The average length of adventitious primary roots was significantly influenced by etiolation treatments and was less in non-etiolated cuttings (5.65 cm) as compared to length of roots obtained in etiolated cuttings (7.34 cm) as depicted in the Table </w:t>
      </w:r>
      <w:r w:rsidR="00301B8E">
        <w:rPr>
          <w:rFonts w:ascii="Times New Roman" w:hAnsi="Times New Roman" w:cs="Times New Roman"/>
          <w:sz w:val="24"/>
          <w:szCs w:val="24"/>
        </w:rPr>
        <w:t>1</w:t>
      </w:r>
      <w:r>
        <w:rPr>
          <w:rFonts w:ascii="Times New Roman" w:hAnsi="Times New Roman" w:cs="Times New Roman"/>
          <w:sz w:val="24"/>
          <w:szCs w:val="24"/>
        </w:rPr>
        <w:t xml:space="preserve">. </w:t>
      </w:r>
      <w:r w:rsidR="009E1A0F">
        <w:rPr>
          <w:rFonts w:ascii="Times New Roman" w:hAnsi="Times New Roman" w:cs="Times New Roman"/>
          <w:sz w:val="24"/>
          <w:szCs w:val="24"/>
        </w:rPr>
        <w:t xml:space="preserve">These findings are in conformity with </w:t>
      </w:r>
      <w:r w:rsidR="009E1A0F" w:rsidRPr="009E1A0F">
        <w:rPr>
          <w:rFonts w:ascii="Times New Roman" w:hAnsi="Times New Roman" w:cs="Times New Roman"/>
          <w:bCs/>
          <w:sz w:val="24"/>
          <w:szCs w:val="24"/>
        </w:rPr>
        <w:t>De Klerk</w:t>
      </w:r>
      <w:r w:rsidR="009E1A0F">
        <w:rPr>
          <w:rFonts w:ascii="Times New Roman" w:hAnsi="Times New Roman" w:cs="Times New Roman"/>
          <w:bCs/>
          <w:sz w:val="24"/>
          <w:szCs w:val="24"/>
        </w:rPr>
        <w:t xml:space="preserve"> </w:t>
      </w:r>
      <w:r w:rsidR="009E1A0F" w:rsidRPr="009E1A0F">
        <w:rPr>
          <w:rFonts w:ascii="Times New Roman" w:hAnsi="Times New Roman" w:cs="Times New Roman"/>
          <w:bCs/>
          <w:i/>
          <w:sz w:val="24"/>
          <w:szCs w:val="24"/>
        </w:rPr>
        <w:t>et al</w:t>
      </w:r>
      <w:r w:rsidR="009E1A0F">
        <w:rPr>
          <w:rFonts w:ascii="Times New Roman" w:hAnsi="Times New Roman" w:cs="Times New Roman"/>
          <w:sz w:val="24"/>
          <w:szCs w:val="24"/>
        </w:rPr>
        <w:t xml:space="preserve"> 1999.</w:t>
      </w:r>
      <w:r>
        <w:rPr>
          <w:rFonts w:ascii="Times New Roman" w:hAnsi="Times New Roman" w:cs="Times New Roman"/>
          <w:sz w:val="24"/>
          <w:szCs w:val="24"/>
        </w:rPr>
        <w:t xml:space="preserve">Different concentrations of IBA significantly affected the length of primary roots per cutting (cm). The longest average length 10.11 cm was observed in cuttings treated with IBA 3000 ppm, while the shortest average length 4.02 cm, was recorded in the control group in </w:t>
      </w:r>
      <w:r>
        <w:rPr>
          <w:rFonts w:ascii="Times New Roman" w:hAnsi="Times New Roman" w:cs="Times New Roman"/>
          <w:i/>
          <w:sz w:val="24"/>
          <w:szCs w:val="24"/>
        </w:rPr>
        <w:t xml:space="preserve">Magnolia </w:t>
      </w:r>
      <w:proofErr w:type="spellStart"/>
      <w:r>
        <w:rPr>
          <w:rFonts w:ascii="Times New Roman" w:hAnsi="Times New Roman" w:cs="Times New Roman"/>
          <w:i/>
          <w:sz w:val="24"/>
          <w:szCs w:val="24"/>
        </w:rPr>
        <w:t>liliiflora</w:t>
      </w:r>
      <w:proofErr w:type="spellEnd"/>
      <w:r>
        <w:rPr>
          <w:rFonts w:ascii="Times New Roman" w:hAnsi="Times New Roman" w:cs="Times New Roman"/>
          <w:i/>
          <w:sz w:val="24"/>
          <w:szCs w:val="24"/>
        </w:rPr>
        <w:t>.</w:t>
      </w:r>
      <w:r>
        <w:rPr>
          <w:rFonts w:ascii="Times New Roman" w:hAnsi="Times New Roman" w:cs="Times New Roman"/>
          <w:sz w:val="24"/>
          <w:szCs w:val="24"/>
        </w:rPr>
        <w:t xml:space="preserve"> The data </w:t>
      </w:r>
      <w:r w:rsidR="003B1BE5">
        <w:rPr>
          <w:rFonts w:ascii="Times New Roman" w:hAnsi="Times New Roman" w:cs="Times New Roman"/>
          <w:sz w:val="24"/>
          <w:szCs w:val="24"/>
        </w:rPr>
        <w:t xml:space="preserve">displayed in the Table 1 </w:t>
      </w:r>
      <w:r>
        <w:rPr>
          <w:rFonts w:ascii="Times New Roman" w:hAnsi="Times New Roman" w:cs="Times New Roman"/>
          <w:sz w:val="24"/>
          <w:szCs w:val="24"/>
        </w:rPr>
        <w:t>showed that Etiolated cuttings recorded 35.83 per cent rooting which was significantly superior over non-etiolated cuttings (28</w:t>
      </w:r>
      <w:r w:rsidR="00276CAC">
        <w:rPr>
          <w:rFonts w:ascii="Times New Roman" w:hAnsi="Times New Roman" w:cs="Times New Roman"/>
          <w:sz w:val="24"/>
          <w:szCs w:val="24"/>
        </w:rPr>
        <w:t xml:space="preserve">.33). </w:t>
      </w:r>
      <w:proofErr w:type="gramStart"/>
      <w:r w:rsidR="00276CAC">
        <w:rPr>
          <w:rFonts w:ascii="Times New Roman" w:hAnsi="Times New Roman" w:cs="Times New Roman"/>
          <w:sz w:val="24"/>
          <w:szCs w:val="24"/>
        </w:rPr>
        <w:t>Also</w:t>
      </w:r>
      <w:proofErr w:type="gramEnd"/>
      <w:r w:rsidR="00276CAC">
        <w:rPr>
          <w:rFonts w:ascii="Times New Roman" w:hAnsi="Times New Roman" w:cs="Times New Roman"/>
          <w:sz w:val="24"/>
          <w:szCs w:val="24"/>
        </w:rPr>
        <w:t xml:space="preserve"> the data in Table 1</w:t>
      </w:r>
      <w:r>
        <w:rPr>
          <w:rFonts w:ascii="Times New Roman" w:hAnsi="Times New Roman" w:cs="Times New Roman"/>
          <w:sz w:val="24"/>
          <w:szCs w:val="24"/>
        </w:rPr>
        <w:t xml:space="preserve"> indicate that all concentrations of IBA significantly affected the rooting percentage. The maximum rooting percentage (45.83%) was observed at 3000 ppm, followed by 35.00% at 2000 ppm. The control group yielded only 17.50% rooting. The data on the diameter of adventitious primary roots was greatly impacted by the etiolation treatments in </w:t>
      </w:r>
      <w:r>
        <w:rPr>
          <w:rFonts w:ascii="Times New Roman" w:hAnsi="Times New Roman" w:cs="Times New Roman"/>
          <w:i/>
          <w:sz w:val="24"/>
          <w:szCs w:val="24"/>
        </w:rPr>
        <w:t xml:space="preserve">Magnolia </w:t>
      </w:r>
      <w:proofErr w:type="spellStart"/>
      <w:r>
        <w:rPr>
          <w:rFonts w:ascii="Times New Roman" w:hAnsi="Times New Roman" w:cs="Times New Roman"/>
          <w:i/>
          <w:sz w:val="24"/>
          <w:szCs w:val="24"/>
        </w:rPr>
        <w:t>liliiflora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The results shown in Table </w:t>
      </w:r>
      <w:r w:rsidR="00301B8E">
        <w:rPr>
          <w:rFonts w:ascii="Times New Roman" w:hAnsi="Times New Roman" w:cs="Times New Roman"/>
          <w:sz w:val="24"/>
          <w:szCs w:val="24"/>
        </w:rPr>
        <w:t xml:space="preserve">1 </w:t>
      </w:r>
      <w:r>
        <w:rPr>
          <w:rFonts w:ascii="Times New Roman" w:hAnsi="Times New Roman" w:cs="Times New Roman"/>
          <w:sz w:val="24"/>
          <w:szCs w:val="24"/>
        </w:rPr>
        <w:t>indicate that the diameter of primary roots in etiolated cuttings was significantly greater (2.21 mm) compared to the diameter of roots produced by non-etiolated cuttings (1.69 mm).  The data in Table</w:t>
      </w:r>
      <w:r w:rsidR="003B1BE5">
        <w:rPr>
          <w:rFonts w:ascii="Times New Roman" w:hAnsi="Times New Roman" w:cs="Times New Roman"/>
          <w:sz w:val="24"/>
          <w:szCs w:val="24"/>
        </w:rPr>
        <w:t>1</w:t>
      </w:r>
      <w:r>
        <w:rPr>
          <w:rFonts w:ascii="Times New Roman" w:hAnsi="Times New Roman" w:cs="Times New Roman"/>
          <w:sz w:val="24"/>
          <w:szCs w:val="24"/>
        </w:rPr>
        <w:t xml:space="preserve"> demonstrate that all levels of IBA had a significant impact on the diameter of primary roots compared to the control. The maximum diameter (2.38 mm) was observed in cuttings treated with IBA 3000 ppm, while the minimum diameter (1.53 mm) was noted in the control group.  </w:t>
      </w:r>
      <w:r>
        <w:rPr>
          <w:rFonts w:ascii="Times New Roman" w:eastAsia="Times New Roman" w:hAnsi="Times New Roman" w:cs="Times New Roman"/>
          <w:sz w:val="24"/>
          <w:szCs w:val="24"/>
        </w:rPr>
        <w:t xml:space="preserve">The results in Table </w:t>
      </w:r>
      <w:r w:rsidR="003B1BE5">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indicate that etiolated cuttings demonstrated a higher percentage of survival (59.33%) </w:t>
      </w:r>
      <w:r>
        <w:rPr>
          <w:rFonts w:ascii="Times New Roman" w:eastAsia="Times New Roman" w:hAnsi="Times New Roman" w:cs="Times New Roman"/>
          <w:sz w:val="24"/>
          <w:szCs w:val="24"/>
        </w:rPr>
        <w:lastRenderedPageBreak/>
        <w:t>compared to non-etiolated cuttings, which had a survival rate of 52.39%.</w:t>
      </w:r>
      <w:r>
        <w:rPr>
          <w:rFonts w:ascii="Times New Roman" w:hAnsi="Times New Roman" w:cs="Times New Roman"/>
          <w:sz w:val="24"/>
          <w:szCs w:val="24"/>
        </w:rPr>
        <w:t xml:space="preserve"> The results in Table </w:t>
      </w:r>
      <w:r w:rsidR="003B1BE5">
        <w:rPr>
          <w:rFonts w:ascii="Times New Roman" w:hAnsi="Times New Roman" w:cs="Times New Roman"/>
          <w:sz w:val="24"/>
          <w:szCs w:val="24"/>
        </w:rPr>
        <w:t>1</w:t>
      </w:r>
      <w:r>
        <w:rPr>
          <w:rFonts w:ascii="Times New Roman" w:hAnsi="Times New Roman" w:cs="Times New Roman"/>
          <w:sz w:val="24"/>
          <w:szCs w:val="24"/>
        </w:rPr>
        <w:t xml:space="preserve"> indicate that different concentrations of IBA significantly affected the survival rate of rooted cuttings (%). The highest survival rate (58.92%) was observed in cuttings treated with IBA 3000 ppm, while the lowest survival rate (51.66%) was noted in the control </w:t>
      </w:r>
      <w:r w:rsidR="00873BA5">
        <w:rPr>
          <w:rFonts w:ascii="Times New Roman" w:hAnsi="Times New Roman" w:cs="Times New Roman"/>
          <w:sz w:val="24"/>
          <w:szCs w:val="24"/>
        </w:rPr>
        <w:t>group.</w:t>
      </w:r>
      <w:r w:rsidR="00873BA5">
        <w:rPr>
          <w:rFonts w:ascii="Times New Roman" w:eastAsia="Calibri" w:hAnsi="Times New Roman" w:cs="Times New Roman"/>
          <w:sz w:val="24"/>
          <w:szCs w:val="24"/>
          <w:lang w:bidi="ar"/>
        </w:rPr>
        <w:t xml:space="preserve"> The</w:t>
      </w:r>
      <w:r>
        <w:rPr>
          <w:rFonts w:ascii="Times New Roman" w:eastAsia="Calibri" w:hAnsi="Times New Roman" w:cs="Times New Roman"/>
          <w:sz w:val="24"/>
          <w:szCs w:val="24"/>
          <w:lang w:bidi="ar"/>
        </w:rPr>
        <w:t xml:space="preserve"> survival percentage of cuttings rooted was significantly influenced by the interaction between etiolation and IBA </w:t>
      </w:r>
      <w:r w:rsidR="003E2E6A">
        <w:rPr>
          <w:rFonts w:ascii="Times New Roman" w:eastAsia="Calibri" w:hAnsi="Times New Roman" w:cs="Times New Roman"/>
          <w:sz w:val="24"/>
          <w:szCs w:val="24"/>
          <w:lang w:bidi="ar"/>
        </w:rPr>
        <w:t xml:space="preserve">concentrations. Similar results were observed by Sun </w:t>
      </w:r>
      <w:r w:rsidR="003E2E6A" w:rsidRPr="003E2E6A">
        <w:rPr>
          <w:rFonts w:ascii="Times New Roman" w:eastAsia="Calibri" w:hAnsi="Times New Roman" w:cs="Times New Roman"/>
          <w:i/>
          <w:sz w:val="24"/>
          <w:szCs w:val="24"/>
          <w:lang w:bidi="ar"/>
        </w:rPr>
        <w:t>et al</w:t>
      </w:r>
      <w:r w:rsidR="003E2E6A">
        <w:rPr>
          <w:rFonts w:ascii="Times New Roman" w:eastAsia="Calibri" w:hAnsi="Times New Roman" w:cs="Times New Roman"/>
          <w:sz w:val="24"/>
          <w:szCs w:val="24"/>
          <w:lang w:bidi="ar"/>
        </w:rPr>
        <w:t xml:space="preserve"> 1991.</w:t>
      </w:r>
    </w:p>
    <w:p w:rsidR="00D865CF" w:rsidRDefault="001142C5" w:rsidP="00D865CF">
      <w:pPr>
        <w:spacing w:line="360" w:lineRule="auto"/>
        <w:ind w:left="720" w:hanging="720"/>
        <w:jc w:val="both"/>
        <w:rPr>
          <w:rFonts w:ascii="Times New Roman" w:eastAsia="Times New Roman" w:hAnsi="Times New Roman" w:cs="Times New Roman"/>
          <w:sz w:val="24"/>
          <w:szCs w:val="24"/>
        </w:rPr>
      </w:pPr>
      <w:r>
        <w:rPr>
          <w:rFonts w:ascii="Times New Roman" w:eastAsia="Calibri" w:hAnsi="Times New Roman" w:cs="Times New Roman"/>
          <w:sz w:val="24"/>
          <w:szCs w:val="24"/>
          <w:lang w:bidi="ar"/>
        </w:rPr>
        <w:t xml:space="preserve">            </w:t>
      </w:r>
      <w:r w:rsidRPr="00BD3E5E">
        <w:rPr>
          <w:rFonts w:ascii="Times New Roman" w:eastAsia="Times New Roman" w:hAnsi="Times New Roman" w:cs="Times New Roman"/>
          <w:sz w:val="24"/>
          <w:szCs w:val="24"/>
        </w:rPr>
        <w:t xml:space="preserve">The increase in rooting percentage at higher IBA concentrations can be ascribed to several factors, including the role of IBA in meristem division and elongation, the differentiation of cambial cells into root primordia, and the mobilization of stored nutrients by enhancing the functions </w:t>
      </w:r>
      <w:r w:rsidR="00472238" w:rsidRPr="00BD3E5E">
        <w:rPr>
          <w:rFonts w:ascii="Times New Roman" w:eastAsia="Times New Roman" w:hAnsi="Times New Roman" w:cs="Times New Roman"/>
          <w:sz w:val="24"/>
          <w:szCs w:val="24"/>
        </w:rPr>
        <w:t>of hydrolytic</w:t>
      </w:r>
      <w:r w:rsidRPr="00BD3E5E">
        <w:rPr>
          <w:rFonts w:ascii="Times New Roman" w:eastAsia="Times New Roman" w:hAnsi="Times New Roman" w:cs="Times New Roman"/>
          <w:sz w:val="24"/>
          <w:szCs w:val="24"/>
        </w:rPr>
        <w:t xml:space="preserve"> enzymes. Weaver (1972) noted that IBA </w:t>
      </w:r>
      <w:proofErr w:type="spellStart"/>
      <w:r w:rsidRPr="00BD3E5E">
        <w:rPr>
          <w:rFonts w:ascii="Times New Roman" w:eastAsia="Times New Roman" w:hAnsi="Times New Roman" w:cs="Times New Roman"/>
          <w:sz w:val="24"/>
          <w:szCs w:val="24"/>
        </w:rPr>
        <w:t>translocates</w:t>
      </w:r>
      <w:proofErr w:type="spellEnd"/>
      <w:r w:rsidRPr="00BD3E5E">
        <w:rPr>
          <w:rFonts w:ascii="Times New Roman" w:eastAsia="Times New Roman" w:hAnsi="Times New Roman" w:cs="Times New Roman"/>
          <w:sz w:val="24"/>
          <w:szCs w:val="24"/>
        </w:rPr>
        <w:t xml:space="preserve"> poorly and remains near the application site, making it one of the most </w:t>
      </w:r>
      <w:r w:rsidR="00472238" w:rsidRPr="00BD3E5E">
        <w:rPr>
          <w:rFonts w:ascii="Times New Roman" w:eastAsia="Times New Roman" w:hAnsi="Times New Roman" w:cs="Times New Roman"/>
          <w:sz w:val="24"/>
          <w:szCs w:val="24"/>
        </w:rPr>
        <w:t>efficient rooting</w:t>
      </w:r>
      <w:r w:rsidRPr="00BD3E5E">
        <w:rPr>
          <w:rFonts w:ascii="Times New Roman" w:eastAsia="Times New Roman" w:hAnsi="Times New Roman" w:cs="Times New Roman"/>
          <w:sz w:val="24"/>
          <w:szCs w:val="24"/>
        </w:rPr>
        <w:t xml:space="preserve"> stimulators. These findings are supported by research from Jing Li </w:t>
      </w:r>
      <w:r w:rsidRPr="00BD3E5E">
        <w:rPr>
          <w:rFonts w:ascii="Times New Roman" w:eastAsia="Times New Roman" w:hAnsi="Times New Roman" w:cs="Times New Roman"/>
          <w:i/>
          <w:sz w:val="24"/>
          <w:szCs w:val="24"/>
        </w:rPr>
        <w:t>et al</w:t>
      </w:r>
      <w:r w:rsidRPr="00BD3E5E">
        <w:rPr>
          <w:rFonts w:ascii="Times New Roman" w:eastAsia="Times New Roman" w:hAnsi="Times New Roman" w:cs="Times New Roman"/>
          <w:sz w:val="24"/>
          <w:szCs w:val="24"/>
        </w:rPr>
        <w:t xml:space="preserve">. (2018) in </w:t>
      </w:r>
      <w:r w:rsidRPr="00BD3E5E">
        <w:rPr>
          <w:rFonts w:ascii="Times New Roman" w:eastAsia="Times New Roman" w:hAnsi="Times New Roman" w:cs="Times New Roman"/>
          <w:i/>
          <w:sz w:val="24"/>
          <w:szCs w:val="24"/>
        </w:rPr>
        <w:t>Cupressus sempervirens</w:t>
      </w:r>
      <w:r w:rsidRPr="00BD3E5E">
        <w:rPr>
          <w:rFonts w:ascii="Times New Roman" w:eastAsia="Times New Roman" w:hAnsi="Times New Roman" w:cs="Times New Roman"/>
          <w:sz w:val="24"/>
          <w:szCs w:val="24"/>
        </w:rPr>
        <w:t xml:space="preserve">, </w:t>
      </w:r>
      <w:proofErr w:type="spellStart"/>
      <w:r w:rsidRPr="00BD3E5E">
        <w:rPr>
          <w:rFonts w:ascii="Times New Roman" w:eastAsia="Times New Roman" w:hAnsi="Times New Roman" w:cs="Times New Roman"/>
          <w:sz w:val="24"/>
          <w:szCs w:val="24"/>
        </w:rPr>
        <w:t>Dumitrascu</w:t>
      </w:r>
      <w:proofErr w:type="spellEnd"/>
      <w:r w:rsidRPr="00BD3E5E">
        <w:rPr>
          <w:rFonts w:ascii="Times New Roman" w:eastAsia="Times New Roman" w:hAnsi="Times New Roman" w:cs="Times New Roman"/>
          <w:sz w:val="24"/>
          <w:szCs w:val="24"/>
        </w:rPr>
        <w:t xml:space="preserve"> </w:t>
      </w:r>
      <w:r w:rsidRPr="00BD3E5E">
        <w:rPr>
          <w:rFonts w:ascii="Times New Roman" w:eastAsia="Times New Roman" w:hAnsi="Times New Roman" w:cs="Times New Roman"/>
          <w:i/>
          <w:sz w:val="24"/>
          <w:szCs w:val="24"/>
        </w:rPr>
        <w:t>et al</w:t>
      </w:r>
      <w:r w:rsidRPr="00BD3E5E">
        <w:rPr>
          <w:rFonts w:ascii="Times New Roman" w:eastAsia="Times New Roman" w:hAnsi="Times New Roman" w:cs="Times New Roman"/>
          <w:sz w:val="24"/>
          <w:szCs w:val="24"/>
        </w:rPr>
        <w:t xml:space="preserve">. (2003) in </w:t>
      </w:r>
      <w:proofErr w:type="spellStart"/>
      <w:r w:rsidRPr="00BD3E5E">
        <w:rPr>
          <w:rFonts w:ascii="Times New Roman" w:eastAsia="Times New Roman" w:hAnsi="Times New Roman" w:cs="Times New Roman"/>
          <w:i/>
          <w:sz w:val="24"/>
          <w:szCs w:val="24"/>
        </w:rPr>
        <w:t>Chamaecyparis</w:t>
      </w:r>
      <w:proofErr w:type="spellEnd"/>
      <w:r w:rsidRPr="00BD3E5E">
        <w:rPr>
          <w:rFonts w:ascii="Times New Roman" w:eastAsia="Times New Roman" w:hAnsi="Times New Roman" w:cs="Times New Roman"/>
          <w:i/>
          <w:sz w:val="24"/>
          <w:szCs w:val="24"/>
        </w:rPr>
        <w:t xml:space="preserve"> </w:t>
      </w:r>
      <w:proofErr w:type="spellStart"/>
      <w:r w:rsidRPr="00BD3E5E">
        <w:rPr>
          <w:rFonts w:ascii="Times New Roman" w:eastAsia="Times New Roman" w:hAnsi="Times New Roman" w:cs="Times New Roman"/>
          <w:i/>
          <w:sz w:val="24"/>
          <w:szCs w:val="24"/>
        </w:rPr>
        <w:t>pisifera</w:t>
      </w:r>
      <w:proofErr w:type="spellEnd"/>
      <w:r w:rsidRPr="00BD3E5E">
        <w:rPr>
          <w:rFonts w:ascii="Times New Roman" w:eastAsia="Times New Roman" w:hAnsi="Times New Roman" w:cs="Times New Roman"/>
          <w:sz w:val="24"/>
          <w:szCs w:val="24"/>
        </w:rPr>
        <w:t xml:space="preserve">, and </w:t>
      </w:r>
      <w:proofErr w:type="spellStart"/>
      <w:r w:rsidRPr="00BD3E5E">
        <w:rPr>
          <w:rFonts w:ascii="Times New Roman" w:eastAsia="Times New Roman" w:hAnsi="Times New Roman" w:cs="Times New Roman"/>
          <w:sz w:val="24"/>
          <w:szCs w:val="24"/>
        </w:rPr>
        <w:t>Bayraktar</w:t>
      </w:r>
      <w:proofErr w:type="spellEnd"/>
      <w:r w:rsidRPr="00BD3E5E">
        <w:rPr>
          <w:rFonts w:ascii="Times New Roman" w:eastAsia="Times New Roman" w:hAnsi="Times New Roman" w:cs="Times New Roman"/>
          <w:sz w:val="24"/>
          <w:szCs w:val="24"/>
        </w:rPr>
        <w:t xml:space="preserve"> </w:t>
      </w:r>
      <w:r w:rsidRPr="00BD3E5E">
        <w:rPr>
          <w:rFonts w:ascii="Times New Roman" w:eastAsia="Times New Roman" w:hAnsi="Times New Roman" w:cs="Times New Roman"/>
          <w:i/>
          <w:sz w:val="24"/>
          <w:szCs w:val="24"/>
        </w:rPr>
        <w:t>et al</w:t>
      </w:r>
      <w:r w:rsidRPr="00BD3E5E">
        <w:rPr>
          <w:rFonts w:ascii="Times New Roman" w:eastAsia="Times New Roman" w:hAnsi="Times New Roman" w:cs="Times New Roman"/>
          <w:sz w:val="24"/>
          <w:szCs w:val="24"/>
        </w:rPr>
        <w:t xml:space="preserve">. (2018) in Taxus </w:t>
      </w:r>
      <w:proofErr w:type="spellStart"/>
      <w:r w:rsidRPr="00BD3E5E">
        <w:rPr>
          <w:rFonts w:ascii="Times New Roman" w:eastAsia="Times New Roman" w:hAnsi="Times New Roman" w:cs="Times New Roman"/>
          <w:sz w:val="24"/>
          <w:szCs w:val="24"/>
        </w:rPr>
        <w:t>baccata</w:t>
      </w:r>
      <w:proofErr w:type="spellEnd"/>
      <w:r w:rsidRPr="00BD3E5E">
        <w:rPr>
          <w:rFonts w:ascii="Times New Roman" w:eastAsia="Times New Roman" w:hAnsi="Times New Roman" w:cs="Times New Roman"/>
          <w:sz w:val="24"/>
          <w:szCs w:val="24"/>
        </w:rPr>
        <w:t>.</w:t>
      </w:r>
    </w:p>
    <w:p w:rsidR="00D865CF" w:rsidRDefault="00D865CF" w:rsidP="00D865CF">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D3E5E">
        <w:rPr>
          <w:rFonts w:ascii="Times New Roman" w:eastAsia="Times New Roman" w:hAnsi="Times New Roman" w:cs="Times New Roman"/>
          <w:sz w:val="24"/>
          <w:szCs w:val="24"/>
        </w:rPr>
        <w:t>The positive effects of etiolation on rooting can be ascribed to the increased formation of growth-promoting substances in cuttings (</w:t>
      </w:r>
      <w:proofErr w:type="spellStart"/>
      <w:r w:rsidRPr="00BD3E5E">
        <w:rPr>
          <w:rFonts w:ascii="Times New Roman" w:eastAsia="Times New Roman" w:hAnsi="Times New Roman" w:cs="Times New Roman"/>
          <w:sz w:val="24"/>
          <w:szCs w:val="24"/>
        </w:rPr>
        <w:t>Gowdam</w:t>
      </w:r>
      <w:proofErr w:type="spellEnd"/>
      <w:r w:rsidRPr="00BD3E5E">
        <w:rPr>
          <w:rFonts w:ascii="Times New Roman" w:eastAsia="Times New Roman" w:hAnsi="Times New Roman" w:cs="Times New Roman"/>
          <w:sz w:val="24"/>
          <w:szCs w:val="24"/>
        </w:rPr>
        <w:t xml:space="preserve"> and Jayanthi, 1999). For instance, a low level of rooting was observed with auxin application in the difficult-to-root apple cultivar ‘</w:t>
      </w:r>
      <w:proofErr w:type="spellStart"/>
      <w:r w:rsidRPr="00BD3E5E">
        <w:rPr>
          <w:rFonts w:ascii="Times New Roman" w:eastAsia="Times New Roman" w:hAnsi="Times New Roman" w:cs="Times New Roman"/>
          <w:sz w:val="24"/>
          <w:szCs w:val="24"/>
        </w:rPr>
        <w:t>Bramley’s</w:t>
      </w:r>
      <w:proofErr w:type="spellEnd"/>
      <w:r w:rsidRPr="00BD3E5E">
        <w:rPr>
          <w:rFonts w:ascii="Times New Roman" w:eastAsia="Times New Roman" w:hAnsi="Times New Roman" w:cs="Times New Roman"/>
          <w:sz w:val="24"/>
          <w:szCs w:val="24"/>
        </w:rPr>
        <w:t xml:space="preserve"> Seedling.’ However, when etiolation was combined with auxin treatment, root formation occurred in three out of four cuttings (</w:t>
      </w:r>
      <w:proofErr w:type="spellStart"/>
      <w:r w:rsidRPr="00BD3E5E">
        <w:rPr>
          <w:rFonts w:ascii="Times New Roman" w:eastAsia="Times New Roman" w:hAnsi="Times New Roman" w:cs="Times New Roman"/>
          <w:sz w:val="24"/>
          <w:szCs w:val="24"/>
        </w:rPr>
        <w:t>Delargy</w:t>
      </w:r>
      <w:proofErr w:type="spellEnd"/>
      <w:r w:rsidRPr="00BD3E5E">
        <w:rPr>
          <w:rFonts w:ascii="Times New Roman" w:eastAsia="Times New Roman" w:hAnsi="Times New Roman" w:cs="Times New Roman"/>
          <w:sz w:val="24"/>
          <w:szCs w:val="24"/>
        </w:rPr>
        <w:t xml:space="preserve"> and Wright, 1979). This improved rooting ability in etiolated shoots is likely due to their accumulation of higher levels of sugars, natural auxins, and other rooting cofactors, which are known to enhance adventitious rooting (</w:t>
      </w:r>
      <w:proofErr w:type="spellStart"/>
      <w:r w:rsidRPr="00BD3E5E">
        <w:rPr>
          <w:rFonts w:ascii="Times New Roman" w:eastAsia="Times New Roman" w:hAnsi="Times New Roman" w:cs="Times New Roman"/>
          <w:sz w:val="24"/>
          <w:szCs w:val="24"/>
        </w:rPr>
        <w:t>Syamal</w:t>
      </w:r>
      <w:proofErr w:type="spellEnd"/>
      <w:r w:rsidRPr="00BD3E5E">
        <w:rPr>
          <w:rFonts w:ascii="Times New Roman" w:eastAsia="Times New Roman" w:hAnsi="Times New Roman" w:cs="Times New Roman"/>
          <w:sz w:val="24"/>
          <w:szCs w:val="24"/>
        </w:rPr>
        <w:t xml:space="preserve"> and Singh, 1993).</w:t>
      </w:r>
    </w:p>
    <w:p w:rsidR="00472238" w:rsidRPr="00BD3E5E" w:rsidRDefault="00472238" w:rsidP="00472238">
      <w:pPr>
        <w:spacing w:line="360" w:lineRule="auto"/>
        <w:ind w:left="720"/>
        <w:jc w:val="both"/>
        <w:rPr>
          <w:rFonts w:ascii="Times New Roman" w:hAnsi="Times New Roman" w:cs="Times New Roman"/>
          <w:sz w:val="24"/>
          <w:szCs w:val="24"/>
        </w:rPr>
      </w:pPr>
      <w:r w:rsidRPr="00BD3E5E">
        <w:rPr>
          <w:rFonts w:ascii="Times New Roman" w:hAnsi="Times New Roman" w:cs="Times New Roman"/>
          <w:sz w:val="24"/>
          <w:szCs w:val="24"/>
        </w:rPr>
        <w:t xml:space="preserve">Effect of etiolation on total phenol content in leaves varies depending on the plant species, specific conditions. Etiolated Plants due to reduced light exposure, may show diminished levels of certain phenolic compounds, but might also exhibit increased levels of specific phenolics in response to other stress factors (Mysore 1995). </w:t>
      </w:r>
      <w:r w:rsidRPr="00BD3E5E">
        <w:rPr>
          <w:rFonts w:ascii="Times New Roman" w:eastAsia="Times New Roman" w:hAnsi="Times New Roman" w:cs="Times New Roman"/>
          <w:sz w:val="24"/>
          <w:szCs w:val="24"/>
        </w:rPr>
        <w:t>These findings are supported by research from Lopez-</w:t>
      </w:r>
      <w:proofErr w:type="spellStart"/>
      <w:r w:rsidRPr="00BD3E5E">
        <w:rPr>
          <w:rFonts w:ascii="Times New Roman" w:eastAsia="Times New Roman" w:hAnsi="Times New Roman" w:cs="Times New Roman"/>
          <w:sz w:val="24"/>
          <w:szCs w:val="24"/>
        </w:rPr>
        <w:t>Matas</w:t>
      </w:r>
      <w:proofErr w:type="spellEnd"/>
      <w:r w:rsidRPr="00BD3E5E">
        <w:rPr>
          <w:rFonts w:ascii="Times New Roman" w:eastAsia="Times New Roman" w:hAnsi="Times New Roman" w:cs="Times New Roman"/>
          <w:sz w:val="24"/>
          <w:szCs w:val="24"/>
        </w:rPr>
        <w:t xml:space="preserve"> (2020) suggesting that phenolic content tends to decrease in etiolated seedlings due to absence of light which is vital for their synthesis. </w:t>
      </w:r>
      <w:r w:rsidRPr="00BD3E5E">
        <w:rPr>
          <w:rFonts w:ascii="Times New Roman" w:hAnsi="Times New Roman" w:cs="Times New Roman"/>
          <w:sz w:val="24"/>
          <w:szCs w:val="24"/>
        </w:rPr>
        <w:t xml:space="preserve">The application </w:t>
      </w:r>
      <w:r w:rsidRPr="00BD3E5E">
        <w:rPr>
          <w:rFonts w:ascii="Times New Roman" w:hAnsi="Times New Roman" w:cs="Times New Roman"/>
          <w:sz w:val="24"/>
          <w:szCs w:val="24"/>
        </w:rPr>
        <w:lastRenderedPageBreak/>
        <w:t>of auxins like IBA can enhance the activity of phenylalanine ammonia-</w:t>
      </w:r>
      <w:proofErr w:type="spellStart"/>
      <w:r w:rsidRPr="00BD3E5E">
        <w:rPr>
          <w:rFonts w:ascii="Times New Roman" w:hAnsi="Times New Roman" w:cs="Times New Roman"/>
          <w:sz w:val="24"/>
          <w:szCs w:val="24"/>
        </w:rPr>
        <w:t>lypase</w:t>
      </w:r>
      <w:proofErr w:type="spellEnd"/>
      <w:r w:rsidRPr="00BD3E5E">
        <w:rPr>
          <w:rFonts w:ascii="Times New Roman" w:hAnsi="Times New Roman" w:cs="Times New Roman"/>
          <w:sz w:val="24"/>
          <w:szCs w:val="24"/>
        </w:rPr>
        <w:t xml:space="preserve"> (PAL), a key enzyme in the phenol synthesis (Singh </w:t>
      </w:r>
      <w:r w:rsidRPr="00BD3E5E">
        <w:rPr>
          <w:rFonts w:ascii="Times New Roman" w:hAnsi="Times New Roman" w:cs="Times New Roman"/>
          <w:i/>
          <w:sz w:val="24"/>
          <w:szCs w:val="24"/>
        </w:rPr>
        <w:t xml:space="preserve">et al </w:t>
      </w:r>
      <w:r w:rsidRPr="00BD3E5E">
        <w:rPr>
          <w:rFonts w:ascii="Times New Roman" w:hAnsi="Times New Roman" w:cs="Times New Roman"/>
          <w:sz w:val="24"/>
          <w:szCs w:val="24"/>
        </w:rPr>
        <w:t>2019).</w:t>
      </w:r>
    </w:p>
    <w:p w:rsidR="00472238" w:rsidRPr="00BD3E5E" w:rsidRDefault="00472238" w:rsidP="00472238">
      <w:pPr>
        <w:tabs>
          <w:tab w:val="center" w:pos="4680"/>
        </w:tabs>
        <w:spacing w:line="360" w:lineRule="auto"/>
        <w:jc w:val="both"/>
        <w:rPr>
          <w:rFonts w:ascii="Times New Roman" w:hAnsi="Times New Roman" w:cs="Times New Roman"/>
          <w:b/>
          <w:sz w:val="24"/>
          <w:szCs w:val="24"/>
        </w:rPr>
      </w:pPr>
    </w:p>
    <w:p w:rsidR="00472238" w:rsidRPr="00BD3E5E" w:rsidRDefault="00472238" w:rsidP="00D865CF">
      <w:pPr>
        <w:spacing w:line="360" w:lineRule="auto"/>
        <w:ind w:left="720" w:hanging="720"/>
        <w:jc w:val="both"/>
        <w:rPr>
          <w:rFonts w:ascii="Times New Roman" w:eastAsia="Times New Roman" w:hAnsi="Times New Roman" w:cs="Times New Roman"/>
          <w:sz w:val="24"/>
          <w:szCs w:val="24"/>
        </w:rPr>
      </w:pPr>
    </w:p>
    <w:p w:rsidR="001142C5" w:rsidRPr="00076D34" w:rsidRDefault="001142C5" w:rsidP="00076D34">
      <w:pPr>
        <w:spacing w:line="360" w:lineRule="auto"/>
        <w:ind w:left="720" w:hanging="720"/>
        <w:jc w:val="both"/>
        <w:rPr>
          <w:rFonts w:ascii="Times New Roman" w:eastAsia="Times New Roman" w:hAnsi="Times New Roman" w:cs="Times New Roman"/>
          <w:color w:val="222222"/>
          <w:sz w:val="24"/>
          <w:szCs w:val="24"/>
          <w:shd w:val="clear" w:color="auto" w:fill="FFFFFF"/>
        </w:rPr>
      </w:pPr>
    </w:p>
    <w:p w:rsidR="00251C62" w:rsidRDefault="00B00BC3">
      <w:pPr>
        <w:spacing w:line="360" w:lineRule="auto"/>
        <w:jc w:val="both"/>
        <w:rPr>
          <w:rFonts w:ascii="Times New Roman" w:eastAsia="Calibri" w:hAnsi="Times New Roman" w:cs="Times New Roman"/>
          <w:sz w:val="24"/>
          <w:szCs w:val="24"/>
          <w:lang w:bidi="ar"/>
        </w:rPr>
      </w:pPr>
      <w:r>
        <w:rPr>
          <w:noProof/>
        </w:rPr>
        <w:drawing>
          <wp:inline distT="0" distB="0" distL="114300" distR="114300">
            <wp:extent cx="5955665" cy="3523615"/>
            <wp:effectExtent l="0" t="0" r="6985" b="63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13"/>
                    <a:stretch>
                      <a:fillRect/>
                    </a:stretch>
                  </pic:blipFill>
                  <pic:spPr>
                    <a:xfrm>
                      <a:off x="0" y="0"/>
                      <a:ext cx="5955665" cy="3523615"/>
                    </a:xfrm>
                    <a:prstGeom prst="rect">
                      <a:avLst/>
                    </a:prstGeom>
                    <a:noFill/>
                    <a:ln>
                      <a:noFill/>
                    </a:ln>
                  </pic:spPr>
                </pic:pic>
              </a:graphicData>
            </a:graphic>
          </wp:inline>
        </w:drawing>
      </w:r>
    </w:p>
    <w:p w:rsidR="00251C62" w:rsidRDefault="00F36DBC">
      <w:pPr>
        <w:spacing w:line="360" w:lineRule="auto"/>
        <w:jc w:val="both"/>
        <w:rPr>
          <w:rFonts w:ascii="Times New Roman" w:eastAsia="Calibri" w:hAnsi="Times New Roman" w:cs="Times New Roman"/>
          <w:sz w:val="24"/>
          <w:szCs w:val="24"/>
          <w:lang w:bidi="ar"/>
        </w:rPr>
      </w:pPr>
      <w:r>
        <w:rPr>
          <w:rFonts w:ascii="Times New Roman" w:eastAsia="Calibri" w:hAnsi="Times New Roman" w:cs="Times New Roman"/>
          <w:b/>
          <w:sz w:val="24"/>
          <w:szCs w:val="24"/>
          <w:lang w:bidi="ar"/>
        </w:rPr>
        <w:t>Fig</w:t>
      </w:r>
      <w:r w:rsidR="00E64426">
        <w:rPr>
          <w:rFonts w:ascii="Times New Roman" w:eastAsia="Calibri" w:hAnsi="Times New Roman" w:cs="Times New Roman"/>
          <w:b/>
          <w:sz w:val="24"/>
          <w:szCs w:val="24"/>
          <w:lang w:bidi="ar"/>
        </w:rPr>
        <w:t>5</w:t>
      </w:r>
      <w:r>
        <w:rPr>
          <w:rFonts w:ascii="Times New Roman" w:eastAsia="Calibri" w:hAnsi="Times New Roman" w:cs="Times New Roman"/>
          <w:b/>
          <w:sz w:val="24"/>
          <w:szCs w:val="24"/>
          <w:lang w:bidi="ar"/>
        </w:rPr>
        <w:t xml:space="preserve"> Effect</w:t>
      </w:r>
      <w:r w:rsidR="00B00BC3">
        <w:rPr>
          <w:rFonts w:ascii="Times New Roman" w:eastAsia="Calibri" w:hAnsi="Times New Roman" w:cs="Times New Roman"/>
          <w:b/>
          <w:sz w:val="24"/>
          <w:szCs w:val="24"/>
          <w:lang w:bidi="ar"/>
        </w:rPr>
        <w:t xml:space="preserve"> of etiolation and IBA on the survival percentage of </w:t>
      </w:r>
      <w:r w:rsidR="00B00BC3">
        <w:rPr>
          <w:rFonts w:ascii="Times New Roman" w:eastAsia="Calibri" w:hAnsi="Times New Roman" w:cs="Times New Roman"/>
          <w:b/>
          <w:i/>
          <w:sz w:val="24"/>
          <w:szCs w:val="24"/>
          <w:lang w:bidi="ar"/>
        </w:rPr>
        <w:t xml:space="preserve">Magnolia </w:t>
      </w:r>
      <w:proofErr w:type="spellStart"/>
      <w:r w:rsidR="00B00BC3">
        <w:rPr>
          <w:rFonts w:ascii="Times New Roman" w:eastAsia="Calibri" w:hAnsi="Times New Roman" w:cs="Times New Roman"/>
          <w:b/>
          <w:i/>
          <w:sz w:val="24"/>
          <w:szCs w:val="24"/>
          <w:lang w:bidi="ar"/>
        </w:rPr>
        <w:t>liliiflora</w:t>
      </w:r>
      <w:proofErr w:type="spellEnd"/>
      <w:r w:rsidR="00B00BC3">
        <w:rPr>
          <w:rFonts w:ascii="Times New Roman" w:eastAsia="Calibri" w:hAnsi="Times New Roman" w:cs="Times New Roman"/>
          <w:b/>
          <w:sz w:val="24"/>
          <w:szCs w:val="24"/>
          <w:lang w:bidi="ar"/>
        </w:rPr>
        <w:t xml:space="preserve"> cuttings</w:t>
      </w:r>
    </w:p>
    <w:p w:rsidR="00251C62" w:rsidRDefault="00B00BC3">
      <w:pPr>
        <w:spacing w:line="360" w:lineRule="auto"/>
        <w:jc w:val="both"/>
        <w:rPr>
          <w:rFonts w:ascii="Times New Roman" w:eastAsia="Calibri" w:hAnsi="Times New Roman" w:cs="Times New Roman"/>
          <w:sz w:val="24"/>
          <w:szCs w:val="24"/>
          <w:lang w:bidi="ar"/>
        </w:rPr>
      </w:pPr>
      <w:r>
        <w:rPr>
          <w:noProof/>
        </w:rPr>
        <w:lastRenderedPageBreak/>
        <w:drawing>
          <wp:inline distT="0" distB="0" distL="114300" distR="114300">
            <wp:extent cx="5955665" cy="3742690"/>
            <wp:effectExtent l="0" t="0" r="6985" b="1016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pic:cNvPicPr>
                  </pic:nvPicPr>
                  <pic:blipFill>
                    <a:blip r:embed="rId14"/>
                    <a:stretch>
                      <a:fillRect/>
                    </a:stretch>
                  </pic:blipFill>
                  <pic:spPr>
                    <a:xfrm>
                      <a:off x="0" y="0"/>
                      <a:ext cx="5955665" cy="3742690"/>
                    </a:xfrm>
                    <a:prstGeom prst="rect">
                      <a:avLst/>
                    </a:prstGeom>
                    <a:noFill/>
                    <a:ln>
                      <a:noFill/>
                    </a:ln>
                  </pic:spPr>
                </pic:pic>
              </a:graphicData>
            </a:graphic>
          </wp:inline>
        </w:drawing>
      </w:r>
    </w:p>
    <w:p w:rsidR="00251C62" w:rsidRDefault="00B00BC3">
      <w:pPr>
        <w:spacing w:after="200" w:line="360" w:lineRule="auto"/>
        <w:jc w:val="both"/>
        <w:rPr>
          <w:rFonts w:ascii="Times New Roman" w:hAnsi="Times New Roman" w:cs="Times New Roman"/>
          <w:b/>
          <w:sz w:val="24"/>
          <w:szCs w:val="24"/>
        </w:rPr>
      </w:pPr>
      <w:r>
        <w:rPr>
          <w:rFonts w:ascii="Times New Roman" w:eastAsia="Calibri" w:hAnsi="Times New Roman" w:cs="Times New Roman"/>
          <w:b/>
          <w:sz w:val="24"/>
          <w:szCs w:val="24"/>
          <w:lang w:eastAsia="zh-CN" w:bidi="ar"/>
        </w:rPr>
        <w:t>Fig</w:t>
      </w:r>
      <w:r w:rsidR="00E64426">
        <w:rPr>
          <w:rFonts w:ascii="Times New Roman" w:eastAsia="Calibri" w:hAnsi="Times New Roman" w:cs="Times New Roman"/>
          <w:b/>
          <w:sz w:val="24"/>
          <w:szCs w:val="24"/>
          <w:lang w:eastAsia="zh-CN" w:bidi="ar"/>
        </w:rPr>
        <w:t xml:space="preserve"> </w:t>
      </w:r>
      <w:proofErr w:type="gramStart"/>
      <w:r w:rsidR="00E64426">
        <w:rPr>
          <w:rFonts w:ascii="Times New Roman" w:eastAsia="Calibri" w:hAnsi="Times New Roman" w:cs="Times New Roman"/>
          <w:b/>
          <w:sz w:val="24"/>
          <w:szCs w:val="24"/>
          <w:lang w:eastAsia="zh-CN" w:bidi="ar"/>
        </w:rPr>
        <w:t>6</w:t>
      </w:r>
      <w:r>
        <w:rPr>
          <w:rFonts w:ascii="Times New Roman" w:eastAsia="Calibri" w:hAnsi="Times New Roman" w:cs="Times New Roman"/>
          <w:b/>
          <w:sz w:val="24"/>
          <w:szCs w:val="24"/>
          <w:lang w:eastAsia="zh-CN" w:bidi="ar"/>
        </w:rPr>
        <w:t xml:space="preserve">  Effect</w:t>
      </w:r>
      <w:proofErr w:type="gramEnd"/>
      <w:r>
        <w:rPr>
          <w:rFonts w:ascii="Times New Roman" w:eastAsia="Calibri" w:hAnsi="Times New Roman" w:cs="Times New Roman"/>
          <w:b/>
          <w:sz w:val="24"/>
          <w:szCs w:val="24"/>
          <w:lang w:eastAsia="zh-CN" w:bidi="ar"/>
        </w:rPr>
        <w:t xml:space="preserve"> of Etiolation and IBA on the survival percentage of rooted cuttings</w:t>
      </w:r>
    </w:p>
    <w:p w:rsidR="00251C62" w:rsidRDefault="00B00BC3">
      <w:pPr>
        <w:spacing w:beforeAutospacing="1" w:after="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zh-CN" w:bidi="ar"/>
        </w:rPr>
        <w:t xml:space="preserve">The increase in the percentage survival of rooted cuttings with etiolation and IBA is supported by findings from Mukherjee </w:t>
      </w:r>
      <w:r>
        <w:rPr>
          <w:rFonts w:ascii="Times New Roman" w:eastAsia="Times New Roman" w:hAnsi="Times New Roman" w:cs="Times New Roman"/>
          <w:i/>
          <w:sz w:val="24"/>
          <w:szCs w:val="24"/>
          <w:lang w:eastAsia="zh-CN" w:bidi="ar"/>
        </w:rPr>
        <w:t>et al</w:t>
      </w:r>
      <w:r>
        <w:rPr>
          <w:rFonts w:ascii="Times New Roman" w:eastAsia="Times New Roman" w:hAnsi="Times New Roman" w:cs="Times New Roman"/>
          <w:sz w:val="24"/>
          <w:szCs w:val="24"/>
          <w:lang w:eastAsia="zh-CN" w:bidi="ar"/>
        </w:rPr>
        <w:t xml:space="preserve">. (1986), who reported 81.25% survival using etiolation combined with 10,000 ppm IBA in air layers of </w:t>
      </w:r>
      <w:proofErr w:type="spellStart"/>
      <w:r>
        <w:rPr>
          <w:rFonts w:ascii="Times New Roman" w:eastAsia="Times New Roman" w:hAnsi="Times New Roman" w:cs="Times New Roman"/>
          <w:sz w:val="24"/>
          <w:szCs w:val="24"/>
          <w:lang w:eastAsia="zh-CN" w:bidi="ar"/>
        </w:rPr>
        <w:t>Bael</w:t>
      </w:r>
      <w:proofErr w:type="spellEnd"/>
      <w:r>
        <w:rPr>
          <w:rFonts w:ascii="Times New Roman" w:eastAsia="Times New Roman" w:hAnsi="Times New Roman" w:cs="Times New Roman"/>
          <w:sz w:val="24"/>
          <w:szCs w:val="24"/>
          <w:lang w:eastAsia="zh-CN" w:bidi="ar"/>
        </w:rPr>
        <w:t xml:space="preserve">., </w:t>
      </w:r>
      <w:proofErr w:type="spellStart"/>
      <w:r>
        <w:rPr>
          <w:rFonts w:ascii="Times New Roman" w:eastAsia="Times New Roman" w:hAnsi="Times New Roman" w:cs="Times New Roman"/>
          <w:sz w:val="24"/>
          <w:szCs w:val="24"/>
          <w:lang w:eastAsia="zh-CN" w:bidi="ar"/>
        </w:rPr>
        <w:t>Syamal</w:t>
      </w:r>
      <w:proofErr w:type="spellEnd"/>
      <w:r>
        <w:rPr>
          <w:rFonts w:ascii="Times New Roman" w:eastAsia="Times New Roman" w:hAnsi="Times New Roman" w:cs="Times New Roman"/>
          <w:sz w:val="24"/>
          <w:szCs w:val="24"/>
          <w:lang w:eastAsia="zh-CN" w:bidi="ar"/>
        </w:rPr>
        <w:t xml:space="preserve"> and Singh reported a survival rate of 73.78% in Litchi using etiolation and 300 ppm IBA.</w:t>
      </w:r>
      <w:r w:rsidR="00076D34">
        <w:rPr>
          <w:rFonts w:ascii="Times New Roman" w:eastAsia="Times New Roman" w:hAnsi="Times New Roman" w:cs="Times New Roman"/>
          <w:sz w:val="24"/>
          <w:szCs w:val="24"/>
          <w:lang w:eastAsia="zh-CN" w:bidi="ar"/>
        </w:rPr>
        <w:t xml:space="preserve"> Similar results were observed by </w:t>
      </w:r>
      <w:proofErr w:type="spellStart"/>
      <w:r w:rsidR="00076D34">
        <w:rPr>
          <w:rFonts w:ascii="Times New Roman" w:eastAsia="Times New Roman" w:hAnsi="Times New Roman" w:cs="Times New Roman"/>
          <w:color w:val="222222"/>
          <w:sz w:val="24"/>
          <w:szCs w:val="24"/>
          <w:shd w:val="clear" w:color="auto" w:fill="FFFFFF"/>
        </w:rPr>
        <w:t>Doud</w:t>
      </w:r>
      <w:proofErr w:type="spellEnd"/>
      <w:r w:rsidR="00076D34">
        <w:rPr>
          <w:rFonts w:ascii="Times New Roman" w:eastAsia="Times New Roman" w:hAnsi="Times New Roman" w:cs="Times New Roman"/>
          <w:color w:val="222222"/>
          <w:sz w:val="24"/>
          <w:szCs w:val="24"/>
          <w:shd w:val="clear" w:color="auto" w:fill="FFFFFF"/>
        </w:rPr>
        <w:t>, S. L. and Carlson, R. F. 1997</w:t>
      </w:r>
      <w:r w:rsidR="00784837">
        <w:rPr>
          <w:rFonts w:ascii="Times New Roman" w:eastAsia="Times New Roman" w:hAnsi="Times New Roman" w:cs="Times New Roman"/>
          <w:color w:val="222222"/>
          <w:sz w:val="24"/>
          <w:szCs w:val="24"/>
          <w:shd w:val="clear" w:color="auto" w:fill="FFFFFF"/>
        </w:rPr>
        <w:t xml:space="preserve">, </w:t>
      </w:r>
      <w:r w:rsidR="00784837">
        <w:rPr>
          <w:rFonts w:ascii="Times New Roman" w:hAnsi="Times New Roman" w:cs="Times New Roman"/>
          <w:sz w:val="24"/>
          <w:szCs w:val="24"/>
        </w:rPr>
        <w:t xml:space="preserve">Maynard </w:t>
      </w:r>
      <w:r w:rsidR="00784837" w:rsidRPr="00784837">
        <w:rPr>
          <w:rFonts w:ascii="Times New Roman" w:hAnsi="Times New Roman" w:cs="Times New Roman"/>
          <w:i/>
          <w:sz w:val="24"/>
          <w:szCs w:val="24"/>
        </w:rPr>
        <w:t>et al</w:t>
      </w:r>
      <w:r w:rsidR="00784837">
        <w:rPr>
          <w:rFonts w:ascii="Times New Roman" w:hAnsi="Times New Roman" w:cs="Times New Roman"/>
          <w:sz w:val="24"/>
          <w:szCs w:val="24"/>
        </w:rPr>
        <w:t>. 1985</w:t>
      </w:r>
      <w:r w:rsidR="003E2E6A">
        <w:rPr>
          <w:rFonts w:ascii="Times New Roman" w:hAnsi="Times New Roman" w:cs="Times New Roman"/>
          <w:sz w:val="24"/>
          <w:szCs w:val="24"/>
        </w:rPr>
        <w:t xml:space="preserve"> and 1991.</w:t>
      </w:r>
      <w:r>
        <w:rPr>
          <w:rFonts w:ascii="Times New Roman" w:eastAsia="Times New Roman" w:hAnsi="Times New Roman" w:cs="Times New Roman"/>
          <w:sz w:val="24"/>
          <w:szCs w:val="24"/>
          <w:lang w:eastAsia="zh-CN" w:bidi="ar"/>
        </w:rPr>
        <w:t xml:space="preserve"> The improved survival rates at higher IBA concentrations are likely due to the establishment of a more effective root system, characterized by a greater number of primary and secondary roots and increased root length. This enhanced root structure probably leads to better water and nutrient absorption. In contrast, the lower survival rate in untreated cuttings may be ascribed to the reduced primary and secondary root count. These results align with findings by Patel and Patel (201</w:t>
      </w:r>
      <w:r w:rsidR="00784837">
        <w:rPr>
          <w:rFonts w:ascii="Times New Roman" w:eastAsia="Times New Roman" w:hAnsi="Times New Roman" w:cs="Times New Roman"/>
          <w:sz w:val="24"/>
          <w:szCs w:val="24"/>
          <w:lang w:eastAsia="zh-CN" w:bidi="ar"/>
        </w:rPr>
        <w:t>6</w:t>
      </w:r>
      <w:r>
        <w:rPr>
          <w:rFonts w:ascii="Times New Roman" w:eastAsia="Times New Roman" w:hAnsi="Times New Roman" w:cs="Times New Roman"/>
          <w:sz w:val="24"/>
          <w:szCs w:val="24"/>
          <w:lang w:eastAsia="zh-CN" w:bidi="ar"/>
        </w:rPr>
        <w:t xml:space="preserve">) </w:t>
      </w:r>
    </w:p>
    <w:p w:rsidR="00251C62" w:rsidRDefault="00B00BC3">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rsidR="00251C62" w:rsidRDefault="00B00BC3">
      <w:pPr>
        <w:spacing w:line="360" w:lineRule="auto"/>
        <w:jc w:val="both"/>
        <w:rPr>
          <w:rFonts w:ascii="Times New Roman" w:hAnsi="Times New Roman" w:cs="Times New Roman"/>
          <w:sz w:val="24"/>
          <w:szCs w:val="24"/>
        </w:rPr>
      </w:pPr>
      <w:r>
        <w:rPr>
          <w:rFonts w:ascii="Times New Roman" w:hAnsi="Times New Roman" w:cs="Times New Roman"/>
          <w:sz w:val="24"/>
          <w:szCs w:val="24"/>
        </w:rPr>
        <w:t>The following conclusions were drawn from the present investigation:</w:t>
      </w:r>
    </w:p>
    <w:p w:rsidR="00251C62" w:rsidRDefault="00B00BC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Etiolated cuttings achieved better rooting performance. </w:t>
      </w:r>
    </w:p>
    <w:p w:rsidR="00251C62" w:rsidRPr="003B1BE5" w:rsidRDefault="00B00BC3">
      <w:pPr>
        <w:pStyle w:val="ListParagraph"/>
        <w:numPr>
          <w:ilvl w:val="0"/>
          <w:numId w:val="1"/>
        </w:numPr>
        <w:spacing w:line="360" w:lineRule="auto"/>
        <w:jc w:val="both"/>
        <w:rPr>
          <w:rFonts w:ascii="Times New Roman" w:hAnsi="Times New Roman" w:cs="Times New Roman"/>
          <w:i/>
          <w:sz w:val="24"/>
          <w:szCs w:val="24"/>
        </w:rPr>
      </w:pPr>
      <w:r>
        <w:rPr>
          <w:rFonts w:ascii="Times New Roman" w:hAnsi="Times New Roman" w:cs="Times New Roman"/>
          <w:sz w:val="24"/>
          <w:szCs w:val="24"/>
        </w:rPr>
        <w:lastRenderedPageBreak/>
        <w:t xml:space="preserve">IBA at 3000 ppm was determined to be superior to all other concentrations in improving adventitious roots in </w:t>
      </w:r>
      <w:r>
        <w:rPr>
          <w:rFonts w:ascii="Times New Roman" w:hAnsi="Times New Roman" w:cs="Times New Roman"/>
          <w:i/>
          <w:sz w:val="24"/>
          <w:szCs w:val="24"/>
        </w:rPr>
        <w:t xml:space="preserve">Magnolia </w:t>
      </w:r>
      <w:proofErr w:type="spellStart"/>
      <w:r>
        <w:rPr>
          <w:rFonts w:ascii="Times New Roman" w:hAnsi="Times New Roman" w:cs="Times New Roman"/>
          <w:i/>
          <w:sz w:val="24"/>
          <w:szCs w:val="24"/>
        </w:rPr>
        <w:t>liliiflora</w:t>
      </w:r>
      <w:proofErr w:type="spellEnd"/>
      <w:r>
        <w:rPr>
          <w:rFonts w:ascii="Times New Roman" w:hAnsi="Times New Roman" w:cs="Times New Roman"/>
          <w:sz w:val="24"/>
          <w:szCs w:val="24"/>
        </w:rPr>
        <w:t xml:space="preserve"> </w:t>
      </w:r>
    </w:p>
    <w:p w:rsidR="003B1BE5" w:rsidRDefault="003B1BE5" w:rsidP="003B1BE5">
      <w:pPr>
        <w:pStyle w:val="ListParagraph"/>
        <w:spacing w:line="360" w:lineRule="auto"/>
        <w:jc w:val="both"/>
        <w:rPr>
          <w:rFonts w:ascii="Times New Roman" w:hAnsi="Times New Roman" w:cs="Times New Roman"/>
          <w:sz w:val="24"/>
          <w:szCs w:val="24"/>
        </w:rPr>
      </w:pPr>
    </w:p>
    <w:p w:rsidR="003B1BE5" w:rsidRPr="003B1BE5" w:rsidRDefault="003B1BE5" w:rsidP="003B1BE5">
      <w:pPr>
        <w:spacing w:after="0"/>
        <w:jc w:val="both"/>
        <w:rPr>
          <w:b/>
          <w:i/>
          <w:color w:val="000000"/>
          <w:sz w:val="24"/>
          <w:szCs w:val="24"/>
        </w:rPr>
      </w:pPr>
      <w:r w:rsidRPr="003B1BE5">
        <w:rPr>
          <w:b/>
          <w:color w:val="000000"/>
          <w:sz w:val="24"/>
          <w:szCs w:val="24"/>
        </w:rPr>
        <w:t xml:space="preserve">Table 1: Effect of Etiolation and IBA on the </w:t>
      </w:r>
      <w:proofErr w:type="spellStart"/>
      <w:r w:rsidRPr="003B1BE5">
        <w:rPr>
          <w:b/>
          <w:color w:val="000000"/>
          <w:sz w:val="24"/>
          <w:szCs w:val="24"/>
        </w:rPr>
        <w:t>Rhizogenesis</w:t>
      </w:r>
      <w:proofErr w:type="spellEnd"/>
      <w:r w:rsidRPr="003B1BE5">
        <w:rPr>
          <w:b/>
          <w:color w:val="000000"/>
          <w:sz w:val="24"/>
          <w:szCs w:val="24"/>
        </w:rPr>
        <w:t xml:space="preserve"> of </w:t>
      </w:r>
      <w:r w:rsidRPr="003B1BE5">
        <w:rPr>
          <w:b/>
          <w:i/>
          <w:color w:val="000000"/>
          <w:sz w:val="24"/>
          <w:szCs w:val="24"/>
        </w:rPr>
        <w:t xml:space="preserve">Magnolia </w:t>
      </w:r>
      <w:proofErr w:type="spellStart"/>
      <w:r w:rsidRPr="003B1BE5">
        <w:rPr>
          <w:b/>
          <w:i/>
          <w:color w:val="000000"/>
          <w:sz w:val="24"/>
          <w:szCs w:val="24"/>
        </w:rPr>
        <w:t>liliiflora</w:t>
      </w:r>
      <w:proofErr w:type="spellEnd"/>
    </w:p>
    <w:p w:rsidR="003B1BE5" w:rsidRDefault="003B1BE5" w:rsidP="003B1BE5">
      <w:pPr>
        <w:pStyle w:val="ListParagraph"/>
        <w:spacing w:after="0" w:line="360" w:lineRule="auto"/>
        <w:jc w:val="both"/>
        <w:rPr>
          <w:rFonts w:ascii="Times New Roman" w:hAnsi="Times New Roman" w:cs="Times New Roman"/>
          <w:sz w:val="24"/>
          <w:szCs w:val="24"/>
        </w:rPr>
      </w:pPr>
    </w:p>
    <w:tbl>
      <w:tblPr>
        <w:tblStyle w:val="TableGrid"/>
        <w:tblpPr w:leftFromText="180" w:rightFromText="180" w:vertAnchor="text" w:horzAnchor="margin" w:tblpY="548"/>
        <w:tblW w:w="10571" w:type="dxa"/>
        <w:tblLook w:val="04A0" w:firstRow="1" w:lastRow="0" w:firstColumn="1" w:lastColumn="0" w:noHBand="0" w:noVBand="1"/>
      </w:tblPr>
      <w:tblGrid>
        <w:gridCol w:w="1421"/>
        <w:gridCol w:w="1030"/>
        <w:gridCol w:w="1470"/>
        <w:gridCol w:w="1256"/>
        <w:gridCol w:w="1470"/>
        <w:gridCol w:w="1230"/>
        <w:gridCol w:w="1176"/>
        <w:gridCol w:w="1518"/>
      </w:tblGrid>
      <w:tr w:rsidR="003B1BE5" w:rsidTr="003B1BE5">
        <w:trPr>
          <w:trHeight w:hRule="exact" w:val="1810"/>
        </w:trPr>
        <w:tc>
          <w:tcPr>
            <w:tcW w:w="1421"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240" w:lineRule="auto"/>
              <w:rPr>
                <w:rFonts w:ascii="Times New Roman" w:hAnsi="Times New Roman" w:cs="Times New Roman"/>
                <w:b/>
                <w:sz w:val="20"/>
                <w:szCs w:val="20"/>
              </w:rPr>
            </w:pPr>
            <w:r>
              <w:rPr>
                <w:rFonts w:ascii="Times New Roman" w:hAnsi="Times New Roman" w:cs="Times New Roman"/>
                <w:b/>
                <w:sz w:val="20"/>
                <w:szCs w:val="20"/>
              </w:rPr>
              <w:t>Treatments</w:t>
            </w:r>
          </w:p>
        </w:tc>
        <w:tc>
          <w:tcPr>
            <w:tcW w:w="1030"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240" w:lineRule="auto"/>
              <w:rPr>
                <w:rFonts w:ascii="Times New Roman" w:hAnsi="Times New Roman" w:cs="Times New Roman"/>
                <w:b/>
                <w:sz w:val="20"/>
                <w:szCs w:val="20"/>
              </w:rPr>
            </w:pPr>
            <w:r>
              <w:rPr>
                <w:rFonts w:ascii="Times New Roman" w:hAnsi="Times New Roman" w:cs="Times New Roman"/>
                <w:b/>
                <w:sz w:val="20"/>
                <w:szCs w:val="20"/>
              </w:rPr>
              <w:t>Days taken to Rooting</w:t>
            </w:r>
          </w:p>
        </w:tc>
        <w:tc>
          <w:tcPr>
            <w:tcW w:w="1470"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240" w:lineRule="auto"/>
              <w:rPr>
                <w:sz w:val="20"/>
                <w:szCs w:val="20"/>
              </w:rPr>
            </w:pPr>
            <w:r>
              <w:rPr>
                <w:rFonts w:ascii="Times New Roman" w:hAnsi="Times New Roman" w:cs="Times New Roman"/>
                <w:b/>
                <w:sz w:val="20"/>
                <w:szCs w:val="20"/>
              </w:rPr>
              <w:t>Average number of primary adventitious roots</w:t>
            </w:r>
          </w:p>
        </w:tc>
        <w:tc>
          <w:tcPr>
            <w:tcW w:w="1256"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240" w:lineRule="auto"/>
              <w:rPr>
                <w:sz w:val="20"/>
                <w:szCs w:val="20"/>
              </w:rPr>
            </w:pPr>
            <w:r>
              <w:rPr>
                <w:rFonts w:ascii="Times New Roman" w:hAnsi="Times New Roman" w:cs="Times New Roman"/>
                <w:b/>
                <w:sz w:val="20"/>
                <w:szCs w:val="20"/>
              </w:rPr>
              <w:t>Average number of secondary roots</w:t>
            </w:r>
          </w:p>
        </w:tc>
        <w:tc>
          <w:tcPr>
            <w:tcW w:w="1470"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240" w:lineRule="auto"/>
              <w:rPr>
                <w:sz w:val="20"/>
                <w:szCs w:val="20"/>
              </w:rPr>
            </w:pPr>
            <w:r>
              <w:rPr>
                <w:rFonts w:ascii="Times New Roman" w:hAnsi="Times New Roman" w:cs="Times New Roman"/>
                <w:b/>
                <w:sz w:val="20"/>
                <w:szCs w:val="20"/>
              </w:rPr>
              <w:t>Average length of primary adventitious roots</w:t>
            </w:r>
          </w:p>
        </w:tc>
        <w:tc>
          <w:tcPr>
            <w:tcW w:w="1230"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Average number of successful rooted cuttings</w:t>
            </w:r>
          </w:p>
          <w:p w:rsidR="003B1BE5" w:rsidRDefault="003B1BE5" w:rsidP="003B1BE5">
            <w:pPr>
              <w:spacing w:after="0" w:line="240" w:lineRule="auto"/>
              <w:rPr>
                <w:sz w:val="20"/>
                <w:szCs w:val="20"/>
              </w:rPr>
            </w:pPr>
          </w:p>
        </w:tc>
        <w:tc>
          <w:tcPr>
            <w:tcW w:w="1176"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Diameter of primary rooted cuttings</w:t>
            </w:r>
          </w:p>
          <w:p w:rsidR="003B1BE5" w:rsidRDefault="003B1BE5" w:rsidP="003B1BE5">
            <w:pPr>
              <w:spacing w:after="0" w:line="240" w:lineRule="auto"/>
              <w:rPr>
                <w:sz w:val="20"/>
                <w:szCs w:val="20"/>
              </w:rPr>
            </w:pPr>
          </w:p>
        </w:tc>
        <w:tc>
          <w:tcPr>
            <w:tcW w:w="1518"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360" w:lineRule="auto"/>
              <w:jc w:val="both"/>
              <w:rPr>
                <w:rFonts w:ascii="Times New Roman" w:hAnsi="Times New Roman" w:cs="Times New Roman"/>
                <w:sz w:val="20"/>
                <w:szCs w:val="20"/>
              </w:rPr>
            </w:pPr>
            <w:r>
              <w:rPr>
                <w:rFonts w:ascii="Times New Roman" w:hAnsi="Times New Roman" w:cs="Times New Roman"/>
                <w:b/>
                <w:sz w:val="20"/>
                <w:szCs w:val="20"/>
              </w:rPr>
              <w:t xml:space="preserve">Survival percentage of </w:t>
            </w:r>
            <w:r>
              <w:rPr>
                <w:rFonts w:ascii="Times New Roman" w:hAnsi="Times New Roman" w:cs="Times New Roman"/>
                <w:b/>
                <w:i/>
                <w:sz w:val="20"/>
                <w:szCs w:val="20"/>
              </w:rPr>
              <w:t xml:space="preserve">rooted </w:t>
            </w:r>
            <w:r>
              <w:rPr>
                <w:rFonts w:ascii="Times New Roman" w:hAnsi="Times New Roman" w:cs="Times New Roman"/>
                <w:b/>
                <w:sz w:val="20"/>
                <w:szCs w:val="20"/>
              </w:rPr>
              <w:t>cuttings</w:t>
            </w:r>
          </w:p>
          <w:p w:rsidR="003B1BE5" w:rsidRDefault="003B1BE5" w:rsidP="003B1BE5">
            <w:pPr>
              <w:spacing w:after="0" w:line="360" w:lineRule="auto"/>
              <w:jc w:val="both"/>
              <w:rPr>
                <w:sz w:val="20"/>
                <w:szCs w:val="20"/>
              </w:rPr>
            </w:pPr>
          </w:p>
        </w:tc>
      </w:tr>
      <w:tr w:rsidR="003B1BE5" w:rsidTr="003B1BE5">
        <w:tc>
          <w:tcPr>
            <w:tcW w:w="1421"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240" w:lineRule="auto"/>
              <w:rPr>
                <w:rFonts w:ascii="Times New Roman" w:hAnsi="Times New Roman" w:cs="Times New Roman"/>
                <w:b/>
                <w:sz w:val="20"/>
                <w:szCs w:val="20"/>
              </w:rPr>
            </w:pPr>
            <w:r>
              <w:rPr>
                <w:rFonts w:ascii="Times New Roman" w:hAnsi="Times New Roman" w:cs="Times New Roman"/>
                <w:b/>
                <w:sz w:val="20"/>
                <w:szCs w:val="20"/>
              </w:rPr>
              <w:t>IBA 0ppm</w:t>
            </w:r>
          </w:p>
        </w:tc>
        <w:tc>
          <w:tcPr>
            <w:tcW w:w="1030"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360" w:lineRule="auto"/>
              <w:jc w:val="both"/>
              <w:rPr>
                <w:rFonts w:ascii="Times New Roman" w:hAnsi="Times New Roman" w:cs="Times New Roman"/>
                <w:sz w:val="20"/>
                <w:szCs w:val="20"/>
              </w:rPr>
            </w:pPr>
            <w:r>
              <w:rPr>
                <w:rFonts w:ascii="Times New Roman" w:hAnsi="Times New Roman" w:cs="Times New Roman"/>
                <w:sz w:val="20"/>
                <w:szCs w:val="20"/>
              </w:rPr>
              <w:t>69.49</w:t>
            </w:r>
          </w:p>
        </w:tc>
        <w:tc>
          <w:tcPr>
            <w:tcW w:w="1470"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360" w:lineRule="auto"/>
              <w:jc w:val="both"/>
              <w:rPr>
                <w:rFonts w:ascii="Times New Roman" w:hAnsi="Times New Roman" w:cs="Times New Roman"/>
                <w:sz w:val="20"/>
                <w:szCs w:val="20"/>
              </w:rPr>
            </w:pPr>
            <w:r>
              <w:rPr>
                <w:rFonts w:ascii="Times New Roman" w:hAnsi="Times New Roman" w:cs="Times New Roman"/>
                <w:sz w:val="20"/>
                <w:szCs w:val="20"/>
              </w:rPr>
              <w:t>2.05</w:t>
            </w:r>
          </w:p>
        </w:tc>
        <w:tc>
          <w:tcPr>
            <w:tcW w:w="1256"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360" w:lineRule="auto"/>
              <w:jc w:val="both"/>
              <w:rPr>
                <w:rFonts w:ascii="Times New Roman" w:hAnsi="Times New Roman" w:cs="Times New Roman"/>
                <w:sz w:val="20"/>
                <w:szCs w:val="20"/>
              </w:rPr>
            </w:pPr>
            <w:r>
              <w:rPr>
                <w:rFonts w:ascii="Times New Roman" w:hAnsi="Times New Roman" w:cs="Times New Roman"/>
                <w:sz w:val="20"/>
                <w:szCs w:val="20"/>
              </w:rPr>
              <w:t>6.27</w:t>
            </w:r>
          </w:p>
        </w:tc>
        <w:tc>
          <w:tcPr>
            <w:tcW w:w="1470"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360" w:lineRule="auto"/>
              <w:jc w:val="both"/>
              <w:rPr>
                <w:rFonts w:ascii="Times New Roman" w:hAnsi="Times New Roman" w:cs="Times New Roman"/>
                <w:sz w:val="20"/>
                <w:szCs w:val="20"/>
              </w:rPr>
            </w:pPr>
            <w:r>
              <w:rPr>
                <w:rFonts w:ascii="Times New Roman" w:hAnsi="Times New Roman" w:cs="Times New Roman"/>
                <w:sz w:val="20"/>
                <w:szCs w:val="20"/>
              </w:rPr>
              <w:t>4.02</w:t>
            </w:r>
          </w:p>
        </w:tc>
        <w:tc>
          <w:tcPr>
            <w:tcW w:w="1230"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17.50</w:t>
            </w:r>
          </w:p>
        </w:tc>
        <w:tc>
          <w:tcPr>
            <w:tcW w:w="1176"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1.53</w:t>
            </w:r>
          </w:p>
        </w:tc>
        <w:tc>
          <w:tcPr>
            <w:tcW w:w="1518"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360" w:lineRule="auto"/>
              <w:jc w:val="both"/>
              <w:rPr>
                <w:rFonts w:ascii="Times New Roman" w:hAnsi="Times New Roman" w:cs="Times New Roman"/>
                <w:sz w:val="20"/>
                <w:szCs w:val="20"/>
              </w:rPr>
            </w:pPr>
            <w:r>
              <w:rPr>
                <w:rFonts w:ascii="Times New Roman" w:hAnsi="Times New Roman" w:cs="Times New Roman"/>
                <w:sz w:val="20"/>
                <w:szCs w:val="20"/>
              </w:rPr>
              <w:t>51.66</w:t>
            </w:r>
          </w:p>
        </w:tc>
      </w:tr>
      <w:tr w:rsidR="003B1BE5" w:rsidTr="003B1BE5">
        <w:tc>
          <w:tcPr>
            <w:tcW w:w="1421"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240" w:lineRule="auto"/>
              <w:rPr>
                <w:rFonts w:ascii="Times New Roman" w:hAnsi="Times New Roman" w:cs="Times New Roman"/>
                <w:b/>
                <w:sz w:val="20"/>
                <w:szCs w:val="20"/>
              </w:rPr>
            </w:pPr>
            <w:r>
              <w:rPr>
                <w:rFonts w:ascii="Times New Roman" w:hAnsi="Times New Roman" w:cs="Times New Roman"/>
                <w:b/>
                <w:sz w:val="20"/>
                <w:szCs w:val="20"/>
              </w:rPr>
              <w:t>IBA 1000ppm</w:t>
            </w:r>
          </w:p>
        </w:tc>
        <w:tc>
          <w:tcPr>
            <w:tcW w:w="1030"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360" w:lineRule="auto"/>
              <w:jc w:val="both"/>
              <w:rPr>
                <w:rFonts w:ascii="Times New Roman" w:hAnsi="Times New Roman" w:cs="Times New Roman"/>
                <w:sz w:val="20"/>
                <w:szCs w:val="20"/>
              </w:rPr>
            </w:pPr>
            <w:r>
              <w:rPr>
                <w:rFonts w:ascii="Times New Roman" w:hAnsi="Times New Roman" w:cs="Times New Roman"/>
                <w:sz w:val="20"/>
                <w:szCs w:val="20"/>
              </w:rPr>
              <w:t>66.66</w:t>
            </w:r>
          </w:p>
        </w:tc>
        <w:tc>
          <w:tcPr>
            <w:tcW w:w="1470"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360" w:lineRule="auto"/>
              <w:jc w:val="both"/>
              <w:rPr>
                <w:rFonts w:ascii="Times New Roman" w:hAnsi="Times New Roman" w:cs="Times New Roman"/>
                <w:sz w:val="20"/>
                <w:szCs w:val="20"/>
              </w:rPr>
            </w:pPr>
            <w:r>
              <w:rPr>
                <w:rFonts w:ascii="Times New Roman" w:hAnsi="Times New Roman" w:cs="Times New Roman"/>
                <w:sz w:val="20"/>
                <w:szCs w:val="20"/>
              </w:rPr>
              <w:t>2.94</w:t>
            </w:r>
          </w:p>
        </w:tc>
        <w:tc>
          <w:tcPr>
            <w:tcW w:w="1256"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360" w:lineRule="auto"/>
              <w:jc w:val="both"/>
              <w:rPr>
                <w:rFonts w:ascii="Times New Roman" w:hAnsi="Times New Roman" w:cs="Times New Roman"/>
                <w:sz w:val="20"/>
                <w:szCs w:val="20"/>
              </w:rPr>
            </w:pPr>
            <w:r>
              <w:rPr>
                <w:rFonts w:ascii="Times New Roman" w:hAnsi="Times New Roman" w:cs="Times New Roman"/>
                <w:sz w:val="20"/>
                <w:szCs w:val="20"/>
              </w:rPr>
              <w:t>9.88</w:t>
            </w:r>
          </w:p>
        </w:tc>
        <w:tc>
          <w:tcPr>
            <w:tcW w:w="1470"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360" w:lineRule="auto"/>
              <w:jc w:val="both"/>
              <w:rPr>
                <w:rFonts w:ascii="Times New Roman" w:hAnsi="Times New Roman" w:cs="Times New Roman"/>
                <w:sz w:val="20"/>
                <w:szCs w:val="20"/>
              </w:rPr>
            </w:pPr>
            <w:r>
              <w:rPr>
                <w:rFonts w:ascii="Times New Roman" w:hAnsi="Times New Roman" w:cs="Times New Roman"/>
                <w:sz w:val="20"/>
                <w:szCs w:val="20"/>
              </w:rPr>
              <w:t>5.22</w:t>
            </w:r>
          </w:p>
        </w:tc>
        <w:tc>
          <w:tcPr>
            <w:tcW w:w="1230"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360" w:lineRule="auto"/>
              <w:jc w:val="both"/>
              <w:rPr>
                <w:rFonts w:ascii="Times New Roman" w:hAnsi="Times New Roman" w:cs="Times New Roman"/>
                <w:sz w:val="20"/>
                <w:szCs w:val="20"/>
              </w:rPr>
            </w:pPr>
            <w:r>
              <w:rPr>
                <w:rFonts w:ascii="Times New Roman" w:hAnsi="Times New Roman" w:cs="Times New Roman"/>
                <w:sz w:val="20"/>
                <w:szCs w:val="20"/>
              </w:rPr>
              <w:t>30.00</w:t>
            </w:r>
          </w:p>
        </w:tc>
        <w:tc>
          <w:tcPr>
            <w:tcW w:w="1176"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1.78</w:t>
            </w:r>
          </w:p>
        </w:tc>
        <w:tc>
          <w:tcPr>
            <w:tcW w:w="1518"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360" w:lineRule="auto"/>
              <w:jc w:val="both"/>
              <w:rPr>
                <w:rFonts w:ascii="Times New Roman" w:hAnsi="Times New Roman" w:cs="Times New Roman"/>
                <w:sz w:val="20"/>
                <w:szCs w:val="20"/>
              </w:rPr>
            </w:pPr>
            <w:r>
              <w:rPr>
                <w:rFonts w:ascii="Times New Roman" w:hAnsi="Times New Roman" w:cs="Times New Roman"/>
                <w:sz w:val="20"/>
                <w:szCs w:val="20"/>
              </w:rPr>
              <w:t>55.63</w:t>
            </w:r>
          </w:p>
        </w:tc>
      </w:tr>
      <w:tr w:rsidR="003B1BE5" w:rsidTr="003B1BE5">
        <w:tc>
          <w:tcPr>
            <w:tcW w:w="1421"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240" w:lineRule="auto"/>
              <w:rPr>
                <w:rFonts w:ascii="Times New Roman" w:hAnsi="Times New Roman" w:cs="Times New Roman"/>
                <w:b/>
                <w:sz w:val="20"/>
                <w:szCs w:val="20"/>
              </w:rPr>
            </w:pPr>
            <w:r>
              <w:rPr>
                <w:rFonts w:ascii="Times New Roman" w:hAnsi="Times New Roman" w:cs="Times New Roman"/>
                <w:b/>
                <w:sz w:val="20"/>
                <w:szCs w:val="20"/>
              </w:rPr>
              <w:t>IBA 2000ppm</w:t>
            </w:r>
          </w:p>
        </w:tc>
        <w:tc>
          <w:tcPr>
            <w:tcW w:w="1030"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360" w:lineRule="auto"/>
              <w:jc w:val="both"/>
              <w:rPr>
                <w:rFonts w:ascii="Times New Roman" w:hAnsi="Times New Roman" w:cs="Times New Roman"/>
                <w:sz w:val="20"/>
                <w:szCs w:val="20"/>
              </w:rPr>
            </w:pPr>
            <w:r>
              <w:rPr>
                <w:rFonts w:ascii="Times New Roman" w:hAnsi="Times New Roman" w:cs="Times New Roman"/>
                <w:sz w:val="20"/>
                <w:szCs w:val="20"/>
              </w:rPr>
              <w:t>63.60</w:t>
            </w:r>
          </w:p>
        </w:tc>
        <w:tc>
          <w:tcPr>
            <w:tcW w:w="1470"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360" w:lineRule="auto"/>
              <w:jc w:val="both"/>
              <w:rPr>
                <w:rFonts w:ascii="Times New Roman" w:hAnsi="Times New Roman" w:cs="Times New Roman"/>
                <w:sz w:val="20"/>
                <w:szCs w:val="20"/>
              </w:rPr>
            </w:pPr>
            <w:r>
              <w:rPr>
                <w:rFonts w:ascii="Times New Roman" w:hAnsi="Times New Roman" w:cs="Times New Roman"/>
                <w:sz w:val="20"/>
                <w:szCs w:val="20"/>
              </w:rPr>
              <w:t>3.60</w:t>
            </w:r>
          </w:p>
        </w:tc>
        <w:tc>
          <w:tcPr>
            <w:tcW w:w="1256"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12.55</w:t>
            </w:r>
          </w:p>
        </w:tc>
        <w:tc>
          <w:tcPr>
            <w:tcW w:w="1470"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360" w:lineRule="auto"/>
              <w:jc w:val="both"/>
              <w:rPr>
                <w:rFonts w:ascii="Times New Roman" w:hAnsi="Times New Roman" w:cs="Times New Roman"/>
                <w:sz w:val="20"/>
                <w:szCs w:val="20"/>
              </w:rPr>
            </w:pPr>
            <w:r>
              <w:rPr>
                <w:rFonts w:ascii="Times New Roman" w:hAnsi="Times New Roman" w:cs="Times New Roman"/>
                <w:sz w:val="20"/>
                <w:szCs w:val="20"/>
              </w:rPr>
              <w:t>6.63</w:t>
            </w:r>
          </w:p>
        </w:tc>
        <w:tc>
          <w:tcPr>
            <w:tcW w:w="1230"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360" w:lineRule="auto"/>
              <w:jc w:val="both"/>
              <w:rPr>
                <w:rFonts w:ascii="Times New Roman" w:hAnsi="Times New Roman" w:cs="Times New Roman"/>
                <w:sz w:val="20"/>
                <w:szCs w:val="20"/>
              </w:rPr>
            </w:pPr>
            <w:r>
              <w:rPr>
                <w:rFonts w:ascii="Times New Roman" w:hAnsi="Times New Roman" w:cs="Times New Roman"/>
                <w:sz w:val="20"/>
                <w:szCs w:val="20"/>
              </w:rPr>
              <w:t>35.00</w:t>
            </w:r>
          </w:p>
        </w:tc>
        <w:tc>
          <w:tcPr>
            <w:tcW w:w="1176"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360" w:lineRule="auto"/>
              <w:jc w:val="both"/>
              <w:rPr>
                <w:rFonts w:ascii="Times New Roman" w:hAnsi="Times New Roman" w:cs="Times New Roman"/>
                <w:sz w:val="20"/>
                <w:szCs w:val="20"/>
              </w:rPr>
            </w:pPr>
            <w:r>
              <w:rPr>
                <w:rFonts w:ascii="Times New Roman" w:hAnsi="Times New Roman" w:cs="Times New Roman"/>
                <w:sz w:val="20"/>
                <w:szCs w:val="20"/>
              </w:rPr>
              <w:t>2.10</w:t>
            </w:r>
          </w:p>
        </w:tc>
        <w:tc>
          <w:tcPr>
            <w:tcW w:w="1518"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360" w:lineRule="auto"/>
              <w:jc w:val="both"/>
              <w:rPr>
                <w:rFonts w:ascii="Times New Roman" w:hAnsi="Times New Roman" w:cs="Times New Roman"/>
                <w:sz w:val="20"/>
                <w:szCs w:val="20"/>
              </w:rPr>
            </w:pPr>
            <w:r>
              <w:rPr>
                <w:rFonts w:ascii="Times New Roman" w:hAnsi="Times New Roman" w:cs="Times New Roman"/>
                <w:sz w:val="20"/>
                <w:szCs w:val="20"/>
              </w:rPr>
              <w:t>57.24</w:t>
            </w:r>
          </w:p>
        </w:tc>
      </w:tr>
      <w:tr w:rsidR="003B1BE5" w:rsidTr="003B1BE5">
        <w:trPr>
          <w:trHeight w:val="497"/>
        </w:trPr>
        <w:tc>
          <w:tcPr>
            <w:tcW w:w="1421"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240" w:lineRule="auto"/>
              <w:rPr>
                <w:rFonts w:ascii="Times New Roman" w:hAnsi="Times New Roman" w:cs="Times New Roman"/>
                <w:b/>
                <w:sz w:val="20"/>
                <w:szCs w:val="20"/>
              </w:rPr>
            </w:pPr>
            <w:r>
              <w:rPr>
                <w:rFonts w:ascii="Times New Roman" w:hAnsi="Times New Roman" w:cs="Times New Roman"/>
                <w:b/>
                <w:sz w:val="20"/>
                <w:szCs w:val="20"/>
              </w:rPr>
              <w:t>IBA 3000ppm</w:t>
            </w:r>
          </w:p>
        </w:tc>
        <w:tc>
          <w:tcPr>
            <w:tcW w:w="1030"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360" w:lineRule="auto"/>
              <w:jc w:val="both"/>
              <w:rPr>
                <w:rFonts w:ascii="Times New Roman" w:hAnsi="Times New Roman" w:cs="Times New Roman"/>
                <w:sz w:val="20"/>
                <w:szCs w:val="20"/>
              </w:rPr>
            </w:pPr>
            <w:r>
              <w:rPr>
                <w:rFonts w:ascii="Times New Roman" w:hAnsi="Times New Roman" w:cs="Times New Roman"/>
                <w:sz w:val="20"/>
                <w:szCs w:val="20"/>
              </w:rPr>
              <w:t>58.10</w:t>
            </w:r>
          </w:p>
        </w:tc>
        <w:tc>
          <w:tcPr>
            <w:tcW w:w="1470"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360" w:lineRule="auto"/>
              <w:jc w:val="both"/>
              <w:rPr>
                <w:rFonts w:ascii="Times New Roman" w:hAnsi="Times New Roman" w:cs="Times New Roman"/>
                <w:sz w:val="20"/>
                <w:szCs w:val="20"/>
              </w:rPr>
            </w:pPr>
            <w:r>
              <w:rPr>
                <w:rFonts w:ascii="Times New Roman" w:hAnsi="Times New Roman" w:cs="Times New Roman"/>
                <w:sz w:val="20"/>
                <w:szCs w:val="20"/>
              </w:rPr>
              <w:t>5.05</w:t>
            </w:r>
          </w:p>
        </w:tc>
        <w:tc>
          <w:tcPr>
            <w:tcW w:w="1256"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16.77</w:t>
            </w:r>
          </w:p>
        </w:tc>
        <w:tc>
          <w:tcPr>
            <w:tcW w:w="1470"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10.11</w:t>
            </w:r>
          </w:p>
        </w:tc>
        <w:tc>
          <w:tcPr>
            <w:tcW w:w="1230"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360" w:lineRule="auto"/>
              <w:jc w:val="both"/>
              <w:rPr>
                <w:rFonts w:ascii="Times New Roman" w:hAnsi="Times New Roman" w:cs="Times New Roman"/>
                <w:sz w:val="20"/>
                <w:szCs w:val="20"/>
              </w:rPr>
            </w:pPr>
            <w:r>
              <w:rPr>
                <w:rFonts w:ascii="Times New Roman" w:hAnsi="Times New Roman" w:cs="Times New Roman"/>
                <w:sz w:val="20"/>
                <w:szCs w:val="20"/>
              </w:rPr>
              <w:t>45.83</w:t>
            </w:r>
          </w:p>
        </w:tc>
        <w:tc>
          <w:tcPr>
            <w:tcW w:w="1176"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360" w:lineRule="auto"/>
              <w:jc w:val="both"/>
              <w:rPr>
                <w:rFonts w:ascii="Times New Roman" w:hAnsi="Times New Roman" w:cs="Times New Roman"/>
                <w:sz w:val="20"/>
                <w:szCs w:val="20"/>
              </w:rPr>
            </w:pPr>
            <w:r>
              <w:rPr>
                <w:rFonts w:ascii="Times New Roman" w:hAnsi="Times New Roman" w:cs="Times New Roman"/>
                <w:sz w:val="20"/>
                <w:szCs w:val="20"/>
              </w:rPr>
              <w:t>2.38</w:t>
            </w:r>
          </w:p>
        </w:tc>
        <w:tc>
          <w:tcPr>
            <w:tcW w:w="1518"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360" w:lineRule="auto"/>
              <w:jc w:val="both"/>
              <w:rPr>
                <w:rFonts w:ascii="Times New Roman" w:hAnsi="Times New Roman" w:cs="Times New Roman"/>
                <w:sz w:val="20"/>
                <w:szCs w:val="20"/>
              </w:rPr>
            </w:pPr>
            <w:r>
              <w:rPr>
                <w:rFonts w:ascii="Times New Roman" w:hAnsi="Times New Roman" w:cs="Times New Roman"/>
                <w:sz w:val="20"/>
                <w:szCs w:val="20"/>
              </w:rPr>
              <w:t>58.92</w:t>
            </w:r>
          </w:p>
        </w:tc>
      </w:tr>
      <w:tr w:rsidR="003B1BE5" w:rsidTr="003B1BE5">
        <w:trPr>
          <w:trHeight w:val="497"/>
        </w:trPr>
        <w:tc>
          <w:tcPr>
            <w:tcW w:w="1421"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CD(P≤0.05)</w:t>
            </w:r>
          </w:p>
          <w:p w:rsidR="003B1BE5" w:rsidRDefault="003B1BE5" w:rsidP="003B1BE5">
            <w:pPr>
              <w:spacing w:after="0" w:line="240" w:lineRule="auto"/>
              <w:rPr>
                <w:rFonts w:ascii="Times New Roman" w:hAnsi="Times New Roman" w:cs="Times New Roman"/>
                <w:b/>
                <w:sz w:val="20"/>
                <w:szCs w:val="20"/>
              </w:rPr>
            </w:pPr>
          </w:p>
        </w:tc>
        <w:tc>
          <w:tcPr>
            <w:tcW w:w="1030"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2.342</w:t>
            </w:r>
          </w:p>
        </w:tc>
        <w:tc>
          <w:tcPr>
            <w:tcW w:w="1470"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360" w:lineRule="auto"/>
              <w:jc w:val="both"/>
              <w:rPr>
                <w:rFonts w:ascii="Times New Roman" w:hAnsi="Times New Roman" w:cs="Times New Roman"/>
                <w:sz w:val="20"/>
                <w:szCs w:val="20"/>
              </w:rPr>
            </w:pPr>
            <w:r>
              <w:rPr>
                <w:rFonts w:ascii="Times New Roman" w:hAnsi="Times New Roman" w:cs="Times New Roman"/>
                <w:b/>
                <w:sz w:val="20"/>
                <w:szCs w:val="20"/>
              </w:rPr>
              <w:t>0.536</w:t>
            </w:r>
          </w:p>
        </w:tc>
        <w:tc>
          <w:tcPr>
            <w:tcW w:w="1256"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0.624</w:t>
            </w:r>
          </w:p>
          <w:p w:rsidR="003B1BE5" w:rsidRDefault="003B1BE5" w:rsidP="003B1BE5">
            <w:pPr>
              <w:spacing w:after="0" w:line="360" w:lineRule="auto"/>
              <w:jc w:val="both"/>
              <w:rPr>
                <w:rFonts w:ascii="Times New Roman" w:hAnsi="Times New Roman" w:cs="Times New Roman"/>
                <w:sz w:val="20"/>
                <w:szCs w:val="20"/>
              </w:rPr>
            </w:pPr>
          </w:p>
        </w:tc>
        <w:tc>
          <w:tcPr>
            <w:tcW w:w="1470"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360" w:lineRule="auto"/>
              <w:jc w:val="both"/>
              <w:rPr>
                <w:rFonts w:ascii="Times New Roman" w:hAnsi="Times New Roman" w:cs="Times New Roman"/>
                <w:sz w:val="20"/>
                <w:szCs w:val="20"/>
              </w:rPr>
            </w:pPr>
            <w:r>
              <w:rPr>
                <w:rFonts w:ascii="Times New Roman" w:hAnsi="Times New Roman" w:cs="Times New Roman"/>
                <w:b/>
                <w:sz w:val="20"/>
                <w:szCs w:val="20"/>
              </w:rPr>
              <w:t>0.304</w:t>
            </w:r>
          </w:p>
        </w:tc>
        <w:tc>
          <w:tcPr>
            <w:tcW w:w="1230"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1.613</w:t>
            </w:r>
          </w:p>
          <w:p w:rsidR="003B1BE5" w:rsidRDefault="003B1BE5" w:rsidP="003B1BE5">
            <w:pPr>
              <w:spacing w:after="0" w:line="360" w:lineRule="auto"/>
              <w:jc w:val="both"/>
              <w:rPr>
                <w:rFonts w:ascii="Times New Roman" w:hAnsi="Times New Roman" w:cs="Times New Roman"/>
                <w:sz w:val="20"/>
                <w:szCs w:val="20"/>
              </w:rPr>
            </w:pPr>
          </w:p>
        </w:tc>
        <w:tc>
          <w:tcPr>
            <w:tcW w:w="1176"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360" w:lineRule="auto"/>
              <w:jc w:val="both"/>
              <w:rPr>
                <w:rFonts w:ascii="Times New Roman" w:hAnsi="Times New Roman" w:cs="Times New Roman"/>
                <w:sz w:val="20"/>
                <w:szCs w:val="20"/>
              </w:rPr>
            </w:pPr>
            <w:r>
              <w:rPr>
                <w:rFonts w:ascii="Times New Roman" w:hAnsi="Times New Roman" w:cs="Times New Roman"/>
                <w:b/>
                <w:sz w:val="20"/>
                <w:szCs w:val="20"/>
              </w:rPr>
              <w:t>0.151</w:t>
            </w:r>
          </w:p>
        </w:tc>
        <w:tc>
          <w:tcPr>
            <w:tcW w:w="1518"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1.090</w:t>
            </w:r>
          </w:p>
          <w:p w:rsidR="003B1BE5" w:rsidRDefault="003B1BE5" w:rsidP="003B1BE5">
            <w:pPr>
              <w:spacing w:after="0" w:line="360" w:lineRule="auto"/>
              <w:jc w:val="both"/>
              <w:rPr>
                <w:rFonts w:ascii="Times New Roman" w:hAnsi="Times New Roman" w:cs="Times New Roman"/>
                <w:sz w:val="20"/>
                <w:szCs w:val="20"/>
              </w:rPr>
            </w:pPr>
          </w:p>
        </w:tc>
      </w:tr>
      <w:tr w:rsidR="003B1BE5" w:rsidTr="003B1BE5">
        <w:tc>
          <w:tcPr>
            <w:tcW w:w="1421"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240" w:lineRule="auto"/>
              <w:rPr>
                <w:rFonts w:ascii="Times New Roman" w:hAnsi="Times New Roman" w:cs="Times New Roman"/>
                <w:b/>
                <w:sz w:val="20"/>
                <w:szCs w:val="20"/>
              </w:rPr>
            </w:pPr>
            <w:r>
              <w:rPr>
                <w:rFonts w:ascii="Times New Roman" w:hAnsi="Times New Roman" w:cs="Times New Roman"/>
                <w:b/>
                <w:sz w:val="20"/>
                <w:szCs w:val="20"/>
              </w:rPr>
              <w:t>Etiolation</w:t>
            </w:r>
          </w:p>
        </w:tc>
        <w:tc>
          <w:tcPr>
            <w:tcW w:w="1030" w:type="dxa"/>
            <w:tcBorders>
              <w:top w:val="single" w:sz="8" w:space="0" w:color="auto"/>
              <w:left w:val="single" w:sz="8" w:space="0" w:color="auto"/>
              <w:bottom w:val="single" w:sz="8" w:space="0" w:color="auto"/>
              <w:right w:val="single" w:sz="8" w:space="0" w:color="auto"/>
            </w:tcBorders>
            <w:vAlign w:val="center"/>
          </w:tcPr>
          <w:p w:rsidR="003B1BE5" w:rsidRDefault="003B1BE5" w:rsidP="003B1BE5">
            <w:pPr>
              <w:spacing w:after="0" w:line="240" w:lineRule="auto"/>
              <w:jc w:val="both"/>
              <w:rPr>
                <w:bCs/>
                <w:color w:val="000000"/>
                <w:sz w:val="20"/>
                <w:szCs w:val="20"/>
              </w:rPr>
            </w:pPr>
            <w:r>
              <w:rPr>
                <w:bCs/>
                <w:color w:val="000000"/>
                <w:sz w:val="20"/>
                <w:szCs w:val="20"/>
              </w:rPr>
              <w:t>63.33</w:t>
            </w:r>
          </w:p>
        </w:tc>
        <w:tc>
          <w:tcPr>
            <w:tcW w:w="1470" w:type="dxa"/>
            <w:tcBorders>
              <w:top w:val="single" w:sz="8" w:space="0" w:color="auto"/>
              <w:left w:val="single" w:sz="8" w:space="0" w:color="auto"/>
              <w:bottom w:val="single" w:sz="8" w:space="0" w:color="auto"/>
              <w:right w:val="single" w:sz="8" w:space="0" w:color="auto"/>
            </w:tcBorders>
            <w:vAlign w:val="center"/>
          </w:tcPr>
          <w:p w:rsidR="003B1BE5" w:rsidRDefault="003B1BE5" w:rsidP="003B1BE5">
            <w:pPr>
              <w:spacing w:after="0" w:line="240" w:lineRule="auto"/>
              <w:jc w:val="both"/>
              <w:rPr>
                <w:bCs/>
                <w:color w:val="000000"/>
                <w:sz w:val="20"/>
                <w:szCs w:val="20"/>
              </w:rPr>
            </w:pPr>
            <w:r>
              <w:rPr>
                <w:bCs/>
                <w:color w:val="000000"/>
                <w:sz w:val="20"/>
                <w:szCs w:val="20"/>
              </w:rPr>
              <w:t>4.191</w:t>
            </w:r>
          </w:p>
        </w:tc>
        <w:tc>
          <w:tcPr>
            <w:tcW w:w="1256" w:type="dxa"/>
            <w:tcBorders>
              <w:top w:val="single" w:sz="8" w:space="0" w:color="auto"/>
              <w:left w:val="single" w:sz="8" w:space="0" w:color="auto"/>
              <w:bottom w:val="single" w:sz="8" w:space="0" w:color="auto"/>
              <w:right w:val="single" w:sz="8" w:space="0" w:color="auto"/>
            </w:tcBorders>
            <w:vAlign w:val="center"/>
          </w:tcPr>
          <w:p w:rsidR="003B1BE5" w:rsidRDefault="003B1BE5" w:rsidP="003B1BE5">
            <w:pPr>
              <w:spacing w:after="0" w:line="240" w:lineRule="auto"/>
              <w:jc w:val="both"/>
              <w:rPr>
                <w:bCs/>
                <w:color w:val="000000"/>
                <w:sz w:val="20"/>
                <w:szCs w:val="20"/>
              </w:rPr>
            </w:pPr>
            <w:r>
              <w:rPr>
                <w:bCs/>
                <w:color w:val="000000"/>
                <w:sz w:val="20"/>
                <w:szCs w:val="20"/>
              </w:rPr>
              <w:t>13.69</w:t>
            </w:r>
          </w:p>
        </w:tc>
        <w:tc>
          <w:tcPr>
            <w:tcW w:w="1470" w:type="dxa"/>
            <w:tcBorders>
              <w:top w:val="single" w:sz="8" w:space="0" w:color="auto"/>
              <w:left w:val="single" w:sz="8" w:space="0" w:color="auto"/>
              <w:bottom w:val="single" w:sz="8" w:space="0" w:color="auto"/>
              <w:right w:val="single" w:sz="8" w:space="0" w:color="auto"/>
            </w:tcBorders>
            <w:vAlign w:val="center"/>
          </w:tcPr>
          <w:p w:rsidR="003B1BE5" w:rsidRDefault="003B1BE5" w:rsidP="003B1BE5">
            <w:pPr>
              <w:spacing w:after="0" w:line="240" w:lineRule="auto"/>
              <w:jc w:val="both"/>
              <w:rPr>
                <w:bCs/>
                <w:color w:val="000000"/>
                <w:sz w:val="20"/>
                <w:szCs w:val="20"/>
              </w:rPr>
            </w:pPr>
            <w:r>
              <w:rPr>
                <w:bCs/>
                <w:color w:val="000000"/>
                <w:sz w:val="20"/>
                <w:szCs w:val="20"/>
              </w:rPr>
              <w:t>7.34</w:t>
            </w:r>
          </w:p>
        </w:tc>
        <w:tc>
          <w:tcPr>
            <w:tcW w:w="1230" w:type="dxa"/>
            <w:tcBorders>
              <w:top w:val="single" w:sz="8" w:space="0" w:color="auto"/>
              <w:left w:val="single" w:sz="8" w:space="0" w:color="auto"/>
              <w:bottom w:val="single" w:sz="8" w:space="0" w:color="auto"/>
              <w:right w:val="single" w:sz="8" w:space="0" w:color="auto"/>
            </w:tcBorders>
            <w:vAlign w:val="center"/>
          </w:tcPr>
          <w:p w:rsidR="003B1BE5" w:rsidRDefault="003B1BE5" w:rsidP="003B1BE5">
            <w:pPr>
              <w:spacing w:after="0" w:line="240" w:lineRule="auto"/>
              <w:jc w:val="both"/>
              <w:rPr>
                <w:bCs/>
                <w:color w:val="000000"/>
                <w:sz w:val="20"/>
                <w:szCs w:val="20"/>
              </w:rPr>
            </w:pPr>
            <w:r>
              <w:rPr>
                <w:bCs/>
                <w:color w:val="000000"/>
                <w:sz w:val="20"/>
                <w:szCs w:val="20"/>
              </w:rPr>
              <w:t>35.83</w:t>
            </w:r>
          </w:p>
        </w:tc>
        <w:tc>
          <w:tcPr>
            <w:tcW w:w="1176" w:type="dxa"/>
            <w:tcBorders>
              <w:top w:val="single" w:sz="8" w:space="0" w:color="auto"/>
              <w:left w:val="single" w:sz="8" w:space="0" w:color="auto"/>
              <w:bottom w:val="single" w:sz="8" w:space="0" w:color="auto"/>
              <w:right w:val="single" w:sz="8" w:space="0" w:color="auto"/>
            </w:tcBorders>
            <w:vAlign w:val="center"/>
          </w:tcPr>
          <w:p w:rsidR="003B1BE5" w:rsidRDefault="003B1BE5" w:rsidP="003B1BE5">
            <w:pPr>
              <w:spacing w:after="0" w:line="240" w:lineRule="auto"/>
              <w:jc w:val="both"/>
              <w:rPr>
                <w:bCs/>
                <w:color w:val="000000"/>
                <w:sz w:val="20"/>
                <w:szCs w:val="20"/>
              </w:rPr>
            </w:pPr>
            <w:r>
              <w:rPr>
                <w:bCs/>
                <w:color w:val="000000"/>
                <w:sz w:val="20"/>
                <w:szCs w:val="20"/>
              </w:rPr>
              <w:t>2.21</w:t>
            </w:r>
          </w:p>
        </w:tc>
        <w:tc>
          <w:tcPr>
            <w:tcW w:w="1518" w:type="dxa"/>
            <w:tcBorders>
              <w:top w:val="single" w:sz="8" w:space="0" w:color="auto"/>
              <w:left w:val="single" w:sz="8" w:space="0" w:color="auto"/>
              <w:bottom w:val="single" w:sz="8" w:space="0" w:color="auto"/>
              <w:right w:val="single" w:sz="8" w:space="0" w:color="auto"/>
            </w:tcBorders>
            <w:vAlign w:val="center"/>
          </w:tcPr>
          <w:p w:rsidR="003B1BE5" w:rsidRDefault="003B1BE5" w:rsidP="003B1BE5">
            <w:pPr>
              <w:spacing w:after="0" w:line="240" w:lineRule="auto"/>
              <w:jc w:val="both"/>
              <w:rPr>
                <w:bCs/>
                <w:color w:val="000000"/>
                <w:sz w:val="20"/>
                <w:szCs w:val="20"/>
              </w:rPr>
            </w:pPr>
            <w:r>
              <w:rPr>
                <w:bCs/>
                <w:color w:val="000000"/>
                <w:sz w:val="20"/>
                <w:szCs w:val="20"/>
              </w:rPr>
              <w:t>59.33</w:t>
            </w:r>
          </w:p>
        </w:tc>
      </w:tr>
      <w:tr w:rsidR="003B1BE5" w:rsidTr="003B1BE5">
        <w:tc>
          <w:tcPr>
            <w:tcW w:w="1421"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240" w:lineRule="auto"/>
              <w:rPr>
                <w:rFonts w:ascii="Times New Roman" w:hAnsi="Times New Roman" w:cs="Times New Roman"/>
                <w:b/>
                <w:sz w:val="20"/>
                <w:szCs w:val="20"/>
              </w:rPr>
            </w:pPr>
            <w:r>
              <w:rPr>
                <w:rFonts w:ascii="Times New Roman" w:hAnsi="Times New Roman" w:cs="Times New Roman"/>
                <w:b/>
                <w:sz w:val="20"/>
                <w:szCs w:val="20"/>
              </w:rPr>
              <w:t>Non-Etiolation</w:t>
            </w:r>
          </w:p>
        </w:tc>
        <w:tc>
          <w:tcPr>
            <w:tcW w:w="1030" w:type="dxa"/>
            <w:tcBorders>
              <w:top w:val="nil"/>
              <w:left w:val="nil"/>
              <w:bottom w:val="single" w:sz="8" w:space="0" w:color="auto"/>
              <w:right w:val="single" w:sz="8" w:space="0" w:color="auto"/>
            </w:tcBorders>
            <w:vAlign w:val="center"/>
          </w:tcPr>
          <w:p w:rsidR="003B1BE5" w:rsidRDefault="003B1BE5" w:rsidP="003B1BE5">
            <w:pPr>
              <w:spacing w:after="0" w:line="240" w:lineRule="auto"/>
              <w:jc w:val="both"/>
              <w:rPr>
                <w:bCs/>
                <w:color w:val="000000"/>
                <w:sz w:val="20"/>
                <w:szCs w:val="20"/>
              </w:rPr>
            </w:pPr>
            <w:r>
              <w:rPr>
                <w:bCs/>
                <w:color w:val="000000"/>
                <w:sz w:val="20"/>
                <w:szCs w:val="20"/>
              </w:rPr>
              <w:t>65.6</w:t>
            </w:r>
          </w:p>
        </w:tc>
        <w:tc>
          <w:tcPr>
            <w:tcW w:w="1470" w:type="dxa"/>
            <w:tcBorders>
              <w:top w:val="nil"/>
              <w:left w:val="nil"/>
              <w:bottom w:val="single" w:sz="8" w:space="0" w:color="auto"/>
              <w:right w:val="single" w:sz="8" w:space="0" w:color="auto"/>
            </w:tcBorders>
            <w:vAlign w:val="center"/>
          </w:tcPr>
          <w:p w:rsidR="003B1BE5" w:rsidRDefault="003B1BE5" w:rsidP="003B1BE5">
            <w:pPr>
              <w:spacing w:after="0" w:line="240" w:lineRule="auto"/>
              <w:jc w:val="both"/>
              <w:rPr>
                <w:bCs/>
                <w:color w:val="000000"/>
                <w:sz w:val="20"/>
                <w:szCs w:val="20"/>
              </w:rPr>
            </w:pPr>
            <w:r>
              <w:rPr>
                <w:bCs/>
                <w:color w:val="000000"/>
                <w:sz w:val="20"/>
                <w:szCs w:val="20"/>
              </w:rPr>
              <w:t>2.63</w:t>
            </w:r>
          </w:p>
        </w:tc>
        <w:tc>
          <w:tcPr>
            <w:tcW w:w="1256" w:type="dxa"/>
            <w:tcBorders>
              <w:top w:val="nil"/>
              <w:left w:val="nil"/>
              <w:bottom w:val="single" w:sz="8" w:space="0" w:color="auto"/>
              <w:right w:val="single" w:sz="8" w:space="0" w:color="auto"/>
            </w:tcBorders>
            <w:vAlign w:val="center"/>
          </w:tcPr>
          <w:p w:rsidR="003B1BE5" w:rsidRDefault="003B1BE5" w:rsidP="003B1BE5">
            <w:pPr>
              <w:spacing w:after="0" w:line="240" w:lineRule="auto"/>
              <w:jc w:val="both"/>
              <w:rPr>
                <w:bCs/>
                <w:color w:val="000000"/>
                <w:sz w:val="20"/>
                <w:szCs w:val="20"/>
              </w:rPr>
            </w:pPr>
            <w:r>
              <w:rPr>
                <w:bCs/>
                <w:color w:val="000000"/>
                <w:sz w:val="20"/>
                <w:szCs w:val="20"/>
              </w:rPr>
              <w:t>9.05</w:t>
            </w:r>
          </w:p>
        </w:tc>
        <w:tc>
          <w:tcPr>
            <w:tcW w:w="1470" w:type="dxa"/>
            <w:tcBorders>
              <w:top w:val="nil"/>
              <w:left w:val="nil"/>
              <w:bottom w:val="single" w:sz="8" w:space="0" w:color="auto"/>
              <w:right w:val="single" w:sz="8" w:space="0" w:color="auto"/>
            </w:tcBorders>
            <w:vAlign w:val="center"/>
          </w:tcPr>
          <w:p w:rsidR="003B1BE5" w:rsidRDefault="003B1BE5" w:rsidP="003B1BE5">
            <w:pPr>
              <w:spacing w:after="0" w:line="240" w:lineRule="auto"/>
              <w:jc w:val="both"/>
              <w:rPr>
                <w:bCs/>
                <w:color w:val="000000"/>
                <w:sz w:val="20"/>
                <w:szCs w:val="20"/>
              </w:rPr>
            </w:pPr>
            <w:r>
              <w:rPr>
                <w:bCs/>
                <w:color w:val="000000"/>
                <w:sz w:val="20"/>
                <w:szCs w:val="20"/>
              </w:rPr>
              <w:t>5.65</w:t>
            </w:r>
          </w:p>
        </w:tc>
        <w:tc>
          <w:tcPr>
            <w:tcW w:w="1230" w:type="dxa"/>
            <w:tcBorders>
              <w:top w:val="nil"/>
              <w:left w:val="nil"/>
              <w:bottom w:val="single" w:sz="8" w:space="0" w:color="auto"/>
              <w:right w:val="single" w:sz="8" w:space="0" w:color="auto"/>
            </w:tcBorders>
            <w:vAlign w:val="center"/>
          </w:tcPr>
          <w:p w:rsidR="003B1BE5" w:rsidRDefault="003B1BE5" w:rsidP="003B1BE5">
            <w:pPr>
              <w:spacing w:after="0" w:line="240" w:lineRule="auto"/>
              <w:jc w:val="both"/>
              <w:rPr>
                <w:bCs/>
                <w:color w:val="000000"/>
                <w:sz w:val="20"/>
                <w:szCs w:val="20"/>
              </w:rPr>
            </w:pPr>
            <w:r>
              <w:rPr>
                <w:bCs/>
                <w:color w:val="000000"/>
                <w:sz w:val="20"/>
                <w:szCs w:val="20"/>
              </w:rPr>
              <w:t>28.33</w:t>
            </w:r>
          </w:p>
        </w:tc>
        <w:tc>
          <w:tcPr>
            <w:tcW w:w="1176" w:type="dxa"/>
            <w:tcBorders>
              <w:top w:val="nil"/>
              <w:left w:val="nil"/>
              <w:bottom w:val="single" w:sz="8" w:space="0" w:color="auto"/>
              <w:right w:val="single" w:sz="8" w:space="0" w:color="auto"/>
            </w:tcBorders>
            <w:vAlign w:val="center"/>
          </w:tcPr>
          <w:p w:rsidR="003B1BE5" w:rsidRDefault="003B1BE5" w:rsidP="003B1BE5">
            <w:pPr>
              <w:spacing w:after="0" w:line="240" w:lineRule="auto"/>
              <w:jc w:val="both"/>
              <w:rPr>
                <w:bCs/>
                <w:color w:val="000000"/>
                <w:sz w:val="20"/>
                <w:szCs w:val="20"/>
              </w:rPr>
            </w:pPr>
            <w:r>
              <w:rPr>
                <w:bCs/>
                <w:color w:val="000000"/>
                <w:sz w:val="20"/>
                <w:szCs w:val="20"/>
              </w:rPr>
              <w:t>1.69</w:t>
            </w:r>
          </w:p>
        </w:tc>
        <w:tc>
          <w:tcPr>
            <w:tcW w:w="1518" w:type="dxa"/>
            <w:tcBorders>
              <w:top w:val="nil"/>
              <w:left w:val="nil"/>
              <w:bottom w:val="single" w:sz="8" w:space="0" w:color="auto"/>
              <w:right w:val="single" w:sz="8" w:space="0" w:color="auto"/>
            </w:tcBorders>
            <w:vAlign w:val="center"/>
          </w:tcPr>
          <w:p w:rsidR="003B1BE5" w:rsidRDefault="003B1BE5" w:rsidP="003B1BE5">
            <w:pPr>
              <w:spacing w:after="0" w:line="240" w:lineRule="auto"/>
              <w:jc w:val="both"/>
              <w:rPr>
                <w:bCs/>
                <w:color w:val="000000"/>
                <w:sz w:val="20"/>
                <w:szCs w:val="20"/>
              </w:rPr>
            </w:pPr>
            <w:r>
              <w:rPr>
                <w:bCs/>
                <w:color w:val="000000"/>
                <w:sz w:val="20"/>
                <w:szCs w:val="20"/>
              </w:rPr>
              <w:t>52.39</w:t>
            </w:r>
          </w:p>
        </w:tc>
      </w:tr>
      <w:tr w:rsidR="003B1BE5" w:rsidTr="003B1BE5">
        <w:tc>
          <w:tcPr>
            <w:tcW w:w="1421"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CD(P≤0.05)</w:t>
            </w:r>
          </w:p>
          <w:p w:rsidR="003B1BE5" w:rsidRDefault="003B1BE5" w:rsidP="003B1BE5">
            <w:pPr>
              <w:spacing w:after="0" w:line="240" w:lineRule="auto"/>
              <w:rPr>
                <w:rFonts w:ascii="Times New Roman" w:hAnsi="Times New Roman" w:cs="Times New Roman"/>
                <w:b/>
                <w:sz w:val="20"/>
                <w:szCs w:val="20"/>
              </w:rPr>
            </w:pPr>
          </w:p>
        </w:tc>
        <w:tc>
          <w:tcPr>
            <w:tcW w:w="1030"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240" w:lineRule="auto"/>
              <w:rPr>
                <w:sz w:val="20"/>
                <w:szCs w:val="20"/>
              </w:rPr>
            </w:pPr>
            <w:r>
              <w:rPr>
                <w:rFonts w:ascii="Times New Roman" w:hAnsi="Times New Roman" w:cs="Times New Roman"/>
                <w:b/>
                <w:sz w:val="20"/>
                <w:szCs w:val="20"/>
              </w:rPr>
              <w:t>0.644</w:t>
            </w:r>
          </w:p>
        </w:tc>
        <w:tc>
          <w:tcPr>
            <w:tcW w:w="1470"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240" w:lineRule="auto"/>
              <w:rPr>
                <w:sz w:val="20"/>
                <w:szCs w:val="20"/>
              </w:rPr>
            </w:pPr>
            <w:r>
              <w:rPr>
                <w:rFonts w:ascii="Times New Roman" w:hAnsi="Times New Roman" w:cs="Times New Roman"/>
                <w:b/>
                <w:sz w:val="20"/>
                <w:szCs w:val="20"/>
              </w:rPr>
              <w:t>0.379</w:t>
            </w:r>
          </w:p>
        </w:tc>
        <w:tc>
          <w:tcPr>
            <w:tcW w:w="1256"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240" w:lineRule="auto"/>
              <w:rPr>
                <w:sz w:val="20"/>
                <w:szCs w:val="20"/>
              </w:rPr>
            </w:pPr>
            <w:r>
              <w:rPr>
                <w:rFonts w:ascii="Times New Roman" w:hAnsi="Times New Roman" w:cs="Times New Roman"/>
                <w:b/>
                <w:sz w:val="20"/>
                <w:szCs w:val="20"/>
              </w:rPr>
              <w:t>0.441</w:t>
            </w:r>
          </w:p>
        </w:tc>
        <w:tc>
          <w:tcPr>
            <w:tcW w:w="1470"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240" w:lineRule="auto"/>
              <w:rPr>
                <w:sz w:val="20"/>
                <w:szCs w:val="20"/>
              </w:rPr>
            </w:pPr>
            <w:r>
              <w:rPr>
                <w:rFonts w:ascii="Times New Roman" w:hAnsi="Times New Roman" w:cs="Times New Roman"/>
                <w:b/>
                <w:sz w:val="20"/>
                <w:szCs w:val="20"/>
              </w:rPr>
              <w:t>0.215</w:t>
            </w:r>
          </w:p>
        </w:tc>
        <w:tc>
          <w:tcPr>
            <w:tcW w:w="1230"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1.141</w:t>
            </w:r>
          </w:p>
          <w:p w:rsidR="003B1BE5" w:rsidRDefault="003B1BE5" w:rsidP="003B1BE5">
            <w:pPr>
              <w:spacing w:after="0" w:line="240" w:lineRule="auto"/>
              <w:rPr>
                <w:sz w:val="20"/>
                <w:szCs w:val="20"/>
              </w:rPr>
            </w:pPr>
          </w:p>
        </w:tc>
        <w:tc>
          <w:tcPr>
            <w:tcW w:w="1176"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240" w:lineRule="auto"/>
              <w:rPr>
                <w:sz w:val="20"/>
                <w:szCs w:val="20"/>
              </w:rPr>
            </w:pPr>
            <w:r>
              <w:rPr>
                <w:rFonts w:ascii="Times New Roman" w:hAnsi="Times New Roman" w:cs="Times New Roman"/>
                <w:b/>
                <w:sz w:val="20"/>
                <w:szCs w:val="20"/>
              </w:rPr>
              <w:t>0.107</w:t>
            </w:r>
          </w:p>
        </w:tc>
        <w:tc>
          <w:tcPr>
            <w:tcW w:w="1518" w:type="dxa"/>
            <w:tcBorders>
              <w:top w:val="single" w:sz="4" w:space="0" w:color="auto"/>
              <w:left w:val="single" w:sz="4" w:space="0" w:color="auto"/>
              <w:bottom w:val="single" w:sz="4" w:space="0" w:color="auto"/>
              <w:right w:val="single" w:sz="4" w:space="0" w:color="auto"/>
            </w:tcBorders>
          </w:tcPr>
          <w:p w:rsidR="003B1BE5" w:rsidRDefault="003B1BE5" w:rsidP="003B1BE5">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0.771</w:t>
            </w:r>
          </w:p>
          <w:p w:rsidR="003B1BE5" w:rsidRDefault="003B1BE5" w:rsidP="003B1BE5">
            <w:pPr>
              <w:spacing w:after="0" w:line="240" w:lineRule="auto"/>
              <w:rPr>
                <w:sz w:val="20"/>
                <w:szCs w:val="20"/>
              </w:rPr>
            </w:pPr>
          </w:p>
        </w:tc>
      </w:tr>
    </w:tbl>
    <w:p w:rsidR="003B1BE5" w:rsidRDefault="003B1BE5" w:rsidP="003B1BE5">
      <w:pPr>
        <w:pStyle w:val="ListParagraph"/>
        <w:spacing w:line="360" w:lineRule="auto"/>
        <w:jc w:val="both"/>
        <w:rPr>
          <w:rFonts w:ascii="Times New Roman" w:hAnsi="Times New Roman" w:cs="Times New Roman"/>
          <w:i/>
          <w:sz w:val="24"/>
          <w:szCs w:val="24"/>
        </w:rPr>
      </w:pPr>
    </w:p>
    <w:p w:rsidR="00BB41E0" w:rsidRDefault="00BB41E0" w:rsidP="003B1BE5">
      <w:pPr>
        <w:pStyle w:val="ListParagraph"/>
        <w:spacing w:line="360" w:lineRule="auto"/>
        <w:jc w:val="both"/>
        <w:rPr>
          <w:rFonts w:ascii="Times New Roman" w:hAnsi="Times New Roman" w:cs="Times New Roman"/>
          <w:i/>
          <w:sz w:val="24"/>
          <w:szCs w:val="24"/>
        </w:rPr>
      </w:pPr>
    </w:p>
    <w:p w:rsidR="00BB41E0" w:rsidRPr="00BB41E0" w:rsidRDefault="00BB41E0" w:rsidP="00BB41E0">
      <w:pPr>
        <w:pStyle w:val="ListParagraph"/>
        <w:spacing w:line="360" w:lineRule="auto"/>
        <w:jc w:val="both"/>
        <w:rPr>
          <w:rFonts w:ascii="Times New Roman" w:hAnsi="Times New Roman" w:cs="Times New Roman"/>
          <w:b/>
          <w:i/>
          <w:sz w:val="24"/>
          <w:szCs w:val="24"/>
        </w:rPr>
      </w:pPr>
      <w:bookmarkStart w:id="0" w:name="_GoBack"/>
      <w:r w:rsidRPr="00BB41E0">
        <w:rPr>
          <w:rFonts w:ascii="Times New Roman" w:hAnsi="Times New Roman" w:cs="Times New Roman"/>
          <w:b/>
          <w:i/>
          <w:sz w:val="24"/>
          <w:szCs w:val="24"/>
        </w:rPr>
        <w:t>Disclaimer (Artificial intelligence)</w:t>
      </w:r>
    </w:p>
    <w:bookmarkEnd w:id="0"/>
    <w:p w:rsidR="00BB41E0" w:rsidRPr="00BB41E0" w:rsidRDefault="00BB41E0" w:rsidP="00BB41E0">
      <w:pPr>
        <w:pStyle w:val="ListParagraph"/>
        <w:spacing w:line="360" w:lineRule="auto"/>
        <w:jc w:val="both"/>
        <w:rPr>
          <w:rFonts w:ascii="Times New Roman" w:hAnsi="Times New Roman" w:cs="Times New Roman"/>
          <w:i/>
          <w:sz w:val="24"/>
          <w:szCs w:val="24"/>
        </w:rPr>
      </w:pPr>
      <w:r w:rsidRPr="00BB41E0">
        <w:rPr>
          <w:rFonts w:ascii="Times New Roman" w:hAnsi="Times New Roman" w:cs="Times New Roman"/>
          <w:i/>
          <w:sz w:val="24"/>
          <w:szCs w:val="24"/>
        </w:rPr>
        <w:t xml:space="preserve">Option 1: </w:t>
      </w:r>
    </w:p>
    <w:p w:rsidR="00BB41E0" w:rsidRPr="00BB41E0" w:rsidRDefault="00BB41E0" w:rsidP="00BB41E0">
      <w:pPr>
        <w:pStyle w:val="ListParagraph"/>
        <w:spacing w:line="360" w:lineRule="auto"/>
        <w:jc w:val="both"/>
        <w:rPr>
          <w:rFonts w:ascii="Times New Roman" w:hAnsi="Times New Roman" w:cs="Times New Roman"/>
          <w:i/>
          <w:sz w:val="24"/>
          <w:szCs w:val="24"/>
        </w:rPr>
      </w:pPr>
      <w:r w:rsidRPr="00BB41E0">
        <w:rPr>
          <w:rFonts w:ascii="Times New Roman" w:hAnsi="Times New Roman" w:cs="Times New Roman"/>
          <w:i/>
          <w:sz w:val="24"/>
          <w:szCs w:val="24"/>
        </w:rPr>
        <w:t>Author(s) hereby declare that NO generative AI technologies such as Large Language Models (</w:t>
      </w:r>
      <w:proofErr w:type="spellStart"/>
      <w:r w:rsidRPr="00BB41E0">
        <w:rPr>
          <w:rFonts w:ascii="Times New Roman" w:hAnsi="Times New Roman" w:cs="Times New Roman"/>
          <w:i/>
          <w:sz w:val="24"/>
          <w:szCs w:val="24"/>
        </w:rPr>
        <w:t>ChatGPT</w:t>
      </w:r>
      <w:proofErr w:type="spellEnd"/>
      <w:r w:rsidRPr="00BB41E0">
        <w:rPr>
          <w:rFonts w:ascii="Times New Roman" w:hAnsi="Times New Roman" w:cs="Times New Roman"/>
          <w:i/>
          <w:sz w:val="24"/>
          <w:szCs w:val="24"/>
        </w:rPr>
        <w:t xml:space="preserve">, COPILOT, etc.) and text-to-image generators have been used during the writing or editing of this manuscript. </w:t>
      </w:r>
    </w:p>
    <w:p w:rsidR="00BB41E0" w:rsidRPr="00BB41E0" w:rsidRDefault="00BB41E0" w:rsidP="00BB41E0">
      <w:pPr>
        <w:pStyle w:val="ListParagraph"/>
        <w:spacing w:line="360" w:lineRule="auto"/>
        <w:jc w:val="both"/>
        <w:rPr>
          <w:rFonts w:ascii="Times New Roman" w:hAnsi="Times New Roman" w:cs="Times New Roman"/>
          <w:i/>
          <w:sz w:val="24"/>
          <w:szCs w:val="24"/>
        </w:rPr>
      </w:pPr>
      <w:r w:rsidRPr="00BB41E0">
        <w:rPr>
          <w:rFonts w:ascii="Times New Roman" w:hAnsi="Times New Roman" w:cs="Times New Roman"/>
          <w:i/>
          <w:sz w:val="24"/>
          <w:szCs w:val="24"/>
        </w:rPr>
        <w:t xml:space="preserve">Option 2: </w:t>
      </w:r>
    </w:p>
    <w:p w:rsidR="00BB41E0" w:rsidRPr="00BB41E0" w:rsidRDefault="00BB41E0" w:rsidP="00BB41E0">
      <w:pPr>
        <w:pStyle w:val="ListParagraph"/>
        <w:spacing w:line="360" w:lineRule="auto"/>
        <w:jc w:val="both"/>
        <w:rPr>
          <w:rFonts w:ascii="Times New Roman" w:hAnsi="Times New Roman" w:cs="Times New Roman"/>
          <w:i/>
          <w:sz w:val="24"/>
          <w:szCs w:val="24"/>
        </w:rPr>
      </w:pPr>
      <w:r w:rsidRPr="00BB41E0">
        <w:rPr>
          <w:rFonts w:ascii="Times New Roman" w:hAnsi="Times New Roman" w:cs="Times New Roman"/>
          <w:i/>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BB41E0" w:rsidRPr="00BB41E0" w:rsidRDefault="00BB41E0" w:rsidP="00BB41E0">
      <w:pPr>
        <w:pStyle w:val="ListParagraph"/>
        <w:spacing w:line="360" w:lineRule="auto"/>
        <w:jc w:val="both"/>
        <w:rPr>
          <w:rFonts w:ascii="Times New Roman" w:hAnsi="Times New Roman" w:cs="Times New Roman"/>
          <w:i/>
          <w:sz w:val="24"/>
          <w:szCs w:val="24"/>
        </w:rPr>
      </w:pPr>
      <w:r w:rsidRPr="00BB41E0">
        <w:rPr>
          <w:rFonts w:ascii="Times New Roman" w:hAnsi="Times New Roman" w:cs="Times New Roman"/>
          <w:i/>
          <w:sz w:val="24"/>
          <w:szCs w:val="24"/>
        </w:rPr>
        <w:lastRenderedPageBreak/>
        <w:t>Details of the AI usage are given below:</w:t>
      </w:r>
    </w:p>
    <w:p w:rsidR="00BB41E0" w:rsidRPr="00BB41E0" w:rsidRDefault="00BB41E0" w:rsidP="00BB41E0">
      <w:pPr>
        <w:pStyle w:val="ListParagraph"/>
        <w:spacing w:line="360" w:lineRule="auto"/>
        <w:jc w:val="both"/>
        <w:rPr>
          <w:rFonts w:ascii="Times New Roman" w:hAnsi="Times New Roman" w:cs="Times New Roman"/>
          <w:i/>
          <w:sz w:val="24"/>
          <w:szCs w:val="24"/>
        </w:rPr>
      </w:pPr>
      <w:r w:rsidRPr="00BB41E0">
        <w:rPr>
          <w:rFonts w:ascii="Times New Roman" w:hAnsi="Times New Roman" w:cs="Times New Roman"/>
          <w:i/>
          <w:sz w:val="24"/>
          <w:szCs w:val="24"/>
        </w:rPr>
        <w:t>1.</w:t>
      </w:r>
    </w:p>
    <w:p w:rsidR="00BB41E0" w:rsidRPr="00BB41E0" w:rsidRDefault="00BB41E0" w:rsidP="00BB41E0">
      <w:pPr>
        <w:pStyle w:val="ListParagraph"/>
        <w:spacing w:line="360" w:lineRule="auto"/>
        <w:jc w:val="both"/>
        <w:rPr>
          <w:rFonts w:ascii="Times New Roman" w:hAnsi="Times New Roman" w:cs="Times New Roman"/>
          <w:i/>
          <w:sz w:val="24"/>
          <w:szCs w:val="24"/>
        </w:rPr>
      </w:pPr>
      <w:r w:rsidRPr="00BB41E0">
        <w:rPr>
          <w:rFonts w:ascii="Times New Roman" w:hAnsi="Times New Roman" w:cs="Times New Roman"/>
          <w:i/>
          <w:sz w:val="24"/>
          <w:szCs w:val="24"/>
        </w:rPr>
        <w:t>2.</w:t>
      </w:r>
    </w:p>
    <w:p w:rsidR="00BB41E0" w:rsidRDefault="00BB41E0" w:rsidP="00BB41E0">
      <w:pPr>
        <w:pStyle w:val="ListParagraph"/>
        <w:spacing w:line="360" w:lineRule="auto"/>
        <w:jc w:val="both"/>
        <w:rPr>
          <w:rFonts w:ascii="Times New Roman" w:hAnsi="Times New Roman" w:cs="Times New Roman"/>
          <w:i/>
          <w:sz w:val="24"/>
          <w:szCs w:val="24"/>
        </w:rPr>
      </w:pPr>
      <w:r w:rsidRPr="00BB41E0">
        <w:rPr>
          <w:rFonts w:ascii="Times New Roman" w:hAnsi="Times New Roman" w:cs="Times New Roman"/>
          <w:i/>
          <w:sz w:val="24"/>
          <w:szCs w:val="24"/>
        </w:rPr>
        <w:t>3.</w:t>
      </w:r>
    </w:p>
    <w:p w:rsidR="00251C62" w:rsidRDefault="00B00BC3">
      <w:pPr>
        <w:spacing w:line="360" w:lineRule="auto"/>
        <w:jc w:val="both"/>
        <w:rPr>
          <w:rFonts w:ascii="Times New Roman" w:hAnsi="Times New Roman" w:cs="Times New Roman"/>
          <w:sz w:val="24"/>
          <w:szCs w:val="24"/>
        </w:rPr>
      </w:pPr>
      <w:r>
        <w:rPr>
          <w:rFonts w:ascii="Times New Roman" w:hAnsi="Times New Roman" w:cs="Times New Roman"/>
          <w:b/>
          <w:sz w:val="24"/>
          <w:szCs w:val="24"/>
        </w:rPr>
        <w:t>REFRENCES</w:t>
      </w:r>
    </w:p>
    <w:p w:rsidR="00251C62" w:rsidRDefault="00B00BC3">
      <w:pPr>
        <w:pStyle w:val="ListParagraph"/>
        <w:numPr>
          <w:ilvl w:val="0"/>
          <w:numId w:val="2"/>
        </w:numPr>
        <w:spacing w:line="36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Amissah</w:t>
      </w:r>
      <w:proofErr w:type="spellEnd"/>
      <w:r>
        <w:rPr>
          <w:rFonts w:ascii="Times New Roman" w:hAnsi="Times New Roman" w:cs="Times New Roman"/>
          <w:bCs/>
          <w:sz w:val="24"/>
          <w:szCs w:val="24"/>
        </w:rPr>
        <w:t xml:space="preserve">, J. N. and N. L. </w:t>
      </w:r>
      <w:proofErr w:type="spellStart"/>
      <w:r>
        <w:rPr>
          <w:rFonts w:ascii="Times New Roman" w:hAnsi="Times New Roman" w:cs="Times New Roman"/>
          <w:bCs/>
          <w:sz w:val="24"/>
          <w:szCs w:val="24"/>
        </w:rPr>
        <w:t>Bassuk</w:t>
      </w:r>
      <w:proofErr w:type="spellEnd"/>
      <w:r>
        <w:rPr>
          <w:rFonts w:ascii="Times New Roman" w:hAnsi="Times New Roman" w:cs="Times New Roman"/>
          <w:bCs/>
          <w:sz w:val="24"/>
          <w:szCs w:val="24"/>
        </w:rPr>
        <w:t xml:space="preserve">. 2004. Clonal propagation </w:t>
      </w:r>
      <w:r>
        <w:rPr>
          <w:rFonts w:ascii="Times New Roman" w:hAnsi="Times New Roman" w:cs="Times New Roman"/>
          <w:bCs/>
          <w:i/>
          <w:sz w:val="24"/>
          <w:szCs w:val="24"/>
        </w:rPr>
        <w:t xml:space="preserve">of Quercus spp. </w:t>
      </w:r>
      <w:r>
        <w:rPr>
          <w:rFonts w:ascii="Times New Roman" w:hAnsi="Times New Roman" w:cs="Times New Roman"/>
          <w:bCs/>
          <w:sz w:val="24"/>
          <w:szCs w:val="24"/>
        </w:rPr>
        <w:t xml:space="preserve">using a container layering technique. </w:t>
      </w:r>
      <w:r>
        <w:rPr>
          <w:rFonts w:ascii="Times New Roman" w:hAnsi="Times New Roman" w:cs="Times New Roman"/>
          <w:bCs/>
          <w:i/>
          <w:sz w:val="24"/>
          <w:szCs w:val="24"/>
        </w:rPr>
        <w:t xml:space="preserve">Journal of Environmental Horticulture </w:t>
      </w:r>
      <w:r>
        <w:rPr>
          <w:rFonts w:ascii="Times New Roman" w:hAnsi="Times New Roman" w:cs="Times New Roman"/>
          <w:b/>
          <w:bCs/>
          <w:sz w:val="24"/>
          <w:szCs w:val="24"/>
        </w:rPr>
        <w:t>22</w:t>
      </w:r>
      <w:r>
        <w:rPr>
          <w:rFonts w:ascii="Times New Roman" w:hAnsi="Times New Roman" w:cs="Times New Roman"/>
          <w:bCs/>
          <w:sz w:val="24"/>
          <w:szCs w:val="24"/>
        </w:rPr>
        <w:t>(2): 80-84.</w:t>
      </w:r>
    </w:p>
    <w:p w:rsidR="00811F4E" w:rsidRDefault="00811F4E" w:rsidP="00811F4E">
      <w:pPr>
        <w:pStyle w:val="ListParagraph"/>
        <w:numPr>
          <w:ilvl w:val="0"/>
          <w:numId w:val="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Davis, T. and </w:t>
      </w:r>
      <w:proofErr w:type="spellStart"/>
      <w:r>
        <w:rPr>
          <w:rFonts w:ascii="Times New Roman" w:hAnsi="Times New Roman" w:cs="Times New Roman"/>
          <w:bCs/>
          <w:sz w:val="24"/>
          <w:szCs w:val="24"/>
        </w:rPr>
        <w:t>Hassig</w:t>
      </w:r>
      <w:proofErr w:type="spellEnd"/>
      <w:r>
        <w:rPr>
          <w:rFonts w:ascii="Times New Roman" w:hAnsi="Times New Roman" w:cs="Times New Roman"/>
          <w:bCs/>
          <w:sz w:val="24"/>
          <w:szCs w:val="24"/>
        </w:rPr>
        <w:t xml:space="preserve">, B. 1990. Chemical control of adventitious root formation in cuttings. -Quarterly-PGRSA </w:t>
      </w:r>
      <w:r>
        <w:rPr>
          <w:rFonts w:ascii="Times New Roman" w:hAnsi="Times New Roman" w:cs="Times New Roman"/>
          <w:b/>
          <w:bCs/>
          <w:sz w:val="24"/>
          <w:szCs w:val="24"/>
        </w:rPr>
        <w:t>18</w:t>
      </w:r>
      <w:r>
        <w:rPr>
          <w:rFonts w:ascii="Times New Roman" w:hAnsi="Times New Roman" w:cs="Times New Roman"/>
          <w:bCs/>
          <w:sz w:val="24"/>
          <w:szCs w:val="24"/>
        </w:rPr>
        <w:t>: 1-17.</w:t>
      </w:r>
    </w:p>
    <w:p w:rsidR="00076D34" w:rsidRPr="00076D34" w:rsidRDefault="00076D34" w:rsidP="00076D34">
      <w:pPr>
        <w:pStyle w:val="ListParagraph"/>
        <w:numPr>
          <w:ilvl w:val="0"/>
          <w:numId w:val="2"/>
        </w:numPr>
        <w:spacing w:line="360" w:lineRule="auto"/>
        <w:jc w:val="both"/>
        <w:rPr>
          <w:rFonts w:ascii="Times New Roman" w:eastAsia="Times New Roman" w:hAnsi="Times New Roman" w:cs="Times New Roman"/>
          <w:color w:val="222222"/>
          <w:sz w:val="24"/>
          <w:szCs w:val="24"/>
          <w:shd w:val="clear" w:color="auto" w:fill="FFFFFF"/>
        </w:rPr>
      </w:pPr>
      <w:proofErr w:type="spellStart"/>
      <w:r w:rsidRPr="00076D34">
        <w:rPr>
          <w:rFonts w:ascii="Times New Roman" w:eastAsia="Times New Roman" w:hAnsi="Times New Roman" w:cs="Times New Roman"/>
          <w:color w:val="222222"/>
          <w:sz w:val="24"/>
          <w:szCs w:val="24"/>
          <w:shd w:val="clear" w:color="auto" w:fill="FFFFFF"/>
        </w:rPr>
        <w:t>Doud</w:t>
      </w:r>
      <w:proofErr w:type="spellEnd"/>
      <w:r w:rsidRPr="00076D34">
        <w:rPr>
          <w:rFonts w:ascii="Times New Roman" w:eastAsia="Times New Roman" w:hAnsi="Times New Roman" w:cs="Times New Roman"/>
          <w:color w:val="222222"/>
          <w:sz w:val="24"/>
          <w:szCs w:val="24"/>
          <w:shd w:val="clear" w:color="auto" w:fill="FFFFFF"/>
        </w:rPr>
        <w:t>, S. L. and Carlson, R. F. 1997. Effects of Etiolation, Stem</w:t>
      </w:r>
      <w:r w:rsidR="0096127D">
        <w:rPr>
          <w:rFonts w:ascii="Times New Roman" w:eastAsia="Times New Roman" w:hAnsi="Times New Roman" w:cs="Times New Roman"/>
          <w:color w:val="222222"/>
          <w:sz w:val="24"/>
          <w:szCs w:val="24"/>
          <w:shd w:val="clear" w:color="auto" w:fill="FFFFFF"/>
        </w:rPr>
        <w:t xml:space="preserve"> </w:t>
      </w:r>
      <w:r w:rsidRPr="00076D34">
        <w:rPr>
          <w:rFonts w:ascii="Times New Roman" w:eastAsia="Times New Roman" w:hAnsi="Times New Roman" w:cs="Times New Roman"/>
          <w:color w:val="222222"/>
          <w:sz w:val="24"/>
          <w:szCs w:val="24"/>
          <w:shd w:val="clear" w:color="auto" w:fill="FFFFFF"/>
        </w:rPr>
        <w:t xml:space="preserve">Anatomy, and Starch Reserves on Root </w:t>
      </w:r>
      <w:proofErr w:type="spellStart"/>
      <w:r w:rsidRPr="00076D34">
        <w:rPr>
          <w:rFonts w:ascii="Times New Roman" w:eastAsia="Times New Roman" w:hAnsi="Times New Roman" w:cs="Times New Roman"/>
          <w:color w:val="222222"/>
          <w:sz w:val="24"/>
          <w:szCs w:val="24"/>
          <w:shd w:val="clear" w:color="auto" w:fill="FFFFFF"/>
        </w:rPr>
        <w:t>Intiation</w:t>
      </w:r>
      <w:proofErr w:type="spellEnd"/>
      <w:r w:rsidRPr="00076D34">
        <w:rPr>
          <w:rFonts w:ascii="Times New Roman" w:eastAsia="Times New Roman" w:hAnsi="Times New Roman" w:cs="Times New Roman"/>
          <w:color w:val="222222"/>
          <w:sz w:val="24"/>
          <w:szCs w:val="24"/>
          <w:shd w:val="clear" w:color="auto" w:fill="FFFFFF"/>
        </w:rPr>
        <w:t xml:space="preserve"> of Layered Malus Clones.</w:t>
      </w:r>
      <w:r w:rsidRPr="00076D34">
        <w:rPr>
          <w:rFonts w:ascii="Times New Roman" w:eastAsia="Times New Roman" w:hAnsi="Times New Roman" w:cs="Times New Roman"/>
          <w:i/>
          <w:color w:val="222222"/>
          <w:sz w:val="24"/>
          <w:szCs w:val="24"/>
          <w:shd w:val="clear" w:color="auto" w:fill="FFFFFF"/>
        </w:rPr>
        <w:t xml:space="preserve"> Journal of the American Society for Horticultural Science,</w:t>
      </w:r>
      <w:r w:rsidRPr="00076D34">
        <w:rPr>
          <w:rFonts w:ascii="Times New Roman" w:eastAsia="Times New Roman" w:hAnsi="Times New Roman" w:cs="Times New Roman"/>
          <w:b/>
          <w:color w:val="222222"/>
          <w:sz w:val="24"/>
          <w:szCs w:val="24"/>
          <w:shd w:val="clear" w:color="auto" w:fill="FFFFFF"/>
        </w:rPr>
        <w:t>102</w:t>
      </w:r>
      <w:r w:rsidRPr="00076D34">
        <w:rPr>
          <w:rFonts w:ascii="Times New Roman" w:eastAsia="Times New Roman" w:hAnsi="Times New Roman" w:cs="Times New Roman"/>
          <w:color w:val="222222"/>
          <w:sz w:val="24"/>
          <w:szCs w:val="24"/>
          <w:shd w:val="clear" w:color="auto" w:fill="FFFFFF"/>
        </w:rPr>
        <w:t>(4): 487-491.</w:t>
      </w:r>
    </w:p>
    <w:p w:rsidR="009E1A0F" w:rsidRDefault="009E1A0F" w:rsidP="009E1A0F">
      <w:pPr>
        <w:pStyle w:val="ListParagraph"/>
        <w:numPr>
          <w:ilvl w:val="0"/>
          <w:numId w:val="2"/>
        </w:numPr>
        <w:spacing w:line="360" w:lineRule="auto"/>
        <w:jc w:val="both"/>
        <w:rPr>
          <w:rFonts w:ascii="Times New Roman" w:hAnsi="Times New Roman" w:cs="Times New Roman"/>
          <w:bCs/>
          <w:sz w:val="24"/>
          <w:szCs w:val="24"/>
        </w:rPr>
      </w:pPr>
      <w:r w:rsidRPr="009E1A0F">
        <w:rPr>
          <w:rFonts w:ascii="Times New Roman" w:hAnsi="Times New Roman" w:cs="Times New Roman"/>
          <w:bCs/>
          <w:sz w:val="24"/>
          <w:szCs w:val="24"/>
        </w:rPr>
        <w:t xml:space="preserve">De Klerk, G. J., Van der </w:t>
      </w:r>
      <w:proofErr w:type="spellStart"/>
      <w:r w:rsidRPr="009E1A0F">
        <w:rPr>
          <w:rFonts w:ascii="Times New Roman" w:hAnsi="Times New Roman" w:cs="Times New Roman"/>
          <w:bCs/>
          <w:sz w:val="24"/>
          <w:szCs w:val="24"/>
        </w:rPr>
        <w:t>Krieken</w:t>
      </w:r>
      <w:proofErr w:type="spellEnd"/>
      <w:r w:rsidRPr="009E1A0F">
        <w:rPr>
          <w:rFonts w:ascii="Times New Roman" w:hAnsi="Times New Roman" w:cs="Times New Roman"/>
          <w:bCs/>
          <w:sz w:val="24"/>
          <w:szCs w:val="24"/>
        </w:rPr>
        <w:t xml:space="preserve">, W. and De Jong, 1999. Review the formation of adventitious roots: New concepts, new possibilities. </w:t>
      </w:r>
      <w:r w:rsidRPr="009E1A0F">
        <w:rPr>
          <w:rFonts w:ascii="Times New Roman" w:hAnsi="Times New Roman" w:cs="Times New Roman"/>
          <w:bCs/>
          <w:i/>
          <w:sz w:val="24"/>
          <w:szCs w:val="24"/>
        </w:rPr>
        <w:t xml:space="preserve">In Vitro Cellular and Development Biology plant </w:t>
      </w:r>
      <w:r w:rsidRPr="009E1A0F">
        <w:rPr>
          <w:rFonts w:ascii="Times New Roman" w:hAnsi="Times New Roman" w:cs="Times New Roman"/>
          <w:b/>
          <w:bCs/>
          <w:sz w:val="24"/>
          <w:szCs w:val="24"/>
        </w:rPr>
        <w:t>35</w:t>
      </w:r>
      <w:r w:rsidRPr="009E1A0F">
        <w:rPr>
          <w:rFonts w:ascii="Times New Roman" w:hAnsi="Times New Roman" w:cs="Times New Roman"/>
          <w:bCs/>
          <w:sz w:val="24"/>
          <w:szCs w:val="24"/>
        </w:rPr>
        <w:t>(3):189-199.</w:t>
      </w:r>
    </w:p>
    <w:p w:rsidR="00811F4E" w:rsidRPr="00811F4E" w:rsidRDefault="00811F4E" w:rsidP="00811F4E">
      <w:pPr>
        <w:pStyle w:val="ListParagraph"/>
        <w:numPr>
          <w:ilvl w:val="0"/>
          <w:numId w:val="2"/>
        </w:numPr>
        <w:spacing w:line="360" w:lineRule="auto"/>
        <w:jc w:val="both"/>
        <w:rPr>
          <w:rFonts w:ascii="Times New Roman" w:hAnsi="Times New Roman" w:cs="Times New Roman"/>
          <w:bCs/>
          <w:sz w:val="24"/>
          <w:szCs w:val="24"/>
        </w:rPr>
      </w:pPr>
      <w:proofErr w:type="spellStart"/>
      <w:r w:rsidRPr="00811F4E">
        <w:rPr>
          <w:rFonts w:ascii="Times New Roman" w:hAnsi="Times New Roman" w:cs="Times New Roman"/>
          <w:sz w:val="24"/>
          <w:szCs w:val="24"/>
        </w:rPr>
        <w:t>Delargy</w:t>
      </w:r>
      <w:proofErr w:type="spellEnd"/>
      <w:r w:rsidRPr="00811F4E">
        <w:rPr>
          <w:rFonts w:ascii="Times New Roman" w:hAnsi="Times New Roman" w:cs="Times New Roman"/>
          <w:sz w:val="24"/>
          <w:szCs w:val="24"/>
        </w:rPr>
        <w:t xml:space="preserve">, J. A., and Wright, C. E. 1979. Root formation in cuttings of apple in relation to auxin application and to etiolation. </w:t>
      </w:r>
      <w:r w:rsidRPr="00811F4E">
        <w:rPr>
          <w:rFonts w:ascii="Times New Roman" w:hAnsi="Times New Roman" w:cs="Times New Roman"/>
          <w:i/>
          <w:sz w:val="24"/>
          <w:szCs w:val="24"/>
        </w:rPr>
        <w:t xml:space="preserve">The </w:t>
      </w:r>
      <w:proofErr w:type="spellStart"/>
      <w:r w:rsidRPr="00811F4E">
        <w:rPr>
          <w:rFonts w:ascii="Times New Roman" w:hAnsi="Times New Roman" w:cs="Times New Roman"/>
          <w:i/>
          <w:sz w:val="24"/>
          <w:szCs w:val="24"/>
        </w:rPr>
        <w:t>Phytologist</w:t>
      </w:r>
      <w:proofErr w:type="spellEnd"/>
      <w:r w:rsidRPr="00811F4E">
        <w:rPr>
          <w:rFonts w:ascii="Times New Roman" w:hAnsi="Times New Roman" w:cs="Times New Roman"/>
          <w:i/>
          <w:sz w:val="24"/>
          <w:szCs w:val="24"/>
        </w:rPr>
        <w:t xml:space="preserve"> </w:t>
      </w:r>
      <w:r w:rsidRPr="00811F4E">
        <w:rPr>
          <w:rFonts w:ascii="Times New Roman" w:hAnsi="Times New Roman" w:cs="Times New Roman"/>
          <w:b/>
          <w:sz w:val="24"/>
          <w:szCs w:val="24"/>
        </w:rPr>
        <w:t>82</w:t>
      </w:r>
      <w:r w:rsidRPr="00811F4E">
        <w:rPr>
          <w:rFonts w:ascii="Times New Roman" w:hAnsi="Times New Roman" w:cs="Times New Roman"/>
          <w:sz w:val="24"/>
          <w:szCs w:val="24"/>
        </w:rPr>
        <w:t xml:space="preserve">(2): 341-347. </w:t>
      </w:r>
    </w:p>
    <w:p w:rsidR="00251C62" w:rsidRDefault="00B00BC3">
      <w:pPr>
        <w:pStyle w:val="ListParagraph"/>
        <w:numPr>
          <w:ilvl w:val="0"/>
          <w:numId w:val="2"/>
        </w:numPr>
        <w:spacing w:line="360" w:lineRule="auto"/>
        <w:jc w:val="both"/>
        <w:rPr>
          <w:rFonts w:ascii="Times New Roman" w:hAnsi="Times New Roman" w:cs="Times New Roman"/>
          <w:bCs/>
          <w:sz w:val="24"/>
          <w:szCs w:val="24"/>
        </w:rPr>
      </w:pPr>
      <w:proofErr w:type="spellStart"/>
      <w:r>
        <w:rPr>
          <w:rFonts w:ascii="Times New Roman" w:hAnsi="Times New Roman" w:cs="Times New Roman"/>
          <w:bCs/>
          <w:color w:val="000000" w:themeColor="text1"/>
          <w:sz w:val="24"/>
          <w:szCs w:val="24"/>
        </w:rPr>
        <w:t>Elhaak</w:t>
      </w:r>
      <w:proofErr w:type="spellEnd"/>
      <w:r>
        <w:rPr>
          <w:rFonts w:ascii="Times New Roman" w:hAnsi="Times New Roman" w:cs="Times New Roman"/>
          <w:bCs/>
          <w:color w:val="000000" w:themeColor="text1"/>
          <w:sz w:val="24"/>
          <w:szCs w:val="24"/>
        </w:rPr>
        <w:t>, M., Matter, M. and Zayed, M. 2015.</w:t>
      </w:r>
      <w:r>
        <w:rPr>
          <w:rFonts w:ascii="Times New Roman" w:hAnsi="Times New Roman" w:cs="Times New Roman"/>
          <w:bCs/>
          <w:sz w:val="24"/>
          <w:szCs w:val="24"/>
        </w:rPr>
        <w:t>Propagation principles in using indole-3-butyric acid for rooting rosemary stem cuttings</w:t>
      </w:r>
      <w:r>
        <w:rPr>
          <w:rFonts w:ascii="Times New Roman" w:hAnsi="Times New Roman" w:cs="Times New Roman"/>
          <w:bCs/>
          <w:i/>
          <w:sz w:val="24"/>
          <w:szCs w:val="24"/>
        </w:rPr>
        <w:t xml:space="preserve">. </w:t>
      </w:r>
      <w:r w:rsidR="004C3E7A">
        <w:rPr>
          <w:rFonts w:ascii="Times New Roman" w:hAnsi="Times New Roman" w:cs="Times New Roman"/>
          <w:bCs/>
          <w:i/>
          <w:sz w:val="24"/>
          <w:szCs w:val="24"/>
        </w:rPr>
        <w:t>Journal of</w:t>
      </w:r>
      <w:r>
        <w:rPr>
          <w:rFonts w:ascii="Times New Roman" w:hAnsi="Times New Roman" w:cs="Times New Roman"/>
          <w:bCs/>
          <w:i/>
          <w:sz w:val="24"/>
          <w:szCs w:val="24"/>
        </w:rPr>
        <w:t xml:space="preserve"> Horticulture </w:t>
      </w:r>
      <w:r>
        <w:rPr>
          <w:rFonts w:ascii="Times New Roman" w:hAnsi="Times New Roman" w:cs="Times New Roman"/>
          <w:b/>
          <w:bCs/>
          <w:sz w:val="24"/>
          <w:szCs w:val="24"/>
        </w:rPr>
        <w:t>2(</w:t>
      </w:r>
      <w:r>
        <w:rPr>
          <w:rFonts w:ascii="Times New Roman" w:hAnsi="Times New Roman" w:cs="Times New Roman"/>
          <w:bCs/>
          <w:sz w:val="24"/>
          <w:szCs w:val="24"/>
        </w:rPr>
        <w:t>1): 1-13.</w:t>
      </w:r>
    </w:p>
    <w:p w:rsidR="00811F4E" w:rsidRPr="00811F4E" w:rsidRDefault="00811F4E" w:rsidP="00811F4E">
      <w:pPr>
        <w:pStyle w:val="ListParagraph"/>
        <w:numPr>
          <w:ilvl w:val="0"/>
          <w:numId w:val="2"/>
        </w:numPr>
        <w:spacing w:line="360" w:lineRule="auto"/>
        <w:jc w:val="both"/>
        <w:rPr>
          <w:rFonts w:ascii="Times New Roman" w:hAnsi="Times New Roman" w:cs="Times New Roman"/>
          <w:bCs/>
          <w:sz w:val="24"/>
          <w:szCs w:val="24"/>
        </w:rPr>
      </w:pPr>
      <w:proofErr w:type="spellStart"/>
      <w:r w:rsidRPr="00811F4E">
        <w:rPr>
          <w:rFonts w:ascii="Times New Roman" w:hAnsi="Times New Roman" w:cs="Times New Roman"/>
          <w:bCs/>
          <w:sz w:val="24"/>
          <w:szCs w:val="24"/>
        </w:rPr>
        <w:t>Gowdam</w:t>
      </w:r>
      <w:proofErr w:type="spellEnd"/>
      <w:r w:rsidRPr="00811F4E">
        <w:rPr>
          <w:rFonts w:ascii="Times New Roman" w:hAnsi="Times New Roman" w:cs="Times New Roman"/>
          <w:bCs/>
          <w:sz w:val="24"/>
          <w:szCs w:val="24"/>
        </w:rPr>
        <w:t xml:space="preserve">, J. V. N. and Jayanthi R. 1988. Role of rooting cofactors in rooting of </w:t>
      </w:r>
      <w:proofErr w:type="spellStart"/>
      <w:r w:rsidRPr="00811F4E">
        <w:rPr>
          <w:rFonts w:ascii="Times New Roman" w:hAnsi="Times New Roman" w:cs="Times New Roman"/>
          <w:bCs/>
          <w:sz w:val="24"/>
          <w:szCs w:val="24"/>
        </w:rPr>
        <w:t>Michaelia</w:t>
      </w:r>
      <w:proofErr w:type="spellEnd"/>
      <w:r w:rsidRPr="00811F4E">
        <w:rPr>
          <w:rFonts w:ascii="Times New Roman" w:hAnsi="Times New Roman" w:cs="Times New Roman"/>
          <w:bCs/>
          <w:sz w:val="24"/>
          <w:szCs w:val="24"/>
        </w:rPr>
        <w:t xml:space="preserve"> </w:t>
      </w:r>
      <w:proofErr w:type="spellStart"/>
      <w:r w:rsidRPr="00811F4E">
        <w:rPr>
          <w:rFonts w:ascii="Times New Roman" w:hAnsi="Times New Roman" w:cs="Times New Roman"/>
          <w:bCs/>
          <w:sz w:val="24"/>
          <w:szCs w:val="24"/>
        </w:rPr>
        <w:t>champaca</w:t>
      </w:r>
      <w:proofErr w:type="spellEnd"/>
      <w:r w:rsidRPr="00811F4E">
        <w:rPr>
          <w:rFonts w:ascii="Times New Roman" w:hAnsi="Times New Roman" w:cs="Times New Roman"/>
          <w:bCs/>
          <w:sz w:val="24"/>
          <w:szCs w:val="24"/>
        </w:rPr>
        <w:t xml:space="preserve"> L. by air layering. </w:t>
      </w:r>
      <w:r w:rsidRPr="00811F4E">
        <w:rPr>
          <w:rFonts w:ascii="Times New Roman" w:hAnsi="Times New Roman" w:cs="Times New Roman"/>
          <w:bCs/>
          <w:i/>
          <w:iCs/>
          <w:sz w:val="24"/>
          <w:szCs w:val="24"/>
        </w:rPr>
        <w:t>Lal Baugh journal</w:t>
      </w:r>
      <w:r w:rsidRPr="00811F4E">
        <w:rPr>
          <w:rFonts w:ascii="Times New Roman" w:hAnsi="Times New Roman" w:cs="Times New Roman"/>
          <w:bCs/>
          <w:sz w:val="24"/>
          <w:szCs w:val="24"/>
        </w:rPr>
        <w:t xml:space="preserve"> </w:t>
      </w:r>
      <w:r w:rsidRPr="00811F4E">
        <w:rPr>
          <w:rFonts w:ascii="Times New Roman" w:hAnsi="Times New Roman" w:cs="Times New Roman"/>
          <w:b/>
          <w:bCs/>
          <w:sz w:val="24"/>
          <w:szCs w:val="24"/>
        </w:rPr>
        <w:t>30</w:t>
      </w:r>
      <w:r w:rsidRPr="00811F4E">
        <w:rPr>
          <w:rFonts w:ascii="Times New Roman" w:hAnsi="Times New Roman" w:cs="Times New Roman"/>
          <w:bCs/>
          <w:sz w:val="24"/>
          <w:szCs w:val="24"/>
        </w:rPr>
        <w:t>(1): 283-88.</w:t>
      </w:r>
    </w:p>
    <w:p w:rsidR="00421519" w:rsidRPr="004C3E7A" w:rsidRDefault="00421519" w:rsidP="00421519">
      <w:pPr>
        <w:pStyle w:val="ListParagraph"/>
        <w:numPr>
          <w:ilvl w:val="0"/>
          <w:numId w:val="2"/>
        </w:numPr>
        <w:spacing w:line="360" w:lineRule="auto"/>
        <w:jc w:val="both"/>
        <w:rPr>
          <w:rFonts w:ascii="Times New Roman" w:hAnsi="Times New Roman" w:cs="Times New Roman"/>
          <w:bCs/>
          <w:sz w:val="24"/>
          <w:szCs w:val="24"/>
        </w:rPr>
      </w:pPr>
      <w:r w:rsidRPr="004C3E7A">
        <w:rPr>
          <w:rFonts w:ascii="Times New Roman" w:hAnsi="Times New Roman" w:cs="Times New Roman"/>
          <w:bCs/>
          <w:sz w:val="24"/>
          <w:szCs w:val="24"/>
        </w:rPr>
        <w:t xml:space="preserve">Jing, Li, Zhang, D., </w:t>
      </w:r>
      <w:proofErr w:type="spellStart"/>
      <w:r w:rsidRPr="004C3E7A">
        <w:rPr>
          <w:rFonts w:ascii="Times New Roman" w:hAnsi="Times New Roman" w:cs="Times New Roman"/>
          <w:bCs/>
          <w:sz w:val="24"/>
          <w:szCs w:val="24"/>
        </w:rPr>
        <w:t>Zonglin</w:t>
      </w:r>
      <w:proofErr w:type="spellEnd"/>
      <w:r w:rsidRPr="004C3E7A">
        <w:rPr>
          <w:rFonts w:ascii="Times New Roman" w:hAnsi="Times New Roman" w:cs="Times New Roman"/>
          <w:bCs/>
          <w:sz w:val="24"/>
          <w:szCs w:val="24"/>
        </w:rPr>
        <w:t xml:space="preserve">, D. and Yang, Y. 2018. Hormones affected cutting propagation of </w:t>
      </w:r>
      <w:proofErr w:type="spellStart"/>
      <w:r w:rsidRPr="004C3E7A">
        <w:rPr>
          <w:rFonts w:ascii="Times New Roman" w:hAnsi="Times New Roman" w:cs="Times New Roman"/>
          <w:bCs/>
          <w:i/>
          <w:sz w:val="24"/>
          <w:szCs w:val="24"/>
        </w:rPr>
        <w:t>Cupressua</w:t>
      </w:r>
      <w:proofErr w:type="spellEnd"/>
      <w:r w:rsidRPr="004C3E7A">
        <w:rPr>
          <w:rFonts w:ascii="Times New Roman" w:hAnsi="Times New Roman" w:cs="Times New Roman"/>
          <w:bCs/>
          <w:i/>
          <w:sz w:val="24"/>
          <w:szCs w:val="24"/>
        </w:rPr>
        <w:t xml:space="preserve"> sempervirens </w:t>
      </w:r>
      <w:r w:rsidRPr="004C3E7A">
        <w:rPr>
          <w:rFonts w:ascii="Times New Roman" w:hAnsi="Times New Roman" w:cs="Times New Roman"/>
          <w:bCs/>
          <w:sz w:val="24"/>
          <w:szCs w:val="24"/>
        </w:rPr>
        <w:t xml:space="preserve">‘Stricta’. </w:t>
      </w:r>
      <w:r w:rsidRPr="004C3E7A">
        <w:rPr>
          <w:rFonts w:ascii="Times New Roman" w:hAnsi="Times New Roman" w:cs="Times New Roman"/>
          <w:bCs/>
          <w:i/>
          <w:sz w:val="24"/>
          <w:szCs w:val="24"/>
        </w:rPr>
        <w:t xml:space="preserve">International journal of </w:t>
      </w:r>
      <w:proofErr w:type="spellStart"/>
      <w:r w:rsidRPr="004C3E7A">
        <w:rPr>
          <w:rFonts w:ascii="Times New Roman" w:hAnsi="Times New Roman" w:cs="Times New Roman"/>
          <w:bCs/>
          <w:i/>
          <w:sz w:val="24"/>
          <w:szCs w:val="24"/>
        </w:rPr>
        <w:t>Curreent</w:t>
      </w:r>
      <w:proofErr w:type="spellEnd"/>
      <w:r w:rsidRPr="004C3E7A">
        <w:rPr>
          <w:rFonts w:ascii="Times New Roman" w:hAnsi="Times New Roman" w:cs="Times New Roman"/>
          <w:bCs/>
          <w:i/>
          <w:sz w:val="24"/>
          <w:szCs w:val="24"/>
        </w:rPr>
        <w:t xml:space="preserve"> Research in Biosciences and Plant Biology </w:t>
      </w:r>
      <w:r w:rsidRPr="004C3E7A">
        <w:rPr>
          <w:rFonts w:ascii="Times New Roman" w:hAnsi="Times New Roman" w:cs="Times New Roman"/>
          <w:b/>
          <w:bCs/>
          <w:sz w:val="24"/>
          <w:szCs w:val="24"/>
        </w:rPr>
        <w:t>5</w:t>
      </w:r>
      <w:r w:rsidRPr="004C3E7A">
        <w:rPr>
          <w:rFonts w:ascii="Times New Roman" w:hAnsi="Times New Roman" w:cs="Times New Roman"/>
          <w:bCs/>
          <w:sz w:val="24"/>
          <w:szCs w:val="24"/>
        </w:rPr>
        <w:t>(5): 37-40.</w:t>
      </w:r>
    </w:p>
    <w:p w:rsidR="004C3E7A" w:rsidRPr="004C3E7A" w:rsidRDefault="004C3E7A" w:rsidP="004C3E7A">
      <w:pPr>
        <w:pStyle w:val="ListParagraph"/>
        <w:numPr>
          <w:ilvl w:val="0"/>
          <w:numId w:val="2"/>
        </w:numPr>
        <w:spacing w:line="360" w:lineRule="auto"/>
        <w:jc w:val="both"/>
        <w:rPr>
          <w:rFonts w:ascii="Times New Roman" w:hAnsi="Times New Roman" w:cs="Times New Roman"/>
          <w:bCs/>
          <w:sz w:val="24"/>
          <w:szCs w:val="24"/>
        </w:rPr>
      </w:pPr>
      <w:r w:rsidRPr="004C3E7A">
        <w:rPr>
          <w:rFonts w:ascii="Times New Roman" w:hAnsi="Times New Roman" w:cs="Times New Roman"/>
          <w:bCs/>
          <w:sz w:val="24"/>
          <w:szCs w:val="24"/>
        </w:rPr>
        <w:t xml:space="preserve">Kamila, P. K., Das, P. K., Mohapatra, P. K. and Panda, P. C. 2020. Effect of auxins on rooting of stem cuttings in </w:t>
      </w:r>
      <w:r w:rsidRPr="004C3E7A">
        <w:rPr>
          <w:rFonts w:ascii="Times New Roman" w:hAnsi="Times New Roman" w:cs="Times New Roman"/>
          <w:bCs/>
          <w:i/>
          <w:sz w:val="24"/>
          <w:szCs w:val="24"/>
        </w:rPr>
        <w:t xml:space="preserve">Hypericum </w:t>
      </w:r>
      <w:proofErr w:type="spellStart"/>
      <w:r w:rsidRPr="004C3E7A">
        <w:rPr>
          <w:rFonts w:ascii="Times New Roman" w:hAnsi="Times New Roman" w:cs="Times New Roman"/>
          <w:bCs/>
          <w:i/>
          <w:sz w:val="24"/>
          <w:szCs w:val="24"/>
        </w:rPr>
        <w:t>gaitii</w:t>
      </w:r>
      <w:proofErr w:type="spellEnd"/>
      <w:r w:rsidRPr="004C3E7A">
        <w:rPr>
          <w:rFonts w:ascii="Times New Roman" w:hAnsi="Times New Roman" w:cs="Times New Roman"/>
          <w:bCs/>
          <w:i/>
          <w:sz w:val="24"/>
          <w:szCs w:val="24"/>
        </w:rPr>
        <w:t>. Journal of Herbs, Spices &amp; Medicinal Plants</w:t>
      </w:r>
      <w:r w:rsidRPr="004C3E7A">
        <w:rPr>
          <w:rFonts w:ascii="Times New Roman" w:hAnsi="Times New Roman" w:cs="Times New Roman"/>
          <w:bCs/>
          <w:sz w:val="24"/>
          <w:szCs w:val="24"/>
        </w:rPr>
        <w:t xml:space="preserve"> </w:t>
      </w:r>
      <w:r w:rsidRPr="004C3E7A">
        <w:rPr>
          <w:rFonts w:ascii="Times New Roman" w:hAnsi="Times New Roman" w:cs="Times New Roman"/>
          <w:b/>
          <w:bCs/>
          <w:sz w:val="24"/>
          <w:szCs w:val="24"/>
        </w:rPr>
        <w:t>26</w:t>
      </w:r>
      <w:r w:rsidRPr="004C3E7A">
        <w:rPr>
          <w:rFonts w:ascii="Times New Roman" w:hAnsi="Times New Roman" w:cs="Times New Roman"/>
          <w:bCs/>
          <w:sz w:val="24"/>
          <w:szCs w:val="24"/>
        </w:rPr>
        <w:t>(4): 423-424.</w:t>
      </w:r>
    </w:p>
    <w:p w:rsidR="00251C62" w:rsidRPr="00E75E3C" w:rsidRDefault="00B00BC3">
      <w:pPr>
        <w:pStyle w:val="ListParagraph"/>
        <w:numPr>
          <w:ilvl w:val="0"/>
          <w:numId w:val="2"/>
        </w:numPr>
        <w:spacing w:line="360" w:lineRule="auto"/>
        <w:jc w:val="both"/>
        <w:rPr>
          <w:rFonts w:ascii="Times New Roman" w:hAnsi="Times New Roman" w:cs="Times New Roman"/>
          <w:bCs/>
          <w:sz w:val="24"/>
          <w:szCs w:val="24"/>
        </w:rPr>
      </w:pPr>
      <w:r>
        <w:rPr>
          <w:rFonts w:ascii="Times New Roman" w:hAnsi="Times New Roman" w:cs="Times New Roman"/>
          <w:color w:val="000000" w:themeColor="text1"/>
          <w:sz w:val="24"/>
          <w:szCs w:val="24"/>
        </w:rPr>
        <w:t xml:space="preserve">Kester, D., Davies, F. and Hartmann, H. 1990. </w:t>
      </w:r>
      <w:r>
        <w:rPr>
          <w:rFonts w:ascii="Times New Roman" w:hAnsi="Times New Roman" w:cs="Times New Roman"/>
          <w:sz w:val="24"/>
          <w:szCs w:val="24"/>
        </w:rPr>
        <w:t xml:space="preserve">Plant Propagation:  Principles and </w:t>
      </w:r>
      <w:r w:rsidR="00392382">
        <w:rPr>
          <w:rFonts w:ascii="Times New Roman" w:hAnsi="Times New Roman" w:cs="Times New Roman"/>
          <w:sz w:val="24"/>
          <w:szCs w:val="24"/>
        </w:rPr>
        <w:t>Practices. -</w:t>
      </w:r>
      <w:r>
        <w:rPr>
          <w:rFonts w:ascii="Times New Roman" w:hAnsi="Times New Roman" w:cs="Times New Roman"/>
          <w:sz w:val="24"/>
          <w:szCs w:val="24"/>
        </w:rPr>
        <w:t>Prentice-Hall, India</w:t>
      </w:r>
    </w:p>
    <w:p w:rsidR="00E75E3C" w:rsidRPr="00E75E3C" w:rsidRDefault="00E75E3C" w:rsidP="00E75E3C">
      <w:pPr>
        <w:pStyle w:val="ListParagraph"/>
        <w:numPr>
          <w:ilvl w:val="0"/>
          <w:numId w:val="2"/>
        </w:numPr>
        <w:spacing w:line="360" w:lineRule="auto"/>
        <w:jc w:val="both"/>
        <w:rPr>
          <w:rFonts w:ascii="Times New Roman" w:hAnsi="Times New Roman" w:cs="Times New Roman"/>
          <w:b/>
          <w:color w:val="000000" w:themeColor="text1"/>
          <w:sz w:val="24"/>
          <w:szCs w:val="24"/>
        </w:rPr>
      </w:pPr>
      <w:r w:rsidRPr="00E75E3C">
        <w:rPr>
          <w:rFonts w:ascii="Times New Roman" w:hAnsi="Times New Roman" w:cs="Times New Roman"/>
          <w:iCs/>
          <w:color w:val="000000" w:themeColor="text1"/>
          <w:sz w:val="24"/>
          <w:szCs w:val="24"/>
        </w:rPr>
        <w:lastRenderedPageBreak/>
        <w:t>Lopez-</w:t>
      </w:r>
      <w:proofErr w:type="spellStart"/>
      <w:r w:rsidRPr="00E75E3C">
        <w:rPr>
          <w:rFonts w:ascii="Times New Roman" w:hAnsi="Times New Roman" w:cs="Times New Roman"/>
          <w:iCs/>
          <w:color w:val="000000" w:themeColor="text1"/>
          <w:sz w:val="24"/>
          <w:szCs w:val="24"/>
        </w:rPr>
        <w:t>Matas</w:t>
      </w:r>
      <w:proofErr w:type="spellEnd"/>
      <w:r w:rsidRPr="00E75E3C">
        <w:rPr>
          <w:rFonts w:ascii="Times New Roman" w:hAnsi="Times New Roman" w:cs="Times New Roman"/>
          <w:iCs/>
          <w:color w:val="000000" w:themeColor="text1"/>
          <w:sz w:val="24"/>
          <w:szCs w:val="24"/>
        </w:rPr>
        <w:t>, M.A., Garcia-Gomez, P., Rodriguez</w:t>
      </w:r>
      <w:r w:rsidRPr="00E75E3C">
        <w:rPr>
          <w:rFonts w:ascii="Times New Roman" w:hAnsi="Times New Roman" w:cs="Times New Roman"/>
          <w:i/>
          <w:iCs/>
          <w:color w:val="000000" w:themeColor="text1"/>
          <w:sz w:val="24"/>
          <w:szCs w:val="24"/>
        </w:rPr>
        <w:t xml:space="preserve"> </w:t>
      </w:r>
      <w:r w:rsidRPr="00E75E3C">
        <w:rPr>
          <w:rFonts w:ascii="Times New Roman" w:hAnsi="Times New Roman" w:cs="Times New Roman"/>
          <w:iCs/>
          <w:color w:val="000000" w:themeColor="text1"/>
          <w:sz w:val="24"/>
          <w:szCs w:val="24"/>
        </w:rPr>
        <w:t>(2020</w:t>
      </w:r>
      <w:r w:rsidRPr="00E75E3C">
        <w:rPr>
          <w:rFonts w:ascii="Times New Roman" w:hAnsi="Times New Roman" w:cs="Times New Roman"/>
          <w:i/>
          <w:iCs/>
          <w:color w:val="000000" w:themeColor="text1"/>
          <w:sz w:val="24"/>
          <w:szCs w:val="24"/>
        </w:rPr>
        <w:t>)</w:t>
      </w:r>
      <w:r w:rsidRPr="00E75E3C">
        <w:rPr>
          <w:rFonts w:ascii="Times New Roman" w:hAnsi="Times New Roman" w:cs="Times New Roman"/>
          <w:iCs/>
          <w:color w:val="000000" w:themeColor="text1"/>
          <w:sz w:val="24"/>
          <w:szCs w:val="24"/>
        </w:rPr>
        <w:t>. The effects of light quality on phenolic compounds and antioxidant capacity of seedling plants 9(2)190.</w:t>
      </w:r>
    </w:p>
    <w:p w:rsidR="00251C62" w:rsidRDefault="00B00BC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Maynard, B. K., and </w:t>
      </w:r>
      <w:proofErr w:type="spellStart"/>
      <w:r>
        <w:rPr>
          <w:rFonts w:ascii="Times New Roman" w:hAnsi="Times New Roman" w:cs="Times New Roman"/>
          <w:sz w:val="24"/>
          <w:szCs w:val="24"/>
        </w:rPr>
        <w:t>Bassuk</w:t>
      </w:r>
      <w:proofErr w:type="spellEnd"/>
      <w:r>
        <w:rPr>
          <w:rFonts w:ascii="Times New Roman" w:hAnsi="Times New Roman" w:cs="Times New Roman"/>
          <w:sz w:val="24"/>
          <w:szCs w:val="24"/>
        </w:rPr>
        <w:t xml:space="preserve">, N. L. 1991. Stock plant etiolation and stem banding effects on the auxin </w:t>
      </w:r>
      <w:proofErr w:type="spellStart"/>
      <w:r>
        <w:rPr>
          <w:rFonts w:ascii="Times New Roman" w:hAnsi="Times New Roman" w:cs="Times New Roman"/>
          <w:sz w:val="24"/>
          <w:szCs w:val="24"/>
        </w:rPr>
        <w:t>dode</w:t>
      </w:r>
      <w:proofErr w:type="spellEnd"/>
      <w:r>
        <w:rPr>
          <w:rFonts w:ascii="Times New Roman" w:hAnsi="Times New Roman" w:cs="Times New Roman"/>
          <w:sz w:val="24"/>
          <w:szCs w:val="24"/>
        </w:rPr>
        <w:t xml:space="preserve">-response of rooting in stem cuttings of </w:t>
      </w:r>
      <w:proofErr w:type="spellStart"/>
      <w:r>
        <w:rPr>
          <w:rFonts w:ascii="Times New Roman" w:hAnsi="Times New Roman" w:cs="Times New Roman"/>
          <w:i/>
          <w:sz w:val="24"/>
          <w:szCs w:val="24"/>
        </w:rPr>
        <w:t>Carpinus</w:t>
      </w:r>
      <w:proofErr w:type="spellEnd"/>
      <w:r w:rsidR="00190B3F">
        <w:rPr>
          <w:rFonts w:ascii="Times New Roman" w:hAnsi="Times New Roman" w:cs="Times New Roman"/>
          <w:i/>
          <w:sz w:val="24"/>
          <w:szCs w:val="24"/>
        </w:rPr>
        <w:t xml:space="preserve"> </w:t>
      </w:r>
      <w:r>
        <w:rPr>
          <w:rFonts w:ascii="Times New Roman" w:hAnsi="Times New Roman" w:cs="Times New Roman"/>
          <w:i/>
          <w:sz w:val="24"/>
          <w:szCs w:val="24"/>
        </w:rPr>
        <w:t xml:space="preserve">betulusL.cv. </w:t>
      </w:r>
      <w:proofErr w:type="spellStart"/>
      <w:r>
        <w:rPr>
          <w:rFonts w:ascii="Times New Roman" w:hAnsi="Times New Roman" w:cs="Times New Roman"/>
          <w:i/>
          <w:sz w:val="24"/>
          <w:szCs w:val="24"/>
        </w:rPr>
        <w:t>fastigata</w:t>
      </w:r>
      <w:proofErr w:type="spellEnd"/>
      <w:r>
        <w:rPr>
          <w:rFonts w:ascii="Times New Roman" w:hAnsi="Times New Roman" w:cs="Times New Roman"/>
          <w:i/>
          <w:sz w:val="24"/>
          <w:szCs w:val="24"/>
        </w:rPr>
        <w:t xml:space="preserve">. Plant Growth Regulation </w:t>
      </w:r>
      <w:r>
        <w:rPr>
          <w:rFonts w:ascii="Times New Roman" w:hAnsi="Times New Roman" w:cs="Times New Roman"/>
          <w:b/>
          <w:bCs/>
          <w:sz w:val="24"/>
          <w:szCs w:val="24"/>
        </w:rPr>
        <w:t>10</w:t>
      </w:r>
      <w:r>
        <w:rPr>
          <w:rFonts w:ascii="Times New Roman" w:hAnsi="Times New Roman" w:cs="Times New Roman"/>
          <w:sz w:val="24"/>
          <w:szCs w:val="24"/>
        </w:rPr>
        <w:t>: 305-311.</w:t>
      </w:r>
    </w:p>
    <w:p w:rsidR="00251C62" w:rsidRDefault="00B00BC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Maynard, B. K. and </w:t>
      </w:r>
      <w:proofErr w:type="spellStart"/>
      <w:r>
        <w:rPr>
          <w:rFonts w:ascii="Times New Roman" w:hAnsi="Times New Roman" w:cs="Times New Roman"/>
          <w:sz w:val="24"/>
          <w:szCs w:val="24"/>
        </w:rPr>
        <w:t>Bassuk</w:t>
      </w:r>
      <w:proofErr w:type="spellEnd"/>
      <w:r>
        <w:rPr>
          <w:rFonts w:ascii="Times New Roman" w:hAnsi="Times New Roman" w:cs="Times New Roman"/>
          <w:sz w:val="24"/>
          <w:szCs w:val="24"/>
        </w:rPr>
        <w:t xml:space="preserve">, N. L. 1985. Etiolation as a tool for rooting difficult to root woody plants. </w:t>
      </w:r>
      <w:r>
        <w:rPr>
          <w:rFonts w:ascii="Times New Roman" w:hAnsi="Times New Roman" w:cs="Times New Roman"/>
          <w:bCs/>
          <w:i/>
          <w:sz w:val="24"/>
          <w:szCs w:val="24"/>
        </w:rPr>
        <w:t xml:space="preserve">Combined Proceedings International Plant Propagators Society </w:t>
      </w:r>
      <w:r>
        <w:rPr>
          <w:rFonts w:ascii="Times New Roman" w:hAnsi="Times New Roman" w:cs="Times New Roman"/>
          <w:b/>
          <w:sz w:val="24"/>
          <w:szCs w:val="24"/>
        </w:rPr>
        <w:t>37</w:t>
      </w:r>
      <w:r>
        <w:rPr>
          <w:rFonts w:ascii="Times New Roman" w:hAnsi="Times New Roman" w:cs="Times New Roman"/>
          <w:bCs/>
          <w:sz w:val="24"/>
          <w:szCs w:val="24"/>
        </w:rPr>
        <w:t>: 420-427</w:t>
      </w:r>
      <w:r>
        <w:rPr>
          <w:rFonts w:ascii="Times New Roman" w:hAnsi="Times New Roman" w:cs="Times New Roman"/>
          <w:sz w:val="24"/>
          <w:szCs w:val="24"/>
        </w:rPr>
        <w:t xml:space="preserve">. </w:t>
      </w:r>
    </w:p>
    <w:p w:rsidR="00251C62" w:rsidRDefault="00B00BC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bidi="ar"/>
        </w:rPr>
        <w:t xml:space="preserve">Mukherjee, S. K., </w:t>
      </w:r>
      <w:proofErr w:type="spellStart"/>
      <w:r>
        <w:rPr>
          <w:rFonts w:ascii="Times New Roman" w:hAnsi="Times New Roman" w:cs="Times New Roman"/>
          <w:sz w:val="24"/>
          <w:szCs w:val="24"/>
          <w:lang w:eastAsia="zh-CN" w:bidi="ar"/>
        </w:rPr>
        <w:t>Chalakdar</w:t>
      </w:r>
      <w:proofErr w:type="spellEnd"/>
      <w:r>
        <w:rPr>
          <w:rFonts w:ascii="Times New Roman" w:hAnsi="Times New Roman" w:cs="Times New Roman"/>
          <w:sz w:val="24"/>
          <w:szCs w:val="24"/>
          <w:lang w:eastAsia="zh-CN" w:bidi="ar"/>
        </w:rPr>
        <w:t xml:space="preserve">, B. P. and Chatterjee, B. K. 1986. Effect of growth regulators, invigoration and etiolation on rooting of air layers of </w:t>
      </w:r>
      <w:proofErr w:type="spellStart"/>
      <w:r>
        <w:rPr>
          <w:rFonts w:ascii="Times New Roman" w:hAnsi="Times New Roman" w:cs="Times New Roman"/>
          <w:sz w:val="24"/>
          <w:szCs w:val="24"/>
          <w:lang w:eastAsia="zh-CN" w:bidi="ar"/>
        </w:rPr>
        <w:t>Bael</w:t>
      </w:r>
      <w:proofErr w:type="spellEnd"/>
      <w:r>
        <w:rPr>
          <w:rFonts w:ascii="Times New Roman" w:hAnsi="Times New Roman" w:cs="Times New Roman"/>
          <w:sz w:val="24"/>
          <w:szCs w:val="24"/>
          <w:lang w:eastAsia="zh-CN" w:bidi="ar"/>
        </w:rPr>
        <w:t xml:space="preserve"> (</w:t>
      </w:r>
      <w:r>
        <w:rPr>
          <w:rFonts w:ascii="Times New Roman" w:hAnsi="Times New Roman" w:cs="Times New Roman"/>
          <w:i/>
          <w:iCs/>
          <w:sz w:val="24"/>
          <w:szCs w:val="24"/>
          <w:lang w:eastAsia="zh-CN" w:bidi="ar"/>
        </w:rPr>
        <w:t xml:space="preserve">Aegle </w:t>
      </w:r>
      <w:proofErr w:type="spellStart"/>
      <w:r>
        <w:rPr>
          <w:rFonts w:ascii="Times New Roman" w:hAnsi="Times New Roman" w:cs="Times New Roman"/>
          <w:i/>
          <w:iCs/>
          <w:sz w:val="24"/>
          <w:szCs w:val="24"/>
          <w:lang w:eastAsia="zh-CN" w:bidi="ar"/>
        </w:rPr>
        <w:t>marmelos</w:t>
      </w:r>
      <w:proofErr w:type="spellEnd"/>
      <w:r>
        <w:rPr>
          <w:rFonts w:ascii="Times New Roman" w:hAnsi="Times New Roman" w:cs="Times New Roman"/>
          <w:sz w:val="24"/>
          <w:szCs w:val="24"/>
          <w:lang w:eastAsia="zh-CN" w:bidi="ar"/>
        </w:rPr>
        <w:t xml:space="preserve">). </w:t>
      </w:r>
      <w:r>
        <w:rPr>
          <w:rFonts w:ascii="Times New Roman" w:hAnsi="Times New Roman" w:cs="Times New Roman"/>
          <w:i/>
          <w:sz w:val="24"/>
          <w:szCs w:val="24"/>
          <w:lang w:eastAsia="zh-CN" w:bidi="ar"/>
        </w:rPr>
        <w:t xml:space="preserve">Indian journal of Horticulture </w:t>
      </w:r>
      <w:r>
        <w:rPr>
          <w:rFonts w:ascii="Times New Roman" w:hAnsi="Times New Roman" w:cs="Times New Roman"/>
          <w:b/>
          <w:sz w:val="24"/>
          <w:szCs w:val="24"/>
          <w:lang w:eastAsia="zh-CN" w:bidi="ar"/>
        </w:rPr>
        <w:t>43</w:t>
      </w:r>
      <w:r>
        <w:rPr>
          <w:rFonts w:ascii="Times New Roman" w:hAnsi="Times New Roman" w:cs="Times New Roman"/>
          <w:sz w:val="24"/>
          <w:szCs w:val="24"/>
          <w:lang w:eastAsia="zh-CN" w:bidi="ar"/>
        </w:rPr>
        <w:t>(1&amp;2): 9-12.</w:t>
      </w:r>
    </w:p>
    <w:p w:rsidR="00894F7C" w:rsidRPr="00894F7C" w:rsidRDefault="00894F7C" w:rsidP="00894F7C">
      <w:pPr>
        <w:pStyle w:val="ListParagraph"/>
        <w:numPr>
          <w:ilvl w:val="0"/>
          <w:numId w:val="2"/>
        </w:numPr>
        <w:spacing w:line="360" w:lineRule="auto"/>
        <w:jc w:val="both"/>
        <w:rPr>
          <w:rFonts w:ascii="Times New Roman" w:hAnsi="Times New Roman" w:cs="Times New Roman"/>
          <w:sz w:val="24"/>
          <w:szCs w:val="24"/>
        </w:rPr>
      </w:pPr>
      <w:r w:rsidRPr="00894F7C">
        <w:rPr>
          <w:rFonts w:ascii="Times New Roman" w:hAnsi="Times New Roman" w:cs="Times New Roman"/>
          <w:sz w:val="24"/>
          <w:szCs w:val="24"/>
        </w:rPr>
        <w:t xml:space="preserve">Mysore, K. S., and </w:t>
      </w:r>
      <w:proofErr w:type="spellStart"/>
      <w:r w:rsidRPr="00894F7C">
        <w:rPr>
          <w:rFonts w:ascii="Times New Roman" w:hAnsi="Times New Roman" w:cs="Times New Roman"/>
          <w:sz w:val="24"/>
          <w:szCs w:val="24"/>
        </w:rPr>
        <w:t>Raghvendra</w:t>
      </w:r>
      <w:proofErr w:type="spellEnd"/>
      <w:r w:rsidRPr="00894F7C">
        <w:rPr>
          <w:rFonts w:ascii="Times New Roman" w:hAnsi="Times New Roman" w:cs="Times New Roman"/>
          <w:sz w:val="24"/>
          <w:szCs w:val="24"/>
        </w:rPr>
        <w:t xml:space="preserve">, A. S. 1995. Effects of light and water stress on phenolic compounds in planta.” </w:t>
      </w:r>
      <w:r w:rsidRPr="00894F7C">
        <w:rPr>
          <w:rFonts w:ascii="Times New Roman" w:hAnsi="Times New Roman" w:cs="Times New Roman"/>
          <w:i/>
          <w:sz w:val="24"/>
          <w:szCs w:val="24"/>
        </w:rPr>
        <w:t xml:space="preserve"> Indian Journal of Plant Physiology </w:t>
      </w:r>
      <w:r w:rsidRPr="00894F7C">
        <w:rPr>
          <w:rFonts w:ascii="Times New Roman" w:hAnsi="Times New Roman" w:cs="Times New Roman"/>
          <w:b/>
          <w:sz w:val="24"/>
          <w:szCs w:val="24"/>
        </w:rPr>
        <w:t>38</w:t>
      </w:r>
      <w:r w:rsidRPr="00894F7C">
        <w:rPr>
          <w:rFonts w:ascii="Times New Roman" w:hAnsi="Times New Roman" w:cs="Times New Roman"/>
          <w:sz w:val="24"/>
          <w:szCs w:val="24"/>
        </w:rPr>
        <w:t>(3): 197-199.</w:t>
      </w:r>
    </w:p>
    <w:p w:rsidR="00784837" w:rsidRDefault="00784837" w:rsidP="00784837">
      <w:pPr>
        <w:pStyle w:val="ListParagraph"/>
        <w:numPr>
          <w:ilvl w:val="0"/>
          <w:numId w:val="2"/>
        </w:numPr>
        <w:spacing w:line="360" w:lineRule="auto"/>
        <w:jc w:val="both"/>
        <w:rPr>
          <w:rFonts w:ascii="Times New Roman" w:hAnsi="Times New Roman" w:cs="Times New Roman"/>
          <w:sz w:val="24"/>
          <w:szCs w:val="24"/>
        </w:rPr>
      </w:pPr>
      <w:r w:rsidRPr="00784837">
        <w:rPr>
          <w:rFonts w:ascii="Times New Roman" w:hAnsi="Times New Roman" w:cs="Times New Roman"/>
          <w:sz w:val="24"/>
          <w:szCs w:val="24"/>
        </w:rPr>
        <w:t xml:space="preserve">Patel, K. J. 2016. Effect of different IBA concentrations and rooting media on cutting of </w:t>
      </w:r>
      <w:r w:rsidRPr="00784837">
        <w:rPr>
          <w:rFonts w:ascii="Times New Roman" w:hAnsi="Times New Roman" w:cs="Times New Roman"/>
          <w:i/>
          <w:sz w:val="24"/>
          <w:szCs w:val="24"/>
        </w:rPr>
        <w:t xml:space="preserve">Hibiscus </w:t>
      </w:r>
      <w:proofErr w:type="spellStart"/>
      <w:r w:rsidRPr="00784837">
        <w:rPr>
          <w:rFonts w:ascii="Times New Roman" w:hAnsi="Times New Roman" w:cs="Times New Roman"/>
          <w:i/>
          <w:sz w:val="24"/>
          <w:szCs w:val="24"/>
        </w:rPr>
        <w:t>rosa-sinensis</w:t>
      </w:r>
      <w:proofErr w:type="spellEnd"/>
      <w:r w:rsidRPr="00784837">
        <w:rPr>
          <w:rFonts w:ascii="Times New Roman" w:hAnsi="Times New Roman" w:cs="Times New Roman"/>
          <w:sz w:val="24"/>
          <w:szCs w:val="24"/>
        </w:rPr>
        <w:t xml:space="preserve"> L. M.Sc. Thesis submitted to N. A. U., Navsari.</w:t>
      </w:r>
    </w:p>
    <w:p w:rsidR="00E75E3C" w:rsidRPr="00E75E3C" w:rsidRDefault="00E75E3C" w:rsidP="00E75E3C">
      <w:pPr>
        <w:pStyle w:val="ListParagraph"/>
        <w:numPr>
          <w:ilvl w:val="0"/>
          <w:numId w:val="2"/>
        </w:numPr>
        <w:spacing w:line="360" w:lineRule="auto"/>
        <w:jc w:val="both"/>
        <w:rPr>
          <w:rFonts w:ascii="Times New Roman" w:hAnsi="Times New Roman" w:cs="Times New Roman"/>
          <w:sz w:val="24"/>
          <w:szCs w:val="24"/>
        </w:rPr>
      </w:pPr>
      <w:r w:rsidRPr="00E75E3C">
        <w:rPr>
          <w:rFonts w:ascii="Times New Roman" w:hAnsi="Times New Roman" w:cs="Times New Roman"/>
          <w:sz w:val="24"/>
          <w:szCs w:val="24"/>
        </w:rPr>
        <w:t>Singh, R. 2019. Study on the effect different plant regulators on sprouting and rooting of Bougainvillea stem cuttings (Doctoral dissertation, Indira Gandhi Krishi Vishwavidyalaya, Raipur).</w:t>
      </w:r>
    </w:p>
    <w:p w:rsidR="00B16582" w:rsidRPr="00B16582" w:rsidRDefault="00B16582" w:rsidP="00B16582">
      <w:pPr>
        <w:pStyle w:val="ListParagraph"/>
        <w:numPr>
          <w:ilvl w:val="0"/>
          <w:numId w:val="2"/>
        </w:numPr>
        <w:spacing w:line="360" w:lineRule="auto"/>
        <w:jc w:val="both"/>
        <w:rPr>
          <w:rFonts w:ascii="Times New Roman" w:hAnsi="Times New Roman" w:cs="Times New Roman"/>
          <w:sz w:val="24"/>
          <w:szCs w:val="24"/>
        </w:rPr>
      </w:pPr>
      <w:r w:rsidRPr="00B16582">
        <w:rPr>
          <w:rFonts w:ascii="Times New Roman" w:hAnsi="Times New Roman" w:cs="Times New Roman"/>
          <w:sz w:val="24"/>
          <w:szCs w:val="24"/>
        </w:rPr>
        <w:t xml:space="preserve">Sun, W. Q. and </w:t>
      </w:r>
      <w:proofErr w:type="spellStart"/>
      <w:r w:rsidRPr="00B16582">
        <w:rPr>
          <w:rFonts w:ascii="Times New Roman" w:hAnsi="Times New Roman" w:cs="Times New Roman"/>
          <w:sz w:val="24"/>
          <w:szCs w:val="24"/>
        </w:rPr>
        <w:t>Bassuk</w:t>
      </w:r>
      <w:proofErr w:type="spellEnd"/>
      <w:r w:rsidRPr="00B16582">
        <w:rPr>
          <w:rFonts w:ascii="Times New Roman" w:hAnsi="Times New Roman" w:cs="Times New Roman"/>
          <w:sz w:val="24"/>
          <w:szCs w:val="24"/>
        </w:rPr>
        <w:t xml:space="preserve">, N. L. 1991.Effects of banding and IBA on rooting and budbreak in cuttings of apple rootstock “MM. 106” and </w:t>
      </w:r>
      <w:proofErr w:type="spellStart"/>
      <w:r w:rsidRPr="00B16582">
        <w:rPr>
          <w:rFonts w:ascii="Times New Roman" w:hAnsi="Times New Roman" w:cs="Times New Roman"/>
          <w:sz w:val="24"/>
          <w:szCs w:val="24"/>
        </w:rPr>
        <w:t>Franklinia</w:t>
      </w:r>
      <w:proofErr w:type="spellEnd"/>
      <w:r w:rsidRPr="00B16582">
        <w:rPr>
          <w:rFonts w:ascii="Times New Roman" w:hAnsi="Times New Roman" w:cs="Times New Roman"/>
          <w:i/>
          <w:sz w:val="24"/>
          <w:szCs w:val="24"/>
        </w:rPr>
        <w:t xml:space="preserve">.  Journal of Environmental Horticulture </w:t>
      </w:r>
      <w:r w:rsidRPr="00B16582">
        <w:rPr>
          <w:rFonts w:ascii="Times New Roman" w:hAnsi="Times New Roman" w:cs="Times New Roman"/>
          <w:b/>
          <w:sz w:val="24"/>
          <w:szCs w:val="24"/>
        </w:rPr>
        <w:t>9</w:t>
      </w:r>
      <w:r w:rsidRPr="00B16582">
        <w:rPr>
          <w:rFonts w:ascii="Times New Roman" w:hAnsi="Times New Roman" w:cs="Times New Roman"/>
          <w:sz w:val="24"/>
          <w:szCs w:val="24"/>
        </w:rPr>
        <w:t>(1): 40-43.</w:t>
      </w:r>
    </w:p>
    <w:p w:rsidR="00251C62" w:rsidRDefault="00B00BC3">
      <w:pPr>
        <w:pStyle w:val="ListParagraph"/>
        <w:numPr>
          <w:ilvl w:val="0"/>
          <w:numId w:val="2"/>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lang w:eastAsia="zh-CN" w:bidi="ar"/>
        </w:rPr>
        <w:t>Syamal</w:t>
      </w:r>
      <w:proofErr w:type="spellEnd"/>
      <w:r>
        <w:rPr>
          <w:rFonts w:ascii="Times New Roman" w:hAnsi="Times New Roman" w:cs="Times New Roman"/>
          <w:sz w:val="24"/>
          <w:szCs w:val="24"/>
          <w:lang w:eastAsia="zh-CN" w:bidi="ar"/>
        </w:rPr>
        <w:t xml:space="preserve">, M. M. and Singh, S. K. 1993. Effect of etiolation and plant growth substances on rooting of air layers in Litchi. </w:t>
      </w:r>
      <w:r>
        <w:rPr>
          <w:rFonts w:ascii="Times New Roman" w:hAnsi="Times New Roman" w:cs="Times New Roman"/>
          <w:i/>
          <w:sz w:val="24"/>
          <w:szCs w:val="24"/>
          <w:lang w:eastAsia="zh-CN" w:bidi="ar"/>
        </w:rPr>
        <w:t xml:space="preserve">Indian journal of Horticulture </w:t>
      </w:r>
      <w:r>
        <w:rPr>
          <w:rFonts w:ascii="Times New Roman" w:hAnsi="Times New Roman" w:cs="Times New Roman"/>
          <w:b/>
          <w:sz w:val="24"/>
          <w:szCs w:val="24"/>
          <w:lang w:eastAsia="zh-CN" w:bidi="ar"/>
        </w:rPr>
        <w:t>50</w:t>
      </w:r>
      <w:r>
        <w:rPr>
          <w:rFonts w:ascii="Times New Roman" w:hAnsi="Times New Roman" w:cs="Times New Roman"/>
          <w:sz w:val="24"/>
          <w:szCs w:val="24"/>
          <w:lang w:eastAsia="zh-CN" w:bidi="ar"/>
        </w:rPr>
        <w:t>(3): 241-244.</w:t>
      </w:r>
    </w:p>
    <w:p w:rsidR="004C3E7A" w:rsidRDefault="004C3E7A" w:rsidP="00421519">
      <w:pPr>
        <w:pStyle w:val="ListParagraph"/>
        <w:spacing w:line="360" w:lineRule="auto"/>
        <w:ind w:left="360"/>
        <w:jc w:val="both"/>
        <w:rPr>
          <w:rFonts w:ascii="Times New Roman" w:hAnsi="Times New Roman" w:cs="Times New Roman"/>
          <w:sz w:val="24"/>
          <w:szCs w:val="24"/>
        </w:rPr>
      </w:pPr>
    </w:p>
    <w:sectPr w:rsidR="004C3E7A">
      <w:pgSz w:w="12240" w:h="15840"/>
      <w:pgMar w:top="1440" w:right="144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15D8" w:rsidRDefault="001B15D8">
      <w:pPr>
        <w:spacing w:line="240" w:lineRule="auto"/>
      </w:pPr>
      <w:r>
        <w:separator/>
      </w:r>
    </w:p>
  </w:endnote>
  <w:endnote w:type="continuationSeparator" w:id="0">
    <w:p w:rsidR="001B15D8" w:rsidRDefault="001B15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15D8" w:rsidRDefault="001B15D8">
      <w:pPr>
        <w:spacing w:after="0"/>
      </w:pPr>
      <w:r>
        <w:separator/>
      </w:r>
    </w:p>
  </w:footnote>
  <w:footnote w:type="continuationSeparator" w:id="0">
    <w:p w:rsidR="001B15D8" w:rsidRDefault="001B15D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B06A7"/>
    <w:multiLevelType w:val="multilevel"/>
    <w:tmpl w:val="181B06A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2677D0B"/>
    <w:multiLevelType w:val="multilevel"/>
    <w:tmpl w:val="52677D0B"/>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779F"/>
    <w:rsid w:val="000340EA"/>
    <w:rsid w:val="00035554"/>
    <w:rsid w:val="0004779F"/>
    <w:rsid w:val="00076D34"/>
    <w:rsid w:val="000E652A"/>
    <w:rsid w:val="001142C5"/>
    <w:rsid w:val="00136552"/>
    <w:rsid w:val="00190B3F"/>
    <w:rsid w:val="001B15D8"/>
    <w:rsid w:val="001D081F"/>
    <w:rsid w:val="001D42F4"/>
    <w:rsid w:val="002371A5"/>
    <w:rsid w:val="00251C62"/>
    <w:rsid w:val="00267F45"/>
    <w:rsid w:val="00276CAC"/>
    <w:rsid w:val="00301B8E"/>
    <w:rsid w:val="00320069"/>
    <w:rsid w:val="00353F68"/>
    <w:rsid w:val="00392382"/>
    <w:rsid w:val="003B1BE5"/>
    <w:rsid w:val="003C1C85"/>
    <w:rsid w:val="003D589E"/>
    <w:rsid w:val="003E2E6A"/>
    <w:rsid w:val="00421519"/>
    <w:rsid w:val="0042514A"/>
    <w:rsid w:val="004264DE"/>
    <w:rsid w:val="00437BEE"/>
    <w:rsid w:val="0046231B"/>
    <w:rsid w:val="00465571"/>
    <w:rsid w:val="00472238"/>
    <w:rsid w:val="004C0228"/>
    <w:rsid w:val="004C3E7A"/>
    <w:rsid w:val="004F191F"/>
    <w:rsid w:val="004F2486"/>
    <w:rsid w:val="005204F7"/>
    <w:rsid w:val="0053229F"/>
    <w:rsid w:val="005928AB"/>
    <w:rsid w:val="005A34E6"/>
    <w:rsid w:val="005E097A"/>
    <w:rsid w:val="005E5D28"/>
    <w:rsid w:val="00603E75"/>
    <w:rsid w:val="006A6897"/>
    <w:rsid w:val="00714761"/>
    <w:rsid w:val="0072484D"/>
    <w:rsid w:val="007471D3"/>
    <w:rsid w:val="00766962"/>
    <w:rsid w:val="00784837"/>
    <w:rsid w:val="007B00C1"/>
    <w:rsid w:val="007D0FB6"/>
    <w:rsid w:val="0080311E"/>
    <w:rsid w:val="00811F4E"/>
    <w:rsid w:val="008172D0"/>
    <w:rsid w:val="00840CA0"/>
    <w:rsid w:val="00873BA5"/>
    <w:rsid w:val="0089365E"/>
    <w:rsid w:val="00894F7C"/>
    <w:rsid w:val="008B353D"/>
    <w:rsid w:val="008B7485"/>
    <w:rsid w:val="008D693A"/>
    <w:rsid w:val="008E64EA"/>
    <w:rsid w:val="0090077C"/>
    <w:rsid w:val="00904B7E"/>
    <w:rsid w:val="00923364"/>
    <w:rsid w:val="00933952"/>
    <w:rsid w:val="0096127D"/>
    <w:rsid w:val="00975575"/>
    <w:rsid w:val="009909AE"/>
    <w:rsid w:val="009E1A0F"/>
    <w:rsid w:val="00A316C8"/>
    <w:rsid w:val="00B00BC3"/>
    <w:rsid w:val="00B07256"/>
    <w:rsid w:val="00B16582"/>
    <w:rsid w:val="00B40BE8"/>
    <w:rsid w:val="00B6171D"/>
    <w:rsid w:val="00BB41E0"/>
    <w:rsid w:val="00BD408B"/>
    <w:rsid w:val="00C17A04"/>
    <w:rsid w:val="00CA0066"/>
    <w:rsid w:val="00CB0502"/>
    <w:rsid w:val="00CB0965"/>
    <w:rsid w:val="00CB0B40"/>
    <w:rsid w:val="00CB6EB2"/>
    <w:rsid w:val="00D3267F"/>
    <w:rsid w:val="00D33E31"/>
    <w:rsid w:val="00D865B5"/>
    <w:rsid w:val="00D865CF"/>
    <w:rsid w:val="00DB202E"/>
    <w:rsid w:val="00E64426"/>
    <w:rsid w:val="00E75E3C"/>
    <w:rsid w:val="00E81ABD"/>
    <w:rsid w:val="00E93481"/>
    <w:rsid w:val="00ED2B61"/>
    <w:rsid w:val="00EF07DD"/>
    <w:rsid w:val="00F36DBC"/>
    <w:rsid w:val="00F62B79"/>
    <w:rsid w:val="00FA1E33"/>
    <w:rsid w:val="0E5E76C1"/>
    <w:rsid w:val="21AE5A9B"/>
    <w:rsid w:val="21D36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A3BE3"/>
  <w15:docId w15:val="{42B2AD91-E01E-4C48-ADFC-4C514F127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opofForm1">
    <w:name w:val="z-Top of Form1"/>
    <w:basedOn w:val="Normal"/>
    <w:next w:val="Normal"/>
    <w:link w:val="z-TopofFormChar"/>
    <w:uiPriority w:val="9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1"/>
    <w:uiPriority w:val="99"/>
    <w:rPr>
      <w:rFonts w:ascii="Arial" w:eastAsia="Times New Roman" w:hAnsi="Arial" w:cs="Arial"/>
      <w:vanish/>
      <w:sz w:val="16"/>
      <w:szCs w:val="16"/>
    </w:rPr>
  </w:style>
  <w:style w:type="paragraph" w:customStyle="1" w:styleId="z-BottomofForm1">
    <w:name w:val="z-Bottom of Form1"/>
    <w:basedOn w:val="Normal"/>
    <w:next w:val="Normal"/>
    <w:link w:val="z-BottomofFormChar"/>
    <w:uiPriority w:val="9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1"/>
    <w:uiPriority w:val="99"/>
    <w:rPr>
      <w:rFonts w:ascii="Arial" w:eastAsia="Times New Roman" w:hAnsi="Arial" w:cs="Arial"/>
      <w:vanish/>
      <w:sz w:val="16"/>
      <w:szCs w:val="16"/>
    </w:rPr>
  </w:style>
  <w:style w:type="paragraph" w:styleId="ListParagraph">
    <w:name w:val="List Paragraph"/>
    <w:basedOn w:val="Normal"/>
    <w:uiPriority w:val="34"/>
    <w:qFormat/>
    <w:pPr>
      <w:spacing w:after="200" w:line="276" w:lineRule="auto"/>
      <w:ind w:left="720"/>
      <w:contextualSpacing/>
    </w:pPr>
    <w:rPr>
      <w:rFonts w:ascii="Calibri" w:eastAsia="Calibri" w:hAnsi="Calibri" w:cs="SimSun"/>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oleObject" Target="embeddings/Microsoft_Excel_97-2003_Worksheet.xls"/><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403</TotalTime>
  <Pages>12</Pages>
  <Words>3202</Words>
  <Characters>18256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1158</cp:lastModifiedBy>
  <cp:revision>83</cp:revision>
  <dcterms:created xsi:type="dcterms:W3CDTF">2024-12-11T10:02:00Z</dcterms:created>
  <dcterms:modified xsi:type="dcterms:W3CDTF">2025-12-30T06:17:00Z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AA5B813255424B7B8584E5B7E6113D90_12</vt:lpwstr>
  </property>
</Properties>
</file>