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E1BAB" w14:textId="30A64CB8" w:rsidR="0021353D" w:rsidRPr="0021353D" w:rsidRDefault="0021353D" w:rsidP="0021353D">
      <w:pPr>
        <w:spacing w:line="360" w:lineRule="auto"/>
        <w:ind w:left="720"/>
        <w:rPr>
          <w:rFonts w:ascii="Times New Roman" w:hAnsi="Times New Roman" w:cs="Times New Roman"/>
          <w:b/>
          <w:sz w:val="24"/>
          <w:szCs w:val="20"/>
          <w:u w:val="single"/>
        </w:rPr>
      </w:pPr>
      <w:r w:rsidRPr="0021353D">
        <w:rPr>
          <w:rFonts w:ascii="Times New Roman" w:hAnsi="Times New Roman" w:cs="Times New Roman"/>
          <w:b/>
          <w:sz w:val="24"/>
          <w:szCs w:val="20"/>
          <w:u w:val="single"/>
        </w:rPr>
        <w:t>Original Research Article</w:t>
      </w:r>
    </w:p>
    <w:p w14:paraId="060F6BB5" w14:textId="4DE850FA" w:rsidR="004008F9" w:rsidRPr="004008F9" w:rsidRDefault="004008F9" w:rsidP="004008F9">
      <w:pPr>
        <w:spacing w:line="360" w:lineRule="auto"/>
        <w:ind w:left="720"/>
        <w:jc w:val="center"/>
        <w:rPr>
          <w:rFonts w:ascii="Times New Roman" w:hAnsi="Times New Roman" w:cs="Times New Roman"/>
          <w:b/>
          <w:sz w:val="30"/>
          <w:szCs w:val="24"/>
        </w:rPr>
      </w:pPr>
      <w:bookmarkStart w:id="0" w:name="_Hlk216539784"/>
      <w:r w:rsidRPr="004008F9">
        <w:rPr>
          <w:rFonts w:ascii="Times New Roman" w:hAnsi="Times New Roman" w:cs="Times New Roman"/>
          <w:b/>
          <w:sz w:val="30"/>
          <w:szCs w:val="24"/>
        </w:rPr>
        <w:t>Detection of Hog Cholera Virus (HCV) in Pigs from field outbreaks</w:t>
      </w:r>
    </w:p>
    <w:bookmarkEnd w:id="0"/>
    <w:p w14:paraId="5DBEA779" w14:textId="217CD5F6" w:rsidR="004008F9" w:rsidRPr="00612D85" w:rsidRDefault="004008F9" w:rsidP="004008F9">
      <w:pPr>
        <w:spacing w:line="360" w:lineRule="auto"/>
        <w:rPr>
          <w:rFonts w:ascii="Times New Roman" w:hAnsi="Times New Roman" w:cs="Times New Roman"/>
          <w:b/>
          <w:bCs/>
          <w:sz w:val="24"/>
          <w:szCs w:val="24"/>
        </w:rPr>
      </w:pPr>
      <w:r w:rsidRPr="00612D85">
        <w:rPr>
          <w:rFonts w:ascii="Times New Roman" w:hAnsi="Times New Roman" w:cs="Times New Roman"/>
          <w:b/>
          <w:bCs/>
          <w:sz w:val="24"/>
          <w:szCs w:val="24"/>
        </w:rPr>
        <w:t>ABSTRACT</w:t>
      </w:r>
    </w:p>
    <w:p w14:paraId="0637346E" w14:textId="037DF6F6" w:rsidR="004008F9" w:rsidRDefault="00B1188F" w:rsidP="00C95C22">
      <w:pPr>
        <w:spacing w:line="360" w:lineRule="auto"/>
        <w:ind w:firstLine="720"/>
        <w:jc w:val="both"/>
        <w:rPr>
          <w:rFonts w:ascii="Times New Roman" w:hAnsi="Times New Roman" w:cs="Times New Roman"/>
          <w:sz w:val="24"/>
          <w:szCs w:val="24"/>
          <w:lang w:val="en-IN"/>
        </w:rPr>
      </w:pPr>
      <w:r w:rsidRPr="00B1188F">
        <w:rPr>
          <w:rFonts w:ascii="Times New Roman" w:hAnsi="Times New Roman" w:cs="Times New Roman"/>
          <w:sz w:val="24"/>
          <w:szCs w:val="24"/>
        </w:rPr>
        <w:t xml:space="preserve">Hog cholera (HC) or classical swine fever is one of the highly contagious and devastating viral diseases of domestic pigs and wild boar. It causes great economic loss to the pig industries. The disease is endemic in North Eastern Region of India. Accurate diagnosis of the disease is very essential </w:t>
      </w:r>
      <w:r w:rsidR="005F1A30" w:rsidRPr="005F1A30">
        <w:rPr>
          <w:rFonts w:ascii="Times New Roman" w:hAnsi="Times New Roman" w:cs="Times New Roman"/>
          <w:sz w:val="24"/>
          <w:szCs w:val="24"/>
          <w:lang w:val="en-IN"/>
        </w:rPr>
        <w:t>to adopt appropriate preventive measures.</w:t>
      </w:r>
      <w:r w:rsidRPr="00B1188F">
        <w:rPr>
          <w:rFonts w:ascii="Times New Roman" w:hAnsi="Times New Roman" w:cs="Times New Roman"/>
          <w:sz w:val="24"/>
          <w:szCs w:val="24"/>
        </w:rPr>
        <w:t xml:space="preserve"> In addition to the clinical and postmortem changes, laboratory diagnostic tests are essential to confirm the HCV infection in pigs. The present study was undertaken to evaluate the efficacy of different immunological tests (FAT, S-ELISA and AGPT) for diagnosis of hog cholera in field samples. a total of nine outbreaks were attended. Free grazing </w:t>
      </w:r>
      <w:r w:rsidR="00033CF4">
        <w:rPr>
          <w:rFonts w:ascii="Times New Roman" w:hAnsi="Times New Roman" w:cs="Times New Roman"/>
          <w:sz w:val="24"/>
          <w:szCs w:val="24"/>
        </w:rPr>
        <w:t>D</w:t>
      </w:r>
      <w:r w:rsidRPr="00B1188F">
        <w:rPr>
          <w:rFonts w:ascii="Times New Roman" w:hAnsi="Times New Roman" w:cs="Times New Roman"/>
          <w:sz w:val="24"/>
          <w:szCs w:val="24"/>
        </w:rPr>
        <w:t>oom variety pigs (83) were found mostly affected and comparatively lesser number of cases were recorded in crossbred</w:t>
      </w:r>
      <w:r w:rsidR="00FE152D">
        <w:rPr>
          <w:rFonts w:ascii="Times New Roman" w:hAnsi="Times New Roman" w:cs="Times New Roman"/>
          <w:sz w:val="24"/>
          <w:szCs w:val="24"/>
        </w:rPr>
        <w:t xml:space="preserve"> pig</w:t>
      </w:r>
      <w:r w:rsidRPr="00B1188F">
        <w:rPr>
          <w:rFonts w:ascii="Times New Roman" w:hAnsi="Times New Roman" w:cs="Times New Roman"/>
          <w:sz w:val="24"/>
          <w:szCs w:val="24"/>
        </w:rPr>
        <w:t xml:space="preserve"> (27) and Hampshire pigs (10). </w:t>
      </w:r>
      <w:r w:rsidR="000445B9" w:rsidRPr="00B1188F">
        <w:rPr>
          <w:rFonts w:ascii="Times New Roman" w:hAnsi="Times New Roman" w:cs="Times New Roman"/>
          <w:sz w:val="24"/>
          <w:szCs w:val="24"/>
        </w:rPr>
        <w:t>Pigs at the age group of 1-4 months (44.16%) were</w:t>
      </w:r>
      <w:r w:rsidRPr="00B1188F">
        <w:rPr>
          <w:rFonts w:ascii="Times New Roman" w:hAnsi="Times New Roman" w:cs="Times New Roman"/>
          <w:sz w:val="24"/>
          <w:szCs w:val="24"/>
        </w:rPr>
        <w:t xml:space="preserve"> found highly susceptible which was followed by 0-2 months (27.50%), &gt; 8 months (15%) and 4-6 months (13.3%) of age group. Clinically affected pigs showed mostly high fever, anorexia, constipation, diarrhoea, conjunctivitis, hyperaemia of skin, incoordination of movements, abortion, stillbirth and fetal mummification. </w:t>
      </w:r>
      <w:r w:rsidR="008B06B4" w:rsidRPr="008B06B4">
        <w:rPr>
          <w:rFonts w:ascii="Times New Roman" w:hAnsi="Times New Roman" w:cs="Times New Roman"/>
          <w:sz w:val="24"/>
          <w:szCs w:val="24"/>
          <w:lang w:val="en"/>
        </w:rPr>
        <w:t xml:space="preserve">Altogether, 314 samples were processed for detection of HCV antigen. In direct FAT, 163 (51.91%) samples showed positive </w:t>
      </w:r>
      <w:r w:rsidR="008B06B4" w:rsidRPr="008B06B4">
        <w:rPr>
          <w:rFonts w:ascii="Times New Roman" w:hAnsi="Times New Roman" w:cs="Times New Roman"/>
          <w:b/>
          <w:bCs/>
          <w:sz w:val="24"/>
          <w:szCs w:val="24"/>
          <w:lang w:val="en"/>
        </w:rPr>
        <w:t>results, of which</w:t>
      </w:r>
      <w:r w:rsidR="008B06B4" w:rsidRPr="008B06B4">
        <w:rPr>
          <w:rFonts w:ascii="Times New Roman" w:hAnsi="Times New Roman" w:cs="Times New Roman"/>
          <w:sz w:val="24"/>
          <w:szCs w:val="24"/>
          <w:lang w:val="en"/>
        </w:rPr>
        <w:t xml:space="preserve"> tonsillar tissue showed the highest </w:t>
      </w:r>
      <w:r w:rsidR="008B06B4" w:rsidRPr="008B06B4">
        <w:rPr>
          <w:rFonts w:ascii="Times New Roman" w:hAnsi="Times New Roman" w:cs="Times New Roman"/>
          <w:b/>
          <w:bCs/>
          <w:sz w:val="24"/>
          <w:szCs w:val="24"/>
          <w:lang w:val="en"/>
        </w:rPr>
        <w:t>percentage</w:t>
      </w:r>
      <w:r w:rsidR="008B06B4" w:rsidRPr="008B06B4">
        <w:rPr>
          <w:rFonts w:ascii="Times New Roman" w:hAnsi="Times New Roman" w:cs="Times New Roman"/>
          <w:sz w:val="24"/>
          <w:szCs w:val="24"/>
          <w:lang w:val="en"/>
        </w:rPr>
        <w:t xml:space="preserve"> (67.12%) of positivity, while in mesenteric lymph nodes, leucocytes, spleen and kidney, </w:t>
      </w:r>
      <w:r w:rsidR="008B06B4" w:rsidRPr="008B06B4">
        <w:rPr>
          <w:rFonts w:ascii="Times New Roman" w:hAnsi="Times New Roman" w:cs="Times New Roman"/>
          <w:b/>
          <w:bCs/>
          <w:sz w:val="24"/>
          <w:szCs w:val="24"/>
          <w:lang w:val="en"/>
        </w:rPr>
        <w:t>the percentage positivity</w:t>
      </w:r>
      <w:r w:rsidR="008B06B4" w:rsidRPr="008B06B4">
        <w:rPr>
          <w:rFonts w:ascii="Times New Roman" w:hAnsi="Times New Roman" w:cs="Times New Roman"/>
          <w:sz w:val="24"/>
          <w:szCs w:val="24"/>
          <w:lang w:val="en"/>
        </w:rPr>
        <w:t xml:space="preserve"> was less.</w:t>
      </w:r>
      <w:r w:rsidR="002F2A14">
        <w:rPr>
          <w:rFonts w:ascii="Times New Roman" w:hAnsi="Times New Roman" w:cs="Times New Roman"/>
          <w:sz w:val="24"/>
          <w:szCs w:val="24"/>
          <w:lang w:val="en"/>
        </w:rPr>
        <w:t xml:space="preserve"> </w:t>
      </w:r>
      <w:r w:rsidR="008B06B4" w:rsidRPr="008B06B4">
        <w:rPr>
          <w:rFonts w:ascii="Times New Roman" w:hAnsi="Times New Roman" w:cs="Times New Roman"/>
          <w:sz w:val="24"/>
          <w:szCs w:val="24"/>
          <w:lang w:val="en"/>
        </w:rPr>
        <w:t>In sandwich ELISA, 147 (46.81%) samples were found positive for HCV antigen</w:t>
      </w:r>
      <w:r w:rsidR="004C725F">
        <w:rPr>
          <w:rFonts w:ascii="Times New Roman" w:hAnsi="Times New Roman" w:cs="Times New Roman"/>
          <w:sz w:val="24"/>
          <w:szCs w:val="24"/>
          <w:lang w:val="en"/>
        </w:rPr>
        <w:t>,</w:t>
      </w:r>
      <w:r w:rsidR="00D21511">
        <w:rPr>
          <w:rFonts w:ascii="Times New Roman" w:hAnsi="Times New Roman" w:cs="Times New Roman"/>
          <w:sz w:val="24"/>
          <w:szCs w:val="24"/>
          <w:lang w:val="en"/>
        </w:rPr>
        <w:t xml:space="preserve"> </w:t>
      </w:r>
      <w:r w:rsidR="008B06B4" w:rsidRPr="008B06B4">
        <w:rPr>
          <w:rFonts w:ascii="Times New Roman" w:hAnsi="Times New Roman" w:cs="Times New Roman"/>
          <w:sz w:val="24"/>
          <w:szCs w:val="24"/>
          <w:lang w:val="en"/>
        </w:rPr>
        <w:t xml:space="preserve">and tonsil showed higher </w:t>
      </w:r>
      <w:r w:rsidR="008B06B4" w:rsidRPr="008B06B4">
        <w:rPr>
          <w:rFonts w:ascii="Times New Roman" w:hAnsi="Times New Roman" w:cs="Times New Roman"/>
          <w:b/>
          <w:bCs/>
          <w:sz w:val="24"/>
          <w:szCs w:val="24"/>
          <w:lang w:val="en"/>
        </w:rPr>
        <w:t>percentage</w:t>
      </w:r>
      <w:r w:rsidR="008B06B4" w:rsidRPr="008B06B4">
        <w:rPr>
          <w:rFonts w:ascii="Times New Roman" w:hAnsi="Times New Roman" w:cs="Times New Roman"/>
          <w:sz w:val="24"/>
          <w:szCs w:val="24"/>
          <w:lang w:val="en"/>
        </w:rPr>
        <w:t xml:space="preserve"> (56.16%) of positivity than </w:t>
      </w:r>
      <w:r w:rsidR="008B06B4" w:rsidRPr="008B06B4">
        <w:rPr>
          <w:rFonts w:ascii="Times New Roman" w:hAnsi="Times New Roman" w:cs="Times New Roman"/>
          <w:b/>
          <w:bCs/>
          <w:sz w:val="24"/>
          <w:szCs w:val="24"/>
          <w:lang w:val="en"/>
        </w:rPr>
        <w:t>other</w:t>
      </w:r>
      <w:r w:rsidR="008B06B4" w:rsidRPr="008B06B4">
        <w:rPr>
          <w:rFonts w:ascii="Times New Roman" w:hAnsi="Times New Roman" w:cs="Times New Roman"/>
          <w:sz w:val="24"/>
          <w:szCs w:val="24"/>
          <w:lang w:val="en"/>
        </w:rPr>
        <w:t xml:space="preserve"> organs. Highest virus concentration (≥1:32) was detected in tonsil and lowest (34.52%) in spleen tissues.</w:t>
      </w:r>
      <w:r w:rsidR="002F2A14">
        <w:rPr>
          <w:rFonts w:ascii="Times New Roman" w:hAnsi="Times New Roman" w:cs="Times New Roman"/>
          <w:sz w:val="24"/>
          <w:szCs w:val="24"/>
          <w:lang w:val="en"/>
        </w:rPr>
        <w:t xml:space="preserve"> </w:t>
      </w:r>
      <w:r w:rsidRPr="00B1188F">
        <w:rPr>
          <w:rFonts w:ascii="Times New Roman" w:hAnsi="Times New Roman" w:cs="Times New Roman"/>
          <w:sz w:val="24"/>
          <w:szCs w:val="24"/>
        </w:rPr>
        <w:t xml:space="preserve">In AGPT, 19.74 percent samples were found positive for HCV antigen. Again, tonsilar tissue (35.60%) exhibited highest number of positive cases and lowest was recorded in mesenteric lymph nodes (12.16%). </w:t>
      </w:r>
      <w:r w:rsidR="00E35CEB" w:rsidRPr="00E35CEB">
        <w:rPr>
          <w:rFonts w:ascii="Times New Roman" w:hAnsi="Times New Roman" w:cs="Times New Roman"/>
          <w:sz w:val="24"/>
          <w:szCs w:val="24"/>
          <w:lang w:val="en-IN"/>
        </w:rPr>
        <w:t>Statistically</w:t>
      </w:r>
      <w:r w:rsidR="00F00960">
        <w:rPr>
          <w:rFonts w:ascii="Times New Roman" w:hAnsi="Times New Roman" w:cs="Times New Roman"/>
          <w:sz w:val="24"/>
          <w:szCs w:val="24"/>
          <w:lang w:val="en-IN"/>
        </w:rPr>
        <w:t>,</w:t>
      </w:r>
      <w:r w:rsidR="00E35CEB" w:rsidRPr="00E35CEB">
        <w:rPr>
          <w:rFonts w:ascii="Times New Roman" w:hAnsi="Times New Roman" w:cs="Times New Roman"/>
          <w:sz w:val="24"/>
          <w:szCs w:val="24"/>
          <w:lang w:val="en-IN"/>
        </w:rPr>
        <w:t xml:space="preserve"> the </w:t>
      </w:r>
      <w:r w:rsidR="00E35CEB" w:rsidRPr="00E35CEB">
        <w:rPr>
          <w:rFonts w:ascii="Times New Roman" w:hAnsi="Times New Roman" w:cs="Times New Roman"/>
          <w:b/>
          <w:bCs/>
          <w:sz w:val="24"/>
          <w:szCs w:val="24"/>
          <w:lang w:val="en-IN"/>
        </w:rPr>
        <w:t>results</w:t>
      </w:r>
      <w:r w:rsidR="00E35CEB" w:rsidRPr="00E35CEB">
        <w:rPr>
          <w:rFonts w:ascii="Times New Roman" w:hAnsi="Times New Roman" w:cs="Times New Roman"/>
          <w:sz w:val="24"/>
          <w:szCs w:val="24"/>
          <w:lang w:val="en-IN"/>
        </w:rPr>
        <w:t xml:space="preserve"> of FAT and ELISA were </w:t>
      </w:r>
      <w:r w:rsidR="00E35CEB" w:rsidRPr="00E35CEB">
        <w:rPr>
          <w:rFonts w:ascii="Times New Roman" w:hAnsi="Times New Roman" w:cs="Times New Roman"/>
          <w:b/>
          <w:bCs/>
          <w:sz w:val="24"/>
          <w:szCs w:val="24"/>
          <w:lang w:val="en-IN"/>
        </w:rPr>
        <w:t>comparable</w:t>
      </w:r>
      <w:r w:rsidR="00E35CEB" w:rsidRPr="00E35CEB">
        <w:rPr>
          <w:rFonts w:ascii="Times New Roman" w:hAnsi="Times New Roman" w:cs="Times New Roman"/>
          <w:sz w:val="24"/>
          <w:szCs w:val="24"/>
          <w:lang w:val="en-IN"/>
        </w:rPr>
        <w:t xml:space="preserve"> to each other for HCV antigen detection and were significantly (P &lt; 0.05) different from that of AGPT. Tonsil was found </w:t>
      </w:r>
      <w:r w:rsidR="00E35CEB" w:rsidRPr="004C725F">
        <w:rPr>
          <w:rFonts w:ascii="Times New Roman" w:hAnsi="Times New Roman" w:cs="Times New Roman"/>
          <w:sz w:val="24"/>
          <w:szCs w:val="24"/>
          <w:lang w:val="en-IN"/>
        </w:rPr>
        <w:t>to be</w:t>
      </w:r>
      <w:r w:rsidR="00E35CEB" w:rsidRPr="00E35CEB">
        <w:rPr>
          <w:rFonts w:ascii="Times New Roman" w:hAnsi="Times New Roman" w:cs="Times New Roman"/>
          <w:sz w:val="24"/>
          <w:szCs w:val="24"/>
          <w:lang w:val="en-IN"/>
        </w:rPr>
        <w:t xml:space="preserve"> the most suitable sample for HCV detection.</w:t>
      </w:r>
    </w:p>
    <w:p w14:paraId="76451516" w14:textId="77777777" w:rsidR="00E35CEB" w:rsidRDefault="00E35CEB" w:rsidP="00C95C22">
      <w:pPr>
        <w:spacing w:line="360" w:lineRule="auto"/>
        <w:ind w:firstLine="720"/>
        <w:jc w:val="both"/>
      </w:pPr>
    </w:p>
    <w:p w14:paraId="0EE3044E" w14:textId="37E6E5B8" w:rsidR="004008F9" w:rsidRPr="003523BE" w:rsidRDefault="003523BE">
      <w:pPr>
        <w:rPr>
          <w:rFonts w:ascii="Times New Roman" w:hAnsi="Times New Roman" w:cs="Times New Roman"/>
          <w:b/>
          <w:sz w:val="24"/>
          <w:szCs w:val="24"/>
        </w:rPr>
      </w:pPr>
      <w:r w:rsidRPr="003523BE">
        <w:rPr>
          <w:rFonts w:ascii="Times New Roman" w:hAnsi="Times New Roman" w:cs="Times New Roman"/>
          <w:b/>
          <w:sz w:val="24"/>
          <w:szCs w:val="24"/>
        </w:rPr>
        <w:t xml:space="preserve">Key Words: </w:t>
      </w:r>
      <w:r w:rsidR="000C153E" w:rsidRPr="003523BE">
        <w:rPr>
          <w:rFonts w:ascii="Times New Roman" w:hAnsi="Times New Roman" w:cs="Times New Roman"/>
          <w:b/>
          <w:sz w:val="24"/>
          <w:szCs w:val="24"/>
        </w:rPr>
        <w:t>AGPT,</w:t>
      </w:r>
      <w:r w:rsidR="000C153E">
        <w:rPr>
          <w:rFonts w:ascii="Times New Roman" w:hAnsi="Times New Roman" w:cs="Times New Roman"/>
          <w:b/>
          <w:sz w:val="24"/>
          <w:szCs w:val="24"/>
        </w:rPr>
        <w:t xml:space="preserve"> </w:t>
      </w:r>
      <w:r w:rsidR="00A40648">
        <w:rPr>
          <w:rFonts w:ascii="Times New Roman" w:hAnsi="Times New Roman" w:cs="Times New Roman"/>
          <w:b/>
          <w:sz w:val="24"/>
          <w:szCs w:val="24"/>
        </w:rPr>
        <w:t>Antigen</w:t>
      </w:r>
      <w:r w:rsidR="00A40648" w:rsidRPr="003523BE">
        <w:rPr>
          <w:rFonts w:ascii="Times New Roman" w:hAnsi="Times New Roman" w:cs="Times New Roman"/>
          <w:b/>
          <w:sz w:val="24"/>
          <w:szCs w:val="24"/>
        </w:rPr>
        <w:t>,</w:t>
      </w:r>
      <w:r w:rsidR="00A40648">
        <w:rPr>
          <w:rFonts w:ascii="Times New Roman" w:hAnsi="Times New Roman" w:cs="Times New Roman"/>
          <w:b/>
          <w:sz w:val="24"/>
          <w:szCs w:val="24"/>
        </w:rPr>
        <w:t xml:space="preserve"> </w:t>
      </w:r>
      <w:r w:rsidR="00A40648" w:rsidRPr="003523BE">
        <w:rPr>
          <w:rFonts w:ascii="Times New Roman" w:hAnsi="Times New Roman" w:cs="Times New Roman"/>
          <w:b/>
          <w:sz w:val="24"/>
          <w:szCs w:val="24"/>
        </w:rPr>
        <w:t>FAT,</w:t>
      </w:r>
      <w:r w:rsidR="00A40648">
        <w:rPr>
          <w:rFonts w:ascii="Times New Roman" w:hAnsi="Times New Roman" w:cs="Times New Roman"/>
          <w:b/>
          <w:sz w:val="24"/>
          <w:szCs w:val="24"/>
        </w:rPr>
        <w:t xml:space="preserve"> </w:t>
      </w:r>
      <w:r w:rsidRPr="003523BE">
        <w:rPr>
          <w:rFonts w:ascii="Times New Roman" w:hAnsi="Times New Roman" w:cs="Times New Roman"/>
          <w:b/>
          <w:sz w:val="24"/>
          <w:szCs w:val="24"/>
        </w:rPr>
        <w:t xml:space="preserve">HCV, </w:t>
      </w:r>
      <w:r w:rsidR="00BB5E18" w:rsidRPr="003523BE">
        <w:rPr>
          <w:rFonts w:ascii="Times New Roman" w:hAnsi="Times New Roman" w:cs="Times New Roman"/>
          <w:b/>
          <w:sz w:val="24"/>
          <w:szCs w:val="24"/>
        </w:rPr>
        <w:t>MLN</w:t>
      </w:r>
      <w:r w:rsidR="00BB5E18">
        <w:rPr>
          <w:rFonts w:ascii="Times New Roman" w:hAnsi="Times New Roman" w:cs="Times New Roman"/>
          <w:b/>
          <w:sz w:val="24"/>
          <w:szCs w:val="24"/>
        </w:rPr>
        <w:t>,</w:t>
      </w:r>
      <w:r w:rsidR="00BB5E18" w:rsidRPr="003523BE">
        <w:rPr>
          <w:rFonts w:ascii="Times New Roman" w:hAnsi="Times New Roman" w:cs="Times New Roman"/>
          <w:b/>
          <w:sz w:val="24"/>
          <w:szCs w:val="24"/>
        </w:rPr>
        <w:t xml:space="preserve"> </w:t>
      </w:r>
      <w:r w:rsidRPr="003523BE">
        <w:rPr>
          <w:rFonts w:ascii="Times New Roman" w:hAnsi="Times New Roman" w:cs="Times New Roman"/>
          <w:b/>
          <w:sz w:val="24"/>
          <w:szCs w:val="24"/>
        </w:rPr>
        <w:t>S-ELISA, Spleen,</w:t>
      </w:r>
      <w:r w:rsidR="00BB5E18">
        <w:rPr>
          <w:rFonts w:ascii="Times New Roman" w:hAnsi="Times New Roman" w:cs="Times New Roman"/>
          <w:b/>
          <w:sz w:val="24"/>
          <w:szCs w:val="24"/>
        </w:rPr>
        <w:t xml:space="preserve"> </w:t>
      </w:r>
      <w:r w:rsidR="00BB5E18" w:rsidRPr="003523BE">
        <w:rPr>
          <w:rFonts w:ascii="Times New Roman" w:hAnsi="Times New Roman" w:cs="Times New Roman"/>
          <w:b/>
          <w:sz w:val="24"/>
          <w:szCs w:val="24"/>
        </w:rPr>
        <w:t>Tonsil,</w:t>
      </w:r>
    </w:p>
    <w:p w14:paraId="224B391D" w14:textId="77777777" w:rsidR="00E35CEB" w:rsidRDefault="00E35CEB" w:rsidP="004008F9">
      <w:pPr>
        <w:spacing w:line="360" w:lineRule="auto"/>
        <w:jc w:val="both"/>
        <w:rPr>
          <w:rFonts w:ascii="Times New Roman" w:hAnsi="Times New Roman" w:cs="Times New Roman"/>
          <w:b/>
          <w:sz w:val="24"/>
          <w:szCs w:val="24"/>
        </w:rPr>
      </w:pPr>
    </w:p>
    <w:p w14:paraId="32E4D3D4" w14:textId="507E8F45" w:rsidR="004008F9" w:rsidRPr="00612D85" w:rsidRDefault="004008F9" w:rsidP="004008F9">
      <w:pPr>
        <w:spacing w:line="360" w:lineRule="auto"/>
        <w:jc w:val="both"/>
        <w:rPr>
          <w:rFonts w:ascii="Times New Roman" w:hAnsi="Times New Roman" w:cs="Times New Roman"/>
          <w:b/>
          <w:sz w:val="24"/>
          <w:szCs w:val="24"/>
        </w:rPr>
      </w:pPr>
      <w:r w:rsidRPr="00612D85">
        <w:rPr>
          <w:rFonts w:ascii="Times New Roman" w:hAnsi="Times New Roman" w:cs="Times New Roman"/>
          <w:b/>
          <w:sz w:val="24"/>
          <w:szCs w:val="24"/>
        </w:rPr>
        <w:t>INTRODUCTION:</w:t>
      </w:r>
    </w:p>
    <w:p w14:paraId="0F9F4C9A" w14:textId="4C42EE2B" w:rsidR="004008F9" w:rsidRPr="00612D85" w:rsidRDefault="004008F9" w:rsidP="004008F9">
      <w:pPr>
        <w:spacing w:line="360" w:lineRule="auto"/>
        <w:jc w:val="both"/>
        <w:rPr>
          <w:rFonts w:ascii="Times New Roman" w:hAnsi="Times New Roman" w:cs="Times New Roman"/>
          <w:sz w:val="24"/>
          <w:szCs w:val="24"/>
        </w:rPr>
      </w:pPr>
      <w:r w:rsidRPr="00612D85">
        <w:rPr>
          <w:rFonts w:ascii="Times New Roman" w:hAnsi="Times New Roman" w:cs="Times New Roman"/>
          <w:sz w:val="24"/>
          <w:szCs w:val="24"/>
        </w:rPr>
        <w:tab/>
      </w:r>
      <w:r w:rsidR="00294736" w:rsidRPr="00294736">
        <w:rPr>
          <w:rFonts w:ascii="Times New Roman" w:hAnsi="Times New Roman" w:cs="Times New Roman"/>
          <w:sz w:val="24"/>
          <w:szCs w:val="24"/>
          <w:lang w:val="en-IN"/>
        </w:rPr>
        <w:t xml:space="preserve">India has 14 officially recognized indigenous pig breeds and </w:t>
      </w:r>
      <w:r w:rsidR="00294736" w:rsidRPr="00294736">
        <w:rPr>
          <w:rFonts w:ascii="Times New Roman" w:hAnsi="Times New Roman" w:cs="Times New Roman"/>
          <w:b/>
          <w:bCs/>
          <w:sz w:val="24"/>
          <w:szCs w:val="24"/>
          <w:lang w:val="en-IN"/>
        </w:rPr>
        <w:t>a population of</w:t>
      </w:r>
      <w:r w:rsidR="00294736" w:rsidRPr="00294736">
        <w:rPr>
          <w:rFonts w:ascii="Times New Roman" w:hAnsi="Times New Roman" w:cs="Times New Roman"/>
          <w:sz w:val="24"/>
          <w:szCs w:val="24"/>
          <w:lang w:val="en-IN"/>
        </w:rPr>
        <w:t xml:space="preserve"> 9.06 million pigs as per </w:t>
      </w:r>
      <w:r w:rsidR="00294736" w:rsidRPr="00294736">
        <w:rPr>
          <w:rFonts w:ascii="Times New Roman" w:hAnsi="Times New Roman" w:cs="Times New Roman"/>
          <w:b/>
          <w:bCs/>
          <w:sz w:val="24"/>
          <w:szCs w:val="24"/>
          <w:lang w:val="en-IN"/>
        </w:rPr>
        <w:t>the</w:t>
      </w:r>
      <w:r w:rsidR="00294736" w:rsidRPr="00294736">
        <w:rPr>
          <w:rFonts w:ascii="Times New Roman" w:hAnsi="Times New Roman" w:cs="Times New Roman"/>
          <w:sz w:val="24"/>
          <w:szCs w:val="24"/>
          <w:lang w:val="en-IN"/>
        </w:rPr>
        <w:t xml:space="preserve"> 20th Livestock Census and 47% of them are in North Eastern India. It is also found that there </w:t>
      </w:r>
      <w:r w:rsidR="00294736" w:rsidRPr="00294736">
        <w:rPr>
          <w:rFonts w:ascii="Times New Roman" w:hAnsi="Times New Roman" w:cs="Times New Roman"/>
          <w:b/>
          <w:bCs/>
          <w:sz w:val="24"/>
          <w:szCs w:val="24"/>
          <w:lang w:val="en-IN"/>
        </w:rPr>
        <w:t>has been a reduction</w:t>
      </w:r>
      <w:r w:rsidR="00294736" w:rsidRPr="00294736">
        <w:rPr>
          <w:rFonts w:ascii="Times New Roman" w:hAnsi="Times New Roman" w:cs="Times New Roman"/>
          <w:sz w:val="24"/>
          <w:szCs w:val="24"/>
          <w:lang w:val="en-IN"/>
        </w:rPr>
        <w:t xml:space="preserve"> of 1</w:t>
      </w:r>
      <w:r w:rsidR="006E4592">
        <w:rPr>
          <w:rFonts w:ascii="Times New Roman" w:hAnsi="Times New Roman" w:cs="Times New Roman"/>
          <w:sz w:val="24"/>
          <w:szCs w:val="24"/>
          <w:lang w:val="en-IN"/>
        </w:rPr>
        <w:t>1</w:t>
      </w:r>
      <w:r w:rsidR="00294736" w:rsidRPr="00294736">
        <w:rPr>
          <w:rFonts w:ascii="Times New Roman" w:hAnsi="Times New Roman" w:cs="Times New Roman"/>
          <w:sz w:val="24"/>
          <w:szCs w:val="24"/>
          <w:lang w:val="en-IN"/>
        </w:rPr>
        <w:t>.</w:t>
      </w:r>
      <w:r w:rsidR="006E4592">
        <w:rPr>
          <w:rFonts w:ascii="Times New Roman" w:hAnsi="Times New Roman" w:cs="Times New Roman"/>
          <w:sz w:val="24"/>
          <w:szCs w:val="24"/>
          <w:lang w:val="en-IN"/>
        </w:rPr>
        <w:t>95</w:t>
      </w:r>
      <w:r w:rsidR="00294736" w:rsidRPr="00294736">
        <w:rPr>
          <w:rFonts w:ascii="Times New Roman" w:hAnsi="Times New Roman" w:cs="Times New Roman"/>
          <w:sz w:val="24"/>
          <w:szCs w:val="24"/>
          <w:lang w:val="en-IN"/>
        </w:rPr>
        <w:t xml:space="preserve">% in pig population as compared to </w:t>
      </w:r>
      <w:r w:rsidR="00294736" w:rsidRPr="00294736">
        <w:rPr>
          <w:rFonts w:ascii="Times New Roman" w:hAnsi="Times New Roman" w:cs="Times New Roman"/>
          <w:b/>
          <w:bCs/>
          <w:sz w:val="24"/>
          <w:szCs w:val="24"/>
          <w:lang w:val="en-IN"/>
        </w:rPr>
        <w:t>the</w:t>
      </w:r>
      <w:r w:rsidR="00294736" w:rsidRPr="00294736">
        <w:rPr>
          <w:rFonts w:ascii="Times New Roman" w:hAnsi="Times New Roman" w:cs="Times New Roman"/>
          <w:sz w:val="24"/>
          <w:szCs w:val="24"/>
          <w:lang w:val="en-IN"/>
        </w:rPr>
        <w:t xml:space="preserve"> 19th Livestock Census (DAHD, 2019).</w:t>
      </w:r>
      <w:r w:rsidR="006E4592">
        <w:rPr>
          <w:rFonts w:ascii="Times New Roman" w:hAnsi="Times New Roman" w:cs="Times New Roman"/>
          <w:sz w:val="24"/>
          <w:szCs w:val="24"/>
          <w:lang w:val="en-IN"/>
        </w:rPr>
        <w:t xml:space="preserve"> </w:t>
      </w:r>
      <w:r w:rsidR="005D4FE1" w:rsidRPr="005D4FE1">
        <w:rPr>
          <w:rFonts w:ascii="Times New Roman" w:hAnsi="Times New Roman" w:cs="Times New Roman"/>
          <w:sz w:val="24"/>
          <w:szCs w:val="24"/>
        </w:rPr>
        <w:t xml:space="preserve">Pigs are generally reared by socioeconomically disadvantaged people whose livelihood is affected if pigs die due to diseases. Hog cholera (HC) or classical swine fever (CSF) is one of the most </w:t>
      </w:r>
      <w:r w:rsidR="005D4FE1" w:rsidRPr="005D4FE1">
        <w:rPr>
          <w:rFonts w:ascii="Times New Roman" w:hAnsi="Times New Roman" w:cs="Times New Roman"/>
          <w:b/>
          <w:bCs/>
          <w:sz w:val="24"/>
          <w:szCs w:val="24"/>
        </w:rPr>
        <w:t>fatal</w:t>
      </w:r>
      <w:r w:rsidR="005D4FE1" w:rsidRPr="005D4FE1">
        <w:rPr>
          <w:rFonts w:ascii="Times New Roman" w:hAnsi="Times New Roman" w:cs="Times New Roman"/>
          <w:sz w:val="24"/>
          <w:szCs w:val="24"/>
        </w:rPr>
        <w:t xml:space="preserve"> and highly contagious </w:t>
      </w:r>
      <w:r w:rsidR="005D4FE1" w:rsidRPr="005D4FE1">
        <w:rPr>
          <w:rFonts w:ascii="Times New Roman" w:hAnsi="Times New Roman" w:cs="Times New Roman"/>
          <w:b/>
          <w:bCs/>
          <w:sz w:val="24"/>
          <w:szCs w:val="24"/>
        </w:rPr>
        <w:t>diseases</w:t>
      </w:r>
      <w:r w:rsidR="005D4FE1" w:rsidRPr="005D4FE1">
        <w:rPr>
          <w:rFonts w:ascii="Times New Roman" w:hAnsi="Times New Roman" w:cs="Times New Roman"/>
          <w:sz w:val="24"/>
          <w:szCs w:val="24"/>
        </w:rPr>
        <w:t xml:space="preserve"> affecting susceptible domestic and wild pigs causing up to 100% mortality and </w:t>
      </w:r>
      <w:r w:rsidR="005D4FE1" w:rsidRPr="005D4FE1">
        <w:rPr>
          <w:rFonts w:ascii="Times New Roman" w:hAnsi="Times New Roman" w:cs="Times New Roman"/>
          <w:b/>
          <w:bCs/>
          <w:sz w:val="24"/>
          <w:szCs w:val="24"/>
        </w:rPr>
        <w:t>resulting in</w:t>
      </w:r>
      <w:r w:rsidR="005D4FE1" w:rsidRPr="005D4FE1">
        <w:rPr>
          <w:rFonts w:ascii="Times New Roman" w:hAnsi="Times New Roman" w:cs="Times New Roman"/>
          <w:sz w:val="24"/>
          <w:szCs w:val="24"/>
        </w:rPr>
        <w:t xml:space="preserve"> enormous economic loss to the pig husbandry </w:t>
      </w:r>
      <w:r w:rsidR="005D4FE1" w:rsidRPr="005D4FE1">
        <w:rPr>
          <w:rFonts w:ascii="Times New Roman" w:hAnsi="Times New Roman" w:cs="Times New Roman"/>
          <w:b/>
          <w:bCs/>
          <w:sz w:val="24"/>
          <w:szCs w:val="24"/>
        </w:rPr>
        <w:t>of the</w:t>
      </w:r>
      <w:r w:rsidR="005D4FE1" w:rsidRPr="005D4FE1">
        <w:rPr>
          <w:rFonts w:ascii="Times New Roman" w:hAnsi="Times New Roman" w:cs="Times New Roman"/>
          <w:sz w:val="24"/>
          <w:szCs w:val="24"/>
        </w:rPr>
        <w:t xml:space="preserve"> North-East and southern </w:t>
      </w:r>
      <w:r w:rsidR="005D4FE1" w:rsidRPr="005D4FE1">
        <w:rPr>
          <w:rFonts w:ascii="Times New Roman" w:hAnsi="Times New Roman" w:cs="Times New Roman"/>
          <w:b/>
          <w:bCs/>
          <w:sz w:val="24"/>
          <w:szCs w:val="24"/>
        </w:rPr>
        <w:t>parts</w:t>
      </w:r>
      <w:r w:rsidR="005D4FE1" w:rsidRPr="005D4FE1">
        <w:rPr>
          <w:rFonts w:ascii="Times New Roman" w:hAnsi="Times New Roman" w:cs="Times New Roman"/>
          <w:sz w:val="24"/>
          <w:szCs w:val="24"/>
        </w:rPr>
        <w:t xml:space="preserve"> of India </w:t>
      </w:r>
      <w:r w:rsidRPr="00612D85">
        <w:rPr>
          <w:rFonts w:ascii="Times New Roman" w:hAnsi="Times New Roman" w:cs="Times New Roman"/>
          <w:sz w:val="24"/>
          <w:szCs w:val="24"/>
        </w:rPr>
        <w:t>(</w:t>
      </w:r>
      <w:r w:rsidR="00B71A07">
        <w:rPr>
          <w:rFonts w:ascii="Times New Roman" w:hAnsi="Times New Roman" w:cs="Times New Roman"/>
          <w:sz w:val="24"/>
          <w:szCs w:val="24"/>
        </w:rPr>
        <w:t xml:space="preserve">Singh </w:t>
      </w:r>
      <w:r w:rsidR="00B71A07" w:rsidRPr="00B71A07">
        <w:rPr>
          <w:rFonts w:ascii="Times New Roman" w:hAnsi="Times New Roman" w:cs="Times New Roman"/>
          <w:i/>
          <w:sz w:val="24"/>
          <w:szCs w:val="24"/>
        </w:rPr>
        <w:t>et al</w:t>
      </w:r>
      <w:r w:rsidR="003B6628">
        <w:rPr>
          <w:rFonts w:ascii="Times New Roman" w:hAnsi="Times New Roman" w:cs="Times New Roman"/>
          <w:i/>
          <w:sz w:val="24"/>
          <w:szCs w:val="24"/>
        </w:rPr>
        <w:t xml:space="preserve">., </w:t>
      </w:r>
      <w:r w:rsidR="00B71A07">
        <w:rPr>
          <w:rFonts w:ascii="Times New Roman" w:hAnsi="Times New Roman" w:cs="Times New Roman"/>
          <w:sz w:val="24"/>
          <w:szCs w:val="24"/>
        </w:rPr>
        <w:t xml:space="preserve">2018, </w:t>
      </w:r>
      <w:r w:rsidRPr="00612D85">
        <w:rPr>
          <w:rFonts w:ascii="Times New Roman" w:hAnsi="Times New Roman" w:cs="Times New Roman"/>
          <w:sz w:val="24"/>
          <w:szCs w:val="24"/>
        </w:rPr>
        <w:t xml:space="preserve">Patil </w:t>
      </w:r>
      <w:r w:rsidRPr="00612D85">
        <w:rPr>
          <w:rFonts w:ascii="Times New Roman" w:hAnsi="Times New Roman" w:cs="Times New Roman"/>
          <w:i/>
          <w:sz w:val="24"/>
          <w:szCs w:val="24"/>
        </w:rPr>
        <w:t>et al.</w:t>
      </w:r>
      <w:r w:rsidR="003B6628">
        <w:rPr>
          <w:rFonts w:ascii="Times New Roman" w:hAnsi="Times New Roman" w:cs="Times New Roman"/>
          <w:i/>
          <w:sz w:val="24"/>
          <w:szCs w:val="24"/>
        </w:rPr>
        <w:t>,</w:t>
      </w:r>
      <w:r w:rsidRPr="00612D85">
        <w:rPr>
          <w:rFonts w:ascii="Times New Roman" w:hAnsi="Times New Roman" w:cs="Times New Roman"/>
          <w:sz w:val="24"/>
          <w:szCs w:val="24"/>
        </w:rPr>
        <w:t xml:space="preserve"> 2021). Hog Cholera (HC) is classified as a notifiable disease and formerly listed as a List A disease by WOAH (Old name OIE) and trans-boundary disease by FAO. The causative virus is a member of genus </w:t>
      </w:r>
      <w:proofErr w:type="spellStart"/>
      <w:r w:rsidRPr="00612D85">
        <w:rPr>
          <w:rFonts w:ascii="Times New Roman" w:hAnsi="Times New Roman" w:cs="Times New Roman"/>
          <w:sz w:val="24"/>
          <w:szCs w:val="24"/>
        </w:rPr>
        <w:t>Pestivirus</w:t>
      </w:r>
      <w:proofErr w:type="spellEnd"/>
      <w:r w:rsidRPr="00612D85">
        <w:rPr>
          <w:rFonts w:ascii="Times New Roman" w:hAnsi="Times New Roman" w:cs="Times New Roman"/>
          <w:sz w:val="24"/>
          <w:szCs w:val="24"/>
        </w:rPr>
        <w:t xml:space="preserve"> of the family </w:t>
      </w:r>
      <w:r w:rsidRPr="00612D85">
        <w:rPr>
          <w:rFonts w:ascii="Times New Roman" w:hAnsi="Times New Roman" w:cs="Times New Roman"/>
          <w:i/>
          <w:iCs/>
          <w:sz w:val="24"/>
          <w:szCs w:val="24"/>
        </w:rPr>
        <w:t>Flaviviridae</w:t>
      </w:r>
      <w:r w:rsidRPr="00612D85">
        <w:rPr>
          <w:rFonts w:ascii="Times New Roman" w:hAnsi="Times New Roman" w:cs="Times New Roman"/>
          <w:sz w:val="24"/>
          <w:szCs w:val="24"/>
        </w:rPr>
        <w:t xml:space="preserve"> (</w:t>
      </w:r>
      <w:r w:rsidR="009974C2">
        <w:rPr>
          <w:rFonts w:ascii="Times New Roman" w:hAnsi="Times New Roman" w:cs="Times New Roman"/>
          <w:sz w:val="24"/>
          <w:szCs w:val="24"/>
        </w:rPr>
        <w:t>Sim</w:t>
      </w:r>
      <w:r w:rsidR="00FA3512">
        <w:rPr>
          <w:rFonts w:ascii="Times New Roman" w:hAnsi="Times New Roman" w:cs="Times New Roman"/>
          <w:sz w:val="24"/>
          <w:szCs w:val="24"/>
        </w:rPr>
        <w:t>m</w:t>
      </w:r>
      <w:r w:rsidR="009974C2">
        <w:rPr>
          <w:rFonts w:ascii="Times New Roman" w:hAnsi="Times New Roman" w:cs="Times New Roman"/>
          <w:sz w:val="24"/>
          <w:szCs w:val="24"/>
        </w:rPr>
        <w:t>on</w:t>
      </w:r>
      <w:r w:rsidR="00FA3512">
        <w:rPr>
          <w:rFonts w:ascii="Times New Roman" w:hAnsi="Times New Roman" w:cs="Times New Roman"/>
          <w:sz w:val="24"/>
          <w:szCs w:val="24"/>
        </w:rPr>
        <w:t>ds</w:t>
      </w:r>
      <w:r w:rsidRPr="00612D85">
        <w:rPr>
          <w:rFonts w:ascii="Times New Roman" w:hAnsi="Times New Roman" w:cs="Times New Roman"/>
          <w:sz w:val="24"/>
          <w:szCs w:val="24"/>
        </w:rPr>
        <w:t xml:space="preserve"> </w:t>
      </w:r>
      <w:r w:rsidRPr="00612D85">
        <w:rPr>
          <w:rFonts w:ascii="Times New Roman" w:hAnsi="Times New Roman" w:cs="Times New Roman"/>
          <w:i/>
          <w:iCs/>
          <w:sz w:val="24"/>
          <w:szCs w:val="24"/>
        </w:rPr>
        <w:t>et al;</w:t>
      </w:r>
      <w:r w:rsidRPr="00612D85">
        <w:rPr>
          <w:rFonts w:ascii="Times New Roman" w:hAnsi="Times New Roman" w:cs="Times New Roman"/>
          <w:sz w:val="24"/>
          <w:szCs w:val="24"/>
        </w:rPr>
        <w:t xml:space="preserve"> </w:t>
      </w:r>
      <w:r w:rsidR="00FA3512">
        <w:rPr>
          <w:rFonts w:ascii="Times New Roman" w:hAnsi="Times New Roman" w:cs="Times New Roman"/>
          <w:sz w:val="24"/>
          <w:szCs w:val="24"/>
        </w:rPr>
        <w:t>2017</w:t>
      </w:r>
      <w:r w:rsidRPr="00612D85">
        <w:rPr>
          <w:rFonts w:ascii="Times New Roman" w:hAnsi="Times New Roman" w:cs="Times New Roman"/>
          <w:sz w:val="24"/>
          <w:szCs w:val="24"/>
        </w:rPr>
        <w:t xml:space="preserve">). The virus gets entry through </w:t>
      </w:r>
      <w:proofErr w:type="spellStart"/>
      <w:r w:rsidRPr="00612D85">
        <w:rPr>
          <w:rFonts w:ascii="Times New Roman" w:hAnsi="Times New Roman" w:cs="Times New Roman"/>
          <w:sz w:val="24"/>
          <w:szCs w:val="24"/>
        </w:rPr>
        <w:t>oro</w:t>
      </w:r>
      <w:proofErr w:type="spellEnd"/>
      <w:r w:rsidRPr="00612D85">
        <w:rPr>
          <w:rFonts w:ascii="Times New Roman" w:hAnsi="Times New Roman" w:cs="Times New Roman"/>
          <w:sz w:val="24"/>
          <w:szCs w:val="24"/>
        </w:rPr>
        <w:t>-nasal route and localizes in tonsil, from where it disseminate to other target organs through lymphocytes. The disease has several forms (acute, subacute and chronic forms) apart from its classical form</w:t>
      </w:r>
      <w:r w:rsidR="00FF14FB">
        <w:rPr>
          <w:rFonts w:ascii="Times New Roman" w:hAnsi="Times New Roman" w:cs="Times New Roman"/>
          <w:sz w:val="24"/>
          <w:szCs w:val="24"/>
        </w:rPr>
        <w:t xml:space="preserve"> (Sarma </w:t>
      </w:r>
      <w:r w:rsidR="00FF14FB" w:rsidRPr="00FF14FB">
        <w:rPr>
          <w:rFonts w:ascii="Times New Roman" w:hAnsi="Times New Roman" w:cs="Times New Roman"/>
          <w:i/>
          <w:sz w:val="24"/>
          <w:szCs w:val="24"/>
        </w:rPr>
        <w:t>et al</w:t>
      </w:r>
      <w:r w:rsidR="00FF14FB">
        <w:rPr>
          <w:rFonts w:ascii="Times New Roman" w:hAnsi="Times New Roman" w:cs="Times New Roman"/>
          <w:sz w:val="24"/>
          <w:szCs w:val="24"/>
        </w:rPr>
        <w:t>; 2008</w:t>
      </w:r>
      <w:r w:rsidR="008A2E82">
        <w:rPr>
          <w:rFonts w:ascii="Times New Roman" w:hAnsi="Times New Roman" w:cs="Times New Roman"/>
          <w:sz w:val="24"/>
          <w:szCs w:val="24"/>
        </w:rPr>
        <w:t>;</w:t>
      </w:r>
      <w:r w:rsidR="00DB6411">
        <w:rPr>
          <w:rFonts w:ascii="Times New Roman" w:hAnsi="Times New Roman" w:cs="Times New Roman"/>
          <w:sz w:val="24"/>
          <w:szCs w:val="24"/>
        </w:rPr>
        <w:t xml:space="preserve"> </w:t>
      </w:r>
      <w:r w:rsidR="00DB6411" w:rsidRPr="009A2E25">
        <w:rPr>
          <w:rFonts w:ascii="Times New Roman" w:hAnsi="Times New Roman" w:cs="Times New Roman"/>
          <w:sz w:val="24"/>
          <w:szCs w:val="24"/>
        </w:rPr>
        <w:t>Khairullah</w:t>
      </w:r>
      <w:r w:rsidR="00DB6411">
        <w:rPr>
          <w:rFonts w:ascii="Times New Roman" w:hAnsi="Times New Roman" w:cs="Times New Roman"/>
          <w:sz w:val="24"/>
          <w:szCs w:val="24"/>
        </w:rPr>
        <w:t xml:space="preserve"> </w:t>
      </w:r>
      <w:r w:rsidR="00DB6411" w:rsidRPr="008A2E82">
        <w:rPr>
          <w:rFonts w:ascii="Times New Roman" w:hAnsi="Times New Roman" w:cs="Times New Roman"/>
          <w:i/>
          <w:iCs/>
          <w:sz w:val="24"/>
          <w:szCs w:val="24"/>
        </w:rPr>
        <w:t>et al.,</w:t>
      </w:r>
      <w:r w:rsidR="00DB6411">
        <w:rPr>
          <w:rFonts w:ascii="Times New Roman" w:hAnsi="Times New Roman" w:cs="Times New Roman"/>
          <w:sz w:val="24"/>
          <w:szCs w:val="24"/>
        </w:rPr>
        <w:t xml:space="preserve"> 2024</w:t>
      </w:r>
      <w:r w:rsidR="00FF14FB">
        <w:rPr>
          <w:rFonts w:ascii="Times New Roman" w:hAnsi="Times New Roman" w:cs="Times New Roman"/>
          <w:sz w:val="24"/>
          <w:szCs w:val="24"/>
        </w:rPr>
        <w:t>)</w:t>
      </w:r>
      <w:r w:rsidRPr="00612D85">
        <w:rPr>
          <w:rFonts w:ascii="Times New Roman" w:hAnsi="Times New Roman" w:cs="Times New Roman"/>
          <w:sz w:val="24"/>
          <w:szCs w:val="24"/>
        </w:rPr>
        <w:t>. The milder form develops with a typical and less dramatic clinical signs with lower mortality rate. The chronic form causes reproductive disorders and birth of congenitally affected piglets (</w:t>
      </w:r>
      <w:r w:rsidR="005B331D" w:rsidRPr="00ED34BE">
        <w:rPr>
          <w:rFonts w:ascii="Times New Roman" w:hAnsi="Times New Roman" w:cs="Times New Roman"/>
          <w:sz w:val="24"/>
          <w:szCs w:val="24"/>
        </w:rPr>
        <w:t>Lamothe-Reyes</w:t>
      </w:r>
      <w:r w:rsidR="005B331D">
        <w:rPr>
          <w:rFonts w:ascii="Times New Roman" w:hAnsi="Times New Roman" w:cs="Times New Roman"/>
          <w:sz w:val="24"/>
          <w:szCs w:val="24"/>
        </w:rPr>
        <w:t xml:space="preserve"> </w:t>
      </w:r>
      <w:r w:rsidR="005B331D" w:rsidRPr="005B331D">
        <w:rPr>
          <w:rFonts w:ascii="Times New Roman" w:hAnsi="Times New Roman" w:cs="Times New Roman"/>
          <w:i/>
          <w:iCs/>
          <w:sz w:val="24"/>
          <w:szCs w:val="24"/>
        </w:rPr>
        <w:t>et al.,</w:t>
      </w:r>
      <w:r w:rsidR="005B331D">
        <w:rPr>
          <w:rFonts w:ascii="Times New Roman" w:hAnsi="Times New Roman" w:cs="Times New Roman"/>
          <w:sz w:val="24"/>
          <w:szCs w:val="24"/>
        </w:rPr>
        <w:t xml:space="preserve"> 2023</w:t>
      </w:r>
      <w:r w:rsidRPr="00612D85">
        <w:rPr>
          <w:rFonts w:ascii="Times New Roman" w:hAnsi="Times New Roman" w:cs="Times New Roman"/>
          <w:sz w:val="24"/>
          <w:szCs w:val="24"/>
        </w:rPr>
        <w:t xml:space="preserve">). Laboratory diagnosis is the best choice to confirm the Hog Cholera Disease. Detection of virus in whole blood and of antibodies in serum are the method choice for diagnosing Hog Cholera in live pigs whereas detection of Hog Cholera Viral (HCV) antigen in organ sample is the most suitable in dead pigs. Routinely used laboratory tests were successfully used to detect and titrates antigen or antibody against Hog Cholera Virus. The present study describes the outbreaks of CSF in different parts of North-Eastern region (NER) of India and the techniques used for detecting the HCV from clinical, post mortem as well as propagated cell cultured samples. </w:t>
      </w:r>
    </w:p>
    <w:p w14:paraId="6D4A6897" w14:textId="77777777" w:rsidR="004008F9" w:rsidRPr="00612D85" w:rsidRDefault="004008F9" w:rsidP="004008F9">
      <w:pPr>
        <w:spacing w:line="360" w:lineRule="auto"/>
        <w:jc w:val="both"/>
        <w:rPr>
          <w:rFonts w:ascii="Times New Roman" w:hAnsi="Times New Roman" w:cs="Times New Roman"/>
          <w:b/>
          <w:sz w:val="24"/>
          <w:szCs w:val="24"/>
        </w:rPr>
      </w:pPr>
      <w:r w:rsidRPr="00612D85">
        <w:rPr>
          <w:rFonts w:ascii="Times New Roman" w:hAnsi="Times New Roman" w:cs="Times New Roman"/>
          <w:b/>
          <w:sz w:val="24"/>
          <w:szCs w:val="24"/>
        </w:rPr>
        <w:t>MATERIAL AND METHODS</w:t>
      </w:r>
    </w:p>
    <w:p w14:paraId="5A9B4EFB" w14:textId="391C58F3" w:rsidR="004008F9" w:rsidRDefault="004008F9" w:rsidP="004527AB">
      <w:pPr>
        <w:pStyle w:val="NormalWeb"/>
        <w:spacing w:line="360" w:lineRule="auto"/>
        <w:jc w:val="both"/>
      </w:pPr>
      <w:r w:rsidRPr="00612D85">
        <w:tab/>
        <w:t xml:space="preserve">All the samples were collected from suspected pigs reared in organized as well unorganized farms of NER of India. From clinically affected pigs approximately 5 ml blood was collected in anticoagulant (1 drop of 10% EDTA solution) added sterile centrifuge tube and </w:t>
      </w:r>
      <w:r w:rsidRPr="00612D85">
        <w:lastRenderedPageBreak/>
        <w:t>processed in the laboratory for separation of buffy coat following the method described in the</w:t>
      </w:r>
      <w:r>
        <w:t xml:space="preserve"> </w:t>
      </w:r>
      <w:r w:rsidRPr="00612D85">
        <w:t>European Union Diagnostic Manual (</w:t>
      </w:r>
      <w:r w:rsidR="00FE514A" w:rsidRPr="004527AB">
        <w:t>European Commission</w:t>
      </w:r>
      <w:r w:rsidRPr="00612D85">
        <w:t>; 2002). Pigs died of suspected Hog Cholera Virus were subjected to postmortem examination and samples (Kidney, MLN, spleen and tonsil) of approximately 8x8 cm size were collected without using any preservatives and brought to the laboratory in ice container. For preparation of cryo-section 2x2 cm size tissue samples were cut and snapped frozen in liquid Nitrogen for FAT test. Hog Cholera Virus antigen was detected in clinical as well as postmortem samples by fluorescent antibody techniques (FAT) as per the method described in the European Union Diagnostic Manual (</w:t>
      </w:r>
      <w:r w:rsidR="00816290">
        <w:t>EC</w:t>
      </w:r>
      <w:r w:rsidRPr="00612D85">
        <w:t xml:space="preserve">; 2002), sandwich ELISA (S-ELISA) as per the method described by Sarma and Sarma (1996) and Agar gel precipitation test (AGPT) by </w:t>
      </w:r>
      <w:r w:rsidR="00AF7F6F">
        <w:t>Nandi et al., 2011</w:t>
      </w:r>
      <w:r w:rsidR="003B6628">
        <w:t>.</w:t>
      </w:r>
      <w:r w:rsidRPr="00612D85">
        <w:t xml:space="preserve"> </w:t>
      </w:r>
    </w:p>
    <w:p w14:paraId="1331E334" w14:textId="5FA0E5BB" w:rsidR="004008F9" w:rsidRPr="00612D85" w:rsidRDefault="004008F9" w:rsidP="004527AB">
      <w:pPr>
        <w:spacing w:line="360" w:lineRule="auto"/>
        <w:ind w:firstLine="720"/>
        <w:jc w:val="both"/>
        <w:rPr>
          <w:rFonts w:ascii="Times New Roman" w:hAnsi="Times New Roman" w:cs="Times New Roman"/>
          <w:sz w:val="24"/>
          <w:szCs w:val="24"/>
        </w:rPr>
      </w:pPr>
      <w:r w:rsidRPr="00612D85">
        <w:rPr>
          <w:rFonts w:ascii="Times New Roman" w:hAnsi="Times New Roman" w:cs="Times New Roman"/>
          <w:sz w:val="24"/>
          <w:szCs w:val="24"/>
        </w:rPr>
        <w:t xml:space="preserve">Field samples were processed for isolation of HCV in cell culture for that PK 15 cell line was obtained from National Center Cell Science (NCCS) Pune, India. The virus was isolated in PK 15 established cell line. Propagated Hog Cholera Virus in cell culture was detected by direct FAT and S-ELISA test. For FAT test four </w:t>
      </w:r>
      <w:proofErr w:type="spellStart"/>
      <w:r w:rsidRPr="00612D85">
        <w:rPr>
          <w:rFonts w:ascii="Times New Roman" w:hAnsi="Times New Roman" w:cs="Times New Roman"/>
          <w:sz w:val="24"/>
          <w:szCs w:val="24"/>
        </w:rPr>
        <w:t>cytospots</w:t>
      </w:r>
      <w:proofErr w:type="spellEnd"/>
      <w:r w:rsidRPr="00612D85">
        <w:rPr>
          <w:rFonts w:ascii="Times New Roman" w:hAnsi="Times New Roman" w:cs="Times New Roman"/>
          <w:sz w:val="24"/>
          <w:szCs w:val="24"/>
        </w:rPr>
        <w:t xml:space="preserve"> were prepared from each blood samples and 5 to 6 µ sized tissue section were prepared in cryostat machine and fixed in chilled acetone (-20</w:t>
      </w:r>
      <w:r w:rsidRPr="00612D85">
        <w:rPr>
          <w:rFonts w:ascii="Times New Roman" w:hAnsi="Times New Roman" w:cs="Times New Roman"/>
          <w:sz w:val="24"/>
          <w:szCs w:val="24"/>
          <w:vertAlign w:val="superscript"/>
        </w:rPr>
        <w:t>o</w:t>
      </w:r>
      <w:r w:rsidRPr="00612D85">
        <w:rPr>
          <w:rFonts w:ascii="Times New Roman" w:hAnsi="Times New Roman" w:cs="Times New Roman"/>
          <w:sz w:val="24"/>
          <w:szCs w:val="24"/>
        </w:rPr>
        <w:t xml:space="preserve">C) for 10 minutes. Both </w:t>
      </w:r>
      <w:proofErr w:type="spellStart"/>
      <w:r w:rsidRPr="00612D85">
        <w:rPr>
          <w:rFonts w:ascii="Times New Roman" w:hAnsi="Times New Roman" w:cs="Times New Roman"/>
          <w:sz w:val="24"/>
          <w:szCs w:val="24"/>
        </w:rPr>
        <w:t>cytospots</w:t>
      </w:r>
      <w:proofErr w:type="spellEnd"/>
      <w:r w:rsidRPr="00612D85">
        <w:rPr>
          <w:rFonts w:ascii="Times New Roman" w:hAnsi="Times New Roman" w:cs="Times New Roman"/>
          <w:sz w:val="24"/>
          <w:szCs w:val="24"/>
        </w:rPr>
        <w:t xml:space="preserve"> and tissue </w:t>
      </w:r>
      <w:proofErr w:type="spellStart"/>
      <w:r w:rsidRPr="00612D85">
        <w:rPr>
          <w:rFonts w:ascii="Times New Roman" w:hAnsi="Times New Roman" w:cs="Times New Roman"/>
          <w:sz w:val="24"/>
          <w:szCs w:val="24"/>
        </w:rPr>
        <w:t>cryo</w:t>
      </w:r>
      <w:proofErr w:type="spellEnd"/>
      <w:r w:rsidRPr="00612D85">
        <w:rPr>
          <w:rFonts w:ascii="Times New Roman" w:hAnsi="Times New Roman" w:cs="Times New Roman"/>
          <w:sz w:val="24"/>
          <w:szCs w:val="24"/>
        </w:rPr>
        <w:t xml:space="preserve"> sections were used for detection of HCV antigen with the help of 50 µl pig anti HCV FITC conjugate (1:10 dilution) and fluorescent microscope (Karl Zeiss, Germany). Cells exhibiting bright green fluorescence were identified as virus infected cell. For S-ELISA test leucocytes from blood samples and 20% tissues homogenate in sterile PBS were prepared. Rabbit anti HCV antibody </w:t>
      </w:r>
      <w:r w:rsidR="00B80720" w:rsidRPr="00612D85">
        <w:rPr>
          <w:rFonts w:ascii="Times New Roman" w:hAnsi="Times New Roman" w:cs="Times New Roman"/>
          <w:sz w:val="24"/>
          <w:szCs w:val="24"/>
        </w:rPr>
        <w:t>was</w:t>
      </w:r>
      <w:r w:rsidRPr="00612D85">
        <w:rPr>
          <w:rFonts w:ascii="Times New Roman" w:hAnsi="Times New Roman" w:cs="Times New Roman"/>
          <w:sz w:val="24"/>
          <w:szCs w:val="24"/>
        </w:rPr>
        <w:t xml:space="preserve"> raised in two New Zealand white adult rabbit by injecting one ml Freund’s completes adjuvant (Sigma Chemical Laboratory, USA) emulsified lapinised HCV vaccine (IVRI, Izatnagar) on </w:t>
      </w:r>
      <w:r w:rsidR="0001476E">
        <w:rPr>
          <w:rFonts w:ascii="Times New Roman" w:hAnsi="Times New Roman" w:cs="Times New Roman"/>
          <w:sz w:val="24"/>
          <w:szCs w:val="24"/>
        </w:rPr>
        <w:t>0</w:t>
      </w:r>
      <w:r w:rsidRPr="00612D85">
        <w:rPr>
          <w:rFonts w:ascii="Times New Roman" w:hAnsi="Times New Roman" w:cs="Times New Roman"/>
          <w:sz w:val="24"/>
          <w:szCs w:val="24"/>
          <w:vertAlign w:val="superscript"/>
        </w:rPr>
        <w:t>th</w:t>
      </w:r>
      <w:r w:rsidRPr="00612D85">
        <w:rPr>
          <w:rFonts w:ascii="Times New Roman" w:hAnsi="Times New Roman" w:cs="Times New Roman"/>
          <w:sz w:val="24"/>
          <w:szCs w:val="24"/>
        </w:rPr>
        <w:t>, 10</w:t>
      </w:r>
      <w:r w:rsidRPr="00612D85">
        <w:rPr>
          <w:rFonts w:ascii="Times New Roman" w:hAnsi="Times New Roman" w:cs="Times New Roman"/>
          <w:sz w:val="24"/>
          <w:szCs w:val="24"/>
          <w:vertAlign w:val="superscript"/>
        </w:rPr>
        <w:t>th</w:t>
      </w:r>
      <w:r w:rsidRPr="00612D85">
        <w:rPr>
          <w:rFonts w:ascii="Times New Roman" w:hAnsi="Times New Roman" w:cs="Times New Roman"/>
          <w:sz w:val="24"/>
          <w:szCs w:val="24"/>
        </w:rPr>
        <w:t xml:space="preserve"> and 30</w:t>
      </w:r>
      <w:r w:rsidRPr="00612D85">
        <w:rPr>
          <w:rFonts w:ascii="Times New Roman" w:hAnsi="Times New Roman" w:cs="Times New Roman"/>
          <w:sz w:val="24"/>
          <w:szCs w:val="24"/>
          <w:vertAlign w:val="superscript"/>
        </w:rPr>
        <w:t>th</w:t>
      </w:r>
      <w:r w:rsidRPr="00612D85">
        <w:rPr>
          <w:rFonts w:ascii="Times New Roman" w:hAnsi="Times New Roman" w:cs="Times New Roman"/>
          <w:sz w:val="24"/>
          <w:szCs w:val="24"/>
        </w:rPr>
        <w:t xml:space="preserve"> day post primary injection. The antibody titre of the serum was detected by indirect ELISA (Sarma and Sarma 1998). Hyper immune serum showed more than 1000 ELISA titre was aliquoted in 1 ml vial for S-ELISA test. Pig anti HCV antibody raised by injecting 1 ml intramuscularly emulsified lapinised Hog Cholera Vaccine in pigs by the same method as described in the rabbit. Hyper Immune Sera sowing &gt; 500 ELISA titre were aliquoted in 1 ml vial for S-ELISA test. For staining Ager gel slides, 0.1% Coomassie brilliant blue stain was used and precipitation band were recorded. Data obtained from the study were analyzed statistically as per the method described by Snedecor and Cochran 1994.</w:t>
      </w:r>
    </w:p>
    <w:p w14:paraId="7BE60A91" w14:textId="77777777" w:rsidR="004008F9" w:rsidRDefault="004008F9" w:rsidP="004008F9">
      <w:pPr>
        <w:spacing w:line="360" w:lineRule="auto"/>
        <w:jc w:val="both"/>
        <w:rPr>
          <w:rFonts w:ascii="Times New Roman" w:hAnsi="Times New Roman" w:cs="Times New Roman"/>
          <w:b/>
          <w:sz w:val="24"/>
          <w:szCs w:val="24"/>
        </w:rPr>
      </w:pPr>
    </w:p>
    <w:p w14:paraId="43306439" w14:textId="77777777" w:rsidR="004008F9" w:rsidRDefault="004008F9" w:rsidP="004008F9">
      <w:pPr>
        <w:spacing w:line="360" w:lineRule="auto"/>
        <w:jc w:val="both"/>
        <w:rPr>
          <w:rFonts w:ascii="Times New Roman" w:hAnsi="Times New Roman" w:cs="Times New Roman"/>
          <w:b/>
          <w:sz w:val="24"/>
          <w:szCs w:val="24"/>
        </w:rPr>
        <w:sectPr w:rsidR="004008F9" w:rsidSect="000445B9">
          <w:headerReference w:type="even" r:id="rId7"/>
          <w:headerReference w:type="default" r:id="rId8"/>
          <w:footerReference w:type="even" r:id="rId9"/>
          <w:footerReference w:type="default" r:id="rId10"/>
          <w:headerReference w:type="first" r:id="rId11"/>
          <w:footerReference w:type="first" r:id="rId12"/>
          <w:pgSz w:w="12240" w:h="15840"/>
          <w:pgMar w:top="851" w:right="1440" w:bottom="1440" w:left="1440" w:header="720" w:footer="720" w:gutter="0"/>
          <w:cols w:space="720"/>
          <w:docGrid w:linePitch="360"/>
        </w:sectPr>
      </w:pPr>
    </w:p>
    <w:p w14:paraId="3281A8D0" w14:textId="77777777" w:rsidR="004008F9" w:rsidRDefault="004008F9" w:rsidP="004008F9">
      <w:pPr>
        <w:spacing w:line="360" w:lineRule="auto"/>
        <w:jc w:val="both"/>
        <w:rPr>
          <w:rFonts w:ascii="Times New Roman" w:hAnsi="Times New Roman" w:cs="Times New Roman"/>
          <w:b/>
          <w:sz w:val="24"/>
          <w:szCs w:val="24"/>
        </w:rPr>
      </w:pPr>
    </w:p>
    <w:p w14:paraId="3335FFB1" w14:textId="77777777" w:rsidR="004008F9" w:rsidRPr="00CF0FEB" w:rsidRDefault="004008F9" w:rsidP="004008F9">
      <w:pPr>
        <w:spacing w:line="360" w:lineRule="auto"/>
        <w:jc w:val="both"/>
        <w:rPr>
          <w:rFonts w:ascii="Times New Roman" w:hAnsi="Times New Roman" w:cs="Times New Roman"/>
          <w:b/>
          <w:sz w:val="24"/>
          <w:szCs w:val="24"/>
        </w:rPr>
      </w:pPr>
      <w:r w:rsidRPr="00CF0FEB">
        <w:rPr>
          <w:rFonts w:ascii="Times New Roman" w:hAnsi="Times New Roman" w:cs="Times New Roman"/>
          <w:b/>
          <w:sz w:val="24"/>
          <w:szCs w:val="24"/>
        </w:rPr>
        <w:t>RESULT AND DISCUSSION</w:t>
      </w:r>
    </w:p>
    <w:p w14:paraId="399EF1C2" w14:textId="77777777" w:rsidR="004008F9" w:rsidRDefault="004008F9" w:rsidP="004008F9">
      <w:pPr>
        <w:pStyle w:val="BodyText2"/>
        <w:spacing w:line="360" w:lineRule="auto"/>
        <w:jc w:val="both"/>
        <w:rPr>
          <w:rFonts w:ascii="Times New Roman" w:hAnsi="Times New Roman" w:cs="Times New Roman"/>
          <w:sz w:val="24"/>
          <w:szCs w:val="24"/>
        </w:rPr>
      </w:pPr>
      <w:r w:rsidRPr="00612D85">
        <w:rPr>
          <w:rFonts w:ascii="Times New Roman" w:hAnsi="Times New Roman" w:cs="Times New Roman"/>
          <w:b/>
          <w:sz w:val="24"/>
          <w:szCs w:val="24"/>
        </w:rPr>
        <w:t xml:space="preserve"> </w:t>
      </w:r>
      <w:r w:rsidRPr="00612D85">
        <w:rPr>
          <w:rFonts w:ascii="Times New Roman" w:hAnsi="Times New Roman" w:cs="Times New Roman"/>
          <w:sz w:val="24"/>
          <w:szCs w:val="24"/>
        </w:rPr>
        <w:t>Altogether 9 outbreaks were recorded from different places of Assam, Arunachal Pradesh and Meghalaya states of North Eastern region during the study period and 120 affected pigs of different age groups were examined. Location of outbreaks and number of animals affected are shown in table-1. Clinical symptoms exhibited by pigs of different age groups naturally infected with hog cholera disease are shown in table-2.</w:t>
      </w:r>
    </w:p>
    <w:p w14:paraId="1154C818" w14:textId="6D6EC369" w:rsidR="00611AEB" w:rsidRPr="003761A1" w:rsidRDefault="00611AEB" w:rsidP="00611AEB">
      <w:pPr>
        <w:pStyle w:val="BodyText2"/>
        <w:spacing w:line="240" w:lineRule="auto"/>
        <w:ind w:left="1309" w:hanging="1309"/>
        <w:rPr>
          <w:rFonts w:ascii="Times New Roman" w:hAnsi="Times New Roman" w:cs="Times New Roman"/>
        </w:rPr>
      </w:pPr>
      <w:r w:rsidRPr="003761A1">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0AB7802" wp14:editId="3AE7C216">
                <wp:simplePos x="0" y="0"/>
                <wp:positionH relativeFrom="column">
                  <wp:posOffset>8440420</wp:posOffset>
                </wp:positionH>
                <wp:positionV relativeFrom="paragraph">
                  <wp:posOffset>-822960</wp:posOffset>
                </wp:positionV>
                <wp:extent cx="356235" cy="457200"/>
                <wp:effectExtent l="1270" t="0" r="4445" b="3810"/>
                <wp:wrapThrough wrapText="bothSides">
                  <wp:wrapPolygon edited="0">
                    <wp:start x="-578" y="0"/>
                    <wp:lineTo x="-578" y="21600"/>
                    <wp:lineTo x="22178" y="21600"/>
                    <wp:lineTo x="22178" y="0"/>
                    <wp:lineTo x="-578" y="0"/>
                  </wp:wrapPolygon>
                </wp:wrapThrough>
                <wp:docPr id="3510627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49AFA" id="Rectangle 3" o:spid="_x0000_s1026" style="position:absolute;margin-left:664.6pt;margin-top:-64.8pt;width:28.0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" stroked="f">
                <w10:wrap type="through"/>
              </v:rect>
            </w:pict>
          </mc:Fallback>
        </mc:AlternateContent>
      </w:r>
      <w:r w:rsidRPr="003761A1">
        <w:rPr>
          <w:rFonts w:ascii="Times New Roman" w:hAnsi="Times New Roman" w:cs="Times New Roman"/>
        </w:rPr>
        <w:t xml:space="preserve">TABLE 1. OUTBREAKS OF HOG CHOLERA RECORDED IN DIFFERENT PARTS OF THE NORTH EASTERN REGION OF INDIA </w:t>
      </w:r>
    </w:p>
    <w:p w14:paraId="7C8CFC35" w14:textId="77777777" w:rsidR="00611AEB" w:rsidRPr="003761A1" w:rsidRDefault="00611AEB" w:rsidP="00611AEB">
      <w:pPr>
        <w:pStyle w:val="BodyText2"/>
        <w:spacing w:line="240" w:lineRule="auto"/>
        <w:rPr>
          <w:rFonts w:ascii="Times New Roman" w:hAnsi="Times New Roman" w:cs="Times New Roman"/>
        </w:rPr>
      </w:pPr>
    </w:p>
    <w:tbl>
      <w:tblPr>
        <w:tblW w:w="13759" w:type="dxa"/>
        <w:tblLayout w:type="fixed"/>
        <w:tblLook w:val="0000" w:firstRow="0" w:lastRow="0" w:firstColumn="0" w:lastColumn="0" w:noHBand="0" w:noVBand="0"/>
      </w:tblPr>
      <w:tblGrid>
        <w:gridCol w:w="669"/>
        <w:gridCol w:w="3553"/>
        <w:gridCol w:w="1683"/>
        <w:gridCol w:w="2244"/>
        <w:gridCol w:w="1168"/>
        <w:gridCol w:w="1169"/>
        <w:gridCol w:w="1169"/>
        <w:gridCol w:w="1169"/>
        <w:gridCol w:w="935"/>
      </w:tblGrid>
      <w:tr w:rsidR="00611AEB" w:rsidRPr="003761A1" w14:paraId="0A46A907" w14:textId="77777777" w:rsidTr="005A3A31">
        <w:trPr>
          <w:cantSplit/>
          <w:trHeight w:val="475"/>
        </w:trPr>
        <w:tc>
          <w:tcPr>
            <w:tcW w:w="669" w:type="dxa"/>
            <w:vMerge w:val="restart"/>
            <w:tcBorders>
              <w:top w:val="single" w:sz="4" w:space="0" w:color="auto"/>
              <w:right w:val="single" w:sz="4" w:space="0" w:color="auto"/>
            </w:tcBorders>
            <w:vAlign w:val="center"/>
          </w:tcPr>
          <w:p w14:paraId="47B485FF" w14:textId="77777777" w:rsidR="00611AEB" w:rsidRPr="003761A1" w:rsidRDefault="00611AEB" w:rsidP="005A3A31">
            <w:pPr>
              <w:pStyle w:val="BodyText2"/>
              <w:spacing w:line="240" w:lineRule="auto"/>
              <w:jc w:val="center"/>
              <w:rPr>
                <w:rFonts w:ascii="Times New Roman" w:hAnsi="Times New Roman" w:cs="Times New Roman"/>
              </w:rPr>
            </w:pPr>
            <w:r w:rsidRPr="003761A1">
              <w:rPr>
                <w:rFonts w:ascii="Times New Roman" w:hAnsi="Times New Roman" w:cs="Times New Roman"/>
              </w:rPr>
              <w:t>Sl. No.</w:t>
            </w:r>
          </w:p>
        </w:tc>
        <w:tc>
          <w:tcPr>
            <w:tcW w:w="3553" w:type="dxa"/>
            <w:vMerge w:val="restart"/>
            <w:tcBorders>
              <w:top w:val="single" w:sz="4" w:space="0" w:color="auto"/>
              <w:left w:val="single" w:sz="4" w:space="0" w:color="auto"/>
              <w:right w:val="single" w:sz="4" w:space="0" w:color="auto"/>
            </w:tcBorders>
            <w:vAlign w:val="center"/>
          </w:tcPr>
          <w:p w14:paraId="73857481" w14:textId="77777777" w:rsidR="00611AEB" w:rsidRPr="003761A1" w:rsidRDefault="00611AEB" w:rsidP="005A3A31">
            <w:pPr>
              <w:pStyle w:val="BodyText2"/>
              <w:spacing w:line="240" w:lineRule="auto"/>
              <w:jc w:val="center"/>
              <w:rPr>
                <w:rFonts w:ascii="Times New Roman" w:hAnsi="Times New Roman" w:cs="Times New Roman"/>
              </w:rPr>
            </w:pPr>
            <w:r w:rsidRPr="003761A1">
              <w:rPr>
                <w:rFonts w:ascii="Times New Roman" w:hAnsi="Times New Roman" w:cs="Times New Roman"/>
              </w:rPr>
              <w:t>Places of outbreak</w:t>
            </w:r>
          </w:p>
        </w:tc>
        <w:tc>
          <w:tcPr>
            <w:tcW w:w="1683" w:type="dxa"/>
            <w:vMerge w:val="restart"/>
            <w:tcBorders>
              <w:top w:val="single" w:sz="4" w:space="0" w:color="auto"/>
              <w:left w:val="single" w:sz="4" w:space="0" w:color="auto"/>
              <w:right w:val="single" w:sz="4" w:space="0" w:color="auto"/>
            </w:tcBorders>
            <w:vAlign w:val="center"/>
          </w:tcPr>
          <w:p w14:paraId="61D37624" w14:textId="77777777" w:rsidR="00611AEB" w:rsidRPr="003761A1" w:rsidRDefault="00611AEB" w:rsidP="005A3A31">
            <w:pPr>
              <w:pStyle w:val="BodyText2"/>
              <w:spacing w:line="240" w:lineRule="auto"/>
              <w:jc w:val="center"/>
              <w:rPr>
                <w:rFonts w:ascii="Times New Roman" w:hAnsi="Times New Roman" w:cs="Times New Roman"/>
              </w:rPr>
            </w:pPr>
            <w:r w:rsidRPr="003761A1">
              <w:rPr>
                <w:rFonts w:ascii="Times New Roman" w:hAnsi="Times New Roman" w:cs="Times New Roman"/>
              </w:rPr>
              <w:t>Type of management</w:t>
            </w:r>
          </w:p>
        </w:tc>
        <w:tc>
          <w:tcPr>
            <w:tcW w:w="2244" w:type="dxa"/>
            <w:vMerge w:val="restart"/>
            <w:tcBorders>
              <w:top w:val="single" w:sz="4" w:space="0" w:color="auto"/>
              <w:left w:val="single" w:sz="4" w:space="0" w:color="auto"/>
              <w:right w:val="single" w:sz="4" w:space="0" w:color="auto"/>
            </w:tcBorders>
            <w:vAlign w:val="center"/>
          </w:tcPr>
          <w:p w14:paraId="086837E5" w14:textId="77777777" w:rsidR="00611AEB" w:rsidRPr="003761A1" w:rsidRDefault="00611AEB" w:rsidP="005A3A31">
            <w:pPr>
              <w:pStyle w:val="BodyText2"/>
              <w:spacing w:line="240" w:lineRule="auto"/>
              <w:jc w:val="center"/>
              <w:rPr>
                <w:rFonts w:ascii="Times New Roman" w:hAnsi="Times New Roman" w:cs="Times New Roman"/>
              </w:rPr>
            </w:pPr>
            <w:r w:rsidRPr="003761A1">
              <w:rPr>
                <w:rFonts w:ascii="Times New Roman" w:hAnsi="Times New Roman" w:cs="Times New Roman"/>
              </w:rPr>
              <w:t>Affected breed</w:t>
            </w:r>
          </w:p>
        </w:tc>
        <w:tc>
          <w:tcPr>
            <w:tcW w:w="5610" w:type="dxa"/>
            <w:gridSpan w:val="5"/>
            <w:tcBorders>
              <w:top w:val="single" w:sz="4" w:space="0" w:color="auto"/>
              <w:left w:val="single" w:sz="4" w:space="0" w:color="auto"/>
              <w:bottom w:val="single" w:sz="4" w:space="0" w:color="auto"/>
            </w:tcBorders>
            <w:vAlign w:val="center"/>
          </w:tcPr>
          <w:p w14:paraId="2135067D" w14:textId="77777777" w:rsidR="00611AEB" w:rsidRPr="003761A1" w:rsidRDefault="00611AEB" w:rsidP="005A3A31">
            <w:pPr>
              <w:pStyle w:val="BodyText2"/>
              <w:spacing w:line="240" w:lineRule="auto"/>
              <w:jc w:val="center"/>
              <w:rPr>
                <w:rFonts w:ascii="Times New Roman" w:hAnsi="Times New Roman" w:cs="Times New Roman"/>
              </w:rPr>
            </w:pPr>
            <w:r w:rsidRPr="003761A1">
              <w:rPr>
                <w:rFonts w:ascii="Times New Roman" w:hAnsi="Times New Roman" w:cs="Times New Roman"/>
              </w:rPr>
              <w:t>No. of affected pigs of different age groups (months)</w:t>
            </w:r>
          </w:p>
        </w:tc>
      </w:tr>
      <w:tr w:rsidR="00611AEB" w:rsidRPr="003761A1" w14:paraId="54CB6FF0" w14:textId="77777777" w:rsidTr="005A3A31">
        <w:trPr>
          <w:cantSplit/>
          <w:trHeight w:val="476"/>
        </w:trPr>
        <w:tc>
          <w:tcPr>
            <w:tcW w:w="669" w:type="dxa"/>
            <w:vMerge/>
            <w:tcBorders>
              <w:bottom w:val="single" w:sz="4" w:space="0" w:color="auto"/>
              <w:right w:val="single" w:sz="4" w:space="0" w:color="auto"/>
            </w:tcBorders>
            <w:vAlign w:val="center"/>
          </w:tcPr>
          <w:p w14:paraId="53CF2D2F" w14:textId="77777777" w:rsidR="00611AEB" w:rsidRPr="003761A1" w:rsidRDefault="00611AEB" w:rsidP="005A3A31">
            <w:pPr>
              <w:pStyle w:val="BodyText2"/>
              <w:spacing w:line="240" w:lineRule="auto"/>
              <w:jc w:val="center"/>
              <w:rPr>
                <w:rFonts w:ascii="Times New Roman" w:hAnsi="Times New Roman" w:cs="Times New Roman"/>
              </w:rPr>
            </w:pPr>
          </w:p>
        </w:tc>
        <w:tc>
          <w:tcPr>
            <w:tcW w:w="3553" w:type="dxa"/>
            <w:vMerge/>
            <w:tcBorders>
              <w:left w:val="single" w:sz="4" w:space="0" w:color="auto"/>
              <w:bottom w:val="single" w:sz="4" w:space="0" w:color="auto"/>
              <w:right w:val="single" w:sz="4" w:space="0" w:color="auto"/>
            </w:tcBorders>
            <w:vAlign w:val="center"/>
          </w:tcPr>
          <w:p w14:paraId="4E055464" w14:textId="77777777" w:rsidR="00611AEB" w:rsidRPr="003761A1" w:rsidRDefault="00611AEB" w:rsidP="005A3A31">
            <w:pPr>
              <w:pStyle w:val="BodyText2"/>
              <w:spacing w:line="240" w:lineRule="auto"/>
              <w:jc w:val="center"/>
              <w:rPr>
                <w:rFonts w:ascii="Times New Roman" w:hAnsi="Times New Roman" w:cs="Times New Roman"/>
              </w:rPr>
            </w:pPr>
          </w:p>
        </w:tc>
        <w:tc>
          <w:tcPr>
            <w:tcW w:w="1683" w:type="dxa"/>
            <w:vMerge/>
            <w:tcBorders>
              <w:left w:val="single" w:sz="4" w:space="0" w:color="auto"/>
              <w:bottom w:val="single" w:sz="4" w:space="0" w:color="auto"/>
              <w:right w:val="single" w:sz="4" w:space="0" w:color="auto"/>
            </w:tcBorders>
            <w:vAlign w:val="center"/>
          </w:tcPr>
          <w:p w14:paraId="3D8364E2" w14:textId="77777777" w:rsidR="00611AEB" w:rsidRPr="003761A1" w:rsidRDefault="00611AEB" w:rsidP="005A3A31">
            <w:pPr>
              <w:pStyle w:val="BodyText2"/>
              <w:spacing w:line="240" w:lineRule="auto"/>
              <w:jc w:val="center"/>
              <w:rPr>
                <w:rFonts w:ascii="Times New Roman" w:hAnsi="Times New Roman" w:cs="Times New Roman"/>
              </w:rPr>
            </w:pPr>
          </w:p>
        </w:tc>
        <w:tc>
          <w:tcPr>
            <w:tcW w:w="2244" w:type="dxa"/>
            <w:vMerge/>
            <w:tcBorders>
              <w:left w:val="single" w:sz="4" w:space="0" w:color="auto"/>
              <w:bottom w:val="single" w:sz="4" w:space="0" w:color="auto"/>
              <w:right w:val="single" w:sz="4" w:space="0" w:color="auto"/>
            </w:tcBorders>
            <w:vAlign w:val="center"/>
          </w:tcPr>
          <w:p w14:paraId="74C202CC" w14:textId="77777777" w:rsidR="00611AEB" w:rsidRPr="003761A1" w:rsidRDefault="00611AEB" w:rsidP="005A3A31">
            <w:pPr>
              <w:pStyle w:val="BodyText2"/>
              <w:spacing w:line="240" w:lineRule="auto"/>
              <w:jc w:val="center"/>
              <w:rPr>
                <w:rFonts w:ascii="Times New Roman" w:hAnsi="Times New Roman" w:cs="Times New Roman"/>
              </w:rPr>
            </w:pPr>
          </w:p>
        </w:tc>
        <w:tc>
          <w:tcPr>
            <w:tcW w:w="1168" w:type="dxa"/>
            <w:tcBorders>
              <w:top w:val="single" w:sz="4" w:space="0" w:color="auto"/>
              <w:left w:val="single" w:sz="4" w:space="0" w:color="auto"/>
              <w:bottom w:val="single" w:sz="4" w:space="0" w:color="auto"/>
              <w:right w:val="single" w:sz="4" w:space="0" w:color="auto"/>
            </w:tcBorders>
            <w:vAlign w:val="center"/>
          </w:tcPr>
          <w:p w14:paraId="51F23E00" w14:textId="77777777" w:rsidR="00611AEB" w:rsidRPr="003761A1" w:rsidRDefault="00611AEB" w:rsidP="005A3A31">
            <w:pPr>
              <w:pStyle w:val="BodyText2"/>
              <w:spacing w:line="240" w:lineRule="auto"/>
              <w:jc w:val="center"/>
              <w:rPr>
                <w:rFonts w:ascii="Times New Roman" w:hAnsi="Times New Roman" w:cs="Times New Roman"/>
              </w:rPr>
            </w:pPr>
            <w:r w:rsidRPr="003761A1">
              <w:rPr>
                <w:rFonts w:ascii="Times New Roman" w:hAnsi="Times New Roman" w:cs="Times New Roman"/>
              </w:rPr>
              <w:t>0-2</w:t>
            </w:r>
          </w:p>
        </w:tc>
        <w:tc>
          <w:tcPr>
            <w:tcW w:w="1169" w:type="dxa"/>
            <w:tcBorders>
              <w:top w:val="single" w:sz="4" w:space="0" w:color="auto"/>
              <w:left w:val="single" w:sz="4" w:space="0" w:color="auto"/>
              <w:bottom w:val="single" w:sz="4" w:space="0" w:color="auto"/>
              <w:right w:val="single" w:sz="4" w:space="0" w:color="auto"/>
            </w:tcBorders>
            <w:vAlign w:val="center"/>
          </w:tcPr>
          <w:p w14:paraId="5541636F" w14:textId="77777777" w:rsidR="00611AEB" w:rsidRPr="003761A1" w:rsidRDefault="00611AEB" w:rsidP="005A3A31">
            <w:pPr>
              <w:pStyle w:val="BodyText2"/>
              <w:spacing w:line="240" w:lineRule="auto"/>
              <w:jc w:val="center"/>
              <w:rPr>
                <w:rFonts w:ascii="Times New Roman" w:hAnsi="Times New Roman" w:cs="Times New Roman"/>
              </w:rPr>
            </w:pPr>
            <w:r w:rsidRPr="003761A1">
              <w:rPr>
                <w:rFonts w:ascii="Times New Roman" w:hAnsi="Times New Roman" w:cs="Times New Roman"/>
              </w:rPr>
              <w:t>2-4</w:t>
            </w:r>
          </w:p>
        </w:tc>
        <w:tc>
          <w:tcPr>
            <w:tcW w:w="1169" w:type="dxa"/>
            <w:tcBorders>
              <w:top w:val="single" w:sz="4" w:space="0" w:color="auto"/>
              <w:left w:val="single" w:sz="4" w:space="0" w:color="auto"/>
              <w:bottom w:val="single" w:sz="4" w:space="0" w:color="auto"/>
              <w:right w:val="single" w:sz="4" w:space="0" w:color="auto"/>
            </w:tcBorders>
            <w:vAlign w:val="center"/>
          </w:tcPr>
          <w:p w14:paraId="48908692" w14:textId="77777777" w:rsidR="00611AEB" w:rsidRPr="003761A1" w:rsidRDefault="00611AEB" w:rsidP="005A3A31">
            <w:pPr>
              <w:pStyle w:val="BodyText2"/>
              <w:spacing w:line="240" w:lineRule="auto"/>
              <w:jc w:val="center"/>
              <w:rPr>
                <w:rFonts w:ascii="Times New Roman" w:hAnsi="Times New Roman" w:cs="Times New Roman"/>
              </w:rPr>
            </w:pPr>
            <w:r w:rsidRPr="003761A1">
              <w:rPr>
                <w:rFonts w:ascii="Times New Roman" w:hAnsi="Times New Roman" w:cs="Times New Roman"/>
              </w:rPr>
              <w:t>4-6</w:t>
            </w:r>
          </w:p>
        </w:tc>
        <w:tc>
          <w:tcPr>
            <w:tcW w:w="1169" w:type="dxa"/>
            <w:tcBorders>
              <w:top w:val="single" w:sz="4" w:space="0" w:color="auto"/>
              <w:left w:val="single" w:sz="4" w:space="0" w:color="auto"/>
              <w:bottom w:val="single" w:sz="4" w:space="0" w:color="auto"/>
              <w:right w:val="single" w:sz="4" w:space="0" w:color="auto"/>
            </w:tcBorders>
            <w:vAlign w:val="center"/>
          </w:tcPr>
          <w:p w14:paraId="6B87626F" w14:textId="77777777" w:rsidR="00611AEB" w:rsidRPr="003761A1" w:rsidRDefault="00611AEB" w:rsidP="005A3A31">
            <w:pPr>
              <w:pStyle w:val="BodyText2"/>
              <w:spacing w:line="240" w:lineRule="auto"/>
              <w:jc w:val="center"/>
              <w:rPr>
                <w:rFonts w:ascii="Times New Roman" w:hAnsi="Times New Roman" w:cs="Times New Roman"/>
              </w:rPr>
            </w:pPr>
            <w:r w:rsidRPr="003761A1">
              <w:rPr>
                <w:rFonts w:ascii="Times New Roman" w:hAnsi="Times New Roman" w:cs="Times New Roman"/>
              </w:rPr>
              <w:t>&gt;8</w:t>
            </w:r>
          </w:p>
        </w:tc>
        <w:tc>
          <w:tcPr>
            <w:tcW w:w="935" w:type="dxa"/>
            <w:tcBorders>
              <w:top w:val="single" w:sz="4" w:space="0" w:color="auto"/>
              <w:left w:val="single" w:sz="4" w:space="0" w:color="auto"/>
              <w:bottom w:val="single" w:sz="4" w:space="0" w:color="auto"/>
            </w:tcBorders>
            <w:vAlign w:val="center"/>
          </w:tcPr>
          <w:p w14:paraId="43D81C88" w14:textId="77777777" w:rsidR="00611AEB" w:rsidRPr="003761A1" w:rsidRDefault="00611AEB" w:rsidP="005A3A31">
            <w:pPr>
              <w:pStyle w:val="BodyText2"/>
              <w:spacing w:line="240" w:lineRule="auto"/>
              <w:jc w:val="center"/>
              <w:rPr>
                <w:rFonts w:ascii="Times New Roman" w:hAnsi="Times New Roman" w:cs="Times New Roman"/>
              </w:rPr>
            </w:pPr>
            <w:r w:rsidRPr="003761A1">
              <w:rPr>
                <w:rFonts w:ascii="Times New Roman" w:hAnsi="Times New Roman" w:cs="Times New Roman"/>
              </w:rPr>
              <w:t>Total</w:t>
            </w:r>
          </w:p>
        </w:tc>
      </w:tr>
      <w:tr w:rsidR="00611AEB" w:rsidRPr="003761A1" w14:paraId="7FA90D7C" w14:textId="77777777" w:rsidTr="005A3A31">
        <w:trPr>
          <w:trHeight w:val="1016"/>
        </w:trPr>
        <w:tc>
          <w:tcPr>
            <w:tcW w:w="669" w:type="dxa"/>
          </w:tcPr>
          <w:p w14:paraId="1B921E8F" w14:textId="77777777" w:rsidR="00611AEB" w:rsidRPr="003761A1" w:rsidRDefault="00611AEB" w:rsidP="005A3A31">
            <w:pPr>
              <w:pStyle w:val="BodyText2"/>
              <w:spacing w:line="240" w:lineRule="auto"/>
              <w:jc w:val="center"/>
              <w:rPr>
                <w:rFonts w:ascii="Times New Roman" w:hAnsi="Times New Roman" w:cs="Times New Roman"/>
                <w:b/>
                <w:bCs/>
              </w:rPr>
            </w:pPr>
          </w:p>
          <w:p w14:paraId="4FAB1BA8"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1.</w:t>
            </w:r>
          </w:p>
        </w:tc>
        <w:tc>
          <w:tcPr>
            <w:tcW w:w="3553" w:type="dxa"/>
          </w:tcPr>
          <w:p w14:paraId="7250CF59" w14:textId="77777777" w:rsidR="00611AEB" w:rsidRPr="003761A1" w:rsidRDefault="00611AEB" w:rsidP="005A3A31">
            <w:pPr>
              <w:pStyle w:val="BodyText2"/>
              <w:spacing w:line="240" w:lineRule="auto"/>
              <w:rPr>
                <w:rFonts w:ascii="Times New Roman" w:hAnsi="Times New Roman" w:cs="Times New Roman"/>
                <w:b/>
                <w:bCs/>
              </w:rPr>
            </w:pPr>
          </w:p>
          <w:p w14:paraId="212F88F0" w14:textId="77777777" w:rsidR="00611AEB" w:rsidRPr="003761A1" w:rsidRDefault="00611AEB" w:rsidP="005A3A31">
            <w:pPr>
              <w:pStyle w:val="BodyText2"/>
              <w:spacing w:line="240" w:lineRule="auto"/>
              <w:rPr>
                <w:rFonts w:ascii="Times New Roman" w:hAnsi="Times New Roman" w:cs="Times New Roman"/>
                <w:b/>
                <w:bCs/>
              </w:rPr>
            </w:pPr>
            <w:proofErr w:type="spellStart"/>
            <w:r w:rsidRPr="003761A1">
              <w:rPr>
                <w:rFonts w:ascii="Times New Roman" w:hAnsi="Times New Roman" w:cs="Times New Roman"/>
                <w:b/>
                <w:bCs/>
              </w:rPr>
              <w:t>Pathsala</w:t>
            </w:r>
            <w:proofErr w:type="spellEnd"/>
            <w:r w:rsidRPr="003761A1">
              <w:rPr>
                <w:rFonts w:ascii="Times New Roman" w:hAnsi="Times New Roman" w:cs="Times New Roman"/>
                <w:b/>
                <w:bCs/>
              </w:rPr>
              <w:t xml:space="preserve">, </w:t>
            </w:r>
            <w:proofErr w:type="spellStart"/>
            <w:r w:rsidRPr="003761A1">
              <w:rPr>
                <w:rFonts w:ascii="Times New Roman" w:hAnsi="Times New Roman" w:cs="Times New Roman"/>
                <w:b/>
                <w:bCs/>
              </w:rPr>
              <w:t>Barpeta</w:t>
            </w:r>
            <w:proofErr w:type="spellEnd"/>
            <w:r w:rsidRPr="003761A1">
              <w:rPr>
                <w:rFonts w:ascii="Times New Roman" w:hAnsi="Times New Roman" w:cs="Times New Roman"/>
                <w:b/>
                <w:bCs/>
              </w:rPr>
              <w:t xml:space="preserve"> district, Assam</w:t>
            </w:r>
          </w:p>
        </w:tc>
        <w:tc>
          <w:tcPr>
            <w:tcW w:w="1683" w:type="dxa"/>
          </w:tcPr>
          <w:p w14:paraId="37A51F8D" w14:textId="77777777" w:rsidR="00611AEB" w:rsidRPr="003761A1" w:rsidRDefault="00611AEB" w:rsidP="005A3A31">
            <w:pPr>
              <w:pStyle w:val="BodyText2"/>
              <w:spacing w:line="240" w:lineRule="auto"/>
              <w:rPr>
                <w:rFonts w:ascii="Times New Roman" w:hAnsi="Times New Roman" w:cs="Times New Roman"/>
                <w:b/>
                <w:bCs/>
              </w:rPr>
            </w:pPr>
          </w:p>
          <w:p w14:paraId="54B83F2F"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Free range</w:t>
            </w:r>
          </w:p>
        </w:tc>
        <w:tc>
          <w:tcPr>
            <w:tcW w:w="2244" w:type="dxa"/>
          </w:tcPr>
          <w:p w14:paraId="3B5CDB8C" w14:textId="77777777" w:rsidR="00611AEB" w:rsidRPr="003761A1" w:rsidRDefault="00611AEB" w:rsidP="005A3A31">
            <w:pPr>
              <w:pStyle w:val="BodyText2"/>
              <w:spacing w:line="240" w:lineRule="auto"/>
              <w:rPr>
                <w:rFonts w:ascii="Times New Roman" w:hAnsi="Times New Roman" w:cs="Times New Roman"/>
                <w:b/>
                <w:bCs/>
              </w:rPr>
            </w:pPr>
          </w:p>
          <w:p w14:paraId="745F4BCB"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Doom variety</w:t>
            </w:r>
          </w:p>
        </w:tc>
        <w:tc>
          <w:tcPr>
            <w:tcW w:w="1168" w:type="dxa"/>
          </w:tcPr>
          <w:p w14:paraId="06EBA4F5" w14:textId="77777777" w:rsidR="00611AEB" w:rsidRPr="003761A1" w:rsidRDefault="00611AEB" w:rsidP="005A3A31">
            <w:pPr>
              <w:pStyle w:val="BodyText2"/>
              <w:spacing w:line="240" w:lineRule="auto"/>
              <w:jc w:val="center"/>
              <w:rPr>
                <w:rFonts w:ascii="Times New Roman" w:hAnsi="Times New Roman" w:cs="Times New Roman"/>
                <w:b/>
                <w:bCs/>
              </w:rPr>
            </w:pPr>
          </w:p>
          <w:p w14:paraId="1924085F"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Pr>
          <w:p w14:paraId="1661F54A" w14:textId="77777777" w:rsidR="00611AEB" w:rsidRPr="003761A1" w:rsidRDefault="00611AEB" w:rsidP="005A3A31">
            <w:pPr>
              <w:pStyle w:val="BodyText2"/>
              <w:spacing w:line="240" w:lineRule="auto"/>
              <w:jc w:val="center"/>
              <w:rPr>
                <w:rFonts w:ascii="Times New Roman" w:hAnsi="Times New Roman" w:cs="Times New Roman"/>
                <w:b/>
                <w:bCs/>
              </w:rPr>
            </w:pPr>
          </w:p>
          <w:p w14:paraId="470BC404"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11</w:t>
            </w:r>
          </w:p>
        </w:tc>
        <w:tc>
          <w:tcPr>
            <w:tcW w:w="1169" w:type="dxa"/>
          </w:tcPr>
          <w:p w14:paraId="296BA6C5" w14:textId="77777777" w:rsidR="00611AEB" w:rsidRPr="003761A1" w:rsidRDefault="00611AEB" w:rsidP="005A3A31">
            <w:pPr>
              <w:pStyle w:val="BodyText2"/>
              <w:spacing w:line="240" w:lineRule="auto"/>
              <w:jc w:val="center"/>
              <w:rPr>
                <w:rFonts w:ascii="Times New Roman" w:hAnsi="Times New Roman" w:cs="Times New Roman"/>
                <w:b/>
                <w:bCs/>
              </w:rPr>
            </w:pPr>
          </w:p>
          <w:p w14:paraId="21E99AD3"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Pr>
          <w:p w14:paraId="19E56087" w14:textId="77777777" w:rsidR="00611AEB" w:rsidRPr="003761A1" w:rsidRDefault="00611AEB" w:rsidP="005A3A31">
            <w:pPr>
              <w:pStyle w:val="BodyText2"/>
              <w:spacing w:line="240" w:lineRule="auto"/>
              <w:jc w:val="center"/>
              <w:rPr>
                <w:rFonts w:ascii="Times New Roman" w:hAnsi="Times New Roman" w:cs="Times New Roman"/>
                <w:b/>
                <w:bCs/>
              </w:rPr>
            </w:pPr>
          </w:p>
          <w:p w14:paraId="0FB4E6A6"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935" w:type="dxa"/>
          </w:tcPr>
          <w:p w14:paraId="2A012C59" w14:textId="77777777" w:rsidR="00611AEB" w:rsidRPr="003761A1" w:rsidRDefault="00611AEB" w:rsidP="005A3A31">
            <w:pPr>
              <w:pStyle w:val="BodyText2"/>
              <w:spacing w:line="240" w:lineRule="auto"/>
              <w:jc w:val="center"/>
              <w:rPr>
                <w:rFonts w:ascii="Times New Roman" w:hAnsi="Times New Roman" w:cs="Times New Roman"/>
                <w:b/>
                <w:bCs/>
              </w:rPr>
            </w:pPr>
          </w:p>
          <w:p w14:paraId="0A0F1519"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11</w:t>
            </w:r>
          </w:p>
        </w:tc>
      </w:tr>
      <w:tr w:rsidR="00611AEB" w:rsidRPr="003761A1" w14:paraId="40DF19FE" w14:textId="77777777" w:rsidTr="005A3A31">
        <w:trPr>
          <w:trHeight w:val="476"/>
        </w:trPr>
        <w:tc>
          <w:tcPr>
            <w:tcW w:w="669" w:type="dxa"/>
          </w:tcPr>
          <w:p w14:paraId="13775119"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2.</w:t>
            </w:r>
          </w:p>
        </w:tc>
        <w:tc>
          <w:tcPr>
            <w:tcW w:w="3553" w:type="dxa"/>
          </w:tcPr>
          <w:p w14:paraId="636EFA15" w14:textId="77777777" w:rsidR="00611AEB" w:rsidRPr="003761A1" w:rsidRDefault="00611AEB" w:rsidP="005A3A31">
            <w:pPr>
              <w:pStyle w:val="BodyText2"/>
              <w:spacing w:line="240" w:lineRule="auto"/>
              <w:rPr>
                <w:rFonts w:ascii="Times New Roman" w:hAnsi="Times New Roman" w:cs="Times New Roman"/>
                <w:b/>
                <w:bCs/>
              </w:rPr>
            </w:pPr>
            <w:proofErr w:type="spellStart"/>
            <w:r w:rsidRPr="003761A1">
              <w:rPr>
                <w:rFonts w:ascii="Times New Roman" w:hAnsi="Times New Roman" w:cs="Times New Roman"/>
                <w:b/>
                <w:bCs/>
              </w:rPr>
              <w:t>Basistha</w:t>
            </w:r>
            <w:proofErr w:type="spellEnd"/>
            <w:r w:rsidRPr="003761A1">
              <w:rPr>
                <w:rFonts w:ascii="Times New Roman" w:hAnsi="Times New Roman" w:cs="Times New Roman"/>
                <w:b/>
                <w:bCs/>
              </w:rPr>
              <w:t xml:space="preserve">, Guwahati, </w:t>
            </w:r>
            <w:proofErr w:type="spellStart"/>
            <w:r w:rsidRPr="003761A1">
              <w:rPr>
                <w:rFonts w:ascii="Times New Roman" w:hAnsi="Times New Roman" w:cs="Times New Roman"/>
                <w:b/>
                <w:bCs/>
              </w:rPr>
              <w:t>Kamrup</w:t>
            </w:r>
            <w:proofErr w:type="spellEnd"/>
            <w:r w:rsidRPr="003761A1">
              <w:rPr>
                <w:rFonts w:ascii="Times New Roman" w:hAnsi="Times New Roman" w:cs="Times New Roman"/>
                <w:b/>
                <w:bCs/>
              </w:rPr>
              <w:t xml:space="preserve"> Dist., Assam</w:t>
            </w:r>
          </w:p>
        </w:tc>
        <w:tc>
          <w:tcPr>
            <w:tcW w:w="1683" w:type="dxa"/>
          </w:tcPr>
          <w:p w14:paraId="337CD4D7"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Free range</w:t>
            </w:r>
          </w:p>
        </w:tc>
        <w:tc>
          <w:tcPr>
            <w:tcW w:w="2244" w:type="dxa"/>
          </w:tcPr>
          <w:p w14:paraId="56FE1472"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Doom variety</w:t>
            </w:r>
          </w:p>
        </w:tc>
        <w:tc>
          <w:tcPr>
            <w:tcW w:w="1168" w:type="dxa"/>
          </w:tcPr>
          <w:p w14:paraId="6C63392C"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3</w:t>
            </w:r>
          </w:p>
        </w:tc>
        <w:tc>
          <w:tcPr>
            <w:tcW w:w="1169" w:type="dxa"/>
          </w:tcPr>
          <w:p w14:paraId="35952C12"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10</w:t>
            </w:r>
          </w:p>
        </w:tc>
        <w:tc>
          <w:tcPr>
            <w:tcW w:w="1169" w:type="dxa"/>
          </w:tcPr>
          <w:p w14:paraId="36C87559"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Pr>
          <w:p w14:paraId="434AA3C2"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935" w:type="dxa"/>
          </w:tcPr>
          <w:p w14:paraId="21792DCF"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13</w:t>
            </w:r>
          </w:p>
        </w:tc>
      </w:tr>
      <w:tr w:rsidR="00611AEB" w:rsidRPr="003761A1" w14:paraId="261F97AE" w14:textId="77777777" w:rsidTr="005A3A31">
        <w:trPr>
          <w:trHeight w:val="666"/>
        </w:trPr>
        <w:tc>
          <w:tcPr>
            <w:tcW w:w="669" w:type="dxa"/>
          </w:tcPr>
          <w:p w14:paraId="49F4FD2A" w14:textId="77777777" w:rsidR="00611AEB" w:rsidRPr="003761A1" w:rsidRDefault="00611AEB" w:rsidP="005A3A31">
            <w:pPr>
              <w:pStyle w:val="BodyText2"/>
              <w:spacing w:line="240" w:lineRule="auto"/>
              <w:jc w:val="center"/>
              <w:rPr>
                <w:rFonts w:ascii="Times New Roman" w:hAnsi="Times New Roman" w:cs="Times New Roman"/>
                <w:b/>
                <w:bCs/>
              </w:rPr>
            </w:pPr>
          </w:p>
        </w:tc>
        <w:tc>
          <w:tcPr>
            <w:tcW w:w="3553" w:type="dxa"/>
          </w:tcPr>
          <w:p w14:paraId="56A11092" w14:textId="77777777" w:rsidR="00611AEB" w:rsidRPr="003761A1" w:rsidRDefault="00611AEB" w:rsidP="005A3A31">
            <w:pPr>
              <w:pStyle w:val="BodyText2"/>
              <w:spacing w:line="240" w:lineRule="auto"/>
              <w:rPr>
                <w:rFonts w:ascii="Times New Roman" w:hAnsi="Times New Roman" w:cs="Times New Roman"/>
                <w:b/>
                <w:bCs/>
              </w:rPr>
            </w:pPr>
          </w:p>
        </w:tc>
        <w:tc>
          <w:tcPr>
            <w:tcW w:w="1683" w:type="dxa"/>
          </w:tcPr>
          <w:p w14:paraId="7C05827C"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Free range</w:t>
            </w:r>
          </w:p>
        </w:tc>
        <w:tc>
          <w:tcPr>
            <w:tcW w:w="2244" w:type="dxa"/>
          </w:tcPr>
          <w:p w14:paraId="7A6BB9E4"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 xml:space="preserve">Crossbred </w:t>
            </w:r>
          </w:p>
          <w:p w14:paraId="11C760EF"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(Local x Hampshire)</w:t>
            </w:r>
          </w:p>
        </w:tc>
        <w:tc>
          <w:tcPr>
            <w:tcW w:w="1168" w:type="dxa"/>
          </w:tcPr>
          <w:p w14:paraId="28DE631A"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1</w:t>
            </w:r>
          </w:p>
        </w:tc>
        <w:tc>
          <w:tcPr>
            <w:tcW w:w="1169" w:type="dxa"/>
          </w:tcPr>
          <w:p w14:paraId="768CB1B6"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Pr>
          <w:p w14:paraId="0E8A8815"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5</w:t>
            </w:r>
          </w:p>
        </w:tc>
        <w:tc>
          <w:tcPr>
            <w:tcW w:w="1169" w:type="dxa"/>
          </w:tcPr>
          <w:p w14:paraId="739355EF"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5</w:t>
            </w:r>
          </w:p>
        </w:tc>
        <w:tc>
          <w:tcPr>
            <w:tcW w:w="935" w:type="dxa"/>
          </w:tcPr>
          <w:p w14:paraId="76549686"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11</w:t>
            </w:r>
          </w:p>
        </w:tc>
      </w:tr>
      <w:tr w:rsidR="00611AEB" w:rsidRPr="003761A1" w14:paraId="2E9E5896" w14:textId="77777777" w:rsidTr="005A3A31">
        <w:trPr>
          <w:trHeight w:val="819"/>
        </w:trPr>
        <w:tc>
          <w:tcPr>
            <w:tcW w:w="669" w:type="dxa"/>
          </w:tcPr>
          <w:p w14:paraId="250AB193"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3.</w:t>
            </w:r>
          </w:p>
        </w:tc>
        <w:tc>
          <w:tcPr>
            <w:tcW w:w="3553" w:type="dxa"/>
          </w:tcPr>
          <w:p w14:paraId="264B1332" w14:textId="77777777" w:rsidR="00611AEB" w:rsidRPr="003761A1" w:rsidRDefault="00611AEB" w:rsidP="005A3A31">
            <w:pPr>
              <w:pStyle w:val="BodyText2"/>
              <w:spacing w:line="240" w:lineRule="auto"/>
              <w:rPr>
                <w:rFonts w:ascii="Times New Roman" w:hAnsi="Times New Roman" w:cs="Times New Roman"/>
                <w:b/>
                <w:bCs/>
              </w:rPr>
            </w:pPr>
            <w:proofErr w:type="spellStart"/>
            <w:r w:rsidRPr="003761A1">
              <w:rPr>
                <w:rFonts w:ascii="Times New Roman" w:hAnsi="Times New Roman" w:cs="Times New Roman"/>
                <w:b/>
                <w:bCs/>
              </w:rPr>
              <w:t>Kahilipara</w:t>
            </w:r>
            <w:proofErr w:type="spellEnd"/>
            <w:r w:rsidRPr="003761A1">
              <w:rPr>
                <w:rFonts w:ascii="Times New Roman" w:hAnsi="Times New Roman" w:cs="Times New Roman"/>
                <w:b/>
                <w:bCs/>
              </w:rPr>
              <w:t xml:space="preserve">, Guwahati, </w:t>
            </w:r>
            <w:proofErr w:type="spellStart"/>
            <w:r w:rsidRPr="003761A1">
              <w:rPr>
                <w:rFonts w:ascii="Times New Roman" w:hAnsi="Times New Roman" w:cs="Times New Roman"/>
                <w:b/>
                <w:bCs/>
              </w:rPr>
              <w:t>Kamrup</w:t>
            </w:r>
            <w:proofErr w:type="spellEnd"/>
            <w:r w:rsidRPr="003761A1">
              <w:rPr>
                <w:rFonts w:ascii="Times New Roman" w:hAnsi="Times New Roman" w:cs="Times New Roman"/>
                <w:b/>
                <w:bCs/>
              </w:rPr>
              <w:t xml:space="preserve"> Dist., Assam</w:t>
            </w:r>
          </w:p>
        </w:tc>
        <w:tc>
          <w:tcPr>
            <w:tcW w:w="1683" w:type="dxa"/>
          </w:tcPr>
          <w:p w14:paraId="292C20E2"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Free range</w:t>
            </w:r>
          </w:p>
        </w:tc>
        <w:tc>
          <w:tcPr>
            <w:tcW w:w="2244" w:type="dxa"/>
          </w:tcPr>
          <w:p w14:paraId="1CF64F07"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Doom variety</w:t>
            </w:r>
          </w:p>
        </w:tc>
        <w:tc>
          <w:tcPr>
            <w:tcW w:w="1168" w:type="dxa"/>
          </w:tcPr>
          <w:p w14:paraId="3042799D"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7</w:t>
            </w:r>
          </w:p>
        </w:tc>
        <w:tc>
          <w:tcPr>
            <w:tcW w:w="1169" w:type="dxa"/>
          </w:tcPr>
          <w:p w14:paraId="01404D1D"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Pr>
          <w:p w14:paraId="1ADAF32E"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Pr>
          <w:p w14:paraId="5CAFF48A"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935" w:type="dxa"/>
          </w:tcPr>
          <w:p w14:paraId="65454CC0"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7</w:t>
            </w:r>
          </w:p>
        </w:tc>
      </w:tr>
      <w:tr w:rsidR="00611AEB" w:rsidRPr="003761A1" w14:paraId="43675DE3" w14:textId="77777777" w:rsidTr="005A3A31">
        <w:trPr>
          <w:trHeight w:val="476"/>
        </w:trPr>
        <w:tc>
          <w:tcPr>
            <w:tcW w:w="669" w:type="dxa"/>
          </w:tcPr>
          <w:p w14:paraId="0BB94F7B"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4.</w:t>
            </w:r>
          </w:p>
        </w:tc>
        <w:tc>
          <w:tcPr>
            <w:tcW w:w="3553" w:type="dxa"/>
          </w:tcPr>
          <w:p w14:paraId="5F2AE51E" w14:textId="77777777" w:rsidR="00611AEB" w:rsidRPr="003761A1" w:rsidRDefault="00611AEB" w:rsidP="005A3A31">
            <w:pPr>
              <w:pStyle w:val="BodyText2"/>
              <w:spacing w:line="240" w:lineRule="auto"/>
              <w:rPr>
                <w:rFonts w:ascii="Times New Roman" w:hAnsi="Times New Roman" w:cs="Times New Roman"/>
                <w:b/>
                <w:bCs/>
              </w:rPr>
            </w:pPr>
            <w:proofErr w:type="spellStart"/>
            <w:r w:rsidRPr="003761A1">
              <w:rPr>
                <w:rFonts w:ascii="Times New Roman" w:hAnsi="Times New Roman" w:cs="Times New Roman"/>
                <w:b/>
                <w:bCs/>
              </w:rPr>
              <w:t>Khanapara</w:t>
            </w:r>
            <w:proofErr w:type="spellEnd"/>
            <w:r w:rsidRPr="003761A1">
              <w:rPr>
                <w:rFonts w:ascii="Times New Roman" w:hAnsi="Times New Roman" w:cs="Times New Roman"/>
                <w:b/>
                <w:bCs/>
              </w:rPr>
              <w:t xml:space="preserve">, Guwahati, </w:t>
            </w:r>
            <w:proofErr w:type="spellStart"/>
            <w:r w:rsidRPr="003761A1">
              <w:rPr>
                <w:rFonts w:ascii="Times New Roman" w:hAnsi="Times New Roman" w:cs="Times New Roman"/>
                <w:b/>
                <w:bCs/>
              </w:rPr>
              <w:t>Kamrup</w:t>
            </w:r>
            <w:proofErr w:type="spellEnd"/>
            <w:r w:rsidRPr="003761A1">
              <w:rPr>
                <w:rFonts w:ascii="Times New Roman" w:hAnsi="Times New Roman" w:cs="Times New Roman"/>
                <w:b/>
                <w:bCs/>
              </w:rPr>
              <w:t xml:space="preserve"> Dist., Assam</w:t>
            </w:r>
          </w:p>
        </w:tc>
        <w:tc>
          <w:tcPr>
            <w:tcW w:w="1683" w:type="dxa"/>
          </w:tcPr>
          <w:p w14:paraId="0BA49C06"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Free range</w:t>
            </w:r>
          </w:p>
        </w:tc>
        <w:tc>
          <w:tcPr>
            <w:tcW w:w="2244" w:type="dxa"/>
          </w:tcPr>
          <w:p w14:paraId="450249C7"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Doom variety</w:t>
            </w:r>
          </w:p>
        </w:tc>
        <w:tc>
          <w:tcPr>
            <w:tcW w:w="1168" w:type="dxa"/>
          </w:tcPr>
          <w:p w14:paraId="03D52898"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3</w:t>
            </w:r>
          </w:p>
        </w:tc>
        <w:tc>
          <w:tcPr>
            <w:tcW w:w="1169" w:type="dxa"/>
          </w:tcPr>
          <w:p w14:paraId="238305C5"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15</w:t>
            </w:r>
          </w:p>
        </w:tc>
        <w:tc>
          <w:tcPr>
            <w:tcW w:w="1169" w:type="dxa"/>
          </w:tcPr>
          <w:p w14:paraId="74811308"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5</w:t>
            </w:r>
          </w:p>
        </w:tc>
        <w:tc>
          <w:tcPr>
            <w:tcW w:w="1169" w:type="dxa"/>
          </w:tcPr>
          <w:p w14:paraId="16C40A27"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2</w:t>
            </w:r>
          </w:p>
        </w:tc>
        <w:tc>
          <w:tcPr>
            <w:tcW w:w="935" w:type="dxa"/>
          </w:tcPr>
          <w:p w14:paraId="79C63189"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25</w:t>
            </w:r>
          </w:p>
        </w:tc>
      </w:tr>
      <w:tr w:rsidR="00611AEB" w:rsidRPr="003761A1" w14:paraId="3207584F" w14:textId="77777777" w:rsidTr="005A3A31">
        <w:trPr>
          <w:trHeight w:val="476"/>
        </w:trPr>
        <w:tc>
          <w:tcPr>
            <w:tcW w:w="669" w:type="dxa"/>
          </w:tcPr>
          <w:p w14:paraId="6F89B6E3" w14:textId="77777777" w:rsidR="00611AEB" w:rsidRPr="003761A1" w:rsidRDefault="00611AEB" w:rsidP="005A3A31">
            <w:pPr>
              <w:pStyle w:val="BodyText2"/>
              <w:spacing w:line="240" w:lineRule="auto"/>
              <w:jc w:val="center"/>
              <w:rPr>
                <w:rFonts w:ascii="Times New Roman" w:hAnsi="Times New Roman" w:cs="Times New Roman"/>
                <w:b/>
                <w:bCs/>
              </w:rPr>
            </w:pPr>
          </w:p>
        </w:tc>
        <w:tc>
          <w:tcPr>
            <w:tcW w:w="3553" w:type="dxa"/>
          </w:tcPr>
          <w:p w14:paraId="113A121C" w14:textId="77777777" w:rsidR="00611AEB" w:rsidRPr="003761A1" w:rsidRDefault="00611AEB" w:rsidP="005A3A31">
            <w:pPr>
              <w:pStyle w:val="BodyText2"/>
              <w:spacing w:line="240" w:lineRule="auto"/>
              <w:rPr>
                <w:rFonts w:ascii="Times New Roman" w:hAnsi="Times New Roman" w:cs="Times New Roman"/>
                <w:b/>
                <w:bCs/>
              </w:rPr>
            </w:pPr>
          </w:p>
        </w:tc>
        <w:tc>
          <w:tcPr>
            <w:tcW w:w="1683" w:type="dxa"/>
          </w:tcPr>
          <w:p w14:paraId="7BD58885"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Semi-intensive</w:t>
            </w:r>
          </w:p>
        </w:tc>
        <w:tc>
          <w:tcPr>
            <w:tcW w:w="2244" w:type="dxa"/>
          </w:tcPr>
          <w:p w14:paraId="49E35A0A"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Hampshire</w:t>
            </w:r>
          </w:p>
        </w:tc>
        <w:tc>
          <w:tcPr>
            <w:tcW w:w="1168" w:type="dxa"/>
          </w:tcPr>
          <w:p w14:paraId="32021810"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Pr>
          <w:p w14:paraId="1561DCE8"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3</w:t>
            </w:r>
          </w:p>
        </w:tc>
        <w:tc>
          <w:tcPr>
            <w:tcW w:w="1169" w:type="dxa"/>
          </w:tcPr>
          <w:p w14:paraId="66646182"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1</w:t>
            </w:r>
          </w:p>
        </w:tc>
        <w:tc>
          <w:tcPr>
            <w:tcW w:w="1169" w:type="dxa"/>
          </w:tcPr>
          <w:p w14:paraId="33FD9F07"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3</w:t>
            </w:r>
          </w:p>
        </w:tc>
        <w:tc>
          <w:tcPr>
            <w:tcW w:w="935" w:type="dxa"/>
          </w:tcPr>
          <w:p w14:paraId="23CAB17A"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7</w:t>
            </w:r>
          </w:p>
        </w:tc>
      </w:tr>
      <w:tr w:rsidR="00611AEB" w:rsidRPr="003761A1" w14:paraId="06B95454" w14:textId="77777777" w:rsidTr="005A3A31">
        <w:trPr>
          <w:trHeight w:val="729"/>
        </w:trPr>
        <w:tc>
          <w:tcPr>
            <w:tcW w:w="669" w:type="dxa"/>
          </w:tcPr>
          <w:p w14:paraId="5ED39102" w14:textId="77777777" w:rsidR="00611AEB" w:rsidRPr="003761A1" w:rsidRDefault="00611AEB" w:rsidP="005A3A31">
            <w:pPr>
              <w:pStyle w:val="BodyText2"/>
              <w:spacing w:line="240" w:lineRule="auto"/>
              <w:jc w:val="center"/>
              <w:rPr>
                <w:rFonts w:ascii="Times New Roman" w:hAnsi="Times New Roman" w:cs="Times New Roman"/>
                <w:b/>
                <w:bCs/>
              </w:rPr>
            </w:pPr>
          </w:p>
        </w:tc>
        <w:tc>
          <w:tcPr>
            <w:tcW w:w="3553" w:type="dxa"/>
          </w:tcPr>
          <w:p w14:paraId="756EF069" w14:textId="77777777" w:rsidR="00611AEB" w:rsidRPr="003761A1" w:rsidRDefault="00611AEB" w:rsidP="005A3A31">
            <w:pPr>
              <w:pStyle w:val="BodyText2"/>
              <w:spacing w:line="240" w:lineRule="auto"/>
              <w:rPr>
                <w:rFonts w:ascii="Times New Roman" w:hAnsi="Times New Roman" w:cs="Times New Roman"/>
                <w:b/>
                <w:bCs/>
              </w:rPr>
            </w:pPr>
          </w:p>
        </w:tc>
        <w:tc>
          <w:tcPr>
            <w:tcW w:w="1683" w:type="dxa"/>
          </w:tcPr>
          <w:p w14:paraId="3C09E18F"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Semi-intensive</w:t>
            </w:r>
          </w:p>
        </w:tc>
        <w:tc>
          <w:tcPr>
            <w:tcW w:w="2244" w:type="dxa"/>
          </w:tcPr>
          <w:p w14:paraId="621EF6B3"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 xml:space="preserve">Crossbred </w:t>
            </w:r>
          </w:p>
          <w:p w14:paraId="58EB235E"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(Local x Hampshire)</w:t>
            </w:r>
          </w:p>
        </w:tc>
        <w:tc>
          <w:tcPr>
            <w:tcW w:w="1168" w:type="dxa"/>
          </w:tcPr>
          <w:p w14:paraId="4FB8AE08"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7</w:t>
            </w:r>
          </w:p>
        </w:tc>
        <w:tc>
          <w:tcPr>
            <w:tcW w:w="1169" w:type="dxa"/>
          </w:tcPr>
          <w:p w14:paraId="7AF93D6C"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2</w:t>
            </w:r>
          </w:p>
        </w:tc>
        <w:tc>
          <w:tcPr>
            <w:tcW w:w="1169" w:type="dxa"/>
          </w:tcPr>
          <w:p w14:paraId="46B6543E"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2</w:t>
            </w:r>
          </w:p>
        </w:tc>
        <w:tc>
          <w:tcPr>
            <w:tcW w:w="1169" w:type="dxa"/>
          </w:tcPr>
          <w:p w14:paraId="5BCA99AD"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3</w:t>
            </w:r>
          </w:p>
        </w:tc>
        <w:tc>
          <w:tcPr>
            <w:tcW w:w="935" w:type="dxa"/>
          </w:tcPr>
          <w:p w14:paraId="067662CF"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14</w:t>
            </w:r>
          </w:p>
        </w:tc>
      </w:tr>
      <w:tr w:rsidR="00611AEB" w:rsidRPr="003761A1" w14:paraId="1E6B913D" w14:textId="77777777" w:rsidTr="005A3A31">
        <w:trPr>
          <w:trHeight w:val="711"/>
        </w:trPr>
        <w:tc>
          <w:tcPr>
            <w:tcW w:w="669" w:type="dxa"/>
          </w:tcPr>
          <w:p w14:paraId="0EE4C5AD"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5.</w:t>
            </w:r>
          </w:p>
        </w:tc>
        <w:tc>
          <w:tcPr>
            <w:tcW w:w="3553" w:type="dxa"/>
          </w:tcPr>
          <w:p w14:paraId="7980494C" w14:textId="77777777" w:rsidR="00611AEB" w:rsidRPr="003761A1" w:rsidRDefault="00611AEB" w:rsidP="005A3A31">
            <w:pPr>
              <w:pStyle w:val="BodyText2"/>
              <w:spacing w:line="240" w:lineRule="auto"/>
              <w:rPr>
                <w:rFonts w:ascii="Times New Roman" w:hAnsi="Times New Roman" w:cs="Times New Roman"/>
                <w:b/>
                <w:bCs/>
              </w:rPr>
            </w:pPr>
            <w:proofErr w:type="spellStart"/>
            <w:r w:rsidRPr="003761A1">
              <w:rPr>
                <w:rFonts w:ascii="Times New Roman" w:hAnsi="Times New Roman" w:cs="Times New Roman"/>
                <w:b/>
                <w:bCs/>
              </w:rPr>
              <w:t>Narengi</w:t>
            </w:r>
            <w:proofErr w:type="spellEnd"/>
            <w:r w:rsidRPr="003761A1">
              <w:rPr>
                <w:rFonts w:ascii="Times New Roman" w:hAnsi="Times New Roman" w:cs="Times New Roman"/>
                <w:b/>
                <w:bCs/>
              </w:rPr>
              <w:t xml:space="preserve">, Guwahati, </w:t>
            </w:r>
            <w:proofErr w:type="spellStart"/>
            <w:r w:rsidRPr="003761A1">
              <w:rPr>
                <w:rFonts w:ascii="Times New Roman" w:hAnsi="Times New Roman" w:cs="Times New Roman"/>
                <w:b/>
                <w:bCs/>
              </w:rPr>
              <w:t>Kamrup</w:t>
            </w:r>
            <w:proofErr w:type="spellEnd"/>
            <w:r w:rsidRPr="003761A1">
              <w:rPr>
                <w:rFonts w:ascii="Times New Roman" w:hAnsi="Times New Roman" w:cs="Times New Roman"/>
                <w:b/>
                <w:bCs/>
              </w:rPr>
              <w:t xml:space="preserve"> Dist., Assam</w:t>
            </w:r>
          </w:p>
        </w:tc>
        <w:tc>
          <w:tcPr>
            <w:tcW w:w="1683" w:type="dxa"/>
          </w:tcPr>
          <w:p w14:paraId="4988E571"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Free range</w:t>
            </w:r>
          </w:p>
        </w:tc>
        <w:tc>
          <w:tcPr>
            <w:tcW w:w="2244" w:type="dxa"/>
          </w:tcPr>
          <w:p w14:paraId="23D6EB35"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Doom variety</w:t>
            </w:r>
          </w:p>
        </w:tc>
        <w:tc>
          <w:tcPr>
            <w:tcW w:w="1168" w:type="dxa"/>
          </w:tcPr>
          <w:p w14:paraId="070A0ADA"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5</w:t>
            </w:r>
          </w:p>
        </w:tc>
        <w:tc>
          <w:tcPr>
            <w:tcW w:w="1169" w:type="dxa"/>
          </w:tcPr>
          <w:p w14:paraId="274F0252"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6</w:t>
            </w:r>
          </w:p>
        </w:tc>
        <w:tc>
          <w:tcPr>
            <w:tcW w:w="1169" w:type="dxa"/>
          </w:tcPr>
          <w:p w14:paraId="1D18D550"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Pr>
          <w:p w14:paraId="5CBC2984"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935" w:type="dxa"/>
          </w:tcPr>
          <w:p w14:paraId="3991836C"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11</w:t>
            </w:r>
          </w:p>
        </w:tc>
      </w:tr>
      <w:tr w:rsidR="00611AEB" w:rsidRPr="003761A1" w14:paraId="33C0CA47" w14:textId="77777777" w:rsidTr="005A3A31">
        <w:trPr>
          <w:trHeight w:val="476"/>
        </w:trPr>
        <w:tc>
          <w:tcPr>
            <w:tcW w:w="669" w:type="dxa"/>
          </w:tcPr>
          <w:p w14:paraId="1FAFA42F" w14:textId="77777777" w:rsidR="00611AEB" w:rsidRPr="003761A1" w:rsidRDefault="00611AEB" w:rsidP="005A3A31">
            <w:pPr>
              <w:pStyle w:val="BodyText2"/>
              <w:spacing w:line="240" w:lineRule="auto"/>
              <w:jc w:val="center"/>
              <w:rPr>
                <w:rFonts w:ascii="Times New Roman" w:hAnsi="Times New Roman" w:cs="Times New Roman"/>
                <w:b/>
                <w:bCs/>
              </w:rPr>
            </w:pPr>
          </w:p>
        </w:tc>
        <w:tc>
          <w:tcPr>
            <w:tcW w:w="3553" w:type="dxa"/>
          </w:tcPr>
          <w:p w14:paraId="303A5C71" w14:textId="77777777" w:rsidR="00611AEB" w:rsidRPr="003761A1" w:rsidRDefault="00611AEB" w:rsidP="005A3A31">
            <w:pPr>
              <w:pStyle w:val="BodyText2"/>
              <w:spacing w:line="240" w:lineRule="auto"/>
              <w:rPr>
                <w:rFonts w:ascii="Times New Roman" w:hAnsi="Times New Roman" w:cs="Times New Roman"/>
                <w:b/>
                <w:bCs/>
              </w:rPr>
            </w:pPr>
          </w:p>
        </w:tc>
        <w:tc>
          <w:tcPr>
            <w:tcW w:w="1683" w:type="dxa"/>
          </w:tcPr>
          <w:p w14:paraId="49F92BD3"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Free range</w:t>
            </w:r>
          </w:p>
        </w:tc>
        <w:tc>
          <w:tcPr>
            <w:tcW w:w="2244" w:type="dxa"/>
          </w:tcPr>
          <w:p w14:paraId="77131025"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 xml:space="preserve">Crossbred </w:t>
            </w:r>
          </w:p>
          <w:p w14:paraId="315F5B1F"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(Local x Hampshire)</w:t>
            </w:r>
          </w:p>
        </w:tc>
        <w:tc>
          <w:tcPr>
            <w:tcW w:w="1168" w:type="dxa"/>
          </w:tcPr>
          <w:p w14:paraId="32377B85"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1</w:t>
            </w:r>
          </w:p>
        </w:tc>
        <w:tc>
          <w:tcPr>
            <w:tcW w:w="1169" w:type="dxa"/>
          </w:tcPr>
          <w:p w14:paraId="158A6D31"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Pr>
          <w:p w14:paraId="7A8BBC66"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Pr>
          <w:p w14:paraId="5DC79FD2"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1</w:t>
            </w:r>
          </w:p>
        </w:tc>
        <w:tc>
          <w:tcPr>
            <w:tcW w:w="935" w:type="dxa"/>
          </w:tcPr>
          <w:p w14:paraId="4E4B246A"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2</w:t>
            </w:r>
          </w:p>
        </w:tc>
      </w:tr>
      <w:tr w:rsidR="00611AEB" w:rsidRPr="003761A1" w14:paraId="0FB6E837" w14:textId="77777777" w:rsidTr="005A3A31">
        <w:trPr>
          <w:trHeight w:val="711"/>
        </w:trPr>
        <w:tc>
          <w:tcPr>
            <w:tcW w:w="669" w:type="dxa"/>
          </w:tcPr>
          <w:p w14:paraId="061CE27C"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6.</w:t>
            </w:r>
          </w:p>
        </w:tc>
        <w:tc>
          <w:tcPr>
            <w:tcW w:w="3553" w:type="dxa"/>
          </w:tcPr>
          <w:p w14:paraId="1D29569D" w14:textId="77777777" w:rsidR="00611AEB" w:rsidRPr="003761A1" w:rsidRDefault="00611AEB" w:rsidP="005A3A31">
            <w:pPr>
              <w:pStyle w:val="BodyText2"/>
              <w:spacing w:line="240" w:lineRule="auto"/>
              <w:rPr>
                <w:rFonts w:ascii="Times New Roman" w:hAnsi="Times New Roman" w:cs="Times New Roman"/>
                <w:b/>
                <w:bCs/>
              </w:rPr>
            </w:pPr>
            <w:proofErr w:type="spellStart"/>
            <w:r w:rsidRPr="003761A1">
              <w:rPr>
                <w:rFonts w:ascii="Times New Roman" w:hAnsi="Times New Roman" w:cs="Times New Roman"/>
                <w:b/>
                <w:bCs/>
              </w:rPr>
              <w:t>Bihpuria</w:t>
            </w:r>
            <w:proofErr w:type="spellEnd"/>
            <w:r w:rsidRPr="003761A1">
              <w:rPr>
                <w:rFonts w:ascii="Times New Roman" w:hAnsi="Times New Roman" w:cs="Times New Roman"/>
                <w:b/>
                <w:bCs/>
              </w:rPr>
              <w:t xml:space="preserve">, </w:t>
            </w:r>
            <w:proofErr w:type="spellStart"/>
            <w:r w:rsidRPr="003761A1">
              <w:rPr>
                <w:rFonts w:ascii="Times New Roman" w:hAnsi="Times New Roman" w:cs="Times New Roman"/>
                <w:b/>
                <w:bCs/>
              </w:rPr>
              <w:t>Lakhimpur</w:t>
            </w:r>
            <w:proofErr w:type="spellEnd"/>
            <w:r w:rsidRPr="003761A1">
              <w:rPr>
                <w:rFonts w:ascii="Times New Roman" w:hAnsi="Times New Roman" w:cs="Times New Roman"/>
                <w:b/>
                <w:bCs/>
              </w:rPr>
              <w:t xml:space="preserve"> district, Assam</w:t>
            </w:r>
          </w:p>
        </w:tc>
        <w:tc>
          <w:tcPr>
            <w:tcW w:w="1683" w:type="dxa"/>
          </w:tcPr>
          <w:p w14:paraId="55EC74EA"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Free range</w:t>
            </w:r>
          </w:p>
        </w:tc>
        <w:tc>
          <w:tcPr>
            <w:tcW w:w="2244" w:type="dxa"/>
          </w:tcPr>
          <w:p w14:paraId="6B4E1178"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Doom variety</w:t>
            </w:r>
          </w:p>
        </w:tc>
        <w:tc>
          <w:tcPr>
            <w:tcW w:w="1168" w:type="dxa"/>
          </w:tcPr>
          <w:p w14:paraId="2D0107FB"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5</w:t>
            </w:r>
          </w:p>
        </w:tc>
        <w:tc>
          <w:tcPr>
            <w:tcW w:w="1169" w:type="dxa"/>
          </w:tcPr>
          <w:p w14:paraId="1B9BE481"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Pr>
          <w:p w14:paraId="4699E4CE"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Pr>
          <w:p w14:paraId="18EB98AB"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935" w:type="dxa"/>
          </w:tcPr>
          <w:p w14:paraId="214C85D4" w14:textId="5EB4F0A9"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1D278CE4" wp14:editId="69438793">
                      <wp:simplePos x="0" y="0"/>
                      <wp:positionH relativeFrom="column">
                        <wp:posOffset>290830</wp:posOffset>
                      </wp:positionH>
                      <wp:positionV relativeFrom="paragraph">
                        <wp:posOffset>-1041400</wp:posOffset>
                      </wp:positionV>
                      <wp:extent cx="356235" cy="584200"/>
                      <wp:effectExtent l="0" t="0" r="635" b="0"/>
                      <wp:wrapNone/>
                      <wp:docPr id="15807580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584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5AB31" id="Rectangle 2" o:spid="_x0000_s1026" style="position:absolute;margin-left:22.9pt;margin-top:-82pt;width:28.05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" stroked="f"/>
                  </w:pict>
                </mc:Fallback>
              </mc:AlternateContent>
            </w:r>
            <w:r w:rsidRPr="003761A1">
              <w:rPr>
                <w:rFonts w:ascii="Times New Roman" w:hAnsi="Times New Roman" w:cs="Times New Roman"/>
                <w:b/>
                <w:bCs/>
              </w:rPr>
              <w:t>5</w:t>
            </w:r>
          </w:p>
        </w:tc>
      </w:tr>
      <w:tr w:rsidR="00611AEB" w:rsidRPr="003761A1" w14:paraId="06412CDA" w14:textId="77777777" w:rsidTr="005A3A31">
        <w:trPr>
          <w:trHeight w:val="476"/>
        </w:trPr>
        <w:tc>
          <w:tcPr>
            <w:tcW w:w="669" w:type="dxa"/>
            <w:tcBorders>
              <w:bottom w:val="single" w:sz="4" w:space="0" w:color="auto"/>
            </w:tcBorders>
          </w:tcPr>
          <w:p w14:paraId="76F7436B"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7.</w:t>
            </w:r>
          </w:p>
        </w:tc>
        <w:tc>
          <w:tcPr>
            <w:tcW w:w="3553" w:type="dxa"/>
            <w:tcBorders>
              <w:bottom w:val="single" w:sz="4" w:space="0" w:color="auto"/>
            </w:tcBorders>
          </w:tcPr>
          <w:p w14:paraId="06E25DFB" w14:textId="77777777" w:rsidR="00611AEB" w:rsidRPr="003761A1" w:rsidRDefault="00611AEB" w:rsidP="005A3A31">
            <w:pPr>
              <w:pStyle w:val="BodyText2"/>
              <w:spacing w:line="240" w:lineRule="auto"/>
              <w:rPr>
                <w:rFonts w:ascii="Times New Roman" w:hAnsi="Times New Roman" w:cs="Times New Roman"/>
                <w:b/>
                <w:bCs/>
              </w:rPr>
            </w:pPr>
            <w:proofErr w:type="spellStart"/>
            <w:r w:rsidRPr="003761A1">
              <w:rPr>
                <w:rFonts w:ascii="Times New Roman" w:hAnsi="Times New Roman" w:cs="Times New Roman"/>
                <w:b/>
                <w:bCs/>
              </w:rPr>
              <w:t>Haflong</w:t>
            </w:r>
            <w:proofErr w:type="spellEnd"/>
            <w:r w:rsidRPr="003761A1">
              <w:rPr>
                <w:rFonts w:ascii="Times New Roman" w:hAnsi="Times New Roman" w:cs="Times New Roman"/>
                <w:b/>
                <w:bCs/>
              </w:rPr>
              <w:t>, NC Hills, Assam</w:t>
            </w:r>
          </w:p>
        </w:tc>
        <w:tc>
          <w:tcPr>
            <w:tcW w:w="1683" w:type="dxa"/>
            <w:tcBorders>
              <w:bottom w:val="single" w:sz="4" w:space="0" w:color="auto"/>
            </w:tcBorders>
          </w:tcPr>
          <w:p w14:paraId="353C0E45"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Free range</w:t>
            </w:r>
          </w:p>
        </w:tc>
        <w:tc>
          <w:tcPr>
            <w:tcW w:w="2244" w:type="dxa"/>
            <w:tcBorders>
              <w:bottom w:val="single" w:sz="4" w:space="0" w:color="auto"/>
            </w:tcBorders>
          </w:tcPr>
          <w:p w14:paraId="5BFC4DB9"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Doom variety</w:t>
            </w:r>
          </w:p>
        </w:tc>
        <w:tc>
          <w:tcPr>
            <w:tcW w:w="1168" w:type="dxa"/>
            <w:tcBorders>
              <w:bottom w:val="single" w:sz="4" w:space="0" w:color="auto"/>
            </w:tcBorders>
          </w:tcPr>
          <w:p w14:paraId="793E982E"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Borders>
              <w:bottom w:val="single" w:sz="4" w:space="0" w:color="auto"/>
            </w:tcBorders>
          </w:tcPr>
          <w:p w14:paraId="71612514"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Borders>
              <w:bottom w:val="single" w:sz="4" w:space="0" w:color="auto"/>
            </w:tcBorders>
          </w:tcPr>
          <w:p w14:paraId="36D86096"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3</w:t>
            </w:r>
          </w:p>
        </w:tc>
        <w:tc>
          <w:tcPr>
            <w:tcW w:w="1169" w:type="dxa"/>
            <w:tcBorders>
              <w:bottom w:val="single" w:sz="4" w:space="0" w:color="auto"/>
            </w:tcBorders>
          </w:tcPr>
          <w:p w14:paraId="25FE18C2"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935" w:type="dxa"/>
            <w:tcBorders>
              <w:bottom w:val="single" w:sz="4" w:space="0" w:color="auto"/>
            </w:tcBorders>
          </w:tcPr>
          <w:p w14:paraId="2008A225"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3</w:t>
            </w:r>
          </w:p>
        </w:tc>
      </w:tr>
      <w:tr w:rsidR="00611AEB" w:rsidRPr="003761A1" w14:paraId="4B557041" w14:textId="77777777" w:rsidTr="005A3A31">
        <w:trPr>
          <w:trHeight w:val="1151"/>
        </w:trPr>
        <w:tc>
          <w:tcPr>
            <w:tcW w:w="669" w:type="dxa"/>
            <w:tcBorders>
              <w:top w:val="single" w:sz="4" w:space="0" w:color="auto"/>
              <w:bottom w:val="single" w:sz="4" w:space="0" w:color="auto"/>
            </w:tcBorders>
          </w:tcPr>
          <w:p w14:paraId="0D625EA5" w14:textId="77777777" w:rsidR="00611AEB" w:rsidRPr="003761A1" w:rsidRDefault="00611AEB" w:rsidP="005A3A31">
            <w:pPr>
              <w:pStyle w:val="BodyText2"/>
              <w:spacing w:line="240" w:lineRule="auto"/>
              <w:jc w:val="center"/>
              <w:rPr>
                <w:rFonts w:ascii="Times New Roman" w:hAnsi="Times New Roman" w:cs="Times New Roman"/>
                <w:b/>
                <w:bCs/>
              </w:rPr>
            </w:pPr>
          </w:p>
          <w:p w14:paraId="11D5A34E"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8.</w:t>
            </w:r>
          </w:p>
        </w:tc>
        <w:tc>
          <w:tcPr>
            <w:tcW w:w="3553" w:type="dxa"/>
            <w:tcBorders>
              <w:top w:val="single" w:sz="4" w:space="0" w:color="auto"/>
              <w:bottom w:val="single" w:sz="4" w:space="0" w:color="auto"/>
            </w:tcBorders>
          </w:tcPr>
          <w:p w14:paraId="4BE6A620" w14:textId="77777777" w:rsidR="00611AEB" w:rsidRPr="003761A1" w:rsidRDefault="00611AEB" w:rsidP="005A3A31">
            <w:pPr>
              <w:pStyle w:val="BodyText2"/>
              <w:spacing w:line="240" w:lineRule="auto"/>
              <w:rPr>
                <w:rFonts w:ascii="Times New Roman" w:hAnsi="Times New Roman" w:cs="Times New Roman"/>
                <w:b/>
                <w:bCs/>
              </w:rPr>
            </w:pPr>
          </w:p>
          <w:p w14:paraId="6A7FFBB4" w14:textId="77777777" w:rsidR="00611AEB" w:rsidRPr="003761A1" w:rsidRDefault="00611AEB" w:rsidP="005A3A31">
            <w:pPr>
              <w:pStyle w:val="BodyText2"/>
              <w:spacing w:line="240" w:lineRule="auto"/>
              <w:rPr>
                <w:rFonts w:ascii="Times New Roman" w:hAnsi="Times New Roman" w:cs="Times New Roman"/>
                <w:b/>
                <w:bCs/>
              </w:rPr>
            </w:pPr>
            <w:proofErr w:type="spellStart"/>
            <w:r w:rsidRPr="003761A1">
              <w:rPr>
                <w:rFonts w:ascii="Times New Roman" w:hAnsi="Times New Roman" w:cs="Times New Roman"/>
                <w:b/>
                <w:bCs/>
              </w:rPr>
              <w:t>Nirjuli</w:t>
            </w:r>
            <w:proofErr w:type="spellEnd"/>
            <w:r w:rsidRPr="003761A1">
              <w:rPr>
                <w:rFonts w:ascii="Times New Roman" w:hAnsi="Times New Roman" w:cs="Times New Roman"/>
                <w:b/>
                <w:bCs/>
              </w:rPr>
              <w:t>, Arunachal Pradesh</w:t>
            </w:r>
          </w:p>
        </w:tc>
        <w:tc>
          <w:tcPr>
            <w:tcW w:w="1683" w:type="dxa"/>
            <w:tcBorders>
              <w:top w:val="single" w:sz="4" w:space="0" w:color="auto"/>
              <w:bottom w:val="single" w:sz="4" w:space="0" w:color="auto"/>
            </w:tcBorders>
          </w:tcPr>
          <w:p w14:paraId="4AE81FAD" w14:textId="77777777" w:rsidR="00611AEB" w:rsidRPr="003761A1" w:rsidRDefault="00611AEB" w:rsidP="005A3A31">
            <w:pPr>
              <w:pStyle w:val="BodyText2"/>
              <w:spacing w:line="240" w:lineRule="auto"/>
              <w:rPr>
                <w:rFonts w:ascii="Times New Roman" w:hAnsi="Times New Roman" w:cs="Times New Roman"/>
                <w:b/>
                <w:bCs/>
              </w:rPr>
            </w:pPr>
          </w:p>
          <w:p w14:paraId="46141048"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Semi-intensive</w:t>
            </w:r>
          </w:p>
        </w:tc>
        <w:tc>
          <w:tcPr>
            <w:tcW w:w="2244" w:type="dxa"/>
            <w:tcBorders>
              <w:top w:val="single" w:sz="4" w:space="0" w:color="auto"/>
              <w:bottom w:val="single" w:sz="4" w:space="0" w:color="auto"/>
            </w:tcBorders>
          </w:tcPr>
          <w:p w14:paraId="0AC16B3B" w14:textId="77777777" w:rsidR="00611AEB" w:rsidRPr="003761A1" w:rsidRDefault="00611AEB" w:rsidP="005A3A31">
            <w:pPr>
              <w:pStyle w:val="BodyText2"/>
              <w:spacing w:line="240" w:lineRule="auto"/>
              <w:rPr>
                <w:rFonts w:ascii="Times New Roman" w:hAnsi="Times New Roman" w:cs="Times New Roman"/>
                <w:b/>
                <w:bCs/>
              </w:rPr>
            </w:pPr>
          </w:p>
          <w:p w14:paraId="393B7E71"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Hampshire</w:t>
            </w:r>
          </w:p>
        </w:tc>
        <w:tc>
          <w:tcPr>
            <w:tcW w:w="1168" w:type="dxa"/>
            <w:tcBorders>
              <w:top w:val="single" w:sz="4" w:space="0" w:color="auto"/>
              <w:bottom w:val="single" w:sz="4" w:space="0" w:color="auto"/>
            </w:tcBorders>
          </w:tcPr>
          <w:p w14:paraId="3A6E7DE2" w14:textId="77777777" w:rsidR="00611AEB" w:rsidRPr="003761A1" w:rsidRDefault="00611AEB" w:rsidP="005A3A31">
            <w:pPr>
              <w:pStyle w:val="BodyText2"/>
              <w:spacing w:line="240" w:lineRule="auto"/>
              <w:jc w:val="center"/>
              <w:rPr>
                <w:rFonts w:ascii="Times New Roman" w:hAnsi="Times New Roman" w:cs="Times New Roman"/>
                <w:b/>
                <w:bCs/>
              </w:rPr>
            </w:pPr>
          </w:p>
          <w:p w14:paraId="3BE00FDC"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Borders>
              <w:top w:val="single" w:sz="4" w:space="0" w:color="auto"/>
              <w:bottom w:val="single" w:sz="4" w:space="0" w:color="auto"/>
            </w:tcBorders>
          </w:tcPr>
          <w:p w14:paraId="1DCD2CB6" w14:textId="77777777" w:rsidR="00611AEB" w:rsidRPr="003761A1" w:rsidRDefault="00611AEB" w:rsidP="005A3A31">
            <w:pPr>
              <w:pStyle w:val="BodyText2"/>
              <w:spacing w:line="240" w:lineRule="auto"/>
              <w:jc w:val="center"/>
              <w:rPr>
                <w:rFonts w:ascii="Times New Roman" w:hAnsi="Times New Roman" w:cs="Times New Roman"/>
                <w:b/>
                <w:bCs/>
              </w:rPr>
            </w:pPr>
          </w:p>
          <w:p w14:paraId="63390806"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Borders>
              <w:top w:val="single" w:sz="4" w:space="0" w:color="auto"/>
              <w:bottom w:val="single" w:sz="4" w:space="0" w:color="auto"/>
            </w:tcBorders>
          </w:tcPr>
          <w:p w14:paraId="1DF5BA14" w14:textId="77777777" w:rsidR="00611AEB" w:rsidRPr="003761A1" w:rsidRDefault="00611AEB" w:rsidP="005A3A31">
            <w:pPr>
              <w:pStyle w:val="BodyText2"/>
              <w:spacing w:line="240" w:lineRule="auto"/>
              <w:jc w:val="center"/>
              <w:rPr>
                <w:rFonts w:ascii="Times New Roman" w:hAnsi="Times New Roman" w:cs="Times New Roman"/>
                <w:b/>
                <w:bCs/>
              </w:rPr>
            </w:pPr>
          </w:p>
          <w:p w14:paraId="76F05A51"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Borders>
              <w:top w:val="single" w:sz="4" w:space="0" w:color="auto"/>
              <w:bottom w:val="single" w:sz="4" w:space="0" w:color="auto"/>
            </w:tcBorders>
          </w:tcPr>
          <w:p w14:paraId="7DC5D972" w14:textId="77777777" w:rsidR="00611AEB" w:rsidRPr="003761A1" w:rsidRDefault="00611AEB" w:rsidP="005A3A31">
            <w:pPr>
              <w:pStyle w:val="BodyText2"/>
              <w:spacing w:line="240" w:lineRule="auto"/>
              <w:jc w:val="center"/>
              <w:rPr>
                <w:rFonts w:ascii="Times New Roman" w:hAnsi="Times New Roman" w:cs="Times New Roman"/>
                <w:b/>
                <w:bCs/>
              </w:rPr>
            </w:pPr>
          </w:p>
          <w:p w14:paraId="2A33ECB7"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3</w:t>
            </w:r>
          </w:p>
        </w:tc>
        <w:tc>
          <w:tcPr>
            <w:tcW w:w="935" w:type="dxa"/>
            <w:tcBorders>
              <w:top w:val="single" w:sz="4" w:space="0" w:color="auto"/>
              <w:bottom w:val="single" w:sz="4" w:space="0" w:color="auto"/>
            </w:tcBorders>
          </w:tcPr>
          <w:p w14:paraId="250CFD87" w14:textId="77777777" w:rsidR="00611AEB" w:rsidRPr="003761A1" w:rsidRDefault="00611AEB" w:rsidP="005A3A31">
            <w:pPr>
              <w:pStyle w:val="BodyText2"/>
              <w:spacing w:line="240" w:lineRule="auto"/>
              <w:jc w:val="center"/>
              <w:rPr>
                <w:rFonts w:ascii="Times New Roman" w:hAnsi="Times New Roman" w:cs="Times New Roman"/>
                <w:b/>
                <w:bCs/>
              </w:rPr>
            </w:pPr>
          </w:p>
          <w:p w14:paraId="7E66DDBC"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3</w:t>
            </w:r>
          </w:p>
        </w:tc>
      </w:tr>
      <w:tr w:rsidR="00611AEB" w:rsidRPr="003761A1" w14:paraId="3E0964A6" w14:textId="77777777" w:rsidTr="005A3A31">
        <w:trPr>
          <w:trHeight w:val="1232"/>
        </w:trPr>
        <w:tc>
          <w:tcPr>
            <w:tcW w:w="669" w:type="dxa"/>
            <w:tcBorders>
              <w:top w:val="single" w:sz="4" w:space="0" w:color="auto"/>
              <w:bottom w:val="single" w:sz="4" w:space="0" w:color="auto"/>
            </w:tcBorders>
          </w:tcPr>
          <w:p w14:paraId="27C04A4D" w14:textId="77777777" w:rsidR="00611AEB" w:rsidRPr="003761A1" w:rsidRDefault="00611AEB" w:rsidP="005A3A31">
            <w:pPr>
              <w:pStyle w:val="BodyText2"/>
              <w:spacing w:line="240" w:lineRule="auto"/>
              <w:jc w:val="center"/>
              <w:rPr>
                <w:rFonts w:ascii="Times New Roman" w:hAnsi="Times New Roman" w:cs="Times New Roman"/>
                <w:b/>
                <w:bCs/>
              </w:rPr>
            </w:pPr>
          </w:p>
          <w:p w14:paraId="16EF39E7"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9.</w:t>
            </w:r>
          </w:p>
        </w:tc>
        <w:tc>
          <w:tcPr>
            <w:tcW w:w="3553" w:type="dxa"/>
            <w:tcBorders>
              <w:top w:val="single" w:sz="4" w:space="0" w:color="auto"/>
              <w:bottom w:val="single" w:sz="4" w:space="0" w:color="auto"/>
            </w:tcBorders>
          </w:tcPr>
          <w:p w14:paraId="728D02CB" w14:textId="77777777" w:rsidR="00611AEB" w:rsidRPr="003761A1" w:rsidRDefault="00611AEB" w:rsidP="005A3A31">
            <w:pPr>
              <w:pStyle w:val="BodyText2"/>
              <w:spacing w:line="240" w:lineRule="auto"/>
              <w:rPr>
                <w:rFonts w:ascii="Times New Roman" w:hAnsi="Times New Roman" w:cs="Times New Roman"/>
                <w:b/>
                <w:bCs/>
              </w:rPr>
            </w:pPr>
          </w:p>
          <w:p w14:paraId="26B12893"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 xml:space="preserve">Nine miles. Dist. </w:t>
            </w:r>
            <w:proofErr w:type="spellStart"/>
            <w:r w:rsidRPr="003761A1">
              <w:rPr>
                <w:rFonts w:ascii="Times New Roman" w:hAnsi="Times New Roman" w:cs="Times New Roman"/>
                <w:b/>
                <w:bCs/>
              </w:rPr>
              <w:t>Ribhoi</w:t>
            </w:r>
            <w:proofErr w:type="spellEnd"/>
            <w:r w:rsidRPr="003761A1">
              <w:rPr>
                <w:rFonts w:ascii="Times New Roman" w:hAnsi="Times New Roman" w:cs="Times New Roman"/>
                <w:b/>
                <w:bCs/>
              </w:rPr>
              <w:t>, Meghalaya</w:t>
            </w:r>
          </w:p>
        </w:tc>
        <w:tc>
          <w:tcPr>
            <w:tcW w:w="1683" w:type="dxa"/>
            <w:tcBorders>
              <w:top w:val="single" w:sz="4" w:space="0" w:color="auto"/>
              <w:bottom w:val="single" w:sz="4" w:space="0" w:color="auto"/>
            </w:tcBorders>
          </w:tcPr>
          <w:p w14:paraId="756E4892" w14:textId="77777777" w:rsidR="00611AEB" w:rsidRPr="003761A1" w:rsidRDefault="00611AEB" w:rsidP="005A3A31">
            <w:pPr>
              <w:pStyle w:val="BodyText2"/>
              <w:spacing w:line="240" w:lineRule="auto"/>
              <w:rPr>
                <w:rFonts w:ascii="Times New Roman" w:hAnsi="Times New Roman" w:cs="Times New Roman"/>
                <w:b/>
                <w:bCs/>
              </w:rPr>
            </w:pPr>
          </w:p>
          <w:p w14:paraId="22E2F995"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Free range</w:t>
            </w:r>
          </w:p>
        </w:tc>
        <w:tc>
          <w:tcPr>
            <w:tcW w:w="2244" w:type="dxa"/>
            <w:tcBorders>
              <w:top w:val="single" w:sz="4" w:space="0" w:color="auto"/>
              <w:bottom w:val="single" w:sz="4" w:space="0" w:color="auto"/>
            </w:tcBorders>
          </w:tcPr>
          <w:p w14:paraId="788D9C5F" w14:textId="77777777" w:rsidR="00611AEB" w:rsidRPr="003761A1" w:rsidRDefault="00611AEB" w:rsidP="005A3A31">
            <w:pPr>
              <w:pStyle w:val="BodyText2"/>
              <w:spacing w:line="240" w:lineRule="auto"/>
              <w:rPr>
                <w:rFonts w:ascii="Times New Roman" w:hAnsi="Times New Roman" w:cs="Times New Roman"/>
                <w:b/>
                <w:bCs/>
              </w:rPr>
            </w:pPr>
          </w:p>
          <w:p w14:paraId="6BB4E125" w14:textId="77777777" w:rsidR="00611AEB" w:rsidRPr="003761A1" w:rsidRDefault="00611AEB" w:rsidP="005A3A31">
            <w:pPr>
              <w:pStyle w:val="BodyText2"/>
              <w:spacing w:line="240" w:lineRule="auto"/>
              <w:rPr>
                <w:rFonts w:ascii="Times New Roman" w:hAnsi="Times New Roman" w:cs="Times New Roman"/>
                <w:b/>
                <w:bCs/>
              </w:rPr>
            </w:pPr>
            <w:r w:rsidRPr="003761A1">
              <w:rPr>
                <w:rFonts w:ascii="Times New Roman" w:hAnsi="Times New Roman" w:cs="Times New Roman"/>
                <w:b/>
                <w:bCs/>
              </w:rPr>
              <w:t>Doom variety</w:t>
            </w:r>
          </w:p>
        </w:tc>
        <w:tc>
          <w:tcPr>
            <w:tcW w:w="1168" w:type="dxa"/>
            <w:tcBorders>
              <w:top w:val="single" w:sz="4" w:space="0" w:color="auto"/>
              <w:bottom w:val="single" w:sz="4" w:space="0" w:color="auto"/>
            </w:tcBorders>
          </w:tcPr>
          <w:p w14:paraId="152E335E" w14:textId="77777777" w:rsidR="00611AEB" w:rsidRPr="003761A1" w:rsidRDefault="00611AEB" w:rsidP="005A3A31">
            <w:pPr>
              <w:pStyle w:val="BodyText2"/>
              <w:spacing w:line="240" w:lineRule="auto"/>
              <w:jc w:val="center"/>
              <w:rPr>
                <w:rFonts w:ascii="Times New Roman" w:hAnsi="Times New Roman" w:cs="Times New Roman"/>
                <w:b/>
                <w:bCs/>
              </w:rPr>
            </w:pPr>
          </w:p>
          <w:p w14:paraId="2875586B"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1</w:t>
            </w:r>
          </w:p>
        </w:tc>
        <w:tc>
          <w:tcPr>
            <w:tcW w:w="1169" w:type="dxa"/>
            <w:tcBorders>
              <w:top w:val="single" w:sz="4" w:space="0" w:color="auto"/>
              <w:bottom w:val="single" w:sz="4" w:space="0" w:color="auto"/>
            </w:tcBorders>
          </w:tcPr>
          <w:p w14:paraId="38CDCE59" w14:textId="77777777" w:rsidR="00611AEB" w:rsidRPr="003761A1" w:rsidRDefault="00611AEB" w:rsidP="005A3A31">
            <w:pPr>
              <w:pStyle w:val="BodyText2"/>
              <w:spacing w:line="240" w:lineRule="auto"/>
              <w:jc w:val="center"/>
              <w:rPr>
                <w:rFonts w:ascii="Times New Roman" w:hAnsi="Times New Roman" w:cs="Times New Roman"/>
                <w:b/>
                <w:bCs/>
              </w:rPr>
            </w:pPr>
          </w:p>
          <w:p w14:paraId="4A71FF21"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6</w:t>
            </w:r>
          </w:p>
        </w:tc>
        <w:tc>
          <w:tcPr>
            <w:tcW w:w="1169" w:type="dxa"/>
            <w:tcBorders>
              <w:top w:val="single" w:sz="4" w:space="0" w:color="auto"/>
              <w:bottom w:val="single" w:sz="4" w:space="0" w:color="auto"/>
            </w:tcBorders>
          </w:tcPr>
          <w:p w14:paraId="125563D1" w14:textId="77777777" w:rsidR="00611AEB" w:rsidRPr="003761A1" w:rsidRDefault="00611AEB" w:rsidP="005A3A31">
            <w:pPr>
              <w:pStyle w:val="BodyText2"/>
              <w:spacing w:line="240" w:lineRule="auto"/>
              <w:jc w:val="center"/>
              <w:rPr>
                <w:rFonts w:ascii="Times New Roman" w:hAnsi="Times New Roman" w:cs="Times New Roman"/>
                <w:b/>
                <w:bCs/>
              </w:rPr>
            </w:pPr>
          </w:p>
          <w:p w14:paraId="70E2FFB2"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w:t>
            </w:r>
          </w:p>
        </w:tc>
        <w:tc>
          <w:tcPr>
            <w:tcW w:w="1169" w:type="dxa"/>
            <w:tcBorders>
              <w:top w:val="single" w:sz="4" w:space="0" w:color="auto"/>
              <w:bottom w:val="single" w:sz="4" w:space="0" w:color="auto"/>
            </w:tcBorders>
          </w:tcPr>
          <w:p w14:paraId="4F784766" w14:textId="77777777" w:rsidR="00611AEB" w:rsidRPr="003761A1" w:rsidRDefault="00611AEB" w:rsidP="005A3A31">
            <w:pPr>
              <w:pStyle w:val="BodyText2"/>
              <w:spacing w:line="240" w:lineRule="auto"/>
              <w:jc w:val="center"/>
              <w:rPr>
                <w:rFonts w:ascii="Times New Roman" w:hAnsi="Times New Roman" w:cs="Times New Roman"/>
                <w:b/>
                <w:bCs/>
              </w:rPr>
            </w:pPr>
          </w:p>
          <w:p w14:paraId="5457F815"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1</w:t>
            </w:r>
          </w:p>
        </w:tc>
        <w:tc>
          <w:tcPr>
            <w:tcW w:w="935" w:type="dxa"/>
            <w:tcBorders>
              <w:top w:val="single" w:sz="4" w:space="0" w:color="auto"/>
              <w:bottom w:val="single" w:sz="4" w:space="0" w:color="auto"/>
            </w:tcBorders>
          </w:tcPr>
          <w:p w14:paraId="4DD52A46" w14:textId="77777777" w:rsidR="00611AEB" w:rsidRPr="003761A1" w:rsidRDefault="00611AEB" w:rsidP="005A3A31">
            <w:pPr>
              <w:pStyle w:val="BodyText2"/>
              <w:spacing w:line="240" w:lineRule="auto"/>
              <w:jc w:val="center"/>
              <w:rPr>
                <w:rFonts w:ascii="Times New Roman" w:hAnsi="Times New Roman" w:cs="Times New Roman"/>
                <w:b/>
                <w:bCs/>
              </w:rPr>
            </w:pPr>
          </w:p>
          <w:p w14:paraId="05C3A7CF" w14:textId="77777777" w:rsidR="00611AEB" w:rsidRPr="003761A1" w:rsidRDefault="00611AEB" w:rsidP="005A3A31">
            <w:pPr>
              <w:pStyle w:val="BodyText2"/>
              <w:spacing w:line="240" w:lineRule="auto"/>
              <w:jc w:val="center"/>
              <w:rPr>
                <w:rFonts w:ascii="Times New Roman" w:hAnsi="Times New Roman" w:cs="Times New Roman"/>
                <w:b/>
                <w:bCs/>
              </w:rPr>
            </w:pPr>
            <w:r w:rsidRPr="003761A1">
              <w:rPr>
                <w:rFonts w:ascii="Times New Roman" w:hAnsi="Times New Roman" w:cs="Times New Roman"/>
                <w:b/>
                <w:bCs/>
              </w:rPr>
              <w:t>8</w:t>
            </w:r>
          </w:p>
        </w:tc>
      </w:tr>
      <w:tr w:rsidR="00611AEB" w:rsidRPr="003761A1" w14:paraId="0F6DE8E0" w14:textId="77777777" w:rsidTr="005A3A31">
        <w:trPr>
          <w:trHeight w:val="774"/>
        </w:trPr>
        <w:tc>
          <w:tcPr>
            <w:tcW w:w="669" w:type="dxa"/>
            <w:tcBorders>
              <w:top w:val="single" w:sz="4" w:space="0" w:color="auto"/>
              <w:bottom w:val="single" w:sz="4" w:space="0" w:color="auto"/>
            </w:tcBorders>
            <w:vAlign w:val="center"/>
          </w:tcPr>
          <w:p w14:paraId="096713D8" w14:textId="77777777" w:rsidR="00611AEB" w:rsidRPr="003761A1" w:rsidRDefault="00611AEB" w:rsidP="005A3A31">
            <w:pPr>
              <w:pStyle w:val="BodyText2"/>
              <w:spacing w:line="240" w:lineRule="auto"/>
              <w:jc w:val="center"/>
              <w:rPr>
                <w:rFonts w:ascii="Times New Roman" w:hAnsi="Times New Roman" w:cs="Times New Roman"/>
              </w:rPr>
            </w:pPr>
          </w:p>
        </w:tc>
        <w:tc>
          <w:tcPr>
            <w:tcW w:w="3553" w:type="dxa"/>
            <w:tcBorders>
              <w:top w:val="single" w:sz="4" w:space="0" w:color="auto"/>
              <w:bottom w:val="single" w:sz="4" w:space="0" w:color="auto"/>
            </w:tcBorders>
            <w:vAlign w:val="center"/>
          </w:tcPr>
          <w:p w14:paraId="5270E949" w14:textId="77777777" w:rsidR="00611AEB" w:rsidRPr="003761A1" w:rsidRDefault="00611AEB" w:rsidP="005A3A31">
            <w:pPr>
              <w:pStyle w:val="BodyText2"/>
              <w:spacing w:line="240" w:lineRule="auto"/>
              <w:jc w:val="center"/>
              <w:rPr>
                <w:rFonts w:ascii="Times New Roman" w:hAnsi="Times New Roman" w:cs="Times New Roman"/>
              </w:rPr>
            </w:pPr>
            <w:r w:rsidRPr="003761A1">
              <w:rPr>
                <w:rFonts w:ascii="Times New Roman" w:hAnsi="Times New Roman" w:cs="Times New Roman"/>
              </w:rPr>
              <w:t>Total</w:t>
            </w:r>
          </w:p>
        </w:tc>
        <w:tc>
          <w:tcPr>
            <w:tcW w:w="1683" w:type="dxa"/>
            <w:tcBorders>
              <w:top w:val="single" w:sz="4" w:space="0" w:color="auto"/>
              <w:bottom w:val="single" w:sz="4" w:space="0" w:color="auto"/>
            </w:tcBorders>
            <w:vAlign w:val="center"/>
          </w:tcPr>
          <w:p w14:paraId="50B2689D" w14:textId="77777777" w:rsidR="00611AEB" w:rsidRPr="003761A1" w:rsidRDefault="00611AEB" w:rsidP="005A3A31">
            <w:pPr>
              <w:pStyle w:val="BodyText2"/>
              <w:spacing w:line="240" w:lineRule="auto"/>
              <w:jc w:val="center"/>
              <w:rPr>
                <w:rFonts w:ascii="Times New Roman" w:hAnsi="Times New Roman" w:cs="Times New Roman"/>
              </w:rPr>
            </w:pPr>
          </w:p>
        </w:tc>
        <w:tc>
          <w:tcPr>
            <w:tcW w:w="2244" w:type="dxa"/>
            <w:tcBorders>
              <w:top w:val="single" w:sz="4" w:space="0" w:color="auto"/>
              <w:bottom w:val="single" w:sz="4" w:space="0" w:color="auto"/>
            </w:tcBorders>
            <w:vAlign w:val="center"/>
          </w:tcPr>
          <w:p w14:paraId="676439BB" w14:textId="77777777" w:rsidR="00611AEB" w:rsidRPr="003761A1" w:rsidRDefault="00611AEB" w:rsidP="005A3A31">
            <w:pPr>
              <w:pStyle w:val="BodyText2"/>
              <w:spacing w:line="240" w:lineRule="auto"/>
              <w:jc w:val="center"/>
              <w:rPr>
                <w:rFonts w:ascii="Times New Roman" w:hAnsi="Times New Roman" w:cs="Times New Roman"/>
              </w:rPr>
            </w:pPr>
          </w:p>
        </w:tc>
        <w:tc>
          <w:tcPr>
            <w:tcW w:w="1168" w:type="dxa"/>
            <w:tcBorders>
              <w:top w:val="single" w:sz="4" w:space="0" w:color="auto"/>
              <w:bottom w:val="single" w:sz="4" w:space="0" w:color="auto"/>
            </w:tcBorders>
            <w:vAlign w:val="center"/>
          </w:tcPr>
          <w:p w14:paraId="0B07ADF4" w14:textId="77777777" w:rsidR="00611AEB" w:rsidRPr="003761A1" w:rsidRDefault="00611AEB" w:rsidP="005A3A31">
            <w:pPr>
              <w:pStyle w:val="BodyText2"/>
              <w:spacing w:line="240" w:lineRule="auto"/>
              <w:jc w:val="center"/>
              <w:rPr>
                <w:rFonts w:ascii="Times New Roman" w:hAnsi="Times New Roman" w:cs="Times New Roman"/>
              </w:rPr>
            </w:pPr>
            <w:r w:rsidRPr="003761A1">
              <w:rPr>
                <w:rFonts w:ascii="Times New Roman" w:hAnsi="Times New Roman" w:cs="Times New Roman"/>
              </w:rPr>
              <w:t>33 (27.50%)</w:t>
            </w:r>
          </w:p>
        </w:tc>
        <w:tc>
          <w:tcPr>
            <w:tcW w:w="1169" w:type="dxa"/>
            <w:tcBorders>
              <w:top w:val="single" w:sz="4" w:space="0" w:color="auto"/>
              <w:bottom w:val="single" w:sz="4" w:space="0" w:color="auto"/>
            </w:tcBorders>
            <w:vAlign w:val="center"/>
          </w:tcPr>
          <w:p w14:paraId="40A91626" w14:textId="77777777" w:rsidR="00611AEB" w:rsidRPr="003761A1" w:rsidRDefault="00611AEB" w:rsidP="005A3A31">
            <w:pPr>
              <w:pStyle w:val="BodyText2"/>
              <w:spacing w:line="240" w:lineRule="auto"/>
              <w:jc w:val="center"/>
              <w:rPr>
                <w:rFonts w:ascii="Times New Roman" w:hAnsi="Times New Roman" w:cs="Times New Roman"/>
              </w:rPr>
            </w:pPr>
            <w:r w:rsidRPr="003761A1">
              <w:rPr>
                <w:rFonts w:ascii="Times New Roman" w:hAnsi="Times New Roman" w:cs="Times New Roman"/>
              </w:rPr>
              <w:t>53 (44.16%)</w:t>
            </w:r>
          </w:p>
        </w:tc>
        <w:tc>
          <w:tcPr>
            <w:tcW w:w="1169" w:type="dxa"/>
            <w:tcBorders>
              <w:top w:val="single" w:sz="4" w:space="0" w:color="auto"/>
              <w:bottom w:val="single" w:sz="4" w:space="0" w:color="auto"/>
            </w:tcBorders>
            <w:vAlign w:val="center"/>
          </w:tcPr>
          <w:p w14:paraId="31C38599" w14:textId="77777777" w:rsidR="00611AEB" w:rsidRPr="003761A1" w:rsidRDefault="00611AEB" w:rsidP="005A3A31">
            <w:pPr>
              <w:pStyle w:val="BodyText2"/>
              <w:spacing w:line="240" w:lineRule="auto"/>
              <w:jc w:val="center"/>
              <w:rPr>
                <w:rFonts w:ascii="Times New Roman" w:hAnsi="Times New Roman" w:cs="Times New Roman"/>
              </w:rPr>
            </w:pPr>
            <w:r w:rsidRPr="003761A1">
              <w:rPr>
                <w:rFonts w:ascii="Times New Roman" w:hAnsi="Times New Roman" w:cs="Times New Roman"/>
              </w:rPr>
              <w:t>16 (13.30%)</w:t>
            </w:r>
          </w:p>
        </w:tc>
        <w:tc>
          <w:tcPr>
            <w:tcW w:w="1169" w:type="dxa"/>
            <w:tcBorders>
              <w:top w:val="single" w:sz="4" w:space="0" w:color="auto"/>
              <w:bottom w:val="single" w:sz="4" w:space="0" w:color="auto"/>
            </w:tcBorders>
            <w:vAlign w:val="center"/>
          </w:tcPr>
          <w:p w14:paraId="34E91799" w14:textId="77777777" w:rsidR="00611AEB" w:rsidRPr="003761A1" w:rsidRDefault="00611AEB" w:rsidP="005A3A31">
            <w:pPr>
              <w:pStyle w:val="BodyText2"/>
              <w:spacing w:line="240" w:lineRule="auto"/>
              <w:jc w:val="center"/>
              <w:rPr>
                <w:rFonts w:ascii="Times New Roman" w:hAnsi="Times New Roman" w:cs="Times New Roman"/>
              </w:rPr>
            </w:pPr>
            <w:r w:rsidRPr="003761A1">
              <w:rPr>
                <w:rFonts w:ascii="Times New Roman" w:hAnsi="Times New Roman" w:cs="Times New Roman"/>
              </w:rPr>
              <w:t>18 (15.00%)</w:t>
            </w:r>
          </w:p>
        </w:tc>
        <w:tc>
          <w:tcPr>
            <w:tcW w:w="935" w:type="dxa"/>
            <w:tcBorders>
              <w:top w:val="single" w:sz="4" w:space="0" w:color="auto"/>
              <w:bottom w:val="single" w:sz="4" w:space="0" w:color="auto"/>
            </w:tcBorders>
            <w:vAlign w:val="center"/>
          </w:tcPr>
          <w:p w14:paraId="6D3B1A54" w14:textId="77777777" w:rsidR="00611AEB" w:rsidRPr="003761A1" w:rsidRDefault="00611AEB" w:rsidP="005A3A31">
            <w:pPr>
              <w:pStyle w:val="BodyText2"/>
              <w:spacing w:line="240" w:lineRule="auto"/>
              <w:jc w:val="center"/>
              <w:rPr>
                <w:rFonts w:ascii="Times New Roman" w:hAnsi="Times New Roman" w:cs="Times New Roman"/>
              </w:rPr>
            </w:pPr>
            <w:r w:rsidRPr="003761A1">
              <w:rPr>
                <w:rFonts w:ascii="Times New Roman" w:hAnsi="Times New Roman" w:cs="Times New Roman"/>
              </w:rPr>
              <w:t>120</w:t>
            </w:r>
          </w:p>
        </w:tc>
      </w:tr>
    </w:tbl>
    <w:p w14:paraId="5B6018FD" w14:textId="77777777" w:rsidR="00611AEB" w:rsidRDefault="00611AEB" w:rsidP="004008F9">
      <w:pPr>
        <w:pStyle w:val="BodyText2"/>
        <w:spacing w:line="360" w:lineRule="auto"/>
        <w:jc w:val="both"/>
        <w:rPr>
          <w:rFonts w:ascii="Times New Roman" w:hAnsi="Times New Roman" w:cs="Times New Roman"/>
          <w:sz w:val="24"/>
          <w:szCs w:val="24"/>
        </w:rPr>
      </w:pPr>
    </w:p>
    <w:p w14:paraId="21AD6BC1" w14:textId="77777777" w:rsidR="004008F9" w:rsidRPr="00612D85" w:rsidRDefault="004008F9" w:rsidP="004008F9">
      <w:pPr>
        <w:pStyle w:val="BodyText2"/>
        <w:spacing w:line="360" w:lineRule="auto"/>
        <w:ind w:left="1309" w:hanging="1309"/>
        <w:rPr>
          <w:rFonts w:ascii="Times New Roman" w:hAnsi="Times New Roman" w:cs="Times New Roman"/>
          <w:sz w:val="24"/>
          <w:szCs w:val="24"/>
        </w:rPr>
      </w:pPr>
      <w:r w:rsidRPr="00612D85">
        <w:rPr>
          <w:rFonts w:ascii="Times New Roman" w:hAnsi="Times New Roman" w:cs="Times New Roman"/>
          <w:b/>
          <w:sz w:val="24"/>
          <w:szCs w:val="24"/>
        </w:rPr>
        <w:t xml:space="preserve">Table 2.  </w:t>
      </w:r>
      <w:r w:rsidRPr="00AE26CD">
        <w:rPr>
          <w:rFonts w:ascii="Times New Roman" w:hAnsi="Times New Roman" w:cs="Times New Roman"/>
          <w:b/>
        </w:rPr>
        <w:t>CLINICAL SYMPTOMS EXHIBITED BY PIGS OF DIFFERENT AGE GROUPS NATURALLY INFECTED WITH HCV</w: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10C37F" wp14:editId="3C28BAA0">
                <wp:simplePos x="0" y="0"/>
                <wp:positionH relativeFrom="column">
                  <wp:posOffset>8430895</wp:posOffset>
                </wp:positionH>
                <wp:positionV relativeFrom="paragraph">
                  <wp:posOffset>-1065530</wp:posOffset>
                </wp:positionV>
                <wp:extent cx="356235" cy="228600"/>
                <wp:effectExtent l="1270" t="0" r="4445" b="1270"/>
                <wp:wrapThrough wrapText="bothSides">
                  <wp:wrapPolygon edited="0">
                    <wp:start x="-578" y="0"/>
                    <wp:lineTo x="-578" y="21600"/>
                    <wp:lineTo x="22178" y="21600"/>
                    <wp:lineTo x="22178" y="0"/>
                    <wp:lineTo x="-578" y="0"/>
                  </wp:wrapPolygon>
                </wp:wrapThrough>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56F76" id="Rectangle 1" o:spid="_x0000_s1026" style="position:absolute;margin-left:663.85pt;margin-top:-83.9pt;width:28.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" stroked="f">
                <w10:wrap type="through"/>
              </v:rect>
            </w:pict>
          </mc:Fallback>
        </mc:AlternateContent>
      </w:r>
    </w:p>
    <w:tbl>
      <w:tblPr>
        <w:tblW w:w="12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134"/>
        <w:gridCol w:w="1276"/>
        <w:gridCol w:w="1559"/>
        <w:gridCol w:w="1418"/>
        <w:gridCol w:w="1134"/>
        <w:gridCol w:w="1275"/>
        <w:gridCol w:w="993"/>
        <w:gridCol w:w="1701"/>
      </w:tblGrid>
      <w:tr w:rsidR="004008F9" w:rsidRPr="00612D85" w14:paraId="25ABAB1E" w14:textId="77777777" w:rsidTr="00035EB8">
        <w:trPr>
          <w:cantSplit/>
          <w:trHeight w:val="353"/>
        </w:trPr>
        <w:tc>
          <w:tcPr>
            <w:tcW w:w="1134" w:type="dxa"/>
            <w:vMerge w:val="restart"/>
          </w:tcPr>
          <w:p w14:paraId="150BA182" w14:textId="77777777" w:rsidR="004008F9" w:rsidRPr="00AE26CD" w:rsidRDefault="004008F9" w:rsidP="00E27322">
            <w:pPr>
              <w:pStyle w:val="NoSpacing"/>
            </w:pPr>
            <w:r w:rsidRPr="00AE26CD">
              <w:t>Age group (months)</w:t>
            </w:r>
          </w:p>
        </w:tc>
        <w:tc>
          <w:tcPr>
            <w:tcW w:w="1134" w:type="dxa"/>
            <w:vMerge w:val="restart"/>
          </w:tcPr>
          <w:p w14:paraId="7A3FBC42" w14:textId="77777777" w:rsidR="004008F9" w:rsidRPr="00AE26CD" w:rsidRDefault="004008F9" w:rsidP="00E27322">
            <w:pPr>
              <w:pStyle w:val="NoSpacing"/>
            </w:pPr>
            <w:r w:rsidRPr="00AE26CD">
              <w:t>No. of affected animals</w:t>
            </w:r>
          </w:p>
        </w:tc>
        <w:tc>
          <w:tcPr>
            <w:tcW w:w="10490" w:type="dxa"/>
            <w:gridSpan w:val="8"/>
          </w:tcPr>
          <w:p w14:paraId="7A262D7A" w14:textId="77777777" w:rsidR="004008F9" w:rsidRPr="00AE26CD" w:rsidRDefault="004008F9" w:rsidP="00E27322">
            <w:pPr>
              <w:pStyle w:val="NoSpacing"/>
            </w:pPr>
            <w:r w:rsidRPr="00AE26CD">
              <w:t>No. of animals showing clinical symptoms of</w:t>
            </w:r>
          </w:p>
        </w:tc>
      </w:tr>
      <w:tr w:rsidR="004008F9" w:rsidRPr="00612D85" w14:paraId="170765DB" w14:textId="77777777" w:rsidTr="00035EB8">
        <w:trPr>
          <w:cantSplit/>
          <w:trHeight w:hRule="exact" w:val="794"/>
        </w:trPr>
        <w:tc>
          <w:tcPr>
            <w:tcW w:w="1134" w:type="dxa"/>
            <w:vMerge/>
          </w:tcPr>
          <w:p w14:paraId="45D052DF" w14:textId="77777777" w:rsidR="004008F9" w:rsidRPr="00AE26CD" w:rsidRDefault="004008F9" w:rsidP="00E27322">
            <w:pPr>
              <w:pStyle w:val="NoSpacing"/>
            </w:pPr>
          </w:p>
        </w:tc>
        <w:tc>
          <w:tcPr>
            <w:tcW w:w="1134" w:type="dxa"/>
            <w:vMerge/>
          </w:tcPr>
          <w:p w14:paraId="64081EF5" w14:textId="77777777" w:rsidR="004008F9" w:rsidRPr="00AE26CD" w:rsidRDefault="004008F9" w:rsidP="00E27322">
            <w:pPr>
              <w:pStyle w:val="NoSpacing"/>
            </w:pPr>
          </w:p>
        </w:tc>
        <w:tc>
          <w:tcPr>
            <w:tcW w:w="1134" w:type="dxa"/>
          </w:tcPr>
          <w:p w14:paraId="26989710" w14:textId="77777777" w:rsidR="004008F9" w:rsidRPr="00AE26CD" w:rsidRDefault="004008F9" w:rsidP="00E27322">
            <w:pPr>
              <w:pStyle w:val="NoSpacing"/>
            </w:pPr>
            <w:r w:rsidRPr="00AE26CD">
              <w:t>High fever</w:t>
            </w:r>
          </w:p>
        </w:tc>
        <w:tc>
          <w:tcPr>
            <w:tcW w:w="1276" w:type="dxa"/>
          </w:tcPr>
          <w:p w14:paraId="46E81688" w14:textId="77777777" w:rsidR="00AE26CD" w:rsidRPr="00AE26CD" w:rsidRDefault="004008F9" w:rsidP="004008F9">
            <w:pPr>
              <w:pStyle w:val="NoSpacing"/>
              <w:ind w:right="-108"/>
            </w:pPr>
            <w:r w:rsidRPr="00AE26CD">
              <w:t>Anorexia/</w:t>
            </w:r>
          </w:p>
          <w:p w14:paraId="50B53174" w14:textId="77777777" w:rsidR="004008F9" w:rsidRPr="00AE26CD" w:rsidRDefault="004008F9" w:rsidP="004008F9">
            <w:pPr>
              <w:pStyle w:val="NoSpacing"/>
              <w:ind w:right="-108"/>
            </w:pPr>
            <w:r w:rsidRPr="00AE26CD">
              <w:t>Inappetance</w:t>
            </w:r>
          </w:p>
        </w:tc>
        <w:tc>
          <w:tcPr>
            <w:tcW w:w="1559" w:type="dxa"/>
          </w:tcPr>
          <w:p w14:paraId="52370502" w14:textId="77777777" w:rsidR="004008F9" w:rsidRPr="00AE26CD" w:rsidRDefault="004008F9" w:rsidP="00E27322">
            <w:pPr>
              <w:pStyle w:val="NoSpacing"/>
            </w:pPr>
            <w:r w:rsidRPr="00AE26CD">
              <w:t>Conjunctivitis</w:t>
            </w:r>
          </w:p>
        </w:tc>
        <w:tc>
          <w:tcPr>
            <w:tcW w:w="1418" w:type="dxa"/>
          </w:tcPr>
          <w:p w14:paraId="23C7FDB6" w14:textId="77777777" w:rsidR="00AE26CD" w:rsidRPr="00AE26CD" w:rsidRDefault="004008F9" w:rsidP="00E27322">
            <w:pPr>
              <w:pStyle w:val="NoSpacing"/>
            </w:pPr>
            <w:r w:rsidRPr="00AE26CD">
              <w:t xml:space="preserve">Hyperaemia </w:t>
            </w:r>
          </w:p>
          <w:p w14:paraId="4A5CFCBE" w14:textId="77777777" w:rsidR="004008F9" w:rsidRPr="00AE26CD" w:rsidRDefault="004008F9" w:rsidP="00E27322">
            <w:pPr>
              <w:pStyle w:val="NoSpacing"/>
            </w:pPr>
            <w:r w:rsidRPr="00AE26CD">
              <w:t>of skin</w:t>
            </w:r>
          </w:p>
        </w:tc>
        <w:tc>
          <w:tcPr>
            <w:tcW w:w="1134" w:type="dxa"/>
          </w:tcPr>
          <w:p w14:paraId="6C58E5C1" w14:textId="77777777" w:rsidR="004008F9" w:rsidRPr="00AE26CD" w:rsidRDefault="004008F9" w:rsidP="00E27322">
            <w:pPr>
              <w:pStyle w:val="NoSpacing"/>
            </w:pPr>
            <w:r w:rsidRPr="00AE26CD">
              <w:t>Diarrhoea</w:t>
            </w:r>
          </w:p>
        </w:tc>
        <w:tc>
          <w:tcPr>
            <w:tcW w:w="1275" w:type="dxa"/>
          </w:tcPr>
          <w:p w14:paraId="29730A10" w14:textId="77777777" w:rsidR="004008F9" w:rsidRPr="00AE26CD" w:rsidRDefault="004008F9" w:rsidP="00AE26CD">
            <w:pPr>
              <w:pStyle w:val="NoSpacing"/>
              <w:ind w:right="-108"/>
            </w:pPr>
            <w:r w:rsidRPr="00AE26CD">
              <w:t>Constipation</w:t>
            </w:r>
          </w:p>
        </w:tc>
        <w:tc>
          <w:tcPr>
            <w:tcW w:w="993" w:type="dxa"/>
          </w:tcPr>
          <w:p w14:paraId="3D55BF7C" w14:textId="77777777" w:rsidR="004008F9" w:rsidRPr="00AE26CD" w:rsidRDefault="004008F9" w:rsidP="00E27322">
            <w:pPr>
              <w:pStyle w:val="NoSpacing"/>
            </w:pPr>
            <w:r w:rsidRPr="00AE26CD">
              <w:t>Incoordination</w:t>
            </w:r>
          </w:p>
        </w:tc>
        <w:tc>
          <w:tcPr>
            <w:tcW w:w="1701" w:type="dxa"/>
          </w:tcPr>
          <w:p w14:paraId="1D9FD051" w14:textId="77777777" w:rsidR="004008F9" w:rsidRPr="00AE26CD" w:rsidRDefault="004008F9" w:rsidP="00E27322">
            <w:pPr>
              <w:pStyle w:val="NoSpacing"/>
            </w:pPr>
            <w:r w:rsidRPr="00AE26CD">
              <w:t>Abortion, fetal mummification, stillbirth</w:t>
            </w:r>
          </w:p>
        </w:tc>
      </w:tr>
      <w:tr w:rsidR="004008F9" w:rsidRPr="00612D85" w14:paraId="7776485E" w14:textId="77777777" w:rsidTr="00035EB8">
        <w:trPr>
          <w:trHeight w:val="616"/>
        </w:trPr>
        <w:tc>
          <w:tcPr>
            <w:tcW w:w="1134" w:type="dxa"/>
            <w:vAlign w:val="center"/>
          </w:tcPr>
          <w:p w14:paraId="11DB3F67" w14:textId="77777777" w:rsidR="004008F9" w:rsidRPr="00153C29" w:rsidRDefault="004008F9" w:rsidP="00AE26CD">
            <w:pPr>
              <w:pStyle w:val="NoSpacing"/>
            </w:pPr>
            <w:r w:rsidRPr="00153C29">
              <w:lastRenderedPageBreak/>
              <w:t>0 - 2</w:t>
            </w:r>
          </w:p>
        </w:tc>
        <w:tc>
          <w:tcPr>
            <w:tcW w:w="1134" w:type="dxa"/>
            <w:vAlign w:val="center"/>
          </w:tcPr>
          <w:p w14:paraId="231C18C7" w14:textId="77777777" w:rsidR="004008F9" w:rsidRPr="00153C29" w:rsidRDefault="004008F9" w:rsidP="00AE26CD">
            <w:pPr>
              <w:pStyle w:val="NoSpacing"/>
            </w:pPr>
            <w:r w:rsidRPr="00153C29">
              <w:t xml:space="preserve">32 </w:t>
            </w:r>
          </w:p>
        </w:tc>
        <w:tc>
          <w:tcPr>
            <w:tcW w:w="1134" w:type="dxa"/>
            <w:vAlign w:val="center"/>
          </w:tcPr>
          <w:p w14:paraId="07EF5347" w14:textId="77777777" w:rsidR="004008F9" w:rsidRPr="00153C29" w:rsidRDefault="004008F9" w:rsidP="00AE26CD">
            <w:pPr>
              <w:pStyle w:val="NoSpacing"/>
            </w:pPr>
            <w:r w:rsidRPr="00153C29">
              <w:t>26</w:t>
            </w:r>
          </w:p>
          <w:p w14:paraId="035A7B20" w14:textId="77777777" w:rsidR="004008F9" w:rsidRPr="00153C29" w:rsidRDefault="004008F9" w:rsidP="00AE26CD">
            <w:pPr>
              <w:pStyle w:val="NoSpacing"/>
            </w:pPr>
            <w:r w:rsidRPr="00153C29">
              <w:t>(81.25)</w:t>
            </w:r>
          </w:p>
        </w:tc>
        <w:tc>
          <w:tcPr>
            <w:tcW w:w="1276" w:type="dxa"/>
            <w:vAlign w:val="center"/>
          </w:tcPr>
          <w:p w14:paraId="4132342C" w14:textId="77777777" w:rsidR="004008F9" w:rsidRPr="00153C29" w:rsidRDefault="004008F9" w:rsidP="00AE26CD">
            <w:pPr>
              <w:pStyle w:val="NoSpacing"/>
            </w:pPr>
            <w:r w:rsidRPr="00153C29">
              <w:t>30</w:t>
            </w:r>
          </w:p>
          <w:p w14:paraId="3E0842A4" w14:textId="77777777" w:rsidR="004008F9" w:rsidRPr="00153C29" w:rsidRDefault="004008F9" w:rsidP="00AE26CD">
            <w:pPr>
              <w:pStyle w:val="NoSpacing"/>
            </w:pPr>
            <w:r w:rsidRPr="00153C29">
              <w:t>(93.75)</w:t>
            </w:r>
          </w:p>
        </w:tc>
        <w:tc>
          <w:tcPr>
            <w:tcW w:w="1559" w:type="dxa"/>
            <w:vAlign w:val="center"/>
          </w:tcPr>
          <w:p w14:paraId="5DF1726E" w14:textId="77777777" w:rsidR="004008F9" w:rsidRPr="00153C29" w:rsidRDefault="004008F9" w:rsidP="00AE26CD">
            <w:pPr>
              <w:pStyle w:val="NoSpacing"/>
            </w:pPr>
            <w:r w:rsidRPr="00153C29">
              <w:t>20</w:t>
            </w:r>
          </w:p>
          <w:p w14:paraId="12BFD289" w14:textId="77777777" w:rsidR="004008F9" w:rsidRPr="00153C29" w:rsidRDefault="004008F9" w:rsidP="00AE26CD">
            <w:pPr>
              <w:pStyle w:val="NoSpacing"/>
            </w:pPr>
            <w:r w:rsidRPr="00153C29">
              <w:t>(62.50)</w:t>
            </w:r>
          </w:p>
        </w:tc>
        <w:tc>
          <w:tcPr>
            <w:tcW w:w="1418" w:type="dxa"/>
            <w:vAlign w:val="center"/>
          </w:tcPr>
          <w:p w14:paraId="63FC8CD0" w14:textId="77777777" w:rsidR="004008F9" w:rsidRPr="00153C29" w:rsidRDefault="004008F9" w:rsidP="00AE26CD">
            <w:pPr>
              <w:pStyle w:val="NoSpacing"/>
            </w:pPr>
            <w:r w:rsidRPr="00153C29">
              <w:t>15</w:t>
            </w:r>
          </w:p>
          <w:p w14:paraId="6AB2E67F" w14:textId="77777777" w:rsidR="004008F9" w:rsidRPr="00153C29" w:rsidRDefault="004008F9" w:rsidP="00AE26CD">
            <w:pPr>
              <w:pStyle w:val="NoSpacing"/>
            </w:pPr>
            <w:r w:rsidRPr="00153C29">
              <w:t>(46.87)</w:t>
            </w:r>
          </w:p>
        </w:tc>
        <w:tc>
          <w:tcPr>
            <w:tcW w:w="1134" w:type="dxa"/>
            <w:vAlign w:val="center"/>
          </w:tcPr>
          <w:p w14:paraId="6C41754B" w14:textId="77777777" w:rsidR="004008F9" w:rsidRPr="00153C29" w:rsidRDefault="004008F9" w:rsidP="00AE26CD">
            <w:pPr>
              <w:pStyle w:val="NoSpacing"/>
            </w:pPr>
            <w:r w:rsidRPr="00153C29">
              <w:t>26</w:t>
            </w:r>
          </w:p>
          <w:p w14:paraId="263DB250" w14:textId="77777777" w:rsidR="004008F9" w:rsidRPr="00153C29" w:rsidRDefault="004008F9" w:rsidP="00AE26CD">
            <w:pPr>
              <w:pStyle w:val="NoSpacing"/>
            </w:pPr>
            <w:r w:rsidRPr="00153C29">
              <w:t>(81.25)</w:t>
            </w:r>
          </w:p>
        </w:tc>
        <w:tc>
          <w:tcPr>
            <w:tcW w:w="1275" w:type="dxa"/>
            <w:vAlign w:val="center"/>
          </w:tcPr>
          <w:p w14:paraId="27EE687A" w14:textId="77777777" w:rsidR="004008F9" w:rsidRPr="00153C29" w:rsidRDefault="004008F9" w:rsidP="00AE26CD">
            <w:pPr>
              <w:pStyle w:val="NoSpacing"/>
            </w:pPr>
            <w:r w:rsidRPr="00153C29">
              <w:t>6</w:t>
            </w:r>
          </w:p>
          <w:p w14:paraId="002AD9C1" w14:textId="77777777" w:rsidR="004008F9" w:rsidRPr="00153C29" w:rsidRDefault="004008F9" w:rsidP="00AE26CD">
            <w:pPr>
              <w:pStyle w:val="NoSpacing"/>
            </w:pPr>
            <w:r w:rsidRPr="00153C29">
              <w:t>(18.75)</w:t>
            </w:r>
          </w:p>
        </w:tc>
        <w:tc>
          <w:tcPr>
            <w:tcW w:w="993" w:type="dxa"/>
            <w:vAlign w:val="center"/>
          </w:tcPr>
          <w:p w14:paraId="06F074E4" w14:textId="77777777" w:rsidR="004008F9" w:rsidRPr="00153C29" w:rsidRDefault="004008F9" w:rsidP="00AE26CD">
            <w:pPr>
              <w:pStyle w:val="NoSpacing"/>
            </w:pPr>
            <w:r w:rsidRPr="00153C29">
              <w:t>-</w:t>
            </w:r>
          </w:p>
        </w:tc>
        <w:tc>
          <w:tcPr>
            <w:tcW w:w="1701" w:type="dxa"/>
            <w:vAlign w:val="center"/>
          </w:tcPr>
          <w:p w14:paraId="51C11603" w14:textId="77777777" w:rsidR="004008F9" w:rsidRPr="00153C29" w:rsidRDefault="004008F9" w:rsidP="00AE26CD">
            <w:pPr>
              <w:pStyle w:val="NoSpacing"/>
            </w:pPr>
            <w:r w:rsidRPr="00153C29">
              <w:t>-</w:t>
            </w:r>
          </w:p>
        </w:tc>
      </w:tr>
      <w:tr w:rsidR="004008F9" w:rsidRPr="00612D85" w14:paraId="4DB0BAB9" w14:textId="77777777" w:rsidTr="00035EB8">
        <w:trPr>
          <w:trHeight w:val="673"/>
        </w:trPr>
        <w:tc>
          <w:tcPr>
            <w:tcW w:w="1134" w:type="dxa"/>
            <w:vAlign w:val="center"/>
          </w:tcPr>
          <w:p w14:paraId="0FC34685" w14:textId="77777777" w:rsidR="004008F9" w:rsidRPr="00153C29" w:rsidRDefault="004008F9" w:rsidP="00AE26CD">
            <w:pPr>
              <w:pStyle w:val="NoSpacing"/>
            </w:pPr>
            <w:r w:rsidRPr="00153C29">
              <w:t>2 - 4</w:t>
            </w:r>
          </w:p>
        </w:tc>
        <w:tc>
          <w:tcPr>
            <w:tcW w:w="1134" w:type="dxa"/>
            <w:vAlign w:val="center"/>
          </w:tcPr>
          <w:p w14:paraId="51752645" w14:textId="77777777" w:rsidR="004008F9" w:rsidRPr="00153C29" w:rsidRDefault="004008F9" w:rsidP="00AE26CD">
            <w:pPr>
              <w:pStyle w:val="NoSpacing"/>
            </w:pPr>
            <w:r w:rsidRPr="00153C29">
              <w:t>51</w:t>
            </w:r>
          </w:p>
        </w:tc>
        <w:tc>
          <w:tcPr>
            <w:tcW w:w="1134" w:type="dxa"/>
            <w:vAlign w:val="center"/>
          </w:tcPr>
          <w:p w14:paraId="164A099F" w14:textId="77777777" w:rsidR="004008F9" w:rsidRPr="00153C29" w:rsidRDefault="004008F9" w:rsidP="00AE26CD">
            <w:pPr>
              <w:pStyle w:val="NoSpacing"/>
            </w:pPr>
            <w:r w:rsidRPr="00153C29">
              <w:t>45</w:t>
            </w:r>
          </w:p>
          <w:p w14:paraId="315FE976" w14:textId="77777777" w:rsidR="004008F9" w:rsidRPr="00153C29" w:rsidRDefault="004008F9" w:rsidP="00AE26CD">
            <w:pPr>
              <w:pStyle w:val="NoSpacing"/>
            </w:pPr>
            <w:r w:rsidRPr="00153C29">
              <w:t>(88.23)</w:t>
            </w:r>
          </w:p>
        </w:tc>
        <w:tc>
          <w:tcPr>
            <w:tcW w:w="1276" w:type="dxa"/>
            <w:vAlign w:val="center"/>
          </w:tcPr>
          <w:p w14:paraId="478C1F65" w14:textId="77777777" w:rsidR="004008F9" w:rsidRPr="00153C29" w:rsidRDefault="004008F9" w:rsidP="00AE26CD">
            <w:pPr>
              <w:pStyle w:val="NoSpacing"/>
            </w:pPr>
            <w:r w:rsidRPr="00153C29">
              <w:t>50</w:t>
            </w:r>
          </w:p>
          <w:p w14:paraId="659D4320" w14:textId="77777777" w:rsidR="004008F9" w:rsidRPr="00153C29" w:rsidRDefault="004008F9" w:rsidP="00AE26CD">
            <w:pPr>
              <w:pStyle w:val="NoSpacing"/>
            </w:pPr>
            <w:r w:rsidRPr="00153C29">
              <w:t>(98.03)</w:t>
            </w:r>
          </w:p>
        </w:tc>
        <w:tc>
          <w:tcPr>
            <w:tcW w:w="1559" w:type="dxa"/>
            <w:vAlign w:val="center"/>
          </w:tcPr>
          <w:p w14:paraId="5D250FDE" w14:textId="77777777" w:rsidR="004008F9" w:rsidRPr="00153C29" w:rsidRDefault="004008F9" w:rsidP="00AE26CD">
            <w:pPr>
              <w:pStyle w:val="NoSpacing"/>
            </w:pPr>
            <w:r w:rsidRPr="00153C29">
              <w:t>43</w:t>
            </w:r>
          </w:p>
          <w:p w14:paraId="71DEB167" w14:textId="77777777" w:rsidR="004008F9" w:rsidRPr="00153C29" w:rsidRDefault="004008F9" w:rsidP="00AE26CD">
            <w:pPr>
              <w:pStyle w:val="NoSpacing"/>
            </w:pPr>
            <w:r w:rsidRPr="00153C29">
              <w:t>(84.31)</w:t>
            </w:r>
          </w:p>
        </w:tc>
        <w:tc>
          <w:tcPr>
            <w:tcW w:w="1418" w:type="dxa"/>
            <w:vAlign w:val="center"/>
          </w:tcPr>
          <w:p w14:paraId="0748C2FE" w14:textId="77777777" w:rsidR="004008F9" w:rsidRPr="00153C29" w:rsidRDefault="004008F9" w:rsidP="00AE26CD">
            <w:pPr>
              <w:pStyle w:val="NoSpacing"/>
            </w:pPr>
            <w:r w:rsidRPr="00153C29">
              <w:t>42</w:t>
            </w:r>
          </w:p>
          <w:p w14:paraId="0D6D4672" w14:textId="77777777" w:rsidR="004008F9" w:rsidRPr="00153C29" w:rsidRDefault="004008F9" w:rsidP="00AE26CD">
            <w:pPr>
              <w:pStyle w:val="NoSpacing"/>
            </w:pPr>
            <w:r w:rsidRPr="00153C29">
              <w:t>(82.35)</w:t>
            </w:r>
          </w:p>
        </w:tc>
        <w:tc>
          <w:tcPr>
            <w:tcW w:w="1134" w:type="dxa"/>
            <w:vAlign w:val="center"/>
          </w:tcPr>
          <w:p w14:paraId="3434316C" w14:textId="77777777" w:rsidR="004008F9" w:rsidRPr="00153C29" w:rsidRDefault="004008F9" w:rsidP="00AE26CD">
            <w:pPr>
              <w:pStyle w:val="NoSpacing"/>
            </w:pPr>
            <w:r w:rsidRPr="00153C29">
              <w:t>22</w:t>
            </w:r>
          </w:p>
          <w:p w14:paraId="5158C3F1" w14:textId="77777777" w:rsidR="004008F9" w:rsidRPr="00153C29" w:rsidRDefault="004008F9" w:rsidP="00AE26CD">
            <w:pPr>
              <w:pStyle w:val="NoSpacing"/>
            </w:pPr>
            <w:r w:rsidRPr="00153C29">
              <w:t>(43.13)</w:t>
            </w:r>
          </w:p>
        </w:tc>
        <w:tc>
          <w:tcPr>
            <w:tcW w:w="1275" w:type="dxa"/>
            <w:vAlign w:val="center"/>
          </w:tcPr>
          <w:p w14:paraId="5561C7DF" w14:textId="77777777" w:rsidR="004008F9" w:rsidRPr="00153C29" w:rsidRDefault="004008F9" w:rsidP="00AE26CD">
            <w:pPr>
              <w:pStyle w:val="NoSpacing"/>
            </w:pPr>
            <w:r w:rsidRPr="00153C29">
              <w:t>10</w:t>
            </w:r>
          </w:p>
          <w:p w14:paraId="233D8F41" w14:textId="77777777" w:rsidR="004008F9" w:rsidRPr="00153C29" w:rsidRDefault="004008F9" w:rsidP="00AE26CD">
            <w:pPr>
              <w:pStyle w:val="NoSpacing"/>
            </w:pPr>
            <w:r w:rsidRPr="00153C29">
              <w:t>(19.60)</w:t>
            </w:r>
          </w:p>
        </w:tc>
        <w:tc>
          <w:tcPr>
            <w:tcW w:w="993" w:type="dxa"/>
            <w:vAlign w:val="center"/>
          </w:tcPr>
          <w:p w14:paraId="0BAD70E8" w14:textId="77777777" w:rsidR="004008F9" w:rsidRPr="00153C29" w:rsidRDefault="004008F9" w:rsidP="00AE26CD">
            <w:pPr>
              <w:pStyle w:val="NoSpacing"/>
            </w:pPr>
            <w:r w:rsidRPr="00153C29">
              <w:t>10</w:t>
            </w:r>
          </w:p>
          <w:p w14:paraId="17D121EA" w14:textId="77777777" w:rsidR="004008F9" w:rsidRPr="00153C29" w:rsidRDefault="004008F9" w:rsidP="00AE26CD">
            <w:pPr>
              <w:pStyle w:val="NoSpacing"/>
            </w:pPr>
            <w:r w:rsidRPr="00153C29">
              <w:t>(19.60)</w:t>
            </w:r>
          </w:p>
        </w:tc>
        <w:tc>
          <w:tcPr>
            <w:tcW w:w="1701" w:type="dxa"/>
            <w:vAlign w:val="center"/>
          </w:tcPr>
          <w:p w14:paraId="4D0ED93C" w14:textId="77777777" w:rsidR="004008F9" w:rsidRPr="00153C29" w:rsidRDefault="004008F9" w:rsidP="00AE26CD">
            <w:pPr>
              <w:pStyle w:val="NoSpacing"/>
            </w:pPr>
            <w:r w:rsidRPr="00153C29">
              <w:t>-</w:t>
            </w:r>
          </w:p>
        </w:tc>
      </w:tr>
      <w:tr w:rsidR="004008F9" w:rsidRPr="00612D85" w14:paraId="7E684CD8" w14:textId="77777777" w:rsidTr="00035EB8">
        <w:trPr>
          <w:trHeight w:val="673"/>
        </w:trPr>
        <w:tc>
          <w:tcPr>
            <w:tcW w:w="1134" w:type="dxa"/>
            <w:vAlign w:val="center"/>
          </w:tcPr>
          <w:p w14:paraId="0FF82294" w14:textId="77777777" w:rsidR="004008F9" w:rsidRPr="00153C29" w:rsidRDefault="004008F9" w:rsidP="00AE26CD">
            <w:pPr>
              <w:pStyle w:val="NoSpacing"/>
            </w:pPr>
            <w:r w:rsidRPr="00153C29">
              <w:t>4 - 8</w:t>
            </w:r>
          </w:p>
        </w:tc>
        <w:tc>
          <w:tcPr>
            <w:tcW w:w="1134" w:type="dxa"/>
            <w:vAlign w:val="center"/>
          </w:tcPr>
          <w:p w14:paraId="3D53334D" w14:textId="77777777" w:rsidR="004008F9" w:rsidRPr="00153C29" w:rsidRDefault="004008F9" w:rsidP="00AE26CD">
            <w:pPr>
              <w:pStyle w:val="NoSpacing"/>
            </w:pPr>
            <w:r w:rsidRPr="00153C29">
              <w:t>21</w:t>
            </w:r>
          </w:p>
        </w:tc>
        <w:tc>
          <w:tcPr>
            <w:tcW w:w="1134" w:type="dxa"/>
            <w:vAlign w:val="center"/>
          </w:tcPr>
          <w:p w14:paraId="3BE3D8E8" w14:textId="77777777" w:rsidR="004008F9" w:rsidRPr="00153C29" w:rsidRDefault="004008F9" w:rsidP="00AE26CD">
            <w:pPr>
              <w:pStyle w:val="NoSpacing"/>
            </w:pPr>
            <w:r w:rsidRPr="00153C29">
              <w:t>14</w:t>
            </w:r>
          </w:p>
          <w:p w14:paraId="2F04FE25" w14:textId="77777777" w:rsidR="004008F9" w:rsidRPr="00153C29" w:rsidRDefault="004008F9" w:rsidP="00AE26CD">
            <w:pPr>
              <w:pStyle w:val="NoSpacing"/>
            </w:pPr>
            <w:r w:rsidRPr="00153C29">
              <w:t>(66.67)</w:t>
            </w:r>
          </w:p>
        </w:tc>
        <w:tc>
          <w:tcPr>
            <w:tcW w:w="1276" w:type="dxa"/>
            <w:vAlign w:val="center"/>
          </w:tcPr>
          <w:p w14:paraId="6D969E51" w14:textId="77777777" w:rsidR="004008F9" w:rsidRPr="00153C29" w:rsidRDefault="004008F9" w:rsidP="00AE26CD">
            <w:pPr>
              <w:pStyle w:val="NoSpacing"/>
            </w:pPr>
            <w:r w:rsidRPr="00153C29">
              <w:t>16</w:t>
            </w:r>
          </w:p>
          <w:p w14:paraId="46447134" w14:textId="77777777" w:rsidR="004008F9" w:rsidRPr="00153C29" w:rsidRDefault="004008F9" w:rsidP="00AE26CD">
            <w:pPr>
              <w:pStyle w:val="NoSpacing"/>
            </w:pPr>
            <w:r w:rsidRPr="00153C29">
              <w:t>(76.19)</w:t>
            </w:r>
          </w:p>
        </w:tc>
        <w:tc>
          <w:tcPr>
            <w:tcW w:w="1559" w:type="dxa"/>
            <w:vAlign w:val="center"/>
          </w:tcPr>
          <w:p w14:paraId="4AB7A165" w14:textId="77777777" w:rsidR="004008F9" w:rsidRPr="00153C29" w:rsidRDefault="004008F9" w:rsidP="00AE26CD">
            <w:pPr>
              <w:pStyle w:val="NoSpacing"/>
            </w:pPr>
            <w:r w:rsidRPr="00153C29">
              <w:t>20</w:t>
            </w:r>
          </w:p>
          <w:p w14:paraId="01B780CD" w14:textId="77777777" w:rsidR="004008F9" w:rsidRPr="00153C29" w:rsidRDefault="004008F9" w:rsidP="00AE26CD">
            <w:pPr>
              <w:pStyle w:val="NoSpacing"/>
            </w:pPr>
            <w:r w:rsidRPr="00153C29">
              <w:t>(95.23)</w:t>
            </w:r>
          </w:p>
        </w:tc>
        <w:tc>
          <w:tcPr>
            <w:tcW w:w="1418" w:type="dxa"/>
            <w:vAlign w:val="center"/>
          </w:tcPr>
          <w:p w14:paraId="77D4FB88" w14:textId="77777777" w:rsidR="004008F9" w:rsidRPr="00153C29" w:rsidRDefault="004008F9" w:rsidP="00AE26CD">
            <w:pPr>
              <w:pStyle w:val="NoSpacing"/>
            </w:pPr>
            <w:r w:rsidRPr="00153C29">
              <w:t>16</w:t>
            </w:r>
          </w:p>
          <w:p w14:paraId="40C2800D" w14:textId="77777777" w:rsidR="004008F9" w:rsidRPr="00153C29" w:rsidRDefault="004008F9" w:rsidP="00AE26CD">
            <w:pPr>
              <w:pStyle w:val="NoSpacing"/>
            </w:pPr>
            <w:r w:rsidRPr="00153C29">
              <w:t>(76.19)</w:t>
            </w:r>
          </w:p>
        </w:tc>
        <w:tc>
          <w:tcPr>
            <w:tcW w:w="1134" w:type="dxa"/>
            <w:vAlign w:val="center"/>
          </w:tcPr>
          <w:p w14:paraId="00B75602" w14:textId="77777777" w:rsidR="004008F9" w:rsidRPr="00153C29" w:rsidRDefault="004008F9" w:rsidP="00AE26CD">
            <w:pPr>
              <w:pStyle w:val="NoSpacing"/>
            </w:pPr>
            <w:r w:rsidRPr="00153C29">
              <w:t>10</w:t>
            </w:r>
          </w:p>
          <w:p w14:paraId="146B31B1" w14:textId="77777777" w:rsidR="004008F9" w:rsidRPr="00153C29" w:rsidRDefault="004008F9" w:rsidP="00AE26CD">
            <w:pPr>
              <w:pStyle w:val="NoSpacing"/>
            </w:pPr>
            <w:r w:rsidRPr="00153C29">
              <w:t>(47.61)</w:t>
            </w:r>
          </w:p>
        </w:tc>
        <w:tc>
          <w:tcPr>
            <w:tcW w:w="1275" w:type="dxa"/>
            <w:vAlign w:val="center"/>
          </w:tcPr>
          <w:p w14:paraId="6F5E1829" w14:textId="77777777" w:rsidR="004008F9" w:rsidRPr="00153C29" w:rsidRDefault="004008F9" w:rsidP="00AE26CD">
            <w:pPr>
              <w:pStyle w:val="NoSpacing"/>
            </w:pPr>
            <w:r w:rsidRPr="00153C29">
              <w:t>11</w:t>
            </w:r>
          </w:p>
          <w:p w14:paraId="07D1BF77" w14:textId="77777777" w:rsidR="004008F9" w:rsidRPr="00153C29" w:rsidRDefault="004008F9" w:rsidP="00AE26CD">
            <w:pPr>
              <w:pStyle w:val="NoSpacing"/>
            </w:pPr>
            <w:r w:rsidRPr="00153C29">
              <w:t>(52.38)</w:t>
            </w:r>
          </w:p>
        </w:tc>
        <w:tc>
          <w:tcPr>
            <w:tcW w:w="993" w:type="dxa"/>
            <w:vAlign w:val="center"/>
          </w:tcPr>
          <w:p w14:paraId="14AAFCF1" w14:textId="77777777" w:rsidR="004008F9" w:rsidRPr="00153C29" w:rsidRDefault="004008F9" w:rsidP="00AE26CD">
            <w:pPr>
              <w:pStyle w:val="NoSpacing"/>
            </w:pPr>
            <w:r w:rsidRPr="00153C29">
              <w:t>15</w:t>
            </w:r>
          </w:p>
          <w:p w14:paraId="7EB672AD" w14:textId="77777777" w:rsidR="004008F9" w:rsidRPr="00153C29" w:rsidRDefault="004008F9" w:rsidP="00AE26CD">
            <w:pPr>
              <w:pStyle w:val="NoSpacing"/>
            </w:pPr>
            <w:r w:rsidRPr="00153C29">
              <w:t>(71.42)</w:t>
            </w:r>
          </w:p>
        </w:tc>
        <w:tc>
          <w:tcPr>
            <w:tcW w:w="1701" w:type="dxa"/>
            <w:vAlign w:val="center"/>
          </w:tcPr>
          <w:p w14:paraId="385A61D7" w14:textId="77777777" w:rsidR="004008F9" w:rsidRPr="00153C29" w:rsidRDefault="004008F9" w:rsidP="00AE26CD">
            <w:pPr>
              <w:pStyle w:val="NoSpacing"/>
            </w:pPr>
            <w:r w:rsidRPr="00153C29">
              <w:t>-</w:t>
            </w:r>
          </w:p>
        </w:tc>
      </w:tr>
      <w:tr w:rsidR="004008F9" w:rsidRPr="00612D85" w14:paraId="4D272597" w14:textId="77777777" w:rsidTr="00035EB8">
        <w:trPr>
          <w:trHeight w:val="673"/>
        </w:trPr>
        <w:tc>
          <w:tcPr>
            <w:tcW w:w="1134" w:type="dxa"/>
            <w:vAlign w:val="center"/>
          </w:tcPr>
          <w:p w14:paraId="0258EF36" w14:textId="77777777" w:rsidR="004008F9" w:rsidRPr="00153C29" w:rsidRDefault="004008F9" w:rsidP="00AE26CD">
            <w:pPr>
              <w:pStyle w:val="NoSpacing"/>
            </w:pPr>
            <w:r w:rsidRPr="00153C29">
              <w:t>&gt; 8</w:t>
            </w:r>
          </w:p>
        </w:tc>
        <w:tc>
          <w:tcPr>
            <w:tcW w:w="1134" w:type="dxa"/>
            <w:vAlign w:val="center"/>
          </w:tcPr>
          <w:p w14:paraId="28DD9E18" w14:textId="77777777" w:rsidR="004008F9" w:rsidRPr="00153C29" w:rsidRDefault="004008F9" w:rsidP="00AE26CD">
            <w:pPr>
              <w:pStyle w:val="NoSpacing"/>
            </w:pPr>
            <w:r w:rsidRPr="00153C29">
              <w:t>16</w:t>
            </w:r>
          </w:p>
        </w:tc>
        <w:tc>
          <w:tcPr>
            <w:tcW w:w="1134" w:type="dxa"/>
            <w:vAlign w:val="center"/>
          </w:tcPr>
          <w:p w14:paraId="5906D064" w14:textId="77777777" w:rsidR="004008F9" w:rsidRPr="00153C29" w:rsidRDefault="004008F9" w:rsidP="00AE26CD">
            <w:pPr>
              <w:pStyle w:val="NoSpacing"/>
            </w:pPr>
            <w:r w:rsidRPr="00153C29">
              <w:t>10</w:t>
            </w:r>
          </w:p>
          <w:p w14:paraId="75757CB8" w14:textId="77777777" w:rsidR="004008F9" w:rsidRPr="00153C29" w:rsidRDefault="004008F9" w:rsidP="00AE26CD">
            <w:pPr>
              <w:pStyle w:val="NoSpacing"/>
            </w:pPr>
            <w:r w:rsidRPr="00153C29">
              <w:t>(62.50)</w:t>
            </w:r>
          </w:p>
        </w:tc>
        <w:tc>
          <w:tcPr>
            <w:tcW w:w="1276" w:type="dxa"/>
            <w:vAlign w:val="center"/>
          </w:tcPr>
          <w:p w14:paraId="373E8A5E" w14:textId="77777777" w:rsidR="004008F9" w:rsidRPr="00153C29" w:rsidRDefault="004008F9" w:rsidP="00AE26CD">
            <w:pPr>
              <w:pStyle w:val="NoSpacing"/>
            </w:pPr>
            <w:r w:rsidRPr="00153C29">
              <w:t>6</w:t>
            </w:r>
          </w:p>
          <w:p w14:paraId="754F04CC" w14:textId="77777777" w:rsidR="004008F9" w:rsidRPr="00153C29" w:rsidRDefault="004008F9" w:rsidP="00AE26CD">
            <w:pPr>
              <w:pStyle w:val="NoSpacing"/>
            </w:pPr>
            <w:r w:rsidRPr="00153C29">
              <w:t>(37.50)</w:t>
            </w:r>
          </w:p>
        </w:tc>
        <w:tc>
          <w:tcPr>
            <w:tcW w:w="1559" w:type="dxa"/>
            <w:vAlign w:val="center"/>
          </w:tcPr>
          <w:p w14:paraId="7377FF57" w14:textId="77777777" w:rsidR="004008F9" w:rsidRPr="00153C29" w:rsidRDefault="004008F9" w:rsidP="00AE26CD">
            <w:pPr>
              <w:pStyle w:val="NoSpacing"/>
            </w:pPr>
            <w:r w:rsidRPr="00153C29">
              <w:t>12</w:t>
            </w:r>
          </w:p>
          <w:p w14:paraId="5D8BA8E9" w14:textId="77777777" w:rsidR="004008F9" w:rsidRPr="00153C29" w:rsidRDefault="004008F9" w:rsidP="00AE26CD">
            <w:pPr>
              <w:pStyle w:val="NoSpacing"/>
            </w:pPr>
            <w:r w:rsidRPr="00153C29">
              <w:t>(75.00)</w:t>
            </w:r>
          </w:p>
        </w:tc>
        <w:tc>
          <w:tcPr>
            <w:tcW w:w="1418" w:type="dxa"/>
            <w:vAlign w:val="center"/>
          </w:tcPr>
          <w:p w14:paraId="51DBD9AC" w14:textId="77777777" w:rsidR="004008F9" w:rsidRPr="00153C29" w:rsidRDefault="004008F9" w:rsidP="00AE26CD">
            <w:pPr>
              <w:pStyle w:val="NoSpacing"/>
            </w:pPr>
            <w:r w:rsidRPr="00153C29">
              <w:t>10</w:t>
            </w:r>
          </w:p>
          <w:p w14:paraId="7A3A6BF4" w14:textId="77777777" w:rsidR="004008F9" w:rsidRPr="00153C29" w:rsidRDefault="004008F9" w:rsidP="00AE26CD">
            <w:pPr>
              <w:pStyle w:val="NoSpacing"/>
            </w:pPr>
            <w:r w:rsidRPr="00153C29">
              <w:t>(62.50)</w:t>
            </w:r>
          </w:p>
        </w:tc>
        <w:tc>
          <w:tcPr>
            <w:tcW w:w="1134" w:type="dxa"/>
            <w:vAlign w:val="center"/>
          </w:tcPr>
          <w:p w14:paraId="2E4C72FE" w14:textId="77777777" w:rsidR="004008F9" w:rsidRPr="00153C29" w:rsidRDefault="004008F9" w:rsidP="00AE26CD">
            <w:pPr>
              <w:pStyle w:val="NoSpacing"/>
            </w:pPr>
            <w:r w:rsidRPr="00153C29">
              <w:t>8</w:t>
            </w:r>
          </w:p>
          <w:p w14:paraId="45E43DC9" w14:textId="77777777" w:rsidR="004008F9" w:rsidRPr="00153C29" w:rsidRDefault="004008F9" w:rsidP="00AE26CD">
            <w:pPr>
              <w:pStyle w:val="NoSpacing"/>
            </w:pPr>
            <w:r w:rsidRPr="00153C29">
              <w:t>(50.00)</w:t>
            </w:r>
          </w:p>
        </w:tc>
        <w:tc>
          <w:tcPr>
            <w:tcW w:w="1275" w:type="dxa"/>
            <w:vAlign w:val="center"/>
          </w:tcPr>
          <w:p w14:paraId="602314BF" w14:textId="77777777" w:rsidR="004008F9" w:rsidRPr="00153C29" w:rsidRDefault="004008F9" w:rsidP="00AE26CD">
            <w:pPr>
              <w:pStyle w:val="NoSpacing"/>
            </w:pPr>
            <w:r w:rsidRPr="00153C29">
              <w:t>8</w:t>
            </w:r>
          </w:p>
          <w:p w14:paraId="3CDFBD3A" w14:textId="77777777" w:rsidR="004008F9" w:rsidRPr="00153C29" w:rsidRDefault="004008F9" w:rsidP="00AE26CD">
            <w:pPr>
              <w:pStyle w:val="NoSpacing"/>
            </w:pPr>
            <w:r w:rsidRPr="00153C29">
              <w:t>(50.00)</w:t>
            </w:r>
          </w:p>
        </w:tc>
        <w:tc>
          <w:tcPr>
            <w:tcW w:w="993" w:type="dxa"/>
            <w:vAlign w:val="center"/>
          </w:tcPr>
          <w:p w14:paraId="6E6B2BBD" w14:textId="77777777" w:rsidR="004008F9" w:rsidRPr="00153C29" w:rsidRDefault="004008F9" w:rsidP="00AE26CD">
            <w:pPr>
              <w:pStyle w:val="NoSpacing"/>
            </w:pPr>
            <w:r w:rsidRPr="00153C29">
              <w:t>14</w:t>
            </w:r>
          </w:p>
          <w:p w14:paraId="2079F16A" w14:textId="77777777" w:rsidR="004008F9" w:rsidRPr="00153C29" w:rsidRDefault="004008F9" w:rsidP="00AE26CD">
            <w:pPr>
              <w:pStyle w:val="NoSpacing"/>
            </w:pPr>
            <w:r w:rsidRPr="00153C29">
              <w:t>(87.50)</w:t>
            </w:r>
          </w:p>
        </w:tc>
        <w:tc>
          <w:tcPr>
            <w:tcW w:w="1701" w:type="dxa"/>
            <w:vAlign w:val="center"/>
          </w:tcPr>
          <w:p w14:paraId="012F3DD0" w14:textId="77777777" w:rsidR="004008F9" w:rsidRPr="00153C29" w:rsidRDefault="004008F9" w:rsidP="00AE26CD">
            <w:pPr>
              <w:pStyle w:val="NoSpacing"/>
            </w:pPr>
            <w:r w:rsidRPr="00153C29">
              <w:t>5</w:t>
            </w:r>
          </w:p>
          <w:p w14:paraId="0C6300EC" w14:textId="77777777" w:rsidR="004008F9" w:rsidRPr="00153C29" w:rsidRDefault="004008F9" w:rsidP="00AE26CD">
            <w:pPr>
              <w:pStyle w:val="NoSpacing"/>
            </w:pPr>
            <w:r w:rsidRPr="00153C29">
              <w:t>(31.25)</w:t>
            </w:r>
          </w:p>
        </w:tc>
      </w:tr>
      <w:tr w:rsidR="004008F9" w:rsidRPr="00612D85" w14:paraId="50313E44" w14:textId="77777777" w:rsidTr="00035EB8">
        <w:trPr>
          <w:trHeight w:val="674"/>
        </w:trPr>
        <w:tc>
          <w:tcPr>
            <w:tcW w:w="1134" w:type="dxa"/>
            <w:vAlign w:val="center"/>
          </w:tcPr>
          <w:p w14:paraId="71D9FE9C" w14:textId="77777777" w:rsidR="004008F9" w:rsidRPr="00153C29" w:rsidRDefault="004008F9" w:rsidP="00AE26CD">
            <w:pPr>
              <w:pStyle w:val="NoSpacing"/>
              <w:rPr>
                <w:b/>
              </w:rPr>
            </w:pPr>
            <w:r w:rsidRPr="00153C29">
              <w:rPr>
                <w:b/>
              </w:rPr>
              <w:t>Total</w:t>
            </w:r>
          </w:p>
        </w:tc>
        <w:tc>
          <w:tcPr>
            <w:tcW w:w="1134" w:type="dxa"/>
            <w:vAlign w:val="center"/>
          </w:tcPr>
          <w:p w14:paraId="5309ACA5" w14:textId="77777777" w:rsidR="004008F9" w:rsidRPr="00153C29" w:rsidRDefault="004008F9" w:rsidP="00AE26CD">
            <w:pPr>
              <w:pStyle w:val="NoSpacing"/>
              <w:rPr>
                <w:b/>
              </w:rPr>
            </w:pPr>
            <w:r w:rsidRPr="00153C29">
              <w:rPr>
                <w:b/>
              </w:rPr>
              <w:t>120</w:t>
            </w:r>
          </w:p>
        </w:tc>
        <w:tc>
          <w:tcPr>
            <w:tcW w:w="1134" w:type="dxa"/>
            <w:vAlign w:val="center"/>
          </w:tcPr>
          <w:p w14:paraId="35310717" w14:textId="77777777" w:rsidR="004008F9" w:rsidRPr="00153C29" w:rsidRDefault="004008F9" w:rsidP="00AE26CD">
            <w:pPr>
              <w:pStyle w:val="NoSpacing"/>
              <w:rPr>
                <w:b/>
              </w:rPr>
            </w:pPr>
            <w:r w:rsidRPr="00153C29">
              <w:rPr>
                <w:b/>
              </w:rPr>
              <w:t>95</w:t>
            </w:r>
          </w:p>
          <w:p w14:paraId="34E9CC55" w14:textId="77777777" w:rsidR="004008F9" w:rsidRPr="00153C29" w:rsidRDefault="004008F9" w:rsidP="00AE26CD">
            <w:pPr>
              <w:pStyle w:val="NoSpacing"/>
              <w:rPr>
                <w:b/>
              </w:rPr>
            </w:pPr>
            <w:r w:rsidRPr="00153C29">
              <w:rPr>
                <w:b/>
              </w:rPr>
              <w:t>(79.16)</w:t>
            </w:r>
          </w:p>
        </w:tc>
        <w:tc>
          <w:tcPr>
            <w:tcW w:w="1276" w:type="dxa"/>
            <w:vAlign w:val="center"/>
          </w:tcPr>
          <w:p w14:paraId="08509D98" w14:textId="77777777" w:rsidR="004008F9" w:rsidRPr="00153C29" w:rsidRDefault="004008F9" w:rsidP="00AE26CD">
            <w:pPr>
              <w:pStyle w:val="NoSpacing"/>
              <w:rPr>
                <w:b/>
              </w:rPr>
            </w:pPr>
            <w:r w:rsidRPr="00153C29">
              <w:rPr>
                <w:b/>
              </w:rPr>
              <w:t>102</w:t>
            </w:r>
          </w:p>
          <w:p w14:paraId="17BA72FD" w14:textId="77777777" w:rsidR="004008F9" w:rsidRPr="00153C29" w:rsidRDefault="004008F9" w:rsidP="00AE26CD">
            <w:pPr>
              <w:pStyle w:val="NoSpacing"/>
              <w:rPr>
                <w:b/>
              </w:rPr>
            </w:pPr>
            <w:r w:rsidRPr="00153C29">
              <w:rPr>
                <w:b/>
              </w:rPr>
              <w:t>(85.00)</w:t>
            </w:r>
          </w:p>
        </w:tc>
        <w:tc>
          <w:tcPr>
            <w:tcW w:w="1559" w:type="dxa"/>
            <w:vAlign w:val="center"/>
          </w:tcPr>
          <w:p w14:paraId="66DA122C" w14:textId="77777777" w:rsidR="004008F9" w:rsidRPr="00153C29" w:rsidRDefault="004008F9" w:rsidP="00AE26CD">
            <w:pPr>
              <w:pStyle w:val="NoSpacing"/>
              <w:rPr>
                <w:b/>
              </w:rPr>
            </w:pPr>
            <w:r w:rsidRPr="00153C29">
              <w:rPr>
                <w:b/>
              </w:rPr>
              <w:t>95</w:t>
            </w:r>
          </w:p>
          <w:p w14:paraId="56F82003" w14:textId="77777777" w:rsidR="004008F9" w:rsidRPr="00153C29" w:rsidRDefault="004008F9" w:rsidP="00AE26CD">
            <w:pPr>
              <w:pStyle w:val="NoSpacing"/>
              <w:rPr>
                <w:b/>
              </w:rPr>
            </w:pPr>
            <w:r w:rsidRPr="00153C29">
              <w:rPr>
                <w:b/>
              </w:rPr>
              <w:t>(79.16)</w:t>
            </w:r>
          </w:p>
        </w:tc>
        <w:tc>
          <w:tcPr>
            <w:tcW w:w="1418" w:type="dxa"/>
            <w:vAlign w:val="center"/>
          </w:tcPr>
          <w:p w14:paraId="07F100DD" w14:textId="77777777" w:rsidR="004008F9" w:rsidRPr="00153C29" w:rsidRDefault="004008F9" w:rsidP="00AE26CD">
            <w:pPr>
              <w:pStyle w:val="NoSpacing"/>
              <w:rPr>
                <w:b/>
              </w:rPr>
            </w:pPr>
            <w:r w:rsidRPr="00153C29">
              <w:rPr>
                <w:b/>
              </w:rPr>
              <w:t>83</w:t>
            </w:r>
          </w:p>
          <w:p w14:paraId="43BAD5BB" w14:textId="77777777" w:rsidR="004008F9" w:rsidRPr="00153C29" w:rsidRDefault="004008F9" w:rsidP="00AE26CD">
            <w:pPr>
              <w:pStyle w:val="NoSpacing"/>
              <w:rPr>
                <w:b/>
              </w:rPr>
            </w:pPr>
            <w:r w:rsidRPr="00153C29">
              <w:rPr>
                <w:b/>
              </w:rPr>
              <w:t>(69.16)</w:t>
            </w:r>
          </w:p>
        </w:tc>
        <w:tc>
          <w:tcPr>
            <w:tcW w:w="1134" w:type="dxa"/>
            <w:vAlign w:val="center"/>
          </w:tcPr>
          <w:p w14:paraId="71A650A8" w14:textId="77777777" w:rsidR="004008F9" w:rsidRPr="00153C29" w:rsidRDefault="004008F9" w:rsidP="00AE26CD">
            <w:pPr>
              <w:pStyle w:val="NoSpacing"/>
              <w:rPr>
                <w:b/>
              </w:rPr>
            </w:pPr>
            <w:r w:rsidRPr="00153C29">
              <w:rPr>
                <w:b/>
              </w:rPr>
              <w:t>66</w:t>
            </w:r>
          </w:p>
          <w:p w14:paraId="14712230" w14:textId="77777777" w:rsidR="004008F9" w:rsidRPr="00153C29" w:rsidRDefault="004008F9" w:rsidP="00AE26CD">
            <w:pPr>
              <w:pStyle w:val="NoSpacing"/>
              <w:rPr>
                <w:b/>
              </w:rPr>
            </w:pPr>
            <w:r w:rsidRPr="00153C29">
              <w:rPr>
                <w:b/>
              </w:rPr>
              <w:t>(55.00)</w:t>
            </w:r>
          </w:p>
        </w:tc>
        <w:tc>
          <w:tcPr>
            <w:tcW w:w="1275" w:type="dxa"/>
            <w:vAlign w:val="center"/>
          </w:tcPr>
          <w:p w14:paraId="5339474E" w14:textId="77777777" w:rsidR="004008F9" w:rsidRPr="00153C29" w:rsidRDefault="004008F9" w:rsidP="00AE26CD">
            <w:pPr>
              <w:pStyle w:val="NoSpacing"/>
              <w:rPr>
                <w:b/>
              </w:rPr>
            </w:pPr>
            <w:r w:rsidRPr="00153C29">
              <w:rPr>
                <w:b/>
              </w:rPr>
              <w:t>35</w:t>
            </w:r>
          </w:p>
          <w:p w14:paraId="57715A32" w14:textId="77777777" w:rsidR="004008F9" w:rsidRPr="00153C29" w:rsidRDefault="004008F9" w:rsidP="00AE26CD">
            <w:pPr>
              <w:pStyle w:val="NoSpacing"/>
              <w:rPr>
                <w:b/>
              </w:rPr>
            </w:pPr>
            <w:r w:rsidRPr="00153C29">
              <w:rPr>
                <w:b/>
              </w:rPr>
              <w:t>(29.16)</w:t>
            </w:r>
          </w:p>
        </w:tc>
        <w:tc>
          <w:tcPr>
            <w:tcW w:w="993" w:type="dxa"/>
            <w:vAlign w:val="center"/>
          </w:tcPr>
          <w:p w14:paraId="329E085B" w14:textId="77777777" w:rsidR="004008F9" w:rsidRPr="00153C29" w:rsidRDefault="004008F9" w:rsidP="00AE26CD">
            <w:pPr>
              <w:pStyle w:val="NoSpacing"/>
              <w:rPr>
                <w:b/>
              </w:rPr>
            </w:pPr>
            <w:r w:rsidRPr="00153C29">
              <w:rPr>
                <w:b/>
              </w:rPr>
              <w:t>39</w:t>
            </w:r>
          </w:p>
          <w:p w14:paraId="73B35CE1" w14:textId="77777777" w:rsidR="004008F9" w:rsidRPr="00153C29" w:rsidRDefault="004008F9" w:rsidP="00AE26CD">
            <w:pPr>
              <w:pStyle w:val="NoSpacing"/>
              <w:rPr>
                <w:b/>
              </w:rPr>
            </w:pPr>
            <w:r w:rsidRPr="00153C29">
              <w:rPr>
                <w:b/>
              </w:rPr>
              <w:t>(32.50)</w:t>
            </w:r>
          </w:p>
        </w:tc>
        <w:tc>
          <w:tcPr>
            <w:tcW w:w="1701" w:type="dxa"/>
            <w:vAlign w:val="center"/>
          </w:tcPr>
          <w:p w14:paraId="42FF0B11" w14:textId="77777777" w:rsidR="004008F9" w:rsidRPr="00153C29" w:rsidRDefault="004008F9" w:rsidP="00AE26CD">
            <w:pPr>
              <w:pStyle w:val="NoSpacing"/>
              <w:rPr>
                <w:b/>
              </w:rPr>
            </w:pPr>
            <w:r w:rsidRPr="00153C29">
              <w:rPr>
                <w:b/>
              </w:rPr>
              <w:t>5</w:t>
            </w:r>
          </w:p>
          <w:p w14:paraId="4D58513C" w14:textId="77777777" w:rsidR="004008F9" w:rsidRPr="00153C29" w:rsidRDefault="004008F9" w:rsidP="00AE26CD">
            <w:pPr>
              <w:pStyle w:val="NoSpacing"/>
              <w:rPr>
                <w:b/>
              </w:rPr>
            </w:pPr>
            <w:r w:rsidRPr="00153C29">
              <w:rPr>
                <w:b/>
              </w:rPr>
              <w:t>(4.17)</w:t>
            </w:r>
          </w:p>
        </w:tc>
      </w:tr>
    </w:tbl>
    <w:p w14:paraId="0C2E9DE2" w14:textId="77777777" w:rsidR="00AE26CD" w:rsidRPr="00612D85" w:rsidRDefault="00AE26CD" w:rsidP="00AE26CD">
      <w:pPr>
        <w:pStyle w:val="BodyText2"/>
        <w:spacing w:line="360" w:lineRule="auto"/>
        <w:rPr>
          <w:rFonts w:ascii="Times New Roman" w:hAnsi="Times New Roman" w:cs="Times New Roman"/>
          <w:sz w:val="24"/>
          <w:szCs w:val="24"/>
        </w:rPr>
      </w:pPr>
      <w:r>
        <w:rPr>
          <w:rFonts w:ascii="Times New Roman" w:hAnsi="Times New Roman" w:cs="Times New Roman"/>
          <w:b/>
          <w:bCs/>
          <w:szCs w:val="24"/>
        </w:rPr>
        <w:t xml:space="preserve">   </w:t>
      </w:r>
      <w:r w:rsidRPr="00153C29">
        <w:rPr>
          <w:rFonts w:ascii="Times New Roman" w:hAnsi="Times New Roman" w:cs="Times New Roman"/>
          <w:b/>
          <w:bCs/>
          <w:szCs w:val="24"/>
        </w:rPr>
        <w:t>Figures in parenthesis indicate percentages</w:t>
      </w:r>
    </w:p>
    <w:p w14:paraId="736B9F25" w14:textId="77777777" w:rsidR="004008F9" w:rsidRDefault="004008F9"/>
    <w:p w14:paraId="02C5498D" w14:textId="77777777" w:rsidR="00AE26CD" w:rsidRDefault="00AE26CD">
      <w:pPr>
        <w:sectPr w:rsidR="00AE26CD" w:rsidSect="00035EB8">
          <w:pgSz w:w="15840" w:h="12240" w:orient="landscape"/>
          <w:pgMar w:top="1440" w:right="1948" w:bottom="1440" w:left="1135" w:header="720" w:footer="720" w:gutter="0"/>
          <w:cols w:space="720"/>
          <w:docGrid w:linePitch="360"/>
        </w:sectPr>
      </w:pPr>
    </w:p>
    <w:p w14:paraId="65A36A7B" w14:textId="774454A3" w:rsidR="00AE26CD" w:rsidRDefault="00AE26CD" w:rsidP="00AE26CD">
      <w:pPr>
        <w:spacing w:line="360" w:lineRule="auto"/>
        <w:jc w:val="both"/>
        <w:rPr>
          <w:rFonts w:ascii="Times New Roman" w:hAnsi="Times New Roman" w:cs="Times New Roman"/>
          <w:sz w:val="24"/>
          <w:szCs w:val="24"/>
        </w:rPr>
      </w:pPr>
      <w:r w:rsidRPr="00612D85">
        <w:rPr>
          <w:rFonts w:ascii="Times New Roman" w:hAnsi="Times New Roman" w:cs="Times New Roman"/>
          <w:sz w:val="24"/>
          <w:szCs w:val="24"/>
        </w:rPr>
        <w:lastRenderedPageBreak/>
        <w:t>From the above table it was found that among the affected breeds of pigs, free grazing Doom variety of pigs (characterized as “Niang Megha” breed of pig by breed registration committee of NBPGR New Delhi on 14</w:t>
      </w:r>
      <w:r w:rsidRPr="00612D85">
        <w:rPr>
          <w:rFonts w:ascii="Times New Roman" w:hAnsi="Times New Roman" w:cs="Times New Roman"/>
          <w:sz w:val="24"/>
          <w:szCs w:val="24"/>
          <w:vertAlign w:val="superscript"/>
        </w:rPr>
        <w:t>th</w:t>
      </w:r>
      <w:r w:rsidRPr="00612D85">
        <w:rPr>
          <w:rFonts w:ascii="Times New Roman" w:hAnsi="Times New Roman" w:cs="Times New Roman"/>
          <w:sz w:val="24"/>
          <w:szCs w:val="24"/>
        </w:rPr>
        <w:t xml:space="preserve"> May2012) was mostly affected with hog cholera. High incidence of hog cholera in free grazing pigs recorded in the present study indicated that Niang Megha variety of pigs was not regularly vaccinated. Besides, they can easily pick up infection from the infected pigs as well as from virus mixed swill. On the other hand, intensively reared pigs were regularly vaccinated and hence they were protected from the natural infections. Comparing the percent mortality among different age groups of pigs, the most affected age groups were weaned and grower pigs. However, preweaned pigs were less affected. In case of unvaccinated herd, pigs beyond 2 months of age remain free from HCV specific antibody and these age groups of pigs were most vulnerable to the natural infection of HCV. Similar observation was also made by </w:t>
      </w:r>
      <w:r w:rsidR="00F10C80" w:rsidRPr="006D7F0E">
        <w:rPr>
          <w:rFonts w:ascii="Times New Roman" w:hAnsi="Times New Roman" w:cs="Times New Roman"/>
          <w:sz w:val="24"/>
          <w:szCs w:val="24"/>
        </w:rPr>
        <w:t>Murugan</w:t>
      </w:r>
      <w:r w:rsidR="00F10C80" w:rsidRPr="00CE306F">
        <w:rPr>
          <w:rFonts w:ascii="Times New Roman" w:hAnsi="Times New Roman" w:cs="Times New Roman"/>
          <w:sz w:val="24"/>
          <w:szCs w:val="24"/>
        </w:rPr>
        <w:t xml:space="preserve"> </w:t>
      </w:r>
      <w:r w:rsidR="00F10C80" w:rsidRPr="005C7642">
        <w:rPr>
          <w:rFonts w:ascii="Times New Roman" w:hAnsi="Times New Roman" w:cs="Times New Roman"/>
          <w:i/>
          <w:iCs/>
          <w:sz w:val="24"/>
          <w:szCs w:val="24"/>
        </w:rPr>
        <w:t>et al</w:t>
      </w:r>
      <w:r w:rsidR="00F10C80">
        <w:rPr>
          <w:rFonts w:ascii="Times New Roman" w:hAnsi="Times New Roman" w:cs="Times New Roman"/>
          <w:sz w:val="24"/>
          <w:szCs w:val="24"/>
        </w:rPr>
        <w:t>., 2024</w:t>
      </w:r>
      <w:r w:rsidRPr="00612D85">
        <w:rPr>
          <w:rFonts w:ascii="Times New Roman" w:hAnsi="Times New Roman" w:cs="Times New Roman"/>
          <w:sz w:val="24"/>
          <w:szCs w:val="24"/>
        </w:rPr>
        <w:t xml:space="preserve">, where unvaccinated pigs of 3 months and above were negative for HCV antibody. Interestingly, preweaned piglets were found less affected, which indicated that passive antibody protected the newborn from HCV infection. </w:t>
      </w:r>
      <w:r w:rsidR="00A5482A">
        <w:rPr>
          <w:rFonts w:ascii="Times New Roman" w:hAnsi="Times New Roman" w:cs="Times New Roman"/>
          <w:sz w:val="24"/>
          <w:szCs w:val="24"/>
        </w:rPr>
        <w:t>Ma</w:t>
      </w:r>
      <w:r w:rsidRPr="00612D85">
        <w:rPr>
          <w:rFonts w:ascii="Times New Roman" w:hAnsi="Times New Roman" w:cs="Times New Roman"/>
          <w:sz w:val="24"/>
          <w:szCs w:val="24"/>
        </w:rPr>
        <w:t xml:space="preserve"> </w:t>
      </w:r>
      <w:r w:rsidRPr="00612D85">
        <w:rPr>
          <w:rFonts w:ascii="Times New Roman" w:hAnsi="Times New Roman" w:cs="Times New Roman"/>
          <w:i/>
          <w:iCs/>
          <w:sz w:val="24"/>
          <w:szCs w:val="24"/>
        </w:rPr>
        <w:t>et al.</w:t>
      </w:r>
      <w:r w:rsidR="00A5482A">
        <w:rPr>
          <w:rFonts w:ascii="Times New Roman" w:hAnsi="Times New Roman" w:cs="Times New Roman"/>
          <w:i/>
          <w:iCs/>
          <w:sz w:val="24"/>
          <w:szCs w:val="24"/>
        </w:rPr>
        <w:t>,</w:t>
      </w:r>
      <w:r w:rsidRPr="00612D85">
        <w:rPr>
          <w:rFonts w:ascii="Times New Roman" w:hAnsi="Times New Roman" w:cs="Times New Roman"/>
          <w:sz w:val="24"/>
          <w:szCs w:val="24"/>
        </w:rPr>
        <w:t xml:space="preserve"> (</w:t>
      </w:r>
      <w:r w:rsidR="00A5482A">
        <w:rPr>
          <w:rFonts w:ascii="Times New Roman" w:hAnsi="Times New Roman" w:cs="Times New Roman"/>
          <w:sz w:val="24"/>
          <w:szCs w:val="24"/>
        </w:rPr>
        <w:t>2025</w:t>
      </w:r>
      <w:r w:rsidRPr="00612D85">
        <w:rPr>
          <w:rFonts w:ascii="Times New Roman" w:hAnsi="Times New Roman" w:cs="Times New Roman"/>
          <w:sz w:val="24"/>
          <w:szCs w:val="24"/>
        </w:rPr>
        <w:t>) stated that colostral</w:t>
      </w:r>
      <w:r>
        <w:rPr>
          <w:rFonts w:ascii="Times New Roman" w:hAnsi="Times New Roman" w:cs="Times New Roman"/>
          <w:sz w:val="24"/>
          <w:szCs w:val="24"/>
        </w:rPr>
        <w:t xml:space="preserve"> </w:t>
      </w:r>
      <w:r w:rsidRPr="00612D85">
        <w:rPr>
          <w:rFonts w:ascii="Times New Roman" w:hAnsi="Times New Roman" w:cs="Times New Roman"/>
          <w:sz w:val="24"/>
          <w:szCs w:val="24"/>
        </w:rPr>
        <w:t>antibody specific to HCV reached peak between 9-24 hours after consumption of colostrum and persisted up to 3 months. In the present study, the naturally infected pigs showed high fever (41-42</w:t>
      </w:r>
      <w:r w:rsidRPr="00612D85">
        <w:rPr>
          <w:rFonts w:ascii="Times New Roman" w:hAnsi="Times New Roman" w:cs="Times New Roman"/>
          <w:sz w:val="24"/>
          <w:szCs w:val="24"/>
        </w:rPr>
        <w:sym w:font="Symbol" w:char="F0B0"/>
      </w:r>
      <w:r w:rsidRPr="00612D85">
        <w:rPr>
          <w:rFonts w:ascii="Times New Roman" w:hAnsi="Times New Roman" w:cs="Times New Roman"/>
          <w:sz w:val="24"/>
          <w:szCs w:val="24"/>
        </w:rPr>
        <w:t>C), anorexia, constipation and conjunctivitis. Most of the unweaned piglets (0-2 months) died within a short period. Affected piglets showed for a brief period high fever (81.25%), anorexia (93.75%) and diarrhoea (81.25%). Both grower and adult pigs showed conjunctivitis (85.11%), incoordination (79.46%), hyperaemia of skin (69.34%) and constipation followed by diarrhoea (50%). Again in 31.25 per cent pregnant sows, abortion, fetal mummification and stillbirth were recorded. Similar clinical symptoms were also recorded by other workers (</w:t>
      </w:r>
      <w:r w:rsidR="00AB6444" w:rsidRPr="006D7F0E">
        <w:rPr>
          <w:rFonts w:ascii="Times New Roman" w:hAnsi="Times New Roman" w:cs="Times New Roman"/>
          <w:sz w:val="24"/>
          <w:szCs w:val="24"/>
        </w:rPr>
        <w:t>Murugan</w:t>
      </w:r>
      <w:r w:rsidR="00AB6444" w:rsidRPr="00CE306F">
        <w:rPr>
          <w:rFonts w:ascii="Times New Roman" w:hAnsi="Times New Roman" w:cs="Times New Roman"/>
          <w:sz w:val="24"/>
          <w:szCs w:val="24"/>
        </w:rPr>
        <w:t xml:space="preserve"> </w:t>
      </w:r>
      <w:r w:rsidR="00AB6444" w:rsidRPr="005C7642">
        <w:rPr>
          <w:rFonts w:ascii="Times New Roman" w:hAnsi="Times New Roman" w:cs="Times New Roman"/>
          <w:i/>
          <w:iCs/>
          <w:sz w:val="24"/>
          <w:szCs w:val="24"/>
        </w:rPr>
        <w:t>et al</w:t>
      </w:r>
      <w:r w:rsidR="00AB6444">
        <w:rPr>
          <w:rFonts w:ascii="Times New Roman" w:hAnsi="Times New Roman" w:cs="Times New Roman"/>
          <w:sz w:val="24"/>
          <w:szCs w:val="24"/>
        </w:rPr>
        <w:t>., 2024</w:t>
      </w:r>
      <w:r w:rsidR="005C7642">
        <w:rPr>
          <w:rFonts w:ascii="Times New Roman" w:hAnsi="Times New Roman" w:cs="Times New Roman"/>
          <w:sz w:val="24"/>
          <w:szCs w:val="24"/>
        </w:rPr>
        <w:t xml:space="preserve">; </w:t>
      </w:r>
      <w:r w:rsidR="001027A2" w:rsidRPr="00CE306F">
        <w:rPr>
          <w:rFonts w:ascii="Times New Roman" w:hAnsi="Times New Roman" w:cs="Times New Roman"/>
          <w:sz w:val="24"/>
          <w:szCs w:val="24"/>
        </w:rPr>
        <w:t>Ganges</w:t>
      </w:r>
      <w:r w:rsidR="001027A2">
        <w:rPr>
          <w:rFonts w:ascii="Times New Roman" w:hAnsi="Times New Roman" w:cs="Times New Roman"/>
          <w:sz w:val="24"/>
          <w:szCs w:val="24"/>
        </w:rPr>
        <w:t xml:space="preserve"> </w:t>
      </w:r>
      <w:r w:rsidR="001027A2" w:rsidRPr="00324846">
        <w:rPr>
          <w:rFonts w:ascii="Times New Roman" w:hAnsi="Times New Roman" w:cs="Times New Roman"/>
          <w:i/>
          <w:iCs/>
          <w:sz w:val="24"/>
          <w:szCs w:val="24"/>
        </w:rPr>
        <w:t>et al.,</w:t>
      </w:r>
      <w:r w:rsidR="001027A2">
        <w:rPr>
          <w:rFonts w:ascii="Times New Roman" w:hAnsi="Times New Roman" w:cs="Times New Roman"/>
          <w:sz w:val="24"/>
          <w:szCs w:val="24"/>
        </w:rPr>
        <w:t xml:space="preserve"> 2020</w:t>
      </w:r>
      <w:r w:rsidRPr="00612D85">
        <w:rPr>
          <w:rFonts w:ascii="Times New Roman" w:hAnsi="Times New Roman" w:cs="Times New Roman"/>
          <w:sz w:val="24"/>
          <w:szCs w:val="24"/>
        </w:rPr>
        <w:t xml:space="preserve">; </w:t>
      </w:r>
      <w:r w:rsidR="00741E9E">
        <w:rPr>
          <w:rFonts w:ascii="Times New Roman" w:hAnsi="Times New Roman" w:cs="Times New Roman"/>
          <w:sz w:val="24"/>
          <w:szCs w:val="24"/>
        </w:rPr>
        <w:t xml:space="preserve">Blome </w:t>
      </w:r>
      <w:r w:rsidR="00741E9E" w:rsidRPr="007515A3">
        <w:rPr>
          <w:rFonts w:ascii="Times New Roman" w:hAnsi="Times New Roman" w:cs="Times New Roman"/>
          <w:i/>
          <w:iCs/>
          <w:sz w:val="24"/>
          <w:szCs w:val="24"/>
        </w:rPr>
        <w:t>et al</w:t>
      </w:r>
      <w:r w:rsidR="00741E9E">
        <w:rPr>
          <w:rFonts w:ascii="Times New Roman" w:hAnsi="Times New Roman" w:cs="Times New Roman"/>
          <w:sz w:val="24"/>
          <w:szCs w:val="24"/>
        </w:rPr>
        <w:t>., 2017</w:t>
      </w:r>
      <w:r w:rsidRPr="00612D85">
        <w:rPr>
          <w:rFonts w:ascii="Times New Roman" w:hAnsi="Times New Roman" w:cs="Times New Roman"/>
          <w:sz w:val="24"/>
          <w:szCs w:val="24"/>
        </w:rPr>
        <w:t xml:space="preserve">). The present findings were also supported by Dutta </w:t>
      </w:r>
      <w:r w:rsidRPr="00612D85">
        <w:rPr>
          <w:rFonts w:ascii="Times New Roman" w:hAnsi="Times New Roman" w:cs="Times New Roman"/>
          <w:i/>
          <w:iCs/>
          <w:sz w:val="24"/>
          <w:szCs w:val="24"/>
        </w:rPr>
        <w:t>et al.</w:t>
      </w:r>
      <w:r w:rsidRPr="00612D85">
        <w:rPr>
          <w:rFonts w:ascii="Times New Roman" w:hAnsi="Times New Roman" w:cs="Times New Roman"/>
          <w:sz w:val="24"/>
          <w:szCs w:val="24"/>
        </w:rPr>
        <w:t xml:space="preserve"> (2003) in their reports on hog cholera outbreaks. Barman </w:t>
      </w:r>
      <w:r w:rsidRPr="00612D85">
        <w:rPr>
          <w:rFonts w:ascii="Times New Roman" w:hAnsi="Times New Roman" w:cs="Times New Roman"/>
          <w:i/>
          <w:iCs/>
          <w:sz w:val="24"/>
          <w:szCs w:val="24"/>
        </w:rPr>
        <w:t>et al.</w:t>
      </w:r>
      <w:r w:rsidR="00EF5824">
        <w:rPr>
          <w:rFonts w:ascii="Times New Roman" w:hAnsi="Times New Roman" w:cs="Times New Roman"/>
          <w:i/>
          <w:iCs/>
          <w:sz w:val="24"/>
          <w:szCs w:val="24"/>
        </w:rPr>
        <w:t>,</w:t>
      </w:r>
      <w:r w:rsidRPr="00612D85">
        <w:rPr>
          <w:rFonts w:ascii="Times New Roman" w:hAnsi="Times New Roman" w:cs="Times New Roman"/>
          <w:sz w:val="24"/>
          <w:szCs w:val="24"/>
        </w:rPr>
        <w:t xml:space="preserve"> (2003) also recorded variation in clinical symptoms in hog cholera outbreak in a regularly vaccinated herd, where immunized animals failed to exhibit typical clinical symptoms.</w:t>
      </w:r>
    </w:p>
    <w:p w14:paraId="4938DCBB" w14:textId="77777777" w:rsidR="00AE26CD" w:rsidRPr="00612D85" w:rsidRDefault="00AE26CD" w:rsidP="00AE26CD">
      <w:pPr>
        <w:spacing w:line="360" w:lineRule="auto"/>
        <w:jc w:val="both"/>
        <w:rPr>
          <w:rFonts w:ascii="Times New Roman" w:hAnsi="Times New Roman" w:cs="Times New Roman"/>
          <w:sz w:val="24"/>
          <w:szCs w:val="24"/>
        </w:rPr>
      </w:pPr>
      <w:r w:rsidRPr="00612D85">
        <w:rPr>
          <w:rFonts w:ascii="Times New Roman" w:hAnsi="Times New Roman" w:cs="Times New Roman"/>
          <w:b/>
          <w:sz w:val="24"/>
          <w:szCs w:val="24"/>
        </w:rPr>
        <w:t>Detection of Hog Cholera Viral Antigen -</w:t>
      </w:r>
      <w:r w:rsidRPr="00612D85">
        <w:rPr>
          <w:rFonts w:ascii="Times New Roman" w:hAnsi="Times New Roman" w:cs="Times New Roman"/>
          <w:sz w:val="24"/>
          <w:szCs w:val="24"/>
        </w:rPr>
        <w:t xml:space="preserve"> Various diagnostic techniques like FAT, ELISA and AGPT were used for detection of HCV antigen in clinical as well as in postmortem samples.</w:t>
      </w:r>
    </w:p>
    <w:p w14:paraId="2578DFEE" w14:textId="66E488C7" w:rsidR="00AE26CD" w:rsidRPr="00612D85" w:rsidRDefault="00AE26CD" w:rsidP="00AE26CD">
      <w:pPr>
        <w:spacing w:line="360" w:lineRule="auto"/>
        <w:jc w:val="both"/>
        <w:rPr>
          <w:rFonts w:ascii="Times New Roman" w:hAnsi="Times New Roman" w:cs="Times New Roman"/>
          <w:sz w:val="24"/>
          <w:szCs w:val="24"/>
        </w:rPr>
      </w:pPr>
      <w:r w:rsidRPr="00612D85">
        <w:rPr>
          <w:rFonts w:ascii="Times New Roman" w:hAnsi="Times New Roman" w:cs="Times New Roman"/>
          <w:b/>
          <w:bCs/>
          <w:sz w:val="24"/>
          <w:szCs w:val="24"/>
        </w:rPr>
        <w:t xml:space="preserve"> Fluorescent antibody technique (FAT): </w:t>
      </w:r>
      <w:r w:rsidRPr="00612D85">
        <w:rPr>
          <w:rFonts w:ascii="Times New Roman" w:hAnsi="Times New Roman" w:cs="Times New Roman"/>
          <w:sz w:val="24"/>
          <w:szCs w:val="24"/>
        </w:rPr>
        <w:t xml:space="preserve">In the clinical samples, leucocytes separated from the buffy coat were found most suitable for demonstration of HCV antigen. Further, method used in the present study yielded high concentration of leucocytes and the technique was found simple </w:t>
      </w:r>
      <w:r w:rsidRPr="00612D85">
        <w:rPr>
          <w:rFonts w:ascii="Times New Roman" w:hAnsi="Times New Roman" w:cs="Times New Roman"/>
          <w:sz w:val="24"/>
          <w:szCs w:val="24"/>
        </w:rPr>
        <w:lastRenderedPageBreak/>
        <w:t xml:space="preserve">and could be performed in a laboratory having minimum facilities. </w:t>
      </w:r>
      <w:proofErr w:type="spellStart"/>
      <w:r w:rsidRPr="00612D85">
        <w:rPr>
          <w:rFonts w:ascii="Times New Roman" w:hAnsi="Times New Roman" w:cs="Times New Roman"/>
          <w:sz w:val="24"/>
          <w:szCs w:val="24"/>
        </w:rPr>
        <w:t>Cytospots</w:t>
      </w:r>
      <w:proofErr w:type="spellEnd"/>
      <w:r w:rsidRPr="00612D85">
        <w:rPr>
          <w:rFonts w:ascii="Times New Roman" w:hAnsi="Times New Roman" w:cs="Times New Roman"/>
          <w:sz w:val="24"/>
          <w:szCs w:val="24"/>
        </w:rPr>
        <w:t xml:space="preserve"> prepared from the cell suspension contained homogenous cells. Cells stained with polyvalent FITC conjugated anti-HCV antibody showed brilliant green fluorescence in positive cases and non-specific fluorescence was very less. Solarzano (1962) also viewed that infected leucocytes could give more precise and reliable results in FAT. Again, there was less interference with other cells in buffy coat preparations. Among the tissue samples with existing preservation facilities tonsil, lymph nodes and kidneys were found suitable for preparation of cryosections. However, it was difficult to retain better orientation of the sections from spleen. In cryosections FAT can facilitate to pinpoint the location of virus infected cells and type of cells involved. In the present study, HCV infected samples showed presence of bright green fluorescent cells at different </w:t>
      </w:r>
      <w:proofErr w:type="spellStart"/>
      <w:r w:rsidRPr="00612D85">
        <w:rPr>
          <w:rFonts w:ascii="Times New Roman" w:hAnsi="Times New Roman" w:cs="Times New Roman"/>
          <w:sz w:val="24"/>
          <w:szCs w:val="24"/>
        </w:rPr>
        <w:t>histocompartmental</w:t>
      </w:r>
      <w:proofErr w:type="spellEnd"/>
      <w:r w:rsidRPr="00612D85">
        <w:rPr>
          <w:rFonts w:ascii="Times New Roman" w:hAnsi="Times New Roman" w:cs="Times New Roman"/>
          <w:sz w:val="24"/>
          <w:szCs w:val="24"/>
        </w:rPr>
        <w:t xml:space="preserve"> areas of the tissue samples. Tonsil and lymph node showed high numbers of positive cells in the follicles as well as in parafollicular areas. In spleen, stained cells were concentrated in the white pulp areas. However in kidney, less numbers of fluorescent cells were demonstrated. Comparing the percent positivity in FAT, highest number of samples was found in tonsil (67.12%), followed by mesenteric lymph nodes (52.70%) and leucocytes (50.00%). However, comparatively less number of samples was found positive in spleen (45.24%) and kidney (43.28%). As </w:t>
      </w:r>
      <w:r w:rsidR="001027A2" w:rsidRPr="00CE306F">
        <w:rPr>
          <w:rFonts w:ascii="Times New Roman" w:hAnsi="Times New Roman" w:cs="Times New Roman"/>
          <w:sz w:val="24"/>
          <w:szCs w:val="24"/>
        </w:rPr>
        <w:t>Ganges</w:t>
      </w:r>
      <w:r w:rsidR="001027A2">
        <w:rPr>
          <w:rFonts w:ascii="Times New Roman" w:hAnsi="Times New Roman" w:cs="Times New Roman"/>
          <w:sz w:val="24"/>
          <w:szCs w:val="24"/>
        </w:rPr>
        <w:t xml:space="preserve"> </w:t>
      </w:r>
      <w:r w:rsidR="001027A2" w:rsidRPr="00324846">
        <w:rPr>
          <w:rFonts w:ascii="Times New Roman" w:hAnsi="Times New Roman" w:cs="Times New Roman"/>
          <w:i/>
          <w:iCs/>
          <w:sz w:val="24"/>
          <w:szCs w:val="24"/>
        </w:rPr>
        <w:t>et al.,</w:t>
      </w:r>
      <w:r w:rsidR="001027A2">
        <w:rPr>
          <w:rFonts w:ascii="Times New Roman" w:hAnsi="Times New Roman" w:cs="Times New Roman"/>
          <w:sz w:val="24"/>
          <w:szCs w:val="24"/>
        </w:rPr>
        <w:t xml:space="preserve"> 2020</w:t>
      </w:r>
      <w:r w:rsidR="001027A2" w:rsidRPr="00612D85">
        <w:rPr>
          <w:rFonts w:ascii="Times New Roman" w:hAnsi="Times New Roman" w:cs="Times New Roman"/>
          <w:sz w:val="24"/>
          <w:szCs w:val="24"/>
        </w:rPr>
        <w:t xml:space="preserve"> </w:t>
      </w:r>
      <w:r w:rsidRPr="00612D85">
        <w:rPr>
          <w:rFonts w:ascii="Times New Roman" w:hAnsi="Times New Roman" w:cs="Times New Roman"/>
          <w:sz w:val="24"/>
          <w:szCs w:val="24"/>
        </w:rPr>
        <w:t xml:space="preserve">stated that in first </w:t>
      </w:r>
      <w:proofErr w:type="spellStart"/>
      <w:r w:rsidRPr="00612D85">
        <w:rPr>
          <w:rFonts w:ascii="Times New Roman" w:hAnsi="Times New Roman" w:cs="Times New Roman"/>
          <w:sz w:val="24"/>
          <w:szCs w:val="24"/>
        </w:rPr>
        <w:t>viraemic</w:t>
      </w:r>
      <w:proofErr w:type="spellEnd"/>
      <w:r w:rsidRPr="00612D85">
        <w:rPr>
          <w:rFonts w:ascii="Times New Roman" w:hAnsi="Times New Roman" w:cs="Times New Roman"/>
          <w:sz w:val="24"/>
          <w:szCs w:val="24"/>
        </w:rPr>
        <w:t xml:space="preserve"> phase almost all lymphoid organs including tonsil, mesenteric lymph nodes and spleen were infected and propagated to highest concentrations. On the other hand, the virus probably does not invade the parenchymatous organs until late in the </w:t>
      </w:r>
      <w:proofErr w:type="spellStart"/>
      <w:r w:rsidRPr="00612D85">
        <w:rPr>
          <w:rFonts w:ascii="Times New Roman" w:hAnsi="Times New Roman" w:cs="Times New Roman"/>
          <w:sz w:val="24"/>
          <w:szCs w:val="24"/>
        </w:rPr>
        <w:t>viraemic</w:t>
      </w:r>
      <w:proofErr w:type="spellEnd"/>
      <w:r w:rsidRPr="00612D85">
        <w:rPr>
          <w:rFonts w:ascii="Times New Roman" w:hAnsi="Times New Roman" w:cs="Times New Roman"/>
          <w:sz w:val="24"/>
          <w:szCs w:val="24"/>
        </w:rPr>
        <w:t xml:space="preserve"> phase. Present study also justified frequent demonstration of virus in the lymphoid organs than that of kidney.</w:t>
      </w:r>
    </w:p>
    <w:p w14:paraId="293379D1" w14:textId="01277B3A" w:rsidR="00AE26CD" w:rsidRDefault="00AE26CD" w:rsidP="00AE26CD">
      <w:pPr>
        <w:spacing w:line="360" w:lineRule="auto"/>
        <w:jc w:val="both"/>
        <w:rPr>
          <w:rFonts w:ascii="Times New Roman" w:hAnsi="Times New Roman" w:cs="Times New Roman"/>
          <w:sz w:val="24"/>
          <w:szCs w:val="24"/>
        </w:rPr>
      </w:pPr>
      <w:r w:rsidRPr="00612D85">
        <w:rPr>
          <w:rFonts w:ascii="Times New Roman" w:hAnsi="Times New Roman" w:cs="Times New Roman"/>
          <w:b/>
          <w:bCs/>
          <w:sz w:val="24"/>
          <w:szCs w:val="24"/>
        </w:rPr>
        <w:t xml:space="preserve"> Sandwich ELISA: </w:t>
      </w:r>
      <w:r w:rsidRPr="00612D85">
        <w:rPr>
          <w:rFonts w:ascii="Times New Roman" w:hAnsi="Times New Roman" w:cs="Times New Roman"/>
          <w:sz w:val="24"/>
          <w:szCs w:val="24"/>
        </w:rPr>
        <w:t xml:space="preserve">Sandwich ELISA (S-ELISA) was used for detection of viral antigen in leucocytes as well as in the postmortem tissue samples. Results of the test showed that </w:t>
      </w:r>
      <w:proofErr w:type="spellStart"/>
      <w:r w:rsidRPr="00612D85">
        <w:rPr>
          <w:rFonts w:ascii="Times New Roman" w:hAnsi="Times New Roman" w:cs="Times New Roman"/>
          <w:sz w:val="24"/>
          <w:szCs w:val="24"/>
        </w:rPr>
        <w:t>preblocking</w:t>
      </w:r>
      <w:proofErr w:type="spellEnd"/>
      <w:r w:rsidRPr="00612D85">
        <w:rPr>
          <w:rFonts w:ascii="Times New Roman" w:hAnsi="Times New Roman" w:cs="Times New Roman"/>
          <w:sz w:val="24"/>
          <w:szCs w:val="24"/>
        </w:rPr>
        <w:t xml:space="preserve"> step prior to addition of antigen was essential to eliminate the non-specific binding of the proteins. Again, 5 per cent LAH was not sufficient to block the non-specific reaction. However, Sarma and Sarma (1996) performed the S-ELISA without </w:t>
      </w:r>
      <w:proofErr w:type="spellStart"/>
      <w:r w:rsidRPr="00612D85">
        <w:rPr>
          <w:rFonts w:ascii="Times New Roman" w:hAnsi="Times New Roman" w:cs="Times New Roman"/>
          <w:sz w:val="24"/>
          <w:szCs w:val="24"/>
        </w:rPr>
        <w:t>preblocking</w:t>
      </w:r>
      <w:proofErr w:type="spellEnd"/>
      <w:r w:rsidRPr="00612D85">
        <w:rPr>
          <w:rFonts w:ascii="Times New Roman" w:hAnsi="Times New Roman" w:cs="Times New Roman"/>
          <w:sz w:val="24"/>
          <w:szCs w:val="24"/>
        </w:rPr>
        <w:t xml:space="preserve"> and using 3 per cent LAH. Barman </w:t>
      </w:r>
      <w:r w:rsidRPr="00612D85">
        <w:rPr>
          <w:rFonts w:ascii="Times New Roman" w:hAnsi="Times New Roman" w:cs="Times New Roman"/>
          <w:i/>
          <w:iCs/>
          <w:sz w:val="24"/>
          <w:szCs w:val="24"/>
        </w:rPr>
        <w:t>et al.</w:t>
      </w:r>
      <w:r w:rsidRPr="00612D85">
        <w:rPr>
          <w:rFonts w:ascii="Times New Roman" w:hAnsi="Times New Roman" w:cs="Times New Roman"/>
          <w:sz w:val="24"/>
          <w:szCs w:val="24"/>
        </w:rPr>
        <w:t xml:space="preserve"> (2001) also used 10 per cent horse serum as a blocking buffer for demonstration of enterotoxigenic </w:t>
      </w:r>
      <w:r w:rsidRPr="00612D85">
        <w:rPr>
          <w:rFonts w:ascii="Times New Roman" w:hAnsi="Times New Roman" w:cs="Times New Roman"/>
          <w:i/>
          <w:iCs/>
          <w:sz w:val="24"/>
          <w:szCs w:val="24"/>
        </w:rPr>
        <w:t>Escherichia coli</w:t>
      </w:r>
      <w:r w:rsidRPr="00612D85">
        <w:rPr>
          <w:rFonts w:ascii="Times New Roman" w:hAnsi="Times New Roman" w:cs="Times New Roman"/>
          <w:sz w:val="24"/>
          <w:szCs w:val="24"/>
        </w:rPr>
        <w:t xml:space="preserve"> (ETEC) antibody in bovine milk by indirect ELISA. Further, horse serum and LAH are devoid of </w:t>
      </w:r>
      <w:proofErr w:type="spellStart"/>
      <w:r w:rsidRPr="00612D85">
        <w:rPr>
          <w:rFonts w:ascii="Times New Roman" w:hAnsi="Times New Roman" w:cs="Times New Roman"/>
          <w:sz w:val="24"/>
          <w:szCs w:val="24"/>
        </w:rPr>
        <w:t>Pestivirus</w:t>
      </w:r>
      <w:proofErr w:type="spellEnd"/>
      <w:r w:rsidRPr="00612D85">
        <w:rPr>
          <w:rFonts w:ascii="Times New Roman" w:hAnsi="Times New Roman" w:cs="Times New Roman"/>
          <w:sz w:val="24"/>
          <w:szCs w:val="24"/>
        </w:rPr>
        <w:t xml:space="preserve"> specific antibodies. A volume of 50 </w:t>
      </w:r>
      <w:r w:rsidRPr="00612D85">
        <w:rPr>
          <w:rFonts w:ascii="Times New Roman" w:hAnsi="Times New Roman" w:cs="Times New Roman"/>
          <w:sz w:val="24"/>
          <w:szCs w:val="24"/>
        </w:rPr>
        <w:sym w:font="Symbol" w:char="F06D"/>
      </w:r>
      <w:r w:rsidRPr="00612D85">
        <w:rPr>
          <w:rFonts w:ascii="Times New Roman" w:hAnsi="Times New Roman" w:cs="Times New Roman"/>
          <w:sz w:val="24"/>
          <w:szCs w:val="24"/>
        </w:rPr>
        <w:t xml:space="preserve">l tissue suspension was found to be optimum for demonstration of the HCV antigen present in the samples. Screening of the various samples by S-ELISA showed highest percentage of </w:t>
      </w:r>
      <w:r w:rsidRPr="00612D85">
        <w:rPr>
          <w:rFonts w:ascii="Times New Roman" w:hAnsi="Times New Roman" w:cs="Times New Roman"/>
          <w:sz w:val="24"/>
          <w:szCs w:val="24"/>
        </w:rPr>
        <w:lastRenderedPageBreak/>
        <w:t xml:space="preserve">positivity in tonsil followed by mesenteric lymph nodes, kidney, leucocytes and spleen. Again, the virus concentration in the sample (Table </w:t>
      </w:r>
      <w:r w:rsidR="00553575">
        <w:rPr>
          <w:rFonts w:ascii="Times New Roman" w:hAnsi="Times New Roman" w:cs="Times New Roman"/>
          <w:sz w:val="24"/>
          <w:szCs w:val="24"/>
        </w:rPr>
        <w:t>3</w:t>
      </w:r>
      <w:r w:rsidRPr="00612D85">
        <w:rPr>
          <w:rFonts w:ascii="Times New Roman" w:hAnsi="Times New Roman" w:cs="Times New Roman"/>
          <w:sz w:val="24"/>
          <w:szCs w:val="24"/>
        </w:rPr>
        <w:t xml:space="preserve">) was found higher in tonsil followed by mesenteric lymph nodes and kidney, Spleen and leucocytes contained comparatively low </w:t>
      </w:r>
      <w:r w:rsidR="000F56D3" w:rsidRPr="00612D85">
        <w:rPr>
          <w:rFonts w:ascii="Times New Roman" w:hAnsi="Times New Roman" w:cs="Times New Roman"/>
          <w:sz w:val="24"/>
          <w:szCs w:val="24"/>
        </w:rPr>
        <w:t>titer</w:t>
      </w:r>
      <w:r w:rsidRPr="00612D85">
        <w:rPr>
          <w:rFonts w:ascii="Times New Roman" w:hAnsi="Times New Roman" w:cs="Times New Roman"/>
          <w:sz w:val="24"/>
          <w:szCs w:val="24"/>
        </w:rPr>
        <w:t xml:space="preserve">. Hog cholera virus prefers to propagate in the lymphoid tissues and </w:t>
      </w:r>
      <w:r w:rsidR="0079652E" w:rsidRPr="007B58F8">
        <w:rPr>
          <w:rFonts w:ascii="Times New Roman" w:hAnsi="Times New Roman" w:cs="Times New Roman"/>
          <w:color w:val="EE0000"/>
          <w:sz w:val="24"/>
          <w:szCs w:val="24"/>
        </w:rPr>
        <w:t xml:space="preserve">Ganges </w:t>
      </w:r>
      <w:r w:rsidR="0079652E" w:rsidRPr="007B58F8">
        <w:rPr>
          <w:rFonts w:ascii="Times New Roman" w:hAnsi="Times New Roman" w:cs="Times New Roman"/>
          <w:i/>
          <w:iCs/>
          <w:color w:val="EE0000"/>
          <w:sz w:val="24"/>
          <w:szCs w:val="24"/>
        </w:rPr>
        <w:t>et al.,</w:t>
      </w:r>
      <w:r w:rsidR="0079652E" w:rsidRPr="007B58F8">
        <w:rPr>
          <w:rFonts w:ascii="Times New Roman" w:hAnsi="Times New Roman" w:cs="Times New Roman"/>
          <w:color w:val="EE0000"/>
          <w:sz w:val="24"/>
          <w:szCs w:val="24"/>
        </w:rPr>
        <w:t xml:space="preserve"> 2020 </w:t>
      </w:r>
      <w:r w:rsidRPr="00612D85">
        <w:rPr>
          <w:rFonts w:ascii="Times New Roman" w:hAnsi="Times New Roman" w:cs="Times New Roman"/>
          <w:sz w:val="24"/>
          <w:szCs w:val="24"/>
        </w:rPr>
        <w:t>clearly stated that virus concentration was higher in tonsil and mesenteric lymph nodes. Similar observation was also made by Sarma and Sarma (1996), where ELISA titre was found to be higher in tonsil followed by spleen, lymph node, kidney and brain.</w:t>
      </w:r>
    </w:p>
    <w:p w14:paraId="36D4FDED" w14:textId="3D7990A5" w:rsidR="00AE26CD" w:rsidRPr="00AE26CD" w:rsidRDefault="00AE26CD" w:rsidP="00AE26CD">
      <w:pPr>
        <w:pStyle w:val="BodyText2"/>
        <w:spacing w:line="360" w:lineRule="auto"/>
        <w:ind w:left="1309" w:hanging="1309"/>
        <w:jc w:val="both"/>
        <w:rPr>
          <w:rFonts w:ascii="Times New Roman" w:hAnsi="Times New Roman" w:cs="Times New Roman"/>
        </w:rPr>
      </w:pPr>
      <w:r w:rsidRPr="00612D85">
        <w:rPr>
          <w:rFonts w:ascii="Times New Roman" w:hAnsi="Times New Roman" w:cs="Times New Roman"/>
          <w:sz w:val="24"/>
          <w:szCs w:val="24"/>
        </w:rPr>
        <w:t xml:space="preserve">TABLE </w:t>
      </w:r>
      <w:r w:rsidR="00553575">
        <w:rPr>
          <w:rFonts w:ascii="Times New Roman" w:hAnsi="Times New Roman" w:cs="Times New Roman"/>
          <w:sz w:val="24"/>
          <w:szCs w:val="24"/>
        </w:rPr>
        <w:t>3</w:t>
      </w:r>
      <w:r w:rsidRPr="00612D85">
        <w:rPr>
          <w:rFonts w:ascii="Times New Roman" w:hAnsi="Times New Roman" w:cs="Times New Roman"/>
          <w:sz w:val="24"/>
          <w:szCs w:val="24"/>
        </w:rPr>
        <w:t xml:space="preserve">. </w:t>
      </w:r>
      <w:r w:rsidRPr="00AE26CD">
        <w:rPr>
          <w:rFonts w:ascii="Times New Roman" w:hAnsi="Times New Roman" w:cs="Times New Roman"/>
        </w:rPr>
        <w:t>ASSAY OF HOG CHOLERA VIRAL ANTIGEN TITRE IN THE CLINICAL AS WELL AS IN POSTMORTEM SAMPLES BY SANDWICH ELISA</w:t>
      </w:r>
    </w:p>
    <w:p w14:paraId="241E2D03" w14:textId="77777777" w:rsidR="00AE26CD" w:rsidRPr="00AE26CD" w:rsidRDefault="00AE26CD" w:rsidP="00AE26CD">
      <w:pPr>
        <w:pStyle w:val="BodyText2"/>
        <w:spacing w:line="360" w:lineRule="auto"/>
        <w:ind w:left="1309" w:hanging="1309"/>
        <w:jc w:val="both"/>
        <w:rPr>
          <w:rFonts w:ascii="Times New Roman" w:hAnsi="Times New Roman" w:cs="Times New Roman"/>
          <w:sz w:val="2"/>
          <w:szCs w:val="24"/>
        </w:rPr>
      </w:pPr>
    </w:p>
    <w:tbl>
      <w:tblPr>
        <w:tblpPr w:leftFromText="180" w:rightFromText="180" w:vertAnchor="text" w:horzAnchor="margin" w:tblpXSpec="center" w:tblpY="176"/>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2049"/>
        <w:gridCol w:w="1171"/>
        <w:gridCol w:w="1026"/>
        <w:gridCol w:w="878"/>
        <w:gridCol w:w="1171"/>
        <w:gridCol w:w="1318"/>
      </w:tblGrid>
      <w:tr w:rsidR="00AE26CD" w:rsidRPr="00612D85" w14:paraId="0D12201D" w14:textId="77777777" w:rsidTr="00AE26CD">
        <w:trPr>
          <w:cantSplit/>
          <w:trHeight w:val="570"/>
        </w:trPr>
        <w:tc>
          <w:tcPr>
            <w:tcW w:w="1758" w:type="dxa"/>
            <w:vMerge w:val="restart"/>
          </w:tcPr>
          <w:p w14:paraId="34B1A39B" w14:textId="77777777" w:rsidR="00AE26CD" w:rsidRDefault="00AE26CD" w:rsidP="00E27322">
            <w:pPr>
              <w:pStyle w:val="NoSpacing"/>
              <w:jc w:val="center"/>
              <w:rPr>
                <w:b/>
              </w:rPr>
            </w:pPr>
            <w:r w:rsidRPr="00153C29">
              <w:rPr>
                <w:b/>
              </w:rPr>
              <w:t xml:space="preserve">Type of </w:t>
            </w:r>
          </w:p>
          <w:p w14:paraId="1DDE5125" w14:textId="77777777" w:rsidR="00AE26CD" w:rsidRPr="00153C29" w:rsidRDefault="00AE26CD" w:rsidP="00E27322">
            <w:pPr>
              <w:pStyle w:val="NoSpacing"/>
              <w:jc w:val="center"/>
              <w:rPr>
                <w:b/>
              </w:rPr>
            </w:pPr>
            <w:r w:rsidRPr="00153C29">
              <w:rPr>
                <w:b/>
              </w:rPr>
              <w:t>sample</w:t>
            </w:r>
          </w:p>
        </w:tc>
        <w:tc>
          <w:tcPr>
            <w:tcW w:w="2049" w:type="dxa"/>
            <w:vMerge w:val="restart"/>
          </w:tcPr>
          <w:p w14:paraId="74DBB821" w14:textId="77777777" w:rsidR="00AE26CD" w:rsidRPr="00153C29" w:rsidRDefault="00AE26CD" w:rsidP="00E27322">
            <w:pPr>
              <w:pStyle w:val="NoSpacing"/>
              <w:jc w:val="center"/>
              <w:rPr>
                <w:b/>
              </w:rPr>
            </w:pPr>
            <w:r w:rsidRPr="00153C29">
              <w:rPr>
                <w:b/>
              </w:rPr>
              <w:t>No. of</w:t>
            </w:r>
          </w:p>
          <w:p w14:paraId="2C33B2F7" w14:textId="77777777" w:rsidR="00AE26CD" w:rsidRPr="00153C29" w:rsidRDefault="00AE26CD" w:rsidP="00E27322">
            <w:pPr>
              <w:pStyle w:val="NoSpacing"/>
              <w:jc w:val="center"/>
              <w:rPr>
                <w:b/>
              </w:rPr>
            </w:pPr>
            <w:r w:rsidRPr="00153C29">
              <w:rPr>
                <w:b/>
              </w:rPr>
              <w:t>samples positive</w:t>
            </w:r>
          </w:p>
        </w:tc>
        <w:tc>
          <w:tcPr>
            <w:tcW w:w="5564" w:type="dxa"/>
            <w:gridSpan w:val="5"/>
          </w:tcPr>
          <w:p w14:paraId="566573A3" w14:textId="77777777" w:rsidR="00AE26CD" w:rsidRPr="00153C29" w:rsidRDefault="00AE26CD" w:rsidP="00E27322">
            <w:pPr>
              <w:pStyle w:val="NoSpacing"/>
              <w:jc w:val="center"/>
              <w:rPr>
                <w:b/>
              </w:rPr>
            </w:pPr>
            <w:r w:rsidRPr="00153C29">
              <w:rPr>
                <w:b/>
              </w:rPr>
              <w:t>No. of samples showing reciprocal HCV titre</w:t>
            </w:r>
          </w:p>
        </w:tc>
      </w:tr>
      <w:tr w:rsidR="00AE26CD" w:rsidRPr="00612D85" w14:paraId="6611B584" w14:textId="77777777" w:rsidTr="00AE26CD">
        <w:trPr>
          <w:cantSplit/>
          <w:trHeight w:val="383"/>
        </w:trPr>
        <w:tc>
          <w:tcPr>
            <w:tcW w:w="1758" w:type="dxa"/>
            <w:vMerge/>
          </w:tcPr>
          <w:p w14:paraId="0B66C198" w14:textId="77777777" w:rsidR="00AE26CD" w:rsidRPr="00153C29" w:rsidRDefault="00AE26CD" w:rsidP="00E27322">
            <w:pPr>
              <w:pStyle w:val="NoSpacing"/>
              <w:jc w:val="center"/>
              <w:rPr>
                <w:b/>
              </w:rPr>
            </w:pPr>
          </w:p>
        </w:tc>
        <w:tc>
          <w:tcPr>
            <w:tcW w:w="2049" w:type="dxa"/>
            <w:vMerge/>
          </w:tcPr>
          <w:p w14:paraId="001D9B85" w14:textId="77777777" w:rsidR="00AE26CD" w:rsidRPr="00153C29" w:rsidRDefault="00AE26CD" w:rsidP="00E27322">
            <w:pPr>
              <w:pStyle w:val="NoSpacing"/>
              <w:jc w:val="center"/>
              <w:rPr>
                <w:b/>
              </w:rPr>
            </w:pPr>
          </w:p>
        </w:tc>
        <w:tc>
          <w:tcPr>
            <w:tcW w:w="1171" w:type="dxa"/>
          </w:tcPr>
          <w:p w14:paraId="0AE3F2BE" w14:textId="77777777" w:rsidR="00AE26CD" w:rsidRPr="00153C29" w:rsidRDefault="00AE26CD" w:rsidP="00E27322">
            <w:pPr>
              <w:pStyle w:val="NoSpacing"/>
              <w:jc w:val="center"/>
              <w:rPr>
                <w:b/>
              </w:rPr>
            </w:pPr>
            <w:r w:rsidRPr="00153C29">
              <w:rPr>
                <w:b/>
              </w:rPr>
              <w:t>2</w:t>
            </w:r>
          </w:p>
        </w:tc>
        <w:tc>
          <w:tcPr>
            <w:tcW w:w="1026" w:type="dxa"/>
          </w:tcPr>
          <w:p w14:paraId="65E42A0E" w14:textId="77777777" w:rsidR="00AE26CD" w:rsidRPr="00153C29" w:rsidRDefault="00AE26CD" w:rsidP="00E27322">
            <w:pPr>
              <w:pStyle w:val="NoSpacing"/>
              <w:jc w:val="center"/>
              <w:rPr>
                <w:b/>
              </w:rPr>
            </w:pPr>
            <w:r w:rsidRPr="00153C29">
              <w:rPr>
                <w:b/>
              </w:rPr>
              <w:t>4</w:t>
            </w:r>
          </w:p>
        </w:tc>
        <w:tc>
          <w:tcPr>
            <w:tcW w:w="878" w:type="dxa"/>
          </w:tcPr>
          <w:p w14:paraId="7D2E4ACB" w14:textId="77777777" w:rsidR="00AE26CD" w:rsidRPr="00153C29" w:rsidRDefault="00AE26CD" w:rsidP="00E27322">
            <w:pPr>
              <w:pStyle w:val="NoSpacing"/>
              <w:jc w:val="center"/>
              <w:rPr>
                <w:b/>
              </w:rPr>
            </w:pPr>
            <w:r w:rsidRPr="00153C29">
              <w:rPr>
                <w:b/>
              </w:rPr>
              <w:t>8</w:t>
            </w:r>
          </w:p>
        </w:tc>
        <w:tc>
          <w:tcPr>
            <w:tcW w:w="1171" w:type="dxa"/>
          </w:tcPr>
          <w:p w14:paraId="73F837FE" w14:textId="77777777" w:rsidR="00AE26CD" w:rsidRPr="00153C29" w:rsidRDefault="00AE26CD" w:rsidP="00E27322">
            <w:pPr>
              <w:pStyle w:val="NoSpacing"/>
              <w:jc w:val="center"/>
              <w:rPr>
                <w:b/>
              </w:rPr>
            </w:pPr>
            <w:r w:rsidRPr="00153C29">
              <w:rPr>
                <w:b/>
              </w:rPr>
              <w:t>16</w:t>
            </w:r>
          </w:p>
        </w:tc>
        <w:tc>
          <w:tcPr>
            <w:tcW w:w="1318" w:type="dxa"/>
          </w:tcPr>
          <w:p w14:paraId="1488FAFF" w14:textId="77777777" w:rsidR="00AE26CD" w:rsidRPr="00153C29" w:rsidRDefault="00AE26CD" w:rsidP="00E27322">
            <w:pPr>
              <w:pStyle w:val="NoSpacing"/>
              <w:jc w:val="center"/>
              <w:rPr>
                <w:b/>
              </w:rPr>
            </w:pPr>
            <w:r w:rsidRPr="00153C29">
              <w:rPr>
                <w:b/>
              </w:rPr>
              <w:sym w:font="Symbol" w:char="F0B3"/>
            </w:r>
            <w:r w:rsidRPr="00153C29">
              <w:rPr>
                <w:b/>
              </w:rPr>
              <w:t xml:space="preserve"> 32</w:t>
            </w:r>
          </w:p>
        </w:tc>
      </w:tr>
      <w:tr w:rsidR="00AE26CD" w:rsidRPr="00612D85" w14:paraId="225CDCA9" w14:textId="77777777" w:rsidTr="00AE26CD">
        <w:trPr>
          <w:trHeight w:hRule="exact" w:val="544"/>
        </w:trPr>
        <w:tc>
          <w:tcPr>
            <w:tcW w:w="1758" w:type="dxa"/>
          </w:tcPr>
          <w:p w14:paraId="506D8196" w14:textId="77777777" w:rsidR="00AE26CD" w:rsidRPr="00612D85" w:rsidRDefault="00AE26CD" w:rsidP="00E27322">
            <w:pPr>
              <w:pStyle w:val="NoSpacing"/>
              <w:jc w:val="center"/>
            </w:pPr>
            <w:r w:rsidRPr="00612D85">
              <w:t>Leucocytes</w:t>
            </w:r>
          </w:p>
        </w:tc>
        <w:tc>
          <w:tcPr>
            <w:tcW w:w="2049" w:type="dxa"/>
          </w:tcPr>
          <w:p w14:paraId="14114245" w14:textId="77777777" w:rsidR="00AE26CD" w:rsidRPr="00612D85" w:rsidRDefault="00AE26CD" w:rsidP="00E27322">
            <w:pPr>
              <w:pStyle w:val="NoSpacing"/>
              <w:jc w:val="center"/>
            </w:pPr>
            <w:r w:rsidRPr="00612D85">
              <w:t>7</w:t>
            </w:r>
          </w:p>
        </w:tc>
        <w:tc>
          <w:tcPr>
            <w:tcW w:w="1171" w:type="dxa"/>
          </w:tcPr>
          <w:p w14:paraId="7527FE52" w14:textId="77777777" w:rsidR="00AE26CD" w:rsidRPr="00612D85" w:rsidRDefault="00AE26CD" w:rsidP="00E27322">
            <w:pPr>
              <w:pStyle w:val="NoSpacing"/>
              <w:jc w:val="center"/>
            </w:pPr>
            <w:r w:rsidRPr="00612D85">
              <w:t>-</w:t>
            </w:r>
          </w:p>
        </w:tc>
        <w:tc>
          <w:tcPr>
            <w:tcW w:w="1026" w:type="dxa"/>
          </w:tcPr>
          <w:p w14:paraId="1A5484E8" w14:textId="77777777" w:rsidR="00AE26CD" w:rsidRPr="00612D85" w:rsidRDefault="00AE26CD" w:rsidP="00E27322">
            <w:pPr>
              <w:pStyle w:val="NoSpacing"/>
              <w:jc w:val="center"/>
            </w:pPr>
            <w:r w:rsidRPr="00612D85">
              <w:t>6</w:t>
            </w:r>
          </w:p>
        </w:tc>
        <w:tc>
          <w:tcPr>
            <w:tcW w:w="878" w:type="dxa"/>
          </w:tcPr>
          <w:p w14:paraId="377B6829" w14:textId="77777777" w:rsidR="00AE26CD" w:rsidRPr="00612D85" w:rsidRDefault="00AE26CD" w:rsidP="00E27322">
            <w:pPr>
              <w:pStyle w:val="NoSpacing"/>
              <w:jc w:val="center"/>
            </w:pPr>
            <w:r w:rsidRPr="00612D85">
              <w:t>1</w:t>
            </w:r>
          </w:p>
        </w:tc>
        <w:tc>
          <w:tcPr>
            <w:tcW w:w="1171" w:type="dxa"/>
          </w:tcPr>
          <w:p w14:paraId="1457C95C" w14:textId="77777777" w:rsidR="00AE26CD" w:rsidRPr="00612D85" w:rsidRDefault="00AE26CD" w:rsidP="00E27322">
            <w:pPr>
              <w:pStyle w:val="NoSpacing"/>
              <w:jc w:val="center"/>
            </w:pPr>
            <w:r w:rsidRPr="00612D85">
              <w:t>-</w:t>
            </w:r>
          </w:p>
        </w:tc>
        <w:tc>
          <w:tcPr>
            <w:tcW w:w="1318" w:type="dxa"/>
          </w:tcPr>
          <w:p w14:paraId="06D48772" w14:textId="77777777" w:rsidR="00AE26CD" w:rsidRPr="00612D85" w:rsidRDefault="00AE26CD" w:rsidP="00E27322">
            <w:pPr>
              <w:pStyle w:val="NoSpacing"/>
              <w:jc w:val="center"/>
            </w:pPr>
            <w:r w:rsidRPr="00612D85">
              <w:t>-</w:t>
            </w:r>
          </w:p>
        </w:tc>
      </w:tr>
      <w:tr w:rsidR="00AE26CD" w:rsidRPr="00612D85" w14:paraId="45ED6D3C" w14:textId="77777777" w:rsidTr="00AE26CD">
        <w:trPr>
          <w:trHeight w:hRule="exact" w:val="554"/>
        </w:trPr>
        <w:tc>
          <w:tcPr>
            <w:tcW w:w="1758" w:type="dxa"/>
          </w:tcPr>
          <w:p w14:paraId="5F89F45E" w14:textId="77777777" w:rsidR="00AE26CD" w:rsidRPr="00612D85" w:rsidRDefault="00AE26CD" w:rsidP="00E27322">
            <w:pPr>
              <w:pStyle w:val="NoSpacing"/>
              <w:jc w:val="center"/>
            </w:pPr>
            <w:r w:rsidRPr="00612D85">
              <w:t>Tonsils</w:t>
            </w:r>
          </w:p>
        </w:tc>
        <w:tc>
          <w:tcPr>
            <w:tcW w:w="2049" w:type="dxa"/>
          </w:tcPr>
          <w:p w14:paraId="4A70A419" w14:textId="77777777" w:rsidR="00AE26CD" w:rsidRPr="00612D85" w:rsidRDefault="00AE26CD" w:rsidP="00E27322">
            <w:pPr>
              <w:pStyle w:val="NoSpacing"/>
              <w:jc w:val="center"/>
            </w:pPr>
            <w:r w:rsidRPr="00612D85">
              <w:t>41</w:t>
            </w:r>
          </w:p>
        </w:tc>
        <w:tc>
          <w:tcPr>
            <w:tcW w:w="1171" w:type="dxa"/>
          </w:tcPr>
          <w:p w14:paraId="5E5426C7" w14:textId="77777777" w:rsidR="00AE26CD" w:rsidRPr="00612D85" w:rsidRDefault="00AE26CD" w:rsidP="00E27322">
            <w:pPr>
              <w:pStyle w:val="NoSpacing"/>
              <w:jc w:val="center"/>
            </w:pPr>
            <w:r w:rsidRPr="00612D85">
              <w:t>8</w:t>
            </w:r>
          </w:p>
        </w:tc>
        <w:tc>
          <w:tcPr>
            <w:tcW w:w="1026" w:type="dxa"/>
          </w:tcPr>
          <w:p w14:paraId="5D607602" w14:textId="77777777" w:rsidR="00AE26CD" w:rsidRPr="00612D85" w:rsidRDefault="00AE26CD" w:rsidP="00E27322">
            <w:pPr>
              <w:pStyle w:val="NoSpacing"/>
              <w:jc w:val="center"/>
            </w:pPr>
            <w:r w:rsidRPr="00612D85">
              <w:t>14</w:t>
            </w:r>
          </w:p>
        </w:tc>
        <w:tc>
          <w:tcPr>
            <w:tcW w:w="878" w:type="dxa"/>
          </w:tcPr>
          <w:p w14:paraId="589C2323" w14:textId="77777777" w:rsidR="00AE26CD" w:rsidRPr="00612D85" w:rsidRDefault="00AE26CD" w:rsidP="00E27322">
            <w:pPr>
              <w:pStyle w:val="NoSpacing"/>
              <w:jc w:val="center"/>
            </w:pPr>
            <w:r w:rsidRPr="00612D85">
              <w:t>6</w:t>
            </w:r>
          </w:p>
        </w:tc>
        <w:tc>
          <w:tcPr>
            <w:tcW w:w="1171" w:type="dxa"/>
          </w:tcPr>
          <w:p w14:paraId="78FCCB94" w14:textId="77777777" w:rsidR="00AE26CD" w:rsidRPr="00612D85" w:rsidRDefault="00AE26CD" w:rsidP="00E27322">
            <w:pPr>
              <w:pStyle w:val="NoSpacing"/>
              <w:jc w:val="center"/>
            </w:pPr>
            <w:r w:rsidRPr="00612D85">
              <w:t>3</w:t>
            </w:r>
          </w:p>
        </w:tc>
        <w:tc>
          <w:tcPr>
            <w:tcW w:w="1318" w:type="dxa"/>
          </w:tcPr>
          <w:p w14:paraId="151AF31D" w14:textId="77777777" w:rsidR="00AE26CD" w:rsidRPr="00612D85" w:rsidRDefault="00AE26CD" w:rsidP="00E27322">
            <w:pPr>
              <w:pStyle w:val="NoSpacing"/>
              <w:jc w:val="center"/>
            </w:pPr>
            <w:r w:rsidRPr="00612D85">
              <w:t>10</w:t>
            </w:r>
          </w:p>
        </w:tc>
      </w:tr>
      <w:tr w:rsidR="00AE26CD" w:rsidRPr="00612D85" w14:paraId="412C339C" w14:textId="77777777" w:rsidTr="00AE26CD">
        <w:trPr>
          <w:trHeight w:hRule="exact" w:val="687"/>
        </w:trPr>
        <w:tc>
          <w:tcPr>
            <w:tcW w:w="1758" w:type="dxa"/>
          </w:tcPr>
          <w:p w14:paraId="40847E7F" w14:textId="77777777" w:rsidR="00AE26CD" w:rsidRPr="00612D85" w:rsidRDefault="00AE26CD" w:rsidP="00E27322">
            <w:pPr>
              <w:pStyle w:val="NoSpacing"/>
              <w:jc w:val="center"/>
            </w:pPr>
            <w:r w:rsidRPr="00612D85">
              <w:t>Mesenteric lymph nodes</w:t>
            </w:r>
          </w:p>
        </w:tc>
        <w:tc>
          <w:tcPr>
            <w:tcW w:w="2049" w:type="dxa"/>
          </w:tcPr>
          <w:p w14:paraId="35F5B6F6" w14:textId="77777777" w:rsidR="00AE26CD" w:rsidRPr="00612D85" w:rsidRDefault="00AE26CD" w:rsidP="00E27322">
            <w:pPr>
              <w:pStyle w:val="NoSpacing"/>
              <w:jc w:val="center"/>
            </w:pPr>
            <w:r w:rsidRPr="00612D85">
              <w:t>37</w:t>
            </w:r>
          </w:p>
        </w:tc>
        <w:tc>
          <w:tcPr>
            <w:tcW w:w="1171" w:type="dxa"/>
          </w:tcPr>
          <w:p w14:paraId="2E78D9A1" w14:textId="77777777" w:rsidR="00AE26CD" w:rsidRPr="00612D85" w:rsidRDefault="00AE26CD" w:rsidP="00E27322">
            <w:pPr>
              <w:pStyle w:val="NoSpacing"/>
              <w:jc w:val="center"/>
            </w:pPr>
            <w:r w:rsidRPr="00612D85">
              <w:t>15</w:t>
            </w:r>
          </w:p>
        </w:tc>
        <w:tc>
          <w:tcPr>
            <w:tcW w:w="1026" w:type="dxa"/>
          </w:tcPr>
          <w:p w14:paraId="6D41BC4B" w14:textId="77777777" w:rsidR="00AE26CD" w:rsidRPr="00612D85" w:rsidRDefault="00AE26CD" w:rsidP="00E27322">
            <w:pPr>
              <w:pStyle w:val="NoSpacing"/>
              <w:jc w:val="center"/>
            </w:pPr>
            <w:r w:rsidRPr="00612D85">
              <w:t>14</w:t>
            </w:r>
          </w:p>
        </w:tc>
        <w:tc>
          <w:tcPr>
            <w:tcW w:w="878" w:type="dxa"/>
          </w:tcPr>
          <w:p w14:paraId="0DE17C0A" w14:textId="77777777" w:rsidR="00AE26CD" w:rsidRPr="00612D85" w:rsidRDefault="00AE26CD" w:rsidP="00E27322">
            <w:pPr>
              <w:pStyle w:val="NoSpacing"/>
              <w:jc w:val="center"/>
            </w:pPr>
            <w:r w:rsidRPr="00612D85">
              <w:t>1</w:t>
            </w:r>
          </w:p>
        </w:tc>
        <w:tc>
          <w:tcPr>
            <w:tcW w:w="1171" w:type="dxa"/>
          </w:tcPr>
          <w:p w14:paraId="1E60499A" w14:textId="77777777" w:rsidR="00AE26CD" w:rsidRPr="00612D85" w:rsidRDefault="00AE26CD" w:rsidP="00E27322">
            <w:pPr>
              <w:pStyle w:val="NoSpacing"/>
              <w:jc w:val="center"/>
            </w:pPr>
            <w:r w:rsidRPr="00612D85">
              <w:t>1</w:t>
            </w:r>
          </w:p>
        </w:tc>
        <w:tc>
          <w:tcPr>
            <w:tcW w:w="1318" w:type="dxa"/>
          </w:tcPr>
          <w:p w14:paraId="6EF454BC" w14:textId="77777777" w:rsidR="00AE26CD" w:rsidRPr="00612D85" w:rsidRDefault="00AE26CD" w:rsidP="00E27322">
            <w:pPr>
              <w:pStyle w:val="NoSpacing"/>
              <w:jc w:val="center"/>
            </w:pPr>
            <w:r w:rsidRPr="00612D85">
              <w:t>6</w:t>
            </w:r>
          </w:p>
          <w:p w14:paraId="2E63AE8D" w14:textId="77777777" w:rsidR="00AE26CD" w:rsidRPr="00612D85" w:rsidRDefault="00AE26CD" w:rsidP="00E27322">
            <w:pPr>
              <w:pStyle w:val="NoSpacing"/>
              <w:jc w:val="center"/>
            </w:pPr>
          </w:p>
        </w:tc>
      </w:tr>
      <w:tr w:rsidR="00AE26CD" w:rsidRPr="00612D85" w14:paraId="6F21A49C" w14:textId="77777777" w:rsidTr="00AE26CD">
        <w:trPr>
          <w:trHeight w:hRule="exact" w:val="460"/>
        </w:trPr>
        <w:tc>
          <w:tcPr>
            <w:tcW w:w="1758" w:type="dxa"/>
          </w:tcPr>
          <w:p w14:paraId="57C4C016" w14:textId="77777777" w:rsidR="00AE26CD" w:rsidRPr="00612D85" w:rsidRDefault="00AE26CD" w:rsidP="00E27322">
            <w:pPr>
              <w:pStyle w:val="NoSpacing"/>
              <w:jc w:val="center"/>
            </w:pPr>
            <w:r w:rsidRPr="00612D85">
              <w:t>Spleen</w:t>
            </w:r>
          </w:p>
        </w:tc>
        <w:tc>
          <w:tcPr>
            <w:tcW w:w="2049" w:type="dxa"/>
          </w:tcPr>
          <w:p w14:paraId="3209F2B8" w14:textId="77777777" w:rsidR="00AE26CD" w:rsidRPr="00612D85" w:rsidRDefault="00AE26CD" w:rsidP="00E27322">
            <w:pPr>
              <w:pStyle w:val="NoSpacing"/>
              <w:jc w:val="center"/>
            </w:pPr>
            <w:r w:rsidRPr="00612D85">
              <w:t>29</w:t>
            </w:r>
          </w:p>
        </w:tc>
        <w:tc>
          <w:tcPr>
            <w:tcW w:w="1171" w:type="dxa"/>
          </w:tcPr>
          <w:p w14:paraId="42B157CF" w14:textId="77777777" w:rsidR="00AE26CD" w:rsidRPr="00612D85" w:rsidRDefault="00AE26CD" w:rsidP="00E27322">
            <w:pPr>
              <w:pStyle w:val="NoSpacing"/>
              <w:jc w:val="center"/>
            </w:pPr>
            <w:r w:rsidRPr="00612D85">
              <w:t>11</w:t>
            </w:r>
          </w:p>
        </w:tc>
        <w:tc>
          <w:tcPr>
            <w:tcW w:w="1026" w:type="dxa"/>
          </w:tcPr>
          <w:p w14:paraId="2882674F" w14:textId="77777777" w:rsidR="00AE26CD" w:rsidRPr="00612D85" w:rsidRDefault="00AE26CD" w:rsidP="00E27322">
            <w:pPr>
              <w:pStyle w:val="NoSpacing"/>
              <w:jc w:val="center"/>
            </w:pPr>
            <w:r w:rsidRPr="00612D85">
              <w:t>12</w:t>
            </w:r>
          </w:p>
        </w:tc>
        <w:tc>
          <w:tcPr>
            <w:tcW w:w="878" w:type="dxa"/>
          </w:tcPr>
          <w:p w14:paraId="2DC203A3" w14:textId="77777777" w:rsidR="00AE26CD" w:rsidRPr="00612D85" w:rsidRDefault="00AE26CD" w:rsidP="00E27322">
            <w:pPr>
              <w:pStyle w:val="NoSpacing"/>
              <w:jc w:val="center"/>
            </w:pPr>
            <w:r w:rsidRPr="00612D85">
              <w:t>1</w:t>
            </w:r>
          </w:p>
        </w:tc>
        <w:tc>
          <w:tcPr>
            <w:tcW w:w="1171" w:type="dxa"/>
          </w:tcPr>
          <w:p w14:paraId="07125810" w14:textId="77777777" w:rsidR="00AE26CD" w:rsidRPr="00612D85" w:rsidRDefault="00AE26CD" w:rsidP="00E27322">
            <w:pPr>
              <w:pStyle w:val="NoSpacing"/>
              <w:jc w:val="center"/>
            </w:pPr>
            <w:r w:rsidRPr="00612D85">
              <w:t>2</w:t>
            </w:r>
          </w:p>
        </w:tc>
        <w:tc>
          <w:tcPr>
            <w:tcW w:w="1318" w:type="dxa"/>
          </w:tcPr>
          <w:p w14:paraId="65C91B1A" w14:textId="77777777" w:rsidR="00AE26CD" w:rsidRPr="00612D85" w:rsidRDefault="00AE26CD" w:rsidP="00E27322">
            <w:pPr>
              <w:pStyle w:val="NoSpacing"/>
              <w:jc w:val="center"/>
            </w:pPr>
            <w:r w:rsidRPr="00612D85">
              <w:t>3</w:t>
            </w:r>
          </w:p>
        </w:tc>
      </w:tr>
      <w:tr w:rsidR="00AE26CD" w:rsidRPr="00612D85" w14:paraId="151D9AFF" w14:textId="77777777" w:rsidTr="00AE26CD">
        <w:trPr>
          <w:trHeight w:hRule="exact" w:val="479"/>
        </w:trPr>
        <w:tc>
          <w:tcPr>
            <w:tcW w:w="1758" w:type="dxa"/>
          </w:tcPr>
          <w:p w14:paraId="78B4F1A6" w14:textId="77777777" w:rsidR="00AE26CD" w:rsidRPr="00612D85" w:rsidRDefault="00AE26CD" w:rsidP="00E27322">
            <w:pPr>
              <w:pStyle w:val="NoSpacing"/>
              <w:jc w:val="center"/>
            </w:pPr>
            <w:r w:rsidRPr="00612D85">
              <w:t>Kidney</w:t>
            </w:r>
          </w:p>
        </w:tc>
        <w:tc>
          <w:tcPr>
            <w:tcW w:w="2049" w:type="dxa"/>
          </w:tcPr>
          <w:p w14:paraId="50A76C9B" w14:textId="77777777" w:rsidR="00AE26CD" w:rsidRPr="00612D85" w:rsidRDefault="00AE26CD" w:rsidP="00E27322">
            <w:pPr>
              <w:pStyle w:val="NoSpacing"/>
              <w:jc w:val="center"/>
            </w:pPr>
            <w:r w:rsidRPr="00612D85">
              <w:t>33</w:t>
            </w:r>
          </w:p>
        </w:tc>
        <w:tc>
          <w:tcPr>
            <w:tcW w:w="1171" w:type="dxa"/>
          </w:tcPr>
          <w:p w14:paraId="41FE6787" w14:textId="77777777" w:rsidR="00AE26CD" w:rsidRPr="00612D85" w:rsidRDefault="00AE26CD" w:rsidP="00E27322">
            <w:pPr>
              <w:pStyle w:val="NoSpacing"/>
              <w:jc w:val="center"/>
            </w:pPr>
            <w:r w:rsidRPr="00612D85">
              <w:t>12</w:t>
            </w:r>
          </w:p>
        </w:tc>
        <w:tc>
          <w:tcPr>
            <w:tcW w:w="1026" w:type="dxa"/>
          </w:tcPr>
          <w:p w14:paraId="57D66B20" w14:textId="77777777" w:rsidR="00AE26CD" w:rsidRPr="00612D85" w:rsidRDefault="00AE26CD" w:rsidP="00E27322">
            <w:pPr>
              <w:pStyle w:val="NoSpacing"/>
              <w:jc w:val="center"/>
            </w:pPr>
            <w:r w:rsidRPr="00612D85">
              <w:t>13</w:t>
            </w:r>
          </w:p>
        </w:tc>
        <w:tc>
          <w:tcPr>
            <w:tcW w:w="878" w:type="dxa"/>
          </w:tcPr>
          <w:p w14:paraId="57D89698" w14:textId="77777777" w:rsidR="00AE26CD" w:rsidRPr="00612D85" w:rsidRDefault="00AE26CD" w:rsidP="00E27322">
            <w:pPr>
              <w:pStyle w:val="NoSpacing"/>
              <w:jc w:val="center"/>
            </w:pPr>
            <w:r w:rsidRPr="00612D85">
              <w:t>1</w:t>
            </w:r>
          </w:p>
        </w:tc>
        <w:tc>
          <w:tcPr>
            <w:tcW w:w="1171" w:type="dxa"/>
          </w:tcPr>
          <w:p w14:paraId="2B163B9B" w14:textId="77777777" w:rsidR="00AE26CD" w:rsidRPr="00612D85" w:rsidRDefault="00AE26CD" w:rsidP="00E27322">
            <w:pPr>
              <w:pStyle w:val="NoSpacing"/>
              <w:jc w:val="center"/>
            </w:pPr>
            <w:r w:rsidRPr="00612D85">
              <w:t>2</w:t>
            </w:r>
          </w:p>
        </w:tc>
        <w:tc>
          <w:tcPr>
            <w:tcW w:w="1318" w:type="dxa"/>
          </w:tcPr>
          <w:p w14:paraId="0EF982DA" w14:textId="77777777" w:rsidR="00AE26CD" w:rsidRPr="00612D85" w:rsidRDefault="00AE26CD" w:rsidP="00E27322">
            <w:pPr>
              <w:pStyle w:val="NoSpacing"/>
              <w:jc w:val="center"/>
            </w:pPr>
            <w:r w:rsidRPr="00612D85">
              <w:t>5</w:t>
            </w:r>
          </w:p>
        </w:tc>
      </w:tr>
      <w:tr w:rsidR="00AE26CD" w:rsidRPr="00AE26CD" w14:paraId="3E31A68C" w14:textId="77777777" w:rsidTr="00AE26CD">
        <w:trPr>
          <w:trHeight w:hRule="exact" w:val="844"/>
        </w:trPr>
        <w:tc>
          <w:tcPr>
            <w:tcW w:w="1758" w:type="dxa"/>
          </w:tcPr>
          <w:p w14:paraId="2BCFEC26" w14:textId="77777777" w:rsidR="00AE26CD" w:rsidRPr="00AE26CD" w:rsidRDefault="00AE26CD" w:rsidP="00E27322">
            <w:pPr>
              <w:pStyle w:val="NoSpacing"/>
              <w:jc w:val="center"/>
              <w:rPr>
                <w:b/>
              </w:rPr>
            </w:pPr>
            <w:r w:rsidRPr="00AE26CD">
              <w:rPr>
                <w:b/>
              </w:rPr>
              <w:t>Total</w:t>
            </w:r>
          </w:p>
        </w:tc>
        <w:tc>
          <w:tcPr>
            <w:tcW w:w="2049" w:type="dxa"/>
          </w:tcPr>
          <w:p w14:paraId="62A33A88" w14:textId="77777777" w:rsidR="00AE26CD" w:rsidRPr="00AE26CD" w:rsidRDefault="00AE26CD" w:rsidP="00E27322">
            <w:pPr>
              <w:pStyle w:val="NoSpacing"/>
              <w:jc w:val="center"/>
              <w:rPr>
                <w:b/>
              </w:rPr>
            </w:pPr>
            <w:r w:rsidRPr="00AE26CD">
              <w:rPr>
                <w:b/>
              </w:rPr>
              <w:t>147</w:t>
            </w:r>
          </w:p>
        </w:tc>
        <w:tc>
          <w:tcPr>
            <w:tcW w:w="1171" w:type="dxa"/>
          </w:tcPr>
          <w:p w14:paraId="2B094D3F" w14:textId="77777777" w:rsidR="00AE26CD" w:rsidRPr="00AE26CD" w:rsidRDefault="00AE26CD" w:rsidP="00E27322">
            <w:pPr>
              <w:pStyle w:val="NoSpacing"/>
              <w:jc w:val="center"/>
              <w:rPr>
                <w:b/>
              </w:rPr>
            </w:pPr>
            <w:r w:rsidRPr="00AE26CD">
              <w:rPr>
                <w:b/>
              </w:rPr>
              <w:t>46</w:t>
            </w:r>
          </w:p>
          <w:p w14:paraId="1EE53B90" w14:textId="77777777" w:rsidR="00AE26CD" w:rsidRPr="00AE26CD" w:rsidRDefault="00AE26CD" w:rsidP="00E27322">
            <w:pPr>
              <w:pStyle w:val="NoSpacing"/>
              <w:jc w:val="center"/>
              <w:rPr>
                <w:b/>
              </w:rPr>
            </w:pPr>
            <w:r w:rsidRPr="00AE26CD">
              <w:rPr>
                <w:b/>
              </w:rPr>
              <w:t>(31.29)</w:t>
            </w:r>
          </w:p>
        </w:tc>
        <w:tc>
          <w:tcPr>
            <w:tcW w:w="1026" w:type="dxa"/>
          </w:tcPr>
          <w:p w14:paraId="5B2AB656" w14:textId="77777777" w:rsidR="00AE26CD" w:rsidRPr="00AE26CD" w:rsidRDefault="00AE26CD" w:rsidP="00E27322">
            <w:pPr>
              <w:pStyle w:val="NoSpacing"/>
              <w:jc w:val="center"/>
              <w:rPr>
                <w:b/>
              </w:rPr>
            </w:pPr>
            <w:r w:rsidRPr="00AE26CD">
              <w:rPr>
                <w:b/>
              </w:rPr>
              <w:t>59</w:t>
            </w:r>
          </w:p>
          <w:p w14:paraId="10A1F5D5" w14:textId="77777777" w:rsidR="00AE26CD" w:rsidRPr="00AE26CD" w:rsidRDefault="00AE26CD" w:rsidP="00E27322">
            <w:pPr>
              <w:pStyle w:val="NoSpacing"/>
              <w:jc w:val="center"/>
              <w:rPr>
                <w:b/>
              </w:rPr>
            </w:pPr>
            <w:r w:rsidRPr="00AE26CD">
              <w:rPr>
                <w:b/>
              </w:rPr>
              <w:t>(40.13)</w:t>
            </w:r>
          </w:p>
        </w:tc>
        <w:tc>
          <w:tcPr>
            <w:tcW w:w="878" w:type="dxa"/>
          </w:tcPr>
          <w:p w14:paraId="3060B822" w14:textId="77777777" w:rsidR="00AE26CD" w:rsidRPr="00AE26CD" w:rsidRDefault="00AE26CD" w:rsidP="00E27322">
            <w:pPr>
              <w:pStyle w:val="NoSpacing"/>
              <w:jc w:val="center"/>
              <w:rPr>
                <w:b/>
              </w:rPr>
            </w:pPr>
            <w:r w:rsidRPr="00AE26CD">
              <w:rPr>
                <w:b/>
              </w:rPr>
              <w:t>10</w:t>
            </w:r>
          </w:p>
          <w:p w14:paraId="0984BC55" w14:textId="77777777" w:rsidR="00AE26CD" w:rsidRPr="00AE26CD" w:rsidRDefault="00AE26CD" w:rsidP="00E27322">
            <w:pPr>
              <w:pStyle w:val="NoSpacing"/>
              <w:jc w:val="center"/>
              <w:rPr>
                <w:b/>
              </w:rPr>
            </w:pPr>
            <w:r w:rsidRPr="00AE26CD">
              <w:rPr>
                <w:b/>
              </w:rPr>
              <w:t>(6.80)</w:t>
            </w:r>
          </w:p>
        </w:tc>
        <w:tc>
          <w:tcPr>
            <w:tcW w:w="1171" w:type="dxa"/>
          </w:tcPr>
          <w:p w14:paraId="4439C366" w14:textId="77777777" w:rsidR="00AE26CD" w:rsidRPr="00AE26CD" w:rsidRDefault="00AE26CD" w:rsidP="00E27322">
            <w:pPr>
              <w:pStyle w:val="NoSpacing"/>
              <w:jc w:val="center"/>
              <w:rPr>
                <w:b/>
              </w:rPr>
            </w:pPr>
            <w:r w:rsidRPr="00AE26CD">
              <w:rPr>
                <w:b/>
              </w:rPr>
              <w:t>8</w:t>
            </w:r>
          </w:p>
          <w:p w14:paraId="7709F492" w14:textId="77777777" w:rsidR="00AE26CD" w:rsidRPr="00AE26CD" w:rsidRDefault="00AE26CD" w:rsidP="00E27322">
            <w:pPr>
              <w:pStyle w:val="NoSpacing"/>
              <w:jc w:val="center"/>
              <w:rPr>
                <w:b/>
              </w:rPr>
            </w:pPr>
            <w:r w:rsidRPr="00AE26CD">
              <w:rPr>
                <w:b/>
              </w:rPr>
              <w:t>(5.44)</w:t>
            </w:r>
          </w:p>
        </w:tc>
        <w:tc>
          <w:tcPr>
            <w:tcW w:w="1318" w:type="dxa"/>
          </w:tcPr>
          <w:p w14:paraId="53F8810B" w14:textId="77777777" w:rsidR="00AE26CD" w:rsidRPr="00AE26CD" w:rsidRDefault="00AE26CD" w:rsidP="00E27322">
            <w:pPr>
              <w:pStyle w:val="NoSpacing"/>
              <w:jc w:val="center"/>
              <w:rPr>
                <w:b/>
              </w:rPr>
            </w:pPr>
            <w:r w:rsidRPr="00AE26CD">
              <w:rPr>
                <w:b/>
              </w:rPr>
              <w:t>24</w:t>
            </w:r>
          </w:p>
          <w:p w14:paraId="7F7B7482" w14:textId="77777777" w:rsidR="00AE26CD" w:rsidRPr="00AE26CD" w:rsidRDefault="00AE26CD" w:rsidP="00E27322">
            <w:pPr>
              <w:pStyle w:val="NoSpacing"/>
              <w:jc w:val="center"/>
              <w:rPr>
                <w:b/>
              </w:rPr>
            </w:pPr>
            <w:r w:rsidRPr="00AE26CD">
              <w:rPr>
                <w:b/>
              </w:rPr>
              <w:t>(16.32)</w:t>
            </w:r>
          </w:p>
        </w:tc>
      </w:tr>
    </w:tbl>
    <w:p w14:paraId="11CF2480" w14:textId="77777777" w:rsidR="00AE26CD" w:rsidRDefault="00AE26CD" w:rsidP="00AE26CD">
      <w:pPr>
        <w:pStyle w:val="BodyText2"/>
        <w:spacing w:line="360" w:lineRule="auto"/>
        <w:rPr>
          <w:rFonts w:ascii="Times New Roman" w:hAnsi="Times New Roman" w:cs="Times New Roman"/>
          <w:b/>
          <w:bCs/>
          <w:szCs w:val="24"/>
        </w:rPr>
      </w:pPr>
      <w:r>
        <w:rPr>
          <w:rFonts w:ascii="Times New Roman" w:hAnsi="Times New Roman" w:cs="Times New Roman"/>
          <w:b/>
          <w:bCs/>
          <w:szCs w:val="24"/>
        </w:rPr>
        <w:t xml:space="preserve">    </w:t>
      </w:r>
      <w:r w:rsidRPr="00153C29">
        <w:rPr>
          <w:rFonts w:ascii="Times New Roman" w:hAnsi="Times New Roman" w:cs="Times New Roman"/>
          <w:b/>
          <w:bCs/>
          <w:szCs w:val="24"/>
        </w:rPr>
        <w:t>Figures in parenthesis indicate percentages</w:t>
      </w:r>
    </w:p>
    <w:p w14:paraId="52B7FB98" w14:textId="27D343B9" w:rsidR="00AE26CD" w:rsidRDefault="00AE26CD" w:rsidP="00AE26CD">
      <w:pPr>
        <w:spacing w:line="360" w:lineRule="auto"/>
        <w:jc w:val="both"/>
        <w:rPr>
          <w:rFonts w:ascii="Times New Roman" w:hAnsi="Times New Roman" w:cs="Times New Roman"/>
          <w:sz w:val="24"/>
          <w:szCs w:val="24"/>
        </w:rPr>
      </w:pPr>
      <w:r w:rsidRPr="00612D85">
        <w:rPr>
          <w:rFonts w:ascii="Times New Roman" w:hAnsi="Times New Roman" w:cs="Times New Roman"/>
          <w:b/>
          <w:bCs/>
          <w:sz w:val="24"/>
          <w:szCs w:val="24"/>
        </w:rPr>
        <w:t xml:space="preserve">Agar gel precipitation test: </w:t>
      </w:r>
      <w:r w:rsidRPr="00612D85">
        <w:rPr>
          <w:rFonts w:ascii="Times New Roman" w:hAnsi="Times New Roman" w:cs="Times New Roman"/>
          <w:sz w:val="24"/>
          <w:szCs w:val="24"/>
        </w:rPr>
        <w:t>Soluble antigens of HCV react with specific antibodies and in optimum conditions visible opaque precipitating bands appear between the wells of antigen and antibody in gel medium (Molnar, 1954). For HCV antigen detection, 0.9 per cent Agarose gel was prepared in two different buffers (PBS, pH 7.4 and Veronal buffer, pH 8.6). Veronal buffer (VB) was favoured for development of thin and sharp precipitation bands in positive control as well as in infected test samples. However, no precipitating bands could be demonstrated in the gel prepared in PBS. Again, test run at different temperatures showed varied results. Incubation done at 4</w:t>
      </w:r>
      <w:r w:rsidRPr="00612D85">
        <w:rPr>
          <w:rFonts w:ascii="Times New Roman" w:hAnsi="Times New Roman" w:cs="Times New Roman"/>
          <w:sz w:val="24"/>
          <w:szCs w:val="24"/>
        </w:rPr>
        <w:sym w:font="Symbol" w:char="F0B0"/>
      </w:r>
      <w:r w:rsidRPr="00612D85">
        <w:rPr>
          <w:rFonts w:ascii="Times New Roman" w:hAnsi="Times New Roman" w:cs="Times New Roman"/>
          <w:sz w:val="24"/>
          <w:szCs w:val="24"/>
        </w:rPr>
        <w:t>C resulted in the development of sharp and thin precipitating bands in control and test samples even after 24hours of incubation. Darbyshire (1962)</w:t>
      </w:r>
      <w:r w:rsidR="00DE6957">
        <w:rPr>
          <w:rFonts w:ascii="Times New Roman" w:hAnsi="Times New Roman" w:cs="Times New Roman"/>
          <w:sz w:val="24"/>
          <w:szCs w:val="24"/>
        </w:rPr>
        <w:t xml:space="preserve"> </w:t>
      </w:r>
      <w:r w:rsidRPr="00612D85">
        <w:rPr>
          <w:rFonts w:ascii="Times New Roman" w:hAnsi="Times New Roman" w:cs="Times New Roman"/>
          <w:sz w:val="24"/>
          <w:szCs w:val="24"/>
        </w:rPr>
        <w:t xml:space="preserve">also demonstrated precipitating </w:t>
      </w:r>
      <w:r w:rsidRPr="00612D85">
        <w:rPr>
          <w:rFonts w:ascii="Times New Roman" w:hAnsi="Times New Roman" w:cs="Times New Roman"/>
          <w:sz w:val="24"/>
          <w:szCs w:val="24"/>
        </w:rPr>
        <w:lastRenderedPageBreak/>
        <w:t>band after overnight incubation at 4</w:t>
      </w:r>
      <w:r w:rsidRPr="00612D85">
        <w:rPr>
          <w:rFonts w:ascii="Times New Roman" w:hAnsi="Times New Roman" w:cs="Times New Roman"/>
          <w:sz w:val="24"/>
          <w:szCs w:val="24"/>
        </w:rPr>
        <w:sym w:font="Symbol" w:char="F0B0"/>
      </w:r>
      <w:r w:rsidRPr="00612D85">
        <w:rPr>
          <w:rFonts w:ascii="Times New Roman" w:hAnsi="Times New Roman" w:cs="Times New Roman"/>
          <w:sz w:val="24"/>
          <w:szCs w:val="24"/>
        </w:rPr>
        <w:t>C. Precipitating line also appeared after 1½ hour incubation at 37</w:t>
      </w:r>
      <w:r w:rsidRPr="00612D85">
        <w:rPr>
          <w:rFonts w:ascii="Times New Roman" w:hAnsi="Times New Roman" w:cs="Times New Roman"/>
          <w:sz w:val="24"/>
          <w:szCs w:val="24"/>
        </w:rPr>
        <w:sym w:font="Symbol" w:char="F0B0"/>
      </w:r>
      <w:r w:rsidRPr="00612D85">
        <w:rPr>
          <w:rFonts w:ascii="Times New Roman" w:hAnsi="Times New Roman" w:cs="Times New Roman"/>
          <w:sz w:val="24"/>
          <w:szCs w:val="24"/>
        </w:rPr>
        <w:t>C by Darbyshire (1962). Overnight incubation at 37</w:t>
      </w:r>
      <w:r w:rsidRPr="00612D85">
        <w:rPr>
          <w:rFonts w:ascii="Times New Roman" w:hAnsi="Times New Roman" w:cs="Times New Roman"/>
          <w:sz w:val="24"/>
          <w:szCs w:val="24"/>
        </w:rPr>
        <w:sym w:font="Symbol" w:char="F0B0"/>
      </w:r>
      <w:r w:rsidRPr="00612D85">
        <w:rPr>
          <w:rFonts w:ascii="Times New Roman" w:hAnsi="Times New Roman" w:cs="Times New Roman"/>
          <w:sz w:val="24"/>
          <w:szCs w:val="24"/>
        </w:rPr>
        <w:t xml:space="preserve">C or at room temperature (RT) did not result in appearance of clear bands. Agar gel precipitation test could demonstrate HCV antigen in 19.74 per cent samples. However, highest number of positive samples was recorded in tonsil followed by spleen, kidney and mesenteric lymph nodes. No precipitating antigen could be demonstrated in leucocytes. Demonstration of low percentage of positive samples by AGPT indicated that the test required high concentration of antigen in the samples. The study showed that AGPT failed to demonstrate antigen in leucocytes but 35.61 per cent tonsilar tissue indicated the presence of viral antigen. Agar gel precipitation test, however, was a simple test and could be performed in any laboratory having minimum facilities. Sarma and Sarma (1998) also observed almost similar findings. </w:t>
      </w:r>
    </w:p>
    <w:p w14:paraId="773BDFCA" w14:textId="77777777" w:rsidR="0030138E" w:rsidRDefault="0030138E" w:rsidP="0030138E">
      <w:pPr>
        <w:pStyle w:val="NoSpacing"/>
        <w:rPr>
          <w:b/>
        </w:rPr>
      </w:pPr>
      <w:r w:rsidRPr="00612D85">
        <w:rPr>
          <w:bCs/>
        </w:rPr>
        <w:t>TABLE 4.</w:t>
      </w:r>
      <w:r w:rsidRPr="00612D85">
        <w:t xml:space="preserve"> </w:t>
      </w:r>
      <w:r w:rsidRPr="009136C2">
        <w:rPr>
          <w:b/>
        </w:rPr>
        <w:t xml:space="preserve">DETECTION OF HCV ANTIGEN IN THE CLINICAL AND POSTMORTEM SAMPLES BY SANDWICH </w:t>
      </w:r>
    </w:p>
    <w:p w14:paraId="4F0545F6" w14:textId="77777777" w:rsidR="0030138E" w:rsidRPr="009136C2" w:rsidRDefault="0030138E" w:rsidP="0030138E">
      <w:pPr>
        <w:pStyle w:val="NoSpacing"/>
        <w:rPr>
          <w:b/>
        </w:rPr>
      </w:pPr>
      <w:r>
        <w:rPr>
          <w:b/>
        </w:rPr>
        <w:t xml:space="preserve">                </w:t>
      </w:r>
      <w:r w:rsidRPr="009136C2">
        <w:rPr>
          <w:b/>
        </w:rPr>
        <w:t>ELISA, FAT AND AGPT</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1913"/>
        <w:gridCol w:w="1522"/>
        <w:gridCol w:w="1860"/>
        <w:gridCol w:w="1875"/>
      </w:tblGrid>
      <w:tr w:rsidR="0030138E" w:rsidRPr="00612D85" w14:paraId="499B793E" w14:textId="77777777" w:rsidTr="00E27322">
        <w:trPr>
          <w:cantSplit/>
          <w:trHeight w:val="350"/>
          <w:jc w:val="center"/>
        </w:trPr>
        <w:tc>
          <w:tcPr>
            <w:tcW w:w="2028" w:type="dxa"/>
            <w:vMerge w:val="restart"/>
          </w:tcPr>
          <w:p w14:paraId="1859D8B1" w14:textId="77777777" w:rsidR="0030138E" w:rsidRPr="00612D85" w:rsidRDefault="0030138E" w:rsidP="00E27322">
            <w:pPr>
              <w:pStyle w:val="BodyText2"/>
              <w:spacing w:line="360" w:lineRule="auto"/>
              <w:jc w:val="center"/>
              <w:rPr>
                <w:rFonts w:ascii="Times New Roman" w:hAnsi="Times New Roman" w:cs="Times New Roman"/>
                <w:b/>
                <w:sz w:val="24"/>
                <w:szCs w:val="24"/>
              </w:rPr>
            </w:pPr>
            <w:r w:rsidRPr="00612D85">
              <w:rPr>
                <w:rFonts w:ascii="Times New Roman" w:hAnsi="Times New Roman" w:cs="Times New Roman"/>
                <w:b/>
                <w:sz w:val="24"/>
                <w:szCs w:val="24"/>
              </w:rPr>
              <w:t>Type of samples</w:t>
            </w:r>
          </w:p>
        </w:tc>
        <w:tc>
          <w:tcPr>
            <w:tcW w:w="1913" w:type="dxa"/>
            <w:vMerge w:val="restart"/>
          </w:tcPr>
          <w:p w14:paraId="49DACE79" w14:textId="77777777" w:rsidR="0030138E" w:rsidRPr="009136C2" w:rsidRDefault="0030138E" w:rsidP="00E27322">
            <w:pPr>
              <w:pStyle w:val="NoSpacing"/>
              <w:jc w:val="center"/>
              <w:rPr>
                <w:b/>
                <w:sz w:val="24"/>
                <w:szCs w:val="24"/>
              </w:rPr>
            </w:pPr>
            <w:r w:rsidRPr="009136C2">
              <w:rPr>
                <w:b/>
                <w:sz w:val="24"/>
                <w:szCs w:val="24"/>
              </w:rPr>
              <w:t>No. of samples tested</w:t>
            </w:r>
          </w:p>
        </w:tc>
        <w:tc>
          <w:tcPr>
            <w:tcW w:w="5257" w:type="dxa"/>
            <w:gridSpan w:val="3"/>
          </w:tcPr>
          <w:p w14:paraId="6A2FDF6E" w14:textId="77777777" w:rsidR="0030138E" w:rsidRPr="00612D85" w:rsidRDefault="0030138E" w:rsidP="00E27322">
            <w:pPr>
              <w:pStyle w:val="BodyText2"/>
              <w:spacing w:line="360" w:lineRule="auto"/>
              <w:jc w:val="center"/>
              <w:rPr>
                <w:rFonts w:ascii="Times New Roman" w:hAnsi="Times New Roman" w:cs="Times New Roman"/>
                <w:b/>
                <w:sz w:val="24"/>
                <w:szCs w:val="24"/>
              </w:rPr>
            </w:pPr>
            <w:r w:rsidRPr="00612D85">
              <w:rPr>
                <w:rFonts w:ascii="Times New Roman" w:hAnsi="Times New Roman" w:cs="Times New Roman"/>
                <w:b/>
                <w:sz w:val="24"/>
                <w:szCs w:val="24"/>
              </w:rPr>
              <w:t>No. of samples positive in</w:t>
            </w:r>
          </w:p>
        </w:tc>
      </w:tr>
      <w:tr w:rsidR="0030138E" w:rsidRPr="00612D85" w14:paraId="4757E78D" w14:textId="77777777" w:rsidTr="00E27322">
        <w:trPr>
          <w:cantSplit/>
          <w:trHeight w:hRule="exact" w:val="323"/>
          <w:jc w:val="center"/>
        </w:trPr>
        <w:tc>
          <w:tcPr>
            <w:tcW w:w="2028" w:type="dxa"/>
            <w:vMerge/>
          </w:tcPr>
          <w:p w14:paraId="6C872A25" w14:textId="77777777" w:rsidR="0030138E" w:rsidRPr="00612D85" w:rsidRDefault="0030138E" w:rsidP="00E27322">
            <w:pPr>
              <w:pStyle w:val="BodyText2"/>
              <w:spacing w:line="360" w:lineRule="auto"/>
              <w:jc w:val="center"/>
              <w:rPr>
                <w:rFonts w:ascii="Times New Roman" w:hAnsi="Times New Roman" w:cs="Times New Roman"/>
                <w:b/>
                <w:sz w:val="24"/>
                <w:szCs w:val="24"/>
              </w:rPr>
            </w:pPr>
          </w:p>
        </w:tc>
        <w:tc>
          <w:tcPr>
            <w:tcW w:w="1913" w:type="dxa"/>
            <w:vMerge/>
          </w:tcPr>
          <w:p w14:paraId="1868B97E" w14:textId="77777777" w:rsidR="0030138E" w:rsidRPr="00612D85" w:rsidRDefault="0030138E" w:rsidP="00E27322">
            <w:pPr>
              <w:pStyle w:val="BodyText2"/>
              <w:spacing w:line="360" w:lineRule="auto"/>
              <w:jc w:val="center"/>
              <w:rPr>
                <w:rFonts w:ascii="Times New Roman" w:hAnsi="Times New Roman" w:cs="Times New Roman"/>
                <w:b/>
                <w:sz w:val="24"/>
                <w:szCs w:val="24"/>
              </w:rPr>
            </w:pPr>
          </w:p>
        </w:tc>
        <w:tc>
          <w:tcPr>
            <w:tcW w:w="1522" w:type="dxa"/>
          </w:tcPr>
          <w:p w14:paraId="04A0C78E" w14:textId="77777777" w:rsidR="0030138E" w:rsidRPr="00612D85" w:rsidRDefault="0030138E" w:rsidP="00E27322">
            <w:pPr>
              <w:pStyle w:val="BodyText2"/>
              <w:spacing w:line="360" w:lineRule="auto"/>
              <w:jc w:val="center"/>
              <w:rPr>
                <w:rFonts w:ascii="Times New Roman" w:hAnsi="Times New Roman" w:cs="Times New Roman"/>
                <w:b/>
                <w:sz w:val="24"/>
                <w:szCs w:val="24"/>
              </w:rPr>
            </w:pPr>
            <w:r w:rsidRPr="00612D85">
              <w:rPr>
                <w:rFonts w:ascii="Times New Roman" w:hAnsi="Times New Roman" w:cs="Times New Roman"/>
                <w:b/>
                <w:sz w:val="24"/>
                <w:szCs w:val="24"/>
              </w:rPr>
              <w:t>FAT</w:t>
            </w:r>
          </w:p>
        </w:tc>
        <w:tc>
          <w:tcPr>
            <w:tcW w:w="1860" w:type="dxa"/>
          </w:tcPr>
          <w:p w14:paraId="27144F94" w14:textId="77777777" w:rsidR="0030138E" w:rsidRPr="00612D85" w:rsidRDefault="0030138E" w:rsidP="00E27322">
            <w:pPr>
              <w:pStyle w:val="BodyText2"/>
              <w:spacing w:line="360" w:lineRule="auto"/>
              <w:jc w:val="center"/>
              <w:rPr>
                <w:rFonts w:ascii="Times New Roman" w:hAnsi="Times New Roman" w:cs="Times New Roman"/>
                <w:b/>
                <w:sz w:val="24"/>
                <w:szCs w:val="24"/>
              </w:rPr>
            </w:pPr>
            <w:r w:rsidRPr="00612D85">
              <w:rPr>
                <w:rFonts w:ascii="Times New Roman" w:hAnsi="Times New Roman" w:cs="Times New Roman"/>
                <w:b/>
                <w:sz w:val="24"/>
                <w:szCs w:val="24"/>
              </w:rPr>
              <w:t>ELISA</w:t>
            </w:r>
          </w:p>
        </w:tc>
        <w:tc>
          <w:tcPr>
            <w:tcW w:w="1875" w:type="dxa"/>
          </w:tcPr>
          <w:p w14:paraId="513DB50F" w14:textId="77777777" w:rsidR="0030138E" w:rsidRPr="00612D85" w:rsidRDefault="0030138E" w:rsidP="00E27322">
            <w:pPr>
              <w:pStyle w:val="BodyText2"/>
              <w:spacing w:line="360" w:lineRule="auto"/>
              <w:jc w:val="center"/>
              <w:rPr>
                <w:rFonts w:ascii="Times New Roman" w:hAnsi="Times New Roman" w:cs="Times New Roman"/>
                <w:b/>
                <w:sz w:val="24"/>
                <w:szCs w:val="24"/>
              </w:rPr>
            </w:pPr>
            <w:r w:rsidRPr="00612D85">
              <w:rPr>
                <w:rFonts w:ascii="Times New Roman" w:hAnsi="Times New Roman" w:cs="Times New Roman"/>
                <w:b/>
                <w:sz w:val="24"/>
                <w:szCs w:val="24"/>
              </w:rPr>
              <w:t>AGPT</w:t>
            </w:r>
          </w:p>
        </w:tc>
      </w:tr>
      <w:tr w:rsidR="0030138E" w:rsidRPr="00612D85" w14:paraId="7E8E54CF" w14:textId="77777777" w:rsidTr="00E27322">
        <w:trPr>
          <w:trHeight w:hRule="exact" w:val="541"/>
          <w:jc w:val="center"/>
        </w:trPr>
        <w:tc>
          <w:tcPr>
            <w:tcW w:w="2028" w:type="dxa"/>
          </w:tcPr>
          <w:p w14:paraId="125AE3AB"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Leucocytes</w:t>
            </w:r>
          </w:p>
        </w:tc>
        <w:tc>
          <w:tcPr>
            <w:tcW w:w="1913" w:type="dxa"/>
          </w:tcPr>
          <w:p w14:paraId="43DCC99F"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16</w:t>
            </w:r>
          </w:p>
        </w:tc>
        <w:tc>
          <w:tcPr>
            <w:tcW w:w="1522" w:type="dxa"/>
          </w:tcPr>
          <w:p w14:paraId="082FC2F0"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8 (50.00)</w:t>
            </w:r>
          </w:p>
        </w:tc>
        <w:tc>
          <w:tcPr>
            <w:tcW w:w="1860" w:type="dxa"/>
          </w:tcPr>
          <w:p w14:paraId="2B56336D"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7 (43.75)</w:t>
            </w:r>
          </w:p>
        </w:tc>
        <w:tc>
          <w:tcPr>
            <w:tcW w:w="1875" w:type="dxa"/>
          </w:tcPr>
          <w:p w14:paraId="24FFA5F4"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0 (0.00)</w:t>
            </w:r>
          </w:p>
        </w:tc>
      </w:tr>
      <w:tr w:rsidR="0030138E" w:rsidRPr="00612D85" w14:paraId="795EF0E0" w14:textId="77777777" w:rsidTr="00E27322">
        <w:trPr>
          <w:trHeight w:hRule="exact" w:val="532"/>
          <w:jc w:val="center"/>
        </w:trPr>
        <w:tc>
          <w:tcPr>
            <w:tcW w:w="2028" w:type="dxa"/>
          </w:tcPr>
          <w:p w14:paraId="35587ADE"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Tonsils</w:t>
            </w:r>
          </w:p>
        </w:tc>
        <w:tc>
          <w:tcPr>
            <w:tcW w:w="1913" w:type="dxa"/>
          </w:tcPr>
          <w:p w14:paraId="1E6E5F42"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73</w:t>
            </w:r>
          </w:p>
        </w:tc>
        <w:tc>
          <w:tcPr>
            <w:tcW w:w="1522" w:type="dxa"/>
          </w:tcPr>
          <w:p w14:paraId="0B491AD5" w14:textId="77777777" w:rsidR="0030138E" w:rsidRPr="00612D85" w:rsidRDefault="0030138E" w:rsidP="00E27322">
            <w:pPr>
              <w:pStyle w:val="Title"/>
              <w:spacing w:line="360" w:lineRule="auto"/>
              <w:rPr>
                <w:bCs w:val="0"/>
              </w:rPr>
            </w:pPr>
            <w:r w:rsidRPr="00612D85">
              <w:rPr>
                <w:bCs w:val="0"/>
              </w:rPr>
              <w:t>49 (67.12)</w:t>
            </w:r>
          </w:p>
        </w:tc>
        <w:tc>
          <w:tcPr>
            <w:tcW w:w="1860" w:type="dxa"/>
          </w:tcPr>
          <w:p w14:paraId="0E97052B"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41 (56.16)</w:t>
            </w:r>
          </w:p>
        </w:tc>
        <w:tc>
          <w:tcPr>
            <w:tcW w:w="1875" w:type="dxa"/>
          </w:tcPr>
          <w:p w14:paraId="52AE0768"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26 (35.61)</w:t>
            </w:r>
          </w:p>
        </w:tc>
      </w:tr>
      <w:tr w:rsidR="0030138E" w:rsidRPr="00612D85" w14:paraId="19CC1DB2" w14:textId="77777777" w:rsidTr="00E27322">
        <w:trPr>
          <w:trHeight w:hRule="exact" w:val="442"/>
          <w:jc w:val="center"/>
        </w:trPr>
        <w:tc>
          <w:tcPr>
            <w:tcW w:w="2028" w:type="dxa"/>
          </w:tcPr>
          <w:p w14:paraId="4A4BC83F"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Mesenteric lymph node</w:t>
            </w:r>
          </w:p>
        </w:tc>
        <w:tc>
          <w:tcPr>
            <w:tcW w:w="1913" w:type="dxa"/>
          </w:tcPr>
          <w:p w14:paraId="584DF0ED"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74</w:t>
            </w:r>
          </w:p>
        </w:tc>
        <w:tc>
          <w:tcPr>
            <w:tcW w:w="1522" w:type="dxa"/>
          </w:tcPr>
          <w:p w14:paraId="41209E59" w14:textId="77777777" w:rsidR="0030138E" w:rsidRPr="00612D85" w:rsidRDefault="0030138E" w:rsidP="00E27322">
            <w:pPr>
              <w:pStyle w:val="Title"/>
              <w:spacing w:line="360" w:lineRule="auto"/>
              <w:rPr>
                <w:bCs w:val="0"/>
              </w:rPr>
            </w:pPr>
            <w:r w:rsidRPr="00612D85">
              <w:rPr>
                <w:bCs w:val="0"/>
              </w:rPr>
              <w:t>39 (52.70)</w:t>
            </w:r>
          </w:p>
        </w:tc>
        <w:tc>
          <w:tcPr>
            <w:tcW w:w="1860" w:type="dxa"/>
          </w:tcPr>
          <w:p w14:paraId="1B67858A"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37 (50.00)</w:t>
            </w:r>
          </w:p>
        </w:tc>
        <w:tc>
          <w:tcPr>
            <w:tcW w:w="1875" w:type="dxa"/>
          </w:tcPr>
          <w:p w14:paraId="6D7AC45D"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9 (12.16)</w:t>
            </w:r>
          </w:p>
        </w:tc>
      </w:tr>
      <w:tr w:rsidR="0030138E" w:rsidRPr="00612D85" w14:paraId="420851E3" w14:textId="77777777" w:rsidTr="00E27322">
        <w:trPr>
          <w:trHeight w:hRule="exact" w:val="559"/>
          <w:jc w:val="center"/>
        </w:trPr>
        <w:tc>
          <w:tcPr>
            <w:tcW w:w="2028" w:type="dxa"/>
          </w:tcPr>
          <w:p w14:paraId="469BFD85"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Spleen</w:t>
            </w:r>
          </w:p>
        </w:tc>
        <w:tc>
          <w:tcPr>
            <w:tcW w:w="1913" w:type="dxa"/>
          </w:tcPr>
          <w:p w14:paraId="6959B892"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84</w:t>
            </w:r>
          </w:p>
        </w:tc>
        <w:tc>
          <w:tcPr>
            <w:tcW w:w="1522" w:type="dxa"/>
          </w:tcPr>
          <w:p w14:paraId="320AB067" w14:textId="77777777" w:rsidR="0030138E" w:rsidRPr="00612D85" w:rsidRDefault="0030138E" w:rsidP="00E27322">
            <w:pPr>
              <w:pStyle w:val="Title"/>
              <w:spacing w:line="360" w:lineRule="auto"/>
              <w:rPr>
                <w:bCs w:val="0"/>
              </w:rPr>
            </w:pPr>
            <w:r w:rsidRPr="00612D85">
              <w:rPr>
                <w:bCs w:val="0"/>
              </w:rPr>
              <w:t>38 (45.24)</w:t>
            </w:r>
          </w:p>
        </w:tc>
        <w:tc>
          <w:tcPr>
            <w:tcW w:w="1860" w:type="dxa"/>
          </w:tcPr>
          <w:p w14:paraId="5F1E2074"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29 (34.52)</w:t>
            </w:r>
          </w:p>
        </w:tc>
        <w:tc>
          <w:tcPr>
            <w:tcW w:w="1875" w:type="dxa"/>
          </w:tcPr>
          <w:p w14:paraId="21CFF575"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15 (17.85)</w:t>
            </w:r>
          </w:p>
        </w:tc>
      </w:tr>
      <w:tr w:rsidR="0030138E" w:rsidRPr="00612D85" w14:paraId="263157DA" w14:textId="77777777" w:rsidTr="00E27322">
        <w:trPr>
          <w:trHeight w:hRule="exact" w:val="532"/>
          <w:jc w:val="center"/>
        </w:trPr>
        <w:tc>
          <w:tcPr>
            <w:tcW w:w="2028" w:type="dxa"/>
          </w:tcPr>
          <w:p w14:paraId="543A36C6"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Kidney</w:t>
            </w:r>
          </w:p>
        </w:tc>
        <w:tc>
          <w:tcPr>
            <w:tcW w:w="1913" w:type="dxa"/>
          </w:tcPr>
          <w:p w14:paraId="58542471"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67</w:t>
            </w:r>
          </w:p>
        </w:tc>
        <w:tc>
          <w:tcPr>
            <w:tcW w:w="1522" w:type="dxa"/>
          </w:tcPr>
          <w:p w14:paraId="2F06ED13" w14:textId="77777777" w:rsidR="0030138E" w:rsidRPr="00612D85" w:rsidRDefault="0030138E" w:rsidP="00E27322">
            <w:pPr>
              <w:pStyle w:val="Title"/>
              <w:spacing w:line="360" w:lineRule="auto"/>
              <w:rPr>
                <w:bCs w:val="0"/>
              </w:rPr>
            </w:pPr>
            <w:r w:rsidRPr="00612D85">
              <w:rPr>
                <w:bCs w:val="0"/>
              </w:rPr>
              <w:t>29 (43.28)</w:t>
            </w:r>
          </w:p>
        </w:tc>
        <w:tc>
          <w:tcPr>
            <w:tcW w:w="1860" w:type="dxa"/>
          </w:tcPr>
          <w:p w14:paraId="37C1CC91"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33 (49.25)</w:t>
            </w:r>
          </w:p>
        </w:tc>
        <w:tc>
          <w:tcPr>
            <w:tcW w:w="1875" w:type="dxa"/>
          </w:tcPr>
          <w:p w14:paraId="20D1A846" w14:textId="77777777" w:rsidR="0030138E" w:rsidRPr="00612D85" w:rsidRDefault="0030138E" w:rsidP="00E27322">
            <w:pPr>
              <w:pStyle w:val="BodyText2"/>
              <w:spacing w:line="360" w:lineRule="auto"/>
              <w:jc w:val="center"/>
              <w:rPr>
                <w:rFonts w:ascii="Times New Roman" w:hAnsi="Times New Roman" w:cs="Times New Roman"/>
                <w:b/>
                <w:bCs/>
                <w:sz w:val="24"/>
                <w:szCs w:val="24"/>
              </w:rPr>
            </w:pPr>
            <w:r w:rsidRPr="00612D85">
              <w:rPr>
                <w:rFonts w:ascii="Times New Roman" w:hAnsi="Times New Roman" w:cs="Times New Roman"/>
                <w:b/>
                <w:bCs/>
                <w:sz w:val="24"/>
                <w:szCs w:val="24"/>
              </w:rPr>
              <w:t>12 (17.91)</w:t>
            </w:r>
          </w:p>
        </w:tc>
      </w:tr>
      <w:tr w:rsidR="0030138E" w:rsidRPr="00612D85" w14:paraId="65E016B1" w14:textId="77777777" w:rsidTr="00E27322">
        <w:trPr>
          <w:trHeight w:hRule="exact" w:val="433"/>
          <w:jc w:val="center"/>
        </w:trPr>
        <w:tc>
          <w:tcPr>
            <w:tcW w:w="2028" w:type="dxa"/>
          </w:tcPr>
          <w:p w14:paraId="4E04188A" w14:textId="77777777" w:rsidR="0030138E" w:rsidRPr="00612D85" w:rsidRDefault="0030138E" w:rsidP="00E27322">
            <w:pPr>
              <w:pStyle w:val="BodyText2"/>
              <w:spacing w:line="360" w:lineRule="auto"/>
              <w:jc w:val="center"/>
              <w:rPr>
                <w:rFonts w:ascii="Times New Roman" w:hAnsi="Times New Roman" w:cs="Times New Roman"/>
                <w:b/>
                <w:sz w:val="24"/>
                <w:szCs w:val="24"/>
              </w:rPr>
            </w:pPr>
            <w:r w:rsidRPr="00612D85">
              <w:rPr>
                <w:rFonts w:ascii="Times New Roman" w:hAnsi="Times New Roman" w:cs="Times New Roman"/>
                <w:b/>
                <w:sz w:val="24"/>
                <w:szCs w:val="24"/>
              </w:rPr>
              <w:t>Total</w:t>
            </w:r>
          </w:p>
        </w:tc>
        <w:tc>
          <w:tcPr>
            <w:tcW w:w="1913" w:type="dxa"/>
          </w:tcPr>
          <w:p w14:paraId="0E2E57E1" w14:textId="77777777" w:rsidR="0030138E" w:rsidRPr="00612D85" w:rsidRDefault="0030138E" w:rsidP="00E27322">
            <w:pPr>
              <w:pStyle w:val="BodyText2"/>
              <w:spacing w:line="360" w:lineRule="auto"/>
              <w:jc w:val="center"/>
              <w:rPr>
                <w:rFonts w:ascii="Times New Roman" w:hAnsi="Times New Roman" w:cs="Times New Roman"/>
                <w:b/>
                <w:sz w:val="24"/>
                <w:szCs w:val="24"/>
              </w:rPr>
            </w:pPr>
            <w:r w:rsidRPr="00612D85">
              <w:rPr>
                <w:rFonts w:ascii="Times New Roman" w:hAnsi="Times New Roman" w:cs="Times New Roman"/>
                <w:b/>
                <w:sz w:val="24"/>
                <w:szCs w:val="24"/>
              </w:rPr>
              <w:t>314</w:t>
            </w:r>
          </w:p>
        </w:tc>
        <w:tc>
          <w:tcPr>
            <w:tcW w:w="1522" w:type="dxa"/>
          </w:tcPr>
          <w:p w14:paraId="22EDFBE0" w14:textId="77777777" w:rsidR="0030138E" w:rsidRPr="00612D85" w:rsidRDefault="0030138E" w:rsidP="00E27322">
            <w:pPr>
              <w:pStyle w:val="Title"/>
              <w:spacing w:line="360" w:lineRule="auto"/>
            </w:pPr>
            <w:r w:rsidRPr="00612D85">
              <w:t>163 (51.91)</w:t>
            </w:r>
          </w:p>
        </w:tc>
        <w:tc>
          <w:tcPr>
            <w:tcW w:w="1860" w:type="dxa"/>
          </w:tcPr>
          <w:p w14:paraId="1EE48F80" w14:textId="77777777" w:rsidR="0030138E" w:rsidRPr="00612D85" w:rsidRDefault="0030138E" w:rsidP="00E27322">
            <w:pPr>
              <w:pStyle w:val="BodyText2"/>
              <w:spacing w:line="360" w:lineRule="auto"/>
              <w:jc w:val="center"/>
              <w:rPr>
                <w:rFonts w:ascii="Times New Roman" w:hAnsi="Times New Roman" w:cs="Times New Roman"/>
                <w:b/>
                <w:sz w:val="24"/>
                <w:szCs w:val="24"/>
              </w:rPr>
            </w:pPr>
            <w:r w:rsidRPr="00612D85">
              <w:rPr>
                <w:rFonts w:ascii="Times New Roman" w:hAnsi="Times New Roman" w:cs="Times New Roman"/>
                <w:b/>
                <w:sz w:val="24"/>
                <w:szCs w:val="24"/>
              </w:rPr>
              <w:t>147 (46.81)</w:t>
            </w:r>
          </w:p>
        </w:tc>
        <w:tc>
          <w:tcPr>
            <w:tcW w:w="1875" w:type="dxa"/>
          </w:tcPr>
          <w:p w14:paraId="4161F425" w14:textId="77777777" w:rsidR="0030138E" w:rsidRPr="00612D85" w:rsidRDefault="0030138E" w:rsidP="00E27322">
            <w:pPr>
              <w:pStyle w:val="BodyText2"/>
              <w:spacing w:line="360" w:lineRule="auto"/>
              <w:jc w:val="center"/>
              <w:rPr>
                <w:rFonts w:ascii="Times New Roman" w:hAnsi="Times New Roman" w:cs="Times New Roman"/>
                <w:b/>
                <w:sz w:val="24"/>
                <w:szCs w:val="24"/>
              </w:rPr>
            </w:pPr>
            <w:r w:rsidRPr="00612D85">
              <w:rPr>
                <w:rFonts w:ascii="Times New Roman" w:hAnsi="Times New Roman" w:cs="Times New Roman"/>
                <w:b/>
                <w:sz w:val="24"/>
                <w:szCs w:val="24"/>
              </w:rPr>
              <w:t>62 (19.74)</w:t>
            </w:r>
          </w:p>
        </w:tc>
      </w:tr>
    </w:tbl>
    <w:p w14:paraId="60D369AD" w14:textId="77777777" w:rsidR="0030138E" w:rsidRPr="00612D85" w:rsidRDefault="0030138E" w:rsidP="00AE26CD">
      <w:pPr>
        <w:spacing w:line="360" w:lineRule="auto"/>
        <w:jc w:val="both"/>
        <w:rPr>
          <w:rFonts w:ascii="Times New Roman" w:hAnsi="Times New Roman" w:cs="Times New Roman"/>
          <w:sz w:val="24"/>
          <w:szCs w:val="24"/>
        </w:rPr>
      </w:pPr>
      <w:r>
        <w:rPr>
          <w:rFonts w:ascii="Times New Roman" w:hAnsi="Times New Roman" w:cs="Times New Roman"/>
          <w:b/>
          <w:bCs/>
          <w:szCs w:val="24"/>
        </w:rPr>
        <w:t xml:space="preserve">  </w:t>
      </w:r>
      <w:r w:rsidRPr="00153C29">
        <w:rPr>
          <w:rFonts w:ascii="Times New Roman" w:hAnsi="Times New Roman" w:cs="Times New Roman"/>
          <w:b/>
          <w:bCs/>
          <w:szCs w:val="24"/>
        </w:rPr>
        <w:t>Figures in parenthesis indicate percentages</w:t>
      </w:r>
    </w:p>
    <w:p w14:paraId="298A08D6" w14:textId="77777777" w:rsidR="00AE26CD" w:rsidRDefault="00AE26CD" w:rsidP="00AE26CD">
      <w:pPr>
        <w:spacing w:before="240" w:line="360" w:lineRule="auto"/>
        <w:ind w:firstLine="720"/>
        <w:jc w:val="both"/>
        <w:rPr>
          <w:rFonts w:ascii="Times New Roman" w:hAnsi="Times New Roman" w:cs="Times New Roman"/>
          <w:sz w:val="24"/>
          <w:szCs w:val="24"/>
        </w:rPr>
      </w:pPr>
      <w:r w:rsidRPr="00612D85">
        <w:rPr>
          <w:rFonts w:ascii="Times New Roman" w:hAnsi="Times New Roman" w:cs="Times New Roman"/>
          <w:sz w:val="24"/>
          <w:szCs w:val="24"/>
        </w:rPr>
        <w:t>Comparing the results of demonstration of HCV antigen</w:t>
      </w:r>
      <w:r>
        <w:rPr>
          <w:rFonts w:ascii="Times New Roman" w:hAnsi="Times New Roman" w:cs="Times New Roman"/>
          <w:sz w:val="24"/>
          <w:szCs w:val="24"/>
        </w:rPr>
        <w:t xml:space="preserve"> </w:t>
      </w:r>
      <w:r w:rsidRPr="00612D85">
        <w:rPr>
          <w:rFonts w:ascii="Times New Roman" w:hAnsi="Times New Roman" w:cs="Times New Roman"/>
          <w:sz w:val="24"/>
          <w:szCs w:val="24"/>
        </w:rPr>
        <w:t xml:space="preserve">(Table 4) in clinical as well as postmortem samples 51.91 per cent samples found positive in FAT, 46.81 per cent in S-ELISA and 19.74 per cent in AGPT. The results clearly suggested the FAT was the test of choice for detection of HCV antigen in leucocytes as well as in tissue samples. Further, FAT was found to be suitable for </w:t>
      </w:r>
      <w:r w:rsidRPr="00612D85">
        <w:rPr>
          <w:rFonts w:ascii="Times New Roman" w:hAnsi="Times New Roman" w:cs="Times New Roman"/>
          <w:i/>
          <w:iCs/>
          <w:sz w:val="24"/>
          <w:szCs w:val="24"/>
        </w:rPr>
        <w:t>in-situ</w:t>
      </w:r>
      <w:r w:rsidRPr="00612D85">
        <w:rPr>
          <w:rFonts w:ascii="Times New Roman" w:hAnsi="Times New Roman" w:cs="Times New Roman"/>
          <w:sz w:val="24"/>
          <w:szCs w:val="24"/>
        </w:rPr>
        <w:t xml:space="preserve"> demonstration of HCV antigen. However, the test would require the costly fluorescent microscope. Sandwich ELISA could detect HCV antigen in comparable number of samples. The test was found suitable for demonstration of viral antigen as well as to determine the virus concentration. </w:t>
      </w:r>
      <w:r w:rsidR="00FF14FB">
        <w:rPr>
          <w:rFonts w:ascii="Times New Roman" w:hAnsi="Times New Roman" w:cs="Times New Roman"/>
          <w:sz w:val="24"/>
          <w:szCs w:val="24"/>
        </w:rPr>
        <w:t xml:space="preserve">Wang </w:t>
      </w:r>
      <w:r w:rsidR="00FF14FB" w:rsidRPr="00FF14FB">
        <w:rPr>
          <w:rFonts w:ascii="Times New Roman" w:hAnsi="Times New Roman" w:cs="Times New Roman"/>
          <w:i/>
          <w:sz w:val="24"/>
          <w:szCs w:val="24"/>
        </w:rPr>
        <w:t>et al</w:t>
      </w:r>
      <w:r w:rsidR="00FF14FB">
        <w:rPr>
          <w:rFonts w:ascii="Times New Roman" w:hAnsi="Times New Roman" w:cs="Times New Roman"/>
          <w:sz w:val="24"/>
          <w:szCs w:val="24"/>
        </w:rPr>
        <w:t xml:space="preserve">; 2020 stated that </w:t>
      </w:r>
      <w:r w:rsidR="00FF14FB" w:rsidRPr="00FF14FB">
        <w:rPr>
          <w:rFonts w:ascii="Times New Roman" w:hAnsi="Times New Roman" w:cs="Times New Roman"/>
          <w:sz w:val="24"/>
          <w:szCs w:val="24"/>
        </w:rPr>
        <w:t>fluorescent ant</w:t>
      </w:r>
      <w:r w:rsidR="00FF14FB">
        <w:rPr>
          <w:rFonts w:ascii="Times New Roman" w:hAnsi="Times New Roman" w:cs="Times New Roman"/>
          <w:sz w:val="24"/>
          <w:szCs w:val="24"/>
        </w:rPr>
        <w:t xml:space="preserve">ibody test (FAT) and </w:t>
      </w:r>
      <w:r w:rsidR="00FF14FB" w:rsidRPr="00FF14FB">
        <w:rPr>
          <w:rFonts w:ascii="Times New Roman" w:hAnsi="Times New Roman" w:cs="Times New Roman"/>
          <w:sz w:val="24"/>
          <w:szCs w:val="24"/>
        </w:rPr>
        <w:t xml:space="preserve">antigen </w:t>
      </w:r>
      <w:r w:rsidR="00FF14FB" w:rsidRPr="00FF14FB">
        <w:rPr>
          <w:rFonts w:ascii="Times New Roman" w:hAnsi="Times New Roman" w:cs="Times New Roman"/>
          <w:sz w:val="24"/>
          <w:szCs w:val="24"/>
        </w:rPr>
        <w:lastRenderedPageBreak/>
        <w:t>capture antibody enzyme-lin</w:t>
      </w:r>
      <w:r w:rsidR="00FF14FB">
        <w:rPr>
          <w:rFonts w:ascii="Times New Roman" w:hAnsi="Times New Roman" w:cs="Times New Roman"/>
          <w:sz w:val="24"/>
          <w:szCs w:val="24"/>
        </w:rPr>
        <w:t xml:space="preserve">ked immunosorbent assay (ELISA) are the </w:t>
      </w:r>
      <w:r w:rsidR="00FF14FB" w:rsidRPr="00FF14FB">
        <w:rPr>
          <w:rFonts w:ascii="Times New Roman" w:hAnsi="Times New Roman" w:cs="Times New Roman"/>
          <w:sz w:val="24"/>
          <w:szCs w:val="24"/>
        </w:rPr>
        <w:t xml:space="preserve">well-established diagnostic tests of CSF </w:t>
      </w:r>
      <w:r w:rsidR="00FF14FB">
        <w:rPr>
          <w:rFonts w:ascii="Times New Roman" w:hAnsi="Times New Roman" w:cs="Times New Roman"/>
          <w:sz w:val="24"/>
          <w:szCs w:val="24"/>
        </w:rPr>
        <w:t xml:space="preserve">globally. </w:t>
      </w:r>
      <w:r w:rsidRPr="00612D85">
        <w:rPr>
          <w:rFonts w:ascii="Times New Roman" w:hAnsi="Times New Roman" w:cs="Times New Roman"/>
          <w:sz w:val="24"/>
          <w:szCs w:val="24"/>
        </w:rPr>
        <w:t xml:space="preserve">The result of S-ELISA was found in parallel with that of FAT result. </w:t>
      </w:r>
      <w:r w:rsidRPr="00612D85">
        <w:rPr>
          <w:rFonts w:ascii="Times New Roman" w:eastAsia="Times New Roman" w:hAnsi="Times New Roman" w:cs="Times New Roman"/>
          <w:sz w:val="24"/>
          <w:szCs w:val="24"/>
        </w:rPr>
        <w:t>Statistical analysis showed non-significant (P &gt; 0.05) differences between the results of FAT and ELISA (‘t’= 1.34), while highly significant (P &lt; 0.01) differences were rec</w:t>
      </w:r>
      <w:r>
        <w:rPr>
          <w:rFonts w:ascii="Times New Roman" w:eastAsia="Times New Roman" w:hAnsi="Times New Roman" w:cs="Times New Roman"/>
          <w:sz w:val="24"/>
          <w:szCs w:val="24"/>
        </w:rPr>
        <w:t>orded between FAT and AGPT (‘t’</w:t>
      </w:r>
      <w:r w:rsidRPr="00612D85">
        <w:rPr>
          <w:rFonts w:ascii="Times New Roman" w:eastAsia="Times New Roman" w:hAnsi="Times New Roman" w:cs="Times New Roman"/>
          <w:sz w:val="24"/>
          <w:szCs w:val="24"/>
        </w:rPr>
        <w:t>= 4.81) and als</w:t>
      </w:r>
      <w:r>
        <w:rPr>
          <w:rFonts w:ascii="Times New Roman" w:eastAsia="Times New Roman" w:hAnsi="Times New Roman" w:cs="Times New Roman"/>
          <w:sz w:val="24"/>
          <w:szCs w:val="24"/>
        </w:rPr>
        <w:t>o between S-ELISA and AGPT (‘t’</w:t>
      </w:r>
      <w:r w:rsidRPr="00612D85">
        <w:rPr>
          <w:rFonts w:ascii="Times New Roman" w:eastAsia="Times New Roman" w:hAnsi="Times New Roman" w:cs="Times New Roman"/>
          <w:sz w:val="24"/>
          <w:szCs w:val="24"/>
        </w:rPr>
        <w:t xml:space="preserve">= 5.49). It was clearly indicated that both FAT and ELISA were competitive to each other for HCV antigen detection. </w:t>
      </w:r>
      <w:r w:rsidRPr="00612D85">
        <w:rPr>
          <w:rFonts w:ascii="Times New Roman" w:hAnsi="Times New Roman" w:cs="Times New Roman"/>
          <w:sz w:val="24"/>
          <w:szCs w:val="24"/>
        </w:rPr>
        <w:t xml:space="preserve">Statistical analysis also revealed that there was no significant difference between FAT and S-ELISA. </w:t>
      </w:r>
    </w:p>
    <w:p w14:paraId="2F81BE4E" w14:textId="41686BBE" w:rsidR="00AE26CD" w:rsidRPr="008849D6" w:rsidRDefault="0030138E" w:rsidP="00AE26CD">
      <w:pPr>
        <w:pStyle w:val="BodyText2"/>
        <w:spacing w:line="360" w:lineRule="auto"/>
        <w:rPr>
          <w:rFonts w:ascii="Times New Roman" w:hAnsi="Times New Roman" w:cs="Times New Roman"/>
          <w:b/>
          <w:sz w:val="24"/>
          <w:szCs w:val="24"/>
        </w:rPr>
      </w:pPr>
      <w:r w:rsidRPr="008849D6">
        <w:rPr>
          <w:rFonts w:ascii="Times New Roman" w:hAnsi="Times New Roman" w:cs="Times New Roman"/>
          <w:b/>
          <w:sz w:val="24"/>
          <w:szCs w:val="24"/>
        </w:rPr>
        <w:t>SUMMARY</w:t>
      </w:r>
      <w:r w:rsidR="00CD0FFA" w:rsidRPr="008849D6">
        <w:rPr>
          <w:rFonts w:ascii="Times New Roman" w:hAnsi="Times New Roman" w:cs="Times New Roman"/>
          <w:b/>
          <w:sz w:val="24"/>
          <w:szCs w:val="24"/>
        </w:rPr>
        <w:t xml:space="preserve"> </w:t>
      </w:r>
    </w:p>
    <w:p w14:paraId="462F6934" w14:textId="2A803263" w:rsidR="006D5C29" w:rsidRPr="006D5C29" w:rsidRDefault="006D5C29" w:rsidP="006D5C29">
      <w:pPr>
        <w:pStyle w:val="BodyText2"/>
        <w:spacing w:line="360" w:lineRule="auto"/>
        <w:ind w:firstLine="720"/>
        <w:jc w:val="both"/>
        <w:rPr>
          <w:rFonts w:ascii="Times New Roman" w:eastAsia="Times New Roman" w:hAnsi="Times New Roman" w:cs="Times New Roman"/>
          <w:sz w:val="24"/>
          <w:szCs w:val="24"/>
          <w:lang w:val="en-IN"/>
        </w:rPr>
      </w:pPr>
      <w:r w:rsidRPr="006D5C29">
        <w:rPr>
          <w:rFonts w:ascii="Times New Roman" w:eastAsia="Times New Roman" w:hAnsi="Times New Roman" w:cs="Times New Roman"/>
          <w:sz w:val="24"/>
          <w:szCs w:val="24"/>
          <w:lang w:val="en-IN"/>
        </w:rPr>
        <w:t>Hog cholera is an important viral disease of pigs, causing high morbidity and mortality. The disease is endemic in the North Eastern Region of India. In addition to the clinical and postmortem findings, laboratory diagnostic tests are essential to confirm HCV infection in pigs.</w:t>
      </w:r>
    </w:p>
    <w:p w14:paraId="333BA26D" w14:textId="45FC28CA" w:rsidR="001A0CD8" w:rsidRPr="001A0CD8" w:rsidRDefault="0030138E" w:rsidP="001A0CD8">
      <w:pPr>
        <w:pStyle w:val="BodyText2"/>
        <w:spacing w:line="360" w:lineRule="auto"/>
        <w:ind w:firstLine="720"/>
        <w:jc w:val="both"/>
        <w:rPr>
          <w:rFonts w:ascii="Times New Roman" w:eastAsia="Times New Roman" w:hAnsi="Times New Roman" w:cs="Times New Roman"/>
          <w:sz w:val="24"/>
          <w:szCs w:val="24"/>
          <w:lang w:val="en-IN"/>
        </w:rPr>
      </w:pPr>
      <w:r w:rsidRPr="00612D85">
        <w:rPr>
          <w:rFonts w:ascii="Times New Roman" w:hAnsi="Times New Roman" w:cs="Times New Roman"/>
          <w:sz w:val="24"/>
          <w:szCs w:val="24"/>
        </w:rPr>
        <w:t xml:space="preserve"> </w:t>
      </w:r>
      <w:r w:rsidRPr="00612D85">
        <w:rPr>
          <w:rFonts w:ascii="Times New Roman" w:eastAsia="Times New Roman" w:hAnsi="Times New Roman" w:cs="Times New Roman"/>
          <w:sz w:val="24"/>
          <w:szCs w:val="24"/>
        </w:rPr>
        <w:t>In clinical samples, leucocytes separated from the buffy coat was found most suitable sample for demonstration of HCV antigen. Among the tissue samples with existing preservation facilities, tonsil, lymph nodes and kidney were found suitable for preparation of cryosections. In spleen samples, it was found difficult to retain the better orientation of the sections.</w:t>
      </w:r>
      <w:r w:rsidRPr="00612D85">
        <w:rPr>
          <w:rFonts w:ascii="Times New Roman" w:hAnsi="Times New Roman" w:cs="Times New Roman"/>
          <w:sz w:val="24"/>
          <w:szCs w:val="24"/>
        </w:rPr>
        <w:t xml:space="preserve"> </w:t>
      </w:r>
      <w:r w:rsidRPr="00612D85">
        <w:rPr>
          <w:rFonts w:ascii="Times New Roman" w:eastAsia="Times New Roman" w:hAnsi="Times New Roman" w:cs="Times New Roman"/>
          <w:sz w:val="24"/>
          <w:szCs w:val="24"/>
        </w:rPr>
        <w:t>In the present study, highest percentage of positivity was recorded in tonsil by FAT, Sandwich ELISA and AGPT for HCV. Again, the highest concentration of HCV was found in tonsil (</w:t>
      </w:r>
      <w:r w:rsidRPr="00612D85">
        <w:rPr>
          <w:rFonts w:ascii="Times New Roman" w:eastAsia="Times New Roman" w:hAnsi="Times New Roman" w:cs="Times New Roman"/>
          <w:sz w:val="24"/>
          <w:szCs w:val="24"/>
        </w:rPr>
        <w:sym w:font="Symbol" w:char="F0B3"/>
      </w:r>
      <w:r w:rsidRPr="00612D85">
        <w:rPr>
          <w:rFonts w:ascii="Times New Roman" w:eastAsia="Times New Roman" w:hAnsi="Times New Roman" w:cs="Times New Roman"/>
          <w:sz w:val="24"/>
          <w:szCs w:val="24"/>
        </w:rPr>
        <w:t xml:space="preserve"> 1: 32) followed by mesenteric lymph nodes (MLN) and kidney. Spleen and leucocytes showed comparatively low titre. </w:t>
      </w:r>
      <w:r w:rsidR="001A0CD8" w:rsidRPr="001A0CD8">
        <w:rPr>
          <w:rFonts w:ascii="Times New Roman" w:eastAsia="Times New Roman" w:hAnsi="Times New Roman" w:cs="Times New Roman"/>
          <w:sz w:val="24"/>
          <w:szCs w:val="24"/>
          <w:lang w:val="en-IN"/>
        </w:rPr>
        <w:t>The findings of the AGPT in various tissue samples and leucocytes revealed 19.74 percent positivity, while leucocytes failed to exhibit any visible precipitation band. The above results justified the observation of previous workers that the tonsil was the primary site of predilection for HCV infection.</w:t>
      </w:r>
    </w:p>
    <w:p w14:paraId="1C43D29F" w14:textId="11D2EFE4" w:rsidR="00F64191" w:rsidRDefault="00F64191" w:rsidP="001A0CD8">
      <w:pPr>
        <w:pStyle w:val="BodyText2"/>
        <w:spacing w:line="360" w:lineRule="auto"/>
        <w:ind w:firstLine="720"/>
        <w:jc w:val="both"/>
        <w:rPr>
          <w:rFonts w:ascii="Times New Roman" w:eastAsia="Times New Roman" w:hAnsi="Times New Roman" w:cs="Times New Roman"/>
          <w:sz w:val="24"/>
          <w:szCs w:val="24"/>
        </w:rPr>
      </w:pPr>
      <w:bookmarkStart w:id="1" w:name="_GoBack"/>
      <w:r w:rsidRPr="0072557F">
        <w:rPr>
          <w:rFonts w:ascii="Times New Roman" w:eastAsia="Times New Roman" w:hAnsi="Times New Roman" w:cs="Times New Roman"/>
          <w:b/>
          <w:sz w:val="24"/>
          <w:szCs w:val="24"/>
        </w:rPr>
        <w:t>CONCLUSION</w:t>
      </w:r>
      <w:bookmarkEnd w:id="1"/>
      <w:r w:rsidR="00BB6B72">
        <w:rPr>
          <w:rFonts w:ascii="Times New Roman" w:eastAsia="Times New Roman" w:hAnsi="Times New Roman" w:cs="Times New Roman"/>
          <w:sz w:val="24"/>
          <w:szCs w:val="24"/>
        </w:rPr>
        <w:t>:</w:t>
      </w:r>
      <w:r w:rsidR="00BE65E3">
        <w:rPr>
          <w:rFonts w:ascii="Times New Roman" w:eastAsia="Times New Roman" w:hAnsi="Times New Roman" w:cs="Times New Roman"/>
          <w:sz w:val="24"/>
          <w:szCs w:val="24"/>
        </w:rPr>
        <w:t xml:space="preserve"> Since the pig population</w:t>
      </w:r>
      <w:r w:rsidR="002D4F3A">
        <w:rPr>
          <w:rFonts w:ascii="Times New Roman" w:eastAsia="Times New Roman" w:hAnsi="Times New Roman" w:cs="Times New Roman"/>
          <w:sz w:val="24"/>
          <w:szCs w:val="24"/>
        </w:rPr>
        <w:t xml:space="preserve"> is more in North Eastern Region of India</w:t>
      </w:r>
      <w:r w:rsidR="004402BB">
        <w:rPr>
          <w:rFonts w:ascii="Times New Roman" w:eastAsia="Times New Roman" w:hAnsi="Times New Roman" w:cs="Times New Roman"/>
          <w:sz w:val="24"/>
          <w:szCs w:val="24"/>
        </w:rPr>
        <w:t xml:space="preserve"> and </w:t>
      </w:r>
      <w:r w:rsidR="00063ABE">
        <w:rPr>
          <w:rFonts w:ascii="Times New Roman" w:eastAsia="Times New Roman" w:hAnsi="Times New Roman" w:cs="Times New Roman"/>
          <w:sz w:val="24"/>
          <w:szCs w:val="24"/>
        </w:rPr>
        <w:t>Hog cholera</w:t>
      </w:r>
      <w:r w:rsidR="004402BB">
        <w:rPr>
          <w:rFonts w:ascii="Times New Roman" w:eastAsia="Times New Roman" w:hAnsi="Times New Roman" w:cs="Times New Roman"/>
          <w:sz w:val="24"/>
          <w:szCs w:val="24"/>
        </w:rPr>
        <w:t xml:space="preserve"> disease</w:t>
      </w:r>
      <w:r w:rsidR="000D2D17">
        <w:rPr>
          <w:rFonts w:ascii="Times New Roman" w:eastAsia="Times New Roman" w:hAnsi="Times New Roman" w:cs="Times New Roman"/>
          <w:sz w:val="24"/>
          <w:szCs w:val="24"/>
        </w:rPr>
        <w:t xml:space="preserve"> or Classical swine Fever (CSF)</w:t>
      </w:r>
      <w:r w:rsidR="00063ABE">
        <w:rPr>
          <w:rFonts w:ascii="Times New Roman" w:eastAsia="Times New Roman" w:hAnsi="Times New Roman" w:cs="Times New Roman"/>
          <w:sz w:val="24"/>
          <w:szCs w:val="24"/>
        </w:rPr>
        <w:t xml:space="preserve"> is endemic in these areas</w:t>
      </w:r>
      <w:r w:rsidR="00851C56">
        <w:rPr>
          <w:rFonts w:ascii="Times New Roman" w:eastAsia="Times New Roman" w:hAnsi="Times New Roman" w:cs="Times New Roman"/>
          <w:sz w:val="24"/>
          <w:szCs w:val="24"/>
        </w:rPr>
        <w:t xml:space="preserve">. </w:t>
      </w:r>
      <w:r w:rsidR="004B63BD">
        <w:rPr>
          <w:rFonts w:ascii="Times New Roman" w:eastAsia="Times New Roman" w:hAnsi="Times New Roman" w:cs="Times New Roman"/>
          <w:sz w:val="24"/>
          <w:szCs w:val="24"/>
        </w:rPr>
        <w:t>Hence, f</w:t>
      </w:r>
      <w:r w:rsidR="00851C56">
        <w:rPr>
          <w:rFonts w:ascii="Times New Roman" w:eastAsia="Times New Roman" w:hAnsi="Times New Roman" w:cs="Times New Roman"/>
          <w:sz w:val="24"/>
          <w:szCs w:val="24"/>
        </w:rPr>
        <w:t>or continuous</w:t>
      </w:r>
      <w:r w:rsidR="0079452E">
        <w:rPr>
          <w:rFonts w:ascii="Times New Roman" w:eastAsia="Times New Roman" w:hAnsi="Times New Roman" w:cs="Times New Roman"/>
          <w:sz w:val="24"/>
          <w:szCs w:val="24"/>
        </w:rPr>
        <w:t xml:space="preserve"> monitoring and surveillance of Hog cholera disease</w:t>
      </w:r>
      <w:r w:rsidR="00D474FE">
        <w:rPr>
          <w:rFonts w:ascii="Times New Roman" w:eastAsia="Times New Roman" w:hAnsi="Times New Roman" w:cs="Times New Roman"/>
          <w:sz w:val="24"/>
          <w:szCs w:val="24"/>
        </w:rPr>
        <w:t>,</w:t>
      </w:r>
      <w:r w:rsidR="00B428BB">
        <w:rPr>
          <w:rFonts w:ascii="Times New Roman" w:eastAsia="Times New Roman" w:hAnsi="Times New Roman" w:cs="Times New Roman"/>
          <w:sz w:val="24"/>
          <w:szCs w:val="24"/>
        </w:rPr>
        <w:t xml:space="preserve"> the Direct FAT was found</w:t>
      </w:r>
      <w:r w:rsidR="00C51DA8">
        <w:rPr>
          <w:rFonts w:ascii="Times New Roman" w:eastAsia="Times New Roman" w:hAnsi="Times New Roman" w:cs="Times New Roman"/>
          <w:sz w:val="24"/>
          <w:szCs w:val="24"/>
        </w:rPr>
        <w:t xml:space="preserve"> quick, reliable</w:t>
      </w:r>
      <w:r w:rsidR="00606CEB">
        <w:rPr>
          <w:rFonts w:ascii="Times New Roman" w:eastAsia="Times New Roman" w:hAnsi="Times New Roman" w:cs="Times New Roman"/>
          <w:sz w:val="24"/>
          <w:szCs w:val="24"/>
        </w:rPr>
        <w:t xml:space="preserve">, qualitative </w:t>
      </w:r>
      <w:r w:rsidR="00C51DA8">
        <w:rPr>
          <w:rFonts w:ascii="Times New Roman" w:eastAsia="Times New Roman" w:hAnsi="Times New Roman" w:cs="Times New Roman"/>
          <w:sz w:val="24"/>
          <w:szCs w:val="24"/>
        </w:rPr>
        <w:t>and sensitive test</w:t>
      </w:r>
      <w:r w:rsidR="009E7D0F">
        <w:rPr>
          <w:rFonts w:ascii="Times New Roman" w:eastAsia="Times New Roman" w:hAnsi="Times New Roman" w:cs="Times New Roman"/>
          <w:sz w:val="24"/>
          <w:szCs w:val="24"/>
        </w:rPr>
        <w:t xml:space="preserve">, while </w:t>
      </w:r>
      <w:r w:rsidR="004823A7">
        <w:rPr>
          <w:rFonts w:ascii="Times New Roman" w:eastAsia="Times New Roman" w:hAnsi="Times New Roman" w:cs="Times New Roman"/>
          <w:sz w:val="24"/>
          <w:szCs w:val="24"/>
        </w:rPr>
        <w:t>Sandwich</w:t>
      </w:r>
      <w:r w:rsidR="00140D4E">
        <w:rPr>
          <w:rFonts w:ascii="Times New Roman" w:eastAsia="Times New Roman" w:hAnsi="Times New Roman" w:cs="Times New Roman"/>
          <w:sz w:val="24"/>
          <w:szCs w:val="24"/>
        </w:rPr>
        <w:t xml:space="preserve"> ELISA</w:t>
      </w:r>
      <w:r w:rsidR="0042470D">
        <w:rPr>
          <w:rFonts w:ascii="Times New Roman" w:eastAsia="Times New Roman" w:hAnsi="Times New Roman" w:cs="Times New Roman"/>
          <w:sz w:val="24"/>
          <w:szCs w:val="24"/>
        </w:rPr>
        <w:t xml:space="preserve"> was found quantitative</w:t>
      </w:r>
      <w:r w:rsidR="00155520">
        <w:rPr>
          <w:rFonts w:ascii="Times New Roman" w:eastAsia="Times New Roman" w:hAnsi="Times New Roman" w:cs="Times New Roman"/>
          <w:sz w:val="24"/>
          <w:szCs w:val="24"/>
        </w:rPr>
        <w:t xml:space="preserve"> and sensitive</w:t>
      </w:r>
      <w:r w:rsidR="00CA594A">
        <w:rPr>
          <w:rFonts w:ascii="Times New Roman" w:eastAsia="Times New Roman" w:hAnsi="Times New Roman" w:cs="Times New Roman"/>
          <w:sz w:val="24"/>
          <w:szCs w:val="24"/>
        </w:rPr>
        <w:t xml:space="preserve"> test</w:t>
      </w:r>
      <w:r w:rsidR="004B63BD">
        <w:rPr>
          <w:rFonts w:ascii="Times New Roman" w:eastAsia="Times New Roman" w:hAnsi="Times New Roman" w:cs="Times New Roman"/>
          <w:sz w:val="24"/>
          <w:szCs w:val="24"/>
        </w:rPr>
        <w:t>.</w:t>
      </w:r>
      <w:r w:rsidR="00CA594A">
        <w:rPr>
          <w:rFonts w:ascii="Times New Roman" w:eastAsia="Times New Roman" w:hAnsi="Times New Roman" w:cs="Times New Roman"/>
          <w:sz w:val="24"/>
          <w:szCs w:val="24"/>
        </w:rPr>
        <w:t xml:space="preserve"> </w:t>
      </w:r>
      <w:r w:rsidR="005D0216" w:rsidRPr="00612D85">
        <w:rPr>
          <w:rFonts w:ascii="Times New Roman" w:eastAsia="Times New Roman" w:hAnsi="Times New Roman" w:cs="Times New Roman"/>
          <w:sz w:val="24"/>
          <w:szCs w:val="24"/>
        </w:rPr>
        <w:t>Leucocytes</w:t>
      </w:r>
      <w:r w:rsidR="005D0216">
        <w:rPr>
          <w:rFonts w:ascii="Times New Roman" w:eastAsia="Times New Roman" w:hAnsi="Times New Roman" w:cs="Times New Roman"/>
          <w:sz w:val="24"/>
          <w:szCs w:val="24"/>
        </w:rPr>
        <w:t xml:space="preserve"> of live pigs and Tonsil a</w:t>
      </w:r>
      <w:r w:rsidR="0092105E">
        <w:rPr>
          <w:rFonts w:ascii="Times New Roman" w:eastAsia="Times New Roman" w:hAnsi="Times New Roman" w:cs="Times New Roman"/>
          <w:sz w:val="24"/>
          <w:szCs w:val="24"/>
        </w:rPr>
        <w:t>n</w:t>
      </w:r>
      <w:r w:rsidR="005D0216">
        <w:rPr>
          <w:rFonts w:ascii="Times New Roman" w:eastAsia="Times New Roman" w:hAnsi="Times New Roman" w:cs="Times New Roman"/>
          <w:sz w:val="24"/>
          <w:szCs w:val="24"/>
        </w:rPr>
        <w:t>d Mesent</w:t>
      </w:r>
      <w:r w:rsidR="0092105E">
        <w:rPr>
          <w:rFonts w:ascii="Times New Roman" w:eastAsia="Times New Roman" w:hAnsi="Times New Roman" w:cs="Times New Roman"/>
          <w:sz w:val="24"/>
          <w:szCs w:val="24"/>
        </w:rPr>
        <w:t>e</w:t>
      </w:r>
      <w:r w:rsidR="005D0216">
        <w:rPr>
          <w:rFonts w:ascii="Times New Roman" w:eastAsia="Times New Roman" w:hAnsi="Times New Roman" w:cs="Times New Roman"/>
          <w:sz w:val="24"/>
          <w:szCs w:val="24"/>
        </w:rPr>
        <w:t>ric Lymph nodes</w:t>
      </w:r>
      <w:r w:rsidR="00E77A8E">
        <w:rPr>
          <w:rFonts w:ascii="Times New Roman" w:eastAsia="Times New Roman" w:hAnsi="Times New Roman" w:cs="Times New Roman"/>
          <w:sz w:val="24"/>
          <w:szCs w:val="24"/>
        </w:rPr>
        <w:t xml:space="preserve"> were found suitable samples for CSF diagnosis.</w:t>
      </w:r>
      <w:r w:rsidR="0065021B">
        <w:rPr>
          <w:rFonts w:ascii="Times New Roman" w:eastAsia="Times New Roman" w:hAnsi="Times New Roman" w:cs="Times New Roman"/>
          <w:sz w:val="24"/>
          <w:szCs w:val="24"/>
        </w:rPr>
        <w:t xml:space="preserve"> For prevention and control of CSF in NE</w:t>
      </w:r>
      <w:r w:rsidR="00C667F1">
        <w:rPr>
          <w:rFonts w:ascii="Times New Roman" w:eastAsia="Times New Roman" w:hAnsi="Times New Roman" w:cs="Times New Roman"/>
          <w:sz w:val="24"/>
          <w:szCs w:val="24"/>
        </w:rPr>
        <w:t xml:space="preserve"> Region, regular creating a</w:t>
      </w:r>
      <w:r w:rsidR="00014565">
        <w:rPr>
          <w:rFonts w:ascii="Times New Roman" w:eastAsia="Times New Roman" w:hAnsi="Times New Roman" w:cs="Times New Roman"/>
          <w:sz w:val="24"/>
          <w:szCs w:val="24"/>
        </w:rPr>
        <w:t xml:space="preserve">wareness programmes and </w:t>
      </w:r>
      <w:r w:rsidR="00E90451">
        <w:rPr>
          <w:rFonts w:ascii="Times New Roman" w:eastAsia="Times New Roman" w:hAnsi="Times New Roman" w:cs="Times New Roman"/>
          <w:sz w:val="24"/>
          <w:szCs w:val="24"/>
        </w:rPr>
        <w:t xml:space="preserve">opting </w:t>
      </w:r>
      <w:r w:rsidR="00014565">
        <w:rPr>
          <w:rFonts w:ascii="Times New Roman" w:eastAsia="Times New Roman" w:hAnsi="Times New Roman" w:cs="Times New Roman"/>
          <w:sz w:val="24"/>
          <w:szCs w:val="24"/>
        </w:rPr>
        <w:t>vaccination</w:t>
      </w:r>
      <w:r w:rsidR="00E90451">
        <w:rPr>
          <w:rFonts w:ascii="Times New Roman" w:eastAsia="Times New Roman" w:hAnsi="Times New Roman" w:cs="Times New Roman"/>
          <w:sz w:val="24"/>
          <w:szCs w:val="24"/>
        </w:rPr>
        <w:t xml:space="preserve"> schedule</w:t>
      </w:r>
      <w:r w:rsidR="006A09FC">
        <w:rPr>
          <w:rFonts w:ascii="Times New Roman" w:eastAsia="Times New Roman" w:hAnsi="Times New Roman" w:cs="Times New Roman"/>
          <w:sz w:val="24"/>
          <w:szCs w:val="24"/>
        </w:rPr>
        <w:t xml:space="preserve"> is necessary. </w:t>
      </w:r>
      <w:r w:rsidR="00750BF3">
        <w:rPr>
          <w:rFonts w:ascii="Times New Roman" w:eastAsia="Times New Roman" w:hAnsi="Times New Roman" w:cs="Times New Roman"/>
          <w:sz w:val="24"/>
          <w:szCs w:val="24"/>
        </w:rPr>
        <w:t>To get d</w:t>
      </w:r>
      <w:r w:rsidR="006A09FC">
        <w:rPr>
          <w:rFonts w:ascii="Times New Roman" w:eastAsia="Times New Roman" w:hAnsi="Times New Roman" w:cs="Times New Roman"/>
          <w:sz w:val="24"/>
          <w:szCs w:val="24"/>
        </w:rPr>
        <w:t xml:space="preserve">isease </w:t>
      </w:r>
      <w:r w:rsidR="006A09FC">
        <w:rPr>
          <w:rFonts w:ascii="Times New Roman" w:eastAsia="Times New Roman" w:hAnsi="Times New Roman" w:cs="Times New Roman"/>
          <w:sz w:val="24"/>
          <w:szCs w:val="24"/>
        </w:rPr>
        <w:lastRenderedPageBreak/>
        <w:t xml:space="preserve">free </w:t>
      </w:r>
      <w:r w:rsidR="00750BF3">
        <w:rPr>
          <w:rFonts w:ascii="Times New Roman" w:eastAsia="Times New Roman" w:hAnsi="Times New Roman" w:cs="Times New Roman"/>
          <w:sz w:val="24"/>
          <w:szCs w:val="24"/>
        </w:rPr>
        <w:t>animal products and by</w:t>
      </w:r>
      <w:r w:rsidR="00BC029A">
        <w:rPr>
          <w:rFonts w:ascii="Times New Roman" w:eastAsia="Times New Roman" w:hAnsi="Times New Roman" w:cs="Times New Roman"/>
          <w:sz w:val="24"/>
          <w:szCs w:val="24"/>
        </w:rPr>
        <w:t>-</w:t>
      </w:r>
      <w:r w:rsidR="00750BF3">
        <w:rPr>
          <w:rFonts w:ascii="Times New Roman" w:eastAsia="Times New Roman" w:hAnsi="Times New Roman" w:cs="Times New Roman"/>
          <w:sz w:val="24"/>
          <w:szCs w:val="24"/>
        </w:rPr>
        <w:t>products</w:t>
      </w:r>
      <w:r w:rsidR="008E0AA6">
        <w:rPr>
          <w:rFonts w:ascii="Times New Roman" w:eastAsia="Times New Roman" w:hAnsi="Times New Roman" w:cs="Times New Roman"/>
          <w:sz w:val="24"/>
          <w:szCs w:val="24"/>
        </w:rPr>
        <w:t xml:space="preserve"> for our</w:t>
      </w:r>
      <w:r w:rsidR="00A64C13">
        <w:rPr>
          <w:rFonts w:ascii="Times New Roman" w:eastAsia="Times New Roman" w:hAnsi="Times New Roman" w:cs="Times New Roman"/>
          <w:sz w:val="24"/>
          <w:szCs w:val="24"/>
        </w:rPr>
        <w:t xml:space="preserve"> nutrition is the main ob</w:t>
      </w:r>
      <w:r w:rsidR="00330875">
        <w:rPr>
          <w:rFonts w:ascii="Times New Roman" w:eastAsia="Times New Roman" w:hAnsi="Times New Roman" w:cs="Times New Roman"/>
          <w:sz w:val="24"/>
          <w:szCs w:val="24"/>
        </w:rPr>
        <w:t xml:space="preserve">jective of </w:t>
      </w:r>
      <w:r w:rsidR="00873175">
        <w:rPr>
          <w:rFonts w:ascii="Times New Roman" w:eastAsia="Times New Roman" w:hAnsi="Times New Roman" w:cs="Times New Roman"/>
          <w:sz w:val="24"/>
          <w:szCs w:val="24"/>
        </w:rPr>
        <w:t xml:space="preserve">research. </w:t>
      </w:r>
      <w:r w:rsidR="009652AA">
        <w:rPr>
          <w:rFonts w:ascii="Times New Roman" w:eastAsia="Times New Roman" w:hAnsi="Times New Roman" w:cs="Times New Roman"/>
          <w:sz w:val="24"/>
          <w:szCs w:val="24"/>
        </w:rPr>
        <w:t>More</w:t>
      </w:r>
      <w:r w:rsidR="003C3B82">
        <w:rPr>
          <w:rFonts w:ascii="Times New Roman" w:eastAsia="Times New Roman" w:hAnsi="Times New Roman" w:cs="Times New Roman"/>
          <w:sz w:val="24"/>
          <w:szCs w:val="24"/>
        </w:rPr>
        <w:t xml:space="preserve"> </w:t>
      </w:r>
      <w:r w:rsidR="009652AA">
        <w:rPr>
          <w:rFonts w:ascii="Times New Roman" w:eastAsia="Times New Roman" w:hAnsi="Times New Roman" w:cs="Times New Roman"/>
          <w:sz w:val="24"/>
          <w:szCs w:val="24"/>
        </w:rPr>
        <w:t>research</w:t>
      </w:r>
      <w:r w:rsidR="00E10853">
        <w:rPr>
          <w:rFonts w:ascii="Times New Roman" w:eastAsia="Times New Roman" w:hAnsi="Times New Roman" w:cs="Times New Roman"/>
          <w:sz w:val="24"/>
          <w:szCs w:val="24"/>
        </w:rPr>
        <w:t xml:space="preserve"> on large number of samples</w:t>
      </w:r>
      <w:r w:rsidR="00356AF9">
        <w:rPr>
          <w:rFonts w:ascii="Times New Roman" w:eastAsia="Times New Roman" w:hAnsi="Times New Roman" w:cs="Times New Roman"/>
          <w:sz w:val="24"/>
          <w:szCs w:val="24"/>
        </w:rPr>
        <w:t xml:space="preserve"> </w:t>
      </w:r>
      <w:r w:rsidR="0051432A">
        <w:rPr>
          <w:rFonts w:ascii="Times New Roman" w:eastAsia="Times New Roman" w:hAnsi="Times New Roman" w:cs="Times New Roman"/>
          <w:sz w:val="24"/>
          <w:szCs w:val="24"/>
        </w:rPr>
        <w:t>is</w:t>
      </w:r>
      <w:r w:rsidR="00356AF9">
        <w:rPr>
          <w:rFonts w:ascii="Times New Roman" w:eastAsia="Times New Roman" w:hAnsi="Times New Roman" w:cs="Times New Roman"/>
          <w:sz w:val="24"/>
          <w:szCs w:val="24"/>
        </w:rPr>
        <w:t xml:space="preserve"> </w:t>
      </w:r>
      <w:r w:rsidR="009652AA">
        <w:rPr>
          <w:rFonts w:ascii="Times New Roman" w:eastAsia="Times New Roman" w:hAnsi="Times New Roman" w:cs="Times New Roman"/>
          <w:sz w:val="24"/>
          <w:szCs w:val="24"/>
        </w:rPr>
        <w:t>needed fo</w:t>
      </w:r>
      <w:r w:rsidR="00397BD7">
        <w:rPr>
          <w:rFonts w:ascii="Times New Roman" w:eastAsia="Times New Roman" w:hAnsi="Times New Roman" w:cs="Times New Roman"/>
          <w:sz w:val="24"/>
          <w:szCs w:val="24"/>
        </w:rPr>
        <w:t xml:space="preserve">r </w:t>
      </w:r>
      <w:r w:rsidR="003C3B82">
        <w:rPr>
          <w:rFonts w:ascii="Times New Roman" w:eastAsia="Times New Roman" w:hAnsi="Times New Roman" w:cs="Times New Roman"/>
          <w:sz w:val="24"/>
          <w:szCs w:val="24"/>
        </w:rPr>
        <w:t xml:space="preserve">standardization of newer test in future. </w:t>
      </w:r>
    </w:p>
    <w:p w14:paraId="6F3D1052" w14:textId="77777777" w:rsidR="00AE1C80" w:rsidRPr="004A3567" w:rsidRDefault="00AE1C80" w:rsidP="00AE1C80">
      <w:pPr>
        <w:jc w:val="both"/>
        <w:outlineLvl w:val="0"/>
        <w:rPr>
          <w:rFonts w:ascii="Arial" w:hAnsi="Arial" w:cs="Arial"/>
          <w:sz w:val="24"/>
          <w:szCs w:val="24"/>
        </w:rPr>
      </w:pPr>
      <w:r w:rsidRPr="004A3567">
        <w:rPr>
          <w:rFonts w:ascii="Arial" w:hAnsi="Arial" w:cs="Arial"/>
          <w:b/>
          <w:bCs/>
          <w:sz w:val="24"/>
          <w:szCs w:val="24"/>
        </w:rPr>
        <w:t>COMPETING INTERESTS DISCLAIMER:</w:t>
      </w:r>
    </w:p>
    <w:p w14:paraId="14A81B1E" w14:textId="77777777" w:rsidR="00AE1C80" w:rsidRPr="004A3567" w:rsidRDefault="00AE1C80" w:rsidP="00AE1C80">
      <w:pPr>
        <w:rPr>
          <w:rFonts w:ascii="Times New Roman" w:hAnsi="Times New Roman" w:cs="Times New Roman"/>
          <w:sz w:val="24"/>
          <w:szCs w:val="24"/>
        </w:rPr>
      </w:pPr>
      <w:r w:rsidRPr="004A356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6909935" w14:textId="77777777" w:rsidR="00532FEE" w:rsidRPr="004E1F53" w:rsidRDefault="00532FEE" w:rsidP="00532FEE">
      <w:pPr>
        <w:rPr>
          <w:rFonts w:ascii="Times New Roman" w:hAnsi="Times New Roman" w:cs="Times New Roman"/>
          <w:b/>
          <w:bCs/>
          <w:sz w:val="24"/>
          <w:szCs w:val="24"/>
        </w:rPr>
      </w:pPr>
      <w:r w:rsidRPr="004E1F53">
        <w:rPr>
          <w:rFonts w:ascii="Times New Roman" w:hAnsi="Times New Roman" w:cs="Times New Roman"/>
          <w:b/>
          <w:bCs/>
          <w:sz w:val="24"/>
          <w:szCs w:val="24"/>
        </w:rPr>
        <w:t>Disclaimer (Artificial intelligence)</w:t>
      </w:r>
    </w:p>
    <w:p w14:paraId="34526963" w14:textId="77777777" w:rsidR="00532FEE" w:rsidRPr="004A3567" w:rsidRDefault="00532FEE" w:rsidP="00532FEE">
      <w:pPr>
        <w:rPr>
          <w:rFonts w:ascii="Times New Roman" w:hAnsi="Times New Roman" w:cs="Times New Roman"/>
          <w:sz w:val="24"/>
          <w:szCs w:val="24"/>
        </w:rPr>
      </w:pPr>
      <w:r w:rsidRPr="004A3567">
        <w:rPr>
          <w:rFonts w:ascii="Times New Roman" w:hAnsi="Times New Roman" w:cs="Times New Roman"/>
          <w:sz w:val="24"/>
          <w:szCs w:val="24"/>
        </w:rPr>
        <w:t xml:space="preserve">Option 1: </w:t>
      </w:r>
    </w:p>
    <w:p w14:paraId="58A1BA5A" w14:textId="77777777" w:rsidR="00532FEE" w:rsidRPr="004A3567" w:rsidRDefault="00532FEE" w:rsidP="00532FEE">
      <w:pPr>
        <w:rPr>
          <w:rFonts w:ascii="Times New Roman" w:hAnsi="Times New Roman" w:cs="Times New Roman"/>
          <w:sz w:val="24"/>
          <w:szCs w:val="24"/>
        </w:rPr>
      </w:pPr>
      <w:r w:rsidRPr="004A3567">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68CD95EE" w14:textId="77777777" w:rsidR="0030138E" w:rsidRDefault="0030138E" w:rsidP="0030138E">
      <w:pPr>
        <w:spacing w:line="360" w:lineRule="auto"/>
        <w:jc w:val="both"/>
        <w:rPr>
          <w:rFonts w:ascii="Times New Roman" w:hAnsi="Times New Roman" w:cs="Times New Roman"/>
          <w:b/>
          <w:sz w:val="24"/>
          <w:szCs w:val="24"/>
        </w:rPr>
      </w:pPr>
      <w:r w:rsidRPr="00612D85">
        <w:rPr>
          <w:rFonts w:ascii="Times New Roman" w:hAnsi="Times New Roman" w:cs="Times New Roman"/>
          <w:b/>
          <w:sz w:val="24"/>
          <w:szCs w:val="24"/>
        </w:rPr>
        <w:t>REFERENCES</w:t>
      </w:r>
    </w:p>
    <w:p w14:paraId="5619C056" w14:textId="77777777" w:rsidR="00972CBE" w:rsidRPr="00E5243B" w:rsidRDefault="00972CBE" w:rsidP="00E5243B">
      <w:pPr>
        <w:pStyle w:val="ListParagraph"/>
        <w:numPr>
          <w:ilvl w:val="0"/>
          <w:numId w:val="1"/>
        </w:numPr>
        <w:autoSpaceDE w:val="0"/>
        <w:autoSpaceDN w:val="0"/>
        <w:adjustRightInd w:val="0"/>
        <w:spacing w:after="0" w:line="360" w:lineRule="auto"/>
        <w:ind w:left="502"/>
        <w:jc w:val="both"/>
        <w:rPr>
          <w:rFonts w:ascii="Times New Roman" w:hAnsi="Times New Roman" w:cs="Times New Roman"/>
          <w:sz w:val="24"/>
          <w:szCs w:val="24"/>
        </w:rPr>
      </w:pPr>
      <w:r w:rsidRPr="00885F49">
        <w:rPr>
          <w:rFonts w:ascii="Times New Roman" w:hAnsi="Times New Roman" w:cs="Times New Roman"/>
          <w:sz w:val="24"/>
          <w:szCs w:val="24"/>
        </w:rPr>
        <w:t xml:space="preserve">Barman, N. N., Nath, A. J., Hazarika, M. P., Barman, B., &amp; </w:t>
      </w:r>
      <w:proofErr w:type="spellStart"/>
      <w:r w:rsidRPr="00885F49">
        <w:rPr>
          <w:rFonts w:ascii="Times New Roman" w:hAnsi="Times New Roman" w:cs="Times New Roman"/>
          <w:sz w:val="24"/>
          <w:szCs w:val="24"/>
        </w:rPr>
        <w:t>Thakuria</w:t>
      </w:r>
      <w:proofErr w:type="spellEnd"/>
      <w:r w:rsidRPr="00885F49">
        <w:rPr>
          <w:rFonts w:ascii="Times New Roman" w:hAnsi="Times New Roman" w:cs="Times New Roman"/>
          <w:sz w:val="24"/>
          <w:szCs w:val="24"/>
        </w:rPr>
        <w:t xml:space="preserve">, D. (2003). Outbreak of classical swine fever in regularly vaccinated pig herd. Indian Journal of Comparative Microbiology, Immunology and Infectious Diseases, 24(1), 89-90. </w:t>
      </w:r>
      <w:hyperlink r:id="rId13" w:history="1">
        <w:r w:rsidRPr="0018102A">
          <w:rPr>
            <w:rStyle w:val="Hyperlink"/>
            <w:rFonts w:ascii="Times New Roman" w:hAnsi="Times New Roman" w:cs="Times New Roman"/>
            <w:sz w:val="24"/>
            <w:szCs w:val="24"/>
          </w:rPr>
          <w:t>https://www.indianjournals.com/ijor.aspx?target=ijor:ijcmiid&amp;type=home</w:t>
        </w:r>
      </w:hyperlink>
    </w:p>
    <w:p w14:paraId="34F47D28" w14:textId="77777777" w:rsidR="00972CBE" w:rsidRDefault="00972CBE" w:rsidP="00810519">
      <w:pPr>
        <w:pStyle w:val="NoSpacing"/>
        <w:numPr>
          <w:ilvl w:val="0"/>
          <w:numId w:val="1"/>
        </w:numPr>
        <w:spacing w:line="360" w:lineRule="auto"/>
        <w:ind w:left="502"/>
        <w:jc w:val="both"/>
        <w:rPr>
          <w:rFonts w:ascii="Times New Roman" w:hAnsi="Times New Roman" w:cs="Times New Roman"/>
          <w:sz w:val="24"/>
          <w:szCs w:val="24"/>
        </w:rPr>
      </w:pPr>
      <w:r w:rsidRPr="00885F49">
        <w:rPr>
          <w:rFonts w:ascii="Times New Roman" w:hAnsi="Times New Roman" w:cs="Times New Roman"/>
          <w:sz w:val="24"/>
          <w:szCs w:val="24"/>
        </w:rPr>
        <w:t xml:space="preserve">Barman, N. N., Sarma, D. K., &amp; Neog, B. N. (2001). Elimination of enterotoxigenic Escherichia coli in experimentally infected piglets by passive immunization with bovine colostral antibodies. </w:t>
      </w:r>
      <w:proofErr w:type="spellStart"/>
      <w:r w:rsidRPr="00885F49">
        <w:rPr>
          <w:rFonts w:ascii="Times New Roman" w:hAnsi="Times New Roman" w:cs="Times New Roman"/>
          <w:sz w:val="24"/>
          <w:szCs w:val="24"/>
        </w:rPr>
        <w:t>Veterinarski</w:t>
      </w:r>
      <w:proofErr w:type="spellEnd"/>
      <w:r w:rsidRPr="00885F49">
        <w:rPr>
          <w:rFonts w:ascii="Times New Roman" w:hAnsi="Times New Roman" w:cs="Times New Roman"/>
          <w:sz w:val="24"/>
          <w:szCs w:val="24"/>
        </w:rPr>
        <w:t xml:space="preserve"> </w:t>
      </w:r>
      <w:proofErr w:type="spellStart"/>
      <w:r w:rsidRPr="00885F49">
        <w:rPr>
          <w:rFonts w:ascii="Times New Roman" w:hAnsi="Times New Roman" w:cs="Times New Roman"/>
          <w:sz w:val="24"/>
          <w:szCs w:val="24"/>
        </w:rPr>
        <w:t>Arhiv</w:t>
      </w:r>
      <w:proofErr w:type="spellEnd"/>
      <w:r w:rsidRPr="00885F49">
        <w:rPr>
          <w:rFonts w:ascii="Times New Roman" w:hAnsi="Times New Roman" w:cs="Times New Roman"/>
          <w:sz w:val="24"/>
          <w:szCs w:val="24"/>
        </w:rPr>
        <w:t xml:space="preserve">, 71(6), 381-387. </w:t>
      </w:r>
      <w:hyperlink r:id="rId14" w:history="1">
        <w:r w:rsidRPr="0018102A">
          <w:rPr>
            <w:rStyle w:val="Hyperlink"/>
            <w:rFonts w:ascii="Times New Roman" w:hAnsi="Times New Roman" w:cs="Times New Roman"/>
            <w:sz w:val="24"/>
            <w:szCs w:val="24"/>
          </w:rPr>
          <w:t>https://vetarhiv.vef.unizg.hr/index.php/VA/article/view/VA.71.6.1</w:t>
        </w:r>
      </w:hyperlink>
    </w:p>
    <w:p w14:paraId="2272402C" w14:textId="77777777" w:rsidR="00972CBE" w:rsidRPr="00E5243B" w:rsidRDefault="00972CBE" w:rsidP="00E5243B">
      <w:pPr>
        <w:pStyle w:val="ListParagraph"/>
        <w:numPr>
          <w:ilvl w:val="0"/>
          <w:numId w:val="1"/>
        </w:numPr>
        <w:autoSpaceDE w:val="0"/>
        <w:autoSpaceDN w:val="0"/>
        <w:adjustRightInd w:val="0"/>
        <w:spacing w:after="0" w:line="360" w:lineRule="auto"/>
        <w:ind w:left="502"/>
        <w:jc w:val="both"/>
        <w:rPr>
          <w:rFonts w:ascii="Times New Roman" w:hAnsi="Times New Roman" w:cs="Times New Roman"/>
          <w:sz w:val="24"/>
          <w:szCs w:val="24"/>
        </w:rPr>
      </w:pPr>
      <w:r w:rsidRPr="00E5243B">
        <w:rPr>
          <w:rFonts w:ascii="Times New Roman" w:hAnsi="Times New Roman" w:cs="Times New Roman"/>
          <w:sz w:val="24"/>
          <w:szCs w:val="24"/>
        </w:rPr>
        <w:t>Blome, S., Staubach, C., Henke, J., Carlson, J. and Beer, M. (2017). Classical Swine Fever—An Updated Review. Viruses, 9, 86; doi:10.3390/v9040086.</w:t>
      </w:r>
    </w:p>
    <w:p w14:paraId="1414AD41" w14:textId="77777777" w:rsidR="00972CBE" w:rsidRDefault="00972CBE" w:rsidP="00CE306F">
      <w:pPr>
        <w:pStyle w:val="ListParagraph"/>
        <w:numPr>
          <w:ilvl w:val="0"/>
          <w:numId w:val="1"/>
        </w:numPr>
        <w:spacing w:line="360" w:lineRule="auto"/>
        <w:ind w:left="502"/>
        <w:jc w:val="both"/>
        <w:rPr>
          <w:rFonts w:ascii="Times New Roman" w:hAnsi="Times New Roman" w:cs="Times New Roman"/>
          <w:sz w:val="24"/>
          <w:szCs w:val="24"/>
        </w:rPr>
      </w:pPr>
      <w:r w:rsidRPr="00C45DC3">
        <w:rPr>
          <w:rFonts w:ascii="Times New Roman" w:hAnsi="Times New Roman" w:cs="Times New Roman"/>
          <w:sz w:val="24"/>
          <w:szCs w:val="24"/>
        </w:rPr>
        <w:t>Darbyshire, J. H. (1962). Agar gel diffusion studies with a mucosal disease of cattle: II. -A serological relationship between a mucosal disease and swine fever. Research in Veterinary Science, 3</w:t>
      </w:r>
      <w:r>
        <w:rPr>
          <w:rFonts w:ascii="Times New Roman" w:hAnsi="Times New Roman" w:cs="Times New Roman"/>
          <w:sz w:val="24"/>
          <w:szCs w:val="24"/>
        </w:rPr>
        <w:t xml:space="preserve"> (2)</w:t>
      </w:r>
      <w:r w:rsidRPr="00C45DC3">
        <w:rPr>
          <w:rFonts w:ascii="Times New Roman" w:hAnsi="Times New Roman" w:cs="Times New Roman"/>
          <w:sz w:val="24"/>
          <w:szCs w:val="24"/>
        </w:rPr>
        <w:t xml:space="preserve">, 125-128. </w:t>
      </w:r>
      <w:hyperlink r:id="rId15" w:tgtFrame="_blank" w:tooltip="Persistent link using digital object identifier" w:history="1">
        <w:r w:rsidRPr="00C45DC3">
          <w:rPr>
            <w:rStyle w:val="Hyperlink"/>
            <w:rFonts w:ascii="Times New Roman" w:hAnsi="Times New Roman" w:cs="Times New Roman"/>
            <w:sz w:val="24"/>
            <w:szCs w:val="24"/>
          </w:rPr>
          <w:t>https://doi.org/10.1016/S0034-5288(18)34911-7</w:t>
        </w:r>
      </w:hyperlink>
    </w:p>
    <w:p w14:paraId="78476536" w14:textId="77777777" w:rsidR="00972CBE" w:rsidRPr="004949C8" w:rsidRDefault="00972CBE" w:rsidP="004949C8">
      <w:pPr>
        <w:pStyle w:val="NoSpacing"/>
        <w:numPr>
          <w:ilvl w:val="0"/>
          <w:numId w:val="1"/>
        </w:numPr>
        <w:spacing w:line="360" w:lineRule="auto"/>
        <w:ind w:left="502"/>
        <w:jc w:val="both"/>
        <w:rPr>
          <w:rFonts w:ascii="Times New Roman" w:hAnsi="Times New Roman" w:cs="Times New Roman"/>
          <w:sz w:val="24"/>
          <w:szCs w:val="24"/>
        </w:rPr>
      </w:pPr>
      <w:r w:rsidRPr="0035497F">
        <w:rPr>
          <w:rFonts w:ascii="Times New Roman" w:hAnsi="Times New Roman" w:cs="Times New Roman"/>
          <w:color w:val="000000"/>
          <w:sz w:val="24"/>
          <w:szCs w:val="24"/>
        </w:rPr>
        <w:t xml:space="preserve">Department of Animal Husbandry and Dairying (DAHD), Government of India. (2019). Provisional Key Results - 20th Livestock Census. </w:t>
      </w:r>
      <w:hyperlink r:id="rId16" w:history="1">
        <w:r w:rsidRPr="0035497F">
          <w:rPr>
            <w:rStyle w:val="Hyperlink"/>
            <w:rFonts w:ascii="Times New Roman" w:hAnsi="Times New Roman" w:cs="Times New Roman"/>
            <w:sz w:val="24"/>
            <w:szCs w:val="24"/>
          </w:rPr>
          <w:t>https://dahd.nic.in/division/provisional-key-results-20th-livestock-census</w:t>
        </w:r>
      </w:hyperlink>
      <w:r>
        <w:t xml:space="preserve">,  </w:t>
      </w:r>
      <w:hyperlink r:id="rId17" w:history="1">
        <w:r w:rsidRPr="00B54EC6">
          <w:rPr>
            <w:rStyle w:val="Hyperlink"/>
          </w:rPr>
          <w:t>Combine Annual Report 2019-20</w:t>
        </w:r>
      </w:hyperlink>
      <w:r>
        <w:t xml:space="preserve"> .</w:t>
      </w:r>
    </w:p>
    <w:p w14:paraId="6602B736" w14:textId="77777777" w:rsidR="00972CBE" w:rsidRPr="002C3608" w:rsidRDefault="00972CBE" w:rsidP="00810519">
      <w:pPr>
        <w:pStyle w:val="NoSpacing"/>
        <w:numPr>
          <w:ilvl w:val="0"/>
          <w:numId w:val="1"/>
        </w:numPr>
        <w:spacing w:line="360" w:lineRule="auto"/>
        <w:ind w:left="502"/>
        <w:jc w:val="both"/>
        <w:rPr>
          <w:rFonts w:ascii="Times New Roman" w:hAnsi="Times New Roman" w:cs="Times New Roman"/>
          <w:sz w:val="24"/>
          <w:szCs w:val="24"/>
        </w:rPr>
      </w:pPr>
      <w:r w:rsidRPr="002C3608">
        <w:rPr>
          <w:rFonts w:ascii="Times New Roman" w:hAnsi="Times New Roman" w:cs="Times New Roman"/>
          <w:sz w:val="24"/>
          <w:szCs w:val="24"/>
        </w:rPr>
        <w:t xml:space="preserve">European Commission. (2002). Commission Decision of 1 February 2002 approving a Diagnostic Manual establishing diagnostic procedures, sampling methods and criteria for </w:t>
      </w:r>
      <w:r w:rsidRPr="002C3608">
        <w:rPr>
          <w:rFonts w:ascii="Times New Roman" w:hAnsi="Times New Roman" w:cs="Times New Roman"/>
          <w:sz w:val="24"/>
          <w:szCs w:val="24"/>
        </w:rPr>
        <w:lastRenderedPageBreak/>
        <w:t xml:space="preserve">evaluation of the laboratory tests for the confirmation of classical swine fever (notified under document number C (2002) 381) (Text with EEA relevance) (2002/106/EC). </w:t>
      </w:r>
      <w:r w:rsidRPr="002C3608">
        <w:rPr>
          <w:rFonts w:ascii="Times New Roman" w:hAnsi="Times New Roman" w:cs="Times New Roman"/>
          <w:i/>
          <w:iCs/>
          <w:sz w:val="24"/>
          <w:szCs w:val="24"/>
        </w:rPr>
        <w:t>OJ L 39, 9.2.2002, pp. 71–88</w:t>
      </w:r>
      <w:r>
        <w:rPr>
          <w:rFonts w:ascii="Times New Roman" w:hAnsi="Times New Roman" w:cs="Times New Roman"/>
          <w:sz w:val="24"/>
          <w:szCs w:val="24"/>
        </w:rPr>
        <w:t>.</w:t>
      </w:r>
    </w:p>
    <w:p w14:paraId="113B705B" w14:textId="77777777" w:rsidR="00972CBE" w:rsidRDefault="00972CBE" w:rsidP="0013776B">
      <w:pPr>
        <w:pStyle w:val="ListParagraph"/>
        <w:numPr>
          <w:ilvl w:val="0"/>
          <w:numId w:val="1"/>
        </w:numPr>
        <w:spacing w:line="360" w:lineRule="auto"/>
        <w:ind w:left="502"/>
        <w:jc w:val="both"/>
        <w:rPr>
          <w:rFonts w:ascii="Times New Roman" w:hAnsi="Times New Roman" w:cs="Times New Roman"/>
          <w:sz w:val="24"/>
          <w:szCs w:val="24"/>
        </w:rPr>
      </w:pPr>
      <w:r w:rsidRPr="00CE306F">
        <w:rPr>
          <w:rFonts w:ascii="Times New Roman" w:hAnsi="Times New Roman" w:cs="Times New Roman"/>
          <w:sz w:val="24"/>
          <w:szCs w:val="24"/>
        </w:rPr>
        <w:t xml:space="preserve">Ganges, L., Sakoda, Y., Crooke, H.R., Becher, P., </w:t>
      </w:r>
      <w:proofErr w:type="spellStart"/>
      <w:r w:rsidRPr="00CE306F">
        <w:rPr>
          <w:rFonts w:ascii="Times New Roman" w:hAnsi="Times New Roman" w:cs="Times New Roman"/>
          <w:sz w:val="24"/>
          <w:szCs w:val="24"/>
        </w:rPr>
        <w:t>Bohorquez</w:t>
      </w:r>
      <w:proofErr w:type="spellEnd"/>
      <w:r w:rsidRPr="00CE306F">
        <w:rPr>
          <w:rFonts w:ascii="Times New Roman" w:hAnsi="Times New Roman" w:cs="Times New Roman"/>
          <w:sz w:val="24"/>
          <w:szCs w:val="24"/>
        </w:rPr>
        <w:t xml:space="preserve">, J.A., </w:t>
      </w:r>
      <w:proofErr w:type="spellStart"/>
      <w:r w:rsidRPr="00CE306F">
        <w:rPr>
          <w:rFonts w:ascii="Times New Roman" w:hAnsi="Times New Roman" w:cs="Times New Roman"/>
          <w:sz w:val="24"/>
          <w:szCs w:val="24"/>
        </w:rPr>
        <w:t>Ruggli</w:t>
      </w:r>
      <w:proofErr w:type="spellEnd"/>
      <w:r w:rsidRPr="00CE306F">
        <w:rPr>
          <w:rFonts w:ascii="Times New Roman" w:hAnsi="Times New Roman" w:cs="Times New Roman"/>
          <w:sz w:val="24"/>
          <w:szCs w:val="24"/>
        </w:rPr>
        <w:t xml:space="preserve">, N. and Postel, A. (2020). Classical swine fever virus: the past, present and future. Virus Research 289 (2020) 198151.  </w:t>
      </w:r>
      <w:hyperlink r:id="rId18" w:history="1">
        <w:r w:rsidRPr="008D0785">
          <w:rPr>
            <w:rStyle w:val="Hyperlink"/>
            <w:rFonts w:ascii="Times New Roman" w:hAnsi="Times New Roman" w:cs="Times New Roman"/>
            <w:sz w:val="24"/>
            <w:szCs w:val="24"/>
          </w:rPr>
          <w:t>https://doi.org/10.1016/j.virusres.2020.198151</w:t>
        </w:r>
      </w:hyperlink>
    </w:p>
    <w:p w14:paraId="30520F74" w14:textId="77777777" w:rsidR="00972CBE" w:rsidRDefault="00972CBE" w:rsidP="00810519">
      <w:pPr>
        <w:pStyle w:val="NoSpacing"/>
        <w:numPr>
          <w:ilvl w:val="0"/>
          <w:numId w:val="1"/>
        </w:numPr>
        <w:spacing w:line="360" w:lineRule="auto"/>
        <w:ind w:left="502"/>
        <w:jc w:val="both"/>
        <w:rPr>
          <w:rFonts w:ascii="Times New Roman" w:hAnsi="Times New Roman" w:cs="Times New Roman"/>
          <w:sz w:val="24"/>
          <w:szCs w:val="24"/>
        </w:rPr>
      </w:pPr>
      <w:r w:rsidRPr="00885F49">
        <w:rPr>
          <w:rFonts w:ascii="Times New Roman" w:hAnsi="Times New Roman" w:cs="Times New Roman"/>
          <w:sz w:val="24"/>
          <w:szCs w:val="24"/>
        </w:rPr>
        <w:t xml:space="preserve">Harkness, J. W. (1985). Classical swine fever and its diagnosis: a current view. Vet. Rec., 116(11), 288–293. </w:t>
      </w:r>
      <w:hyperlink r:id="rId19" w:history="1">
        <w:r w:rsidRPr="0018102A">
          <w:rPr>
            <w:rStyle w:val="Hyperlink"/>
            <w:rFonts w:ascii="Times New Roman" w:hAnsi="Times New Roman" w:cs="Times New Roman"/>
            <w:sz w:val="24"/>
            <w:szCs w:val="24"/>
          </w:rPr>
          <w:t>https://doi.org/10.1136/vr.116.11.288</w:t>
        </w:r>
      </w:hyperlink>
    </w:p>
    <w:p w14:paraId="02E7DFA9" w14:textId="77777777" w:rsidR="00972CBE" w:rsidRDefault="00972CBE" w:rsidP="00972CBE">
      <w:pPr>
        <w:pStyle w:val="NoSpacing"/>
        <w:numPr>
          <w:ilvl w:val="0"/>
          <w:numId w:val="1"/>
        </w:numPr>
        <w:spacing w:line="360" w:lineRule="auto"/>
        <w:ind w:left="502"/>
        <w:jc w:val="both"/>
        <w:rPr>
          <w:rFonts w:ascii="Times New Roman" w:hAnsi="Times New Roman" w:cs="Times New Roman"/>
          <w:sz w:val="24"/>
          <w:szCs w:val="24"/>
        </w:rPr>
      </w:pPr>
      <w:r w:rsidRPr="000E6648">
        <w:rPr>
          <w:rFonts w:ascii="Times New Roman" w:hAnsi="Times New Roman" w:cs="Times New Roman"/>
          <w:sz w:val="24"/>
          <w:szCs w:val="24"/>
        </w:rPr>
        <w:t xml:space="preserve">Kaden, V., Hübert, P., </w:t>
      </w:r>
      <w:proofErr w:type="spellStart"/>
      <w:r w:rsidRPr="000E6648">
        <w:rPr>
          <w:rFonts w:ascii="Times New Roman" w:hAnsi="Times New Roman" w:cs="Times New Roman"/>
          <w:sz w:val="24"/>
          <w:szCs w:val="24"/>
        </w:rPr>
        <w:t>Strebelow</w:t>
      </w:r>
      <w:proofErr w:type="spellEnd"/>
      <w:r w:rsidRPr="000E6648">
        <w:rPr>
          <w:rFonts w:ascii="Times New Roman" w:hAnsi="Times New Roman" w:cs="Times New Roman"/>
          <w:sz w:val="24"/>
          <w:szCs w:val="24"/>
        </w:rPr>
        <w:t xml:space="preserve">, G., Lange, E., Steyer, H., &amp; Steinhagen, P. (1999). Comparison of laboratory diagnostic methods for the detection of infection with the virus of classical swine fever in the early inspection phase: an experimental study. </w:t>
      </w:r>
      <w:r w:rsidRPr="003612D7">
        <w:rPr>
          <w:rFonts w:ascii="Times New Roman" w:hAnsi="Times New Roman" w:cs="Times New Roman"/>
          <w:i/>
          <w:iCs/>
          <w:sz w:val="24"/>
          <w:szCs w:val="24"/>
          <w:lang w:val="en-IN"/>
        </w:rPr>
        <w:t>Berl Munch Tierar</w:t>
      </w:r>
      <w:r>
        <w:rPr>
          <w:rFonts w:ascii="Times New Roman" w:hAnsi="Times New Roman" w:cs="Times New Roman"/>
          <w:i/>
          <w:iCs/>
          <w:sz w:val="24"/>
          <w:szCs w:val="24"/>
          <w:lang w:val="en-IN"/>
        </w:rPr>
        <w:t>z</w:t>
      </w:r>
      <w:r w:rsidRPr="003612D7">
        <w:rPr>
          <w:rFonts w:ascii="Times New Roman" w:hAnsi="Times New Roman" w:cs="Times New Roman"/>
          <w:i/>
          <w:iCs/>
          <w:sz w:val="24"/>
          <w:szCs w:val="24"/>
          <w:lang w:val="en-IN"/>
        </w:rPr>
        <w:t>tl</w:t>
      </w:r>
      <w:r>
        <w:rPr>
          <w:rFonts w:ascii="Times New Roman" w:hAnsi="Times New Roman" w:cs="Times New Roman"/>
          <w:i/>
          <w:iCs/>
          <w:sz w:val="24"/>
          <w:szCs w:val="24"/>
          <w:lang w:val="en-IN"/>
        </w:rPr>
        <w:t xml:space="preserve"> </w:t>
      </w:r>
      <w:r w:rsidRPr="003612D7">
        <w:rPr>
          <w:rFonts w:ascii="Times New Roman" w:hAnsi="Times New Roman" w:cs="Times New Roman"/>
          <w:i/>
          <w:iCs/>
          <w:sz w:val="24"/>
          <w:szCs w:val="24"/>
          <w:lang w:val="en-IN"/>
        </w:rPr>
        <w:t>Wochenschr</w:t>
      </w:r>
      <w:r w:rsidRPr="000E6648">
        <w:rPr>
          <w:rFonts w:ascii="Times New Roman" w:hAnsi="Times New Roman" w:cs="Times New Roman"/>
          <w:sz w:val="24"/>
          <w:szCs w:val="24"/>
          <w:lang w:val="en-IN"/>
        </w:rPr>
        <w:t>. 112(2):52-7.</w:t>
      </w:r>
      <w:r w:rsidRPr="000E6648">
        <w:rPr>
          <w:rFonts w:ascii="Times New Roman" w:hAnsi="Times New Roman" w:cs="Times New Roman"/>
          <w:sz w:val="24"/>
          <w:szCs w:val="24"/>
        </w:rPr>
        <w:t xml:space="preserve"> </w:t>
      </w:r>
      <w:hyperlink r:id="rId20" w:history="1">
        <w:r w:rsidRPr="000E6648">
          <w:rPr>
            <w:rStyle w:val="Hyperlink"/>
            <w:rFonts w:ascii="Times New Roman" w:hAnsi="Times New Roman" w:cs="Times New Roman"/>
            <w:sz w:val="24"/>
            <w:szCs w:val="24"/>
          </w:rPr>
          <w:t>https://pubmed.ncbi.nlm.nih.gov/10189722/</w:t>
        </w:r>
      </w:hyperlink>
    </w:p>
    <w:p w14:paraId="0726374F" w14:textId="77777777" w:rsidR="00972CBE" w:rsidRDefault="00972CBE" w:rsidP="00972CBE">
      <w:pPr>
        <w:pStyle w:val="NoSpacing"/>
        <w:numPr>
          <w:ilvl w:val="0"/>
          <w:numId w:val="1"/>
        </w:numPr>
        <w:spacing w:line="360" w:lineRule="auto"/>
        <w:ind w:left="502"/>
        <w:jc w:val="both"/>
        <w:rPr>
          <w:rFonts w:ascii="Times New Roman" w:hAnsi="Times New Roman" w:cs="Times New Roman"/>
          <w:sz w:val="24"/>
          <w:szCs w:val="24"/>
        </w:rPr>
      </w:pPr>
      <w:r w:rsidRPr="00972CBE">
        <w:rPr>
          <w:rFonts w:ascii="Times New Roman" w:hAnsi="Times New Roman" w:cs="Times New Roman"/>
          <w:sz w:val="24"/>
          <w:szCs w:val="24"/>
        </w:rPr>
        <w:t xml:space="preserve">Khairullah, A. R., Effendi, M. H., Moses, I. B., Fauzia, K. A. et al., (2024). Classical swine fever: Unveiling the complexity through a multifaceted approach. </w:t>
      </w:r>
      <w:r w:rsidRPr="00972CBE">
        <w:rPr>
          <w:rFonts w:ascii="Times New Roman" w:hAnsi="Times New Roman" w:cs="Times New Roman"/>
          <w:i/>
          <w:iCs/>
          <w:sz w:val="24"/>
          <w:szCs w:val="24"/>
        </w:rPr>
        <w:t>Open Veterinary Journal</w:t>
      </w:r>
      <w:r w:rsidRPr="00972CBE">
        <w:rPr>
          <w:rFonts w:ascii="Times New Roman" w:hAnsi="Times New Roman" w:cs="Times New Roman"/>
          <w:sz w:val="24"/>
          <w:szCs w:val="24"/>
        </w:rPr>
        <w:t>, 14(10): 2497-2508. DOI: 10.5455/OVJ.2024.v14.i10.1</w:t>
      </w:r>
    </w:p>
    <w:p w14:paraId="1FB31962" w14:textId="77777777" w:rsidR="00972CBE" w:rsidRDefault="00972CBE" w:rsidP="00972CBE">
      <w:pPr>
        <w:pStyle w:val="NoSpacing"/>
        <w:numPr>
          <w:ilvl w:val="0"/>
          <w:numId w:val="1"/>
        </w:numPr>
        <w:spacing w:line="360" w:lineRule="auto"/>
        <w:ind w:left="502"/>
        <w:jc w:val="both"/>
        <w:rPr>
          <w:rFonts w:ascii="Times New Roman" w:hAnsi="Times New Roman" w:cs="Times New Roman"/>
          <w:sz w:val="24"/>
          <w:szCs w:val="24"/>
        </w:rPr>
      </w:pPr>
      <w:r w:rsidRPr="00972CBE">
        <w:rPr>
          <w:rFonts w:ascii="Times New Roman" w:hAnsi="Times New Roman" w:cs="Times New Roman"/>
          <w:sz w:val="24"/>
          <w:szCs w:val="24"/>
        </w:rPr>
        <w:t xml:space="preserve">Lamothe-Reyes, Y., Figueroa, M. and Sanchez, O. (2023). Host cell factors involved in classical swine fever virus entry. </w:t>
      </w:r>
      <w:r w:rsidRPr="00972CBE">
        <w:rPr>
          <w:rFonts w:ascii="Times New Roman" w:hAnsi="Times New Roman" w:cs="Times New Roman"/>
          <w:i/>
          <w:iCs/>
          <w:sz w:val="24"/>
          <w:szCs w:val="24"/>
        </w:rPr>
        <w:t>Veterinary Research,</w:t>
      </w:r>
      <w:r w:rsidRPr="00972CBE">
        <w:rPr>
          <w:rFonts w:ascii="Times New Roman" w:hAnsi="Times New Roman" w:cs="Times New Roman"/>
          <w:sz w:val="24"/>
          <w:szCs w:val="24"/>
        </w:rPr>
        <w:t xml:space="preserve"> 54:115, doi.org/10.1186/s13567‑023‑01238‑x</w:t>
      </w:r>
    </w:p>
    <w:p w14:paraId="20C4D655" w14:textId="77777777" w:rsidR="00972CBE" w:rsidRDefault="00972CBE" w:rsidP="00972CBE">
      <w:pPr>
        <w:pStyle w:val="NoSpacing"/>
        <w:numPr>
          <w:ilvl w:val="0"/>
          <w:numId w:val="1"/>
        </w:numPr>
        <w:spacing w:line="360" w:lineRule="auto"/>
        <w:ind w:left="502"/>
        <w:jc w:val="both"/>
        <w:rPr>
          <w:rFonts w:ascii="Times New Roman" w:hAnsi="Times New Roman" w:cs="Times New Roman"/>
          <w:sz w:val="24"/>
          <w:szCs w:val="24"/>
        </w:rPr>
      </w:pPr>
      <w:r w:rsidRPr="00972CBE">
        <w:rPr>
          <w:rFonts w:ascii="Times New Roman" w:hAnsi="Times New Roman" w:cs="Times New Roman"/>
          <w:sz w:val="24"/>
          <w:szCs w:val="24"/>
        </w:rPr>
        <w:t xml:space="preserve">Ma, H., Xu, M., Yang, J., Zhang, X., Liu, B., Li, Z., Liu, Z., Hu, W., Fan, W. and Li, J. (2025). Maternal and protective antibody responses to E2 subunit and C-strain classical swine fever vaccines in piglets: a comparative analysis. </w:t>
      </w:r>
      <w:r w:rsidRPr="00972CBE">
        <w:rPr>
          <w:rFonts w:ascii="Times New Roman" w:hAnsi="Times New Roman" w:cs="Times New Roman"/>
          <w:i/>
          <w:iCs/>
          <w:sz w:val="24"/>
          <w:szCs w:val="24"/>
        </w:rPr>
        <w:t>Front. Vet. Sci.</w:t>
      </w:r>
      <w:r w:rsidRPr="00972CBE">
        <w:rPr>
          <w:rFonts w:ascii="Times New Roman" w:hAnsi="Times New Roman" w:cs="Times New Roman"/>
          <w:sz w:val="24"/>
          <w:szCs w:val="24"/>
        </w:rPr>
        <w:t xml:space="preserve"> 12:1694586. </w:t>
      </w:r>
      <w:hyperlink r:id="rId21" w:history="1">
        <w:r w:rsidRPr="00972CBE">
          <w:rPr>
            <w:rStyle w:val="Hyperlink"/>
            <w:rFonts w:ascii="Times New Roman" w:hAnsi="Times New Roman" w:cs="Times New Roman"/>
            <w:sz w:val="24"/>
            <w:szCs w:val="24"/>
          </w:rPr>
          <w:t>https://doi.org/10.3389/fvets.2025.1694586</w:t>
        </w:r>
      </w:hyperlink>
      <w:r w:rsidRPr="00972CBE">
        <w:rPr>
          <w:rFonts w:ascii="Times New Roman" w:hAnsi="Times New Roman" w:cs="Times New Roman"/>
          <w:sz w:val="24"/>
          <w:szCs w:val="24"/>
        </w:rPr>
        <w:t xml:space="preserve"> </w:t>
      </w:r>
    </w:p>
    <w:p w14:paraId="4DFA7165" w14:textId="77777777" w:rsidR="00972CBE" w:rsidRDefault="00972CBE" w:rsidP="00972CBE">
      <w:pPr>
        <w:pStyle w:val="NoSpacing"/>
        <w:numPr>
          <w:ilvl w:val="0"/>
          <w:numId w:val="1"/>
        </w:numPr>
        <w:spacing w:line="360" w:lineRule="auto"/>
        <w:ind w:left="502"/>
        <w:jc w:val="both"/>
        <w:rPr>
          <w:rFonts w:ascii="Times New Roman" w:hAnsi="Times New Roman" w:cs="Times New Roman"/>
          <w:sz w:val="24"/>
          <w:szCs w:val="24"/>
        </w:rPr>
      </w:pPr>
      <w:r w:rsidRPr="00972CBE">
        <w:rPr>
          <w:rFonts w:ascii="Times New Roman" w:hAnsi="Times New Roman" w:cs="Times New Roman"/>
          <w:sz w:val="24"/>
          <w:szCs w:val="24"/>
        </w:rPr>
        <w:t xml:space="preserve">Medhi, P., Sarma, D. K., &amp; Sarmah, R. (2012). Adaptation and propagation of classical swine fever virus in different cell lines. Indian Journal of Animal Sciences, 82(11), 1281-1284. </w:t>
      </w:r>
      <w:hyperlink r:id="rId22" w:history="1">
        <w:r w:rsidRPr="00972CBE">
          <w:rPr>
            <w:rStyle w:val="Hyperlink"/>
            <w:rFonts w:ascii="Times New Roman" w:hAnsi="Times New Roman" w:cs="Times New Roman"/>
            <w:sz w:val="24"/>
            <w:szCs w:val="24"/>
          </w:rPr>
          <w:t>https://doi.org/10.56093/ijans.v82i11.25034</w:t>
        </w:r>
      </w:hyperlink>
      <w:r>
        <w:t xml:space="preserve"> </w:t>
      </w:r>
    </w:p>
    <w:p w14:paraId="2EB017E1" w14:textId="77777777" w:rsidR="00972CBE" w:rsidRDefault="00972CBE" w:rsidP="00972CBE">
      <w:pPr>
        <w:pStyle w:val="NoSpacing"/>
        <w:numPr>
          <w:ilvl w:val="0"/>
          <w:numId w:val="1"/>
        </w:numPr>
        <w:spacing w:line="360" w:lineRule="auto"/>
        <w:ind w:left="502"/>
        <w:jc w:val="both"/>
        <w:rPr>
          <w:rFonts w:ascii="Times New Roman" w:hAnsi="Times New Roman" w:cs="Times New Roman"/>
          <w:sz w:val="24"/>
          <w:szCs w:val="24"/>
        </w:rPr>
      </w:pPr>
      <w:r w:rsidRPr="00972CBE">
        <w:rPr>
          <w:rFonts w:ascii="Times New Roman" w:hAnsi="Times New Roman" w:cs="Times New Roman"/>
          <w:sz w:val="24"/>
          <w:szCs w:val="24"/>
        </w:rPr>
        <w:t xml:space="preserve">Murugan, M.S., Palanichamy, V. and Ramesh, A. (2024). Occurrence of classical swine fever in an organized farm of Madurai, Tamil Nadu. </w:t>
      </w:r>
      <w:r w:rsidRPr="00972CBE">
        <w:rPr>
          <w:rFonts w:ascii="Times New Roman" w:hAnsi="Times New Roman" w:cs="Times New Roman"/>
          <w:i/>
          <w:iCs/>
          <w:sz w:val="24"/>
          <w:szCs w:val="24"/>
        </w:rPr>
        <w:t>International Journal of Advanced Biochemistry Research,</w:t>
      </w:r>
      <w:r w:rsidRPr="00972CBE">
        <w:rPr>
          <w:rFonts w:ascii="Times New Roman" w:hAnsi="Times New Roman" w:cs="Times New Roman"/>
          <w:sz w:val="24"/>
          <w:szCs w:val="24"/>
        </w:rPr>
        <w:t xml:space="preserve"> SP-8(2): 344-347. DOI: </w:t>
      </w:r>
      <w:hyperlink r:id="rId23" w:history="1">
        <w:r w:rsidRPr="00972CBE">
          <w:rPr>
            <w:rStyle w:val="Hyperlink"/>
            <w:rFonts w:ascii="Times New Roman" w:hAnsi="Times New Roman" w:cs="Times New Roman"/>
            <w:sz w:val="24"/>
            <w:szCs w:val="24"/>
          </w:rPr>
          <w:t>https://doi.org/10.33545/26174693.2024.v8.i2Se.584</w:t>
        </w:r>
      </w:hyperlink>
    </w:p>
    <w:p w14:paraId="734F3485" w14:textId="77777777" w:rsidR="000E7ACC" w:rsidRDefault="00972CBE" w:rsidP="000E7ACC">
      <w:pPr>
        <w:pStyle w:val="NoSpacing"/>
        <w:numPr>
          <w:ilvl w:val="0"/>
          <w:numId w:val="1"/>
        </w:numPr>
        <w:spacing w:line="360" w:lineRule="auto"/>
        <w:ind w:left="502"/>
        <w:jc w:val="both"/>
        <w:rPr>
          <w:rFonts w:ascii="Times New Roman" w:hAnsi="Times New Roman" w:cs="Times New Roman"/>
          <w:sz w:val="24"/>
          <w:szCs w:val="24"/>
        </w:rPr>
      </w:pPr>
      <w:r w:rsidRPr="00972CBE">
        <w:rPr>
          <w:rFonts w:ascii="Times New Roman" w:hAnsi="Times New Roman" w:cs="Times New Roman"/>
          <w:sz w:val="24"/>
          <w:szCs w:val="24"/>
        </w:rPr>
        <w:t xml:space="preserve">Nandi, S., Kumar, M. and Manohar, M. (2011). Detection of Classical Swine Fever Virus </w:t>
      </w:r>
      <w:proofErr w:type="spellStart"/>
      <w:r w:rsidRPr="00972CBE">
        <w:rPr>
          <w:rFonts w:ascii="Times New Roman" w:hAnsi="Times New Roman" w:cs="Times New Roman"/>
          <w:sz w:val="24"/>
          <w:szCs w:val="24"/>
        </w:rPr>
        <w:t>Antingen</w:t>
      </w:r>
      <w:proofErr w:type="spellEnd"/>
      <w:r w:rsidRPr="00972CBE">
        <w:rPr>
          <w:rFonts w:ascii="Times New Roman" w:hAnsi="Times New Roman" w:cs="Times New Roman"/>
          <w:sz w:val="24"/>
          <w:szCs w:val="24"/>
        </w:rPr>
        <w:t xml:space="preserve"> in tissue samples by AGPT. Indian Veterinary Journal., 88(8):10.</w:t>
      </w:r>
    </w:p>
    <w:p w14:paraId="3B628E44" w14:textId="77777777" w:rsidR="000E7ACC" w:rsidRPr="000E7ACC" w:rsidRDefault="00972CBE" w:rsidP="000E7ACC">
      <w:pPr>
        <w:pStyle w:val="NoSpacing"/>
        <w:numPr>
          <w:ilvl w:val="0"/>
          <w:numId w:val="1"/>
        </w:numPr>
        <w:spacing w:line="360" w:lineRule="auto"/>
        <w:ind w:left="502"/>
        <w:jc w:val="both"/>
        <w:rPr>
          <w:rFonts w:ascii="Times New Roman" w:hAnsi="Times New Roman" w:cs="Times New Roman"/>
          <w:sz w:val="24"/>
          <w:szCs w:val="24"/>
        </w:rPr>
      </w:pPr>
      <w:r w:rsidRPr="000E7ACC">
        <w:rPr>
          <w:rFonts w:ascii="Times New Roman" w:hAnsi="Times New Roman" w:cs="Times New Roman"/>
          <w:sz w:val="24"/>
          <w:szCs w:val="24"/>
        </w:rPr>
        <w:lastRenderedPageBreak/>
        <w:t xml:space="preserve">Patil, S. S., Suresh, K. P., Hemadri, D., Hiremath, J., Sridevi, R., Krishnamoorthy, P., Bhatia, S., &amp; Roy, P. (2021). Spatial seroprevalence of classical swine fever in India. Tropical Animal Health and Production, 53(3), 389. </w:t>
      </w:r>
      <w:hyperlink r:id="rId24" w:history="1">
        <w:r w:rsidRPr="000E7ACC">
          <w:rPr>
            <w:rStyle w:val="Hyperlink"/>
            <w:rFonts w:ascii="Times New Roman" w:hAnsi="Times New Roman" w:cs="Times New Roman"/>
            <w:sz w:val="24"/>
            <w:szCs w:val="24"/>
          </w:rPr>
          <w:t>https://doi.org/10.1007/s11250-021-02829-6</w:t>
        </w:r>
      </w:hyperlink>
    </w:p>
    <w:p w14:paraId="48601D2B" w14:textId="77777777" w:rsidR="000E7ACC" w:rsidRPr="000E7ACC" w:rsidRDefault="00972CBE" w:rsidP="000E7ACC">
      <w:pPr>
        <w:pStyle w:val="NoSpacing"/>
        <w:numPr>
          <w:ilvl w:val="0"/>
          <w:numId w:val="1"/>
        </w:numPr>
        <w:spacing w:line="360" w:lineRule="auto"/>
        <w:ind w:left="502"/>
        <w:jc w:val="both"/>
        <w:rPr>
          <w:rFonts w:ascii="Times New Roman" w:hAnsi="Times New Roman" w:cs="Times New Roman"/>
          <w:sz w:val="24"/>
          <w:szCs w:val="24"/>
        </w:rPr>
      </w:pPr>
      <w:r w:rsidRPr="000E7ACC">
        <w:rPr>
          <w:rFonts w:ascii="Times New Roman" w:hAnsi="Times New Roman" w:cs="Times New Roman"/>
          <w:sz w:val="24"/>
          <w:szCs w:val="24"/>
        </w:rPr>
        <w:t xml:space="preserve">Sarma, D. K., Krishna, L., &amp; Mishri, J. (2008). Classical swine fever in pigs and its status in India: A review. Indian Journal of Animal Sciences, 78(12), 1311-1317. </w:t>
      </w:r>
      <w:hyperlink r:id="rId25" w:history="1">
        <w:r w:rsidRPr="000E7ACC">
          <w:rPr>
            <w:rStyle w:val="Hyperlink"/>
            <w:rFonts w:ascii="Times New Roman" w:hAnsi="Times New Roman" w:cs="Times New Roman"/>
            <w:sz w:val="24"/>
            <w:szCs w:val="24"/>
          </w:rPr>
          <w:t>https://doi.org/10.56093/ijans.v78i12.5044</w:t>
        </w:r>
      </w:hyperlink>
    </w:p>
    <w:p w14:paraId="054BBC1F" w14:textId="77777777" w:rsidR="000E7ACC" w:rsidRDefault="00972CBE" w:rsidP="000E7ACC">
      <w:pPr>
        <w:pStyle w:val="NoSpacing"/>
        <w:numPr>
          <w:ilvl w:val="0"/>
          <w:numId w:val="1"/>
        </w:numPr>
        <w:spacing w:line="360" w:lineRule="auto"/>
        <w:ind w:left="502"/>
        <w:jc w:val="both"/>
        <w:rPr>
          <w:rFonts w:ascii="Times New Roman" w:hAnsi="Times New Roman" w:cs="Times New Roman"/>
          <w:sz w:val="24"/>
          <w:szCs w:val="24"/>
        </w:rPr>
      </w:pPr>
      <w:r w:rsidRPr="000E7ACC">
        <w:rPr>
          <w:rFonts w:ascii="Times New Roman" w:hAnsi="Times New Roman" w:cs="Times New Roman"/>
          <w:sz w:val="24"/>
          <w:szCs w:val="24"/>
        </w:rPr>
        <w:t xml:space="preserve">Sarma, P.C. and Sarma, D.K. (1996). Localization of hog cholera virus antigen in tissues of infected piglets and rabbits by ELISA. Indian J. </w:t>
      </w:r>
      <w:proofErr w:type="spellStart"/>
      <w:r w:rsidRPr="000E7ACC">
        <w:rPr>
          <w:rFonts w:ascii="Times New Roman" w:hAnsi="Times New Roman" w:cs="Times New Roman"/>
          <w:sz w:val="24"/>
          <w:szCs w:val="24"/>
        </w:rPr>
        <w:t>Virol</w:t>
      </w:r>
      <w:proofErr w:type="spellEnd"/>
      <w:r w:rsidRPr="000E7ACC">
        <w:rPr>
          <w:rFonts w:ascii="Times New Roman" w:hAnsi="Times New Roman" w:cs="Times New Roman"/>
          <w:sz w:val="24"/>
          <w:szCs w:val="24"/>
        </w:rPr>
        <w:t xml:space="preserve">. </w:t>
      </w:r>
      <w:r w:rsidRPr="000E7ACC">
        <w:rPr>
          <w:rFonts w:ascii="Times New Roman" w:hAnsi="Times New Roman" w:cs="Times New Roman"/>
          <w:b/>
          <w:bCs/>
          <w:sz w:val="24"/>
          <w:szCs w:val="24"/>
        </w:rPr>
        <w:t>12</w:t>
      </w:r>
      <w:r w:rsidRPr="000E7ACC">
        <w:rPr>
          <w:rFonts w:ascii="Times New Roman" w:hAnsi="Times New Roman" w:cs="Times New Roman"/>
          <w:sz w:val="24"/>
          <w:szCs w:val="24"/>
        </w:rPr>
        <w:t xml:space="preserve"> (2): 105-108.</w:t>
      </w:r>
    </w:p>
    <w:p w14:paraId="3A805D9D" w14:textId="77777777" w:rsidR="000E7ACC" w:rsidRDefault="00972CBE" w:rsidP="000E7ACC">
      <w:pPr>
        <w:pStyle w:val="NoSpacing"/>
        <w:numPr>
          <w:ilvl w:val="0"/>
          <w:numId w:val="1"/>
        </w:numPr>
        <w:spacing w:line="360" w:lineRule="auto"/>
        <w:ind w:left="502"/>
        <w:jc w:val="both"/>
        <w:rPr>
          <w:rFonts w:ascii="Times New Roman" w:hAnsi="Times New Roman" w:cs="Times New Roman"/>
          <w:sz w:val="24"/>
          <w:szCs w:val="24"/>
        </w:rPr>
      </w:pPr>
      <w:r w:rsidRPr="000E7ACC">
        <w:rPr>
          <w:rFonts w:ascii="Times New Roman" w:hAnsi="Times New Roman" w:cs="Times New Roman"/>
          <w:sz w:val="24"/>
          <w:szCs w:val="24"/>
        </w:rPr>
        <w:t xml:space="preserve">Sarma, P.C. and Sarma, D.K. (1998). Isolation and identification of a virulent strain of hog cholera virus from field outbreaks. Indian J. </w:t>
      </w:r>
      <w:proofErr w:type="spellStart"/>
      <w:r w:rsidRPr="000E7ACC">
        <w:rPr>
          <w:rFonts w:ascii="Times New Roman" w:hAnsi="Times New Roman" w:cs="Times New Roman"/>
          <w:sz w:val="24"/>
          <w:szCs w:val="24"/>
        </w:rPr>
        <w:t>Virol</w:t>
      </w:r>
      <w:proofErr w:type="spellEnd"/>
      <w:r w:rsidRPr="000E7ACC">
        <w:rPr>
          <w:rFonts w:ascii="Times New Roman" w:hAnsi="Times New Roman" w:cs="Times New Roman"/>
          <w:sz w:val="24"/>
          <w:szCs w:val="24"/>
        </w:rPr>
        <w:t xml:space="preserve">. </w:t>
      </w:r>
      <w:r w:rsidRPr="000E7ACC">
        <w:rPr>
          <w:rFonts w:ascii="Times New Roman" w:hAnsi="Times New Roman" w:cs="Times New Roman"/>
          <w:b/>
          <w:bCs/>
          <w:sz w:val="24"/>
          <w:szCs w:val="24"/>
        </w:rPr>
        <w:t xml:space="preserve">14 </w:t>
      </w:r>
      <w:r w:rsidRPr="000E7ACC">
        <w:rPr>
          <w:rFonts w:ascii="Times New Roman" w:hAnsi="Times New Roman" w:cs="Times New Roman"/>
          <w:sz w:val="24"/>
          <w:szCs w:val="24"/>
        </w:rPr>
        <w:t>(1): 41-42.</w:t>
      </w:r>
    </w:p>
    <w:p w14:paraId="7E614381" w14:textId="77777777" w:rsidR="000E7ACC" w:rsidRPr="000E7ACC" w:rsidRDefault="00972CBE" w:rsidP="000E7ACC">
      <w:pPr>
        <w:pStyle w:val="NoSpacing"/>
        <w:numPr>
          <w:ilvl w:val="0"/>
          <w:numId w:val="1"/>
        </w:numPr>
        <w:spacing w:line="360" w:lineRule="auto"/>
        <w:ind w:left="502"/>
        <w:jc w:val="both"/>
        <w:rPr>
          <w:rFonts w:ascii="Times New Roman" w:hAnsi="Times New Roman" w:cs="Times New Roman"/>
          <w:sz w:val="24"/>
          <w:szCs w:val="24"/>
        </w:rPr>
      </w:pPr>
      <w:r w:rsidRPr="000E7ACC">
        <w:rPr>
          <w:rFonts w:ascii="Times New Roman" w:hAnsi="Times New Roman" w:cs="Times New Roman"/>
          <w:sz w:val="24"/>
          <w:szCs w:val="24"/>
        </w:rPr>
        <w:t xml:space="preserve">Simmonds, P., Becher, P., Bukh, J., Goold, E.A., Meyers, G., Monath, T., Muerhoff, S., Pletnev, A., Rico-Hesse, R., Smith, D.B. and Stapleton, J.K. (2017). </w:t>
      </w:r>
      <w:r w:rsidRPr="000E7ACC">
        <w:rPr>
          <w:rFonts w:ascii="Times New Roman" w:hAnsi="Times New Roman" w:cs="Times New Roman"/>
          <w:sz w:val="24"/>
          <w:szCs w:val="24"/>
        </w:rPr>
        <w:br/>
      </w:r>
      <w:hyperlink r:id="rId26" w:tgtFrame="_blank" w:history="1">
        <w:r w:rsidRPr="000E7ACC">
          <w:rPr>
            <w:rStyle w:val="Hyperlink"/>
            <w:rFonts w:ascii="Times New Roman" w:hAnsi="Times New Roman" w:cs="Times New Roman"/>
            <w:i/>
            <w:iCs/>
            <w:sz w:val="24"/>
            <w:szCs w:val="24"/>
            <w:u w:val="none"/>
          </w:rPr>
          <w:t>ICTV Virus Taxonomy Profile: Flaviviridae</w:t>
        </w:r>
      </w:hyperlink>
      <w:r w:rsidRPr="000E7ACC">
        <w:rPr>
          <w:rFonts w:ascii="Times New Roman" w:hAnsi="Times New Roman" w:cs="Times New Roman"/>
          <w:i/>
          <w:iCs/>
          <w:sz w:val="24"/>
          <w:szCs w:val="24"/>
        </w:rPr>
        <w:t>, </w:t>
      </w:r>
      <w:r w:rsidRPr="000E7ACC">
        <w:rPr>
          <w:rFonts w:ascii="Times New Roman" w:hAnsi="Times New Roman" w:cs="Times New Roman"/>
          <w:i/>
          <w:iCs/>
          <w:sz w:val="24"/>
          <w:szCs w:val="24"/>
          <w:lang w:val="en-IN"/>
        </w:rPr>
        <w:t xml:space="preserve">J Gen </w:t>
      </w:r>
      <w:proofErr w:type="spellStart"/>
      <w:r w:rsidRPr="000E7ACC">
        <w:rPr>
          <w:rFonts w:ascii="Times New Roman" w:hAnsi="Times New Roman" w:cs="Times New Roman"/>
          <w:i/>
          <w:iCs/>
          <w:sz w:val="24"/>
          <w:szCs w:val="24"/>
          <w:lang w:val="en-IN"/>
        </w:rPr>
        <w:t>Virol</w:t>
      </w:r>
      <w:proofErr w:type="spellEnd"/>
      <w:r w:rsidRPr="000E7ACC">
        <w:rPr>
          <w:rFonts w:ascii="Times New Roman" w:hAnsi="Times New Roman" w:cs="Times New Roman"/>
          <w:i/>
          <w:iCs/>
          <w:sz w:val="24"/>
          <w:szCs w:val="24"/>
          <w:lang w:val="en-IN"/>
        </w:rPr>
        <w:t>. </w:t>
      </w:r>
      <w:r w:rsidRPr="000E7ACC">
        <w:rPr>
          <w:rFonts w:ascii="Times New Roman" w:hAnsi="Times New Roman" w:cs="Times New Roman"/>
          <w:sz w:val="24"/>
          <w:szCs w:val="24"/>
          <w:lang w:val="en-IN"/>
        </w:rPr>
        <w:t>98(1): 2-3. PMCID: </w:t>
      </w:r>
      <w:hyperlink r:id="rId27" w:tgtFrame="_blank" w:history="1">
        <w:r w:rsidRPr="000E7ACC">
          <w:rPr>
            <w:rStyle w:val="Hyperlink"/>
            <w:rFonts w:ascii="Times New Roman" w:hAnsi="Times New Roman" w:cs="Times New Roman"/>
            <w:sz w:val="24"/>
            <w:szCs w:val="24"/>
            <w:lang w:val="en-IN"/>
          </w:rPr>
          <w:t>PMC5370391</w:t>
        </w:r>
      </w:hyperlink>
      <w:r w:rsidRPr="000E7ACC">
        <w:rPr>
          <w:rFonts w:ascii="Times New Roman" w:hAnsi="Times New Roman" w:cs="Times New Roman"/>
          <w:sz w:val="24"/>
          <w:szCs w:val="24"/>
          <w:lang w:val="en-IN"/>
        </w:rPr>
        <w:t>, DOI: </w:t>
      </w:r>
      <w:hyperlink r:id="rId28" w:tgtFrame="_blank" w:history="1">
        <w:r w:rsidRPr="000E7ACC">
          <w:rPr>
            <w:rStyle w:val="Hyperlink"/>
            <w:rFonts w:ascii="Times New Roman" w:hAnsi="Times New Roman" w:cs="Times New Roman"/>
            <w:sz w:val="24"/>
            <w:szCs w:val="24"/>
            <w:lang w:val="en-IN"/>
          </w:rPr>
          <w:t>10.1099/jgv.0.000672</w:t>
        </w:r>
      </w:hyperlink>
    </w:p>
    <w:p w14:paraId="7D2B2515" w14:textId="77777777" w:rsidR="000E7ACC" w:rsidRPr="000E7ACC" w:rsidRDefault="00972CBE" w:rsidP="000E7ACC">
      <w:pPr>
        <w:pStyle w:val="NoSpacing"/>
        <w:numPr>
          <w:ilvl w:val="0"/>
          <w:numId w:val="1"/>
        </w:numPr>
        <w:spacing w:line="360" w:lineRule="auto"/>
        <w:ind w:left="502"/>
        <w:jc w:val="both"/>
        <w:rPr>
          <w:rFonts w:ascii="Times New Roman" w:hAnsi="Times New Roman" w:cs="Times New Roman"/>
          <w:sz w:val="24"/>
          <w:szCs w:val="24"/>
        </w:rPr>
      </w:pPr>
      <w:r w:rsidRPr="000E7ACC">
        <w:rPr>
          <w:rFonts w:ascii="Times New Roman" w:hAnsi="Times New Roman" w:cs="Times New Roman"/>
          <w:sz w:val="24"/>
          <w:szCs w:val="24"/>
        </w:rPr>
        <w:t xml:space="preserve">Singh, V. K., Rajak, K. K., Kumar, A., &amp; Yadav, S. K. (2018). Classical swine fever in India: current status and future perspective. Tropical Animal Health and Production </w:t>
      </w:r>
      <w:hyperlink r:id="rId29" w:history="1">
        <w:r w:rsidRPr="000E7ACC">
          <w:rPr>
            <w:rStyle w:val="Hyperlink"/>
            <w:rFonts w:ascii="Times New Roman" w:hAnsi="Times New Roman" w:cs="Times New Roman"/>
            <w:sz w:val="24"/>
            <w:szCs w:val="24"/>
          </w:rPr>
          <w:t>https://doi.org/10.1007/s11250-018-1608-5</w:t>
        </w:r>
      </w:hyperlink>
    </w:p>
    <w:p w14:paraId="5728BC2D" w14:textId="77777777" w:rsidR="000E7ACC" w:rsidRDefault="00972CBE" w:rsidP="000E7ACC">
      <w:pPr>
        <w:pStyle w:val="NoSpacing"/>
        <w:numPr>
          <w:ilvl w:val="0"/>
          <w:numId w:val="1"/>
        </w:numPr>
        <w:spacing w:line="360" w:lineRule="auto"/>
        <w:ind w:left="502"/>
        <w:jc w:val="both"/>
        <w:rPr>
          <w:rFonts w:ascii="Times New Roman" w:hAnsi="Times New Roman" w:cs="Times New Roman"/>
          <w:sz w:val="24"/>
          <w:szCs w:val="24"/>
        </w:rPr>
      </w:pPr>
      <w:r w:rsidRPr="000E7ACC">
        <w:rPr>
          <w:rFonts w:ascii="Times New Roman" w:hAnsi="Times New Roman" w:cs="Times New Roman"/>
          <w:sz w:val="24"/>
          <w:szCs w:val="24"/>
        </w:rPr>
        <w:t xml:space="preserve">Snedecor, G. W., &amp; Cochran, W. G. (1994). Statistical methods (8th </w:t>
      </w:r>
      <w:proofErr w:type="spellStart"/>
      <w:r w:rsidRPr="000E7ACC">
        <w:rPr>
          <w:rFonts w:ascii="Times New Roman" w:hAnsi="Times New Roman" w:cs="Times New Roman"/>
          <w:sz w:val="24"/>
          <w:szCs w:val="24"/>
        </w:rPr>
        <w:t>edn</w:t>
      </w:r>
      <w:proofErr w:type="spellEnd"/>
      <w:r w:rsidRPr="000E7ACC">
        <w:rPr>
          <w:rFonts w:ascii="Times New Roman" w:hAnsi="Times New Roman" w:cs="Times New Roman"/>
          <w:sz w:val="24"/>
          <w:szCs w:val="24"/>
        </w:rPr>
        <w:t>.). Iowa State University Press, UK.</w:t>
      </w:r>
    </w:p>
    <w:p w14:paraId="4D882A0F" w14:textId="371FB9D4" w:rsidR="00972CBE" w:rsidRPr="000E7ACC" w:rsidRDefault="00972CBE" w:rsidP="000E7ACC">
      <w:pPr>
        <w:pStyle w:val="NoSpacing"/>
        <w:numPr>
          <w:ilvl w:val="0"/>
          <w:numId w:val="1"/>
        </w:numPr>
        <w:spacing w:line="360" w:lineRule="auto"/>
        <w:ind w:left="502"/>
        <w:jc w:val="both"/>
        <w:rPr>
          <w:rFonts w:ascii="Times New Roman" w:hAnsi="Times New Roman" w:cs="Times New Roman"/>
          <w:sz w:val="24"/>
          <w:szCs w:val="24"/>
        </w:rPr>
      </w:pPr>
      <w:r w:rsidRPr="000E7ACC">
        <w:rPr>
          <w:rFonts w:ascii="Times New Roman" w:hAnsi="Times New Roman" w:cs="Times New Roman"/>
          <w:sz w:val="24"/>
          <w:szCs w:val="24"/>
        </w:rPr>
        <w:t xml:space="preserve">Wang, L., Madera, R., Li, Y., McVey, D. S., Drolet, B. S., &amp; Shi, J. (2020). Recent Advances in the Diagnosis of Classical Swine Fever and Future Perspectives. Pathogens, 9(8), 658. </w:t>
      </w:r>
      <w:hyperlink r:id="rId30" w:history="1">
        <w:r w:rsidRPr="000E7ACC">
          <w:rPr>
            <w:rStyle w:val="Hyperlink"/>
            <w:rFonts w:ascii="Times New Roman" w:hAnsi="Times New Roman" w:cs="Times New Roman"/>
            <w:sz w:val="24"/>
            <w:szCs w:val="24"/>
          </w:rPr>
          <w:t>https://doi.org/10.3390/pathogens9080658</w:t>
        </w:r>
      </w:hyperlink>
    </w:p>
    <w:p w14:paraId="789B11E1" w14:textId="77777777" w:rsidR="005A521D" w:rsidRDefault="005A521D"/>
    <w:p w14:paraId="1BFF2A05" w14:textId="77777777" w:rsidR="00335DDA" w:rsidRDefault="00335DDA" w:rsidP="006D7F0E">
      <w:pPr>
        <w:jc w:val="both"/>
        <w:rPr>
          <w:rFonts w:ascii="Times New Roman" w:hAnsi="Times New Roman" w:cs="Times New Roman"/>
          <w:sz w:val="24"/>
          <w:szCs w:val="24"/>
        </w:rPr>
      </w:pPr>
    </w:p>
    <w:p w14:paraId="239A3692" w14:textId="77777777" w:rsidR="00335DDA" w:rsidRDefault="00335DDA" w:rsidP="006D7F0E">
      <w:pPr>
        <w:jc w:val="both"/>
        <w:rPr>
          <w:rFonts w:ascii="Times New Roman" w:hAnsi="Times New Roman" w:cs="Times New Roman"/>
          <w:sz w:val="24"/>
          <w:szCs w:val="24"/>
        </w:rPr>
      </w:pPr>
    </w:p>
    <w:sectPr w:rsidR="00335DDA" w:rsidSect="00AE26CD">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3FAD4" w14:textId="77777777" w:rsidR="001122C7" w:rsidRDefault="001122C7" w:rsidP="00EF16A7">
      <w:pPr>
        <w:spacing w:after="0" w:line="240" w:lineRule="auto"/>
      </w:pPr>
      <w:r>
        <w:separator/>
      </w:r>
    </w:p>
  </w:endnote>
  <w:endnote w:type="continuationSeparator" w:id="0">
    <w:p w14:paraId="00400664" w14:textId="77777777" w:rsidR="001122C7" w:rsidRDefault="001122C7" w:rsidP="00EF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CE684" w14:textId="77777777" w:rsidR="00EF16A7" w:rsidRDefault="00EF1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231A" w14:textId="77777777" w:rsidR="00EF16A7" w:rsidRDefault="00EF1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783A3" w14:textId="77777777" w:rsidR="00EF16A7" w:rsidRDefault="00EF1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16BAF" w14:textId="77777777" w:rsidR="001122C7" w:rsidRDefault="001122C7" w:rsidP="00EF16A7">
      <w:pPr>
        <w:spacing w:after="0" w:line="240" w:lineRule="auto"/>
      </w:pPr>
      <w:r>
        <w:separator/>
      </w:r>
    </w:p>
  </w:footnote>
  <w:footnote w:type="continuationSeparator" w:id="0">
    <w:p w14:paraId="54BA3EF0" w14:textId="77777777" w:rsidR="001122C7" w:rsidRDefault="001122C7" w:rsidP="00EF1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59A87" w14:textId="51DEA23A" w:rsidR="00EF16A7" w:rsidRDefault="001122C7">
    <w:pPr>
      <w:pStyle w:val="Header"/>
    </w:pPr>
    <w:r>
      <w:rPr>
        <w:noProof/>
      </w:rPr>
      <w:pict w14:anchorId="2839F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9744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F8186" w14:textId="63F0B568" w:rsidR="00EF16A7" w:rsidRDefault="001122C7">
    <w:pPr>
      <w:pStyle w:val="Header"/>
    </w:pPr>
    <w:r>
      <w:rPr>
        <w:noProof/>
      </w:rPr>
      <w:pict w14:anchorId="7D8B4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9744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63FCD" w14:textId="2D8EBDC3" w:rsidR="00EF16A7" w:rsidRDefault="001122C7">
    <w:pPr>
      <w:pStyle w:val="Header"/>
    </w:pPr>
    <w:r>
      <w:rPr>
        <w:noProof/>
      </w:rPr>
      <w:pict w14:anchorId="6418F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9744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245C1"/>
    <w:multiLevelType w:val="hybridMultilevel"/>
    <w:tmpl w:val="A2CE5A50"/>
    <w:lvl w:ilvl="0" w:tplc="0409000F">
      <w:start w:val="1"/>
      <w:numFmt w:val="decimal"/>
      <w:lvlText w:val="%1."/>
      <w:lvlJc w:val="left"/>
      <w:pPr>
        <w:ind w:left="720"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E0F0859"/>
    <w:multiLevelType w:val="hybridMultilevel"/>
    <w:tmpl w:val="272E5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D93A74"/>
    <w:multiLevelType w:val="multilevel"/>
    <w:tmpl w:val="8C00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702FD"/>
    <w:multiLevelType w:val="hybridMultilevel"/>
    <w:tmpl w:val="A2CE5A50"/>
    <w:lvl w:ilvl="0" w:tplc="FFFFFFFF">
      <w:start w:val="1"/>
      <w:numFmt w:val="decimal"/>
      <w:lvlText w:val="%1."/>
      <w:lvlJc w:val="left"/>
      <w:pPr>
        <w:ind w:left="720"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70205B8A"/>
    <w:multiLevelType w:val="multilevel"/>
    <w:tmpl w:val="0574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C23CC2"/>
    <w:multiLevelType w:val="multilevel"/>
    <w:tmpl w:val="4FAE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585"/>
    <w:rsid w:val="00014565"/>
    <w:rsid w:val="0001476E"/>
    <w:rsid w:val="00024736"/>
    <w:rsid w:val="000275B6"/>
    <w:rsid w:val="00033CF4"/>
    <w:rsid w:val="00035EB8"/>
    <w:rsid w:val="000372DC"/>
    <w:rsid w:val="00043258"/>
    <w:rsid w:val="000445B9"/>
    <w:rsid w:val="00063ABE"/>
    <w:rsid w:val="000C1097"/>
    <w:rsid w:val="000C153E"/>
    <w:rsid w:val="000C6D34"/>
    <w:rsid w:val="000D2D17"/>
    <w:rsid w:val="000E6648"/>
    <w:rsid w:val="000E7ACC"/>
    <w:rsid w:val="000F1818"/>
    <w:rsid w:val="000F56D3"/>
    <w:rsid w:val="001027A2"/>
    <w:rsid w:val="001122C7"/>
    <w:rsid w:val="0011620D"/>
    <w:rsid w:val="001221DE"/>
    <w:rsid w:val="00124278"/>
    <w:rsid w:val="00134F23"/>
    <w:rsid w:val="0013776B"/>
    <w:rsid w:val="00140D4E"/>
    <w:rsid w:val="00155520"/>
    <w:rsid w:val="00157F22"/>
    <w:rsid w:val="00170779"/>
    <w:rsid w:val="00172022"/>
    <w:rsid w:val="0018322A"/>
    <w:rsid w:val="00192AC4"/>
    <w:rsid w:val="001A0CD8"/>
    <w:rsid w:val="001A782C"/>
    <w:rsid w:val="001B4BB4"/>
    <w:rsid w:val="001B5075"/>
    <w:rsid w:val="001C12DA"/>
    <w:rsid w:val="001C2991"/>
    <w:rsid w:val="001D2175"/>
    <w:rsid w:val="001F21C1"/>
    <w:rsid w:val="00211DC6"/>
    <w:rsid w:val="0021353D"/>
    <w:rsid w:val="00213940"/>
    <w:rsid w:val="002311D8"/>
    <w:rsid w:val="00237039"/>
    <w:rsid w:val="00255BCE"/>
    <w:rsid w:val="002666E3"/>
    <w:rsid w:val="0029178D"/>
    <w:rsid w:val="00294736"/>
    <w:rsid w:val="002B1DF7"/>
    <w:rsid w:val="002B288A"/>
    <w:rsid w:val="002B7E92"/>
    <w:rsid w:val="002C3608"/>
    <w:rsid w:val="002D4F3A"/>
    <w:rsid w:val="002F2A14"/>
    <w:rsid w:val="0030138E"/>
    <w:rsid w:val="003077A2"/>
    <w:rsid w:val="00307DCE"/>
    <w:rsid w:val="00324846"/>
    <w:rsid w:val="00330875"/>
    <w:rsid w:val="00333E5A"/>
    <w:rsid w:val="00335DDA"/>
    <w:rsid w:val="003368ED"/>
    <w:rsid w:val="00343100"/>
    <w:rsid w:val="0034436A"/>
    <w:rsid w:val="003523BE"/>
    <w:rsid w:val="00353C02"/>
    <w:rsid w:val="0035497F"/>
    <w:rsid w:val="00356AF9"/>
    <w:rsid w:val="003612D7"/>
    <w:rsid w:val="003761A1"/>
    <w:rsid w:val="00397BD7"/>
    <w:rsid w:val="003A527E"/>
    <w:rsid w:val="003A741A"/>
    <w:rsid w:val="003B6628"/>
    <w:rsid w:val="003C3B82"/>
    <w:rsid w:val="003F2B5D"/>
    <w:rsid w:val="003F2C02"/>
    <w:rsid w:val="004008F9"/>
    <w:rsid w:val="0042470D"/>
    <w:rsid w:val="004401E6"/>
    <w:rsid w:val="004402BB"/>
    <w:rsid w:val="0044372C"/>
    <w:rsid w:val="004527AB"/>
    <w:rsid w:val="004823A7"/>
    <w:rsid w:val="00493674"/>
    <w:rsid w:val="004949C8"/>
    <w:rsid w:val="004A1ED0"/>
    <w:rsid w:val="004A3567"/>
    <w:rsid w:val="004B0032"/>
    <w:rsid w:val="004B63BD"/>
    <w:rsid w:val="004C725F"/>
    <w:rsid w:val="004D4815"/>
    <w:rsid w:val="004D76BA"/>
    <w:rsid w:val="004E1F53"/>
    <w:rsid w:val="004E2688"/>
    <w:rsid w:val="0051432A"/>
    <w:rsid w:val="00532FEE"/>
    <w:rsid w:val="00534B10"/>
    <w:rsid w:val="00551241"/>
    <w:rsid w:val="00553575"/>
    <w:rsid w:val="00560628"/>
    <w:rsid w:val="00572882"/>
    <w:rsid w:val="0057299F"/>
    <w:rsid w:val="00580B71"/>
    <w:rsid w:val="00597A74"/>
    <w:rsid w:val="005A1023"/>
    <w:rsid w:val="005A521D"/>
    <w:rsid w:val="005B331D"/>
    <w:rsid w:val="005C7642"/>
    <w:rsid w:val="005D0216"/>
    <w:rsid w:val="005D4FE1"/>
    <w:rsid w:val="005E0B4F"/>
    <w:rsid w:val="005F1A30"/>
    <w:rsid w:val="005F216A"/>
    <w:rsid w:val="005F5EE0"/>
    <w:rsid w:val="006053BC"/>
    <w:rsid w:val="00606CEB"/>
    <w:rsid w:val="00611AEB"/>
    <w:rsid w:val="0062397E"/>
    <w:rsid w:val="00623BCF"/>
    <w:rsid w:val="006425CB"/>
    <w:rsid w:val="0065021B"/>
    <w:rsid w:val="00664379"/>
    <w:rsid w:val="0068175C"/>
    <w:rsid w:val="006A09FC"/>
    <w:rsid w:val="006D5C29"/>
    <w:rsid w:val="006D7F0E"/>
    <w:rsid w:val="006E2229"/>
    <w:rsid w:val="006E2576"/>
    <w:rsid w:val="006E4592"/>
    <w:rsid w:val="006E5446"/>
    <w:rsid w:val="006F2A36"/>
    <w:rsid w:val="006F6F8F"/>
    <w:rsid w:val="0072557F"/>
    <w:rsid w:val="00737943"/>
    <w:rsid w:val="00741E9E"/>
    <w:rsid w:val="00750BF3"/>
    <w:rsid w:val="007515A3"/>
    <w:rsid w:val="0077106A"/>
    <w:rsid w:val="0079452E"/>
    <w:rsid w:val="0079652E"/>
    <w:rsid w:val="007A369F"/>
    <w:rsid w:val="007A4D63"/>
    <w:rsid w:val="007A58AF"/>
    <w:rsid w:val="007B58F8"/>
    <w:rsid w:val="007C3A82"/>
    <w:rsid w:val="007E0770"/>
    <w:rsid w:val="00810519"/>
    <w:rsid w:val="00816290"/>
    <w:rsid w:val="00820075"/>
    <w:rsid w:val="00843367"/>
    <w:rsid w:val="00851C56"/>
    <w:rsid w:val="008544E2"/>
    <w:rsid w:val="00861FA9"/>
    <w:rsid w:val="00873175"/>
    <w:rsid w:val="00884394"/>
    <w:rsid w:val="008849D6"/>
    <w:rsid w:val="00885F49"/>
    <w:rsid w:val="008A0316"/>
    <w:rsid w:val="008A2888"/>
    <w:rsid w:val="008A2E82"/>
    <w:rsid w:val="008A5E80"/>
    <w:rsid w:val="008B06B4"/>
    <w:rsid w:val="008B2E37"/>
    <w:rsid w:val="008C2386"/>
    <w:rsid w:val="008E0AA6"/>
    <w:rsid w:val="00905C0D"/>
    <w:rsid w:val="00905E26"/>
    <w:rsid w:val="00910D47"/>
    <w:rsid w:val="0092105E"/>
    <w:rsid w:val="0094309D"/>
    <w:rsid w:val="00947CE1"/>
    <w:rsid w:val="009652AA"/>
    <w:rsid w:val="00972CBE"/>
    <w:rsid w:val="00972F8F"/>
    <w:rsid w:val="009744E6"/>
    <w:rsid w:val="009777BE"/>
    <w:rsid w:val="00983373"/>
    <w:rsid w:val="009974C2"/>
    <w:rsid w:val="009A2E25"/>
    <w:rsid w:val="009E0FC0"/>
    <w:rsid w:val="009E43E1"/>
    <w:rsid w:val="009E7D0F"/>
    <w:rsid w:val="009F30A6"/>
    <w:rsid w:val="009F7364"/>
    <w:rsid w:val="00A40648"/>
    <w:rsid w:val="00A507F1"/>
    <w:rsid w:val="00A5482A"/>
    <w:rsid w:val="00A61E25"/>
    <w:rsid w:val="00A64C13"/>
    <w:rsid w:val="00A701EC"/>
    <w:rsid w:val="00A71BDA"/>
    <w:rsid w:val="00A8190D"/>
    <w:rsid w:val="00A946CB"/>
    <w:rsid w:val="00AB22C9"/>
    <w:rsid w:val="00AB6444"/>
    <w:rsid w:val="00AE1C80"/>
    <w:rsid w:val="00AE26CD"/>
    <w:rsid w:val="00AF09D5"/>
    <w:rsid w:val="00AF280A"/>
    <w:rsid w:val="00AF7F6F"/>
    <w:rsid w:val="00B1188F"/>
    <w:rsid w:val="00B126FF"/>
    <w:rsid w:val="00B26D23"/>
    <w:rsid w:val="00B35520"/>
    <w:rsid w:val="00B3743E"/>
    <w:rsid w:val="00B428BB"/>
    <w:rsid w:val="00B537F8"/>
    <w:rsid w:val="00B54EC6"/>
    <w:rsid w:val="00B67340"/>
    <w:rsid w:val="00B71A07"/>
    <w:rsid w:val="00B77ADD"/>
    <w:rsid w:val="00B80720"/>
    <w:rsid w:val="00BB5E18"/>
    <w:rsid w:val="00BB6B72"/>
    <w:rsid w:val="00BC0194"/>
    <w:rsid w:val="00BC029A"/>
    <w:rsid w:val="00BD2F35"/>
    <w:rsid w:val="00BE3C85"/>
    <w:rsid w:val="00BE65E3"/>
    <w:rsid w:val="00C206E6"/>
    <w:rsid w:val="00C33265"/>
    <w:rsid w:val="00C45DC3"/>
    <w:rsid w:val="00C51DA8"/>
    <w:rsid w:val="00C54585"/>
    <w:rsid w:val="00C667F1"/>
    <w:rsid w:val="00C86F7C"/>
    <w:rsid w:val="00C95C22"/>
    <w:rsid w:val="00CA594A"/>
    <w:rsid w:val="00CD0FFA"/>
    <w:rsid w:val="00CE0C7F"/>
    <w:rsid w:val="00CE306F"/>
    <w:rsid w:val="00CF50D7"/>
    <w:rsid w:val="00D04B3E"/>
    <w:rsid w:val="00D21511"/>
    <w:rsid w:val="00D474FE"/>
    <w:rsid w:val="00D7182B"/>
    <w:rsid w:val="00D856CD"/>
    <w:rsid w:val="00DA3159"/>
    <w:rsid w:val="00DB6411"/>
    <w:rsid w:val="00DC1F9E"/>
    <w:rsid w:val="00DD10CB"/>
    <w:rsid w:val="00DD1B7F"/>
    <w:rsid w:val="00DE6957"/>
    <w:rsid w:val="00E00FC2"/>
    <w:rsid w:val="00E05CD6"/>
    <w:rsid w:val="00E10853"/>
    <w:rsid w:val="00E226DE"/>
    <w:rsid w:val="00E26A4A"/>
    <w:rsid w:val="00E35CEB"/>
    <w:rsid w:val="00E47C0A"/>
    <w:rsid w:val="00E5243B"/>
    <w:rsid w:val="00E60942"/>
    <w:rsid w:val="00E72B93"/>
    <w:rsid w:val="00E77A8E"/>
    <w:rsid w:val="00E90451"/>
    <w:rsid w:val="00EC6C0D"/>
    <w:rsid w:val="00ED10C8"/>
    <w:rsid w:val="00ED34BE"/>
    <w:rsid w:val="00ED6C4F"/>
    <w:rsid w:val="00EF16A7"/>
    <w:rsid w:val="00EF35A1"/>
    <w:rsid w:val="00EF5824"/>
    <w:rsid w:val="00EF60A0"/>
    <w:rsid w:val="00F00960"/>
    <w:rsid w:val="00F10C80"/>
    <w:rsid w:val="00F1775D"/>
    <w:rsid w:val="00F326D1"/>
    <w:rsid w:val="00F334C9"/>
    <w:rsid w:val="00F372C7"/>
    <w:rsid w:val="00F438EC"/>
    <w:rsid w:val="00F462D2"/>
    <w:rsid w:val="00F64191"/>
    <w:rsid w:val="00F66D83"/>
    <w:rsid w:val="00F70660"/>
    <w:rsid w:val="00F71437"/>
    <w:rsid w:val="00F80DC6"/>
    <w:rsid w:val="00F85308"/>
    <w:rsid w:val="00FA3512"/>
    <w:rsid w:val="00FA3B92"/>
    <w:rsid w:val="00FE152D"/>
    <w:rsid w:val="00FE514A"/>
    <w:rsid w:val="00FF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12766B"/>
  <w15:docId w15:val="{F1022630-6B1F-4FAD-9201-31C5557B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8F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8F9"/>
    <w:pPr>
      <w:spacing w:after="0" w:line="240" w:lineRule="auto"/>
    </w:pPr>
    <w:rPr>
      <w:rFonts w:eastAsiaTheme="minorEastAsia"/>
    </w:rPr>
  </w:style>
  <w:style w:type="paragraph" w:styleId="BodyText2">
    <w:name w:val="Body Text 2"/>
    <w:basedOn w:val="Normal"/>
    <w:link w:val="BodyText2Char"/>
    <w:uiPriority w:val="99"/>
    <w:unhideWhenUsed/>
    <w:rsid w:val="004008F9"/>
    <w:pPr>
      <w:spacing w:after="120" w:line="480" w:lineRule="auto"/>
    </w:pPr>
  </w:style>
  <w:style w:type="character" w:customStyle="1" w:styleId="BodyText2Char">
    <w:name w:val="Body Text 2 Char"/>
    <w:basedOn w:val="DefaultParagraphFont"/>
    <w:link w:val="BodyText2"/>
    <w:uiPriority w:val="99"/>
    <w:rsid w:val="004008F9"/>
    <w:rPr>
      <w:rFonts w:eastAsiaTheme="minorEastAsia"/>
    </w:rPr>
  </w:style>
  <w:style w:type="paragraph" w:styleId="Title">
    <w:name w:val="Title"/>
    <w:basedOn w:val="Normal"/>
    <w:link w:val="TitleChar"/>
    <w:qFormat/>
    <w:rsid w:val="0030138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0138E"/>
    <w:rPr>
      <w:rFonts w:ascii="Times New Roman" w:eastAsia="Times New Roman" w:hAnsi="Times New Roman" w:cs="Times New Roman"/>
      <w:b/>
      <w:bCs/>
      <w:sz w:val="24"/>
      <w:szCs w:val="24"/>
    </w:rPr>
  </w:style>
  <w:style w:type="paragraph" w:styleId="ListParagraph">
    <w:name w:val="List Paragraph"/>
    <w:basedOn w:val="Normal"/>
    <w:uiPriority w:val="34"/>
    <w:qFormat/>
    <w:rsid w:val="00A61E25"/>
    <w:pPr>
      <w:ind w:left="720"/>
      <w:contextualSpacing/>
    </w:pPr>
  </w:style>
  <w:style w:type="character" w:styleId="Hyperlink">
    <w:name w:val="Hyperlink"/>
    <w:basedOn w:val="DefaultParagraphFont"/>
    <w:uiPriority w:val="99"/>
    <w:unhideWhenUsed/>
    <w:rsid w:val="00810519"/>
    <w:rPr>
      <w:color w:val="0000FF" w:themeColor="hyperlink"/>
      <w:u w:val="single"/>
    </w:rPr>
  </w:style>
  <w:style w:type="character" w:customStyle="1" w:styleId="UnresolvedMention">
    <w:name w:val="Unresolved Mention"/>
    <w:basedOn w:val="DefaultParagraphFont"/>
    <w:uiPriority w:val="99"/>
    <w:semiHidden/>
    <w:unhideWhenUsed/>
    <w:rsid w:val="0021353D"/>
    <w:rPr>
      <w:color w:val="605E5C"/>
      <w:shd w:val="clear" w:color="auto" w:fill="E1DFDD"/>
    </w:rPr>
  </w:style>
  <w:style w:type="paragraph" w:styleId="Header">
    <w:name w:val="header"/>
    <w:basedOn w:val="Normal"/>
    <w:link w:val="HeaderChar"/>
    <w:uiPriority w:val="99"/>
    <w:unhideWhenUsed/>
    <w:rsid w:val="00EF1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6A7"/>
    <w:rPr>
      <w:rFonts w:eastAsiaTheme="minorEastAsia"/>
    </w:rPr>
  </w:style>
  <w:style w:type="paragraph" w:styleId="Footer">
    <w:name w:val="footer"/>
    <w:basedOn w:val="Normal"/>
    <w:link w:val="FooterChar"/>
    <w:uiPriority w:val="99"/>
    <w:unhideWhenUsed/>
    <w:rsid w:val="00EF1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6A7"/>
    <w:rPr>
      <w:rFonts w:eastAsiaTheme="minorEastAsia"/>
    </w:rPr>
  </w:style>
  <w:style w:type="paragraph" w:styleId="NormalWeb">
    <w:name w:val="Normal (Web)"/>
    <w:basedOn w:val="Normal"/>
    <w:uiPriority w:val="99"/>
    <w:unhideWhenUsed/>
    <w:rsid w:val="00FE514A"/>
    <w:pPr>
      <w:spacing w:before="75" w:after="75" w:line="240" w:lineRule="auto"/>
    </w:pPr>
    <w:rPr>
      <w:rFonts w:ascii="Times New Roman" w:hAnsi="Times New Roman" w:cs="Times New Roman"/>
      <w:sz w:val="24"/>
      <w:szCs w:val="24"/>
    </w:rPr>
  </w:style>
  <w:style w:type="character" w:styleId="Strong">
    <w:name w:val="Strong"/>
    <w:basedOn w:val="DefaultParagraphFont"/>
    <w:uiPriority w:val="22"/>
    <w:qFormat/>
    <w:rsid w:val="004B00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ndianjournals.com/ijor.aspx?target=ijor:ijcmiid&amp;type=home" TargetMode="External"/><Relationship Id="rId18" Type="http://schemas.openxmlformats.org/officeDocument/2006/relationships/hyperlink" Target="https://doi.org/10.1016/j.virusres.2020.198151" TargetMode="External"/><Relationship Id="rId26" Type="http://schemas.openxmlformats.org/officeDocument/2006/relationships/hyperlink" Target="http://jgv.microbiologyresearch.org/content/journal/jgv/10.1099/jgv.0.000672" TargetMode="External"/><Relationship Id="rId3" Type="http://schemas.openxmlformats.org/officeDocument/2006/relationships/settings" Target="settings.xml"/><Relationship Id="rId21" Type="http://schemas.openxmlformats.org/officeDocument/2006/relationships/hyperlink" Target="https://doi.org/10.3389/fvets.2025.169458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ahd.gov.in/sites/default/files/2023-06/Annual2019-20.pdf" TargetMode="External"/><Relationship Id="rId25" Type="http://schemas.openxmlformats.org/officeDocument/2006/relationships/hyperlink" Target="https://doi.org/10.56093/ijans.v78i12.5044" TargetMode="External"/><Relationship Id="rId2" Type="http://schemas.openxmlformats.org/officeDocument/2006/relationships/styles" Target="styles.xml"/><Relationship Id="rId16" Type="http://schemas.openxmlformats.org/officeDocument/2006/relationships/hyperlink" Target="https://dahd.nic.in/division/provisional-key-results-20th-livestock-census" TargetMode="External"/><Relationship Id="rId20" Type="http://schemas.openxmlformats.org/officeDocument/2006/relationships/hyperlink" Target="https://pubmed.ncbi.nlm.nih.gov/10189722/" TargetMode="External"/><Relationship Id="rId29" Type="http://schemas.openxmlformats.org/officeDocument/2006/relationships/hyperlink" Target="https://doi.org/10.1007/s11250-018-160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7/s11250-021-02829-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S0034-5288(18)34911-7" TargetMode="External"/><Relationship Id="rId23" Type="http://schemas.openxmlformats.org/officeDocument/2006/relationships/hyperlink" Target="https://doi.org/10.33545/26174693.2024.v8.i2Se.584" TargetMode="External"/><Relationship Id="rId28" Type="http://schemas.openxmlformats.org/officeDocument/2006/relationships/hyperlink" Target="https://doi.org/10.1099/jgv.0.000672" TargetMode="External"/><Relationship Id="rId10" Type="http://schemas.openxmlformats.org/officeDocument/2006/relationships/footer" Target="footer2.xml"/><Relationship Id="rId19" Type="http://schemas.openxmlformats.org/officeDocument/2006/relationships/hyperlink" Target="https://doi.org/10.1136/vr.116.11.28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etarhiv.vef.unizg.hr/index.php/VA/article/view/VA.71.6.1" TargetMode="External"/><Relationship Id="rId22" Type="http://schemas.openxmlformats.org/officeDocument/2006/relationships/hyperlink" Target="https://doi.org/10.56093/ijans.v82i11.25034" TargetMode="External"/><Relationship Id="rId27" Type="http://schemas.openxmlformats.org/officeDocument/2006/relationships/hyperlink" Target="https://pmc.ncbi.nlm.nih.gov/articles/PMC5370391/" TargetMode="External"/><Relationship Id="rId30" Type="http://schemas.openxmlformats.org/officeDocument/2006/relationships/hyperlink" Target="https://doi.org/10.3390/pathogens9080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14</Pages>
  <Words>4444</Words>
  <Characters>25331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CPU 1130</cp:lastModifiedBy>
  <cp:revision>274</cp:revision>
  <cp:lastPrinted>2025-12-11T13:57:00Z</cp:lastPrinted>
  <dcterms:created xsi:type="dcterms:W3CDTF">2025-12-11T12:27:00Z</dcterms:created>
  <dcterms:modified xsi:type="dcterms:W3CDTF">2025-12-22T04:28:00Z</dcterms:modified>
</cp:coreProperties>
</file>