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B4" w:rsidRDefault="005A6AB4" w:rsidP="005843E4">
      <w:pPr>
        <w:pStyle w:val="MainTitle"/>
        <w:rPr>
          <w:rStyle w:val="TitleChar"/>
          <w:rFonts w:ascii="Arial" w:hAnsi="Arial" w:cs="Arial"/>
          <w:sz w:val="20"/>
          <w:szCs w:val="20"/>
        </w:rPr>
      </w:pPr>
      <w:r w:rsidRPr="005A6AB4">
        <w:rPr>
          <w:rStyle w:val="TitleChar"/>
          <w:rFonts w:ascii="Arial" w:hAnsi="Arial" w:cs="Arial"/>
          <w:sz w:val="20"/>
          <w:szCs w:val="20"/>
        </w:rPr>
        <w:t>Original Research Article</w:t>
      </w:r>
    </w:p>
    <w:p w:rsidR="005A6AB4" w:rsidRDefault="005A6AB4" w:rsidP="005843E4">
      <w:pPr>
        <w:pStyle w:val="MainTitle"/>
        <w:rPr>
          <w:rStyle w:val="TitleChar"/>
          <w:rFonts w:ascii="Arial" w:hAnsi="Arial" w:cs="Arial"/>
          <w:sz w:val="20"/>
          <w:szCs w:val="20"/>
        </w:rPr>
      </w:pPr>
    </w:p>
    <w:p w:rsidR="00AB223E" w:rsidRPr="00D44004" w:rsidRDefault="00AB223E" w:rsidP="005843E4">
      <w:pPr>
        <w:pStyle w:val="MainTitle"/>
        <w:rPr>
          <w:rStyle w:val="TitleChar"/>
          <w:rFonts w:ascii="Arial" w:hAnsi="Arial" w:cs="Arial"/>
          <w:sz w:val="20"/>
          <w:szCs w:val="20"/>
        </w:rPr>
      </w:pPr>
      <w:r w:rsidRPr="00AB223E">
        <w:rPr>
          <w:rStyle w:val="TitleChar"/>
          <w:rFonts w:ascii="Arial" w:hAnsi="Arial" w:cs="Arial"/>
          <w:sz w:val="20"/>
          <w:szCs w:val="20"/>
          <w:highlight w:val="yellow"/>
        </w:rPr>
        <w:t>Exposure to Chemical Substances as an Independent Cause of Nonalcoholic Fatty Liver Disease in Workers who are in Direct Contact with the Coke Production Process and the Purification of Raw Coke Gas</w:t>
      </w:r>
    </w:p>
    <w:p w:rsidR="00A258C3" w:rsidRPr="00D44004" w:rsidRDefault="00A258C3" w:rsidP="00441B6F">
      <w:pPr>
        <w:pStyle w:val="Author"/>
        <w:spacing w:line="240" w:lineRule="auto"/>
        <w:jc w:val="both"/>
        <w:rPr>
          <w:rFonts w:ascii="Arial" w:hAnsi="Arial" w:cs="Arial"/>
          <w:sz w:val="20"/>
          <w:lang w:val="bs-Latn-BA"/>
        </w:rPr>
      </w:pPr>
    </w:p>
    <w:p w:rsidR="00AD0438" w:rsidRPr="00D44004" w:rsidRDefault="00AD0438" w:rsidP="00AD0438">
      <w:pPr>
        <w:pStyle w:val="Affiliation"/>
        <w:spacing w:after="0"/>
        <w:rPr>
          <w:rFonts w:ascii="Arial" w:hAnsi="Arial" w:cs="Arial"/>
          <w:i/>
          <w:lang w:val="bs-Latn-BA"/>
        </w:rPr>
      </w:pPr>
    </w:p>
    <w:p w:rsidR="00B01FCD" w:rsidRPr="00D44004" w:rsidRDefault="00E94AB0" w:rsidP="00441B6F">
      <w:pPr>
        <w:pStyle w:val="Copyright"/>
        <w:spacing w:after="0" w:line="240" w:lineRule="auto"/>
        <w:jc w:val="both"/>
        <w:rPr>
          <w:rFonts w:ascii="Arial" w:hAnsi="Arial" w:cs="Arial"/>
          <w:sz w:val="20"/>
          <w:lang w:val="bs-Latn-BA"/>
        </w:rPr>
        <w:sectPr w:rsidR="00B01FCD" w:rsidRPr="00D44004" w:rsidSect="00B973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lang w:val="bs-Latn-BA"/>
        </w:rPr>
      </w:r>
      <w:r>
        <w:rPr>
          <w:rFonts w:ascii="Arial" w:hAnsi="Arial" w:cs="Arial"/>
          <w:sz w:val="20"/>
          <w:lang w:val="bs-Latn-BA"/>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44004">
        <w:rPr>
          <w:rFonts w:ascii="Arial" w:hAnsi="Arial" w:cs="Arial"/>
          <w:sz w:val="20"/>
          <w:lang w:val="bs-Latn-BA"/>
        </w:rPr>
        <w:t>.</w:t>
      </w:r>
    </w:p>
    <w:p w:rsidR="00B01FCD" w:rsidRPr="00D44004" w:rsidRDefault="00B01FCD" w:rsidP="00441B6F">
      <w:pPr>
        <w:pStyle w:val="AbstHead"/>
        <w:spacing w:after="0"/>
        <w:jc w:val="both"/>
        <w:rPr>
          <w:rFonts w:ascii="Arial" w:hAnsi="Arial" w:cs="Arial"/>
          <w:sz w:val="20"/>
          <w:lang w:val="bs-Latn-BA"/>
        </w:rPr>
      </w:pPr>
      <w:r w:rsidRPr="00D44004">
        <w:rPr>
          <w:rFonts w:ascii="Arial" w:hAnsi="Arial" w:cs="Arial"/>
          <w:sz w:val="20"/>
          <w:lang w:val="bs-Latn-BA"/>
        </w:rPr>
        <w:t>ABSTRACT</w:t>
      </w:r>
      <w:r w:rsidR="00C70DBC" w:rsidRPr="00D44004">
        <w:rPr>
          <w:rFonts w:ascii="Arial" w:hAnsi="Arial" w:cs="Arial"/>
          <w:sz w:val="20"/>
          <w:lang w:val="bs-Latn-BA"/>
        </w:rPr>
        <w:t xml:space="preserve"> </w:t>
      </w:r>
    </w:p>
    <w:p w:rsidR="00790ADA" w:rsidRPr="00D44004" w:rsidRDefault="00790ADA" w:rsidP="00441B6F">
      <w:pPr>
        <w:pStyle w:val="AbstHead"/>
        <w:spacing w:after="0"/>
        <w:jc w:val="both"/>
        <w:rPr>
          <w:rFonts w:ascii="Arial" w:hAnsi="Arial" w:cs="Arial"/>
          <w:sz w:val="20"/>
          <w:lang w:val="bs-Latn-B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08"/>
      </w:tblGrid>
      <w:tr w:rsidR="00296529" w:rsidRPr="00D44004" w:rsidTr="00963715">
        <w:trPr>
          <w:trHeight w:val="4004"/>
          <w:jc w:val="right"/>
        </w:trPr>
        <w:tc>
          <w:tcPr>
            <w:tcW w:w="10908" w:type="dxa"/>
            <w:shd w:val="clear" w:color="auto" w:fill="F2F2F2"/>
            <w:vAlign w:val="center"/>
          </w:tcPr>
          <w:p w:rsidR="009E3506" w:rsidRDefault="00C0333F" w:rsidP="00C0333F">
            <w:pPr>
              <w:pStyle w:val="paragraph"/>
              <w:spacing w:before="0" w:beforeAutospacing="0" w:after="0" w:afterAutospacing="0"/>
              <w:jc w:val="both"/>
              <w:textAlignment w:val="baseline"/>
              <w:rPr>
                <w:rStyle w:val="normaltextrun"/>
                <w:rFonts w:ascii="Arial" w:hAnsi="Arial" w:cs="Arial"/>
                <w:sz w:val="20"/>
                <w:szCs w:val="20"/>
              </w:rPr>
            </w:pPr>
            <w:r w:rsidRPr="00D44004">
              <w:rPr>
                <w:rFonts w:ascii="Arial" w:eastAsia="Calibri" w:hAnsi="Arial" w:cs="Arial"/>
                <w:b/>
                <w:bCs/>
                <w:sz w:val="20"/>
                <w:szCs w:val="20"/>
                <w:lang w:val="bs-Latn-BA"/>
              </w:rPr>
              <w:t>Background</w:t>
            </w:r>
            <w:r w:rsidRPr="00D44004">
              <w:rPr>
                <w:rFonts w:ascii="Arial" w:eastAsia="Calibri" w:hAnsi="Arial" w:cs="Arial"/>
                <w:sz w:val="20"/>
                <w:szCs w:val="20"/>
                <w:lang w:val="bs-Latn-BA"/>
              </w:rPr>
              <w:t>:</w:t>
            </w:r>
            <w:r w:rsidR="00A2644E">
              <w:rPr>
                <w:rFonts w:ascii="Arial" w:eastAsia="Calibri" w:hAnsi="Arial" w:cs="Arial"/>
                <w:sz w:val="20"/>
                <w:szCs w:val="20"/>
                <w:lang w:val="bs-Latn-BA"/>
              </w:rPr>
              <w:t xml:space="preserve"> </w:t>
            </w:r>
            <w:r w:rsidR="00963715">
              <w:rPr>
                <w:rStyle w:val="normaltextrun"/>
              </w:rPr>
              <w:t>A</w:t>
            </w:r>
            <w:r w:rsidRPr="00D44004">
              <w:rPr>
                <w:rStyle w:val="normaltextrun"/>
                <w:rFonts w:ascii="Arial" w:hAnsi="Arial" w:cs="Arial"/>
                <w:sz w:val="20"/>
                <w:szCs w:val="20"/>
              </w:rPr>
              <w:t xml:space="preserve"> doubt that occupational medicine specialists face is whether exposure to solvents is an independent risk factor for non-alcoholic fatty liver disease. </w:t>
            </w:r>
          </w:p>
          <w:p w:rsidR="00E94AB0" w:rsidRPr="00D44004" w:rsidRDefault="00E94AB0" w:rsidP="00E94AB0">
            <w:pPr>
              <w:pStyle w:val="paragraph"/>
              <w:spacing w:before="0" w:beforeAutospacing="0" w:after="0" w:afterAutospacing="0"/>
              <w:jc w:val="both"/>
              <w:textAlignment w:val="baseline"/>
              <w:rPr>
                <w:rFonts w:ascii="Arial" w:hAnsi="Arial" w:cs="Arial"/>
                <w:sz w:val="20"/>
                <w:szCs w:val="20"/>
              </w:rPr>
            </w:pPr>
            <w:r w:rsidRPr="00E94AB0">
              <w:rPr>
                <w:rStyle w:val="normaltextrun"/>
                <w:rFonts w:ascii="Arial" w:hAnsi="Arial" w:cs="Arial"/>
                <w:b/>
                <w:sz w:val="20"/>
              </w:rPr>
              <w:t>Aim:</w:t>
            </w:r>
            <w:r w:rsidRPr="00E94AB0">
              <w:rPr>
                <w:rStyle w:val="normaltextrun"/>
                <w:rFonts w:ascii="Arial" w:hAnsi="Arial" w:cs="Arial"/>
                <w:sz w:val="20"/>
              </w:rPr>
              <w:t xml:space="preserve"> The present study </w:t>
            </w:r>
            <w:r w:rsidRPr="00D44004">
              <w:rPr>
                <w:rStyle w:val="normaltextrun"/>
                <w:rFonts w:ascii="Arial" w:hAnsi="Arial" w:cs="Arial"/>
                <w:sz w:val="20"/>
                <w:szCs w:val="20"/>
              </w:rPr>
              <w:t>investigate</w:t>
            </w:r>
            <w:r>
              <w:rPr>
                <w:rStyle w:val="normaltextrun"/>
                <w:rFonts w:ascii="Arial" w:hAnsi="Arial" w:cs="Arial"/>
                <w:sz w:val="20"/>
                <w:szCs w:val="20"/>
              </w:rPr>
              <w:t>s</w:t>
            </w:r>
            <w:r w:rsidRPr="00D44004">
              <w:rPr>
                <w:rStyle w:val="normaltextrun"/>
                <w:rFonts w:ascii="Arial" w:hAnsi="Arial" w:cs="Arial"/>
                <w:sz w:val="20"/>
                <w:szCs w:val="20"/>
              </w:rPr>
              <w:t xml:space="preserve"> the connection between the length of work experience (exposure) at workplaces that are exposed </w:t>
            </w:r>
            <w:r>
              <w:rPr>
                <w:rStyle w:val="normaltextrun"/>
                <w:rFonts w:ascii="Arial" w:hAnsi="Arial" w:cs="Arial"/>
                <w:sz w:val="20"/>
                <w:szCs w:val="20"/>
              </w:rPr>
              <w:t xml:space="preserve">to </w:t>
            </w:r>
            <w:r w:rsidRPr="00D44004">
              <w:rPr>
                <w:rStyle w:val="normaltextrun"/>
                <w:rFonts w:ascii="Arial" w:hAnsi="Arial" w:cs="Arial"/>
                <w:sz w:val="20"/>
                <w:szCs w:val="20"/>
              </w:rPr>
              <w:t>organic volatile substances with eventual changes in the morphological structure of the liver parenchyma or laboratory parameters of liver function, and to investigate whether organic volatile substances</w:t>
            </w:r>
            <w:r>
              <w:rPr>
                <w:rStyle w:val="normaltextrun"/>
                <w:rFonts w:ascii="Arial" w:hAnsi="Arial" w:cs="Arial"/>
                <w:sz w:val="20"/>
                <w:szCs w:val="20"/>
              </w:rPr>
              <w:t>,</w:t>
            </w:r>
            <w:r w:rsidRPr="00D44004">
              <w:rPr>
                <w:rStyle w:val="normaltextrun"/>
                <w:rFonts w:ascii="Arial" w:hAnsi="Arial" w:cs="Arial"/>
                <w:sz w:val="20"/>
                <w:szCs w:val="20"/>
              </w:rPr>
              <w:t xml:space="preserve"> as an independent factor can lead to liver steatosis or changes in laboratory parameters of liver function.</w:t>
            </w:r>
            <w:r w:rsidRPr="00D44004">
              <w:rPr>
                <w:rStyle w:val="eop"/>
                <w:rFonts w:ascii="Arial" w:hAnsi="Arial" w:cs="Arial"/>
                <w:sz w:val="20"/>
                <w:szCs w:val="20"/>
              </w:rPr>
              <w:t> </w:t>
            </w:r>
          </w:p>
          <w:p w:rsidR="00E94AB0" w:rsidRPr="00D44004" w:rsidRDefault="00E94AB0" w:rsidP="00C0333F">
            <w:pPr>
              <w:pStyle w:val="paragraph"/>
              <w:spacing w:before="0" w:beforeAutospacing="0" w:after="0" w:afterAutospacing="0"/>
              <w:jc w:val="both"/>
              <w:textAlignment w:val="baseline"/>
              <w:rPr>
                <w:rStyle w:val="normaltextrun"/>
                <w:rFonts w:ascii="Arial" w:hAnsi="Arial" w:cs="Arial"/>
                <w:sz w:val="20"/>
                <w:szCs w:val="20"/>
              </w:rPr>
            </w:pPr>
          </w:p>
          <w:p w:rsidR="009E3506" w:rsidRPr="00D44004" w:rsidRDefault="009E3506" w:rsidP="00C0333F">
            <w:pPr>
              <w:pStyle w:val="paragraph"/>
              <w:spacing w:before="0" w:beforeAutospacing="0" w:after="0" w:afterAutospacing="0"/>
              <w:jc w:val="both"/>
              <w:textAlignment w:val="baseline"/>
              <w:rPr>
                <w:rStyle w:val="normaltextrun"/>
                <w:rFonts w:ascii="Arial" w:hAnsi="Arial" w:cs="Arial"/>
                <w:sz w:val="20"/>
                <w:szCs w:val="20"/>
              </w:rPr>
            </w:pPr>
            <w:r w:rsidRPr="00D44004">
              <w:rPr>
                <w:rFonts w:ascii="Arial" w:eastAsia="Calibri" w:hAnsi="Arial" w:cs="Arial"/>
                <w:b/>
                <w:bCs/>
                <w:sz w:val="20"/>
                <w:szCs w:val="20"/>
                <w:lang w:val="bs-Latn-BA"/>
              </w:rPr>
              <w:t>Methods:</w:t>
            </w:r>
            <w:r w:rsidR="00A2644E">
              <w:rPr>
                <w:rFonts w:ascii="Arial" w:eastAsia="Calibri" w:hAnsi="Arial" w:cs="Arial"/>
                <w:b/>
                <w:bCs/>
                <w:sz w:val="20"/>
                <w:szCs w:val="20"/>
                <w:lang w:val="bs-Latn-BA"/>
              </w:rPr>
              <w:t xml:space="preserve"> </w:t>
            </w:r>
            <w:r w:rsidR="00C0333F" w:rsidRPr="00D44004">
              <w:rPr>
                <w:rStyle w:val="normaltextrun"/>
                <w:rFonts w:ascii="Arial" w:hAnsi="Arial" w:cs="Arial"/>
                <w:sz w:val="20"/>
                <w:szCs w:val="20"/>
              </w:rPr>
              <w:t xml:space="preserve">A prospective study was conducted from January to April 2023. and included </w:t>
            </w:r>
            <w:r w:rsidR="00C0333F" w:rsidRPr="00A2644E">
              <w:rPr>
                <w:rStyle w:val="normaltextrun"/>
                <w:rFonts w:ascii="Arial" w:hAnsi="Arial" w:cs="Arial"/>
                <w:sz w:val="20"/>
                <w:szCs w:val="20"/>
                <w:highlight w:val="yellow"/>
              </w:rPr>
              <w:t>6</w:t>
            </w:r>
            <w:r w:rsidR="00A2644E" w:rsidRPr="00A2644E">
              <w:rPr>
                <w:rStyle w:val="normaltextrun"/>
                <w:rFonts w:ascii="Arial" w:hAnsi="Arial" w:cs="Arial"/>
                <w:sz w:val="20"/>
                <w:szCs w:val="20"/>
                <w:highlight w:val="yellow"/>
              </w:rPr>
              <w:t>2</w:t>
            </w:r>
            <w:r w:rsidR="00C0333F" w:rsidRPr="00D44004">
              <w:rPr>
                <w:rStyle w:val="normaltextrun"/>
                <w:rFonts w:ascii="Arial" w:hAnsi="Arial" w:cs="Arial"/>
                <w:sz w:val="20"/>
                <w:szCs w:val="20"/>
              </w:rPr>
              <w:t xml:space="preserve"> coke industry workers who were divided into two groups of 31 workers each (experimental with workers exposed to organic volatile substances at the workplace and control with workers who </w:t>
            </w:r>
            <w:r w:rsidR="00E94AB0">
              <w:rPr>
                <w:rStyle w:val="normaltextrun"/>
                <w:rFonts w:ascii="Arial" w:hAnsi="Arial" w:cs="Arial"/>
                <w:sz w:val="20"/>
                <w:szCs w:val="20"/>
              </w:rPr>
              <w:t xml:space="preserve">were </w:t>
            </w:r>
            <w:r w:rsidR="00C0333F" w:rsidRPr="00D44004">
              <w:rPr>
                <w:rStyle w:val="normaltextrun"/>
                <w:rFonts w:ascii="Arial" w:hAnsi="Arial" w:cs="Arial"/>
                <w:sz w:val="20"/>
                <w:szCs w:val="20"/>
              </w:rPr>
              <w:t xml:space="preserve">not exposed). Laboratory parameters of liver function were monitored, as well as ultrasound findings of liver parenchyma in coke industry workers undergoing examination. Exclusion criteria were known history of liver disease, blood transfusion, alcohol consumption and diabetes mellitus. </w:t>
            </w:r>
          </w:p>
          <w:p w:rsidR="008C3931" w:rsidRPr="00963715" w:rsidRDefault="009E3506" w:rsidP="00963715">
            <w:pPr>
              <w:pStyle w:val="paragraph"/>
              <w:spacing w:before="0" w:beforeAutospacing="0" w:after="0" w:afterAutospacing="0"/>
              <w:jc w:val="both"/>
              <w:textAlignment w:val="baseline"/>
              <w:rPr>
                <w:rFonts w:ascii="Arial" w:hAnsi="Arial" w:cs="Arial"/>
                <w:sz w:val="20"/>
                <w:szCs w:val="20"/>
              </w:rPr>
            </w:pPr>
            <w:r w:rsidRPr="00D44004">
              <w:rPr>
                <w:rFonts w:ascii="Arial" w:eastAsia="Calibri" w:hAnsi="Arial" w:cs="Arial"/>
                <w:b/>
                <w:bCs/>
                <w:sz w:val="20"/>
                <w:szCs w:val="20"/>
                <w:lang w:val="bs-Latn-BA"/>
              </w:rPr>
              <w:t>Results:</w:t>
            </w:r>
            <w:r w:rsidR="00A2644E">
              <w:rPr>
                <w:rFonts w:ascii="Arial" w:eastAsia="Calibri" w:hAnsi="Arial" w:cs="Arial"/>
                <w:b/>
                <w:bCs/>
                <w:sz w:val="20"/>
                <w:szCs w:val="20"/>
                <w:lang w:val="bs-Latn-BA"/>
              </w:rPr>
              <w:t xml:space="preserve"> </w:t>
            </w:r>
            <w:r w:rsidR="00C0333F" w:rsidRPr="00D44004">
              <w:rPr>
                <w:rStyle w:val="normaltextrun"/>
                <w:rFonts w:ascii="Arial" w:hAnsi="Arial" w:cs="Arial"/>
                <w:sz w:val="20"/>
                <w:szCs w:val="20"/>
              </w:rPr>
              <w:t>Changes in laboratory parameters of liver function and ultrasound findings of liver steatosis were found with high statistical significance in the workers of the experimental group, for which no statistically significant association with elevated values of lipid status was found. With diabetes as an exclusion factor and the insignificant prevalence of hypertension in the examined workers, it can be concluded that metabolic syndrome is not related to our results. During the correlation analysis</w:t>
            </w:r>
            <w:r w:rsidR="00E94AB0">
              <w:rPr>
                <w:rStyle w:val="normaltextrun"/>
                <w:rFonts w:ascii="Arial" w:hAnsi="Arial" w:cs="Arial"/>
                <w:sz w:val="20"/>
                <w:szCs w:val="20"/>
              </w:rPr>
              <w:t>,</w:t>
            </w:r>
            <w:r w:rsidR="00C0333F" w:rsidRPr="00D44004">
              <w:rPr>
                <w:rStyle w:val="normaltextrun"/>
                <w:rFonts w:ascii="Arial" w:hAnsi="Arial" w:cs="Arial"/>
                <w:sz w:val="20"/>
                <w:szCs w:val="20"/>
              </w:rPr>
              <w:t xml:space="preserve"> it can be concluded that organic volatile substances are an independent cause and trigger for fatty infiltration of the </w:t>
            </w:r>
            <w:r w:rsidR="00E94AB0">
              <w:rPr>
                <w:rStyle w:val="normaltextrun"/>
                <w:rFonts w:ascii="Arial" w:hAnsi="Arial" w:cs="Arial"/>
                <w:sz w:val="20"/>
                <w:szCs w:val="20"/>
              </w:rPr>
              <w:t>liver parenchyma</w:t>
            </w:r>
            <w:r w:rsidR="00C0333F" w:rsidRPr="00D44004">
              <w:rPr>
                <w:rStyle w:val="normaltextrun"/>
                <w:rFonts w:ascii="Arial" w:hAnsi="Arial" w:cs="Arial"/>
                <w:sz w:val="20"/>
                <w:szCs w:val="20"/>
              </w:rPr>
              <w:t xml:space="preserve"> and changes in the laboratory findings of liver function parameters. </w:t>
            </w:r>
            <w:r w:rsidR="00C0333F" w:rsidRPr="00C56EA0">
              <w:rPr>
                <w:rStyle w:val="normaltextrun"/>
                <w:rFonts w:ascii="Arial" w:hAnsi="Arial" w:cs="Arial"/>
                <w:b/>
                <w:sz w:val="20"/>
                <w:szCs w:val="20"/>
              </w:rPr>
              <w:t>Conclusions:</w:t>
            </w:r>
            <w:r w:rsidR="00C0333F" w:rsidRPr="00D44004">
              <w:rPr>
                <w:rStyle w:val="normaltextrun"/>
                <w:rFonts w:ascii="Arial" w:hAnsi="Arial" w:cs="Arial"/>
                <w:sz w:val="20"/>
                <w:szCs w:val="20"/>
              </w:rPr>
              <w:t xml:space="preserve"> Exposure to organic volatile substances at the workplace as an independent factor causes liver steatosis with elevated values of laboratory parameters of liver function and it can be said that it is an independent cause of non-alcoholic fatty liver disease.</w:t>
            </w:r>
            <w:r w:rsidR="00C0333F" w:rsidRPr="00D44004">
              <w:rPr>
                <w:rStyle w:val="eop"/>
                <w:rFonts w:ascii="Arial" w:hAnsi="Arial" w:cs="Arial"/>
                <w:sz w:val="20"/>
                <w:szCs w:val="20"/>
              </w:rPr>
              <w:t> </w:t>
            </w:r>
          </w:p>
        </w:tc>
      </w:tr>
    </w:tbl>
    <w:p w:rsidR="00636EB2" w:rsidRPr="00D44004" w:rsidRDefault="00636EB2" w:rsidP="00441B6F">
      <w:pPr>
        <w:pStyle w:val="Body"/>
        <w:spacing w:after="0"/>
        <w:rPr>
          <w:rFonts w:ascii="Arial" w:hAnsi="Arial" w:cs="Arial"/>
          <w:i/>
          <w:lang w:val="bs-Latn-BA"/>
        </w:rPr>
      </w:pPr>
    </w:p>
    <w:p w:rsidR="00505F06" w:rsidRPr="00D44004" w:rsidRDefault="00C70DBC" w:rsidP="00441B6F">
      <w:pPr>
        <w:pStyle w:val="Body"/>
        <w:spacing w:after="0"/>
        <w:rPr>
          <w:rFonts w:ascii="Arial" w:hAnsi="Arial" w:cs="Arial"/>
          <w:i/>
          <w:lang w:val="bs-Latn-BA"/>
        </w:rPr>
      </w:pPr>
      <w:r w:rsidRPr="00D44004">
        <w:rPr>
          <w:rFonts w:ascii="Arial" w:hAnsi="Arial" w:cs="Arial"/>
          <w:i/>
          <w:lang w:val="bs-Latn-BA"/>
        </w:rPr>
        <w:t xml:space="preserve">Keywords: </w:t>
      </w:r>
      <w:r w:rsidR="0071373D" w:rsidRPr="00D44004">
        <w:rPr>
          <w:rFonts w:ascii="Arial" w:hAnsi="Arial" w:cs="Arial"/>
        </w:rPr>
        <w:t>coke industry, occupational exposure, non-alcoholic fatty liver disease</w:t>
      </w:r>
      <w:r w:rsidR="002C01DA">
        <w:rPr>
          <w:rFonts w:ascii="Arial" w:hAnsi="Arial" w:cs="Arial"/>
        </w:rPr>
        <w:t xml:space="preserve">, </w:t>
      </w:r>
      <w:r w:rsidR="0071373D" w:rsidRPr="00D44004">
        <w:rPr>
          <w:rFonts w:ascii="Arial" w:hAnsi="Arial" w:cs="Arial"/>
          <w:i/>
          <w:lang w:val="bs-Latn-BA"/>
        </w:rPr>
        <w:t xml:space="preserve"> </w:t>
      </w:r>
      <w:r w:rsidR="002C01DA" w:rsidRPr="002C01DA">
        <w:rPr>
          <w:rFonts w:ascii="Arial" w:hAnsi="Arial" w:cs="Arial"/>
          <w:i/>
          <w:lang w:val="bs-Latn-BA"/>
        </w:rPr>
        <w:t>volatile substances</w:t>
      </w:r>
    </w:p>
    <w:p w:rsidR="005E58FF" w:rsidRPr="00D44004" w:rsidRDefault="005E58FF" w:rsidP="00441B6F">
      <w:pPr>
        <w:pStyle w:val="AbstHead"/>
        <w:spacing w:after="0"/>
        <w:jc w:val="both"/>
        <w:rPr>
          <w:rFonts w:ascii="Arial" w:hAnsi="Arial" w:cs="Arial"/>
          <w:sz w:val="20"/>
          <w:lang w:val="bs-Latn-BA"/>
        </w:rPr>
      </w:pPr>
    </w:p>
    <w:p w:rsidR="007F7B32" w:rsidRPr="00D44004" w:rsidRDefault="00902823" w:rsidP="00441B6F">
      <w:pPr>
        <w:pStyle w:val="AbstHead"/>
        <w:spacing w:after="0"/>
        <w:jc w:val="both"/>
        <w:rPr>
          <w:rFonts w:ascii="Arial" w:hAnsi="Arial" w:cs="Arial"/>
          <w:sz w:val="20"/>
          <w:lang w:val="bs-Latn-BA"/>
        </w:rPr>
      </w:pPr>
      <w:r w:rsidRPr="00D44004">
        <w:rPr>
          <w:rFonts w:ascii="Arial" w:hAnsi="Arial" w:cs="Arial"/>
          <w:sz w:val="20"/>
          <w:lang w:val="bs-Latn-BA"/>
        </w:rPr>
        <w:t xml:space="preserve">1. </w:t>
      </w:r>
      <w:r w:rsidR="00B01FCD" w:rsidRPr="00D44004">
        <w:rPr>
          <w:rFonts w:ascii="Arial" w:hAnsi="Arial" w:cs="Arial"/>
          <w:sz w:val="20"/>
          <w:lang w:val="bs-Latn-BA"/>
        </w:rPr>
        <w:t>INTRODUCTION</w:t>
      </w:r>
    </w:p>
    <w:p w:rsidR="00790ADA" w:rsidRPr="00D44004" w:rsidRDefault="00790ADA" w:rsidP="00441B6F">
      <w:pPr>
        <w:pStyle w:val="AbstHead"/>
        <w:spacing w:after="0"/>
        <w:jc w:val="both"/>
        <w:rPr>
          <w:rFonts w:ascii="Arial" w:hAnsi="Arial" w:cs="Arial"/>
          <w:sz w:val="20"/>
          <w:lang w:val="bs-Latn-BA"/>
        </w:rPr>
      </w:pPr>
    </w:p>
    <w:p w:rsidR="003C13AA" w:rsidRPr="00D44004" w:rsidRDefault="003C13AA" w:rsidP="003C13AA">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Possible toxic damage to the liver due to exposure to organic solvents at the workplace is a question that occupational medicine specialists and experts in the field of occupational safety often encounter and to which it is difficult to give a simple answer [1</w:t>
      </w:r>
      <w:r w:rsidR="00740F09">
        <w:rPr>
          <w:rStyle w:val="normaltextrun"/>
          <w:rFonts w:ascii="Arial" w:hAnsi="Arial" w:cs="Arial"/>
          <w:sz w:val="20"/>
          <w:szCs w:val="20"/>
        </w:rPr>
        <w:t>,19</w:t>
      </w:r>
      <w:r w:rsidRPr="00D44004">
        <w:rPr>
          <w:rStyle w:val="normaltextrun"/>
          <w:rFonts w:ascii="Arial" w:hAnsi="Arial" w:cs="Arial"/>
          <w:sz w:val="20"/>
          <w:szCs w:val="20"/>
        </w:rPr>
        <w:t>]. In addition to being a diagnostic problem due to numerous environmental factors and lifestyle habits that simultaneously affect liver function, it also has a public health aspect because organic solvents are still one of the most common chemical factors of occupational exposure in the world, including in Bosnia and Herzegovina. Evidence that organic solvents can have hepatotoxic effects under conditions of occupational exposure is based on biochemical, epidemiological and experimental evidence. Most solvents, after entering the body, are subject to intensive metabolism in the liver, where high concentrations of solvents and their metabolites can be observed. </w:t>
      </w:r>
      <w:r w:rsidRPr="00D44004">
        <w:rPr>
          <w:rStyle w:val="eop"/>
          <w:rFonts w:ascii="Arial" w:hAnsi="Arial" w:cs="Arial"/>
          <w:sz w:val="20"/>
          <w:szCs w:val="20"/>
        </w:rPr>
        <w:t> </w:t>
      </w:r>
    </w:p>
    <w:p w:rsidR="003C13AA" w:rsidRPr="00D44004" w:rsidRDefault="003C13AA"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As a substitute, various aromatic and aliphatic hydrocarbons are in use today, mostly benzene derivatives, usually in a mixture with alcohols, ketones and esters, depending on the purpose of the product, or the required technical characteristics of a particular technological process. In recent times, these solvents are increasingly being replaced by water or hydrophilic compounds, but complete replacement is not always possible due to production requirements.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Although it is considered that the above indicators are primarily a reflection of recent exposure, according to some scientists, elevated values of liver enzymes may also indicate previous exposure to hepatotoxic substances from the work </w:t>
      </w:r>
      <w:r w:rsidRPr="00D44004">
        <w:rPr>
          <w:rStyle w:val="normaltextrun"/>
          <w:rFonts w:ascii="Arial" w:hAnsi="Arial" w:cs="Arial"/>
          <w:sz w:val="20"/>
          <w:szCs w:val="20"/>
        </w:rPr>
        <w:lastRenderedPageBreak/>
        <w:t>environment, which has since stopped or greatly decreased [2]. However, the question is whether with long-term exposure to solvents in concentrations that do not significantly exceed the GVI, these tests can detect subtle cholestatic and metabolic changes that may be early signs of toxic liver damage [3].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As one of the possible early indicators of liver damage, it has been proposed to determine the concentration of bile acids in the serum, which could be particularly significant in detecting people who, for several reasons, are particularly sensitive to the hepatotoxic effect of solvents [4]. For several years, exposure to hepatotoxic substances from the work and living environment has been associated with a newer clinical entity called "non-alcoholic steatohepatitis" (NASH) [5].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Twelve years ago, more intensive research began on the previously noted similarities of clinical, laboratory and histological features of NASH and liver damage described in workers chronically exposed to organic solvents [6]. Chronic occupational exposure to solvents is very often accompanied by an asymptomatic increase in the activity of liver enzymes and</w:t>
      </w:r>
      <w:r w:rsidR="00E94AB0">
        <w:rPr>
          <w:rStyle w:val="normaltextrun"/>
          <w:rFonts w:ascii="Arial" w:hAnsi="Arial" w:cs="Arial"/>
          <w:sz w:val="20"/>
          <w:szCs w:val="20"/>
        </w:rPr>
        <w:t>,</w:t>
      </w:r>
      <w:r w:rsidRPr="00D44004">
        <w:rPr>
          <w:rStyle w:val="normaltextrun"/>
          <w:rFonts w:ascii="Arial" w:hAnsi="Arial" w:cs="Arial"/>
          <w:sz w:val="20"/>
          <w:szCs w:val="20"/>
        </w:rPr>
        <w:t xml:space="preserve"> as in NASH, also with higher values of ALT compared to AST, in contrast to liver damage caused by alcohol consumption [7]. Common histopathological features are </w:t>
      </w:r>
      <w:proofErr w:type="spellStart"/>
      <w:r w:rsidRPr="00D44004">
        <w:rPr>
          <w:rStyle w:val="normaltextrun"/>
          <w:rFonts w:ascii="Arial" w:hAnsi="Arial" w:cs="Arial"/>
          <w:sz w:val="20"/>
          <w:szCs w:val="20"/>
        </w:rPr>
        <w:t>macrovesicular</w:t>
      </w:r>
      <w:proofErr w:type="spellEnd"/>
      <w:r w:rsidRPr="00D44004">
        <w:rPr>
          <w:rStyle w:val="normaltextrun"/>
          <w:rFonts w:ascii="Arial" w:hAnsi="Arial" w:cs="Arial"/>
          <w:sz w:val="20"/>
          <w:szCs w:val="20"/>
        </w:rPr>
        <w:t xml:space="preserve"> fatty changes, hepatocyte degeneration and different levels of inflammatory changes [8,9]. However, it is not known whether, even with exposure to solvents, the changes can progress to fibrosis and cirrhosis of the liver, which is possible in NASH.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aim of the work was to investigate whether there is a connection between exposure to organic volatile substances at the workplace with morphological changes in the liver parenchyma and elevated values of liver enzymes and parameters of liver function (steatosis/NAFLD), to investigate the connection between the length of work experience (exposure) at workplaces that are exposed organic volatile substances with eventual changes in the morphological structure of the liver parenchyma or laboratory parameters of liver function, and to investigate whether organic volatile substances as an independent factor can lead to liver steatosis or changes in laboratory parameters of liver function.</w:t>
      </w:r>
      <w:r w:rsidRPr="00D44004">
        <w:rPr>
          <w:rStyle w:val="eop"/>
          <w:rFonts w:ascii="Arial" w:hAnsi="Arial" w:cs="Arial"/>
          <w:sz w:val="20"/>
          <w:szCs w:val="20"/>
        </w:rPr>
        <w:t> </w:t>
      </w:r>
    </w:p>
    <w:p w:rsidR="005E58FF" w:rsidRPr="00D44004" w:rsidRDefault="005E58FF" w:rsidP="005E58FF">
      <w:pPr>
        <w:pStyle w:val="Text"/>
        <w:rPr>
          <w:rFonts w:ascii="Arial" w:hAnsi="Arial" w:cs="Arial"/>
          <w:sz w:val="20"/>
        </w:rPr>
      </w:pPr>
    </w:p>
    <w:p w:rsidR="0071148D" w:rsidRDefault="0071148D" w:rsidP="00C56EA0">
      <w:pPr>
        <w:pStyle w:val="AbstHead"/>
        <w:spacing w:after="0"/>
        <w:jc w:val="both"/>
        <w:rPr>
          <w:rFonts w:ascii="Arial" w:hAnsi="Arial" w:cs="Arial"/>
          <w:lang w:val="bs-Latn-BA"/>
        </w:rPr>
      </w:pPr>
    </w:p>
    <w:p w:rsidR="00C56EA0" w:rsidRPr="0092486A" w:rsidRDefault="00C56EA0" w:rsidP="00C56EA0">
      <w:pPr>
        <w:pStyle w:val="AbstHead"/>
        <w:spacing w:after="0"/>
        <w:jc w:val="both"/>
        <w:rPr>
          <w:rFonts w:ascii="Arial" w:hAnsi="Arial" w:cs="Arial"/>
          <w:lang w:val="bs-Latn-BA"/>
        </w:rPr>
      </w:pPr>
      <w:r w:rsidRPr="0092486A">
        <w:rPr>
          <w:rFonts w:ascii="Arial" w:hAnsi="Arial" w:cs="Arial"/>
          <w:lang w:val="bs-Latn-BA"/>
        </w:rPr>
        <w:t>2. material and methods</w:t>
      </w:r>
    </w:p>
    <w:p w:rsidR="00C56EA0" w:rsidRDefault="00C56EA0" w:rsidP="005E58FF">
      <w:pPr>
        <w:pStyle w:val="paragraph"/>
        <w:spacing w:before="0" w:beforeAutospacing="0" w:after="0" w:afterAutospacing="0"/>
        <w:jc w:val="both"/>
        <w:textAlignment w:val="baseline"/>
        <w:rPr>
          <w:rStyle w:val="normaltextrun"/>
          <w:rFonts w:ascii="Arial" w:hAnsi="Arial" w:cs="Arial"/>
          <w:sz w:val="20"/>
          <w:szCs w:val="20"/>
        </w:rPr>
      </w:pPr>
    </w:p>
    <w:p w:rsidR="005E58FF" w:rsidRPr="00D44004" w:rsidRDefault="005E58FF" w:rsidP="005E58FF">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research was conducted in the period from January to April 2023 during the periodic examination of workers working in the coke industry. The data used were taken from the worker's medical record. 62 workers were included in the prospective study, divided into two groups, experimental and control.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The experimental group (31) consisted of workers who </w:t>
      </w:r>
      <w:r w:rsidR="00E94AB0">
        <w:rPr>
          <w:rStyle w:val="normaltextrun"/>
          <w:rFonts w:ascii="Arial" w:hAnsi="Arial" w:cs="Arial"/>
          <w:sz w:val="20"/>
          <w:szCs w:val="20"/>
        </w:rPr>
        <w:t>we</w:t>
      </w:r>
      <w:r w:rsidRPr="00D44004">
        <w:rPr>
          <w:rStyle w:val="normaltextrun"/>
          <w:rFonts w:ascii="Arial" w:hAnsi="Arial" w:cs="Arial"/>
          <w:sz w:val="20"/>
          <w:szCs w:val="20"/>
        </w:rPr>
        <w:t>re in direct contact with the process of coke production and purification of raw coke gas. These are the jobs of crude benzene distiller, tube furnace and scrubber operator, coke oven door operator, coke ramp operator, coke and coal dumper, maintenance locksmith and gas condensation analyst), and the second control group (31) consisted of workers who during the work process, they had no contact with the production of coke and the purification of raw coke gas.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The age of the workers in the experimental group ranged from 24 to 59 years. Their mean age was 37 years. In the control group, the age of the workers was between 21 and 60 years, and the average age was 32 years.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All participants in the experimental group were male, while there were 5 female workers in the control group. The selection of study participants was random and was not conditioned by age, years of service, obesity, or lifestyle. Exclusion criteria were </w:t>
      </w:r>
      <w:r w:rsidR="00E94AB0">
        <w:rPr>
          <w:rStyle w:val="normaltextrun"/>
          <w:rFonts w:ascii="Arial" w:hAnsi="Arial" w:cs="Arial"/>
          <w:sz w:val="20"/>
          <w:szCs w:val="20"/>
        </w:rPr>
        <w:t xml:space="preserve">a </w:t>
      </w:r>
      <w:r w:rsidRPr="00D44004">
        <w:rPr>
          <w:rStyle w:val="normaltextrun"/>
          <w:rFonts w:ascii="Arial" w:hAnsi="Arial" w:cs="Arial"/>
          <w:sz w:val="20"/>
          <w:szCs w:val="20"/>
        </w:rPr>
        <w:t xml:space="preserve">known history of liver disease, blood transfusion, alcohol consumption, </w:t>
      </w:r>
      <w:r w:rsidR="00E94AB0">
        <w:rPr>
          <w:rStyle w:val="normaltextrun"/>
          <w:rFonts w:ascii="Arial" w:hAnsi="Arial" w:cs="Arial"/>
          <w:sz w:val="20"/>
          <w:szCs w:val="20"/>
        </w:rPr>
        <w:t xml:space="preserve">and </w:t>
      </w:r>
      <w:r w:rsidRPr="00D44004">
        <w:rPr>
          <w:rStyle w:val="normaltextrun"/>
          <w:rFonts w:ascii="Arial" w:hAnsi="Arial" w:cs="Arial"/>
          <w:sz w:val="20"/>
          <w:szCs w:val="20"/>
        </w:rPr>
        <w:t>diabetes mellitus.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In addition to a complete medical history on occupational diseases and a physical examination, the parameters that were monitored included: ultrasound findings (US) of the parenchyma of the liver, pancreas, gall bladder and bile ducts and laboratory markers of liver function (aspartate aminotransferase (AST), alanine aminotransferase (ALT), gamma glutamyl transpeptidase (GGT), total bilirubin, lipid status - cholesterol and triglycerides) in serum.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Research data were processed using the method of non-parametric statistics. The basic statistical parameters of frequency and percentages were calculated, and the results were presented tabularly and graphically. To verify the research objectives, the chi-square test was applied, as well as the regression analysis of optimal scaling. Fi and Kramer's correlation coefficient were used to verify the association between steatosis </w:t>
      </w:r>
      <w:r w:rsidR="00E94AB0">
        <w:rPr>
          <w:rStyle w:val="normaltextrun"/>
          <w:rFonts w:ascii="Arial" w:hAnsi="Arial" w:cs="Arial"/>
          <w:sz w:val="20"/>
          <w:szCs w:val="20"/>
        </w:rPr>
        <w:t>and liver</w:t>
      </w:r>
      <w:r w:rsidRPr="00D44004">
        <w:rPr>
          <w:rStyle w:val="normaltextrun"/>
          <w:rFonts w:ascii="Arial" w:hAnsi="Arial" w:cs="Arial"/>
          <w:sz w:val="20"/>
          <w:szCs w:val="20"/>
        </w:rPr>
        <w:t xml:space="preserve"> lipid status. Research data were processed in the statistical package SPSS 25 for Windows.</w:t>
      </w:r>
      <w:r w:rsidRPr="00D44004">
        <w:rPr>
          <w:rStyle w:val="eop"/>
          <w:rFonts w:ascii="Arial" w:hAnsi="Arial" w:cs="Arial"/>
          <w:sz w:val="20"/>
          <w:szCs w:val="20"/>
        </w:rPr>
        <w:t> </w:t>
      </w:r>
    </w:p>
    <w:p w:rsidR="005E58FF" w:rsidRPr="00D44004" w:rsidRDefault="005E58FF" w:rsidP="005E58FF">
      <w:pPr>
        <w:pStyle w:val="Text"/>
        <w:rPr>
          <w:rFonts w:ascii="Arial" w:hAnsi="Arial" w:cs="Arial"/>
          <w:sz w:val="20"/>
        </w:rPr>
      </w:pPr>
    </w:p>
    <w:p w:rsidR="00C56EA0" w:rsidRPr="0092486A" w:rsidRDefault="00C56EA0" w:rsidP="00C56EA0">
      <w:pPr>
        <w:pStyle w:val="Head1"/>
        <w:spacing w:after="0"/>
        <w:jc w:val="both"/>
        <w:rPr>
          <w:rFonts w:ascii="Arial" w:hAnsi="Arial" w:cs="Arial"/>
          <w:lang w:val="bs-Latn-BA"/>
        </w:rPr>
      </w:pPr>
      <w:r w:rsidRPr="0092486A">
        <w:rPr>
          <w:rFonts w:ascii="Arial" w:hAnsi="Arial" w:cs="Arial"/>
          <w:lang w:val="bs-Latn-BA"/>
        </w:rPr>
        <w:t>3. results</w:t>
      </w:r>
    </w:p>
    <w:p w:rsidR="00D44004" w:rsidRPr="00D44004" w:rsidRDefault="00D44004" w:rsidP="005E58FF">
      <w:pPr>
        <w:rPr>
          <w:rFonts w:ascii="Arial" w:hAnsi="Arial" w:cs="Arial"/>
          <w:b/>
          <w:bCs/>
        </w:rPr>
      </w:pPr>
    </w:p>
    <w:p w:rsidR="005E58FF" w:rsidRPr="00D44004" w:rsidRDefault="005E58FF" w:rsidP="005E58FF">
      <w:pPr>
        <w:rPr>
          <w:rFonts w:ascii="Arial" w:hAnsi="Arial" w:cs="Arial"/>
        </w:rPr>
      </w:pPr>
      <w:r w:rsidRPr="00D44004">
        <w:rPr>
          <w:rFonts w:ascii="Arial" w:hAnsi="Arial" w:cs="Arial"/>
        </w:rPr>
        <w:t>Table 1 displays the ratio of the control and experimental group participants concerning variables (transaminases, GGT, total bilirubin, lipid status, and liver status). </w:t>
      </w:r>
    </w:p>
    <w:p w:rsidR="005E58FF" w:rsidRPr="00D44004" w:rsidRDefault="005E58FF" w:rsidP="005E58FF">
      <w:pPr>
        <w:spacing w:before="120"/>
        <w:ind w:left="420" w:right="420"/>
        <w:textAlignment w:val="baseline"/>
        <w:rPr>
          <w:rFonts w:ascii="Arial" w:hAnsi="Arial" w:cs="Arial"/>
          <w:color w:val="000000"/>
        </w:rPr>
      </w:pPr>
      <w:r w:rsidRPr="00D44004">
        <w:rPr>
          <w:rFonts w:ascii="Arial" w:hAnsi="Arial" w:cs="Arial"/>
          <w:color w:val="000000"/>
        </w:rPr>
        <w:t> </w:t>
      </w:r>
    </w:p>
    <w:p w:rsidR="005E58FF" w:rsidRPr="00D44004" w:rsidRDefault="005E58FF" w:rsidP="005E58FF">
      <w:pPr>
        <w:spacing w:line="360" w:lineRule="auto"/>
        <w:ind w:right="420"/>
        <w:textAlignment w:val="baseline"/>
        <w:rPr>
          <w:rFonts w:ascii="Arial" w:hAnsi="Arial" w:cs="Arial"/>
          <w:color w:val="000000"/>
        </w:rPr>
      </w:pPr>
      <w:r w:rsidRPr="00D44004">
        <w:rPr>
          <w:rFonts w:ascii="Arial" w:hAnsi="Arial" w:cs="Arial"/>
          <w:b/>
          <w:bCs/>
          <w:color w:val="000000"/>
        </w:rPr>
        <w:t>Table 1.</w:t>
      </w:r>
      <w:r w:rsidRPr="00D44004">
        <w:rPr>
          <w:rFonts w:ascii="Arial" w:hAnsi="Arial" w:cs="Arial"/>
          <w:color w:val="000000"/>
        </w:rPr>
        <w:t xml:space="preserve"> Distribution of respondents in relation to variables. </w:t>
      </w:r>
    </w:p>
    <w:tbl>
      <w:tblPr>
        <w:tblW w:w="1078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1"/>
        <w:gridCol w:w="1581"/>
        <w:gridCol w:w="1247"/>
        <w:gridCol w:w="1563"/>
        <w:gridCol w:w="1565"/>
        <w:gridCol w:w="1566"/>
        <w:gridCol w:w="1564"/>
      </w:tblGrid>
      <w:tr w:rsidR="005E58FF" w:rsidRPr="00D44004" w:rsidTr="0045709F">
        <w:trPr>
          <w:trHeight w:val="344"/>
          <w:jc w:val="center"/>
        </w:trPr>
        <w:tc>
          <w:tcPr>
            <w:tcW w:w="1701"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Group </w:t>
            </w:r>
          </w:p>
        </w:tc>
        <w:tc>
          <w:tcPr>
            <w:tcW w:w="1581"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Transaminase</w:t>
            </w:r>
            <w:r w:rsidRPr="00D44004">
              <w:rPr>
                <w:rFonts w:ascii="Arial" w:hAnsi="Arial" w:cs="Arial"/>
                <w:color w:val="000000"/>
              </w:rPr>
              <w:t> </w:t>
            </w:r>
          </w:p>
        </w:tc>
        <w:tc>
          <w:tcPr>
            <w:tcW w:w="1247"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GGT-a </w:t>
            </w:r>
            <w:r w:rsidRPr="00D44004">
              <w:rPr>
                <w:rFonts w:ascii="Arial" w:hAnsi="Arial" w:cs="Arial"/>
                <w:color w:val="000000"/>
              </w:rPr>
              <w:t> </w:t>
            </w:r>
          </w:p>
        </w:tc>
        <w:tc>
          <w:tcPr>
            <w:tcW w:w="1563"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Lipid status</w:t>
            </w:r>
            <w:r w:rsidRPr="00D44004">
              <w:rPr>
                <w:rFonts w:ascii="Arial" w:hAnsi="Arial" w:cs="Arial"/>
                <w:color w:val="000000"/>
              </w:rPr>
              <w:t> </w:t>
            </w:r>
          </w:p>
        </w:tc>
        <w:tc>
          <w:tcPr>
            <w:tcW w:w="1565"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Total bilirubin </w:t>
            </w:r>
            <w:r w:rsidRPr="00D44004">
              <w:rPr>
                <w:rFonts w:ascii="Arial" w:hAnsi="Arial" w:cs="Arial"/>
                <w:color w:val="000000"/>
              </w:rPr>
              <w:t> </w:t>
            </w:r>
          </w:p>
        </w:tc>
        <w:tc>
          <w:tcPr>
            <w:tcW w:w="1566"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Liver steatosis </w:t>
            </w:r>
            <w:r w:rsidRPr="00D44004">
              <w:rPr>
                <w:rFonts w:ascii="Arial" w:hAnsi="Arial" w:cs="Arial"/>
                <w:color w:val="000000"/>
              </w:rPr>
              <w:t> </w:t>
            </w:r>
          </w:p>
        </w:tc>
        <w:tc>
          <w:tcPr>
            <w:tcW w:w="1564" w:type="dxa"/>
            <w:tcBorders>
              <w:top w:val="single" w:sz="6" w:space="0" w:color="auto"/>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TOTAL</w:t>
            </w:r>
            <w:r w:rsidRPr="00D44004">
              <w:rPr>
                <w:rFonts w:ascii="Arial" w:hAnsi="Arial" w:cs="Arial"/>
                <w:color w:val="000000"/>
              </w:rPr>
              <w:t> </w:t>
            </w:r>
          </w:p>
        </w:tc>
      </w:tr>
      <w:tr w:rsidR="005E58FF" w:rsidRPr="00D44004" w:rsidTr="0045709F">
        <w:trPr>
          <w:trHeight w:val="344"/>
          <w:jc w:val="center"/>
        </w:trPr>
        <w:tc>
          <w:tcPr>
            <w:tcW w:w="1701" w:type="dxa"/>
            <w:tcBorders>
              <w:top w:val="single" w:sz="6" w:space="0" w:color="auto"/>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Control</w:t>
            </w:r>
          </w:p>
        </w:tc>
        <w:tc>
          <w:tcPr>
            <w:tcW w:w="1581"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1247"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c>
          <w:tcPr>
            <w:tcW w:w="1563"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8 </w:t>
            </w:r>
          </w:p>
        </w:tc>
        <w:tc>
          <w:tcPr>
            <w:tcW w:w="1565"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8 </w:t>
            </w:r>
          </w:p>
        </w:tc>
        <w:tc>
          <w:tcPr>
            <w:tcW w:w="1566"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11 </w:t>
            </w:r>
          </w:p>
        </w:tc>
        <w:tc>
          <w:tcPr>
            <w:tcW w:w="1564" w:type="dxa"/>
            <w:tcBorders>
              <w:top w:val="nil"/>
              <w:left w:val="nil"/>
              <w:bottom w:val="nil"/>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31 </w:t>
            </w:r>
          </w:p>
        </w:tc>
      </w:tr>
      <w:tr w:rsidR="005E58FF" w:rsidRPr="00D44004" w:rsidTr="0045709F">
        <w:trPr>
          <w:trHeight w:val="344"/>
          <w:jc w:val="center"/>
        </w:trPr>
        <w:tc>
          <w:tcPr>
            <w:tcW w:w="1701"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Experimental</w:t>
            </w:r>
          </w:p>
        </w:tc>
        <w:tc>
          <w:tcPr>
            <w:tcW w:w="1581"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18 </w:t>
            </w:r>
          </w:p>
        </w:tc>
        <w:tc>
          <w:tcPr>
            <w:tcW w:w="1247"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9 </w:t>
            </w:r>
          </w:p>
        </w:tc>
        <w:tc>
          <w:tcPr>
            <w:tcW w:w="1563"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14 </w:t>
            </w:r>
          </w:p>
        </w:tc>
        <w:tc>
          <w:tcPr>
            <w:tcW w:w="1565"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17 </w:t>
            </w:r>
          </w:p>
        </w:tc>
        <w:tc>
          <w:tcPr>
            <w:tcW w:w="1566"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24 </w:t>
            </w:r>
          </w:p>
        </w:tc>
        <w:tc>
          <w:tcPr>
            <w:tcW w:w="1564" w:type="dxa"/>
            <w:tcBorders>
              <w:top w:val="nil"/>
              <w:left w:val="nil"/>
              <w:bottom w:val="single" w:sz="6" w:space="0" w:color="auto"/>
              <w:right w:val="nil"/>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31 </w:t>
            </w:r>
          </w:p>
        </w:tc>
      </w:tr>
    </w:tbl>
    <w:p w:rsidR="005E58FF" w:rsidRPr="00D44004" w:rsidRDefault="005E58FF" w:rsidP="005E58FF">
      <w:pPr>
        <w:pStyle w:val="paragraph"/>
        <w:spacing w:before="0" w:beforeAutospacing="0" w:after="0" w:afterAutospacing="0"/>
        <w:ind w:firstLine="799"/>
        <w:jc w:val="both"/>
        <w:textAlignment w:val="baseline"/>
        <w:rPr>
          <w:rStyle w:val="normaltextrun"/>
          <w:rFonts w:ascii="Arial" w:hAnsi="Arial" w:cs="Arial"/>
          <w:sz w:val="20"/>
          <w:szCs w:val="20"/>
        </w:rPr>
      </w:pP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lastRenderedPageBreak/>
        <w:t>In the control group of 31 participants, four had elevated transaminase values, and five had elevated GGT values. Eight participants had elevated lipid status and total bilirubin values, while 11 participants had ultrasound-confirmed liver steatosis. </w:t>
      </w:r>
      <w:r w:rsidRPr="00D44004">
        <w:rPr>
          <w:rStyle w:val="eop"/>
          <w:rFonts w:ascii="Arial" w:hAnsi="Arial" w:cs="Arial"/>
          <w:sz w:val="20"/>
          <w:szCs w:val="20"/>
        </w:rPr>
        <w:t> </w:t>
      </w:r>
    </w:p>
    <w:p w:rsidR="00A612A3" w:rsidRDefault="005E58FF" w:rsidP="00D44004">
      <w:pPr>
        <w:pStyle w:val="paragraph"/>
        <w:spacing w:before="0" w:beforeAutospacing="0" w:after="0" w:afterAutospacing="0"/>
        <w:jc w:val="both"/>
        <w:textAlignment w:val="baseline"/>
        <w:rPr>
          <w:rStyle w:val="normaltextrun"/>
          <w:rFonts w:ascii="Arial" w:hAnsi="Arial" w:cs="Arial"/>
          <w:sz w:val="20"/>
          <w:szCs w:val="20"/>
        </w:rPr>
      </w:pPr>
      <w:r w:rsidRPr="00D44004">
        <w:rPr>
          <w:rStyle w:val="normaltextrun"/>
          <w:rFonts w:ascii="Arial" w:hAnsi="Arial" w:cs="Arial"/>
          <w:sz w:val="20"/>
          <w:szCs w:val="20"/>
        </w:rPr>
        <w:t xml:space="preserve">In the experimental group of 31 participants, eighteen had elevated transaminase values, and nine had elevated GGT values. Fourteen participants had elevated lipid status, seventeen had elevated total bilirubin values, and 24 participants had confirmed liver steatosis based on ultrasound findings. In the experimental group of workers, four had </w:t>
      </w:r>
      <w:proofErr w:type="gramStart"/>
      <w:r w:rsidRPr="00D44004">
        <w:rPr>
          <w:rStyle w:val="normaltextrun"/>
          <w:rFonts w:ascii="Arial" w:hAnsi="Arial" w:cs="Arial"/>
          <w:sz w:val="20"/>
          <w:szCs w:val="20"/>
        </w:rPr>
        <w:t>hypertension</w:t>
      </w:r>
      <w:proofErr w:type="gramEnd"/>
      <w:r w:rsidRPr="00D44004">
        <w:rPr>
          <w:rStyle w:val="normaltextrun"/>
          <w:rFonts w:ascii="Arial" w:hAnsi="Arial" w:cs="Arial"/>
          <w:sz w:val="20"/>
          <w:szCs w:val="20"/>
        </w:rPr>
        <w:t>. All four workers with hypertension had positive findings (liver steatosis in four participants, elevated transaminases, lipid status, and bilirubin in three participants, and one of them had positive results for all tested variables and 38 years of work experience).</w:t>
      </w:r>
    </w:p>
    <w:p w:rsidR="00A612A3" w:rsidRDefault="00A612A3" w:rsidP="00D44004">
      <w:pPr>
        <w:pStyle w:val="paragraph"/>
        <w:spacing w:before="0" w:beforeAutospacing="0" w:after="0" w:afterAutospacing="0"/>
        <w:jc w:val="both"/>
        <w:textAlignment w:val="baseline"/>
        <w:rPr>
          <w:rStyle w:val="normaltextrun"/>
          <w:rFonts w:ascii="Arial" w:hAnsi="Arial" w:cs="Arial"/>
          <w:sz w:val="20"/>
          <w:szCs w:val="20"/>
        </w:rPr>
      </w:pP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 </w:t>
      </w:r>
      <w:r w:rsidRPr="00D44004">
        <w:rPr>
          <w:rFonts w:ascii="Arial" w:hAnsi="Arial" w:cs="Arial"/>
          <w:sz w:val="20"/>
          <w:szCs w:val="20"/>
        </w:rPr>
        <w:t>Table 2 presents a comparison of total work experience and the requested variables for the experimental and control groups.  </w:t>
      </w:r>
    </w:p>
    <w:p w:rsidR="005E58FF" w:rsidRPr="00D44004" w:rsidRDefault="005E58FF" w:rsidP="005E58FF">
      <w:pPr>
        <w:pStyle w:val="paragraph"/>
        <w:spacing w:before="0" w:beforeAutospacing="0" w:after="0" w:afterAutospacing="0"/>
        <w:ind w:firstLine="799"/>
        <w:jc w:val="both"/>
        <w:textAlignment w:val="baseline"/>
        <w:rPr>
          <w:rFonts w:ascii="Arial" w:hAnsi="Arial" w:cs="Arial"/>
          <w:sz w:val="20"/>
          <w:szCs w:val="20"/>
        </w:rPr>
      </w:pPr>
    </w:p>
    <w:tbl>
      <w:tblPr>
        <w:tblW w:w="10794" w:type="dxa"/>
        <w:jc w:val="center"/>
        <w:tblCellMar>
          <w:top w:w="15" w:type="dxa"/>
          <w:left w:w="15" w:type="dxa"/>
          <w:bottom w:w="15" w:type="dxa"/>
          <w:right w:w="15" w:type="dxa"/>
        </w:tblCellMar>
        <w:tblLook w:val="04A0" w:firstRow="1" w:lastRow="0" w:firstColumn="1" w:lastColumn="0" w:noHBand="0" w:noVBand="1"/>
      </w:tblPr>
      <w:tblGrid>
        <w:gridCol w:w="4080"/>
        <w:gridCol w:w="2196"/>
        <w:gridCol w:w="2510"/>
        <w:gridCol w:w="2008"/>
      </w:tblGrid>
      <w:tr w:rsidR="005E58FF" w:rsidRPr="00D44004" w:rsidTr="0045709F">
        <w:trPr>
          <w:trHeight w:val="263"/>
          <w:jc w:val="center"/>
        </w:trPr>
        <w:tc>
          <w:tcPr>
            <w:tcW w:w="4080" w:type="dxa"/>
            <w:tcBorders>
              <w:top w:val="single" w:sz="4" w:space="0" w:color="auto"/>
              <w:bottom w:val="single" w:sz="4" w:space="0" w:color="auto"/>
            </w:tcBorders>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b/>
                <w:bCs/>
                <w:color w:val="000000"/>
              </w:rPr>
              <w:t>Total length of service</w:t>
            </w:r>
            <w:r w:rsidRPr="00D44004">
              <w:rPr>
                <w:rFonts w:ascii="Arial" w:hAnsi="Arial" w:cs="Arial"/>
                <w:color w:val="000000"/>
              </w:rPr>
              <w:t> </w:t>
            </w:r>
          </w:p>
        </w:tc>
        <w:tc>
          <w:tcPr>
            <w:tcW w:w="2196" w:type="dxa"/>
            <w:tcBorders>
              <w:top w:val="single" w:sz="4" w:space="0" w:color="auto"/>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up to 5 years</w:t>
            </w:r>
            <w:r w:rsidRPr="00D44004">
              <w:rPr>
                <w:rFonts w:ascii="Arial" w:hAnsi="Arial" w:cs="Arial"/>
                <w:color w:val="000000"/>
              </w:rPr>
              <w:t> </w:t>
            </w:r>
          </w:p>
        </w:tc>
        <w:tc>
          <w:tcPr>
            <w:tcW w:w="2510" w:type="dxa"/>
            <w:tcBorders>
              <w:top w:val="single" w:sz="4" w:space="0" w:color="auto"/>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5 to 10 years </w:t>
            </w:r>
            <w:r w:rsidRPr="00D44004">
              <w:rPr>
                <w:rFonts w:ascii="Arial" w:hAnsi="Arial" w:cs="Arial"/>
                <w:color w:val="000000"/>
              </w:rPr>
              <w:t> </w:t>
            </w:r>
          </w:p>
        </w:tc>
        <w:tc>
          <w:tcPr>
            <w:tcW w:w="2008" w:type="dxa"/>
            <w:tcBorders>
              <w:top w:val="single" w:sz="4" w:space="0" w:color="auto"/>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b/>
                <w:bCs/>
                <w:color w:val="000000"/>
              </w:rPr>
              <w:t>over 10 years</w:t>
            </w:r>
            <w:r w:rsidRPr="00D44004">
              <w:rPr>
                <w:rFonts w:ascii="Arial" w:hAnsi="Arial" w:cs="Arial"/>
                <w:color w:val="000000"/>
              </w:rPr>
              <w:t> </w:t>
            </w:r>
          </w:p>
        </w:tc>
      </w:tr>
      <w:tr w:rsidR="005E58FF" w:rsidRPr="00D44004" w:rsidTr="0045709F">
        <w:trPr>
          <w:trHeight w:val="263"/>
          <w:jc w:val="center"/>
        </w:trPr>
        <w:tc>
          <w:tcPr>
            <w:tcW w:w="4080" w:type="dxa"/>
            <w:vMerge w:val="restart"/>
            <w:tcBorders>
              <w:top w:val="single" w:sz="4" w:space="0" w:color="auto"/>
            </w:tcBorders>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 xml:space="preserve">Experimental group </w:t>
            </w:r>
          </w:p>
          <w:p w:rsidR="005E58FF" w:rsidRPr="00D44004" w:rsidRDefault="005E58FF" w:rsidP="0045709F">
            <w:pPr>
              <w:textAlignment w:val="baseline"/>
              <w:rPr>
                <w:rFonts w:ascii="Arial" w:hAnsi="Arial" w:cs="Arial"/>
                <w:color w:val="000000"/>
              </w:rPr>
            </w:pPr>
            <w:r w:rsidRPr="00D44004">
              <w:rPr>
                <w:rFonts w:ascii="Arial" w:hAnsi="Arial" w:cs="Arial"/>
                <w:color w:val="000000"/>
              </w:rPr>
              <w:t>Control group  </w:t>
            </w:r>
          </w:p>
        </w:tc>
        <w:tc>
          <w:tcPr>
            <w:tcW w:w="2196" w:type="dxa"/>
            <w:tcBorders>
              <w:top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c>
          <w:tcPr>
            <w:tcW w:w="2510" w:type="dxa"/>
            <w:tcBorders>
              <w:top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16 </w:t>
            </w:r>
          </w:p>
        </w:tc>
        <w:tc>
          <w:tcPr>
            <w:tcW w:w="2008" w:type="dxa"/>
            <w:tcBorders>
              <w:top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10 </w:t>
            </w:r>
          </w:p>
        </w:tc>
      </w:tr>
      <w:tr w:rsidR="005E58FF" w:rsidRPr="00D44004" w:rsidTr="0045709F">
        <w:trPr>
          <w:trHeight w:val="263"/>
          <w:jc w:val="center"/>
        </w:trPr>
        <w:tc>
          <w:tcPr>
            <w:tcW w:w="4080" w:type="dxa"/>
            <w:vMerge/>
            <w:vAlign w:val="center"/>
            <w:hideMark/>
          </w:tcPr>
          <w:p w:rsidR="005E58FF" w:rsidRPr="00D44004" w:rsidRDefault="005E58FF" w:rsidP="0045709F">
            <w:pPr>
              <w:rPr>
                <w:rFonts w:ascii="Arial" w:hAnsi="Arial" w:cs="Arial"/>
                <w:color w:val="000000"/>
              </w:rPr>
            </w:pP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12 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15 </w:t>
            </w:r>
          </w:p>
        </w:tc>
      </w:tr>
      <w:tr w:rsidR="005E58FF" w:rsidRPr="00D44004" w:rsidTr="0045709F">
        <w:trPr>
          <w:trHeight w:val="219"/>
          <w:jc w:val="center"/>
        </w:trPr>
        <w:tc>
          <w:tcPr>
            <w:tcW w:w="4080" w:type="dxa"/>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Liver steatosis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13 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6 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r>
      <w:tr w:rsidR="005E58FF" w:rsidRPr="00D44004" w:rsidTr="0045709F">
        <w:trPr>
          <w:trHeight w:val="101"/>
          <w:jc w:val="center"/>
        </w:trPr>
        <w:tc>
          <w:tcPr>
            <w:tcW w:w="4080" w:type="dxa"/>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Lipid status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2 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7 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6 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4 </w:t>
            </w:r>
          </w:p>
        </w:tc>
      </w:tr>
      <w:tr w:rsidR="005E58FF" w:rsidRPr="00D44004" w:rsidTr="0045709F">
        <w:trPr>
          <w:trHeight w:val="30"/>
          <w:jc w:val="center"/>
        </w:trPr>
        <w:tc>
          <w:tcPr>
            <w:tcW w:w="4080" w:type="dxa"/>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Transaminase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r>
      <w:tr w:rsidR="005E58FF" w:rsidRPr="00D44004" w:rsidTr="0045709F">
        <w:trPr>
          <w:trHeight w:val="263"/>
          <w:jc w:val="center"/>
        </w:trPr>
        <w:tc>
          <w:tcPr>
            <w:tcW w:w="4080" w:type="dxa"/>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GGT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r>
      <w:tr w:rsidR="005E58FF" w:rsidRPr="00D44004" w:rsidTr="0045709F">
        <w:trPr>
          <w:trHeight w:val="263"/>
          <w:jc w:val="center"/>
        </w:trPr>
        <w:tc>
          <w:tcPr>
            <w:tcW w:w="4080" w:type="dxa"/>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Bilirubin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3 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5 </w:t>
            </w:r>
          </w:p>
        </w:tc>
      </w:tr>
      <w:tr w:rsidR="005E58FF" w:rsidRPr="00D44004" w:rsidTr="0045709F">
        <w:trPr>
          <w:trHeight w:val="30"/>
          <w:jc w:val="center"/>
        </w:trPr>
        <w:tc>
          <w:tcPr>
            <w:tcW w:w="4080" w:type="dxa"/>
            <w:vMerge w:val="restart"/>
            <w:vAlign w:val="center"/>
            <w:hideMark/>
          </w:tcPr>
          <w:p w:rsidR="005E58FF" w:rsidRPr="00D44004" w:rsidRDefault="005E58FF" w:rsidP="0045709F">
            <w:pPr>
              <w:textAlignment w:val="baseline"/>
              <w:rPr>
                <w:rFonts w:ascii="Arial" w:hAnsi="Arial" w:cs="Arial"/>
                <w:color w:val="000000"/>
              </w:rPr>
            </w:pPr>
            <w:r w:rsidRPr="00D44004">
              <w:rPr>
                <w:rFonts w:ascii="Arial" w:hAnsi="Arial" w:cs="Arial"/>
                <w:color w:val="000000"/>
              </w:rPr>
              <w:t>Negative finding  </w:t>
            </w:r>
          </w:p>
          <w:p w:rsidR="005E58FF" w:rsidRPr="00D44004" w:rsidRDefault="005E58FF" w:rsidP="0045709F">
            <w:pPr>
              <w:textAlignment w:val="baseline"/>
              <w:rPr>
                <w:rFonts w:ascii="Arial" w:hAnsi="Arial" w:cs="Arial"/>
                <w:color w:val="000000"/>
              </w:rPr>
            </w:pPr>
            <w:r w:rsidRPr="00D44004">
              <w:rPr>
                <w:rFonts w:ascii="Arial" w:hAnsi="Arial" w:cs="Arial"/>
                <w:color w:val="000000"/>
              </w:rPr>
              <w:t>Experimental group </w:t>
            </w:r>
          </w:p>
          <w:p w:rsidR="005E58FF" w:rsidRPr="00D44004" w:rsidRDefault="005E58FF" w:rsidP="0045709F">
            <w:pPr>
              <w:textAlignment w:val="baseline"/>
              <w:rPr>
                <w:rFonts w:ascii="Arial" w:hAnsi="Arial" w:cs="Arial"/>
                <w:color w:val="000000"/>
              </w:rPr>
            </w:pPr>
            <w:r w:rsidRPr="00D44004">
              <w:rPr>
                <w:rFonts w:ascii="Arial" w:hAnsi="Arial" w:cs="Arial"/>
                <w:color w:val="000000"/>
              </w:rPr>
              <w:t>Control group </w:t>
            </w:r>
          </w:p>
        </w:tc>
        <w:tc>
          <w:tcPr>
            <w:tcW w:w="2196"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510"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1 </w:t>
            </w:r>
          </w:p>
        </w:tc>
        <w:tc>
          <w:tcPr>
            <w:tcW w:w="2008" w:type="dxa"/>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 </w:t>
            </w:r>
          </w:p>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r>
      <w:tr w:rsidR="005E58FF" w:rsidRPr="00D44004" w:rsidTr="0045709F">
        <w:trPr>
          <w:trHeight w:val="263"/>
          <w:jc w:val="center"/>
        </w:trPr>
        <w:tc>
          <w:tcPr>
            <w:tcW w:w="4080" w:type="dxa"/>
            <w:vMerge/>
            <w:tcBorders>
              <w:bottom w:val="single" w:sz="4" w:space="0" w:color="auto"/>
            </w:tcBorders>
            <w:vAlign w:val="center"/>
            <w:hideMark/>
          </w:tcPr>
          <w:p w:rsidR="005E58FF" w:rsidRPr="00D44004" w:rsidRDefault="005E58FF" w:rsidP="005E58FF">
            <w:pPr>
              <w:rPr>
                <w:rFonts w:ascii="Arial" w:hAnsi="Arial" w:cs="Arial"/>
                <w:color w:val="000000"/>
              </w:rPr>
            </w:pPr>
          </w:p>
        </w:tc>
        <w:tc>
          <w:tcPr>
            <w:tcW w:w="2196" w:type="dxa"/>
            <w:tcBorders>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510" w:type="dxa"/>
            <w:tcBorders>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c>
          <w:tcPr>
            <w:tcW w:w="2008" w:type="dxa"/>
            <w:tcBorders>
              <w:bottom w:val="single" w:sz="4" w:space="0" w:color="auto"/>
            </w:tcBorders>
            <w:vAlign w:val="center"/>
            <w:hideMark/>
          </w:tcPr>
          <w:p w:rsidR="005E58FF" w:rsidRPr="00D44004" w:rsidRDefault="005E58FF" w:rsidP="005E58FF">
            <w:pPr>
              <w:jc w:val="center"/>
              <w:textAlignment w:val="baseline"/>
              <w:rPr>
                <w:rFonts w:ascii="Arial" w:hAnsi="Arial" w:cs="Arial"/>
                <w:color w:val="000000"/>
              </w:rPr>
            </w:pPr>
            <w:r w:rsidRPr="00D44004">
              <w:rPr>
                <w:rFonts w:ascii="Arial" w:hAnsi="Arial" w:cs="Arial"/>
                <w:color w:val="000000"/>
              </w:rPr>
              <w:t>0 </w:t>
            </w:r>
          </w:p>
        </w:tc>
      </w:tr>
    </w:tbl>
    <w:p w:rsidR="005E58FF" w:rsidRPr="00D44004" w:rsidRDefault="005E58FF" w:rsidP="005E58FF">
      <w:pPr>
        <w:textAlignment w:val="baseline"/>
        <w:rPr>
          <w:rFonts w:ascii="Arial" w:hAnsi="Arial" w:cs="Arial"/>
        </w:rPr>
      </w:pPr>
      <w:r w:rsidRPr="00D44004">
        <w:rPr>
          <w:rFonts w:ascii="Arial" w:hAnsi="Arial" w:cs="Arial"/>
          <w:color w:val="000000"/>
        </w:rPr>
        <w:t> </w:t>
      </w:r>
    </w:p>
    <w:p w:rsidR="005E58FF" w:rsidRPr="00D44004" w:rsidRDefault="005E58FF" w:rsidP="00D44004">
      <w:pPr>
        <w:textAlignment w:val="baseline"/>
        <w:rPr>
          <w:rFonts w:ascii="Arial" w:hAnsi="Arial" w:cs="Arial"/>
        </w:rPr>
      </w:pPr>
      <w:r w:rsidRPr="00D44004">
        <w:rPr>
          <w:rFonts w:ascii="Arial" w:hAnsi="Arial" w:cs="Arial"/>
        </w:rPr>
        <w:t>5 participants had work experience up to 5 years, 16 participants had 5 to 10 years of experience, and 10 participants had over 10 years of experience. All 5 workers with work experience up to 5 years had a positive finding. The majority of participants (5) had liver steatosis, three participants had elevated transaminases and lipid status, two participants had elevated GGT values, while bilirubin was not elevated.  </w:t>
      </w:r>
    </w:p>
    <w:p w:rsidR="005E58FF" w:rsidRPr="00D44004" w:rsidRDefault="005E58FF" w:rsidP="00D44004">
      <w:pPr>
        <w:textAlignment w:val="baseline"/>
        <w:rPr>
          <w:rFonts w:ascii="Arial" w:hAnsi="Arial" w:cs="Arial"/>
        </w:rPr>
      </w:pPr>
      <w:r w:rsidRPr="00D44004">
        <w:rPr>
          <w:rFonts w:ascii="Arial" w:hAnsi="Arial" w:cs="Arial"/>
        </w:rPr>
        <w:t xml:space="preserve">Among participants with 5 to 10 years of work experience, one participant had a negative finding, while 13 participants had liver steatosis, nine participants had elevated transaminases and bilirubin, seven participants had elevated lipid status, and elevated GGT values were found in three participants. All 10 participants with work experience </w:t>
      </w:r>
      <w:r w:rsidR="00E94AB0">
        <w:rPr>
          <w:rFonts w:ascii="Arial" w:hAnsi="Arial" w:cs="Arial"/>
        </w:rPr>
        <w:t xml:space="preserve">of </w:t>
      </w:r>
      <w:r w:rsidRPr="00D44004">
        <w:rPr>
          <w:rFonts w:ascii="Arial" w:hAnsi="Arial" w:cs="Arial"/>
        </w:rPr>
        <w:t>over 10 years had a positive finding. Six participants had liver steatosis, 6 participants had elevated transaminase values, 8 participants had elevated bilirubin values, four participants had elevated lipid status, and 5 participants had elevated GGT values.  </w:t>
      </w:r>
    </w:p>
    <w:p w:rsidR="005E58FF" w:rsidRPr="00D44004" w:rsidRDefault="005E58FF" w:rsidP="00D44004">
      <w:pPr>
        <w:textAlignment w:val="baseline"/>
        <w:rPr>
          <w:rFonts w:ascii="Arial" w:hAnsi="Arial" w:cs="Arial"/>
        </w:rPr>
      </w:pPr>
      <w:r w:rsidRPr="00D44004">
        <w:rPr>
          <w:rFonts w:ascii="Arial" w:hAnsi="Arial" w:cs="Arial"/>
        </w:rPr>
        <w:t>Table 3 shows the results of the chi-square test between the experimental and control groups regarding the variables: "Fatty Liver," "Transaminases," "Bilirubin," "GGT," and "Lipid Status." The results indicate that a higher percentage of participants in the experimental group have fatty liver (77.4%), elevated transaminases (58.1%), bilirubin (54.8%), lipid status (45.2%), and GGT (32.3%). The chi-square test results showed that participants in the experimental group ha</w:t>
      </w:r>
      <w:r w:rsidR="00E94AB0">
        <w:rPr>
          <w:rFonts w:ascii="Arial" w:hAnsi="Arial" w:cs="Arial"/>
        </w:rPr>
        <w:t>d</w:t>
      </w:r>
      <w:r w:rsidRPr="00D44004">
        <w:rPr>
          <w:rFonts w:ascii="Arial" w:hAnsi="Arial" w:cs="Arial"/>
        </w:rPr>
        <w:t xml:space="preserve"> a statistically significant</w:t>
      </w:r>
      <w:r w:rsidR="00E94AB0">
        <w:rPr>
          <w:rFonts w:ascii="Arial" w:hAnsi="Arial" w:cs="Arial"/>
        </w:rPr>
        <w:t>ly</w:t>
      </w:r>
      <w:r w:rsidRPr="00D44004">
        <w:rPr>
          <w:rFonts w:ascii="Arial" w:hAnsi="Arial" w:cs="Arial"/>
        </w:rPr>
        <w:t xml:space="preserve"> higher prevalence of fatty liver and elevated transaminases at a significance level of 0.01 compared to the control group. Additionally, participants in the experimental group have statistically significantly higher bilirubin, GGT, and lipid status at a significance level of 0.05 compared to the control group. </w:t>
      </w:r>
    </w:p>
    <w:p w:rsidR="005E58FF" w:rsidRPr="00D44004" w:rsidRDefault="005E58FF" w:rsidP="005E58FF">
      <w:pPr>
        <w:rPr>
          <w:rFonts w:ascii="Arial" w:hAnsi="Arial" w:cs="Arial"/>
        </w:rPr>
      </w:pPr>
    </w:p>
    <w:p w:rsidR="005E58FF" w:rsidRPr="00D44004" w:rsidRDefault="005E58FF" w:rsidP="005E58FF">
      <w:pPr>
        <w:spacing w:line="360" w:lineRule="auto"/>
        <w:rPr>
          <w:rFonts w:ascii="Arial" w:hAnsi="Arial" w:cs="Arial"/>
        </w:rPr>
      </w:pPr>
      <w:r w:rsidRPr="00D44004">
        <w:rPr>
          <w:rFonts w:ascii="Arial" w:hAnsi="Arial" w:cs="Arial"/>
          <w:b/>
          <w:bCs/>
        </w:rPr>
        <w:t xml:space="preserve">Table 3. </w:t>
      </w:r>
      <w:r w:rsidRPr="00D44004">
        <w:rPr>
          <w:rFonts w:ascii="Arial" w:hAnsi="Arial" w:cs="Arial"/>
        </w:rPr>
        <w:t>Hi-square test results.</w:t>
      </w:r>
    </w:p>
    <w:tbl>
      <w:tblPr>
        <w:tblStyle w:val="TableGrid"/>
        <w:tblW w:w="49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2"/>
        <w:gridCol w:w="2402"/>
        <w:gridCol w:w="805"/>
        <w:gridCol w:w="1441"/>
        <w:gridCol w:w="1320"/>
        <w:gridCol w:w="1244"/>
        <w:gridCol w:w="1246"/>
      </w:tblGrid>
      <w:tr w:rsidR="005E58FF" w:rsidRPr="00D44004" w:rsidTr="0045709F">
        <w:trPr>
          <w:trHeight w:val="305"/>
          <w:jc w:val="center"/>
        </w:trPr>
        <w:tc>
          <w:tcPr>
            <w:tcW w:w="2573" w:type="pct"/>
            <w:gridSpan w:val="3"/>
            <w:tcBorders>
              <w:top w:val="single" w:sz="4" w:space="0" w:color="auto"/>
              <w:bottom w:val="single" w:sz="4" w:space="0" w:color="auto"/>
            </w:tcBorders>
            <w:vAlign w:val="center"/>
            <w:hideMark/>
          </w:tcPr>
          <w:p w:rsidR="005E58FF" w:rsidRPr="00D44004" w:rsidRDefault="005E58FF" w:rsidP="0045709F">
            <w:pPr>
              <w:jc w:val="both"/>
              <w:rPr>
                <w:rFonts w:ascii="Arial" w:hAnsi="Arial" w:cs="Arial"/>
                <w:b/>
                <w:bCs/>
                <w:sz w:val="20"/>
                <w:szCs w:val="20"/>
              </w:rPr>
            </w:pPr>
            <w:r w:rsidRPr="00D44004">
              <w:rPr>
                <w:rFonts w:ascii="Arial" w:hAnsi="Arial" w:cs="Arial"/>
                <w:b/>
                <w:bCs/>
                <w:sz w:val="20"/>
                <w:szCs w:val="20"/>
              </w:rPr>
              <w:t>Variables</w:t>
            </w:r>
          </w:p>
        </w:tc>
        <w:tc>
          <w:tcPr>
            <w:tcW w:w="666"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Yes</w:t>
            </w:r>
          </w:p>
        </w:tc>
        <w:tc>
          <w:tcPr>
            <w:tcW w:w="610" w:type="pct"/>
            <w:tcBorders>
              <w:top w:val="single" w:sz="4" w:space="0" w:color="auto"/>
              <w:bottom w:val="single" w:sz="4" w:space="0" w:color="auto"/>
            </w:tcBorders>
            <w:vAlign w:val="center"/>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No</w:t>
            </w:r>
          </w:p>
        </w:tc>
        <w:tc>
          <w:tcPr>
            <w:tcW w:w="575"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h</w:t>
            </w:r>
            <w:r w:rsidRPr="00D44004">
              <w:rPr>
                <w:rFonts w:ascii="Arial" w:hAnsi="Arial" w:cs="Arial"/>
                <w:b/>
                <w:bCs/>
                <w:sz w:val="20"/>
                <w:szCs w:val="20"/>
                <w:vertAlign w:val="superscript"/>
              </w:rPr>
              <w:t>2</w:t>
            </w:r>
          </w:p>
        </w:tc>
        <w:tc>
          <w:tcPr>
            <w:tcW w:w="576" w:type="pct"/>
            <w:tcBorders>
              <w:top w:val="single" w:sz="4" w:space="0" w:color="auto"/>
              <w:bottom w:val="single" w:sz="4" w:space="0" w:color="auto"/>
            </w:tcBorders>
            <w:vAlign w:val="center"/>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rsidTr="0045709F">
        <w:trPr>
          <w:trHeight w:val="305"/>
          <w:jc w:val="center"/>
        </w:trPr>
        <w:tc>
          <w:tcPr>
            <w:tcW w:w="1091" w:type="pct"/>
            <w:vMerge w:val="restart"/>
            <w:tcBorders>
              <w:top w:val="single" w:sz="4" w:space="0" w:color="auto"/>
            </w:tcBorders>
            <w:vAlign w:val="center"/>
            <w:hideMark/>
          </w:tcPr>
          <w:p w:rsidR="005E58FF" w:rsidRPr="00D44004" w:rsidRDefault="005E58FF" w:rsidP="005E58FF">
            <w:pPr>
              <w:jc w:val="both"/>
              <w:rPr>
                <w:rFonts w:ascii="Arial" w:hAnsi="Arial" w:cs="Arial"/>
                <w:b/>
                <w:bCs/>
                <w:sz w:val="20"/>
                <w:szCs w:val="20"/>
              </w:rPr>
            </w:pPr>
            <w:r w:rsidRPr="00D44004">
              <w:rPr>
                <w:rFonts w:ascii="Arial" w:hAnsi="Arial" w:cs="Arial"/>
                <w:sz w:val="20"/>
                <w:szCs w:val="20"/>
              </w:rPr>
              <w:t>Fatty liver</w:t>
            </w:r>
          </w:p>
          <w:p w:rsidR="005E58FF" w:rsidRPr="00D44004" w:rsidRDefault="005E58FF" w:rsidP="005E58FF">
            <w:pPr>
              <w:jc w:val="both"/>
              <w:rPr>
                <w:rFonts w:ascii="Arial" w:hAnsi="Arial" w:cs="Arial"/>
                <w:sz w:val="20"/>
                <w:szCs w:val="20"/>
              </w:rPr>
            </w:pPr>
          </w:p>
        </w:tc>
        <w:tc>
          <w:tcPr>
            <w:tcW w:w="1110" w:type="pct"/>
            <w:vMerge w:val="restart"/>
            <w:tcBorders>
              <w:top w:val="single" w:sz="4" w:space="0" w:color="auto"/>
            </w:tcBorders>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rsidR="005E58FF" w:rsidRPr="00D44004" w:rsidRDefault="005E58FF" w:rsidP="005E58FF">
            <w:pPr>
              <w:jc w:val="both"/>
              <w:rPr>
                <w:rFonts w:ascii="Arial" w:hAnsi="Arial" w:cs="Arial"/>
                <w:sz w:val="20"/>
                <w:szCs w:val="20"/>
              </w:rPr>
            </w:pPr>
          </w:p>
        </w:tc>
        <w:tc>
          <w:tcPr>
            <w:tcW w:w="372" w:type="pct"/>
            <w:tcBorders>
              <w:top w:val="single" w:sz="4" w:space="0" w:color="auto"/>
            </w:tcBorders>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tcBorders>
              <w:top w:val="single" w:sz="4" w:space="0" w:color="auto"/>
            </w:tcBorders>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610" w:type="pct"/>
            <w:tcBorders>
              <w:top w:val="single" w:sz="4" w:space="0" w:color="auto"/>
            </w:tcBorders>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w:t>
            </w:r>
          </w:p>
        </w:tc>
        <w:tc>
          <w:tcPr>
            <w:tcW w:w="575" w:type="pct"/>
            <w:vMerge w:val="restart"/>
            <w:tcBorders>
              <w:top w:val="single" w:sz="4" w:space="0" w:color="auto"/>
            </w:tcBorders>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16,53</w:t>
            </w:r>
          </w:p>
        </w:tc>
        <w:tc>
          <w:tcPr>
            <w:tcW w:w="576" w:type="pct"/>
            <w:vMerge w:val="restart"/>
            <w:tcBorders>
              <w:top w:val="single" w:sz="4" w:space="0" w:color="auto"/>
            </w:tcBorders>
            <w:vAlign w:val="center"/>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rsidTr="0045709F">
        <w:trPr>
          <w:trHeight w:val="127"/>
          <w:jc w:val="center"/>
        </w:trPr>
        <w:tc>
          <w:tcPr>
            <w:tcW w:w="1091" w:type="pct"/>
            <w:vMerge/>
            <w:vAlign w:val="center"/>
            <w:hideMark/>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77.4%</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22.6%</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293"/>
          <w:jc w:val="center"/>
        </w:trPr>
        <w:tc>
          <w:tcPr>
            <w:tcW w:w="1091" w:type="pct"/>
            <w:vMerge/>
            <w:vAlign w:val="center"/>
            <w:hideMark/>
          </w:tcPr>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69"/>
          <w:jc w:val="center"/>
        </w:trPr>
        <w:tc>
          <w:tcPr>
            <w:tcW w:w="1091" w:type="pct"/>
            <w:vMerge/>
            <w:vAlign w:val="center"/>
            <w:hideMark/>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25.8%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74.2%</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05"/>
          <w:jc w:val="center"/>
        </w:trPr>
        <w:tc>
          <w:tcPr>
            <w:tcW w:w="1091" w:type="pct"/>
            <w:vMerge w:val="restart"/>
            <w:vAlign w:val="center"/>
          </w:tcPr>
          <w:p w:rsidR="005E58FF" w:rsidRPr="00D44004" w:rsidRDefault="005E58FF" w:rsidP="005E58FF">
            <w:pPr>
              <w:jc w:val="both"/>
              <w:rPr>
                <w:rFonts w:ascii="Arial" w:hAnsi="Arial" w:cs="Arial"/>
                <w:b/>
                <w:bCs/>
                <w:sz w:val="20"/>
                <w:szCs w:val="20"/>
              </w:rPr>
            </w:pPr>
            <w:r w:rsidRPr="00D44004">
              <w:rPr>
                <w:rFonts w:ascii="Arial" w:hAnsi="Arial" w:cs="Arial"/>
                <w:sz w:val="20"/>
                <w:szCs w:val="20"/>
              </w:rPr>
              <w:t>Transaminases</w:t>
            </w:r>
          </w:p>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13</w:t>
            </w:r>
          </w:p>
        </w:tc>
        <w:tc>
          <w:tcPr>
            <w:tcW w:w="575" w:type="pct"/>
            <w:vMerge w:val="restar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16,20</w:t>
            </w:r>
          </w:p>
        </w:tc>
        <w:tc>
          <w:tcPr>
            <w:tcW w:w="576" w:type="pct"/>
            <w:vMerge w:val="restart"/>
            <w:vAlign w:val="center"/>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58.1%</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41.9%</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293"/>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3</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9.7%</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90.3%</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05"/>
          <w:jc w:val="center"/>
        </w:trPr>
        <w:tc>
          <w:tcPr>
            <w:tcW w:w="1091" w:type="pct"/>
            <w:vMerge w:val="restart"/>
            <w:vAlign w:val="center"/>
          </w:tcPr>
          <w:p w:rsidR="005E58FF" w:rsidRPr="00D44004" w:rsidRDefault="005E58FF" w:rsidP="005E58FF">
            <w:pPr>
              <w:jc w:val="both"/>
              <w:rPr>
                <w:rFonts w:ascii="Arial" w:hAnsi="Arial" w:cs="Arial"/>
                <w:b/>
                <w:bCs/>
                <w:sz w:val="20"/>
                <w:szCs w:val="20"/>
              </w:rPr>
            </w:pPr>
            <w:r w:rsidRPr="00D44004">
              <w:rPr>
                <w:rFonts w:ascii="Arial" w:hAnsi="Arial" w:cs="Arial"/>
                <w:sz w:val="20"/>
                <w:szCs w:val="20"/>
              </w:rPr>
              <w:lastRenderedPageBreak/>
              <w:t>Bilirubin</w:t>
            </w:r>
          </w:p>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17</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14</w:t>
            </w:r>
          </w:p>
        </w:tc>
        <w:tc>
          <w:tcPr>
            <w:tcW w:w="575" w:type="pct"/>
            <w:vMerge w:val="restar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5,42</w:t>
            </w:r>
          </w:p>
        </w:tc>
        <w:tc>
          <w:tcPr>
            <w:tcW w:w="576" w:type="pct"/>
            <w:vMerge w:val="restart"/>
            <w:vAlign w:val="center"/>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.020</w:t>
            </w: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54.8%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45.2%</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293"/>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25.8%</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74.2%</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05"/>
          <w:jc w:val="center"/>
        </w:trPr>
        <w:tc>
          <w:tcPr>
            <w:tcW w:w="1091" w:type="pct"/>
            <w:vMerge w:val="restart"/>
            <w:vAlign w:val="center"/>
          </w:tcPr>
          <w:p w:rsidR="005E58FF" w:rsidRPr="00D44004" w:rsidRDefault="005E58FF" w:rsidP="005E58FF">
            <w:pPr>
              <w:jc w:val="both"/>
              <w:rPr>
                <w:rFonts w:ascii="Arial" w:hAnsi="Arial" w:cs="Arial"/>
                <w:b/>
                <w:bCs/>
                <w:sz w:val="20"/>
                <w:szCs w:val="20"/>
              </w:rPr>
            </w:pPr>
            <w:proofErr w:type="spellStart"/>
            <w:r w:rsidRPr="00D44004">
              <w:rPr>
                <w:rFonts w:ascii="Arial" w:hAnsi="Arial" w:cs="Arial"/>
                <w:sz w:val="20"/>
                <w:szCs w:val="20"/>
              </w:rPr>
              <w:t>gGT</w:t>
            </w:r>
            <w:proofErr w:type="spellEnd"/>
          </w:p>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10</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21</w:t>
            </w:r>
          </w:p>
        </w:tc>
        <w:tc>
          <w:tcPr>
            <w:tcW w:w="575" w:type="pct"/>
            <w:vMerge w:val="restar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4,75</w:t>
            </w:r>
          </w:p>
        </w:tc>
        <w:tc>
          <w:tcPr>
            <w:tcW w:w="576" w:type="pct"/>
            <w:vMerge w:val="restart"/>
            <w:vAlign w:val="center"/>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.029</w:t>
            </w: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32.3%</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67.7%</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293"/>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3</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38"/>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9.7%</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90.3%</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b/>
                <w:sz w:val="20"/>
                <w:szCs w:val="20"/>
              </w:rPr>
            </w:pPr>
          </w:p>
        </w:tc>
      </w:tr>
      <w:tr w:rsidR="005E58FF" w:rsidRPr="00D44004" w:rsidTr="0045709F">
        <w:trPr>
          <w:trHeight w:val="190"/>
          <w:jc w:val="center"/>
        </w:trPr>
        <w:tc>
          <w:tcPr>
            <w:tcW w:w="1091" w:type="pct"/>
            <w:vMerge w:val="restart"/>
            <w:vAlign w:val="center"/>
          </w:tcPr>
          <w:p w:rsidR="005E58FF" w:rsidRPr="00D44004" w:rsidRDefault="005E58FF" w:rsidP="005E58FF">
            <w:pPr>
              <w:jc w:val="both"/>
              <w:rPr>
                <w:rFonts w:ascii="Arial" w:hAnsi="Arial" w:cs="Arial"/>
                <w:sz w:val="20"/>
                <w:szCs w:val="20"/>
              </w:rPr>
            </w:pPr>
            <w:r w:rsidRPr="00D44004">
              <w:rPr>
                <w:rFonts w:ascii="Arial" w:hAnsi="Arial" w:cs="Arial"/>
                <w:sz w:val="20"/>
                <w:szCs w:val="20"/>
              </w:rPr>
              <w:t>Lipid status</w:t>
            </w: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Experimental</w:t>
            </w:r>
          </w:p>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14</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17</w:t>
            </w:r>
          </w:p>
        </w:tc>
        <w:tc>
          <w:tcPr>
            <w:tcW w:w="575" w:type="pct"/>
            <w:vMerge w:val="restar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4,72</w:t>
            </w:r>
          </w:p>
        </w:tc>
        <w:tc>
          <w:tcPr>
            <w:tcW w:w="576" w:type="pct"/>
            <w:vMerge w:val="restart"/>
            <w:vAlign w:val="center"/>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.030</w:t>
            </w:r>
          </w:p>
        </w:tc>
      </w:tr>
      <w:tr w:rsidR="005E58FF" w:rsidRPr="00D44004" w:rsidTr="0045709F">
        <w:trPr>
          <w:trHeight w:val="205"/>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ign w:val="center"/>
            <w:hideMark/>
          </w:tcPr>
          <w:p w:rsidR="005E58FF" w:rsidRPr="00D44004" w:rsidRDefault="005E58FF" w:rsidP="005E58FF">
            <w:pPr>
              <w:jc w:val="both"/>
              <w:rPr>
                <w:rFonts w:ascii="Arial" w:hAnsi="Arial" w:cs="Arial"/>
                <w:sz w:val="20"/>
                <w:szCs w:val="20"/>
              </w:rPr>
            </w:pP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45.2%</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54.8%</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sz w:val="20"/>
                <w:szCs w:val="20"/>
              </w:rPr>
            </w:pPr>
          </w:p>
        </w:tc>
      </w:tr>
      <w:tr w:rsidR="005E58FF" w:rsidRPr="00D44004" w:rsidTr="0045709F">
        <w:trPr>
          <w:trHeight w:val="305"/>
          <w:jc w:val="center"/>
        </w:trPr>
        <w:tc>
          <w:tcPr>
            <w:tcW w:w="1091" w:type="pct"/>
            <w:vMerge/>
            <w:vAlign w:val="center"/>
          </w:tcPr>
          <w:p w:rsidR="005E58FF" w:rsidRPr="00D44004" w:rsidRDefault="005E58FF" w:rsidP="005E58FF">
            <w:pPr>
              <w:jc w:val="both"/>
              <w:rPr>
                <w:rFonts w:ascii="Arial" w:hAnsi="Arial" w:cs="Arial"/>
                <w:sz w:val="20"/>
                <w:szCs w:val="20"/>
              </w:rPr>
            </w:pPr>
          </w:p>
        </w:tc>
        <w:tc>
          <w:tcPr>
            <w:tcW w:w="1110" w:type="pct"/>
            <w:vMerge w:val="restart"/>
            <w:vAlign w:val="center"/>
            <w:hideMark/>
          </w:tcPr>
          <w:p w:rsidR="005E58FF" w:rsidRPr="00D44004" w:rsidRDefault="005E58FF" w:rsidP="005E58FF">
            <w:pPr>
              <w:jc w:val="both"/>
              <w:rPr>
                <w:rFonts w:ascii="Arial" w:hAnsi="Arial" w:cs="Arial"/>
                <w:sz w:val="20"/>
                <w:szCs w:val="20"/>
              </w:rPr>
            </w:pPr>
            <w:r w:rsidRPr="00D44004">
              <w:rPr>
                <w:rFonts w:ascii="Arial" w:hAnsi="Arial" w:cs="Arial"/>
                <w:sz w:val="20"/>
                <w:szCs w:val="20"/>
              </w:rPr>
              <w:t>Control</w:t>
            </w:r>
          </w:p>
        </w:tc>
        <w:tc>
          <w:tcPr>
            <w:tcW w:w="372" w:type="pct"/>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N</w:t>
            </w:r>
          </w:p>
        </w:tc>
        <w:tc>
          <w:tcPr>
            <w:tcW w:w="666"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6</w:t>
            </w:r>
          </w:p>
        </w:tc>
        <w:tc>
          <w:tcPr>
            <w:tcW w:w="610" w:type="pct"/>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25</w:t>
            </w:r>
          </w:p>
        </w:tc>
        <w:tc>
          <w:tcPr>
            <w:tcW w:w="575" w:type="pct"/>
            <w:vMerge/>
            <w:noWrap/>
            <w:vAlign w:val="center"/>
          </w:tcPr>
          <w:p w:rsidR="005E58FF" w:rsidRPr="00D44004" w:rsidRDefault="005E58FF" w:rsidP="005E58FF">
            <w:pPr>
              <w:jc w:val="center"/>
              <w:rPr>
                <w:rFonts w:ascii="Arial" w:hAnsi="Arial" w:cs="Arial"/>
                <w:sz w:val="20"/>
                <w:szCs w:val="20"/>
              </w:rPr>
            </w:pPr>
          </w:p>
        </w:tc>
        <w:tc>
          <w:tcPr>
            <w:tcW w:w="576" w:type="pct"/>
            <w:vMerge/>
            <w:vAlign w:val="center"/>
          </w:tcPr>
          <w:p w:rsidR="005E58FF" w:rsidRPr="00D44004" w:rsidRDefault="005E58FF" w:rsidP="005E58FF">
            <w:pPr>
              <w:jc w:val="center"/>
              <w:rPr>
                <w:rFonts w:ascii="Arial" w:hAnsi="Arial" w:cs="Arial"/>
                <w:sz w:val="20"/>
                <w:szCs w:val="20"/>
              </w:rPr>
            </w:pPr>
          </w:p>
        </w:tc>
      </w:tr>
      <w:tr w:rsidR="005E58FF" w:rsidRPr="00D44004" w:rsidTr="0045709F">
        <w:trPr>
          <w:trHeight w:val="38"/>
          <w:jc w:val="center"/>
        </w:trPr>
        <w:tc>
          <w:tcPr>
            <w:tcW w:w="1091" w:type="pct"/>
            <w:vMerge/>
            <w:tcBorders>
              <w:bottom w:val="single" w:sz="4" w:space="0" w:color="auto"/>
            </w:tcBorders>
            <w:vAlign w:val="center"/>
          </w:tcPr>
          <w:p w:rsidR="005E58FF" w:rsidRPr="00D44004" w:rsidRDefault="005E58FF" w:rsidP="005E58FF">
            <w:pPr>
              <w:jc w:val="both"/>
              <w:rPr>
                <w:rFonts w:ascii="Arial" w:hAnsi="Arial" w:cs="Arial"/>
                <w:sz w:val="20"/>
                <w:szCs w:val="20"/>
              </w:rPr>
            </w:pPr>
          </w:p>
        </w:tc>
        <w:tc>
          <w:tcPr>
            <w:tcW w:w="1110" w:type="pct"/>
            <w:vMerge/>
            <w:tcBorders>
              <w:bottom w:val="single" w:sz="4" w:space="0" w:color="auto"/>
            </w:tcBorders>
            <w:vAlign w:val="center"/>
            <w:hideMark/>
          </w:tcPr>
          <w:p w:rsidR="005E58FF" w:rsidRPr="00D44004" w:rsidRDefault="005E58FF" w:rsidP="005E58FF">
            <w:pPr>
              <w:jc w:val="both"/>
              <w:rPr>
                <w:rFonts w:ascii="Arial" w:hAnsi="Arial" w:cs="Arial"/>
                <w:sz w:val="20"/>
                <w:szCs w:val="20"/>
              </w:rPr>
            </w:pPr>
          </w:p>
        </w:tc>
        <w:tc>
          <w:tcPr>
            <w:tcW w:w="372" w:type="pct"/>
            <w:tcBorders>
              <w:bottom w:val="single" w:sz="4" w:space="0" w:color="auto"/>
            </w:tcBorders>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w:t>
            </w:r>
          </w:p>
        </w:tc>
        <w:tc>
          <w:tcPr>
            <w:tcW w:w="666" w:type="pct"/>
            <w:tcBorders>
              <w:bottom w:val="single" w:sz="4" w:space="0" w:color="auto"/>
            </w:tcBorders>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19.4%</w:t>
            </w:r>
          </w:p>
        </w:tc>
        <w:tc>
          <w:tcPr>
            <w:tcW w:w="610" w:type="pct"/>
            <w:tcBorders>
              <w:bottom w:val="single" w:sz="4" w:space="0" w:color="auto"/>
            </w:tcBorders>
            <w:noWrap/>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80.6%</w:t>
            </w:r>
          </w:p>
        </w:tc>
        <w:tc>
          <w:tcPr>
            <w:tcW w:w="575" w:type="pct"/>
            <w:vMerge/>
            <w:tcBorders>
              <w:bottom w:val="single" w:sz="4" w:space="0" w:color="auto"/>
            </w:tcBorders>
            <w:noWrap/>
            <w:vAlign w:val="center"/>
          </w:tcPr>
          <w:p w:rsidR="005E58FF" w:rsidRPr="00D44004" w:rsidRDefault="005E58FF" w:rsidP="005E58FF">
            <w:pPr>
              <w:jc w:val="center"/>
              <w:rPr>
                <w:rFonts w:ascii="Arial" w:hAnsi="Arial" w:cs="Arial"/>
                <w:sz w:val="20"/>
                <w:szCs w:val="20"/>
              </w:rPr>
            </w:pPr>
          </w:p>
        </w:tc>
        <w:tc>
          <w:tcPr>
            <w:tcW w:w="576" w:type="pct"/>
            <w:vMerge/>
            <w:tcBorders>
              <w:bottom w:val="single" w:sz="4" w:space="0" w:color="auto"/>
            </w:tcBorders>
            <w:vAlign w:val="center"/>
          </w:tcPr>
          <w:p w:rsidR="005E58FF" w:rsidRPr="00D44004" w:rsidRDefault="005E58FF" w:rsidP="005E58FF">
            <w:pPr>
              <w:jc w:val="center"/>
              <w:rPr>
                <w:rFonts w:ascii="Arial" w:hAnsi="Arial" w:cs="Arial"/>
                <w:sz w:val="20"/>
                <w:szCs w:val="20"/>
              </w:rPr>
            </w:pPr>
          </w:p>
        </w:tc>
      </w:tr>
    </w:tbl>
    <w:p w:rsidR="005E58FF" w:rsidRPr="00D44004" w:rsidRDefault="005E58FF" w:rsidP="005E58FF">
      <w:pPr>
        <w:rPr>
          <w:rFonts w:ascii="Arial" w:hAnsi="Arial" w:cs="Arial"/>
        </w:rPr>
      </w:pPr>
    </w:p>
    <w:p w:rsidR="005E58FF" w:rsidRPr="00D44004" w:rsidRDefault="005E58FF" w:rsidP="0045709F">
      <w:pPr>
        <w:jc w:val="both"/>
        <w:rPr>
          <w:rFonts w:ascii="Arial" w:eastAsia="Calibri" w:hAnsi="Arial" w:cs="Arial"/>
          <w:lang w:val="hr-BA"/>
        </w:rPr>
      </w:pPr>
      <w:r w:rsidRPr="00D44004">
        <w:rPr>
          <w:rFonts w:ascii="Arial" w:eastAsia="Calibri" w:hAnsi="Arial" w:cs="Arial"/>
          <w:lang w:val="hr-BA"/>
        </w:rPr>
        <w:t>In order to assess the impact of years of work experience on the variables "Fatty Liver," "Transaminases," "Bilirubin," "GGT," and "Lipid Status," logistic regression analysis was applied, and the results of beta coefficients are presented in Table 4. Beta coefficients in logistic regression indicate the size and direction of the predictor's effect on the outcome variable (in this case, variables related to the liver).</w:t>
      </w:r>
    </w:p>
    <w:p w:rsidR="005E58FF" w:rsidRPr="00D44004" w:rsidRDefault="005E58FF" w:rsidP="005E58FF">
      <w:pPr>
        <w:rPr>
          <w:rFonts w:ascii="Arial" w:eastAsia="Calibri" w:hAnsi="Arial" w:cs="Arial"/>
          <w:lang w:val="hr-BA"/>
        </w:rPr>
      </w:pPr>
    </w:p>
    <w:p w:rsidR="005E58FF" w:rsidRPr="00D44004" w:rsidRDefault="005E58FF" w:rsidP="005E58FF">
      <w:pPr>
        <w:spacing w:line="360" w:lineRule="auto"/>
        <w:rPr>
          <w:rFonts w:ascii="Arial" w:eastAsia="Calibri" w:hAnsi="Arial" w:cs="Arial"/>
          <w:lang w:val="hr-BA"/>
        </w:rPr>
      </w:pPr>
      <w:r w:rsidRPr="00D44004">
        <w:rPr>
          <w:rFonts w:ascii="Arial" w:eastAsia="Calibri" w:hAnsi="Arial" w:cs="Arial"/>
          <w:b/>
          <w:bCs/>
          <w:lang w:val="hr-BA"/>
        </w:rPr>
        <w:t>Table 4.</w:t>
      </w:r>
      <w:r w:rsidRPr="00D44004">
        <w:rPr>
          <w:rFonts w:ascii="Arial" w:eastAsia="Calibri" w:hAnsi="Arial" w:cs="Arial"/>
          <w:lang w:val="hr-BA"/>
        </w:rPr>
        <w:t xml:space="preserve"> Beta coefficient results.</w:t>
      </w:r>
    </w:p>
    <w:tbl>
      <w:tblPr>
        <w:tblStyle w:val="TableGrid"/>
        <w:tblW w:w="491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1282"/>
        <w:gridCol w:w="1282"/>
        <w:gridCol w:w="1122"/>
        <w:gridCol w:w="1122"/>
        <w:gridCol w:w="1087"/>
      </w:tblGrid>
      <w:tr w:rsidR="005E58FF" w:rsidRPr="00D44004" w:rsidTr="0045709F">
        <w:trPr>
          <w:trHeight w:val="494"/>
          <w:jc w:val="center"/>
        </w:trPr>
        <w:tc>
          <w:tcPr>
            <w:tcW w:w="2278" w:type="pct"/>
            <w:tcBorders>
              <w:top w:val="single" w:sz="4" w:space="0" w:color="auto"/>
              <w:bottom w:val="single" w:sz="4" w:space="0" w:color="auto"/>
            </w:tcBorders>
            <w:vAlign w:val="center"/>
            <w:hideMark/>
          </w:tcPr>
          <w:p w:rsidR="005E58FF" w:rsidRPr="00D44004" w:rsidRDefault="005E58FF" w:rsidP="0045709F">
            <w:pPr>
              <w:rPr>
                <w:rFonts w:ascii="Arial" w:hAnsi="Arial" w:cs="Arial"/>
                <w:b/>
                <w:bCs/>
                <w:sz w:val="20"/>
                <w:szCs w:val="20"/>
              </w:rPr>
            </w:pPr>
            <w:r w:rsidRPr="00D44004">
              <w:rPr>
                <w:rFonts w:ascii="Arial" w:hAnsi="Arial" w:cs="Arial"/>
                <w:b/>
                <w:bCs/>
                <w:sz w:val="20"/>
                <w:szCs w:val="20"/>
              </w:rPr>
              <w:t>Variables</w:t>
            </w:r>
          </w:p>
        </w:tc>
        <w:tc>
          <w:tcPr>
            <w:tcW w:w="592"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Beta</w:t>
            </w:r>
          </w:p>
        </w:tc>
        <w:tc>
          <w:tcPr>
            <w:tcW w:w="592"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SG</w:t>
            </w:r>
          </w:p>
        </w:tc>
        <w:tc>
          <w:tcPr>
            <w:tcW w:w="518"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df</w:t>
            </w:r>
          </w:p>
        </w:tc>
        <w:tc>
          <w:tcPr>
            <w:tcW w:w="518"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F</w:t>
            </w:r>
          </w:p>
        </w:tc>
        <w:tc>
          <w:tcPr>
            <w:tcW w:w="503" w:type="pct"/>
            <w:tcBorders>
              <w:top w:val="single" w:sz="4" w:space="0" w:color="auto"/>
              <w:bottom w:val="single" w:sz="4" w:space="0" w:color="auto"/>
            </w:tcBorders>
            <w:vAlign w:val="center"/>
            <w:hideMark/>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rsidTr="0045709F">
        <w:trPr>
          <w:trHeight w:val="100"/>
          <w:jc w:val="center"/>
        </w:trPr>
        <w:tc>
          <w:tcPr>
            <w:tcW w:w="2278" w:type="pct"/>
            <w:tcBorders>
              <w:top w:val="single" w:sz="4" w:space="0" w:color="auto"/>
            </w:tcBorders>
            <w:vAlign w:val="center"/>
            <w:hideMark/>
          </w:tcPr>
          <w:p w:rsidR="005E58FF" w:rsidRPr="00D44004" w:rsidRDefault="005E58FF" w:rsidP="0045709F">
            <w:pPr>
              <w:rPr>
                <w:rFonts w:ascii="Arial" w:hAnsi="Arial" w:cs="Arial"/>
                <w:sz w:val="20"/>
                <w:szCs w:val="20"/>
              </w:rPr>
            </w:pPr>
            <w:r w:rsidRPr="00D44004">
              <w:rPr>
                <w:rFonts w:ascii="Arial" w:hAnsi="Arial" w:cs="Arial"/>
                <w:sz w:val="20"/>
                <w:szCs w:val="20"/>
              </w:rPr>
              <w:t>Fatty liver (liver steatosis)</w:t>
            </w:r>
          </w:p>
        </w:tc>
        <w:tc>
          <w:tcPr>
            <w:tcW w:w="592" w:type="pct"/>
            <w:tcBorders>
              <w:top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.32</w:t>
            </w:r>
          </w:p>
        </w:tc>
        <w:tc>
          <w:tcPr>
            <w:tcW w:w="592" w:type="pct"/>
            <w:tcBorders>
              <w:top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.15</w:t>
            </w:r>
          </w:p>
        </w:tc>
        <w:tc>
          <w:tcPr>
            <w:tcW w:w="518" w:type="pct"/>
            <w:tcBorders>
              <w:top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tcBorders>
              <w:top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4.68</w:t>
            </w:r>
          </w:p>
        </w:tc>
        <w:tc>
          <w:tcPr>
            <w:tcW w:w="503" w:type="pct"/>
            <w:tcBorders>
              <w:top w:val="single" w:sz="4" w:space="0" w:color="auto"/>
            </w:tcBorders>
            <w:noWrap/>
            <w:vAlign w:val="center"/>
            <w:hideMark/>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.018</w:t>
            </w:r>
          </w:p>
        </w:tc>
      </w:tr>
      <w:tr w:rsidR="005E58FF" w:rsidRPr="00D44004" w:rsidTr="0045709F">
        <w:trPr>
          <w:trHeight w:val="116"/>
          <w:jc w:val="center"/>
        </w:trPr>
        <w:tc>
          <w:tcPr>
            <w:tcW w:w="2278" w:type="pct"/>
            <w:vAlign w:val="center"/>
            <w:hideMark/>
          </w:tcPr>
          <w:p w:rsidR="005E58FF" w:rsidRPr="00D44004" w:rsidRDefault="005E58FF" w:rsidP="0045709F">
            <w:pPr>
              <w:rPr>
                <w:rFonts w:ascii="Arial" w:hAnsi="Arial" w:cs="Arial"/>
                <w:sz w:val="20"/>
                <w:szCs w:val="20"/>
              </w:rPr>
            </w:pPr>
            <w:r w:rsidRPr="00D44004">
              <w:rPr>
                <w:rFonts w:ascii="Arial" w:hAnsi="Arial" w:cs="Arial"/>
                <w:sz w:val="20"/>
                <w:szCs w:val="20"/>
              </w:rPr>
              <w:t>Transaminases</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1</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.01</w:t>
            </w:r>
          </w:p>
        </w:tc>
        <w:tc>
          <w:tcPr>
            <w:tcW w:w="503"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.911</w:t>
            </w:r>
          </w:p>
        </w:tc>
      </w:tr>
      <w:tr w:rsidR="005E58FF" w:rsidRPr="00D44004" w:rsidTr="0045709F">
        <w:trPr>
          <w:trHeight w:val="116"/>
          <w:jc w:val="center"/>
        </w:trPr>
        <w:tc>
          <w:tcPr>
            <w:tcW w:w="2278" w:type="pct"/>
            <w:vAlign w:val="center"/>
            <w:hideMark/>
          </w:tcPr>
          <w:p w:rsidR="005E58FF" w:rsidRPr="00D44004" w:rsidRDefault="005E58FF" w:rsidP="0045709F">
            <w:pPr>
              <w:rPr>
                <w:rFonts w:ascii="Arial" w:hAnsi="Arial" w:cs="Arial"/>
                <w:sz w:val="20"/>
                <w:szCs w:val="20"/>
              </w:rPr>
            </w:pPr>
            <w:r w:rsidRPr="00D44004">
              <w:rPr>
                <w:rFonts w:ascii="Arial" w:hAnsi="Arial" w:cs="Arial"/>
                <w:sz w:val="20"/>
                <w:szCs w:val="20"/>
              </w:rPr>
              <w:t>Bilirubin</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-.52</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.11</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22.48</w:t>
            </w:r>
          </w:p>
        </w:tc>
        <w:tc>
          <w:tcPr>
            <w:tcW w:w="503" w:type="pct"/>
            <w:noWrap/>
            <w:vAlign w:val="center"/>
            <w:hideMark/>
          </w:tcPr>
          <w:p w:rsidR="005E58FF" w:rsidRPr="00D44004" w:rsidRDefault="005E58FF" w:rsidP="005E58FF">
            <w:pPr>
              <w:jc w:val="center"/>
              <w:rPr>
                <w:rFonts w:ascii="Arial" w:hAnsi="Arial" w:cs="Arial"/>
                <w:b/>
                <w:sz w:val="20"/>
                <w:szCs w:val="20"/>
              </w:rPr>
            </w:pPr>
            <w:r w:rsidRPr="00D44004">
              <w:rPr>
                <w:rFonts w:ascii="Arial" w:hAnsi="Arial" w:cs="Arial"/>
                <w:b/>
                <w:sz w:val="20"/>
                <w:szCs w:val="20"/>
              </w:rPr>
              <w:t>.000</w:t>
            </w:r>
          </w:p>
        </w:tc>
      </w:tr>
      <w:tr w:rsidR="005E58FF" w:rsidRPr="00D44004" w:rsidTr="0045709F">
        <w:trPr>
          <w:trHeight w:val="116"/>
          <w:jc w:val="center"/>
        </w:trPr>
        <w:tc>
          <w:tcPr>
            <w:tcW w:w="2278" w:type="pct"/>
            <w:vAlign w:val="center"/>
            <w:hideMark/>
          </w:tcPr>
          <w:p w:rsidR="005E58FF" w:rsidRPr="00D44004" w:rsidRDefault="005E58FF" w:rsidP="0045709F">
            <w:pPr>
              <w:rPr>
                <w:rFonts w:ascii="Arial" w:hAnsi="Arial" w:cs="Arial"/>
                <w:sz w:val="20"/>
                <w:szCs w:val="20"/>
              </w:rPr>
            </w:pPr>
            <w:r w:rsidRPr="00D44004">
              <w:rPr>
                <w:rFonts w:ascii="Arial" w:hAnsi="Arial" w:cs="Arial"/>
                <w:sz w:val="20"/>
                <w:szCs w:val="20"/>
              </w:rPr>
              <w:t>GGT</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-.26</w:t>
            </w:r>
          </w:p>
        </w:tc>
        <w:tc>
          <w:tcPr>
            <w:tcW w:w="592"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.28</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1</w:t>
            </w:r>
          </w:p>
        </w:tc>
        <w:tc>
          <w:tcPr>
            <w:tcW w:w="518"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.82</w:t>
            </w:r>
          </w:p>
        </w:tc>
        <w:tc>
          <w:tcPr>
            <w:tcW w:w="503" w:type="pct"/>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.371</w:t>
            </w:r>
          </w:p>
        </w:tc>
      </w:tr>
      <w:tr w:rsidR="005E58FF" w:rsidRPr="00D44004" w:rsidTr="0045709F">
        <w:trPr>
          <w:trHeight w:val="151"/>
          <w:jc w:val="center"/>
        </w:trPr>
        <w:tc>
          <w:tcPr>
            <w:tcW w:w="2278" w:type="pct"/>
            <w:tcBorders>
              <w:bottom w:val="single" w:sz="4" w:space="0" w:color="auto"/>
            </w:tcBorders>
            <w:vAlign w:val="center"/>
            <w:hideMark/>
          </w:tcPr>
          <w:p w:rsidR="005E58FF" w:rsidRPr="00D44004" w:rsidRDefault="005E58FF" w:rsidP="0045709F">
            <w:pPr>
              <w:rPr>
                <w:rFonts w:ascii="Arial" w:hAnsi="Arial" w:cs="Arial"/>
                <w:sz w:val="20"/>
                <w:szCs w:val="20"/>
              </w:rPr>
            </w:pPr>
            <w:r w:rsidRPr="00D44004">
              <w:rPr>
                <w:rFonts w:ascii="Arial" w:hAnsi="Arial" w:cs="Arial"/>
                <w:sz w:val="20"/>
                <w:szCs w:val="20"/>
              </w:rPr>
              <w:t>Lipid status</w:t>
            </w:r>
          </w:p>
        </w:tc>
        <w:tc>
          <w:tcPr>
            <w:tcW w:w="592" w:type="pct"/>
            <w:tcBorders>
              <w:bottom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.13</w:t>
            </w:r>
          </w:p>
        </w:tc>
        <w:tc>
          <w:tcPr>
            <w:tcW w:w="592" w:type="pct"/>
            <w:tcBorders>
              <w:bottom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.23</w:t>
            </w:r>
          </w:p>
        </w:tc>
        <w:tc>
          <w:tcPr>
            <w:tcW w:w="518" w:type="pct"/>
            <w:tcBorders>
              <w:bottom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2</w:t>
            </w:r>
          </w:p>
        </w:tc>
        <w:tc>
          <w:tcPr>
            <w:tcW w:w="518" w:type="pct"/>
            <w:tcBorders>
              <w:bottom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.33</w:t>
            </w:r>
          </w:p>
        </w:tc>
        <w:tc>
          <w:tcPr>
            <w:tcW w:w="503" w:type="pct"/>
            <w:tcBorders>
              <w:bottom w:val="single" w:sz="4" w:space="0" w:color="auto"/>
            </w:tcBorders>
            <w:noWrap/>
            <w:vAlign w:val="center"/>
            <w:hideMark/>
          </w:tcPr>
          <w:p w:rsidR="005E58FF" w:rsidRPr="00D44004" w:rsidRDefault="005E58FF" w:rsidP="005E58FF">
            <w:pPr>
              <w:jc w:val="center"/>
              <w:rPr>
                <w:rFonts w:ascii="Arial" w:hAnsi="Arial" w:cs="Arial"/>
                <w:sz w:val="20"/>
                <w:szCs w:val="20"/>
              </w:rPr>
            </w:pPr>
            <w:r w:rsidRPr="00D44004">
              <w:rPr>
                <w:rFonts w:ascii="Arial" w:hAnsi="Arial" w:cs="Arial"/>
                <w:sz w:val="20"/>
                <w:szCs w:val="20"/>
              </w:rPr>
              <w:t>.718</w:t>
            </w:r>
          </w:p>
        </w:tc>
      </w:tr>
    </w:tbl>
    <w:p w:rsidR="005E58FF" w:rsidRPr="00D44004" w:rsidRDefault="005E58FF" w:rsidP="005E58FF">
      <w:pPr>
        <w:pStyle w:val="Figurecaption"/>
        <w:spacing w:before="0" w:after="0"/>
        <w:ind w:left="0"/>
        <w:rPr>
          <w:rFonts w:ascii="Arial" w:hAnsi="Arial" w:cs="Arial"/>
          <w:sz w:val="20"/>
        </w:rPr>
      </w:pPr>
    </w:p>
    <w:p w:rsidR="005E58FF" w:rsidRPr="00D44004" w:rsidRDefault="005E58FF" w:rsidP="00D44004">
      <w:pPr>
        <w:spacing w:after="200" w:line="276" w:lineRule="auto"/>
        <w:rPr>
          <w:rFonts w:ascii="Arial" w:eastAsia="Calibri" w:hAnsi="Arial" w:cs="Arial"/>
        </w:rPr>
      </w:pPr>
      <w:r w:rsidRPr="00D44004">
        <w:rPr>
          <w:rFonts w:ascii="Arial" w:eastAsia="Calibri" w:hAnsi="Arial" w:cs="Arial"/>
        </w:rPr>
        <w:t>Based on the beta coefficient results, it can be concluded that at a significance level of 0.05, with an increase in years of work experience in the experimental group of participants, the values of fatty liver increase. Regarding the dependent variable bilirubin, the beta coefficient results are negative. This result can be interpreted as, at a significance level of 0.05, an increase in years of work experience in the experimental group of participants is associated with a decrease in bilirubin values.</w:t>
      </w:r>
    </w:p>
    <w:p w:rsidR="005E58FF" w:rsidRPr="00D44004" w:rsidRDefault="005E58FF" w:rsidP="005E58FF">
      <w:pPr>
        <w:adjustRightInd w:val="0"/>
        <w:spacing w:line="360" w:lineRule="auto"/>
        <w:rPr>
          <w:rFonts w:ascii="Arial" w:eastAsia="Calibri" w:hAnsi="Arial" w:cs="Arial"/>
        </w:rPr>
      </w:pPr>
      <w:r w:rsidRPr="00D44004">
        <w:rPr>
          <w:rFonts w:ascii="Arial" w:eastAsia="Calibri" w:hAnsi="Arial" w:cs="Arial"/>
          <w:b/>
          <w:bCs/>
        </w:rPr>
        <w:t xml:space="preserve">Table 5. </w:t>
      </w:r>
      <w:r w:rsidRPr="00D44004">
        <w:rPr>
          <w:rFonts w:ascii="Arial" w:eastAsia="Calibri" w:hAnsi="Arial" w:cs="Arial"/>
        </w:rPr>
        <w:t>Correlation analysis.</w:t>
      </w:r>
    </w:p>
    <w:tbl>
      <w:tblPr>
        <w:tblStyle w:val="TableGrid"/>
        <w:tblW w:w="491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942"/>
        <w:gridCol w:w="2393"/>
        <w:gridCol w:w="2187"/>
        <w:gridCol w:w="2296"/>
      </w:tblGrid>
      <w:tr w:rsidR="005E58FF" w:rsidRPr="00D44004" w:rsidTr="0045709F">
        <w:trPr>
          <w:trHeight w:val="301"/>
          <w:jc w:val="center"/>
        </w:trPr>
        <w:tc>
          <w:tcPr>
            <w:tcW w:w="2928" w:type="pct"/>
            <w:gridSpan w:val="2"/>
            <w:tcBorders>
              <w:top w:val="single" w:sz="4" w:space="0" w:color="auto"/>
              <w:bottom w:val="single" w:sz="4" w:space="0" w:color="auto"/>
            </w:tcBorders>
            <w:vAlign w:val="center"/>
          </w:tcPr>
          <w:p w:rsidR="005E58FF" w:rsidRPr="00D44004" w:rsidRDefault="005E58FF" w:rsidP="0045709F">
            <w:pPr>
              <w:rPr>
                <w:rFonts w:ascii="Arial" w:hAnsi="Arial" w:cs="Arial"/>
                <w:b/>
                <w:bCs/>
                <w:sz w:val="20"/>
                <w:szCs w:val="20"/>
              </w:rPr>
            </w:pPr>
            <w:r w:rsidRPr="00D44004">
              <w:rPr>
                <w:rFonts w:ascii="Arial" w:hAnsi="Arial" w:cs="Arial"/>
                <w:b/>
                <w:bCs/>
                <w:sz w:val="20"/>
                <w:szCs w:val="20"/>
              </w:rPr>
              <w:t>Variable</w:t>
            </w:r>
          </w:p>
        </w:tc>
        <w:tc>
          <w:tcPr>
            <w:tcW w:w="1011" w:type="pct"/>
            <w:tcBorders>
              <w:top w:val="single" w:sz="4" w:space="0" w:color="auto"/>
              <w:bottom w:val="single" w:sz="4" w:space="0" w:color="auto"/>
            </w:tcBorders>
            <w:vAlign w:val="center"/>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r</w:t>
            </w:r>
          </w:p>
        </w:tc>
        <w:tc>
          <w:tcPr>
            <w:tcW w:w="1061" w:type="pct"/>
            <w:tcBorders>
              <w:top w:val="single" w:sz="4" w:space="0" w:color="auto"/>
              <w:bottom w:val="single" w:sz="4" w:space="0" w:color="auto"/>
            </w:tcBorders>
            <w:vAlign w:val="center"/>
          </w:tcPr>
          <w:p w:rsidR="005E58FF" w:rsidRPr="00D44004" w:rsidRDefault="005E58FF" w:rsidP="005E58FF">
            <w:pPr>
              <w:jc w:val="center"/>
              <w:rPr>
                <w:rFonts w:ascii="Arial" w:hAnsi="Arial" w:cs="Arial"/>
                <w:b/>
                <w:bCs/>
                <w:sz w:val="20"/>
                <w:szCs w:val="20"/>
              </w:rPr>
            </w:pPr>
            <w:r w:rsidRPr="00D44004">
              <w:rPr>
                <w:rFonts w:ascii="Arial" w:hAnsi="Arial" w:cs="Arial"/>
                <w:b/>
                <w:bCs/>
                <w:sz w:val="20"/>
                <w:szCs w:val="20"/>
              </w:rPr>
              <w:t>P</w:t>
            </w:r>
          </w:p>
        </w:tc>
      </w:tr>
      <w:tr w:rsidR="005E58FF" w:rsidRPr="00D44004" w:rsidTr="0045709F">
        <w:trPr>
          <w:trHeight w:val="301"/>
          <w:jc w:val="center"/>
        </w:trPr>
        <w:tc>
          <w:tcPr>
            <w:tcW w:w="1822" w:type="pct"/>
            <w:vMerge w:val="restart"/>
            <w:tcBorders>
              <w:top w:val="single" w:sz="4" w:space="0" w:color="auto"/>
            </w:tcBorders>
            <w:vAlign w:val="center"/>
          </w:tcPr>
          <w:p w:rsidR="005E58FF" w:rsidRPr="00D44004" w:rsidRDefault="005E58FF" w:rsidP="0045709F">
            <w:pPr>
              <w:rPr>
                <w:rFonts w:ascii="Arial" w:hAnsi="Arial" w:cs="Arial"/>
                <w:sz w:val="20"/>
                <w:szCs w:val="20"/>
              </w:rPr>
            </w:pPr>
            <w:r w:rsidRPr="00D44004">
              <w:rPr>
                <w:rFonts w:ascii="Arial" w:hAnsi="Arial" w:cs="Arial"/>
                <w:sz w:val="20"/>
                <w:szCs w:val="20"/>
              </w:rPr>
              <w:t>Fat sly – Lipid status</w:t>
            </w:r>
          </w:p>
        </w:tc>
        <w:tc>
          <w:tcPr>
            <w:tcW w:w="1106" w:type="pct"/>
            <w:tcBorders>
              <w:top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tcBorders>
              <w:top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1061" w:type="pct"/>
            <w:tcBorders>
              <w:top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.889</w:t>
            </w:r>
          </w:p>
        </w:tc>
      </w:tr>
      <w:tr w:rsidR="005E58FF" w:rsidRPr="00D44004" w:rsidTr="0045709F">
        <w:trPr>
          <w:trHeight w:val="301"/>
          <w:jc w:val="center"/>
        </w:trPr>
        <w:tc>
          <w:tcPr>
            <w:tcW w:w="1822" w:type="pct"/>
            <w:vMerge/>
            <w:vAlign w:val="center"/>
          </w:tcPr>
          <w:p w:rsidR="005E58FF" w:rsidRPr="00D44004" w:rsidRDefault="005E58FF" w:rsidP="0045709F">
            <w:pPr>
              <w:rPr>
                <w:rFonts w:ascii="Arial" w:hAnsi="Arial" w:cs="Arial"/>
                <w:sz w:val="20"/>
                <w:szCs w:val="20"/>
              </w:rPr>
            </w:pP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.02</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.889</w:t>
            </w:r>
          </w:p>
        </w:tc>
      </w:tr>
      <w:tr w:rsidR="005E58FF" w:rsidRPr="00D44004" w:rsidTr="0045709F">
        <w:trPr>
          <w:trHeight w:val="301"/>
          <w:jc w:val="center"/>
        </w:trPr>
        <w:tc>
          <w:tcPr>
            <w:tcW w:w="1822" w:type="pct"/>
            <w:vMerge w:val="restart"/>
            <w:vAlign w:val="center"/>
          </w:tcPr>
          <w:p w:rsidR="005E58FF" w:rsidRPr="00D44004" w:rsidRDefault="005E58FF" w:rsidP="0045709F">
            <w:pPr>
              <w:rPr>
                <w:rFonts w:ascii="Arial" w:hAnsi="Arial" w:cs="Arial"/>
                <w:sz w:val="20"/>
                <w:szCs w:val="20"/>
              </w:rPr>
            </w:pPr>
            <w:r w:rsidRPr="00D44004">
              <w:rPr>
                <w:rFonts w:ascii="Arial" w:hAnsi="Arial" w:cs="Arial"/>
                <w:sz w:val="20"/>
                <w:szCs w:val="20"/>
              </w:rPr>
              <w:t>Transaminase - Lipid status</w:t>
            </w: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-.08</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.623</w:t>
            </w:r>
          </w:p>
        </w:tc>
      </w:tr>
      <w:tr w:rsidR="005E58FF" w:rsidRPr="00D44004" w:rsidTr="0045709F">
        <w:trPr>
          <w:trHeight w:val="301"/>
          <w:jc w:val="center"/>
        </w:trPr>
        <w:tc>
          <w:tcPr>
            <w:tcW w:w="1822" w:type="pct"/>
            <w:vMerge/>
            <w:vAlign w:val="center"/>
          </w:tcPr>
          <w:p w:rsidR="005E58FF" w:rsidRPr="00D44004" w:rsidRDefault="005E58FF" w:rsidP="0045709F">
            <w:pPr>
              <w:rPr>
                <w:rFonts w:ascii="Arial" w:hAnsi="Arial" w:cs="Arial"/>
                <w:sz w:val="20"/>
                <w:szCs w:val="20"/>
              </w:rPr>
            </w:pP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.08</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.623</w:t>
            </w:r>
          </w:p>
        </w:tc>
      </w:tr>
      <w:tr w:rsidR="005E58FF" w:rsidRPr="00D44004" w:rsidTr="0045709F">
        <w:trPr>
          <w:trHeight w:val="301"/>
          <w:jc w:val="center"/>
        </w:trPr>
        <w:tc>
          <w:tcPr>
            <w:tcW w:w="1822" w:type="pct"/>
            <w:vMerge w:val="restart"/>
            <w:vAlign w:val="center"/>
          </w:tcPr>
          <w:p w:rsidR="005E58FF" w:rsidRPr="00D44004" w:rsidRDefault="005E58FF" w:rsidP="0045709F">
            <w:pPr>
              <w:rPr>
                <w:rFonts w:ascii="Arial" w:hAnsi="Arial" w:cs="Arial"/>
                <w:sz w:val="20"/>
                <w:szCs w:val="20"/>
              </w:rPr>
            </w:pPr>
            <w:r w:rsidRPr="00D44004">
              <w:rPr>
                <w:rFonts w:ascii="Arial" w:hAnsi="Arial" w:cs="Arial"/>
                <w:sz w:val="20"/>
                <w:szCs w:val="20"/>
              </w:rPr>
              <w:t>Bilirubin – Lipid status</w:t>
            </w: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.171</w:t>
            </w:r>
          </w:p>
        </w:tc>
      </w:tr>
      <w:tr w:rsidR="005E58FF" w:rsidRPr="00D44004" w:rsidTr="0045709F">
        <w:trPr>
          <w:trHeight w:val="301"/>
          <w:jc w:val="center"/>
        </w:trPr>
        <w:tc>
          <w:tcPr>
            <w:tcW w:w="1822" w:type="pct"/>
            <w:vMerge/>
            <w:vAlign w:val="center"/>
          </w:tcPr>
          <w:p w:rsidR="005E58FF" w:rsidRPr="00D44004" w:rsidRDefault="005E58FF" w:rsidP="0045709F">
            <w:pPr>
              <w:rPr>
                <w:rFonts w:ascii="Arial" w:hAnsi="Arial" w:cs="Arial"/>
                <w:sz w:val="20"/>
                <w:szCs w:val="20"/>
              </w:rPr>
            </w:pP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.24</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.171</w:t>
            </w:r>
          </w:p>
        </w:tc>
      </w:tr>
      <w:tr w:rsidR="005E58FF" w:rsidRPr="00D44004" w:rsidTr="0045709F">
        <w:trPr>
          <w:trHeight w:val="289"/>
          <w:jc w:val="center"/>
        </w:trPr>
        <w:tc>
          <w:tcPr>
            <w:tcW w:w="1822" w:type="pct"/>
            <w:vMerge w:val="restart"/>
            <w:vAlign w:val="center"/>
          </w:tcPr>
          <w:p w:rsidR="005E58FF" w:rsidRPr="00D44004" w:rsidRDefault="005E58FF" w:rsidP="0045709F">
            <w:pPr>
              <w:rPr>
                <w:rFonts w:ascii="Arial" w:hAnsi="Arial" w:cs="Arial"/>
                <w:sz w:val="20"/>
                <w:szCs w:val="20"/>
              </w:rPr>
            </w:pPr>
            <w:r w:rsidRPr="00D44004">
              <w:rPr>
                <w:rFonts w:ascii="Arial" w:hAnsi="Arial" w:cs="Arial"/>
                <w:sz w:val="20"/>
                <w:szCs w:val="20"/>
              </w:rPr>
              <w:t>Gamma GT – Lipid status</w:t>
            </w:r>
          </w:p>
        </w:tc>
        <w:tc>
          <w:tcPr>
            <w:tcW w:w="1106"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Phi</w:t>
            </w:r>
          </w:p>
        </w:tc>
        <w:tc>
          <w:tcPr>
            <w:tcW w:w="101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.06</w:t>
            </w:r>
          </w:p>
        </w:tc>
        <w:tc>
          <w:tcPr>
            <w:tcW w:w="1061" w:type="pct"/>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.709</w:t>
            </w:r>
          </w:p>
        </w:tc>
      </w:tr>
      <w:tr w:rsidR="005E58FF" w:rsidRPr="00D44004" w:rsidTr="0045709F">
        <w:trPr>
          <w:trHeight w:val="301"/>
          <w:jc w:val="center"/>
        </w:trPr>
        <w:tc>
          <w:tcPr>
            <w:tcW w:w="1822" w:type="pct"/>
            <w:vMerge/>
            <w:tcBorders>
              <w:bottom w:val="single" w:sz="4" w:space="0" w:color="auto"/>
            </w:tcBorders>
            <w:vAlign w:val="center"/>
          </w:tcPr>
          <w:p w:rsidR="005E58FF" w:rsidRPr="00D44004" w:rsidRDefault="005E58FF" w:rsidP="005E58FF">
            <w:pPr>
              <w:jc w:val="both"/>
              <w:rPr>
                <w:rFonts w:ascii="Arial" w:hAnsi="Arial" w:cs="Arial"/>
                <w:sz w:val="20"/>
                <w:szCs w:val="20"/>
              </w:rPr>
            </w:pPr>
          </w:p>
        </w:tc>
        <w:tc>
          <w:tcPr>
            <w:tcW w:w="1106" w:type="pct"/>
            <w:tcBorders>
              <w:bottom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Cramer's V</w:t>
            </w:r>
          </w:p>
        </w:tc>
        <w:tc>
          <w:tcPr>
            <w:tcW w:w="1011" w:type="pct"/>
            <w:tcBorders>
              <w:bottom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.06</w:t>
            </w:r>
          </w:p>
        </w:tc>
        <w:tc>
          <w:tcPr>
            <w:tcW w:w="1061" w:type="pct"/>
            <w:tcBorders>
              <w:bottom w:val="single" w:sz="4" w:space="0" w:color="auto"/>
            </w:tcBorders>
            <w:vAlign w:val="center"/>
          </w:tcPr>
          <w:p w:rsidR="005E58FF" w:rsidRPr="00D44004" w:rsidRDefault="005E58FF" w:rsidP="005E58FF">
            <w:pPr>
              <w:jc w:val="center"/>
              <w:rPr>
                <w:rFonts w:ascii="Arial" w:hAnsi="Arial" w:cs="Arial"/>
                <w:sz w:val="20"/>
                <w:szCs w:val="20"/>
              </w:rPr>
            </w:pPr>
            <w:r w:rsidRPr="00D44004">
              <w:rPr>
                <w:rFonts w:ascii="Arial" w:hAnsi="Arial" w:cs="Arial"/>
                <w:sz w:val="20"/>
                <w:szCs w:val="20"/>
              </w:rPr>
              <w:t>.709</w:t>
            </w:r>
          </w:p>
        </w:tc>
      </w:tr>
    </w:tbl>
    <w:p w:rsidR="0045709F" w:rsidRDefault="0045709F" w:rsidP="00D44004">
      <w:pPr>
        <w:rPr>
          <w:rFonts w:ascii="Arial" w:hAnsi="Arial" w:cs="Arial"/>
        </w:rPr>
      </w:pPr>
    </w:p>
    <w:p w:rsidR="005E58FF" w:rsidRPr="00D44004" w:rsidRDefault="005E58FF" w:rsidP="00D44004">
      <w:pPr>
        <w:rPr>
          <w:rFonts w:ascii="Arial" w:hAnsi="Arial" w:cs="Arial"/>
        </w:rPr>
      </w:pPr>
      <w:r w:rsidRPr="00D44004">
        <w:rPr>
          <w:rFonts w:ascii="Arial" w:hAnsi="Arial" w:cs="Arial"/>
        </w:rPr>
        <w:t xml:space="preserve">Benzene is </w:t>
      </w:r>
      <w:proofErr w:type="spellStart"/>
      <w:r w:rsidRPr="00D44004">
        <w:rPr>
          <w:rFonts w:ascii="Arial" w:hAnsi="Arial" w:cs="Arial"/>
        </w:rPr>
        <w:t>metaboli</w:t>
      </w:r>
      <w:r w:rsidR="00E94AB0">
        <w:rPr>
          <w:rFonts w:ascii="Arial" w:hAnsi="Arial" w:cs="Arial"/>
        </w:rPr>
        <w:t>s</w:t>
      </w:r>
      <w:r w:rsidRPr="00D44004">
        <w:rPr>
          <w:rFonts w:ascii="Arial" w:hAnsi="Arial" w:cs="Arial"/>
        </w:rPr>
        <w:t>ed</w:t>
      </w:r>
      <w:proofErr w:type="spellEnd"/>
      <w:r w:rsidRPr="00D44004">
        <w:rPr>
          <w:rFonts w:ascii="Arial" w:hAnsi="Arial" w:cs="Arial"/>
        </w:rPr>
        <w:t xml:space="preserve"> in the liver to phenol, which is conjugated with sulfuric and glucuronic acids and excreted in the urine. A smaller part is eliminated unchanged through the lungs. Damage to the liver, kidneys and nervous system is caused by the effect of benzene peroxide, which is created during the metabolism of benzene and which, as a free radical, causes damage to various tissues and organs in the body. During the metabolism of benzene, sulfur is consumed, which is necessary for the synthesis of glutathione. Glutathione is needed for the regeneration of ascorbic acid, so there is a lack of vitamin C. Hypoxia occurs due to the intensive oxidation of benzene and intermediate products, which consume O2 in the blood.</w:t>
      </w:r>
    </w:p>
    <w:p w:rsidR="005E58FF" w:rsidRPr="00D44004" w:rsidRDefault="005E58FF" w:rsidP="00D44004">
      <w:pPr>
        <w:rPr>
          <w:rFonts w:ascii="Arial" w:hAnsi="Arial" w:cs="Arial"/>
        </w:rPr>
      </w:pPr>
      <w:r w:rsidRPr="00D44004">
        <w:rPr>
          <w:rFonts w:ascii="Arial" w:hAnsi="Arial" w:cs="Arial"/>
        </w:rPr>
        <w:t xml:space="preserve">The activation of benzene and its metabolites culminates in the damage of lipids, proteins and carbohydrates by various chemical reactions such as oxidation, nitration and halogenation, which leads to functional changes in various tissues. Inhalation of benzene leads to serious dysfunction of organ systems. Current results show that inhalation of benzene at </w:t>
      </w:r>
      <w:r w:rsidRPr="00D44004">
        <w:rPr>
          <w:rFonts w:ascii="Arial" w:hAnsi="Arial" w:cs="Arial"/>
        </w:rPr>
        <w:lastRenderedPageBreak/>
        <w:t>different concentrations (for 10, 30 and 50 ppm) for 14 days causes a significant increase in lipid peroxidation (LPO) in serum and liver, and this effect increases with increasing benzene concentration. LPO is known to disrupt the integrity of cell membranes, and is associated with the pathogenesis of various liver and kidney damage. Reactive oxygen species (ROS) and LPO are hypothesized to serve as common mediators of apoptosis in response to many toxic substances and pathological conditions.</w:t>
      </w:r>
    </w:p>
    <w:p w:rsidR="00D44004" w:rsidRPr="00D44004" w:rsidRDefault="005E58FF" w:rsidP="005E58FF">
      <w:pPr>
        <w:rPr>
          <w:rFonts w:ascii="Arial" w:hAnsi="Arial" w:cs="Arial"/>
          <w:b/>
          <w:bCs/>
        </w:rPr>
      </w:pPr>
      <w:r w:rsidRPr="00D44004">
        <w:rPr>
          <w:rFonts w:ascii="Arial" w:hAnsi="Arial" w:cs="Arial"/>
          <w:b/>
          <w:bCs/>
        </w:rPr>
        <w:t xml:space="preserve"> </w:t>
      </w:r>
    </w:p>
    <w:p w:rsidR="00D44004" w:rsidRPr="008F3E20" w:rsidRDefault="00D44004" w:rsidP="00D44004">
      <w:pPr>
        <w:jc w:val="both"/>
        <w:rPr>
          <w:rFonts w:ascii="Arial" w:hAnsi="Arial" w:cs="Arial"/>
          <w:b/>
          <w:bCs/>
          <w:sz w:val="22"/>
          <w:szCs w:val="22"/>
          <w:lang w:val="bs-Latn-BA"/>
        </w:rPr>
      </w:pPr>
      <w:r w:rsidRPr="008F3E20">
        <w:rPr>
          <w:rFonts w:ascii="Arial" w:hAnsi="Arial" w:cs="Arial"/>
          <w:b/>
          <w:bCs/>
          <w:sz w:val="22"/>
          <w:szCs w:val="22"/>
          <w:lang w:val="bs-Latn-BA"/>
        </w:rPr>
        <w:t>4. DISCUSSION</w:t>
      </w:r>
    </w:p>
    <w:p w:rsidR="00D44004" w:rsidRDefault="00D44004" w:rsidP="00D44004">
      <w:pPr>
        <w:pStyle w:val="Body"/>
        <w:spacing w:after="0"/>
        <w:rPr>
          <w:rFonts w:ascii="Arial" w:hAnsi="Arial" w:cs="Arial"/>
          <w:lang w:val="bs-Latn-BA"/>
        </w:rPr>
      </w:pPr>
    </w:p>
    <w:p w:rsidR="005E58FF" w:rsidRPr="00D44004" w:rsidRDefault="005E58FF" w:rsidP="005E58FF">
      <w:pPr>
        <w:rPr>
          <w:rFonts w:ascii="Arial" w:hAnsi="Arial" w:cs="Arial"/>
        </w:rPr>
      </w:pPr>
      <w:r w:rsidRPr="00D44004">
        <w:rPr>
          <w:rFonts w:ascii="Arial" w:hAnsi="Arial" w:cs="Arial"/>
        </w:rPr>
        <w:t xml:space="preserve">Exposure to benzene causes a significant increase in nitric oxide (NO) levels in serum and liver. Elevated values of NO can contribute to the development of protein damage, since NO directly reacts with the tyrosyl radical and forms 3-nitro-tyrosine. In addition, in high concentrations, NO together with superoxide anion </w:t>
      </w:r>
      <w:proofErr w:type="gramStart"/>
      <w:r w:rsidRPr="00D44004">
        <w:rPr>
          <w:rFonts w:ascii="Arial" w:hAnsi="Arial" w:cs="Arial"/>
        </w:rPr>
        <w:t>( O</w:t>
      </w:r>
      <w:proofErr w:type="gramEnd"/>
      <w:r w:rsidRPr="00D44004">
        <w:rPr>
          <w:rFonts w:ascii="Arial" w:hAnsi="Arial" w:cs="Arial"/>
        </w:rPr>
        <w:t xml:space="preserve">2•− ) forms </w:t>
      </w:r>
      <w:proofErr w:type="spellStart"/>
      <w:r w:rsidRPr="00D44004">
        <w:rPr>
          <w:rFonts w:ascii="Arial" w:hAnsi="Arial" w:cs="Arial"/>
        </w:rPr>
        <w:t>peroxynitrite</w:t>
      </w:r>
      <w:proofErr w:type="spellEnd"/>
      <w:r w:rsidRPr="00D44004">
        <w:rPr>
          <w:rFonts w:ascii="Arial" w:hAnsi="Arial" w:cs="Arial"/>
        </w:rPr>
        <w:t xml:space="preserve"> ( ONOO− ), which is the main nitrating agent. In addition to protein nitration, </w:t>
      </w:r>
      <w:proofErr w:type="spellStart"/>
      <w:r w:rsidRPr="00D44004">
        <w:rPr>
          <w:rFonts w:ascii="Arial" w:hAnsi="Arial" w:cs="Arial"/>
        </w:rPr>
        <w:t>peroxynitrite</w:t>
      </w:r>
      <w:proofErr w:type="spellEnd"/>
      <w:r w:rsidRPr="00D44004">
        <w:rPr>
          <w:rFonts w:ascii="Arial" w:hAnsi="Arial" w:cs="Arial"/>
        </w:rPr>
        <w:t xml:space="preserve"> can also induce protein carbonylation, a common oxidative damage to proteins. Both types of protein damage can lead to changes in protein function and subsequent changes in biological responses [10,11].</w:t>
      </w:r>
    </w:p>
    <w:p w:rsidR="005E58FF" w:rsidRPr="00D44004" w:rsidRDefault="005E58FF" w:rsidP="00D44004">
      <w:pPr>
        <w:rPr>
          <w:rFonts w:ascii="Arial" w:hAnsi="Arial" w:cs="Arial"/>
        </w:rPr>
      </w:pPr>
      <w:r w:rsidRPr="00D44004">
        <w:rPr>
          <w:rFonts w:ascii="Arial" w:hAnsi="Arial" w:cs="Arial"/>
        </w:rPr>
        <w:t>Glutathione (GSH) is an important intracellular scavenger of radicals that regulates the redox status of many other cellular substances and plays an important role in detoxification processes, especially those involved in the biotransformation of benzene.</w:t>
      </w:r>
    </w:p>
    <w:p w:rsidR="005E58FF" w:rsidRPr="00D44004" w:rsidRDefault="005E58FF" w:rsidP="00D44004">
      <w:pPr>
        <w:rPr>
          <w:rFonts w:ascii="Arial" w:hAnsi="Arial" w:cs="Arial"/>
        </w:rPr>
      </w:pPr>
      <w:r w:rsidRPr="00D44004">
        <w:rPr>
          <w:rFonts w:ascii="Arial" w:hAnsi="Arial" w:cs="Arial"/>
        </w:rPr>
        <w:t>Previous studies have indicated that GSH depletion is one of the important consequences of toxic damage and have established the key role of GSH in tissue protection from the toxic effects of the accumulation of reactive intermediates.</w:t>
      </w:r>
    </w:p>
    <w:p w:rsidR="005E58FF" w:rsidRPr="00D44004" w:rsidRDefault="005E58FF" w:rsidP="00D44004">
      <w:pPr>
        <w:rPr>
          <w:rFonts w:ascii="Arial" w:hAnsi="Arial" w:cs="Arial"/>
        </w:rPr>
      </w:pPr>
      <w:r w:rsidRPr="00D44004">
        <w:rPr>
          <w:rFonts w:ascii="Arial" w:hAnsi="Arial" w:cs="Arial"/>
        </w:rPr>
        <w:t xml:space="preserve">GSH is involved in the biotransformation of benzene in the liver. In the first step, benzene is oxidized to benzene-oxide in a reaction catalyzed by cytochrome P450 2E1; rearrangement generates phenol; the reaction with GSH catalyzed by GST produces </w:t>
      </w:r>
      <w:proofErr w:type="gramStart"/>
      <w:r w:rsidRPr="00D44004">
        <w:rPr>
          <w:rFonts w:ascii="Arial" w:hAnsi="Arial" w:cs="Arial"/>
        </w:rPr>
        <w:t>less</w:t>
      </w:r>
      <w:proofErr w:type="gramEnd"/>
      <w:r w:rsidRPr="00D44004">
        <w:rPr>
          <w:rFonts w:ascii="Arial" w:hAnsi="Arial" w:cs="Arial"/>
        </w:rPr>
        <w:t xml:space="preserve"> toxic metabolites, such as S-</w:t>
      </w:r>
      <w:proofErr w:type="spellStart"/>
      <w:r w:rsidRPr="00D44004">
        <w:rPr>
          <w:rFonts w:ascii="Arial" w:hAnsi="Arial" w:cs="Arial"/>
        </w:rPr>
        <w:t>phenylmercapturic</w:t>
      </w:r>
      <w:proofErr w:type="spellEnd"/>
      <w:r w:rsidRPr="00D44004">
        <w:rPr>
          <w:rFonts w:ascii="Arial" w:hAnsi="Arial" w:cs="Arial"/>
        </w:rPr>
        <w:t xml:space="preserve"> acid, which is excreted in the urine.</w:t>
      </w:r>
    </w:p>
    <w:p w:rsidR="005E58FF" w:rsidRPr="00D44004" w:rsidRDefault="005E58FF" w:rsidP="00D44004">
      <w:pPr>
        <w:rPr>
          <w:rFonts w:ascii="Arial" w:hAnsi="Arial" w:cs="Arial"/>
        </w:rPr>
      </w:pPr>
      <w:r w:rsidRPr="00D44004">
        <w:rPr>
          <w:rFonts w:ascii="Arial" w:hAnsi="Arial" w:cs="Arial"/>
        </w:rPr>
        <w:t>In our research, out of a total of 31 subjects in the experimental group, only one of them had a negative finding on the examined parameters. The largest number of subjects in the experimental group, 51.6%, had 5 to 10 years of work experience.</w:t>
      </w:r>
    </w:p>
    <w:p w:rsidR="005E58FF" w:rsidRPr="00D44004" w:rsidRDefault="005E58FF" w:rsidP="00D44004">
      <w:pPr>
        <w:rPr>
          <w:rFonts w:ascii="Arial" w:hAnsi="Arial" w:cs="Arial"/>
        </w:rPr>
      </w:pPr>
      <w:r w:rsidRPr="00D44004">
        <w:rPr>
          <w:rFonts w:ascii="Arial" w:hAnsi="Arial" w:cs="Arial"/>
        </w:rPr>
        <w:t xml:space="preserve">One of the first studies of the incidence of NASH in industrial workers was conducted in Brazil, in the highly industrialized northeastern region, during 1994, and included, among other things, the determination of markers of viral hepatitis and levels of liver enzymes and lipids in the serum of 1,500 petrochemical workers. </w:t>
      </w:r>
      <w:r w:rsidR="00E94AB0">
        <w:rPr>
          <w:rFonts w:ascii="Arial" w:hAnsi="Arial" w:cs="Arial"/>
        </w:rPr>
        <w:t>I</w:t>
      </w:r>
      <w:r w:rsidRPr="00D44004">
        <w:rPr>
          <w:rFonts w:ascii="Arial" w:hAnsi="Arial" w:cs="Arial"/>
        </w:rPr>
        <w:t>ndustries that have been exposed to numerous solvents for 5 years or more, including confirmed hepatotoxic substances such as vinyl chloride and chlorinated hydrocarbons. Of the 112 workers who were found to have elevated AST and/or ALT values, no other etiological causes were found in 32 (alcohol, viral liver disease, diabetes, increased body weight), and after a liver biopsy was performed, a diagnosis of NASH was made in 20 workers. Ten workers with a confirmed diagnosis of NASH were then relocated outside that industrial region and employed in workplaces where they were not exposed to solvents. The aforementioned ten workers had their liver enzymes checked monthly, and the liver biopsy was repeated after 8-14 months. In all ten workers, there was a gradual lowering of aminotransferase and GGT values in the serum and an improvement in the histological findings, primarily the withdrawal of steatosis and the reduction of portal inflammation and fibrosis. The authors concluded that NASH may occur as a consequence of exposure to volatile compounds in the petrochemical industry [12].</w:t>
      </w:r>
    </w:p>
    <w:p w:rsidR="005E58FF" w:rsidRPr="00D44004" w:rsidRDefault="005E58FF" w:rsidP="00D44004">
      <w:pPr>
        <w:rPr>
          <w:rFonts w:ascii="Arial" w:hAnsi="Arial" w:cs="Arial"/>
        </w:rPr>
      </w:pPr>
      <w:proofErr w:type="spellStart"/>
      <w:r w:rsidRPr="00D44004">
        <w:rPr>
          <w:rFonts w:ascii="Arial" w:hAnsi="Arial" w:cs="Arial"/>
        </w:rPr>
        <w:t>Cotrim</w:t>
      </w:r>
      <w:proofErr w:type="spellEnd"/>
      <w:r w:rsidRPr="00D44004">
        <w:rPr>
          <w:rFonts w:ascii="Arial" w:hAnsi="Arial" w:cs="Arial"/>
        </w:rPr>
        <w:t xml:space="preserve"> et al also conducted a comparative study of the clinical and pathological profile of NASH in 84 patients who were diagnosed with NASH, divided into three groups. The first group included 31 patients with more than 5 years of professional exposure to solvents (benzene, xylene, ethylene, dimethylformamide, vinyl chloride, etc.), the second group included 30 patients who were also exposed to solvents in their work history, but also suffered from diabetes, hyperlipidemia and were overweight, while the third group consisted of 23 patients with the same metabolic status as the patients of the second group, but without established professional exposure to solvents. Although it was a relatively small number of subjects, the results indicate that exposure to solvents is an independent risk factor for the development of NASH. In 2005, the same group of authors published a preliminary study of the association between insulin resistance and the occurrence of NAFLD in workers exposed to solvents in the petrochemical industry. Insulin resistance was determined in 40 workers exposed to solvents for 5 or more years who were diagnosed with NAFLD. Of the 22 patients (out of a total of 32 who were examined) who were diagnosed with steatohepatitis with fibrosis by liver biopsy, 17 of them did not have insulin resistance. The results indicate that NAFLD in workers in the petrochemical industry does not have to be based on insulin resistance, which may explain why histological changes in exposed workers resolve after cessation of exposure [13,14].</w:t>
      </w:r>
    </w:p>
    <w:p w:rsidR="005E58FF" w:rsidRPr="00D44004" w:rsidRDefault="005E58FF" w:rsidP="00D44004">
      <w:pPr>
        <w:rPr>
          <w:rFonts w:ascii="Arial" w:hAnsi="Arial" w:cs="Arial"/>
        </w:rPr>
      </w:pPr>
      <w:r w:rsidRPr="00D44004">
        <w:rPr>
          <w:rFonts w:ascii="Arial" w:hAnsi="Arial" w:cs="Arial"/>
        </w:rPr>
        <w:t>In our research, the most common positive parameter in the experimental group was fatty liver in 24 or 77.4% of them and transaminases in 18 or 58.1% of them, which is with statistical</w:t>
      </w:r>
      <w:r w:rsidR="00E94AB0">
        <w:rPr>
          <w:rFonts w:ascii="Arial" w:hAnsi="Arial" w:cs="Arial"/>
        </w:rPr>
        <w:t>ly significant</w:t>
      </w:r>
      <w:r w:rsidRPr="00D44004">
        <w:rPr>
          <w:rFonts w:ascii="Arial" w:hAnsi="Arial" w:cs="Arial"/>
        </w:rPr>
        <w:t xml:space="preserve"> of 0.01 more than in the control group. </w:t>
      </w:r>
      <w:proofErr w:type="gramStart"/>
      <w:r w:rsidRPr="00D44004">
        <w:rPr>
          <w:rFonts w:ascii="Arial" w:hAnsi="Arial" w:cs="Arial"/>
        </w:rPr>
        <w:t>Also</w:t>
      </w:r>
      <w:proofErr w:type="gramEnd"/>
      <w:r w:rsidRPr="00D44004">
        <w:rPr>
          <w:rFonts w:ascii="Arial" w:hAnsi="Arial" w:cs="Arial"/>
        </w:rPr>
        <w:t xml:space="preserve"> with </w:t>
      </w:r>
      <w:r w:rsidR="00E94AB0">
        <w:rPr>
          <w:rFonts w:ascii="Arial" w:hAnsi="Arial" w:cs="Arial"/>
        </w:rPr>
        <w:t xml:space="preserve">a </w:t>
      </w:r>
      <w:r w:rsidRPr="00D44004">
        <w:rPr>
          <w:rFonts w:ascii="Arial" w:hAnsi="Arial" w:cs="Arial"/>
        </w:rPr>
        <w:t>statistical significance of 0.05 were elevated values of bilirubin, GGT and lipid status.</w:t>
      </w:r>
    </w:p>
    <w:p w:rsidR="005E58FF" w:rsidRPr="00D44004" w:rsidRDefault="005E58FF" w:rsidP="00D44004">
      <w:pPr>
        <w:rPr>
          <w:rFonts w:ascii="Arial" w:hAnsi="Arial" w:cs="Arial"/>
        </w:rPr>
      </w:pPr>
      <w:r w:rsidRPr="00D44004">
        <w:rPr>
          <w:rFonts w:ascii="Arial" w:hAnsi="Arial" w:cs="Arial"/>
        </w:rPr>
        <w:t>Out of a total of 31 respondents, 4 of them had hypertension, diabetes was an exclusion factor, and our results, similarly to the aforementioned studies, indicated that there is no association between elevated values of lipid status and steatosis of the liver, transaminases and other monitored parameters (in the sense of excluding metabolic syndrome as a basis for changes in the structure of the liver parenchyma and changes in laboratory parameters of liver function).</w:t>
      </w:r>
    </w:p>
    <w:p w:rsidR="005E58FF" w:rsidRPr="00D44004" w:rsidRDefault="005E58FF" w:rsidP="00D44004">
      <w:pPr>
        <w:rPr>
          <w:rFonts w:ascii="Arial" w:hAnsi="Arial" w:cs="Arial"/>
        </w:rPr>
      </w:pPr>
      <w:r w:rsidRPr="00D44004">
        <w:rPr>
          <w:rFonts w:ascii="Arial" w:hAnsi="Arial" w:cs="Arial"/>
        </w:rPr>
        <w:lastRenderedPageBreak/>
        <w:t xml:space="preserve">A study conducted in a group of more than 600 workers in the petrochemical industry also linked exposure to solvents (benzene, xylene, ethylene, ethylene oxide, acetonitrile, butadiene, etc., in concentrations up to ten times higher than the then GVI values) for a duration of 10 and several years with an increase in liver transaminases (prevalence 18%), hyperlipidemia (up to 25%) accompanied by an enlarged liver [15]. Therefore, it has been proven that professional exposure to solvents in concentrations that </w:t>
      </w:r>
      <w:r w:rsidR="00E94AB0">
        <w:rPr>
          <w:rFonts w:ascii="Arial" w:hAnsi="Arial" w:cs="Arial"/>
        </w:rPr>
        <w:t xml:space="preserve">are </w:t>
      </w:r>
      <w:r w:rsidRPr="00D44004">
        <w:rPr>
          <w:rFonts w:ascii="Arial" w:hAnsi="Arial" w:cs="Arial"/>
        </w:rPr>
        <w:t>multiple times the GVI increases the risk of liver damage.</w:t>
      </w:r>
    </w:p>
    <w:p w:rsidR="005E58FF" w:rsidRPr="00D44004" w:rsidRDefault="005E58FF" w:rsidP="00D44004">
      <w:pPr>
        <w:rPr>
          <w:rFonts w:ascii="Arial" w:hAnsi="Arial" w:cs="Arial"/>
        </w:rPr>
      </w:pPr>
      <w:r w:rsidRPr="00D44004">
        <w:rPr>
          <w:rFonts w:ascii="Arial" w:hAnsi="Arial" w:cs="Arial"/>
        </w:rPr>
        <w:t>Analyzing the influence of length of service (exposure) on liver steatosis and changes in liver function parameters in our study, we came to the result that the appearance of steatosis in relation to the length of service increases with a statistical significance of 0.05.</w:t>
      </w:r>
    </w:p>
    <w:p w:rsidR="005E58FF" w:rsidRPr="00D44004" w:rsidRDefault="005E58FF" w:rsidP="00D44004">
      <w:pPr>
        <w:rPr>
          <w:rFonts w:ascii="Arial" w:hAnsi="Arial" w:cs="Arial"/>
        </w:rPr>
      </w:pPr>
      <w:r w:rsidRPr="00D44004">
        <w:rPr>
          <w:rFonts w:ascii="Arial" w:hAnsi="Arial" w:cs="Arial"/>
        </w:rPr>
        <w:t xml:space="preserve">A study conducted in an oil refinery with the aim of linking the occurrence of </w:t>
      </w:r>
      <w:proofErr w:type="spellStart"/>
      <w:r w:rsidRPr="00D44004">
        <w:rPr>
          <w:rFonts w:ascii="Arial" w:hAnsi="Arial" w:cs="Arial"/>
        </w:rPr>
        <w:t>hypertransaminasemia</w:t>
      </w:r>
      <w:proofErr w:type="spellEnd"/>
      <w:r w:rsidRPr="00D44004">
        <w:rPr>
          <w:rFonts w:ascii="Arial" w:hAnsi="Arial" w:cs="Arial"/>
        </w:rPr>
        <w:t xml:space="preserve"> with exposure to aromatic hydrocarbons included 167 industrial employees, 95 with exposure to hydrocarbons. Twenty-seven employees of both groups (29.4%) and 1 from the control group (1.4%) had </w:t>
      </w:r>
      <w:proofErr w:type="spellStart"/>
      <w:r w:rsidRPr="00D44004">
        <w:rPr>
          <w:rFonts w:ascii="Arial" w:hAnsi="Arial" w:cs="Arial"/>
        </w:rPr>
        <w:t>htamsemia</w:t>
      </w:r>
      <w:proofErr w:type="spellEnd"/>
      <w:r w:rsidRPr="00D44004">
        <w:rPr>
          <w:rFonts w:ascii="Arial" w:hAnsi="Arial" w:cs="Arial"/>
        </w:rPr>
        <w:t xml:space="preserve"> (p = 0.001). The remaining biochemical tests and measured parameters did not show significant differences between the two groups. Of the 27 workers with </w:t>
      </w:r>
      <w:proofErr w:type="spellStart"/>
      <w:r w:rsidRPr="00D44004">
        <w:rPr>
          <w:rFonts w:ascii="Arial" w:hAnsi="Arial" w:cs="Arial"/>
        </w:rPr>
        <w:t>htamsemia</w:t>
      </w:r>
      <w:proofErr w:type="spellEnd"/>
      <w:r w:rsidRPr="00D44004">
        <w:rPr>
          <w:rFonts w:ascii="Arial" w:hAnsi="Arial" w:cs="Arial"/>
        </w:rPr>
        <w:t>, 14 (51.9%) showed ultrasound images compatible with fatty liver. Ambient levels of BTX during the 9 months of the study remained below the maximum values allowed by law in Argentina (benzene, 1.5 ppm., toluene 10 ppm and xylene 18.5 ppm). Based on the study, it was concluded that occupational exposure to aromatic hydrocarbons can cause liver damage [16].</w:t>
      </w:r>
    </w:p>
    <w:p w:rsidR="005E58FF" w:rsidRPr="00D44004" w:rsidRDefault="005E58FF" w:rsidP="00D44004">
      <w:pPr>
        <w:rPr>
          <w:rFonts w:ascii="Arial" w:hAnsi="Arial" w:cs="Arial"/>
        </w:rPr>
      </w:pPr>
      <w:r w:rsidRPr="00D44004">
        <w:rPr>
          <w:rFonts w:ascii="Arial" w:hAnsi="Arial" w:cs="Arial"/>
        </w:rPr>
        <w:t>As previously stated, organic volatile substances, their metabolites and intermediate substances have numerous toxic effects on our body and, among other things, on the liver. Mostly these effects occur when exposed to higher concentrations than those permitted, however, chronic exposure to limit values and poor use of personal protective equipment cannot be excluded as a trigger [17].</w:t>
      </w:r>
    </w:p>
    <w:p w:rsidR="005E58FF" w:rsidRPr="00D44004" w:rsidRDefault="005E58FF" w:rsidP="00D44004">
      <w:pPr>
        <w:rPr>
          <w:rFonts w:ascii="Arial" w:hAnsi="Arial" w:cs="Arial"/>
        </w:rPr>
      </w:pPr>
      <w:r w:rsidRPr="00D44004">
        <w:rPr>
          <w:rFonts w:ascii="Arial" w:hAnsi="Arial" w:cs="Arial"/>
        </w:rPr>
        <w:t xml:space="preserve">In the case of evaluating the cause of liver damage, we are rarely able to </w:t>
      </w:r>
      <w:r w:rsidR="00E94AB0">
        <w:rPr>
          <w:rFonts w:ascii="Arial" w:hAnsi="Arial" w:cs="Arial"/>
        </w:rPr>
        <w:t>decide</w:t>
      </w:r>
      <w:r w:rsidRPr="00D44004">
        <w:rPr>
          <w:rFonts w:ascii="Arial" w:hAnsi="Arial" w:cs="Arial"/>
        </w:rPr>
        <w:t xml:space="preserve"> that it is an occupational liver disease, i.e. that occupational exposure to hepatotoxic substances is the only factor in the development of liver disease. Careful processing should, however, consider whether it is a work-related liver disease, i.e. whether occupational exposure is one of the possible causative factors in the occurrence of this disorder. A key role in this treatment is the clinical-toxicological analysis/assessment of possible health effects of the chemicals in question, which will answer two key questions: are the chemicals in question hepatotoxic and at what level of exposure. Given that the hepatotoxicity of a chemical depends on its structure and especially its metabolism, it is necessary to evaluate each chemical separately [18].</w:t>
      </w:r>
    </w:p>
    <w:p w:rsidR="005E58FF" w:rsidRPr="00D44004" w:rsidRDefault="005E58FF" w:rsidP="00D44004">
      <w:pPr>
        <w:rPr>
          <w:rFonts w:ascii="Arial" w:hAnsi="Arial" w:cs="Arial"/>
        </w:rPr>
      </w:pPr>
      <w:r w:rsidRPr="00D44004">
        <w:rPr>
          <w:rFonts w:ascii="Arial" w:hAnsi="Arial" w:cs="Arial"/>
        </w:rPr>
        <w:t xml:space="preserve">The composition of raw coke gas and its processing is very complex, and in addition to its basic ingredients (ammonia, benzene, sulfur, carbonic water and raw tar), there are also a number of other compounds that represent very dangerous pollutants for all ecosystems, such as hydrogen sulfide, cyanides, </w:t>
      </w:r>
      <w:proofErr w:type="spellStart"/>
      <w:r w:rsidRPr="00D44004">
        <w:rPr>
          <w:rFonts w:ascii="Arial" w:hAnsi="Arial" w:cs="Arial"/>
        </w:rPr>
        <w:t>triocyanides</w:t>
      </w:r>
      <w:proofErr w:type="spellEnd"/>
      <w:r w:rsidRPr="00D44004">
        <w:rPr>
          <w:rFonts w:ascii="Arial" w:hAnsi="Arial" w:cs="Arial"/>
        </w:rPr>
        <w:t>, hydrogen, but also over 70 other organic compounds in different concentration ranges.</w:t>
      </w:r>
    </w:p>
    <w:p w:rsidR="005E58FF" w:rsidRPr="00D44004" w:rsidRDefault="005E58FF" w:rsidP="00D44004">
      <w:pPr>
        <w:rPr>
          <w:rFonts w:ascii="Arial" w:hAnsi="Arial" w:cs="Arial"/>
        </w:rPr>
      </w:pPr>
      <w:r w:rsidRPr="00D44004">
        <w:rPr>
          <w:rFonts w:ascii="Arial" w:hAnsi="Arial" w:cs="Arial"/>
        </w:rPr>
        <w:t>In our study, neither ambient nor biological monitoring was followed. It is true that workers in the coke industry are exposed to numerous organic volatile substances and not only aromatic hydrocarbons. In our study, we did not provide an answer as to whether the results we obtained were a consequence of worker exposure to permitted values of organically volatile substances at the workplace or those values were above the permitted, as well as whether the results we obtained were a consequence of exposure to aromatic hydrocarbons or a consequence of synergistic effects of numerous organic volatile substances to which workers in the coke industry are exposed. Answers to these questions can be obtained with continuous environmental and biological monitoring.</w:t>
      </w:r>
    </w:p>
    <w:p w:rsidR="005E58FF" w:rsidRPr="00D44004" w:rsidRDefault="005E58FF" w:rsidP="00D44004">
      <w:pPr>
        <w:rPr>
          <w:rFonts w:ascii="Arial" w:hAnsi="Arial" w:cs="Arial"/>
        </w:rPr>
      </w:pPr>
      <w:r w:rsidRPr="00D44004">
        <w:rPr>
          <w:rFonts w:ascii="Arial" w:hAnsi="Arial" w:cs="Arial"/>
        </w:rPr>
        <w:t>Based on the results we obtained, it can be concluded with great certainty that organic volatile substances are the cause of morphological and functional changes in the liver.</w:t>
      </w:r>
    </w:p>
    <w:p w:rsidR="005E58FF" w:rsidRPr="00D44004" w:rsidRDefault="005E58FF" w:rsidP="005E58FF">
      <w:pPr>
        <w:rPr>
          <w:rFonts w:ascii="Arial" w:hAnsi="Arial" w:cs="Arial"/>
        </w:rPr>
      </w:pPr>
    </w:p>
    <w:p w:rsidR="00D44004" w:rsidRPr="0092486A" w:rsidRDefault="00D44004" w:rsidP="00D44004">
      <w:pPr>
        <w:pStyle w:val="ConcHead"/>
        <w:spacing w:after="0"/>
        <w:jc w:val="both"/>
        <w:rPr>
          <w:rFonts w:ascii="Arial" w:hAnsi="Arial" w:cs="Arial"/>
          <w:lang w:val="bs-Latn-BA"/>
        </w:rPr>
      </w:pPr>
      <w:r w:rsidRPr="00D44004">
        <w:rPr>
          <w:rFonts w:ascii="Arial" w:hAnsi="Arial" w:cs="Arial"/>
          <w:b w:val="0"/>
          <w:bCs/>
          <w:sz w:val="20"/>
        </w:rPr>
        <w:t>5.</w:t>
      </w:r>
      <w:r w:rsidRPr="00D44004">
        <w:rPr>
          <w:rFonts w:ascii="Arial" w:hAnsi="Arial" w:cs="Arial"/>
          <w:lang w:val="bs-Latn-BA"/>
        </w:rPr>
        <w:t xml:space="preserve"> </w:t>
      </w:r>
      <w:r w:rsidRPr="0092486A">
        <w:rPr>
          <w:rFonts w:ascii="Arial" w:hAnsi="Arial" w:cs="Arial"/>
          <w:lang w:val="bs-Latn-BA"/>
        </w:rPr>
        <w:t>Conclusion</w:t>
      </w:r>
    </w:p>
    <w:p w:rsidR="00D44004" w:rsidRDefault="00D44004" w:rsidP="00D44004">
      <w:pPr>
        <w:pStyle w:val="paragraph"/>
        <w:spacing w:before="0" w:beforeAutospacing="0" w:after="0" w:afterAutospacing="0"/>
        <w:jc w:val="both"/>
        <w:textAlignment w:val="baseline"/>
        <w:rPr>
          <w:rStyle w:val="normaltextrun"/>
          <w:rFonts w:ascii="Arial" w:hAnsi="Arial" w:cs="Arial"/>
          <w:sz w:val="20"/>
          <w:szCs w:val="20"/>
        </w:rPr>
      </w:pP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Exposure of workers to organic volatile substances in the workplace leads to changes in the morphological structure of the liver parenchyma in terms of fatty infiltration and causes changes in laboratory parameters of liver function (primarily transaminase, total bilirubin and lipid status). The length of service (exposure) at a workplace exposed to organic volatile substances affects the frequency of occurrence of </w:t>
      </w:r>
      <w:proofErr w:type="spellStart"/>
      <w:r w:rsidRPr="00D44004">
        <w:rPr>
          <w:rStyle w:val="normaltextrun"/>
          <w:rFonts w:ascii="Arial" w:hAnsi="Arial" w:cs="Arial"/>
          <w:sz w:val="20"/>
          <w:szCs w:val="20"/>
        </w:rPr>
        <w:t>steatotic</w:t>
      </w:r>
      <w:proofErr w:type="spellEnd"/>
      <w:r w:rsidRPr="00D44004">
        <w:rPr>
          <w:rStyle w:val="normaltextrun"/>
          <w:rFonts w:ascii="Arial" w:hAnsi="Arial" w:cs="Arial"/>
          <w:sz w:val="20"/>
          <w:szCs w:val="20"/>
        </w:rPr>
        <w:t xml:space="preserve"> changes in the liver parenchyma.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 xml:space="preserve">Changes in the structure of the liver parenchyma and elevated values of transaminases do not have a metabolic syndrome in the background (diabetes mellitus was an exclusion factor for participation in the study, the presence of hypertension in the experimental group was not statistically significant, </w:t>
      </w:r>
      <w:r w:rsidR="00E94AB0">
        <w:rPr>
          <w:rStyle w:val="normaltextrun"/>
          <w:rFonts w:ascii="Arial" w:hAnsi="Arial" w:cs="Arial"/>
          <w:sz w:val="20"/>
          <w:szCs w:val="20"/>
        </w:rPr>
        <w:t xml:space="preserve">and </w:t>
      </w:r>
      <w:r w:rsidRPr="00D44004">
        <w:rPr>
          <w:rStyle w:val="normaltextrun"/>
          <w:rFonts w:ascii="Arial" w:hAnsi="Arial" w:cs="Arial"/>
          <w:sz w:val="20"/>
          <w:szCs w:val="20"/>
        </w:rPr>
        <w:t xml:space="preserve">the research shows that there is no association of lipid status with liver steatosis and elevated </w:t>
      </w:r>
      <w:r w:rsidR="00E94AB0">
        <w:rPr>
          <w:rStyle w:val="normaltextrun"/>
          <w:rFonts w:ascii="Arial" w:hAnsi="Arial" w:cs="Arial"/>
          <w:sz w:val="20"/>
          <w:szCs w:val="20"/>
        </w:rPr>
        <w:t>transaminase values</w:t>
      </w:r>
      <w:r w:rsidRPr="00D44004">
        <w:rPr>
          <w:rStyle w:val="normaltextrun"/>
          <w:rFonts w:ascii="Arial" w:hAnsi="Arial" w:cs="Arial"/>
          <w:sz w:val="20"/>
          <w:szCs w:val="20"/>
        </w:rPr>
        <w:t>). </w:t>
      </w:r>
      <w:r w:rsidRPr="00D44004">
        <w:rPr>
          <w:rStyle w:val="eop"/>
          <w:rFonts w:ascii="Arial" w:hAnsi="Arial" w:cs="Arial"/>
          <w:sz w:val="20"/>
          <w:szCs w:val="20"/>
        </w:rPr>
        <w:t> </w:t>
      </w:r>
    </w:p>
    <w:p w:rsidR="005E58FF" w:rsidRPr="00D44004" w:rsidRDefault="005E58FF" w:rsidP="00D44004">
      <w:pPr>
        <w:pStyle w:val="paragraph"/>
        <w:spacing w:before="0" w:beforeAutospacing="0" w:after="0" w:afterAutospacing="0"/>
        <w:jc w:val="both"/>
        <w:textAlignment w:val="baseline"/>
        <w:rPr>
          <w:rFonts w:ascii="Arial" w:hAnsi="Arial" w:cs="Arial"/>
          <w:sz w:val="20"/>
          <w:szCs w:val="20"/>
        </w:rPr>
      </w:pPr>
      <w:r w:rsidRPr="00D44004">
        <w:rPr>
          <w:rStyle w:val="normaltextrun"/>
          <w:rFonts w:ascii="Arial" w:hAnsi="Arial" w:cs="Arial"/>
          <w:sz w:val="20"/>
          <w:szCs w:val="20"/>
        </w:rPr>
        <w:t>Exposure to organic volatile substances at the workplace as an independent factor causes liver steatosis with elevated values of laboratory parameters of liver function</w:t>
      </w:r>
      <w:r w:rsidR="00E94AB0">
        <w:rPr>
          <w:rStyle w:val="normaltextrun"/>
          <w:rFonts w:ascii="Arial" w:hAnsi="Arial" w:cs="Arial"/>
          <w:sz w:val="20"/>
          <w:szCs w:val="20"/>
        </w:rPr>
        <w:t>;</w:t>
      </w:r>
      <w:r w:rsidRPr="00D44004">
        <w:rPr>
          <w:rStyle w:val="normaltextrun"/>
          <w:rFonts w:ascii="Arial" w:hAnsi="Arial" w:cs="Arial"/>
          <w:sz w:val="20"/>
          <w:szCs w:val="20"/>
        </w:rPr>
        <w:t xml:space="preserve"> that is, it can be said that it is an independent cause of non-alcoholic fatty liver disease (NAFLD). </w:t>
      </w:r>
      <w:r w:rsidRPr="00D44004">
        <w:rPr>
          <w:rStyle w:val="eop"/>
          <w:rFonts w:ascii="Arial" w:hAnsi="Arial" w:cs="Arial"/>
          <w:sz w:val="20"/>
          <w:szCs w:val="20"/>
        </w:rPr>
        <w:t> </w:t>
      </w:r>
    </w:p>
    <w:p w:rsidR="005E58FF" w:rsidRDefault="005E58FF" w:rsidP="00D44004">
      <w:pPr>
        <w:pStyle w:val="paragraph"/>
        <w:spacing w:before="0" w:beforeAutospacing="0" w:after="0" w:afterAutospacing="0"/>
        <w:jc w:val="both"/>
        <w:textAlignment w:val="baseline"/>
        <w:rPr>
          <w:rStyle w:val="eop"/>
          <w:rFonts w:ascii="Arial" w:hAnsi="Arial" w:cs="Arial"/>
          <w:sz w:val="20"/>
          <w:szCs w:val="20"/>
        </w:rPr>
      </w:pPr>
      <w:r w:rsidRPr="00D44004">
        <w:rPr>
          <w:rStyle w:val="normaltextrun"/>
          <w:rFonts w:ascii="Arial" w:hAnsi="Arial" w:cs="Arial"/>
          <w:sz w:val="20"/>
          <w:szCs w:val="20"/>
        </w:rPr>
        <w:t>It is extremely important to implement occupational safety measures prescribed by the Occupational Safety Act as a measure to prevent health disorders, but also as a significant measure in the d</w:t>
      </w:r>
      <w:bookmarkStart w:id="0" w:name="_GoBack"/>
      <w:bookmarkEnd w:id="0"/>
      <w:r w:rsidRPr="00D44004">
        <w:rPr>
          <w:rStyle w:val="normaltextrun"/>
          <w:rFonts w:ascii="Arial" w:hAnsi="Arial" w:cs="Arial"/>
          <w:sz w:val="20"/>
          <w:szCs w:val="20"/>
        </w:rPr>
        <w:t xml:space="preserve">iagnosis of occupational and work-related diseases. Regarding occupational safety measures, we highlight the importance of risk assessment, regular periodic measurement of the concentration of pollution in the working environment, regular previous and periodic health examinations of exposed workers, and keeping documentation of the aforementioned measures. Special attention to the </w:t>
      </w:r>
      <w:r w:rsidRPr="00D44004">
        <w:rPr>
          <w:rStyle w:val="normaltextrun"/>
          <w:rFonts w:ascii="Arial" w:hAnsi="Arial" w:cs="Arial"/>
          <w:sz w:val="20"/>
          <w:szCs w:val="20"/>
        </w:rPr>
        <w:lastRenderedPageBreak/>
        <w:t>need to protect exposed workers with personal protective equipment for the respiratory tract and exposed parts of the skin.</w:t>
      </w:r>
      <w:r w:rsidRPr="00D44004">
        <w:rPr>
          <w:rStyle w:val="eop"/>
          <w:rFonts w:ascii="Arial" w:hAnsi="Arial" w:cs="Arial"/>
          <w:sz w:val="20"/>
          <w:szCs w:val="20"/>
        </w:rPr>
        <w:t> </w:t>
      </w:r>
    </w:p>
    <w:p w:rsidR="0019534B" w:rsidRDefault="0019534B" w:rsidP="00D44004">
      <w:pPr>
        <w:pStyle w:val="paragraph"/>
        <w:spacing w:before="0" w:beforeAutospacing="0" w:after="0" w:afterAutospacing="0"/>
        <w:jc w:val="both"/>
        <w:textAlignment w:val="baseline"/>
        <w:rPr>
          <w:rStyle w:val="eop"/>
          <w:rFonts w:ascii="Arial" w:hAnsi="Arial" w:cs="Arial"/>
          <w:sz w:val="20"/>
          <w:szCs w:val="20"/>
        </w:rPr>
      </w:pPr>
    </w:p>
    <w:p w:rsidR="0019534B" w:rsidRPr="008A693C" w:rsidRDefault="0019534B" w:rsidP="0019534B">
      <w:pPr>
        <w:pStyle w:val="paragraph"/>
        <w:jc w:val="both"/>
        <w:textAlignment w:val="baseline"/>
        <w:rPr>
          <w:rStyle w:val="eop"/>
          <w:rFonts w:ascii="Arial" w:hAnsi="Arial" w:cs="Arial"/>
          <w:b/>
          <w:sz w:val="20"/>
          <w:szCs w:val="20"/>
        </w:rPr>
      </w:pPr>
      <w:r w:rsidRPr="008A693C">
        <w:rPr>
          <w:rStyle w:val="eop"/>
          <w:rFonts w:ascii="Arial" w:hAnsi="Arial" w:cs="Arial"/>
          <w:b/>
          <w:sz w:val="20"/>
          <w:szCs w:val="20"/>
        </w:rPr>
        <w:t>Ethical Approval:</w:t>
      </w:r>
    </w:p>
    <w:p w:rsidR="0019534B" w:rsidRPr="0019534B" w:rsidRDefault="0019534B" w:rsidP="0019534B">
      <w:pPr>
        <w:pStyle w:val="paragraph"/>
        <w:jc w:val="both"/>
        <w:textAlignment w:val="baseline"/>
        <w:rPr>
          <w:rStyle w:val="eop"/>
          <w:rFonts w:ascii="Arial" w:hAnsi="Arial" w:cs="Arial"/>
          <w:sz w:val="20"/>
          <w:szCs w:val="20"/>
        </w:rPr>
      </w:pPr>
    </w:p>
    <w:p w:rsidR="0019534B" w:rsidRPr="0019534B" w:rsidRDefault="0019534B" w:rsidP="0019534B">
      <w:pPr>
        <w:pStyle w:val="paragraph"/>
        <w:jc w:val="both"/>
        <w:textAlignment w:val="baseline"/>
        <w:rPr>
          <w:rStyle w:val="eop"/>
          <w:rFonts w:ascii="Arial" w:hAnsi="Arial" w:cs="Arial"/>
          <w:sz w:val="20"/>
          <w:szCs w:val="20"/>
        </w:rPr>
      </w:pPr>
      <w:r w:rsidRPr="0019534B">
        <w:rPr>
          <w:rStyle w:val="eop"/>
          <w:rFonts w:ascii="Arial" w:hAnsi="Arial" w:cs="Arial"/>
          <w:sz w:val="20"/>
          <w:szCs w:val="20"/>
        </w:rPr>
        <w:t>As per international standards or university standards written ethical approval has been collected and preserved by the author(s).</w:t>
      </w:r>
    </w:p>
    <w:p w:rsidR="0019534B" w:rsidRPr="008A693C" w:rsidRDefault="0019534B" w:rsidP="0019534B">
      <w:pPr>
        <w:pStyle w:val="paragraph"/>
        <w:jc w:val="both"/>
        <w:textAlignment w:val="baseline"/>
        <w:rPr>
          <w:rStyle w:val="eop"/>
          <w:rFonts w:ascii="Arial" w:hAnsi="Arial" w:cs="Arial"/>
          <w:b/>
          <w:sz w:val="20"/>
          <w:szCs w:val="20"/>
        </w:rPr>
      </w:pPr>
      <w:r w:rsidRPr="008A693C">
        <w:rPr>
          <w:rStyle w:val="eop"/>
          <w:rFonts w:ascii="Arial" w:hAnsi="Arial" w:cs="Arial"/>
          <w:b/>
          <w:sz w:val="20"/>
          <w:szCs w:val="20"/>
        </w:rPr>
        <w:t xml:space="preserve">Consent </w:t>
      </w:r>
    </w:p>
    <w:p w:rsidR="0019534B" w:rsidRPr="00D44004" w:rsidRDefault="0019534B" w:rsidP="0019534B">
      <w:pPr>
        <w:pStyle w:val="paragraph"/>
        <w:spacing w:before="0" w:beforeAutospacing="0" w:after="0" w:afterAutospacing="0"/>
        <w:jc w:val="both"/>
        <w:textAlignment w:val="baseline"/>
        <w:rPr>
          <w:rStyle w:val="eop"/>
          <w:rFonts w:ascii="Arial" w:hAnsi="Arial" w:cs="Arial"/>
          <w:sz w:val="20"/>
          <w:szCs w:val="20"/>
        </w:rPr>
      </w:pPr>
      <w:r w:rsidRPr="0019534B">
        <w:rPr>
          <w:rStyle w:val="eop"/>
          <w:rFonts w:ascii="Arial" w:hAnsi="Arial" w:cs="Arial"/>
          <w:sz w:val="20"/>
          <w:szCs w:val="20"/>
        </w:rPr>
        <w:t>As per international standards or university standards, Participants’ written consent has been collected and preserved by the author(s).</w:t>
      </w:r>
    </w:p>
    <w:p w:rsidR="005E58FF" w:rsidRPr="00D44004" w:rsidRDefault="005E58FF" w:rsidP="005E58FF">
      <w:pPr>
        <w:pStyle w:val="Body"/>
        <w:spacing w:after="0"/>
        <w:rPr>
          <w:rFonts w:ascii="Arial" w:hAnsi="Arial" w:cs="Arial"/>
          <w:b/>
          <w:lang w:val="bs-Latn-BA"/>
        </w:rPr>
      </w:pPr>
    </w:p>
    <w:p w:rsidR="002874A2" w:rsidRPr="00740879" w:rsidRDefault="002874A2" w:rsidP="002874A2">
      <w:pPr>
        <w:rPr>
          <w:highlight w:val="yellow"/>
        </w:rPr>
      </w:pPr>
      <w:r w:rsidRPr="00740879">
        <w:rPr>
          <w:highlight w:val="yellow"/>
        </w:rPr>
        <w:t>Disclaimer (Artificial intelligence)</w:t>
      </w:r>
    </w:p>
    <w:p w:rsidR="005E58FF" w:rsidRPr="00963715" w:rsidRDefault="002874A2" w:rsidP="0096371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5E58FF" w:rsidRPr="00D44004" w:rsidRDefault="005E58FF" w:rsidP="005E58FF">
      <w:pPr>
        <w:snapToGrid w:val="0"/>
        <w:rPr>
          <w:rFonts w:ascii="Arial" w:hAnsi="Arial" w:cs="Arial"/>
        </w:rPr>
      </w:pPr>
    </w:p>
    <w:p w:rsidR="005E58FF" w:rsidRPr="00D44004" w:rsidRDefault="005E58FF" w:rsidP="005E58FF">
      <w:pPr>
        <w:pStyle w:val="MDPI61Supplementary"/>
        <w:spacing w:before="0" w:line="240" w:lineRule="auto"/>
        <w:rPr>
          <w:rFonts w:ascii="Arial" w:eastAsiaTheme="minorEastAsia" w:hAnsi="Arial" w:cs="Arial"/>
          <w:b/>
          <w:bCs/>
          <w:sz w:val="20"/>
          <w:lang w:eastAsia="ko-KR"/>
        </w:rPr>
      </w:pPr>
      <w:r w:rsidRPr="00D44004">
        <w:rPr>
          <w:rFonts w:ascii="Arial" w:eastAsiaTheme="minorEastAsia" w:hAnsi="Arial" w:cs="Arial"/>
          <w:b/>
          <w:bCs/>
          <w:sz w:val="20"/>
          <w:lang w:eastAsia="ko-KR"/>
        </w:rPr>
        <w:t>R</w:t>
      </w:r>
      <w:r w:rsidR="00A113BF">
        <w:rPr>
          <w:rFonts w:ascii="Arial" w:eastAsiaTheme="minorEastAsia" w:hAnsi="Arial" w:cs="Arial"/>
          <w:b/>
          <w:bCs/>
          <w:sz w:val="20"/>
          <w:lang w:eastAsia="ko-KR"/>
        </w:rPr>
        <w:t>EFERENCES</w:t>
      </w:r>
    </w:p>
    <w:p w:rsidR="005E58FF" w:rsidRPr="00D44004" w:rsidRDefault="005E58FF" w:rsidP="005E58FF">
      <w:pPr>
        <w:pStyle w:val="MDPI61Supplementary"/>
        <w:spacing w:before="0" w:line="240" w:lineRule="auto"/>
        <w:rPr>
          <w:rFonts w:ascii="Arial" w:eastAsiaTheme="minorEastAsia" w:hAnsi="Arial" w:cs="Arial"/>
          <w:b/>
          <w:bCs/>
          <w:sz w:val="20"/>
          <w:lang w:eastAsia="ko-KR"/>
        </w:rPr>
      </w:pPr>
    </w:p>
    <w:p w:rsidR="005E58FF" w:rsidRPr="00D44004" w:rsidRDefault="005E58FF" w:rsidP="00D44004">
      <w:pPr>
        <w:pStyle w:val="References"/>
        <w:ind w:left="300" w:hanging="300"/>
        <w:rPr>
          <w:rFonts w:ascii="Arial" w:hAnsi="Arial" w:cs="Arial"/>
          <w:sz w:val="20"/>
          <w:szCs w:val="20"/>
        </w:rPr>
      </w:pPr>
      <w:r w:rsidRPr="00D44004">
        <w:rPr>
          <w:rStyle w:val="normaltextrun"/>
          <w:rFonts w:ascii="Arial" w:hAnsi="Arial" w:cs="Arial"/>
          <w:sz w:val="20"/>
          <w:szCs w:val="20"/>
        </w:rPr>
        <w:t>Turk</w:t>
      </w:r>
      <w:r w:rsidR="003967AA">
        <w:rPr>
          <w:rStyle w:val="normaltextrun"/>
          <w:rFonts w:ascii="Arial" w:hAnsi="Arial" w:cs="Arial"/>
          <w:sz w:val="20"/>
          <w:szCs w:val="20"/>
        </w:rPr>
        <w:t>,</w:t>
      </w:r>
      <w:r w:rsidRPr="00D44004">
        <w:rPr>
          <w:rStyle w:val="normaltextrun"/>
          <w:rFonts w:ascii="Arial" w:hAnsi="Arial" w:cs="Arial"/>
          <w:sz w:val="20"/>
          <w:szCs w:val="20"/>
        </w:rPr>
        <w:t xml:space="preserve"> R</w:t>
      </w:r>
      <w:r w:rsidR="003967AA">
        <w:rPr>
          <w:rStyle w:val="normaltextrun"/>
          <w:rFonts w:ascii="Arial" w:hAnsi="Arial" w:cs="Arial"/>
          <w:sz w:val="20"/>
          <w:szCs w:val="20"/>
        </w:rPr>
        <w:t>.</w:t>
      </w:r>
      <w:r w:rsidRPr="00D44004">
        <w:rPr>
          <w:rStyle w:val="normaltextrun"/>
          <w:rFonts w:ascii="Arial" w:hAnsi="Arial" w:cs="Arial"/>
          <w:sz w:val="20"/>
          <w:szCs w:val="20"/>
        </w:rPr>
        <w:t xml:space="preserve">, </w:t>
      </w:r>
      <w:proofErr w:type="spellStart"/>
      <w:r w:rsidRPr="00D44004">
        <w:rPr>
          <w:rStyle w:val="normaltextrun"/>
          <w:rFonts w:ascii="Arial" w:hAnsi="Arial" w:cs="Arial"/>
          <w:sz w:val="20"/>
          <w:szCs w:val="20"/>
        </w:rPr>
        <w:t>Macan</w:t>
      </w:r>
      <w:proofErr w:type="spellEnd"/>
      <w:r w:rsidR="003967AA">
        <w:rPr>
          <w:rStyle w:val="normaltextrun"/>
          <w:rFonts w:ascii="Arial" w:hAnsi="Arial" w:cs="Arial"/>
          <w:sz w:val="20"/>
          <w:szCs w:val="20"/>
        </w:rPr>
        <w:t>,</w:t>
      </w:r>
      <w:r w:rsidRPr="00D44004">
        <w:rPr>
          <w:rStyle w:val="normaltextrun"/>
          <w:rFonts w:ascii="Arial" w:hAnsi="Arial" w:cs="Arial"/>
          <w:sz w:val="20"/>
          <w:szCs w:val="20"/>
        </w:rPr>
        <w:t xml:space="preserve"> J. </w:t>
      </w:r>
      <w:r w:rsidR="003967AA">
        <w:rPr>
          <w:rStyle w:val="normaltextrun"/>
          <w:rFonts w:ascii="Arial" w:hAnsi="Arial" w:cs="Arial"/>
          <w:sz w:val="20"/>
          <w:szCs w:val="20"/>
        </w:rPr>
        <w:t xml:space="preserve">(2010). </w:t>
      </w:r>
      <w:r w:rsidRPr="00D44004">
        <w:rPr>
          <w:rStyle w:val="normaltextrun"/>
          <w:rFonts w:ascii="Arial" w:hAnsi="Arial" w:cs="Arial"/>
          <w:sz w:val="20"/>
          <w:szCs w:val="20"/>
        </w:rPr>
        <w:t xml:space="preserve">Nonalcoholic fatty liver disease as a result of occupational exposure to organic solvents. </w:t>
      </w:r>
      <w:proofErr w:type="spellStart"/>
      <w:r w:rsidRPr="00D44004">
        <w:rPr>
          <w:rStyle w:val="normaltextrun"/>
          <w:rFonts w:ascii="Arial" w:hAnsi="Arial" w:cs="Arial"/>
          <w:sz w:val="20"/>
          <w:szCs w:val="20"/>
        </w:rPr>
        <w:t>Sigurnost</w:t>
      </w:r>
      <w:proofErr w:type="spellEnd"/>
      <w:r w:rsidR="003967AA">
        <w:rPr>
          <w:rStyle w:val="normaltextrun"/>
          <w:rFonts w:ascii="Arial" w:hAnsi="Arial" w:cs="Arial"/>
          <w:sz w:val="20"/>
          <w:szCs w:val="20"/>
        </w:rPr>
        <w:t xml:space="preserve">, </w:t>
      </w:r>
      <w:r w:rsidRPr="00D44004">
        <w:rPr>
          <w:rStyle w:val="normaltextrun"/>
          <w:rFonts w:ascii="Arial" w:hAnsi="Arial" w:cs="Arial"/>
          <w:sz w:val="20"/>
          <w:szCs w:val="20"/>
        </w:rPr>
        <w:t>52</w:t>
      </w:r>
      <w:r w:rsidR="00A21F95">
        <w:rPr>
          <w:rStyle w:val="normaltextrun"/>
          <w:rFonts w:ascii="Arial" w:hAnsi="Arial" w:cs="Arial"/>
          <w:sz w:val="20"/>
          <w:szCs w:val="20"/>
        </w:rPr>
        <w:t>(3</w:t>
      </w:r>
      <w:r w:rsidR="003967AA">
        <w:rPr>
          <w:rStyle w:val="normaltextrun"/>
          <w:rFonts w:ascii="Arial" w:hAnsi="Arial" w:cs="Arial"/>
          <w:sz w:val="20"/>
          <w:szCs w:val="20"/>
          <w:lang w:val="en-GB"/>
        </w:rPr>
        <w:t xml:space="preserve">), </w:t>
      </w:r>
      <w:r w:rsidRPr="00D44004">
        <w:rPr>
          <w:rStyle w:val="normaltextrun"/>
          <w:rFonts w:ascii="Arial" w:hAnsi="Arial" w:cs="Arial"/>
          <w:sz w:val="20"/>
          <w:szCs w:val="20"/>
        </w:rPr>
        <w:t>245-</w:t>
      </w:r>
      <w:proofErr w:type="gramStart"/>
      <w:r w:rsidRPr="00D44004">
        <w:rPr>
          <w:rStyle w:val="normaltextrun"/>
          <w:rFonts w:ascii="Arial" w:hAnsi="Arial" w:cs="Arial"/>
          <w:sz w:val="20"/>
          <w:szCs w:val="20"/>
        </w:rPr>
        <w:t>250</w:t>
      </w:r>
      <w:r w:rsidRPr="00D44004">
        <w:rPr>
          <w:rStyle w:val="eop"/>
          <w:rFonts w:ascii="Arial" w:hAnsi="Arial" w:cs="Arial"/>
          <w:sz w:val="20"/>
          <w:szCs w:val="20"/>
        </w:rPr>
        <w:t> </w:t>
      </w:r>
      <w:r w:rsidR="00AB223E">
        <w:rPr>
          <w:rStyle w:val="eop"/>
          <w:rFonts w:ascii="Arial" w:hAnsi="Arial" w:cs="Arial"/>
          <w:sz w:val="20"/>
          <w:szCs w:val="20"/>
        </w:rPr>
        <w:t>.</w:t>
      </w:r>
      <w:proofErr w:type="gramEnd"/>
    </w:p>
    <w:p w:rsidR="005E58FF" w:rsidRPr="00D44004" w:rsidRDefault="00C420C3" w:rsidP="00D44004">
      <w:pPr>
        <w:pStyle w:val="References"/>
        <w:ind w:left="300" w:hanging="300"/>
        <w:rPr>
          <w:rFonts w:ascii="Arial" w:hAnsi="Arial" w:cs="Arial"/>
          <w:sz w:val="20"/>
          <w:szCs w:val="20"/>
        </w:rPr>
      </w:pPr>
      <w:proofErr w:type="spellStart"/>
      <w:r w:rsidRPr="00C420C3">
        <w:rPr>
          <w:rStyle w:val="normaltextrun"/>
          <w:rFonts w:ascii="Arial" w:hAnsi="Arial" w:cs="Arial"/>
          <w:sz w:val="20"/>
          <w:szCs w:val="20"/>
        </w:rPr>
        <w:t>Kaukiainen</w:t>
      </w:r>
      <w:proofErr w:type="spellEnd"/>
      <w:r w:rsidRPr="00C420C3">
        <w:rPr>
          <w:rStyle w:val="normaltextrun"/>
          <w:rFonts w:ascii="Arial" w:hAnsi="Arial" w:cs="Arial"/>
          <w:sz w:val="20"/>
          <w:szCs w:val="20"/>
        </w:rPr>
        <w:t xml:space="preserve">, A., </w:t>
      </w:r>
      <w:proofErr w:type="spellStart"/>
      <w:r w:rsidRPr="00C420C3">
        <w:rPr>
          <w:rStyle w:val="normaltextrun"/>
          <w:rFonts w:ascii="Arial" w:hAnsi="Arial" w:cs="Arial"/>
          <w:sz w:val="20"/>
          <w:szCs w:val="20"/>
        </w:rPr>
        <w:t>Vehmas</w:t>
      </w:r>
      <w:proofErr w:type="spellEnd"/>
      <w:r w:rsidRPr="00C420C3">
        <w:rPr>
          <w:rStyle w:val="normaltextrun"/>
          <w:rFonts w:ascii="Arial" w:hAnsi="Arial" w:cs="Arial"/>
          <w:sz w:val="20"/>
          <w:szCs w:val="20"/>
        </w:rPr>
        <w:t xml:space="preserve">, T., Rantala, K., </w:t>
      </w:r>
      <w:proofErr w:type="spellStart"/>
      <w:r w:rsidRPr="00C420C3">
        <w:rPr>
          <w:rStyle w:val="normaltextrun"/>
          <w:rFonts w:ascii="Arial" w:hAnsi="Arial" w:cs="Arial"/>
          <w:sz w:val="20"/>
          <w:szCs w:val="20"/>
        </w:rPr>
        <w:t>Nurminen</w:t>
      </w:r>
      <w:proofErr w:type="spellEnd"/>
      <w:r w:rsidRPr="00C420C3">
        <w:rPr>
          <w:rStyle w:val="normaltextrun"/>
          <w:rFonts w:ascii="Arial" w:hAnsi="Arial" w:cs="Arial"/>
          <w:sz w:val="20"/>
          <w:szCs w:val="20"/>
        </w:rPr>
        <w:t xml:space="preserve">, M., </w:t>
      </w:r>
      <w:proofErr w:type="spellStart"/>
      <w:r w:rsidRPr="00C420C3">
        <w:rPr>
          <w:rStyle w:val="normaltextrun"/>
          <w:rFonts w:ascii="Arial" w:hAnsi="Arial" w:cs="Arial"/>
          <w:sz w:val="20"/>
          <w:szCs w:val="20"/>
        </w:rPr>
        <w:t>Martikainen</w:t>
      </w:r>
      <w:proofErr w:type="spellEnd"/>
      <w:r w:rsidRPr="00C420C3">
        <w:rPr>
          <w:rStyle w:val="normaltextrun"/>
          <w:rFonts w:ascii="Arial" w:hAnsi="Arial" w:cs="Arial"/>
          <w:sz w:val="20"/>
          <w:szCs w:val="20"/>
        </w:rPr>
        <w:t xml:space="preserve">, R., &amp; </w:t>
      </w:r>
      <w:proofErr w:type="spellStart"/>
      <w:r w:rsidRPr="00C420C3">
        <w:rPr>
          <w:rStyle w:val="normaltextrun"/>
          <w:rFonts w:ascii="Arial" w:hAnsi="Arial" w:cs="Arial"/>
          <w:sz w:val="20"/>
          <w:szCs w:val="20"/>
        </w:rPr>
        <w:t>Taskinen</w:t>
      </w:r>
      <w:proofErr w:type="spellEnd"/>
      <w:r w:rsidRPr="00C420C3">
        <w:rPr>
          <w:rStyle w:val="normaltextrun"/>
          <w:rFonts w:ascii="Arial" w:hAnsi="Arial" w:cs="Arial"/>
          <w:sz w:val="20"/>
          <w:szCs w:val="20"/>
        </w:rPr>
        <w:t>, T. (2004). Results of common laboratory tests in solvent-exposed workers. International Archives of Occupational and Environmental Health</w:t>
      </w:r>
      <w:r w:rsidR="00963715">
        <w:rPr>
          <w:rStyle w:val="normaltextrun"/>
          <w:rFonts w:ascii="Arial" w:hAnsi="Arial" w:cs="Arial"/>
          <w:sz w:val="20"/>
          <w:szCs w:val="20"/>
        </w:rPr>
        <w:t xml:space="preserve">, </w:t>
      </w:r>
      <w:r w:rsidR="00963715" w:rsidRPr="00963715">
        <w:rPr>
          <w:rStyle w:val="normaltextrun"/>
          <w:rFonts w:ascii="Arial" w:hAnsi="Arial" w:cs="Arial"/>
          <w:sz w:val="20"/>
          <w:szCs w:val="20"/>
        </w:rPr>
        <w:t>77(1)</w:t>
      </w:r>
      <w:r w:rsidR="00963715">
        <w:rPr>
          <w:rStyle w:val="normaltextrun"/>
          <w:rFonts w:ascii="Arial" w:hAnsi="Arial" w:cs="Arial"/>
          <w:sz w:val="20"/>
          <w:szCs w:val="20"/>
        </w:rPr>
        <w:t xml:space="preserve">, </w:t>
      </w:r>
      <w:r w:rsidR="00963715" w:rsidRPr="00963715">
        <w:rPr>
          <w:rStyle w:val="normaltextrun"/>
          <w:rFonts w:ascii="Arial" w:hAnsi="Arial" w:cs="Arial"/>
          <w:sz w:val="20"/>
          <w:szCs w:val="20"/>
        </w:rPr>
        <w:t>39</w:t>
      </w:r>
      <w:r w:rsidR="00991E77" w:rsidRPr="00991E77">
        <w:rPr>
          <w:rStyle w:val="normaltextrun"/>
          <w:rFonts w:ascii="Arial" w:hAnsi="Arial" w:cs="Arial"/>
          <w:sz w:val="20"/>
          <w:szCs w:val="20"/>
        </w:rPr>
        <w:t>–</w:t>
      </w:r>
      <w:r w:rsidR="00963715" w:rsidRPr="00963715">
        <w:rPr>
          <w:rStyle w:val="normaltextrun"/>
          <w:rFonts w:ascii="Arial" w:hAnsi="Arial" w:cs="Arial"/>
          <w:sz w:val="20"/>
          <w:szCs w:val="20"/>
        </w:rPr>
        <w:t>46.</w:t>
      </w:r>
      <w:r w:rsidRPr="00C420C3">
        <w:rPr>
          <w:rStyle w:val="normaltextrun"/>
          <w:rFonts w:ascii="Arial" w:hAnsi="Arial" w:cs="Arial"/>
          <w:sz w:val="20"/>
          <w:szCs w:val="20"/>
        </w:rPr>
        <w:t xml:space="preserve"> </w:t>
      </w:r>
      <w:hyperlink r:id="rId14" w:history="1">
        <w:r w:rsidRPr="000D5FD9">
          <w:rPr>
            <w:rStyle w:val="Hyperlink"/>
            <w:rFonts w:ascii="Arial" w:hAnsi="Arial" w:cs="Arial"/>
            <w:sz w:val="20"/>
            <w:szCs w:val="20"/>
          </w:rPr>
          <w:t>https://doi.org/10.1007/s00420-003-0476-z</w:t>
        </w:r>
      </w:hyperlink>
      <w:r>
        <w:rPr>
          <w:rStyle w:val="normaltextrun"/>
          <w:rFonts w:ascii="Arial" w:hAnsi="Arial" w:cs="Arial"/>
          <w:sz w:val="20"/>
          <w:szCs w:val="20"/>
        </w:rPr>
        <w:t xml:space="preserve"> </w:t>
      </w:r>
      <w:r w:rsidR="005E58FF" w:rsidRPr="00D44004">
        <w:rPr>
          <w:rStyle w:val="eop"/>
          <w:rFonts w:ascii="Arial" w:hAnsi="Arial" w:cs="Arial"/>
          <w:color w:val="auto"/>
          <w:sz w:val="20"/>
          <w:szCs w:val="20"/>
        </w:rPr>
        <w:t> </w:t>
      </w:r>
    </w:p>
    <w:p w:rsidR="005E58FF" w:rsidRPr="00D44004" w:rsidRDefault="00896717" w:rsidP="00D44004">
      <w:pPr>
        <w:pStyle w:val="References"/>
        <w:ind w:left="300" w:hanging="300"/>
        <w:rPr>
          <w:rFonts w:ascii="Arial" w:hAnsi="Arial" w:cs="Arial"/>
          <w:sz w:val="20"/>
          <w:szCs w:val="20"/>
        </w:rPr>
      </w:pPr>
      <w:r w:rsidRPr="00896717">
        <w:rPr>
          <w:rStyle w:val="normaltextrun"/>
          <w:rFonts w:ascii="Arial" w:hAnsi="Arial" w:cs="Arial"/>
          <w:sz w:val="20"/>
          <w:szCs w:val="20"/>
          <w:lang w:val="bs-Latn-BA"/>
        </w:rPr>
        <w:t xml:space="preserve">Chen, J.-D., Wang, J.-D., Tsai, S.-Y., &amp; Chao, W.-I. (1997). Effects of occupational and nonoccupational factors on liver function tests in workers exposed to solvent mixtures. Archives of Environmental Health, 52(4), 270–274. </w:t>
      </w:r>
      <w:hyperlink r:id="rId15" w:history="1">
        <w:r w:rsidRPr="000D5FD9">
          <w:rPr>
            <w:rStyle w:val="Hyperlink"/>
            <w:rFonts w:ascii="Arial" w:hAnsi="Arial" w:cs="Arial"/>
            <w:sz w:val="20"/>
            <w:szCs w:val="20"/>
            <w:lang w:val="bs-Latn-BA"/>
          </w:rPr>
          <w:t>https://doi.org/10.1080/00039899709602197</w:t>
        </w:r>
      </w:hyperlink>
      <w:r>
        <w:rPr>
          <w:rStyle w:val="normaltextrun"/>
          <w:rFonts w:ascii="Arial" w:hAnsi="Arial" w:cs="Arial"/>
          <w:sz w:val="20"/>
          <w:szCs w:val="20"/>
          <w:lang w:val="bs-Latn-BA"/>
        </w:rPr>
        <w:t xml:space="preserve"> </w:t>
      </w:r>
    </w:p>
    <w:p w:rsidR="005E58FF" w:rsidRPr="00D44004" w:rsidRDefault="0095522A" w:rsidP="00D44004">
      <w:pPr>
        <w:pStyle w:val="References"/>
        <w:ind w:left="300" w:hanging="300"/>
        <w:rPr>
          <w:rFonts w:ascii="Arial" w:hAnsi="Arial" w:cs="Arial"/>
          <w:sz w:val="20"/>
          <w:szCs w:val="20"/>
        </w:rPr>
      </w:pPr>
      <w:proofErr w:type="spellStart"/>
      <w:r w:rsidRPr="0095522A">
        <w:rPr>
          <w:rStyle w:val="normaltextrun"/>
          <w:rFonts w:ascii="Arial" w:hAnsi="Arial" w:cs="Arial"/>
          <w:sz w:val="20"/>
          <w:szCs w:val="20"/>
        </w:rPr>
        <w:t>Brautbar</w:t>
      </w:r>
      <w:proofErr w:type="spellEnd"/>
      <w:r w:rsidRPr="0095522A">
        <w:rPr>
          <w:rStyle w:val="normaltextrun"/>
          <w:rFonts w:ascii="Arial" w:hAnsi="Arial" w:cs="Arial"/>
          <w:sz w:val="20"/>
          <w:szCs w:val="20"/>
        </w:rPr>
        <w:t xml:space="preserve">, N., &amp; Williams, J. (2002). Industrial solvents and liver toxicity: risk assessment, risk factors and mechanisms. International Journal of Hygiene and Environmental Health, 205(6), 479-491. </w:t>
      </w:r>
      <w:hyperlink r:id="rId16" w:history="1">
        <w:r w:rsidRPr="000D5FD9">
          <w:rPr>
            <w:rStyle w:val="Hyperlink"/>
            <w:rFonts w:ascii="Arial" w:hAnsi="Arial" w:cs="Arial"/>
            <w:sz w:val="20"/>
            <w:szCs w:val="20"/>
          </w:rPr>
          <w:t>https://doi.org/10.1078/1438-4639-00175</w:t>
        </w:r>
      </w:hyperlink>
      <w:r>
        <w:rPr>
          <w:rStyle w:val="normaltextrun"/>
          <w:rFonts w:ascii="Arial" w:hAnsi="Arial" w:cs="Arial"/>
          <w:sz w:val="20"/>
          <w:szCs w:val="20"/>
        </w:rPr>
        <w:t xml:space="preserve"> </w:t>
      </w:r>
    </w:p>
    <w:p w:rsidR="005E58FF" w:rsidRPr="00D44004" w:rsidRDefault="00400610" w:rsidP="00D44004">
      <w:pPr>
        <w:pStyle w:val="References"/>
        <w:ind w:left="300" w:hanging="300"/>
        <w:rPr>
          <w:rFonts w:ascii="Arial" w:hAnsi="Arial" w:cs="Arial"/>
          <w:sz w:val="20"/>
          <w:szCs w:val="20"/>
        </w:rPr>
      </w:pPr>
      <w:proofErr w:type="spellStart"/>
      <w:r w:rsidRPr="00400610">
        <w:rPr>
          <w:rStyle w:val="normaltextrun"/>
          <w:rFonts w:ascii="Arial" w:hAnsi="Arial" w:cs="Arial"/>
          <w:sz w:val="20"/>
          <w:szCs w:val="20"/>
        </w:rPr>
        <w:t>Neuschwander-Tetri</w:t>
      </w:r>
      <w:proofErr w:type="spellEnd"/>
      <w:r w:rsidRPr="00400610">
        <w:rPr>
          <w:rStyle w:val="normaltextrun"/>
          <w:rFonts w:ascii="Arial" w:hAnsi="Arial" w:cs="Arial"/>
          <w:sz w:val="20"/>
          <w:szCs w:val="20"/>
        </w:rPr>
        <w:t xml:space="preserve">, B. A., &amp; Bacon, B. R. (1996). Nonalcoholic steatohepatitis. Medical Clinics of North America, 80(5), 1147-1166. </w:t>
      </w:r>
      <w:hyperlink r:id="rId17" w:history="1">
        <w:r w:rsidRPr="000D5FD9">
          <w:rPr>
            <w:rStyle w:val="Hyperlink"/>
            <w:rFonts w:ascii="Arial" w:hAnsi="Arial" w:cs="Arial"/>
            <w:sz w:val="20"/>
            <w:szCs w:val="20"/>
          </w:rPr>
          <w:t>https://doi.org/10.1016/s0025-7125(05)70483-1</w:t>
        </w:r>
      </w:hyperlink>
      <w:r>
        <w:rPr>
          <w:rStyle w:val="normaltextrun"/>
          <w:rFonts w:ascii="Arial" w:hAnsi="Arial" w:cs="Arial"/>
          <w:sz w:val="20"/>
          <w:szCs w:val="20"/>
        </w:rPr>
        <w:t xml:space="preserve"> </w:t>
      </w:r>
      <w:r w:rsidR="005E58FF" w:rsidRPr="00D44004">
        <w:rPr>
          <w:rStyle w:val="eop"/>
          <w:rFonts w:ascii="Arial" w:hAnsi="Arial" w:cs="Arial"/>
          <w:sz w:val="20"/>
          <w:szCs w:val="20"/>
        </w:rPr>
        <w:t> </w:t>
      </w:r>
    </w:p>
    <w:p w:rsidR="005E58FF" w:rsidRPr="00D44004" w:rsidRDefault="002333B4" w:rsidP="00D44004">
      <w:pPr>
        <w:pStyle w:val="References"/>
        <w:ind w:left="300" w:hanging="300"/>
        <w:rPr>
          <w:rFonts w:ascii="Arial" w:hAnsi="Arial" w:cs="Arial"/>
          <w:sz w:val="20"/>
          <w:szCs w:val="20"/>
        </w:rPr>
      </w:pPr>
      <w:r w:rsidRPr="002333B4">
        <w:rPr>
          <w:rStyle w:val="normaltextrun"/>
          <w:rFonts w:ascii="Arial" w:hAnsi="Arial" w:cs="Arial"/>
          <w:sz w:val="20"/>
          <w:szCs w:val="20"/>
          <w:lang w:val="bs-Latn-BA"/>
        </w:rPr>
        <w:t xml:space="preserve">Redlich, C. A., &amp; Cullen, M. R. (1997). Nonalcoholic steatohepatitis [Letter to the editor]. Annals of Internal Medicine, 127(5), 410. </w:t>
      </w:r>
      <w:hyperlink r:id="rId18" w:history="1">
        <w:r w:rsidRPr="000D5FD9">
          <w:rPr>
            <w:rStyle w:val="Hyperlink"/>
            <w:rFonts w:ascii="Arial" w:hAnsi="Arial" w:cs="Arial"/>
            <w:sz w:val="20"/>
            <w:szCs w:val="20"/>
            <w:lang w:val="bs-Latn-BA"/>
          </w:rPr>
          <w:t>https://doi.org/10.7326/0003-4819-127-5-199709010-00014</w:t>
        </w:r>
      </w:hyperlink>
      <w:r>
        <w:rPr>
          <w:rStyle w:val="normaltextrun"/>
          <w:rFonts w:ascii="Arial" w:hAnsi="Arial" w:cs="Arial"/>
          <w:sz w:val="20"/>
          <w:szCs w:val="20"/>
          <w:lang w:val="bs-Latn-BA"/>
        </w:rPr>
        <w:t xml:space="preserve"> </w:t>
      </w:r>
      <w:r w:rsidR="005E58FF" w:rsidRPr="00D44004">
        <w:rPr>
          <w:rStyle w:val="eop"/>
          <w:rFonts w:ascii="Arial" w:hAnsi="Arial" w:cs="Arial"/>
          <w:sz w:val="20"/>
          <w:szCs w:val="20"/>
        </w:rPr>
        <w:t> </w:t>
      </w:r>
    </w:p>
    <w:p w:rsidR="005E58FF" w:rsidRPr="00D44004" w:rsidRDefault="005E58FF" w:rsidP="00D44004">
      <w:pPr>
        <w:pStyle w:val="References"/>
        <w:ind w:left="300" w:hanging="300"/>
        <w:rPr>
          <w:rFonts w:ascii="Arial" w:hAnsi="Arial" w:cs="Arial"/>
          <w:color w:val="auto"/>
          <w:sz w:val="20"/>
          <w:szCs w:val="20"/>
        </w:rPr>
      </w:pPr>
      <w:r w:rsidRPr="00D44004">
        <w:rPr>
          <w:rStyle w:val="normaltextrun"/>
          <w:rFonts w:ascii="Arial" w:hAnsi="Arial" w:cs="Arial"/>
          <w:color w:val="auto"/>
          <w:sz w:val="20"/>
          <w:szCs w:val="20"/>
        </w:rPr>
        <w:t xml:space="preserve">Redlich CA, </w:t>
      </w:r>
      <w:proofErr w:type="spellStart"/>
      <w:r w:rsidRPr="00D44004">
        <w:rPr>
          <w:rStyle w:val="normaltextrun"/>
          <w:rFonts w:ascii="Arial" w:hAnsi="Arial" w:cs="Arial"/>
          <w:color w:val="auto"/>
          <w:sz w:val="20"/>
          <w:szCs w:val="20"/>
        </w:rPr>
        <w:t>Brodkin</w:t>
      </w:r>
      <w:proofErr w:type="spellEnd"/>
      <w:r w:rsidRPr="00D44004">
        <w:rPr>
          <w:rStyle w:val="normaltextrun"/>
          <w:rFonts w:ascii="Arial" w:hAnsi="Arial" w:cs="Arial"/>
          <w:color w:val="auto"/>
          <w:sz w:val="20"/>
          <w:szCs w:val="20"/>
        </w:rPr>
        <w:t xml:space="preserve"> D. Occupational liver disease, In: Rosenstock, L., Cullen, M.R. (Eds), Clinical Occupational and Environmental Medicine, Philadelphia: WB Saunders, 1994., 423-436.</w:t>
      </w:r>
      <w:r w:rsidRPr="00D44004">
        <w:rPr>
          <w:rStyle w:val="eop"/>
          <w:rFonts w:ascii="Arial" w:hAnsi="Arial" w:cs="Arial"/>
          <w:color w:val="auto"/>
          <w:sz w:val="20"/>
          <w:szCs w:val="20"/>
        </w:rPr>
        <w:t> </w:t>
      </w:r>
    </w:p>
    <w:p w:rsidR="005E58FF" w:rsidRPr="00D44004" w:rsidRDefault="002333B4" w:rsidP="00D44004">
      <w:pPr>
        <w:pStyle w:val="References"/>
        <w:ind w:left="300" w:hanging="300"/>
        <w:rPr>
          <w:rFonts w:ascii="Arial" w:hAnsi="Arial" w:cs="Arial"/>
          <w:sz w:val="20"/>
          <w:szCs w:val="20"/>
        </w:rPr>
      </w:pPr>
      <w:r w:rsidRPr="002333B4">
        <w:rPr>
          <w:rStyle w:val="normaltextrun"/>
          <w:rFonts w:ascii="Arial" w:hAnsi="Arial" w:cs="Arial"/>
          <w:sz w:val="20"/>
          <w:szCs w:val="20"/>
        </w:rPr>
        <w:t xml:space="preserve">Angulo, P. (2002). Nonalcoholic fatty liver disease. New England Journal of Medicine, 346(16), 1221–1231. </w:t>
      </w:r>
      <w:hyperlink r:id="rId19" w:history="1">
        <w:r w:rsidRPr="000D5FD9">
          <w:rPr>
            <w:rStyle w:val="Hyperlink"/>
            <w:rFonts w:ascii="Arial" w:hAnsi="Arial" w:cs="Arial"/>
            <w:sz w:val="20"/>
            <w:szCs w:val="20"/>
          </w:rPr>
          <w:t>https://doi.org/10.1056/NEJMra011775</w:t>
        </w:r>
      </w:hyperlink>
      <w:r>
        <w:rPr>
          <w:rStyle w:val="normaltextrun"/>
          <w:rFonts w:ascii="Arial" w:hAnsi="Arial" w:cs="Arial"/>
          <w:sz w:val="20"/>
          <w:szCs w:val="20"/>
        </w:rPr>
        <w:t xml:space="preserve"> </w:t>
      </w:r>
      <w:r w:rsidR="005E58FF" w:rsidRPr="00D44004">
        <w:rPr>
          <w:rStyle w:val="normaltextrun"/>
          <w:rFonts w:ascii="Arial" w:hAnsi="Arial" w:cs="Arial"/>
          <w:sz w:val="20"/>
          <w:szCs w:val="20"/>
        </w:rPr>
        <w:t>.</w:t>
      </w:r>
      <w:r w:rsidR="005E58FF" w:rsidRPr="00D44004">
        <w:rPr>
          <w:rStyle w:val="eop"/>
          <w:rFonts w:ascii="Arial" w:hAnsi="Arial" w:cs="Arial"/>
          <w:sz w:val="20"/>
          <w:szCs w:val="20"/>
        </w:rPr>
        <w:t> </w:t>
      </w:r>
    </w:p>
    <w:p w:rsidR="005E58FF" w:rsidRPr="00D44004" w:rsidRDefault="0059698C" w:rsidP="00D44004">
      <w:pPr>
        <w:pStyle w:val="References"/>
        <w:ind w:left="300" w:hanging="300"/>
        <w:rPr>
          <w:rFonts w:ascii="Arial" w:hAnsi="Arial" w:cs="Arial"/>
          <w:sz w:val="20"/>
          <w:szCs w:val="20"/>
        </w:rPr>
      </w:pPr>
      <w:r w:rsidRPr="0059698C">
        <w:rPr>
          <w:rStyle w:val="normaltextrun"/>
          <w:rFonts w:ascii="Arial" w:hAnsi="Arial" w:cs="Arial"/>
          <w:color w:val="222222"/>
          <w:sz w:val="20"/>
          <w:szCs w:val="20"/>
        </w:rPr>
        <w:t xml:space="preserve">Pérez, C. A., </w:t>
      </w:r>
      <w:proofErr w:type="spellStart"/>
      <w:r w:rsidRPr="0059698C">
        <w:rPr>
          <w:rStyle w:val="normaltextrun"/>
          <w:rFonts w:ascii="Arial" w:hAnsi="Arial" w:cs="Arial"/>
          <w:color w:val="222222"/>
          <w:sz w:val="20"/>
          <w:szCs w:val="20"/>
        </w:rPr>
        <w:t>Bosia</w:t>
      </w:r>
      <w:proofErr w:type="spellEnd"/>
      <w:r w:rsidRPr="0059698C">
        <w:rPr>
          <w:rStyle w:val="normaltextrun"/>
          <w:rFonts w:ascii="Arial" w:hAnsi="Arial" w:cs="Arial"/>
          <w:color w:val="222222"/>
          <w:sz w:val="20"/>
          <w:szCs w:val="20"/>
        </w:rPr>
        <w:t xml:space="preserve">, J. D., Cantore, M. S., </w:t>
      </w:r>
      <w:proofErr w:type="spellStart"/>
      <w:r w:rsidRPr="0059698C">
        <w:rPr>
          <w:rStyle w:val="normaltextrun"/>
          <w:rFonts w:ascii="Arial" w:hAnsi="Arial" w:cs="Arial"/>
          <w:color w:val="222222"/>
          <w:sz w:val="20"/>
          <w:szCs w:val="20"/>
        </w:rPr>
        <w:t>Chiera</w:t>
      </w:r>
      <w:proofErr w:type="spellEnd"/>
      <w:r w:rsidRPr="0059698C">
        <w:rPr>
          <w:rStyle w:val="normaltextrun"/>
          <w:rFonts w:ascii="Arial" w:hAnsi="Arial" w:cs="Arial"/>
          <w:color w:val="222222"/>
          <w:sz w:val="20"/>
          <w:szCs w:val="20"/>
        </w:rPr>
        <w:t xml:space="preserve">, A., </w:t>
      </w:r>
      <w:proofErr w:type="spellStart"/>
      <w:r w:rsidRPr="0059698C">
        <w:rPr>
          <w:rStyle w:val="normaltextrun"/>
          <w:rFonts w:ascii="Arial" w:hAnsi="Arial" w:cs="Arial"/>
          <w:color w:val="222222"/>
          <w:sz w:val="20"/>
          <w:szCs w:val="20"/>
        </w:rPr>
        <w:t>Cocozzella</w:t>
      </w:r>
      <w:proofErr w:type="spellEnd"/>
      <w:r w:rsidRPr="0059698C">
        <w:rPr>
          <w:rStyle w:val="normaltextrun"/>
          <w:rFonts w:ascii="Arial" w:hAnsi="Arial" w:cs="Arial"/>
          <w:color w:val="222222"/>
          <w:sz w:val="20"/>
          <w:szCs w:val="20"/>
        </w:rPr>
        <w:t xml:space="preserve">, D. R., </w:t>
      </w:r>
      <w:proofErr w:type="spellStart"/>
      <w:r w:rsidRPr="0059698C">
        <w:rPr>
          <w:rStyle w:val="normaltextrun"/>
          <w:rFonts w:ascii="Arial" w:hAnsi="Arial" w:cs="Arial"/>
          <w:color w:val="222222"/>
          <w:sz w:val="20"/>
          <w:szCs w:val="20"/>
        </w:rPr>
        <w:t>Adrover</w:t>
      </w:r>
      <w:proofErr w:type="spellEnd"/>
      <w:r w:rsidRPr="0059698C">
        <w:rPr>
          <w:rStyle w:val="normaltextrun"/>
          <w:rFonts w:ascii="Arial" w:hAnsi="Arial" w:cs="Arial"/>
          <w:color w:val="222222"/>
          <w:sz w:val="20"/>
          <w:szCs w:val="20"/>
        </w:rPr>
        <w:t xml:space="preserve">, R. E., </w:t>
      </w:r>
      <w:proofErr w:type="spellStart"/>
      <w:r w:rsidRPr="0059698C">
        <w:rPr>
          <w:rStyle w:val="normaltextrun"/>
          <w:rFonts w:ascii="Arial" w:hAnsi="Arial" w:cs="Arial"/>
          <w:color w:val="222222"/>
          <w:sz w:val="20"/>
          <w:szCs w:val="20"/>
        </w:rPr>
        <w:t>Borzi</w:t>
      </w:r>
      <w:proofErr w:type="spellEnd"/>
      <w:r w:rsidRPr="0059698C">
        <w:rPr>
          <w:rStyle w:val="normaltextrun"/>
          <w:rFonts w:ascii="Arial" w:hAnsi="Arial" w:cs="Arial"/>
          <w:color w:val="222222"/>
          <w:sz w:val="20"/>
          <w:szCs w:val="20"/>
        </w:rPr>
        <w:t xml:space="preserve">, S., &amp; </w:t>
      </w:r>
      <w:proofErr w:type="spellStart"/>
      <w:r w:rsidRPr="0059698C">
        <w:rPr>
          <w:rStyle w:val="normaltextrun"/>
          <w:rFonts w:ascii="Arial" w:hAnsi="Arial" w:cs="Arial"/>
          <w:color w:val="222222"/>
          <w:sz w:val="20"/>
          <w:szCs w:val="20"/>
        </w:rPr>
        <w:t>Curciarello</w:t>
      </w:r>
      <w:proofErr w:type="spellEnd"/>
      <w:r w:rsidRPr="0059698C">
        <w:rPr>
          <w:rStyle w:val="normaltextrun"/>
          <w:rFonts w:ascii="Arial" w:hAnsi="Arial" w:cs="Arial"/>
          <w:color w:val="222222"/>
          <w:sz w:val="20"/>
          <w:szCs w:val="20"/>
        </w:rPr>
        <w:t xml:space="preserve">, J. O. (2006). Liver damage in workers exposed to hydrocarbons. </w:t>
      </w:r>
      <w:proofErr w:type="spellStart"/>
      <w:r w:rsidRPr="0059698C">
        <w:rPr>
          <w:rStyle w:val="normaltextrun"/>
          <w:rFonts w:ascii="Arial" w:hAnsi="Arial" w:cs="Arial"/>
          <w:color w:val="222222"/>
          <w:sz w:val="20"/>
          <w:szCs w:val="20"/>
        </w:rPr>
        <w:t>Gastroenterología</w:t>
      </w:r>
      <w:proofErr w:type="spellEnd"/>
      <w:r w:rsidRPr="0059698C">
        <w:rPr>
          <w:rStyle w:val="normaltextrun"/>
          <w:rFonts w:ascii="Arial" w:hAnsi="Arial" w:cs="Arial"/>
          <w:color w:val="222222"/>
          <w:sz w:val="20"/>
          <w:szCs w:val="20"/>
        </w:rPr>
        <w:t xml:space="preserve"> y </w:t>
      </w:r>
      <w:proofErr w:type="spellStart"/>
      <w:r w:rsidRPr="0059698C">
        <w:rPr>
          <w:rStyle w:val="normaltextrun"/>
          <w:rFonts w:ascii="Arial" w:hAnsi="Arial" w:cs="Arial"/>
          <w:color w:val="222222"/>
          <w:sz w:val="20"/>
          <w:szCs w:val="20"/>
        </w:rPr>
        <w:t>hepatología</w:t>
      </w:r>
      <w:proofErr w:type="spellEnd"/>
      <w:r w:rsidRPr="0059698C">
        <w:rPr>
          <w:rStyle w:val="normaltextrun"/>
          <w:rFonts w:ascii="Arial" w:hAnsi="Arial" w:cs="Arial"/>
          <w:color w:val="222222"/>
          <w:sz w:val="20"/>
          <w:szCs w:val="20"/>
        </w:rPr>
        <w:t xml:space="preserve">, 29(6), 334-337. </w:t>
      </w:r>
      <w:hyperlink r:id="rId20" w:history="1">
        <w:r w:rsidRPr="000D5FD9">
          <w:rPr>
            <w:rStyle w:val="Hyperlink"/>
            <w:rFonts w:ascii="Arial" w:hAnsi="Arial" w:cs="Arial"/>
            <w:sz w:val="20"/>
            <w:szCs w:val="20"/>
          </w:rPr>
          <w:t>https://doi.org/10.1157/13089716</w:t>
        </w:r>
      </w:hyperlink>
      <w:r>
        <w:rPr>
          <w:rStyle w:val="normaltextrun"/>
          <w:rFonts w:ascii="Arial" w:hAnsi="Arial" w:cs="Arial"/>
          <w:color w:val="222222"/>
          <w:sz w:val="20"/>
          <w:szCs w:val="20"/>
        </w:rPr>
        <w:t xml:space="preserve"> </w:t>
      </w:r>
    </w:p>
    <w:p w:rsidR="005E58FF" w:rsidRPr="00D44004" w:rsidRDefault="007075AD" w:rsidP="00D44004">
      <w:pPr>
        <w:pStyle w:val="References"/>
        <w:ind w:left="300" w:hanging="300"/>
        <w:rPr>
          <w:rFonts w:ascii="Arial" w:hAnsi="Arial" w:cs="Arial"/>
          <w:sz w:val="20"/>
          <w:szCs w:val="20"/>
        </w:rPr>
      </w:pPr>
      <w:r w:rsidRPr="007075AD">
        <w:rPr>
          <w:rStyle w:val="normaltextrun"/>
          <w:rFonts w:ascii="Arial" w:hAnsi="Arial" w:cs="Arial"/>
          <w:sz w:val="20"/>
          <w:szCs w:val="20"/>
        </w:rPr>
        <w:t xml:space="preserve">Cave, M., </w:t>
      </w:r>
      <w:proofErr w:type="spellStart"/>
      <w:r w:rsidRPr="007075AD">
        <w:rPr>
          <w:rStyle w:val="normaltextrun"/>
          <w:rFonts w:ascii="Arial" w:hAnsi="Arial" w:cs="Arial"/>
          <w:sz w:val="20"/>
          <w:szCs w:val="20"/>
        </w:rPr>
        <w:t>Deaciuc</w:t>
      </w:r>
      <w:proofErr w:type="spellEnd"/>
      <w:r w:rsidRPr="007075AD">
        <w:rPr>
          <w:rStyle w:val="normaltextrun"/>
          <w:rFonts w:ascii="Arial" w:hAnsi="Arial" w:cs="Arial"/>
          <w:sz w:val="20"/>
          <w:szCs w:val="20"/>
        </w:rPr>
        <w:t>, I., Mendez, C., Song, Z., Joshi-</w:t>
      </w:r>
      <w:proofErr w:type="spellStart"/>
      <w:r w:rsidRPr="007075AD">
        <w:rPr>
          <w:rStyle w:val="normaltextrun"/>
          <w:rFonts w:ascii="Arial" w:hAnsi="Arial" w:cs="Arial"/>
          <w:sz w:val="20"/>
          <w:szCs w:val="20"/>
        </w:rPr>
        <w:t>Barve</w:t>
      </w:r>
      <w:proofErr w:type="spellEnd"/>
      <w:r w:rsidRPr="007075AD">
        <w:rPr>
          <w:rStyle w:val="normaltextrun"/>
          <w:rFonts w:ascii="Arial" w:hAnsi="Arial" w:cs="Arial"/>
          <w:sz w:val="20"/>
          <w:szCs w:val="20"/>
        </w:rPr>
        <w:t xml:space="preserve">, S., </w:t>
      </w:r>
      <w:proofErr w:type="spellStart"/>
      <w:r w:rsidRPr="007075AD">
        <w:rPr>
          <w:rStyle w:val="normaltextrun"/>
          <w:rFonts w:ascii="Arial" w:hAnsi="Arial" w:cs="Arial"/>
          <w:sz w:val="20"/>
          <w:szCs w:val="20"/>
        </w:rPr>
        <w:t>Barve</w:t>
      </w:r>
      <w:proofErr w:type="spellEnd"/>
      <w:r w:rsidRPr="007075AD">
        <w:rPr>
          <w:rStyle w:val="normaltextrun"/>
          <w:rFonts w:ascii="Arial" w:hAnsi="Arial" w:cs="Arial"/>
          <w:sz w:val="20"/>
          <w:szCs w:val="20"/>
        </w:rPr>
        <w:t xml:space="preserve">, S., &amp; McClain, C. (2007). Nonalcoholic fatty liver disease: predisposing factors and the role of nutrition. Journal of Nutritional Biochemistry, 18(3), 184–195. </w:t>
      </w:r>
      <w:hyperlink r:id="rId21" w:history="1">
        <w:r w:rsidRPr="000D5FD9">
          <w:rPr>
            <w:rStyle w:val="Hyperlink"/>
            <w:rFonts w:ascii="Arial" w:hAnsi="Arial" w:cs="Arial"/>
            <w:sz w:val="20"/>
            <w:szCs w:val="20"/>
          </w:rPr>
          <w:t>https://doi.org/10.1016/j.jnutbio.2006.12.006</w:t>
        </w:r>
      </w:hyperlink>
      <w:r>
        <w:rPr>
          <w:rStyle w:val="normaltextrun"/>
          <w:rFonts w:ascii="Arial" w:hAnsi="Arial" w:cs="Arial"/>
          <w:sz w:val="20"/>
          <w:szCs w:val="20"/>
        </w:rPr>
        <w:t xml:space="preserve"> </w:t>
      </w:r>
      <w:r w:rsidR="005E58FF" w:rsidRPr="00D44004">
        <w:rPr>
          <w:rStyle w:val="eop"/>
          <w:rFonts w:ascii="Arial" w:hAnsi="Arial" w:cs="Arial"/>
          <w:sz w:val="20"/>
          <w:szCs w:val="20"/>
        </w:rPr>
        <w:t xml:space="preserve"> </w:t>
      </w:r>
    </w:p>
    <w:p w:rsidR="005E58FF" w:rsidRPr="00D44004" w:rsidRDefault="00E15A71" w:rsidP="00D44004">
      <w:pPr>
        <w:pStyle w:val="References"/>
        <w:ind w:left="300" w:hanging="300"/>
        <w:rPr>
          <w:rFonts w:ascii="Arial" w:hAnsi="Arial" w:cs="Arial"/>
          <w:sz w:val="20"/>
          <w:szCs w:val="20"/>
        </w:rPr>
      </w:pPr>
      <w:r w:rsidRPr="00E15A71">
        <w:rPr>
          <w:rStyle w:val="normaltextrun"/>
          <w:rFonts w:ascii="Arial" w:hAnsi="Arial" w:cs="Arial"/>
          <w:sz w:val="20"/>
          <w:szCs w:val="20"/>
        </w:rPr>
        <w:t>El-</w:t>
      </w:r>
      <w:proofErr w:type="spellStart"/>
      <w:r w:rsidRPr="00E15A71">
        <w:rPr>
          <w:rStyle w:val="normaltextrun"/>
          <w:rFonts w:ascii="Arial" w:hAnsi="Arial" w:cs="Arial"/>
          <w:sz w:val="20"/>
          <w:szCs w:val="20"/>
        </w:rPr>
        <w:t>Shakour</w:t>
      </w:r>
      <w:proofErr w:type="spellEnd"/>
      <w:r w:rsidRPr="00E15A71">
        <w:rPr>
          <w:rStyle w:val="normaltextrun"/>
          <w:rFonts w:ascii="Arial" w:hAnsi="Arial" w:cs="Arial"/>
          <w:sz w:val="20"/>
          <w:szCs w:val="20"/>
        </w:rPr>
        <w:t>, A. A., El-</w:t>
      </w:r>
      <w:proofErr w:type="spellStart"/>
      <w:r w:rsidRPr="00E15A71">
        <w:rPr>
          <w:rStyle w:val="normaltextrun"/>
          <w:rFonts w:ascii="Arial" w:hAnsi="Arial" w:cs="Arial"/>
          <w:sz w:val="20"/>
          <w:szCs w:val="20"/>
        </w:rPr>
        <w:t>Ebiarie</w:t>
      </w:r>
      <w:proofErr w:type="spellEnd"/>
      <w:r w:rsidRPr="00E15A71">
        <w:rPr>
          <w:rStyle w:val="normaltextrun"/>
          <w:rFonts w:ascii="Arial" w:hAnsi="Arial" w:cs="Arial"/>
          <w:sz w:val="20"/>
          <w:szCs w:val="20"/>
        </w:rPr>
        <w:t xml:space="preserve">, A. S., Ibrahim, Y. H., Abdel </w:t>
      </w:r>
      <w:proofErr w:type="spellStart"/>
      <w:r w:rsidRPr="00E15A71">
        <w:rPr>
          <w:rStyle w:val="normaltextrun"/>
          <w:rFonts w:ascii="Arial" w:hAnsi="Arial" w:cs="Arial"/>
          <w:sz w:val="20"/>
          <w:szCs w:val="20"/>
        </w:rPr>
        <w:t>Moneim</w:t>
      </w:r>
      <w:proofErr w:type="spellEnd"/>
      <w:r w:rsidRPr="00E15A71">
        <w:rPr>
          <w:rStyle w:val="normaltextrun"/>
          <w:rFonts w:ascii="Arial" w:hAnsi="Arial" w:cs="Arial"/>
          <w:sz w:val="20"/>
          <w:szCs w:val="20"/>
        </w:rPr>
        <w:t>, A. E., &amp; El-</w:t>
      </w:r>
      <w:proofErr w:type="spellStart"/>
      <w:r w:rsidRPr="00E15A71">
        <w:rPr>
          <w:rStyle w:val="normaltextrun"/>
          <w:rFonts w:ascii="Arial" w:hAnsi="Arial" w:cs="Arial"/>
          <w:sz w:val="20"/>
          <w:szCs w:val="20"/>
        </w:rPr>
        <w:t>Mekawy</w:t>
      </w:r>
      <w:proofErr w:type="spellEnd"/>
      <w:r w:rsidRPr="00E15A71">
        <w:rPr>
          <w:rStyle w:val="normaltextrun"/>
          <w:rFonts w:ascii="Arial" w:hAnsi="Arial" w:cs="Arial"/>
          <w:sz w:val="20"/>
          <w:szCs w:val="20"/>
        </w:rPr>
        <w:t xml:space="preserve">, A. M. (2015). Effect of benzene on oxidative stress and the functions of liver and kidney in rats. Journal of Environmental and Occupational Health, 4, 34-39. </w:t>
      </w:r>
      <w:hyperlink r:id="rId22" w:history="1">
        <w:r w:rsidRPr="000D5FD9">
          <w:rPr>
            <w:rStyle w:val="Hyperlink"/>
            <w:rFonts w:ascii="Arial" w:hAnsi="Arial" w:cs="Arial"/>
            <w:sz w:val="20"/>
            <w:szCs w:val="20"/>
          </w:rPr>
          <w:t>https://doi.org/10.5455/jeos.20141223050552</w:t>
        </w:r>
      </w:hyperlink>
      <w:r>
        <w:rPr>
          <w:rStyle w:val="normaltextrun"/>
          <w:rFonts w:ascii="Arial" w:hAnsi="Arial" w:cs="Arial"/>
          <w:sz w:val="20"/>
          <w:szCs w:val="20"/>
        </w:rPr>
        <w:t xml:space="preserve"> </w:t>
      </w:r>
      <w:r w:rsidR="005E58FF" w:rsidRPr="00D44004">
        <w:rPr>
          <w:rStyle w:val="eop"/>
          <w:rFonts w:ascii="Arial" w:hAnsi="Arial" w:cs="Arial"/>
          <w:sz w:val="20"/>
          <w:szCs w:val="20"/>
        </w:rPr>
        <w:t> </w:t>
      </w:r>
    </w:p>
    <w:p w:rsidR="005E58FF" w:rsidRPr="00D44004" w:rsidRDefault="003E0204" w:rsidP="00D44004">
      <w:pPr>
        <w:pStyle w:val="References"/>
        <w:ind w:left="300" w:hanging="300"/>
        <w:rPr>
          <w:rFonts w:ascii="Arial" w:hAnsi="Arial" w:cs="Arial"/>
          <w:sz w:val="20"/>
          <w:szCs w:val="20"/>
        </w:rPr>
      </w:pPr>
      <w:proofErr w:type="spellStart"/>
      <w:r w:rsidRPr="003E0204">
        <w:rPr>
          <w:rStyle w:val="normaltextrun"/>
          <w:rFonts w:ascii="Arial" w:hAnsi="Arial" w:cs="Arial"/>
          <w:sz w:val="20"/>
          <w:szCs w:val="20"/>
        </w:rPr>
        <w:lastRenderedPageBreak/>
        <w:t>Cotrim</w:t>
      </w:r>
      <w:proofErr w:type="spellEnd"/>
      <w:r w:rsidRPr="003E0204">
        <w:rPr>
          <w:rStyle w:val="normaltextrun"/>
          <w:rFonts w:ascii="Arial" w:hAnsi="Arial" w:cs="Arial"/>
          <w:sz w:val="20"/>
          <w:szCs w:val="20"/>
        </w:rPr>
        <w:t xml:space="preserve">, H. P., Andrade, Z. A., Parana, R., Portugal, M., Lyra, L. G., &amp; Freitas, L. A. (1999). Nonalcoholic steatohepatitis: A toxic liver disease in industrial workers. Liver, 19(4), 299-304. </w:t>
      </w:r>
      <w:hyperlink r:id="rId23" w:history="1">
        <w:r w:rsidRPr="000D5FD9">
          <w:rPr>
            <w:rStyle w:val="Hyperlink"/>
            <w:rFonts w:ascii="Arial" w:hAnsi="Arial" w:cs="Arial"/>
            <w:sz w:val="20"/>
            <w:szCs w:val="20"/>
          </w:rPr>
          <w:t>https://doi.org/10.1111/j.1478-3231.1999.tb00053.x</w:t>
        </w:r>
      </w:hyperlink>
      <w:r>
        <w:rPr>
          <w:rStyle w:val="normaltextrun"/>
          <w:rFonts w:ascii="Arial" w:hAnsi="Arial" w:cs="Arial"/>
          <w:sz w:val="20"/>
          <w:szCs w:val="20"/>
        </w:rPr>
        <w:t xml:space="preserve"> </w:t>
      </w:r>
    </w:p>
    <w:p w:rsidR="005E58FF" w:rsidRPr="00D44004" w:rsidRDefault="003E0204" w:rsidP="00D44004">
      <w:pPr>
        <w:pStyle w:val="References"/>
        <w:ind w:left="300" w:hanging="300"/>
        <w:rPr>
          <w:rFonts w:ascii="Arial" w:hAnsi="Arial" w:cs="Arial"/>
          <w:sz w:val="20"/>
          <w:szCs w:val="20"/>
        </w:rPr>
      </w:pPr>
      <w:proofErr w:type="spellStart"/>
      <w:r w:rsidRPr="003E0204">
        <w:rPr>
          <w:rStyle w:val="normaltextrun"/>
          <w:rFonts w:ascii="Arial" w:hAnsi="Arial" w:cs="Arial"/>
          <w:sz w:val="20"/>
          <w:szCs w:val="20"/>
        </w:rPr>
        <w:t>Cotrim</w:t>
      </w:r>
      <w:proofErr w:type="spellEnd"/>
      <w:r w:rsidRPr="003E0204">
        <w:rPr>
          <w:rStyle w:val="normaltextrun"/>
          <w:rFonts w:ascii="Arial" w:hAnsi="Arial" w:cs="Arial"/>
          <w:sz w:val="20"/>
          <w:szCs w:val="20"/>
        </w:rPr>
        <w:t xml:space="preserve">, H. P., De Freitas, L. A., Freitas, C., Braga, L., Sousa, R., Carvalho, F., Parana, R., et al. (2004). Clinical and histopathological features of NASH in workers exposed to chemicals with or without associated metabolic conditions. Liver International, 24, 131–135. </w:t>
      </w:r>
      <w:hyperlink r:id="rId24" w:history="1">
        <w:r w:rsidRPr="000D5FD9">
          <w:rPr>
            <w:rStyle w:val="Hyperlink"/>
            <w:rFonts w:ascii="Arial" w:hAnsi="Arial" w:cs="Arial"/>
            <w:sz w:val="20"/>
            <w:szCs w:val="20"/>
          </w:rPr>
          <w:t>https://doi.org/10.1111/j.1478-3231.2004.0897.x</w:t>
        </w:r>
      </w:hyperlink>
      <w:r>
        <w:rPr>
          <w:rStyle w:val="normaltextrun"/>
          <w:rFonts w:ascii="Arial" w:hAnsi="Arial" w:cs="Arial"/>
          <w:sz w:val="20"/>
          <w:szCs w:val="20"/>
        </w:rPr>
        <w:t xml:space="preserve"> </w:t>
      </w:r>
    </w:p>
    <w:p w:rsidR="005E58FF" w:rsidRPr="00D44004" w:rsidRDefault="003E0204" w:rsidP="00D44004">
      <w:pPr>
        <w:pStyle w:val="References"/>
        <w:ind w:left="300" w:hanging="300"/>
        <w:rPr>
          <w:rFonts w:ascii="Arial" w:hAnsi="Arial" w:cs="Arial"/>
          <w:sz w:val="20"/>
          <w:szCs w:val="20"/>
        </w:rPr>
      </w:pPr>
      <w:r w:rsidRPr="003E0204">
        <w:rPr>
          <w:rStyle w:val="normaltextrun"/>
          <w:rFonts w:ascii="Arial" w:hAnsi="Arial" w:cs="Arial"/>
          <w:sz w:val="20"/>
          <w:szCs w:val="20"/>
          <w:lang w:val="bs-Latn-BA"/>
        </w:rPr>
        <w:t xml:space="preserve">Cotrim, H. P., Carvalho, F., &amp; De Freitas, L. A. R. (2005). Nonalcoholic fatty liver and insulin resistance among petrochemical workers. JAMA, 294(13), 1618-1620. </w:t>
      </w:r>
      <w:hyperlink r:id="rId25" w:history="1">
        <w:r w:rsidRPr="000D5FD9">
          <w:rPr>
            <w:rStyle w:val="Hyperlink"/>
            <w:rFonts w:ascii="Arial" w:hAnsi="Arial" w:cs="Arial"/>
            <w:sz w:val="20"/>
            <w:szCs w:val="20"/>
            <w:lang w:val="bs-Latn-BA"/>
          </w:rPr>
          <w:t>https://doi.org/10.1001/jama.294.13.1618-b</w:t>
        </w:r>
      </w:hyperlink>
      <w:r>
        <w:rPr>
          <w:rStyle w:val="normaltextrun"/>
          <w:rFonts w:ascii="Arial" w:hAnsi="Arial" w:cs="Arial"/>
          <w:sz w:val="20"/>
          <w:szCs w:val="20"/>
          <w:lang w:val="bs-Latn-BA"/>
        </w:rPr>
        <w:t xml:space="preserve"> </w:t>
      </w:r>
    </w:p>
    <w:p w:rsidR="005E58FF" w:rsidRPr="00D44004" w:rsidRDefault="00015500" w:rsidP="00D44004">
      <w:pPr>
        <w:pStyle w:val="References"/>
        <w:ind w:left="300" w:hanging="300"/>
        <w:rPr>
          <w:rFonts w:ascii="Arial" w:hAnsi="Arial" w:cs="Arial"/>
          <w:sz w:val="20"/>
          <w:szCs w:val="20"/>
        </w:rPr>
      </w:pPr>
      <w:proofErr w:type="spellStart"/>
      <w:r w:rsidRPr="00015500">
        <w:rPr>
          <w:rStyle w:val="normaltextrun"/>
          <w:rFonts w:ascii="Arial" w:hAnsi="Arial" w:cs="Arial"/>
          <w:sz w:val="20"/>
          <w:szCs w:val="20"/>
        </w:rPr>
        <w:t>Michailova</w:t>
      </w:r>
      <w:proofErr w:type="spellEnd"/>
      <w:r w:rsidRPr="00015500">
        <w:rPr>
          <w:rStyle w:val="normaltextrun"/>
          <w:rFonts w:ascii="Arial" w:hAnsi="Arial" w:cs="Arial"/>
          <w:sz w:val="20"/>
          <w:szCs w:val="20"/>
        </w:rPr>
        <w:t xml:space="preserve">, A., </w:t>
      </w:r>
      <w:proofErr w:type="spellStart"/>
      <w:r w:rsidRPr="00015500">
        <w:rPr>
          <w:rStyle w:val="normaltextrun"/>
          <w:rFonts w:ascii="Arial" w:hAnsi="Arial" w:cs="Arial"/>
          <w:sz w:val="20"/>
          <w:szCs w:val="20"/>
        </w:rPr>
        <w:t>Kuneva</w:t>
      </w:r>
      <w:proofErr w:type="spellEnd"/>
      <w:r w:rsidRPr="00015500">
        <w:rPr>
          <w:rStyle w:val="normaltextrun"/>
          <w:rFonts w:ascii="Arial" w:hAnsi="Arial" w:cs="Arial"/>
          <w:sz w:val="20"/>
          <w:szCs w:val="20"/>
        </w:rPr>
        <w:t xml:space="preserve">, T., &amp; Popov, T. (1998). A comparative assessment of liver function in workers in the petroleum industry. International Archives of Occupational and Environmental Health, 71(Suppl), S46–S49. </w:t>
      </w:r>
      <w:hyperlink r:id="rId26" w:history="1">
        <w:r w:rsidRPr="000D5FD9">
          <w:rPr>
            <w:rStyle w:val="Hyperlink"/>
            <w:rFonts w:ascii="Arial" w:hAnsi="Arial" w:cs="Arial"/>
            <w:sz w:val="20"/>
            <w:szCs w:val="20"/>
          </w:rPr>
          <w:t>https://pubmed.ncbi.nlm.nih.gov/9827880/</w:t>
        </w:r>
      </w:hyperlink>
      <w:r>
        <w:rPr>
          <w:rStyle w:val="normaltextrun"/>
          <w:rFonts w:ascii="Arial" w:hAnsi="Arial" w:cs="Arial"/>
          <w:sz w:val="20"/>
          <w:szCs w:val="20"/>
        </w:rPr>
        <w:t xml:space="preserve"> </w:t>
      </w:r>
    </w:p>
    <w:p w:rsidR="005E58FF" w:rsidRPr="00D44004" w:rsidRDefault="007C58E7" w:rsidP="00D44004">
      <w:pPr>
        <w:pStyle w:val="References"/>
        <w:ind w:left="300" w:hanging="300"/>
        <w:rPr>
          <w:rFonts w:ascii="Arial" w:hAnsi="Arial" w:cs="Arial"/>
          <w:sz w:val="20"/>
          <w:szCs w:val="20"/>
        </w:rPr>
      </w:pPr>
      <w:r w:rsidRPr="007C58E7">
        <w:rPr>
          <w:rStyle w:val="normaltextrun"/>
          <w:rFonts w:ascii="Arial" w:hAnsi="Arial" w:cs="Arial"/>
          <w:color w:val="222222"/>
          <w:sz w:val="20"/>
          <w:szCs w:val="20"/>
        </w:rPr>
        <w:t>Fernández-</w:t>
      </w:r>
      <w:proofErr w:type="spellStart"/>
      <w:r w:rsidRPr="007C58E7">
        <w:rPr>
          <w:rStyle w:val="normaltextrun"/>
          <w:rFonts w:ascii="Arial" w:hAnsi="Arial" w:cs="Arial"/>
          <w:color w:val="222222"/>
          <w:sz w:val="20"/>
          <w:szCs w:val="20"/>
        </w:rPr>
        <w:t>D'Pool</w:t>
      </w:r>
      <w:proofErr w:type="spellEnd"/>
      <w:r w:rsidRPr="007C58E7">
        <w:rPr>
          <w:rStyle w:val="normaltextrun"/>
          <w:rFonts w:ascii="Arial" w:hAnsi="Arial" w:cs="Arial"/>
          <w:color w:val="222222"/>
          <w:sz w:val="20"/>
          <w:szCs w:val="20"/>
        </w:rPr>
        <w:t xml:space="preserve">, J., &amp; </w:t>
      </w:r>
      <w:proofErr w:type="spellStart"/>
      <w:r w:rsidRPr="007C58E7">
        <w:rPr>
          <w:rStyle w:val="normaltextrun"/>
          <w:rFonts w:ascii="Arial" w:hAnsi="Arial" w:cs="Arial"/>
          <w:color w:val="222222"/>
          <w:sz w:val="20"/>
          <w:szCs w:val="20"/>
        </w:rPr>
        <w:t>Oroño</w:t>
      </w:r>
      <w:proofErr w:type="spellEnd"/>
      <w:r w:rsidRPr="007C58E7">
        <w:rPr>
          <w:rStyle w:val="normaltextrun"/>
          <w:rFonts w:ascii="Arial" w:hAnsi="Arial" w:cs="Arial"/>
          <w:color w:val="222222"/>
          <w:sz w:val="20"/>
          <w:szCs w:val="20"/>
        </w:rPr>
        <w:t xml:space="preserve">-Osorio, A. (2001). Liver function of workers occupationally exposed to mixed organic solvents in a petrochemical industry. </w:t>
      </w:r>
      <w:proofErr w:type="spellStart"/>
      <w:r w:rsidRPr="007C58E7">
        <w:rPr>
          <w:rStyle w:val="normaltextrun"/>
          <w:rFonts w:ascii="Arial" w:hAnsi="Arial" w:cs="Arial"/>
          <w:color w:val="222222"/>
          <w:sz w:val="20"/>
          <w:szCs w:val="20"/>
        </w:rPr>
        <w:t>Investigación</w:t>
      </w:r>
      <w:proofErr w:type="spellEnd"/>
      <w:r w:rsidRPr="007C58E7">
        <w:rPr>
          <w:rStyle w:val="normaltextrun"/>
          <w:rFonts w:ascii="Arial" w:hAnsi="Arial" w:cs="Arial"/>
          <w:color w:val="222222"/>
          <w:sz w:val="20"/>
          <w:szCs w:val="20"/>
        </w:rPr>
        <w:t xml:space="preserve"> </w:t>
      </w:r>
      <w:proofErr w:type="spellStart"/>
      <w:r w:rsidRPr="007C58E7">
        <w:rPr>
          <w:rStyle w:val="normaltextrun"/>
          <w:rFonts w:ascii="Arial" w:hAnsi="Arial" w:cs="Arial"/>
          <w:color w:val="222222"/>
          <w:sz w:val="20"/>
          <w:szCs w:val="20"/>
        </w:rPr>
        <w:t>Clínica</w:t>
      </w:r>
      <w:proofErr w:type="spellEnd"/>
      <w:r w:rsidRPr="007C58E7">
        <w:rPr>
          <w:rStyle w:val="normaltextrun"/>
          <w:rFonts w:ascii="Arial" w:hAnsi="Arial" w:cs="Arial"/>
          <w:color w:val="222222"/>
          <w:sz w:val="20"/>
          <w:szCs w:val="20"/>
        </w:rPr>
        <w:t xml:space="preserve">, 42(2), 87-106. </w:t>
      </w:r>
      <w:hyperlink r:id="rId27" w:history="1">
        <w:r w:rsidRPr="000D5FD9">
          <w:rPr>
            <w:rStyle w:val="Hyperlink"/>
            <w:rFonts w:ascii="Arial" w:hAnsi="Arial" w:cs="Arial"/>
            <w:sz w:val="20"/>
            <w:szCs w:val="20"/>
          </w:rPr>
          <w:t>https://www.scielo.org.ve/scielo.php?script=sci_arttext&amp;pid=S0535-51332001000200002</w:t>
        </w:r>
      </w:hyperlink>
      <w:r>
        <w:rPr>
          <w:rStyle w:val="normaltextrun"/>
          <w:rFonts w:ascii="Arial" w:hAnsi="Arial" w:cs="Arial"/>
          <w:color w:val="222222"/>
          <w:sz w:val="20"/>
          <w:szCs w:val="20"/>
        </w:rPr>
        <w:t xml:space="preserve"> </w:t>
      </w:r>
      <w:r w:rsidR="005E58FF" w:rsidRPr="00D44004">
        <w:rPr>
          <w:rStyle w:val="eop"/>
          <w:rFonts w:ascii="Arial" w:hAnsi="Arial" w:cs="Arial"/>
          <w:color w:val="222222"/>
          <w:sz w:val="20"/>
          <w:szCs w:val="20"/>
        </w:rPr>
        <w:t> </w:t>
      </w:r>
    </w:p>
    <w:p w:rsidR="005E58FF" w:rsidRPr="00D44004" w:rsidRDefault="005E58FF" w:rsidP="00D44004">
      <w:pPr>
        <w:pStyle w:val="References"/>
        <w:ind w:left="300" w:hanging="300"/>
        <w:rPr>
          <w:rFonts w:ascii="Arial" w:hAnsi="Arial" w:cs="Arial"/>
          <w:color w:val="auto"/>
          <w:sz w:val="20"/>
          <w:szCs w:val="20"/>
        </w:rPr>
      </w:pPr>
      <w:r w:rsidRPr="00D44004">
        <w:rPr>
          <w:rStyle w:val="normaltextrun"/>
          <w:rFonts w:ascii="Arial" w:hAnsi="Arial" w:cs="Arial"/>
          <w:color w:val="auto"/>
          <w:sz w:val="20"/>
          <w:szCs w:val="20"/>
          <w:lang w:val="bs-Latn-BA"/>
        </w:rPr>
        <w:t>Mirjana Aranđelović, Jovica Jovanović: Occupational medicine, Faculty of Medicine, Niš, 2007.</w:t>
      </w:r>
      <w:r w:rsidRPr="00D44004">
        <w:rPr>
          <w:rStyle w:val="eop"/>
          <w:rFonts w:ascii="Arial" w:hAnsi="Arial" w:cs="Arial"/>
          <w:color w:val="auto"/>
          <w:sz w:val="20"/>
          <w:szCs w:val="20"/>
        </w:rPr>
        <w:t> </w:t>
      </w:r>
    </w:p>
    <w:p w:rsidR="005E58FF" w:rsidRDefault="005E58FF" w:rsidP="00D44004">
      <w:pPr>
        <w:pStyle w:val="References"/>
        <w:ind w:left="300" w:hanging="300"/>
        <w:rPr>
          <w:rStyle w:val="eop"/>
          <w:rFonts w:ascii="Arial" w:hAnsi="Arial" w:cs="Arial"/>
          <w:color w:val="auto"/>
          <w:sz w:val="20"/>
          <w:szCs w:val="20"/>
        </w:rPr>
      </w:pPr>
      <w:r w:rsidRPr="00D44004">
        <w:rPr>
          <w:rStyle w:val="normaltextrun"/>
          <w:rFonts w:ascii="Arial" w:hAnsi="Arial" w:cs="Arial"/>
          <w:color w:val="auto"/>
          <w:sz w:val="20"/>
          <w:szCs w:val="20"/>
          <w:lang w:val="bs-Latn-BA"/>
        </w:rPr>
        <w:t>Marko Šarić, Eugenija Šuškin: Occupational and environmental medicine, medical publishing house, Zagreb 2002.</w:t>
      </w:r>
      <w:r w:rsidRPr="00D44004">
        <w:rPr>
          <w:rStyle w:val="eop"/>
          <w:rFonts w:ascii="Arial" w:hAnsi="Arial" w:cs="Arial"/>
          <w:color w:val="auto"/>
          <w:sz w:val="20"/>
          <w:szCs w:val="20"/>
        </w:rPr>
        <w:t> </w:t>
      </w:r>
    </w:p>
    <w:p w:rsidR="00F913E1" w:rsidRPr="00D44004" w:rsidRDefault="00F913E1" w:rsidP="00D44004">
      <w:pPr>
        <w:pStyle w:val="References"/>
        <w:ind w:left="300" w:hanging="300"/>
        <w:rPr>
          <w:rFonts w:ascii="Arial" w:hAnsi="Arial" w:cs="Arial"/>
          <w:color w:val="auto"/>
          <w:sz w:val="20"/>
          <w:szCs w:val="20"/>
        </w:rPr>
      </w:pPr>
      <w:r w:rsidRPr="00F913E1">
        <w:rPr>
          <w:rFonts w:ascii="Arial" w:hAnsi="Arial" w:cs="Arial"/>
          <w:color w:val="auto"/>
          <w:sz w:val="20"/>
          <w:szCs w:val="20"/>
        </w:rPr>
        <w:t xml:space="preserve">Vincent-Junior </w:t>
      </w:r>
      <w:proofErr w:type="spellStart"/>
      <w:r w:rsidRPr="00F913E1">
        <w:rPr>
          <w:rFonts w:ascii="Arial" w:hAnsi="Arial" w:cs="Arial"/>
          <w:color w:val="auto"/>
          <w:sz w:val="20"/>
          <w:szCs w:val="20"/>
        </w:rPr>
        <w:t>Onoriode</w:t>
      </w:r>
      <w:proofErr w:type="spellEnd"/>
      <w:r w:rsidRPr="00F913E1">
        <w:rPr>
          <w:rFonts w:ascii="Arial" w:hAnsi="Arial" w:cs="Arial"/>
          <w:color w:val="auto"/>
          <w:sz w:val="20"/>
          <w:szCs w:val="20"/>
        </w:rPr>
        <w:t xml:space="preserve"> </w:t>
      </w:r>
      <w:proofErr w:type="spellStart"/>
      <w:r w:rsidRPr="00F913E1">
        <w:rPr>
          <w:rFonts w:ascii="Arial" w:hAnsi="Arial" w:cs="Arial"/>
          <w:color w:val="auto"/>
          <w:sz w:val="20"/>
          <w:szCs w:val="20"/>
        </w:rPr>
        <w:t>Igben</w:t>
      </w:r>
      <w:proofErr w:type="spellEnd"/>
      <w:r w:rsidRPr="00F913E1">
        <w:rPr>
          <w:rFonts w:ascii="Arial" w:hAnsi="Arial" w:cs="Arial"/>
          <w:color w:val="auto"/>
          <w:sz w:val="20"/>
          <w:szCs w:val="20"/>
        </w:rPr>
        <w:t xml:space="preserve">, Anthony </w:t>
      </w:r>
      <w:proofErr w:type="spellStart"/>
      <w:r w:rsidRPr="00F913E1">
        <w:rPr>
          <w:rFonts w:ascii="Arial" w:hAnsi="Arial" w:cs="Arial"/>
          <w:color w:val="auto"/>
          <w:sz w:val="20"/>
          <w:szCs w:val="20"/>
        </w:rPr>
        <w:t>Taghogho</w:t>
      </w:r>
      <w:proofErr w:type="spellEnd"/>
      <w:r w:rsidRPr="00F913E1">
        <w:rPr>
          <w:rFonts w:ascii="Arial" w:hAnsi="Arial" w:cs="Arial"/>
          <w:color w:val="auto"/>
          <w:sz w:val="20"/>
          <w:szCs w:val="20"/>
        </w:rPr>
        <w:t xml:space="preserve"> </w:t>
      </w:r>
      <w:proofErr w:type="spellStart"/>
      <w:r w:rsidRPr="00F913E1">
        <w:rPr>
          <w:rFonts w:ascii="Arial" w:hAnsi="Arial" w:cs="Arial"/>
          <w:color w:val="auto"/>
          <w:sz w:val="20"/>
          <w:szCs w:val="20"/>
        </w:rPr>
        <w:t>Eduviere</w:t>
      </w:r>
      <w:proofErr w:type="spellEnd"/>
      <w:r w:rsidRPr="00F913E1">
        <w:rPr>
          <w:rFonts w:ascii="Arial" w:hAnsi="Arial" w:cs="Arial"/>
          <w:color w:val="auto"/>
          <w:sz w:val="20"/>
          <w:szCs w:val="20"/>
        </w:rPr>
        <w:t xml:space="preserve">, </w:t>
      </w:r>
      <w:proofErr w:type="spellStart"/>
      <w:r w:rsidRPr="00F913E1">
        <w:rPr>
          <w:rFonts w:ascii="Arial" w:hAnsi="Arial" w:cs="Arial"/>
          <w:color w:val="auto"/>
          <w:sz w:val="20"/>
          <w:szCs w:val="20"/>
        </w:rPr>
        <w:t>Emuesiri</w:t>
      </w:r>
      <w:proofErr w:type="spellEnd"/>
      <w:r w:rsidRPr="00F913E1">
        <w:rPr>
          <w:rFonts w:ascii="Arial" w:hAnsi="Arial" w:cs="Arial"/>
          <w:color w:val="auto"/>
          <w:sz w:val="20"/>
          <w:szCs w:val="20"/>
        </w:rPr>
        <w:t xml:space="preserve"> </w:t>
      </w:r>
      <w:proofErr w:type="spellStart"/>
      <w:r w:rsidRPr="00F913E1">
        <w:rPr>
          <w:rFonts w:ascii="Arial" w:hAnsi="Arial" w:cs="Arial"/>
          <w:color w:val="auto"/>
          <w:sz w:val="20"/>
          <w:szCs w:val="20"/>
        </w:rPr>
        <w:t>Umukoro</w:t>
      </w:r>
      <w:proofErr w:type="spellEnd"/>
      <w:r w:rsidRPr="00F913E1">
        <w:rPr>
          <w:rFonts w:ascii="Arial" w:hAnsi="Arial" w:cs="Arial"/>
          <w:color w:val="auto"/>
          <w:sz w:val="20"/>
          <w:szCs w:val="20"/>
        </w:rPr>
        <w:t xml:space="preserve">, Blessing </w:t>
      </w:r>
      <w:proofErr w:type="spellStart"/>
      <w:r w:rsidRPr="00F913E1">
        <w:rPr>
          <w:rFonts w:ascii="Arial" w:hAnsi="Arial" w:cs="Arial"/>
          <w:color w:val="auto"/>
          <w:sz w:val="20"/>
          <w:szCs w:val="20"/>
        </w:rPr>
        <w:t>Oghenekparobor</w:t>
      </w:r>
      <w:proofErr w:type="spellEnd"/>
      <w:r w:rsidRPr="00F913E1">
        <w:rPr>
          <w:rFonts w:ascii="Arial" w:hAnsi="Arial" w:cs="Arial"/>
          <w:color w:val="auto"/>
          <w:sz w:val="20"/>
          <w:szCs w:val="20"/>
        </w:rPr>
        <w:t xml:space="preserve"> Elijah &amp; Anthonia </w:t>
      </w:r>
      <w:proofErr w:type="spellStart"/>
      <w:r w:rsidRPr="00F913E1">
        <w:rPr>
          <w:rFonts w:ascii="Arial" w:hAnsi="Arial" w:cs="Arial"/>
          <w:color w:val="auto"/>
          <w:sz w:val="20"/>
          <w:szCs w:val="20"/>
        </w:rPr>
        <w:t>Oshaye</w:t>
      </w:r>
      <w:proofErr w:type="spellEnd"/>
      <w:r w:rsidRPr="00F913E1">
        <w:rPr>
          <w:rFonts w:ascii="Arial" w:hAnsi="Arial" w:cs="Arial"/>
          <w:color w:val="auto"/>
          <w:sz w:val="20"/>
          <w:szCs w:val="20"/>
        </w:rPr>
        <w:t xml:space="preserve"> </w:t>
      </w:r>
      <w:proofErr w:type="spellStart"/>
      <w:r w:rsidRPr="00F913E1">
        <w:rPr>
          <w:rFonts w:ascii="Arial" w:hAnsi="Arial" w:cs="Arial"/>
          <w:color w:val="auto"/>
          <w:sz w:val="20"/>
          <w:szCs w:val="20"/>
        </w:rPr>
        <w:t>Uku</w:t>
      </w:r>
      <w:proofErr w:type="spellEnd"/>
      <w:r w:rsidRPr="00F913E1">
        <w:rPr>
          <w:rFonts w:ascii="Arial" w:hAnsi="Arial" w:cs="Arial"/>
          <w:color w:val="auto"/>
          <w:sz w:val="20"/>
          <w:szCs w:val="20"/>
        </w:rPr>
        <w:t>. (2025). Polyvinyl Chloride Exposure Induces Liver Injury: A Biochemical and Histological Evaluation. Asian Journal of Advanced Research and Reports, 19(8), 42–58. https://doi.org/10.9734/ajarr/2025/v19i81115</w:t>
      </w:r>
    </w:p>
    <w:sectPr w:rsidR="00F913E1" w:rsidRPr="00D44004" w:rsidSect="00B97307">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B4" w:rsidRDefault="000645B4" w:rsidP="00C37E61">
      <w:r>
        <w:separator/>
      </w:r>
    </w:p>
  </w:endnote>
  <w:endnote w:type="continuationSeparator" w:id="0">
    <w:p w:rsidR="000645B4" w:rsidRDefault="000645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Brabo">
    <w:altName w:val="Times New Roman"/>
    <w:charset w:val="00"/>
    <w:family w:val="roman"/>
    <w:pitch w:val="variable"/>
  </w:font>
  <w:font w:name="Sitka Heading">
    <w:panose1 w:val="00000000000000000000"/>
    <w:charset w:val="00"/>
    <w:family w:val="auto"/>
    <w:pitch w:val="variable"/>
    <w:sig w:usb0="A00002EF" w:usb1="4000204B" w:usb2="00000000" w:usb3="00000000" w:csb0="0000019F" w:csb1="00000000"/>
  </w:font>
  <w:font w:name="Microsoft GothicNeo">
    <w:charset w:val="81"/>
    <w:family w:val="swiss"/>
    <w:pitch w:val="variable"/>
    <w:sig w:usb0="800002BF" w:usb1="29D7A47B" w:usb2="00000010" w:usb3="00000000" w:csb0="0029009F" w:csb1="00000000"/>
  </w:font>
  <w:font w:name="Shonar Bangla">
    <w:charset w:val="00"/>
    <w:family w:val="roman"/>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B9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B97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FF" w:rsidRDefault="005E58FF">
    <w:pPr>
      <w:pStyle w:val="Footer"/>
      <w:rPr>
        <w:rFonts w:ascii="Arial" w:hAnsi="Arial" w:cs="Arial"/>
        <w:sz w:val="16"/>
      </w:rPr>
    </w:pPr>
  </w:p>
  <w:p w:rsidR="005E58FF" w:rsidRDefault="005E58F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5E58FF" w:rsidRDefault="005E58FF">
    <w:pPr>
      <w:pStyle w:val="Footer"/>
      <w:rPr>
        <w:rFonts w:ascii="Arial" w:hAnsi="Arial" w:cs="Arial"/>
        <w:sz w:val="16"/>
      </w:rPr>
    </w:pPr>
  </w:p>
  <w:p w:rsidR="005E58FF" w:rsidRPr="009E048A" w:rsidRDefault="005E58F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FF" w:rsidRPr="00C37E61" w:rsidRDefault="005E5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B4" w:rsidRDefault="000645B4" w:rsidP="00C37E61">
      <w:r>
        <w:separator/>
      </w:r>
    </w:p>
  </w:footnote>
  <w:footnote w:type="continuationSeparator" w:id="0">
    <w:p w:rsidR="000645B4" w:rsidRDefault="000645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E94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E94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FF" w:rsidRPr="00296529" w:rsidRDefault="00E94AB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E58FF" w:rsidRPr="00296529" w:rsidRDefault="005E58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5E58FF" w:rsidRPr="00296529" w:rsidRDefault="005E58FF" w:rsidP="00296529">
    <w:pPr>
      <w:jc w:val="center"/>
      <w:rPr>
        <w:rFonts w:ascii="Times New Roman" w:eastAsia="Calibri" w:hAnsi="Times New Roman"/>
        <w:i/>
        <w:sz w:val="18"/>
        <w:szCs w:val="22"/>
      </w:rPr>
    </w:pPr>
    <w:r>
      <w:rPr>
        <w:rFonts w:ascii="Times New Roman" w:eastAsia="Calibri" w:hAnsi="Times New Roman"/>
        <w:i/>
        <w:sz w:val="18"/>
        <w:szCs w:val="22"/>
      </w:rPr>
      <w:t>.</w:t>
    </w:r>
  </w:p>
  <w:p w:rsidR="005E58FF" w:rsidRPr="00296529" w:rsidRDefault="005E58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5E58FF" w:rsidRDefault="005E58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5E58FF" w:rsidRDefault="005E5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E58FF" w:rsidRDefault="005E58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E94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E94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07" w:rsidRDefault="00E94A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0248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F125B"/>
    <w:multiLevelType w:val="hybridMultilevel"/>
    <w:tmpl w:val="65BEA85A"/>
    <w:lvl w:ilvl="0" w:tplc="10F867A2">
      <w:start w:val="1"/>
      <w:numFmt w:val="decimal"/>
      <w:lvlText w:val="%1."/>
      <w:lvlJc w:val="left"/>
      <w:pPr>
        <w:ind w:left="720" w:hanging="360"/>
      </w:pPr>
      <w:rPr>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071BCD"/>
    <w:multiLevelType w:val="hybridMultilevel"/>
    <w:tmpl w:val="256266E4"/>
    <w:lvl w:ilvl="0" w:tplc="AE84710C">
      <w:start w:val="1"/>
      <w:numFmt w:val="decimal"/>
      <w:lvlText w:val="%1."/>
      <w:lvlJc w:val="left"/>
      <w:pPr>
        <w:ind w:left="720" w:hanging="360"/>
      </w:pPr>
      <w:rPr>
        <w:rFonts w:ascii="Times New Roman" w:hAnsi="Times New Roman" w:cs="Times New Roman" w:hint="default"/>
        <w:sz w:val="24"/>
        <w:szCs w:val="24"/>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4D6561"/>
    <w:multiLevelType w:val="hybridMultilevel"/>
    <w:tmpl w:val="E458C204"/>
    <w:lvl w:ilvl="0" w:tplc="9A08BB88">
      <w:start w:val="1"/>
      <w:numFmt w:val="decimal"/>
      <w:pStyle w:val="References"/>
      <w:suff w:val="space"/>
      <w:lvlText w:val="[%1]"/>
      <w:lvlJc w:val="left"/>
      <w:pPr>
        <w:ind w:left="0" w:firstLine="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9"/>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NbM0NjM0N7IAQiUdpeDU4uLM/DyQAuNaAL0WYcQsAAAA"/>
  </w:docVars>
  <w:rsids>
    <w:rsidRoot w:val="00AA6219"/>
    <w:rsid w:val="00000F8F"/>
    <w:rsid w:val="00015500"/>
    <w:rsid w:val="00021885"/>
    <w:rsid w:val="00030174"/>
    <w:rsid w:val="0004579C"/>
    <w:rsid w:val="000645B4"/>
    <w:rsid w:val="000708A3"/>
    <w:rsid w:val="000A47FA"/>
    <w:rsid w:val="000A65D3"/>
    <w:rsid w:val="000B0F85"/>
    <w:rsid w:val="000B13E0"/>
    <w:rsid w:val="000B1E33"/>
    <w:rsid w:val="000D689F"/>
    <w:rsid w:val="000E7B7B"/>
    <w:rsid w:val="000E7D62"/>
    <w:rsid w:val="00103357"/>
    <w:rsid w:val="00123C9F"/>
    <w:rsid w:val="00126190"/>
    <w:rsid w:val="00130F17"/>
    <w:rsid w:val="001320BF"/>
    <w:rsid w:val="0014704A"/>
    <w:rsid w:val="00163BC4"/>
    <w:rsid w:val="00191062"/>
    <w:rsid w:val="00192B72"/>
    <w:rsid w:val="0019534B"/>
    <w:rsid w:val="001A29D8"/>
    <w:rsid w:val="001A5CAA"/>
    <w:rsid w:val="001B0427"/>
    <w:rsid w:val="001C052C"/>
    <w:rsid w:val="001D3A51"/>
    <w:rsid w:val="001E10D2"/>
    <w:rsid w:val="001E25B4"/>
    <w:rsid w:val="001E44FE"/>
    <w:rsid w:val="001F683E"/>
    <w:rsid w:val="00200595"/>
    <w:rsid w:val="00204835"/>
    <w:rsid w:val="00231920"/>
    <w:rsid w:val="0023195C"/>
    <w:rsid w:val="002326DC"/>
    <w:rsid w:val="002333B4"/>
    <w:rsid w:val="0024282C"/>
    <w:rsid w:val="002460DC"/>
    <w:rsid w:val="00250985"/>
    <w:rsid w:val="00251DBD"/>
    <w:rsid w:val="002556F6"/>
    <w:rsid w:val="00280C22"/>
    <w:rsid w:val="00283105"/>
    <w:rsid w:val="00284C4C"/>
    <w:rsid w:val="002874A2"/>
    <w:rsid w:val="00296529"/>
    <w:rsid w:val="002B03C7"/>
    <w:rsid w:val="002B27FB"/>
    <w:rsid w:val="002B57DA"/>
    <w:rsid w:val="002B685A"/>
    <w:rsid w:val="002C01DA"/>
    <w:rsid w:val="002C57D2"/>
    <w:rsid w:val="002E0D56"/>
    <w:rsid w:val="002E2D25"/>
    <w:rsid w:val="002F71D2"/>
    <w:rsid w:val="00315186"/>
    <w:rsid w:val="00332E05"/>
    <w:rsid w:val="0033343E"/>
    <w:rsid w:val="003512C2"/>
    <w:rsid w:val="00351D7E"/>
    <w:rsid w:val="00353474"/>
    <w:rsid w:val="00371FB6"/>
    <w:rsid w:val="003763C1"/>
    <w:rsid w:val="00376BBE"/>
    <w:rsid w:val="003811B3"/>
    <w:rsid w:val="0039224F"/>
    <w:rsid w:val="003967AA"/>
    <w:rsid w:val="003A43A4"/>
    <w:rsid w:val="003A7E18"/>
    <w:rsid w:val="003B1BA6"/>
    <w:rsid w:val="003C13AA"/>
    <w:rsid w:val="003C4C86"/>
    <w:rsid w:val="003C6258"/>
    <w:rsid w:val="003E0204"/>
    <w:rsid w:val="003E2904"/>
    <w:rsid w:val="00400610"/>
    <w:rsid w:val="00401927"/>
    <w:rsid w:val="0041027F"/>
    <w:rsid w:val="00412475"/>
    <w:rsid w:val="00415938"/>
    <w:rsid w:val="00423789"/>
    <w:rsid w:val="00440F43"/>
    <w:rsid w:val="00441B6F"/>
    <w:rsid w:val="00446221"/>
    <w:rsid w:val="004475ED"/>
    <w:rsid w:val="00450DB5"/>
    <w:rsid w:val="00450E62"/>
    <w:rsid w:val="004539DB"/>
    <w:rsid w:val="0045709F"/>
    <w:rsid w:val="0046153A"/>
    <w:rsid w:val="00465FB0"/>
    <w:rsid w:val="00471A80"/>
    <w:rsid w:val="004D305E"/>
    <w:rsid w:val="004D4277"/>
    <w:rsid w:val="004D4956"/>
    <w:rsid w:val="004F2934"/>
    <w:rsid w:val="00502516"/>
    <w:rsid w:val="00505F06"/>
    <w:rsid w:val="00506828"/>
    <w:rsid w:val="0053056E"/>
    <w:rsid w:val="00554FDA"/>
    <w:rsid w:val="005843E4"/>
    <w:rsid w:val="0059698C"/>
    <w:rsid w:val="005A60F5"/>
    <w:rsid w:val="005A6AB4"/>
    <w:rsid w:val="005B0D7D"/>
    <w:rsid w:val="005C1C27"/>
    <w:rsid w:val="005C784C"/>
    <w:rsid w:val="005D17F6"/>
    <w:rsid w:val="005E5539"/>
    <w:rsid w:val="005E58FF"/>
    <w:rsid w:val="00602BF5"/>
    <w:rsid w:val="00617FDD"/>
    <w:rsid w:val="00633614"/>
    <w:rsid w:val="00633F68"/>
    <w:rsid w:val="00636EB2"/>
    <w:rsid w:val="006375B8"/>
    <w:rsid w:val="0066510A"/>
    <w:rsid w:val="00673F9F"/>
    <w:rsid w:val="0068200D"/>
    <w:rsid w:val="00686953"/>
    <w:rsid w:val="00687DEA"/>
    <w:rsid w:val="00687E67"/>
    <w:rsid w:val="006967F7"/>
    <w:rsid w:val="006A250C"/>
    <w:rsid w:val="006B21D3"/>
    <w:rsid w:val="006B57D0"/>
    <w:rsid w:val="006D30FF"/>
    <w:rsid w:val="006D6940"/>
    <w:rsid w:val="006F11EC"/>
    <w:rsid w:val="006F6483"/>
    <w:rsid w:val="0070082C"/>
    <w:rsid w:val="007075AD"/>
    <w:rsid w:val="0071148D"/>
    <w:rsid w:val="0071373D"/>
    <w:rsid w:val="00716F0D"/>
    <w:rsid w:val="007369E6"/>
    <w:rsid w:val="00740F09"/>
    <w:rsid w:val="00746E59"/>
    <w:rsid w:val="00754C9A"/>
    <w:rsid w:val="0075599A"/>
    <w:rsid w:val="00761D52"/>
    <w:rsid w:val="0077749E"/>
    <w:rsid w:val="00790ADA"/>
    <w:rsid w:val="00792786"/>
    <w:rsid w:val="007C58E7"/>
    <w:rsid w:val="007D1B4A"/>
    <w:rsid w:val="007D2288"/>
    <w:rsid w:val="007E088F"/>
    <w:rsid w:val="007F7B32"/>
    <w:rsid w:val="00804BC2"/>
    <w:rsid w:val="00804E43"/>
    <w:rsid w:val="0081431A"/>
    <w:rsid w:val="008169E9"/>
    <w:rsid w:val="0083216F"/>
    <w:rsid w:val="008352CE"/>
    <w:rsid w:val="00842239"/>
    <w:rsid w:val="00857413"/>
    <w:rsid w:val="00860000"/>
    <w:rsid w:val="00863BD3"/>
    <w:rsid w:val="00863E2C"/>
    <w:rsid w:val="00866D66"/>
    <w:rsid w:val="008671C6"/>
    <w:rsid w:val="00875803"/>
    <w:rsid w:val="0088562C"/>
    <w:rsid w:val="00896717"/>
    <w:rsid w:val="008A5C92"/>
    <w:rsid w:val="008A693C"/>
    <w:rsid w:val="008B459E"/>
    <w:rsid w:val="008C3931"/>
    <w:rsid w:val="008D6236"/>
    <w:rsid w:val="008E13AE"/>
    <w:rsid w:val="008E1506"/>
    <w:rsid w:val="008E2AA7"/>
    <w:rsid w:val="008E710C"/>
    <w:rsid w:val="008F3E20"/>
    <w:rsid w:val="008F69D6"/>
    <w:rsid w:val="00902823"/>
    <w:rsid w:val="00912058"/>
    <w:rsid w:val="00915CA6"/>
    <w:rsid w:val="0092486A"/>
    <w:rsid w:val="00927834"/>
    <w:rsid w:val="00942288"/>
    <w:rsid w:val="009500A6"/>
    <w:rsid w:val="0095522A"/>
    <w:rsid w:val="00957C18"/>
    <w:rsid w:val="00963715"/>
    <w:rsid w:val="009659BA"/>
    <w:rsid w:val="00983040"/>
    <w:rsid w:val="00991A6F"/>
    <w:rsid w:val="00991E77"/>
    <w:rsid w:val="009A0647"/>
    <w:rsid w:val="009B3FB9"/>
    <w:rsid w:val="009C2465"/>
    <w:rsid w:val="009D35A0"/>
    <w:rsid w:val="009D7EB7"/>
    <w:rsid w:val="009E048A"/>
    <w:rsid w:val="009E08E9"/>
    <w:rsid w:val="009E3506"/>
    <w:rsid w:val="009E3DB9"/>
    <w:rsid w:val="009E6E35"/>
    <w:rsid w:val="009F0EDA"/>
    <w:rsid w:val="00A00F9B"/>
    <w:rsid w:val="00A03B96"/>
    <w:rsid w:val="00A05B19"/>
    <w:rsid w:val="00A1134E"/>
    <w:rsid w:val="00A113BF"/>
    <w:rsid w:val="00A21F95"/>
    <w:rsid w:val="00A24E7E"/>
    <w:rsid w:val="00A258C3"/>
    <w:rsid w:val="00A2644E"/>
    <w:rsid w:val="00A347C0"/>
    <w:rsid w:val="00A51431"/>
    <w:rsid w:val="00A539AD"/>
    <w:rsid w:val="00A612A3"/>
    <w:rsid w:val="00A620C2"/>
    <w:rsid w:val="00A66FF6"/>
    <w:rsid w:val="00A94063"/>
    <w:rsid w:val="00AA6219"/>
    <w:rsid w:val="00AA74E0"/>
    <w:rsid w:val="00AB223E"/>
    <w:rsid w:val="00AB703F"/>
    <w:rsid w:val="00AC6BB8"/>
    <w:rsid w:val="00AD0438"/>
    <w:rsid w:val="00AE008F"/>
    <w:rsid w:val="00AE169B"/>
    <w:rsid w:val="00B01FCD"/>
    <w:rsid w:val="00B1776C"/>
    <w:rsid w:val="00B5046F"/>
    <w:rsid w:val="00B52896"/>
    <w:rsid w:val="00B64756"/>
    <w:rsid w:val="00B71522"/>
    <w:rsid w:val="00B95236"/>
    <w:rsid w:val="00B96BD9"/>
    <w:rsid w:val="00B97307"/>
    <w:rsid w:val="00BA1B01"/>
    <w:rsid w:val="00BA2641"/>
    <w:rsid w:val="00BB37AA"/>
    <w:rsid w:val="00BB3F1D"/>
    <w:rsid w:val="00BC53A0"/>
    <w:rsid w:val="00BE62AD"/>
    <w:rsid w:val="00BF121F"/>
    <w:rsid w:val="00BF1F80"/>
    <w:rsid w:val="00C0333F"/>
    <w:rsid w:val="00C042EC"/>
    <w:rsid w:val="00C166EF"/>
    <w:rsid w:val="00C17EB0"/>
    <w:rsid w:val="00C27F5F"/>
    <w:rsid w:val="00C30A0F"/>
    <w:rsid w:val="00C37E61"/>
    <w:rsid w:val="00C420C3"/>
    <w:rsid w:val="00C56424"/>
    <w:rsid w:val="00C56EA0"/>
    <w:rsid w:val="00C70DBC"/>
    <w:rsid w:val="00C70F1B"/>
    <w:rsid w:val="00C71A47"/>
    <w:rsid w:val="00C7464C"/>
    <w:rsid w:val="00C85588"/>
    <w:rsid w:val="00C87A69"/>
    <w:rsid w:val="00CA5306"/>
    <w:rsid w:val="00CD6755"/>
    <w:rsid w:val="00CD6856"/>
    <w:rsid w:val="00CE0089"/>
    <w:rsid w:val="00CE4E9B"/>
    <w:rsid w:val="00CE793C"/>
    <w:rsid w:val="00D173F1"/>
    <w:rsid w:val="00D27E17"/>
    <w:rsid w:val="00D34D1C"/>
    <w:rsid w:val="00D44004"/>
    <w:rsid w:val="00D75108"/>
    <w:rsid w:val="00D8295D"/>
    <w:rsid w:val="00D94610"/>
    <w:rsid w:val="00D97CB7"/>
    <w:rsid w:val="00DA5DE0"/>
    <w:rsid w:val="00DA6EA8"/>
    <w:rsid w:val="00DB3789"/>
    <w:rsid w:val="00DC2A65"/>
    <w:rsid w:val="00DE015C"/>
    <w:rsid w:val="00DE15F0"/>
    <w:rsid w:val="00DE5663"/>
    <w:rsid w:val="00DE78AA"/>
    <w:rsid w:val="00DF5A8E"/>
    <w:rsid w:val="00E053D0"/>
    <w:rsid w:val="00E15994"/>
    <w:rsid w:val="00E15A71"/>
    <w:rsid w:val="00E3114E"/>
    <w:rsid w:val="00E31A70"/>
    <w:rsid w:val="00E35B02"/>
    <w:rsid w:val="00E54477"/>
    <w:rsid w:val="00E66496"/>
    <w:rsid w:val="00E66B35"/>
    <w:rsid w:val="00E66E10"/>
    <w:rsid w:val="00E67FB5"/>
    <w:rsid w:val="00E768E7"/>
    <w:rsid w:val="00E769F6"/>
    <w:rsid w:val="00E8407C"/>
    <w:rsid w:val="00E84F3C"/>
    <w:rsid w:val="00E94AB0"/>
    <w:rsid w:val="00EA012C"/>
    <w:rsid w:val="00ED0288"/>
    <w:rsid w:val="00EE52CB"/>
    <w:rsid w:val="00EF4DE4"/>
    <w:rsid w:val="00EF581D"/>
    <w:rsid w:val="00EF7FD8"/>
    <w:rsid w:val="00F06F59"/>
    <w:rsid w:val="00F17988"/>
    <w:rsid w:val="00F469F0"/>
    <w:rsid w:val="00F53273"/>
    <w:rsid w:val="00F755E4"/>
    <w:rsid w:val="00F77D02"/>
    <w:rsid w:val="00F84449"/>
    <w:rsid w:val="00F84F61"/>
    <w:rsid w:val="00F913E1"/>
    <w:rsid w:val="00FA5A18"/>
    <w:rsid w:val="00FB3A86"/>
    <w:rsid w:val="00FC12AB"/>
    <w:rsid w:val="00FC5012"/>
    <w:rsid w:val="00FD36C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0BF7DD30"/>
  <w15:docId w15:val="{11CAE694-8564-4040-A233-60C1270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E768E7"/>
    <w:pPr>
      <w:ind w:left="720"/>
      <w:contextualSpacing/>
    </w:pPr>
  </w:style>
  <w:style w:type="character" w:customStyle="1" w:styleId="html-italic">
    <w:name w:val="html-italic"/>
    <w:basedOn w:val="DefaultParagraphFont"/>
    <w:rsid w:val="00CA5306"/>
  </w:style>
  <w:style w:type="character" w:customStyle="1" w:styleId="topic-highlight">
    <w:name w:val="topic-highlight"/>
    <w:basedOn w:val="DefaultParagraphFont"/>
    <w:rsid w:val="00B71522"/>
  </w:style>
  <w:style w:type="character" w:customStyle="1" w:styleId="HeaderChar">
    <w:name w:val="Header Char"/>
    <w:basedOn w:val="DefaultParagraphFont"/>
    <w:link w:val="Header"/>
    <w:uiPriority w:val="99"/>
    <w:rsid w:val="00FC12AB"/>
    <w:rPr>
      <w:rFonts w:ascii="Helvetica" w:hAnsi="Helvetica"/>
    </w:rPr>
  </w:style>
  <w:style w:type="character" w:customStyle="1" w:styleId="BodyTextIntechOpenChar">
    <w:name w:val="Body Text IntechOpen Char"/>
    <w:basedOn w:val="DefaultParagraphFont"/>
    <w:link w:val="BodyTextIntechOpen"/>
    <w:qFormat/>
    <w:locked/>
    <w:rsid w:val="00DE015C"/>
    <w:rPr>
      <w:rFonts w:ascii="FS Brabo" w:hAnsi="FS Brabo"/>
    </w:rPr>
  </w:style>
  <w:style w:type="paragraph" w:customStyle="1" w:styleId="BodyTextIntechOpen">
    <w:name w:val="Body Text IntechOpen"/>
    <w:link w:val="BodyTextIntechOpenChar"/>
    <w:qFormat/>
    <w:rsid w:val="00DE015C"/>
    <w:pPr>
      <w:ind w:firstLine="284"/>
    </w:pPr>
    <w:rPr>
      <w:rFonts w:ascii="FS Brabo" w:hAnsi="FS Brabo"/>
    </w:rPr>
  </w:style>
  <w:style w:type="table" w:customStyle="1" w:styleId="TableGridLight1">
    <w:name w:val="Table Grid Light1"/>
    <w:basedOn w:val="TableNormal"/>
    <w:uiPriority w:val="40"/>
    <w:rsid w:val="00DE015C"/>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DE01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1"/>
    <w:rsid w:val="005843E4"/>
    <w:rPr>
      <w:rFonts w:ascii="Sitka Heading" w:eastAsia="Microsoft GothicNeo" w:hAnsi="Sitka Heading" w:cs="Shonar Bangla"/>
      <w:b/>
      <w:bCs/>
      <w:sz w:val="32"/>
      <w:szCs w:val="36"/>
    </w:rPr>
  </w:style>
  <w:style w:type="paragraph" w:customStyle="1" w:styleId="1">
    <w:name w:val="제목1"/>
    <w:basedOn w:val="Normal"/>
    <w:link w:val="TitleChar"/>
    <w:rsid w:val="005843E4"/>
    <w:pPr>
      <w:widowControl w:val="0"/>
      <w:wordWrap w:val="0"/>
      <w:autoSpaceDE w:val="0"/>
      <w:autoSpaceDN w:val="0"/>
      <w:spacing w:after="160" w:line="259" w:lineRule="auto"/>
      <w:jc w:val="both"/>
    </w:pPr>
    <w:rPr>
      <w:rFonts w:ascii="Sitka Heading" w:eastAsia="Microsoft GothicNeo" w:hAnsi="Sitka Heading" w:cs="Shonar Bangla"/>
      <w:b/>
      <w:bCs/>
      <w:sz w:val="32"/>
      <w:szCs w:val="36"/>
    </w:rPr>
  </w:style>
  <w:style w:type="paragraph" w:customStyle="1" w:styleId="MainTitle">
    <w:name w:val="Main Title"/>
    <w:basedOn w:val="Normal"/>
    <w:link w:val="MainTitleChar"/>
    <w:qFormat/>
    <w:rsid w:val="005843E4"/>
    <w:pPr>
      <w:widowControl w:val="0"/>
      <w:wordWrap w:val="0"/>
      <w:autoSpaceDE w:val="0"/>
      <w:autoSpaceDN w:val="0"/>
      <w:spacing w:after="160" w:line="259" w:lineRule="auto"/>
      <w:jc w:val="both"/>
    </w:pPr>
    <w:rPr>
      <w:rFonts w:asciiTheme="minorHAnsi" w:eastAsia="Microsoft GothicNeo" w:hAnsiTheme="minorHAnsi" w:cstheme="minorBidi"/>
      <w:kern w:val="2"/>
      <w:szCs w:val="22"/>
      <w:lang w:eastAsia="ko-KR"/>
    </w:rPr>
  </w:style>
  <w:style w:type="character" w:customStyle="1" w:styleId="MainTitleChar">
    <w:name w:val="Main Title Char"/>
    <w:basedOn w:val="DefaultParagraphFont"/>
    <w:link w:val="MainTitle"/>
    <w:rsid w:val="005843E4"/>
    <w:rPr>
      <w:rFonts w:asciiTheme="minorHAnsi" w:eastAsia="Microsoft GothicNeo" w:hAnsiTheme="minorHAnsi" w:cstheme="minorBidi"/>
      <w:kern w:val="2"/>
      <w:szCs w:val="22"/>
      <w:lang w:eastAsia="ko-KR"/>
    </w:rPr>
  </w:style>
  <w:style w:type="paragraph" w:customStyle="1" w:styleId="paragraph">
    <w:name w:val="paragraph"/>
    <w:basedOn w:val="Normal"/>
    <w:rsid w:val="00804E4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04E43"/>
  </w:style>
  <w:style w:type="character" w:customStyle="1" w:styleId="eop">
    <w:name w:val="eop"/>
    <w:basedOn w:val="DefaultParagraphFont"/>
    <w:rsid w:val="00804E43"/>
  </w:style>
  <w:style w:type="paragraph" w:customStyle="1" w:styleId="Heading10">
    <w:name w:val="Heading1"/>
    <w:basedOn w:val="Normal"/>
    <w:link w:val="Heading1Char"/>
    <w:qFormat/>
    <w:rsid w:val="00C0333F"/>
    <w:pPr>
      <w:widowControl w:val="0"/>
      <w:wordWrap w:val="0"/>
      <w:autoSpaceDE w:val="0"/>
      <w:autoSpaceDN w:val="0"/>
      <w:jc w:val="both"/>
    </w:pPr>
    <w:rPr>
      <w:rFonts w:ascii="Palatino Linotype" w:eastAsia="Microsoft GothicNeo" w:hAnsi="Palatino Linotype" w:cs="Shonar Bangla"/>
      <w:b/>
      <w:bCs/>
      <w:kern w:val="2"/>
      <w:sz w:val="24"/>
      <w:szCs w:val="24"/>
      <w:lang w:eastAsia="ko-KR"/>
    </w:rPr>
  </w:style>
  <w:style w:type="character" w:customStyle="1" w:styleId="Heading1Char">
    <w:name w:val="Heading1 Char"/>
    <w:basedOn w:val="DefaultParagraphFont"/>
    <w:link w:val="Heading10"/>
    <w:rsid w:val="00C0333F"/>
    <w:rPr>
      <w:rFonts w:ascii="Palatino Linotype" w:eastAsia="Microsoft GothicNeo" w:hAnsi="Palatino Linotype" w:cs="Shonar Bangla"/>
      <w:b/>
      <w:bCs/>
      <w:kern w:val="2"/>
      <w:sz w:val="24"/>
      <w:szCs w:val="24"/>
      <w:lang w:eastAsia="ko-KR"/>
    </w:rPr>
  </w:style>
  <w:style w:type="paragraph" w:customStyle="1" w:styleId="Figurecaption">
    <w:name w:val="Figure caption"/>
    <w:basedOn w:val="Normal"/>
    <w:qFormat/>
    <w:rsid w:val="005E58FF"/>
    <w:pPr>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61Supplementary">
    <w:name w:val="MDPI_6.1_Supplementary"/>
    <w:basedOn w:val="Normal"/>
    <w:rsid w:val="005E58FF"/>
    <w:pPr>
      <w:snapToGrid w:val="0"/>
      <w:spacing w:before="240" w:line="200" w:lineRule="atLeast"/>
      <w:jc w:val="both"/>
    </w:pPr>
    <w:rPr>
      <w:rFonts w:ascii="Palatino Linotype" w:hAnsi="Palatino Linotype"/>
      <w:snapToGrid w:val="0"/>
      <w:color w:val="000000"/>
      <w:sz w:val="18"/>
      <w:lang w:bidi="en-US"/>
    </w:rPr>
  </w:style>
  <w:style w:type="paragraph" w:customStyle="1" w:styleId="Text">
    <w:name w:val="Text"/>
    <w:basedOn w:val="MDPI61Supplementary"/>
    <w:link w:val="TextChar"/>
    <w:qFormat/>
    <w:rsid w:val="005E58FF"/>
    <w:pPr>
      <w:spacing w:before="0" w:line="240" w:lineRule="auto"/>
    </w:pPr>
    <w:rPr>
      <w:rFonts w:eastAsiaTheme="minorEastAsia"/>
      <w:lang w:eastAsia="ko-KR"/>
    </w:rPr>
  </w:style>
  <w:style w:type="paragraph" w:customStyle="1" w:styleId="References">
    <w:name w:val="References"/>
    <w:basedOn w:val="Text"/>
    <w:link w:val="ReferencesChar"/>
    <w:qFormat/>
    <w:rsid w:val="005E58FF"/>
    <w:pPr>
      <w:numPr>
        <w:numId w:val="33"/>
      </w:numPr>
      <w:spacing w:after="120" w:line="260" w:lineRule="atLeast"/>
      <w:ind w:left="270" w:hangingChars="150" w:hanging="270"/>
    </w:pPr>
    <w:rPr>
      <w:rFonts w:eastAsia="Times New Roman"/>
      <w:szCs w:val="22"/>
      <w:lang w:eastAsia="de-DE"/>
    </w:rPr>
  </w:style>
  <w:style w:type="character" w:customStyle="1" w:styleId="TextChar">
    <w:name w:val="Text Char"/>
    <w:basedOn w:val="DefaultParagraphFont"/>
    <w:link w:val="Text"/>
    <w:rsid w:val="005E58FF"/>
    <w:rPr>
      <w:rFonts w:ascii="Palatino Linotype" w:eastAsiaTheme="minorEastAsia" w:hAnsi="Palatino Linotype"/>
      <w:snapToGrid w:val="0"/>
      <w:color w:val="000000"/>
      <w:sz w:val="18"/>
      <w:lang w:eastAsia="ko-KR" w:bidi="en-US"/>
    </w:rPr>
  </w:style>
  <w:style w:type="character" w:customStyle="1" w:styleId="ReferencesChar">
    <w:name w:val="References Char"/>
    <w:basedOn w:val="TextChar"/>
    <w:link w:val="References"/>
    <w:rsid w:val="005E58FF"/>
    <w:rPr>
      <w:rFonts w:ascii="Palatino Linotype" w:eastAsiaTheme="minorEastAsia" w:hAnsi="Palatino Linotype"/>
      <w:snapToGrid w:val="0"/>
      <w:color w:val="000000"/>
      <w:sz w:val="18"/>
      <w:szCs w:val="22"/>
      <w:lang w:eastAsia="de-DE" w:bidi="en-US"/>
    </w:rPr>
  </w:style>
  <w:style w:type="character" w:customStyle="1" w:styleId="UnresolvedMention1">
    <w:name w:val="Unresolved Mention1"/>
    <w:basedOn w:val="DefaultParagraphFont"/>
    <w:uiPriority w:val="99"/>
    <w:semiHidden/>
    <w:unhideWhenUsed/>
    <w:rsid w:val="005A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175272">
      <w:bodyDiv w:val="1"/>
      <w:marLeft w:val="0"/>
      <w:marRight w:val="0"/>
      <w:marTop w:val="0"/>
      <w:marBottom w:val="0"/>
      <w:divBdr>
        <w:top w:val="none" w:sz="0" w:space="0" w:color="auto"/>
        <w:left w:val="none" w:sz="0" w:space="0" w:color="auto"/>
        <w:bottom w:val="none" w:sz="0" w:space="0" w:color="auto"/>
        <w:right w:val="none" w:sz="0" w:space="0" w:color="auto"/>
      </w:divBdr>
      <w:divsChild>
        <w:div w:id="1150251093">
          <w:marLeft w:val="0"/>
          <w:marRight w:val="0"/>
          <w:marTop w:val="0"/>
          <w:marBottom w:val="0"/>
          <w:divBdr>
            <w:top w:val="none" w:sz="0" w:space="0" w:color="auto"/>
            <w:left w:val="none" w:sz="0" w:space="0" w:color="auto"/>
            <w:bottom w:val="none" w:sz="0" w:space="0" w:color="auto"/>
            <w:right w:val="none" w:sz="0" w:space="0" w:color="auto"/>
          </w:divBdr>
        </w:div>
      </w:divsChild>
    </w:div>
    <w:div w:id="179394656">
      <w:bodyDiv w:val="1"/>
      <w:marLeft w:val="0"/>
      <w:marRight w:val="0"/>
      <w:marTop w:val="0"/>
      <w:marBottom w:val="0"/>
      <w:divBdr>
        <w:top w:val="none" w:sz="0" w:space="0" w:color="auto"/>
        <w:left w:val="none" w:sz="0" w:space="0" w:color="auto"/>
        <w:bottom w:val="none" w:sz="0" w:space="0" w:color="auto"/>
        <w:right w:val="none" w:sz="0" w:space="0" w:color="auto"/>
      </w:divBdr>
      <w:divsChild>
        <w:div w:id="77218798">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397710">
      <w:bodyDiv w:val="1"/>
      <w:marLeft w:val="0"/>
      <w:marRight w:val="0"/>
      <w:marTop w:val="0"/>
      <w:marBottom w:val="0"/>
      <w:divBdr>
        <w:top w:val="none" w:sz="0" w:space="0" w:color="auto"/>
        <w:left w:val="none" w:sz="0" w:space="0" w:color="auto"/>
        <w:bottom w:val="none" w:sz="0" w:space="0" w:color="auto"/>
        <w:right w:val="none" w:sz="0" w:space="0" w:color="auto"/>
      </w:divBdr>
      <w:divsChild>
        <w:div w:id="201368344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27828">
      <w:bodyDiv w:val="1"/>
      <w:marLeft w:val="0"/>
      <w:marRight w:val="0"/>
      <w:marTop w:val="0"/>
      <w:marBottom w:val="0"/>
      <w:divBdr>
        <w:top w:val="none" w:sz="0" w:space="0" w:color="auto"/>
        <w:left w:val="none" w:sz="0" w:space="0" w:color="auto"/>
        <w:bottom w:val="none" w:sz="0" w:space="0" w:color="auto"/>
        <w:right w:val="none" w:sz="0" w:space="0" w:color="auto"/>
      </w:divBdr>
      <w:divsChild>
        <w:div w:id="697244875">
          <w:marLeft w:val="0"/>
          <w:marRight w:val="0"/>
          <w:marTop w:val="0"/>
          <w:marBottom w:val="0"/>
          <w:divBdr>
            <w:top w:val="none" w:sz="0" w:space="0" w:color="auto"/>
            <w:left w:val="none" w:sz="0" w:space="0" w:color="auto"/>
            <w:bottom w:val="none" w:sz="0" w:space="0" w:color="auto"/>
            <w:right w:val="none" w:sz="0" w:space="0" w:color="auto"/>
          </w:divBdr>
        </w:div>
      </w:divsChild>
    </w:div>
    <w:div w:id="755248457">
      <w:bodyDiv w:val="1"/>
      <w:marLeft w:val="0"/>
      <w:marRight w:val="0"/>
      <w:marTop w:val="0"/>
      <w:marBottom w:val="0"/>
      <w:divBdr>
        <w:top w:val="none" w:sz="0" w:space="0" w:color="auto"/>
        <w:left w:val="none" w:sz="0" w:space="0" w:color="auto"/>
        <w:bottom w:val="none" w:sz="0" w:space="0" w:color="auto"/>
        <w:right w:val="none" w:sz="0" w:space="0" w:color="auto"/>
      </w:divBdr>
      <w:divsChild>
        <w:div w:id="294485973">
          <w:marLeft w:val="0"/>
          <w:marRight w:val="0"/>
          <w:marTop w:val="0"/>
          <w:marBottom w:val="0"/>
          <w:divBdr>
            <w:top w:val="none" w:sz="0" w:space="0" w:color="auto"/>
            <w:left w:val="none" w:sz="0" w:space="0" w:color="auto"/>
            <w:bottom w:val="none" w:sz="0" w:space="0" w:color="auto"/>
            <w:right w:val="none" w:sz="0" w:space="0" w:color="auto"/>
          </w:divBdr>
        </w:div>
      </w:divsChild>
    </w:div>
    <w:div w:id="789514265">
      <w:bodyDiv w:val="1"/>
      <w:marLeft w:val="0"/>
      <w:marRight w:val="0"/>
      <w:marTop w:val="0"/>
      <w:marBottom w:val="0"/>
      <w:divBdr>
        <w:top w:val="none" w:sz="0" w:space="0" w:color="auto"/>
        <w:left w:val="none" w:sz="0" w:space="0" w:color="auto"/>
        <w:bottom w:val="none" w:sz="0" w:space="0" w:color="auto"/>
        <w:right w:val="none" w:sz="0" w:space="0" w:color="auto"/>
      </w:divBdr>
      <w:divsChild>
        <w:div w:id="155654390">
          <w:marLeft w:val="0"/>
          <w:marRight w:val="0"/>
          <w:marTop w:val="0"/>
          <w:marBottom w:val="0"/>
          <w:divBdr>
            <w:top w:val="none" w:sz="0" w:space="0" w:color="auto"/>
            <w:left w:val="none" w:sz="0" w:space="0" w:color="auto"/>
            <w:bottom w:val="none" w:sz="0" w:space="0" w:color="auto"/>
            <w:right w:val="none" w:sz="0" w:space="0" w:color="auto"/>
          </w:divBdr>
        </w:div>
      </w:divsChild>
    </w:div>
    <w:div w:id="904144911">
      <w:bodyDiv w:val="1"/>
      <w:marLeft w:val="0"/>
      <w:marRight w:val="0"/>
      <w:marTop w:val="0"/>
      <w:marBottom w:val="0"/>
      <w:divBdr>
        <w:top w:val="none" w:sz="0" w:space="0" w:color="auto"/>
        <w:left w:val="none" w:sz="0" w:space="0" w:color="auto"/>
        <w:bottom w:val="none" w:sz="0" w:space="0" w:color="auto"/>
        <w:right w:val="none" w:sz="0" w:space="0" w:color="auto"/>
      </w:divBdr>
      <w:divsChild>
        <w:div w:id="19168200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84719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0720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4793">
      <w:bodyDiv w:val="1"/>
      <w:marLeft w:val="0"/>
      <w:marRight w:val="0"/>
      <w:marTop w:val="0"/>
      <w:marBottom w:val="0"/>
      <w:divBdr>
        <w:top w:val="none" w:sz="0" w:space="0" w:color="auto"/>
        <w:left w:val="none" w:sz="0" w:space="0" w:color="auto"/>
        <w:bottom w:val="none" w:sz="0" w:space="0" w:color="auto"/>
        <w:right w:val="none" w:sz="0" w:space="0" w:color="auto"/>
      </w:divBdr>
      <w:divsChild>
        <w:div w:id="687172148">
          <w:marLeft w:val="0"/>
          <w:marRight w:val="0"/>
          <w:marTop w:val="0"/>
          <w:marBottom w:val="0"/>
          <w:divBdr>
            <w:top w:val="none" w:sz="0" w:space="0" w:color="auto"/>
            <w:left w:val="none" w:sz="0" w:space="0" w:color="auto"/>
            <w:bottom w:val="none" w:sz="0" w:space="0" w:color="auto"/>
            <w:right w:val="none" w:sz="0" w:space="0" w:color="auto"/>
          </w:divBdr>
        </w:div>
      </w:divsChild>
    </w:div>
    <w:div w:id="1892693168">
      <w:bodyDiv w:val="1"/>
      <w:marLeft w:val="0"/>
      <w:marRight w:val="0"/>
      <w:marTop w:val="0"/>
      <w:marBottom w:val="0"/>
      <w:divBdr>
        <w:top w:val="none" w:sz="0" w:space="0" w:color="auto"/>
        <w:left w:val="none" w:sz="0" w:space="0" w:color="auto"/>
        <w:bottom w:val="none" w:sz="0" w:space="0" w:color="auto"/>
        <w:right w:val="none" w:sz="0" w:space="0" w:color="auto"/>
      </w:divBdr>
      <w:divsChild>
        <w:div w:id="1202596773">
          <w:marLeft w:val="0"/>
          <w:marRight w:val="0"/>
          <w:marTop w:val="0"/>
          <w:marBottom w:val="0"/>
          <w:divBdr>
            <w:top w:val="none" w:sz="0" w:space="0" w:color="auto"/>
            <w:left w:val="none" w:sz="0" w:space="0" w:color="auto"/>
            <w:bottom w:val="none" w:sz="0" w:space="0" w:color="auto"/>
            <w:right w:val="none" w:sz="0" w:space="0" w:color="auto"/>
          </w:divBdr>
        </w:div>
      </w:divsChild>
    </w:div>
    <w:div w:id="1959558681">
      <w:bodyDiv w:val="1"/>
      <w:marLeft w:val="0"/>
      <w:marRight w:val="0"/>
      <w:marTop w:val="0"/>
      <w:marBottom w:val="0"/>
      <w:divBdr>
        <w:top w:val="none" w:sz="0" w:space="0" w:color="auto"/>
        <w:left w:val="none" w:sz="0" w:space="0" w:color="auto"/>
        <w:bottom w:val="none" w:sz="0" w:space="0" w:color="auto"/>
        <w:right w:val="none" w:sz="0" w:space="0" w:color="auto"/>
      </w:divBdr>
      <w:divsChild>
        <w:div w:id="2146117474">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285573904">
          <w:marLeft w:val="0"/>
          <w:marRight w:val="0"/>
          <w:marTop w:val="0"/>
          <w:marBottom w:val="0"/>
          <w:divBdr>
            <w:top w:val="none" w:sz="0" w:space="0" w:color="auto"/>
            <w:left w:val="none" w:sz="0" w:space="0" w:color="auto"/>
            <w:bottom w:val="none" w:sz="0" w:space="0" w:color="auto"/>
            <w:right w:val="none" w:sz="0" w:space="0" w:color="auto"/>
          </w:divBdr>
        </w:div>
      </w:divsChild>
    </w:div>
    <w:div w:id="20216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7326/0003-4819-127-5-199709010-00014" TargetMode="External"/><Relationship Id="rId26" Type="http://schemas.openxmlformats.org/officeDocument/2006/relationships/hyperlink" Target="https://pubmed.ncbi.nlm.nih.gov/9827880/" TargetMode="External"/><Relationship Id="rId3" Type="http://schemas.openxmlformats.org/officeDocument/2006/relationships/styles" Target="styles.xml"/><Relationship Id="rId21" Type="http://schemas.openxmlformats.org/officeDocument/2006/relationships/hyperlink" Target="https://doi.org/10.1016/j.jnutbio.2006.12.0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0025-7125(05)70483-1" TargetMode="External"/><Relationship Id="rId25" Type="http://schemas.openxmlformats.org/officeDocument/2006/relationships/hyperlink" Target="https://doi.org/10.1001/jama.294.13.1618-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78/1438-4639-00175" TargetMode="External"/><Relationship Id="rId20" Type="http://schemas.openxmlformats.org/officeDocument/2006/relationships/hyperlink" Target="https://doi.org/10.1157/13089716"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478-3231.2004.0897.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0039899709602197" TargetMode="External"/><Relationship Id="rId23" Type="http://schemas.openxmlformats.org/officeDocument/2006/relationships/hyperlink" Target="https://doi.org/10.1111/j.1478-3231.1999.tb00053.x"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56/NEJMra01177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420-003-0476-z" TargetMode="External"/><Relationship Id="rId22" Type="http://schemas.openxmlformats.org/officeDocument/2006/relationships/hyperlink" Target="https://doi.org/10.5455/jeos.20141223050552" TargetMode="External"/><Relationship Id="rId27" Type="http://schemas.openxmlformats.org/officeDocument/2006/relationships/hyperlink" Target="https://www.scielo.org.ve/scielo.php?script=sci_arttext&amp;pid=S0535-5133200100020000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496F-0B52-44C8-9244-2948BA44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8</Pages>
  <Words>5010</Words>
  <Characters>28558</Characters>
  <Application>Microsoft Office Word</Application>
  <DocSecurity>0</DocSecurity>
  <Lines>237</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2025-12-12T19:07:00Z</dcterms:created>
  <dcterms:modified xsi:type="dcterms:W3CDTF">2025-12-15T08:17:00Z</dcterms:modified>
</cp:coreProperties>
</file>