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C6611" w14:textId="77777777" w:rsidR="00754C9A" w:rsidRPr="0092486A" w:rsidRDefault="00754C9A" w:rsidP="00441B6F">
      <w:pPr>
        <w:pStyle w:val="Title"/>
        <w:spacing w:after="0"/>
        <w:jc w:val="both"/>
        <w:rPr>
          <w:rFonts w:ascii="Arial" w:hAnsi="Arial" w:cs="Arial"/>
          <w:lang w:val="bs-Latn-BA"/>
        </w:rPr>
      </w:pPr>
    </w:p>
    <w:p w14:paraId="5559EB56" w14:textId="77777777" w:rsidR="0028373F" w:rsidRDefault="0028373F" w:rsidP="00441B6F">
      <w:pPr>
        <w:pStyle w:val="Author"/>
        <w:spacing w:line="240" w:lineRule="auto"/>
        <w:rPr>
          <w:rFonts w:ascii="Arial" w:hAnsi="Arial" w:cs="Arial"/>
          <w:bCs/>
          <w:iCs/>
          <w:kern w:val="28"/>
          <w:sz w:val="36"/>
          <w:lang w:val="bs-Latn-BA"/>
        </w:rPr>
      </w:pPr>
      <w:r w:rsidRPr="0028373F">
        <w:rPr>
          <w:rFonts w:ascii="Arial" w:hAnsi="Arial" w:cs="Arial"/>
          <w:bCs/>
          <w:iCs/>
          <w:kern w:val="28"/>
          <w:sz w:val="36"/>
          <w:lang w:val="bs-Latn-BA"/>
        </w:rPr>
        <w:t>Original Research Article</w:t>
      </w:r>
    </w:p>
    <w:p w14:paraId="73E943EB" w14:textId="77777777" w:rsidR="0028373F" w:rsidRDefault="0028373F" w:rsidP="00441B6F">
      <w:pPr>
        <w:pStyle w:val="Author"/>
        <w:spacing w:line="240" w:lineRule="auto"/>
        <w:rPr>
          <w:rFonts w:ascii="Arial" w:hAnsi="Arial" w:cs="Arial"/>
          <w:bCs/>
          <w:iCs/>
          <w:kern w:val="28"/>
          <w:sz w:val="36"/>
          <w:lang w:val="bs-Latn-BA"/>
        </w:rPr>
      </w:pPr>
    </w:p>
    <w:p w14:paraId="67844482" w14:textId="0C42A60F" w:rsidR="00163BC4" w:rsidRPr="0092486A" w:rsidRDefault="008C3931" w:rsidP="00441B6F">
      <w:pPr>
        <w:pStyle w:val="Author"/>
        <w:spacing w:line="240" w:lineRule="auto"/>
        <w:rPr>
          <w:rFonts w:ascii="Arial" w:hAnsi="Arial" w:cs="Arial"/>
          <w:bCs/>
          <w:iCs/>
          <w:kern w:val="28"/>
          <w:sz w:val="36"/>
          <w:lang w:val="bs-Latn-BA"/>
        </w:rPr>
      </w:pPr>
      <w:r w:rsidRPr="008C3931">
        <w:rPr>
          <w:rFonts w:ascii="Arial" w:hAnsi="Arial" w:cs="Arial"/>
          <w:bCs/>
          <w:iCs/>
          <w:kern w:val="28"/>
          <w:sz w:val="36"/>
          <w:lang w:val="bs-Latn-BA"/>
        </w:rPr>
        <w:t xml:space="preserve">The impact of chronic obstructive pulmonary disease </w:t>
      </w:r>
      <w:r w:rsidR="00DE015C">
        <w:rPr>
          <w:rFonts w:ascii="Arial" w:hAnsi="Arial" w:cs="Arial"/>
          <w:bCs/>
          <w:iCs/>
          <w:kern w:val="28"/>
          <w:sz w:val="36"/>
          <w:lang w:val="bs-Latn-BA"/>
        </w:rPr>
        <w:t xml:space="preserve">(COPD) </w:t>
      </w:r>
      <w:r w:rsidRPr="008C3931">
        <w:rPr>
          <w:rFonts w:ascii="Arial" w:hAnsi="Arial" w:cs="Arial"/>
          <w:bCs/>
          <w:iCs/>
          <w:kern w:val="28"/>
          <w:sz w:val="36"/>
          <w:lang w:val="bs-Latn-BA"/>
        </w:rPr>
        <w:t>on workers' work ability</w:t>
      </w:r>
    </w:p>
    <w:p w14:paraId="5845211E" w14:textId="77777777" w:rsidR="00A258C3" w:rsidRPr="0092486A" w:rsidRDefault="00A258C3" w:rsidP="00441B6F">
      <w:pPr>
        <w:pStyle w:val="Author"/>
        <w:spacing w:line="240" w:lineRule="auto"/>
        <w:jc w:val="both"/>
        <w:rPr>
          <w:rFonts w:ascii="Arial" w:hAnsi="Arial" w:cs="Arial"/>
          <w:sz w:val="36"/>
          <w:lang w:val="bs-Latn-BA"/>
        </w:rPr>
      </w:pPr>
    </w:p>
    <w:p w14:paraId="73DC01CC" w14:textId="77777777" w:rsidR="00AD0438" w:rsidRPr="0092486A" w:rsidRDefault="00AD0438" w:rsidP="00AD0438">
      <w:pPr>
        <w:pStyle w:val="Affiliation"/>
        <w:spacing w:after="0"/>
        <w:rPr>
          <w:rFonts w:ascii="Arial" w:hAnsi="Arial" w:cs="Arial"/>
          <w:i/>
          <w:lang w:val="bs-Latn-BA"/>
        </w:rPr>
      </w:pPr>
    </w:p>
    <w:p w14:paraId="5A3DDAC8" w14:textId="77777777" w:rsidR="00B01FCD" w:rsidRPr="0092486A" w:rsidRDefault="003B45BA" w:rsidP="00441B6F">
      <w:pPr>
        <w:pStyle w:val="Copyright"/>
        <w:spacing w:after="0" w:line="240" w:lineRule="auto"/>
        <w:jc w:val="both"/>
        <w:rPr>
          <w:rFonts w:ascii="Arial" w:hAnsi="Arial" w:cs="Arial"/>
          <w:lang w:val="bs-Latn-BA"/>
        </w:rPr>
        <w:sectPr w:rsidR="00B01FCD" w:rsidRPr="0092486A" w:rsidSect="00A327B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lang w:val="bs-Latn-BA"/>
        </w:rPr>
      </w:r>
      <w:r>
        <w:rPr>
          <w:rFonts w:ascii="Arial" w:hAnsi="Arial" w:cs="Arial"/>
          <w:lang w:val="bs-Latn-BA"/>
        </w:rPr>
        <w:pict w14:anchorId="276CF17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92486A">
        <w:rPr>
          <w:rFonts w:ascii="Arial" w:hAnsi="Arial" w:cs="Arial"/>
          <w:lang w:val="bs-Latn-BA"/>
        </w:rPr>
        <w:t>.</w:t>
      </w:r>
    </w:p>
    <w:p w14:paraId="11FF053F" w14:textId="77777777" w:rsidR="00B01FCD" w:rsidRPr="0092486A" w:rsidRDefault="00B01FCD" w:rsidP="00441B6F">
      <w:pPr>
        <w:pStyle w:val="AbstHead"/>
        <w:spacing w:after="0"/>
        <w:jc w:val="both"/>
        <w:rPr>
          <w:rFonts w:ascii="Arial" w:hAnsi="Arial" w:cs="Arial"/>
          <w:lang w:val="bs-Latn-BA"/>
        </w:rPr>
      </w:pPr>
      <w:r w:rsidRPr="0092486A">
        <w:rPr>
          <w:rFonts w:ascii="Arial" w:hAnsi="Arial" w:cs="Arial"/>
          <w:lang w:val="bs-Latn-BA"/>
        </w:rPr>
        <w:t>ABSTRACT</w:t>
      </w:r>
      <w:r w:rsidR="00C70DBC" w:rsidRPr="0092486A">
        <w:rPr>
          <w:rFonts w:ascii="Arial" w:hAnsi="Arial" w:cs="Arial"/>
          <w:lang w:val="bs-Latn-BA"/>
        </w:rPr>
        <w:t xml:space="preserve"> </w:t>
      </w:r>
    </w:p>
    <w:p w14:paraId="7F790C83" w14:textId="77777777" w:rsidR="00790ADA" w:rsidRPr="0092486A" w:rsidRDefault="00790ADA" w:rsidP="00441B6F">
      <w:pPr>
        <w:pStyle w:val="AbstHead"/>
        <w:spacing w:after="0"/>
        <w:jc w:val="both"/>
        <w:rPr>
          <w:rFonts w:ascii="Arial" w:hAnsi="Arial" w:cs="Arial"/>
          <w:lang w:val="bs-Latn-BA"/>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16"/>
      </w:tblGrid>
      <w:tr w:rsidR="00296529" w:rsidRPr="0092486A" w14:paraId="3553AC2F" w14:textId="77777777" w:rsidTr="008C3931">
        <w:trPr>
          <w:trHeight w:val="4436"/>
          <w:jc w:val="right"/>
        </w:trPr>
        <w:tc>
          <w:tcPr>
            <w:tcW w:w="8316" w:type="dxa"/>
            <w:shd w:val="clear" w:color="auto" w:fill="F2F2F2"/>
            <w:vAlign w:val="center"/>
          </w:tcPr>
          <w:p w14:paraId="54DD7175" w14:textId="11F2D36C" w:rsidR="008C3931" w:rsidRPr="008C3931" w:rsidRDefault="008C3931" w:rsidP="008C3931">
            <w:pPr>
              <w:pStyle w:val="Body"/>
              <w:spacing w:after="0"/>
              <w:rPr>
                <w:rFonts w:ascii="Arial" w:eastAsia="Calibri" w:hAnsi="Arial" w:cs="Arial"/>
                <w:szCs w:val="22"/>
                <w:lang w:val="bs-Latn-BA"/>
              </w:rPr>
            </w:pPr>
            <w:r w:rsidRPr="008C3931">
              <w:rPr>
                <w:rFonts w:ascii="Arial" w:eastAsia="Calibri" w:hAnsi="Arial" w:cs="Arial"/>
                <w:b/>
                <w:bCs/>
                <w:szCs w:val="22"/>
                <w:lang w:val="bs-Latn-BA"/>
              </w:rPr>
              <w:t>Background</w:t>
            </w:r>
            <w:r w:rsidRPr="008C3931">
              <w:rPr>
                <w:rFonts w:ascii="Arial" w:eastAsia="Calibri" w:hAnsi="Arial" w:cs="Arial"/>
                <w:szCs w:val="22"/>
                <w:lang w:val="bs-Latn-BA"/>
              </w:rPr>
              <w:t>: The symptoms of COPD differ based on the stage of the disease, becoming more noticeable in its severe stages and during exacerbations.</w:t>
            </w:r>
            <w:r w:rsidR="000F68DD">
              <w:rPr>
                <w:rFonts w:ascii="Arial" w:eastAsia="Calibri" w:hAnsi="Arial" w:cs="Arial"/>
                <w:szCs w:val="22"/>
                <w:lang w:val="bs-Latn-BA"/>
              </w:rPr>
              <w:t xml:space="preserve"> </w:t>
            </w:r>
            <w:r w:rsidRPr="008C3931">
              <w:rPr>
                <w:rFonts w:ascii="Arial" w:eastAsia="Calibri" w:hAnsi="Arial" w:cs="Arial"/>
                <w:szCs w:val="22"/>
                <w:lang w:val="bs-Latn-BA"/>
              </w:rPr>
              <w:t>They are associated with temporary incapacity for work and cause a decrease in working capacity. Also</w:t>
            </w:r>
            <w:r w:rsidR="000F68DD">
              <w:rPr>
                <w:rFonts w:ascii="Arial" w:eastAsia="Calibri" w:hAnsi="Arial" w:cs="Arial"/>
                <w:szCs w:val="22"/>
                <w:lang w:val="bs-Latn-BA"/>
              </w:rPr>
              <w:t>,</w:t>
            </w:r>
            <w:r w:rsidRPr="008C3931">
              <w:rPr>
                <w:rFonts w:ascii="Arial" w:eastAsia="Calibri" w:hAnsi="Arial" w:cs="Arial"/>
                <w:szCs w:val="22"/>
                <w:lang w:val="bs-Latn-BA"/>
              </w:rPr>
              <w:t xml:space="preserve"> occupations with special working conditions and exposure to pollutants at work cause increased bronchial secretion and cough. This research aims to identify the most common symptoms in COPD patients and evaluate their work capacity based on symptom prevalence.</w:t>
            </w:r>
          </w:p>
          <w:p w14:paraId="4E567EDA" w14:textId="77777777" w:rsidR="008C3931" w:rsidRPr="008C3931" w:rsidRDefault="008C3931" w:rsidP="008C3931">
            <w:pPr>
              <w:pStyle w:val="Body"/>
              <w:spacing w:after="0"/>
              <w:rPr>
                <w:rFonts w:ascii="Arial" w:eastAsia="Calibri" w:hAnsi="Arial" w:cs="Arial"/>
                <w:szCs w:val="22"/>
                <w:lang w:val="bs-Latn-BA"/>
              </w:rPr>
            </w:pPr>
            <w:r w:rsidRPr="008C3931">
              <w:rPr>
                <w:rFonts w:ascii="Arial" w:eastAsia="Calibri" w:hAnsi="Arial" w:cs="Arial"/>
                <w:b/>
                <w:bCs/>
                <w:szCs w:val="22"/>
                <w:lang w:val="bs-Latn-BA"/>
              </w:rPr>
              <w:t>Methods:</w:t>
            </w:r>
            <w:r w:rsidRPr="008C3931">
              <w:rPr>
                <w:rFonts w:ascii="Arial" w:eastAsia="Calibri" w:hAnsi="Arial" w:cs="Arial"/>
                <w:szCs w:val="22"/>
                <w:lang w:val="bs-Latn-BA"/>
              </w:rPr>
              <w:t xml:space="preserve"> 200 subjects were included in the prospective study. Participants were divided into two groups: a study group and a control group. Within each group, subgroups were created based on smoking habits, a key risk factor for COPD development.</w:t>
            </w:r>
          </w:p>
          <w:p w14:paraId="674D59DE" w14:textId="0C27742F" w:rsidR="008C3931" w:rsidRPr="008C3931" w:rsidRDefault="008C3931" w:rsidP="008C3931">
            <w:pPr>
              <w:pStyle w:val="Body"/>
              <w:spacing w:after="0"/>
              <w:rPr>
                <w:rFonts w:ascii="Arial" w:eastAsia="Calibri" w:hAnsi="Arial" w:cs="Arial"/>
                <w:szCs w:val="22"/>
                <w:lang w:val="bs-Latn-BA"/>
              </w:rPr>
            </w:pPr>
            <w:r w:rsidRPr="008C3931">
              <w:rPr>
                <w:rFonts w:ascii="Arial" w:eastAsia="Calibri" w:hAnsi="Arial" w:cs="Arial"/>
                <w:b/>
                <w:bCs/>
                <w:szCs w:val="22"/>
                <w:lang w:val="bs-Latn-BA"/>
              </w:rPr>
              <w:t>Results:</w:t>
            </w:r>
            <w:r w:rsidRPr="008C3931">
              <w:rPr>
                <w:rFonts w:ascii="Arial" w:eastAsia="Calibri" w:hAnsi="Arial" w:cs="Arial"/>
                <w:szCs w:val="22"/>
                <w:lang w:val="bs-Latn-BA"/>
              </w:rPr>
              <w:t xml:space="preserve"> The dominant symptom in both groups was cough</w:t>
            </w:r>
            <w:r w:rsidR="000F68DD">
              <w:rPr>
                <w:rFonts w:ascii="Arial" w:eastAsia="Calibri" w:hAnsi="Arial" w:cs="Arial"/>
                <w:szCs w:val="22"/>
                <w:lang w:val="bs-Latn-BA"/>
              </w:rPr>
              <w:t>,</w:t>
            </w:r>
            <w:r w:rsidRPr="008C3931">
              <w:rPr>
                <w:rFonts w:ascii="Arial" w:eastAsia="Calibri" w:hAnsi="Arial" w:cs="Arial"/>
                <w:szCs w:val="22"/>
                <w:lang w:val="bs-Latn-BA"/>
              </w:rPr>
              <w:t xml:space="preserve"> with 34.67%. In subjects with preserved working capacity, the most common symptoms are chest pressure with 13.33% and shortness of breath with 9.33%, while in the group with reduced working capacity</w:t>
            </w:r>
            <w:r w:rsidR="000F68DD">
              <w:rPr>
                <w:rFonts w:ascii="Arial" w:eastAsia="Calibri" w:hAnsi="Arial" w:cs="Arial"/>
                <w:szCs w:val="22"/>
                <w:lang w:val="bs-Latn-BA"/>
              </w:rPr>
              <w:t>,</w:t>
            </w:r>
            <w:r w:rsidRPr="008C3931">
              <w:rPr>
                <w:rFonts w:ascii="Arial" w:eastAsia="Calibri" w:hAnsi="Arial" w:cs="Arial"/>
                <w:szCs w:val="22"/>
                <w:lang w:val="bs-Latn-BA"/>
              </w:rPr>
              <w:t xml:space="preserve"> fatigue (30%) and dyspnea with 26%. In the control group, most subjects had obstructive bronchitis, asthma and chronic simplex bronchitis.</w:t>
            </w:r>
          </w:p>
          <w:p w14:paraId="61E1FA7E" w14:textId="1D7D9056" w:rsidR="008C3931" w:rsidRPr="0092486A" w:rsidRDefault="008C3931" w:rsidP="008C3931">
            <w:pPr>
              <w:pStyle w:val="Body"/>
              <w:spacing w:after="0"/>
              <w:rPr>
                <w:rFonts w:ascii="Arial" w:eastAsia="Calibri" w:hAnsi="Arial" w:cs="Arial"/>
                <w:szCs w:val="22"/>
                <w:lang w:val="bs-Latn-BA"/>
              </w:rPr>
            </w:pPr>
            <w:r w:rsidRPr="008C3931">
              <w:rPr>
                <w:rFonts w:ascii="Arial" w:eastAsia="Calibri" w:hAnsi="Arial" w:cs="Arial"/>
                <w:b/>
                <w:bCs/>
                <w:szCs w:val="22"/>
                <w:lang w:val="bs-Latn-BA"/>
              </w:rPr>
              <w:t>Conclusion:</w:t>
            </w:r>
            <w:r w:rsidRPr="008C3931">
              <w:rPr>
                <w:rFonts w:ascii="Arial" w:eastAsia="Calibri" w:hAnsi="Arial" w:cs="Arial"/>
                <w:szCs w:val="22"/>
                <w:lang w:val="bs-Latn-BA"/>
              </w:rPr>
              <w:t xml:space="preserve"> According to the GOLD classification, modified working capacity decreased by 51.33%, while retained working capacity declined by 48.67% in relation to disease severity. Cough was the dominant symptom in both groups, while other symptoms varied independently of the stage of the disease.</w:t>
            </w:r>
          </w:p>
        </w:tc>
      </w:tr>
    </w:tbl>
    <w:p w14:paraId="66015CF1" w14:textId="77777777" w:rsidR="00636EB2" w:rsidRPr="0092486A" w:rsidRDefault="00636EB2" w:rsidP="00441B6F">
      <w:pPr>
        <w:pStyle w:val="Body"/>
        <w:spacing w:after="0"/>
        <w:rPr>
          <w:rFonts w:ascii="Arial" w:hAnsi="Arial" w:cs="Arial"/>
          <w:i/>
          <w:lang w:val="bs-Latn-BA"/>
        </w:rPr>
      </w:pPr>
    </w:p>
    <w:p w14:paraId="5D576988" w14:textId="1897E582" w:rsidR="00A24E7E" w:rsidRPr="0092486A" w:rsidRDefault="00C70DBC" w:rsidP="00441B6F">
      <w:pPr>
        <w:pStyle w:val="Body"/>
        <w:spacing w:after="0"/>
        <w:rPr>
          <w:rFonts w:ascii="Arial" w:hAnsi="Arial" w:cs="Arial"/>
          <w:i/>
          <w:lang w:val="bs-Latn-BA"/>
        </w:rPr>
      </w:pPr>
      <w:r w:rsidRPr="0092486A">
        <w:rPr>
          <w:rFonts w:ascii="Arial" w:hAnsi="Arial" w:cs="Arial"/>
          <w:i/>
          <w:lang w:val="bs-Latn-BA"/>
        </w:rPr>
        <w:t xml:space="preserve">Keywords: </w:t>
      </w:r>
      <w:r w:rsidR="00DE015C" w:rsidRPr="00DE015C">
        <w:rPr>
          <w:rFonts w:ascii="Arial" w:hAnsi="Arial" w:cs="Arial"/>
          <w:i/>
          <w:lang w:val="bs-Latn-BA"/>
        </w:rPr>
        <w:t>work ability, cough, fatigue, symptom</w:t>
      </w:r>
    </w:p>
    <w:p w14:paraId="7D787A64" w14:textId="77777777" w:rsidR="00505F06" w:rsidRPr="0092486A" w:rsidRDefault="00505F06" w:rsidP="00441B6F">
      <w:pPr>
        <w:pStyle w:val="Body"/>
        <w:spacing w:after="0"/>
        <w:rPr>
          <w:rFonts w:ascii="Arial" w:hAnsi="Arial" w:cs="Arial"/>
          <w:i/>
          <w:lang w:val="bs-Latn-BA"/>
        </w:rPr>
      </w:pPr>
    </w:p>
    <w:p w14:paraId="11FC556D" w14:textId="77777777" w:rsidR="007F7B32" w:rsidRPr="0092486A" w:rsidRDefault="00902823" w:rsidP="00441B6F">
      <w:pPr>
        <w:pStyle w:val="AbstHead"/>
        <w:spacing w:after="0"/>
        <w:jc w:val="both"/>
        <w:rPr>
          <w:rFonts w:ascii="Arial" w:hAnsi="Arial" w:cs="Arial"/>
          <w:lang w:val="bs-Latn-BA"/>
        </w:rPr>
      </w:pPr>
      <w:r w:rsidRPr="0092486A">
        <w:rPr>
          <w:rFonts w:ascii="Arial" w:hAnsi="Arial" w:cs="Arial"/>
          <w:lang w:val="bs-Latn-BA"/>
        </w:rPr>
        <w:t xml:space="preserve">1. </w:t>
      </w:r>
      <w:r w:rsidR="00B01FCD" w:rsidRPr="0092486A">
        <w:rPr>
          <w:rFonts w:ascii="Arial" w:hAnsi="Arial" w:cs="Arial"/>
          <w:lang w:val="bs-Latn-BA"/>
        </w:rPr>
        <w:t>INTRODUCTION</w:t>
      </w:r>
    </w:p>
    <w:p w14:paraId="1865FD42" w14:textId="77777777" w:rsidR="00790ADA" w:rsidRPr="0092486A" w:rsidRDefault="00790ADA" w:rsidP="00441B6F">
      <w:pPr>
        <w:pStyle w:val="AbstHead"/>
        <w:spacing w:after="0"/>
        <w:jc w:val="both"/>
        <w:rPr>
          <w:rFonts w:ascii="Arial" w:hAnsi="Arial" w:cs="Arial"/>
          <w:lang w:val="bs-Latn-BA"/>
        </w:rPr>
      </w:pPr>
    </w:p>
    <w:p w14:paraId="66640776" w14:textId="39800CA4" w:rsidR="00DE015C" w:rsidRPr="00DE015C" w:rsidRDefault="004E107F" w:rsidP="00DE015C">
      <w:pPr>
        <w:pStyle w:val="Body"/>
        <w:spacing w:after="0"/>
        <w:rPr>
          <w:rFonts w:ascii="Arial" w:hAnsi="Arial" w:cs="Arial"/>
          <w:lang w:val="bs-Latn-BA"/>
        </w:rPr>
      </w:pPr>
      <w:r w:rsidRPr="004E107F">
        <w:rPr>
          <w:rFonts w:ascii="Arial" w:hAnsi="Arial" w:cs="Arial"/>
          <w:lang w:val="bs-Latn-BA"/>
        </w:rPr>
        <w:t>Chronic</w:t>
      </w:r>
      <w:r>
        <w:rPr>
          <w:rFonts w:ascii="Arial" w:hAnsi="Arial" w:cs="Arial"/>
          <w:lang w:val="bs-Latn-BA"/>
        </w:rPr>
        <w:t xml:space="preserve"> </w:t>
      </w:r>
      <w:r w:rsidRPr="004E107F">
        <w:rPr>
          <w:rFonts w:ascii="Arial" w:hAnsi="Arial" w:cs="Arial"/>
          <w:lang w:val="bs-Latn-BA"/>
        </w:rPr>
        <w:t xml:space="preserve">obstructive pulmonary disease (COPD) </w:t>
      </w:r>
      <w:r w:rsidR="00DE015C" w:rsidRPr="00DE015C">
        <w:rPr>
          <w:rFonts w:ascii="Arial" w:hAnsi="Arial" w:cs="Arial"/>
          <w:lang w:val="bs-Latn-BA"/>
        </w:rPr>
        <w:t>is recogni</w:t>
      </w:r>
      <w:r w:rsidR="000F68DD">
        <w:rPr>
          <w:rFonts w:ascii="Arial" w:hAnsi="Arial" w:cs="Arial"/>
          <w:lang w:val="bs-Latn-BA"/>
        </w:rPr>
        <w:t>s</w:t>
      </w:r>
      <w:r w:rsidR="00DE015C" w:rsidRPr="00DE015C">
        <w:rPr>
          <w:rFonts w:ascii="Arial" w:hAnsi="Arial" w:cs="Arial"/>
          <w:lang w:val="bs-Latn-BA"/>
        </w:rPr>
        <w:t xml:space="preserve">ed as an inflammatory disease, with inflammatory process byproducts causing tissue damage and triggering physiological adaptations </w:t>
      </w:r>
      <w:r w:rsidR="00DE015C">
        <w:rPr>
          <w:rFonts w:ascii="Arial" w:hAnsi="Arial" w:cs="Arial"/>
          <w:lang w:val="bs-Latn-BA"/>
        </w:rPr>
        <w:t>[</w:t>
      </w:r>
      <w:r w:rsidR="00DE015C" w:rsidRPr="00DE015C">
        <w:rPr>
          <w:rFonts w:ascii="Arial" w:hAnsi="Arial" w:cs="Arial"/>
          <w:lang w:val="bs-Latn-BA"/>
        </w:rPr>
        <w:t>1,2</w:t>
      </w:r>
      <w:r w:rsidR="005E17E6">
        <w:rPr>
          <w:rFonts w:ascii="Arial" w:hAnsi="Arial" w:cs="Arial"/>
          <w:lang w:val="bs-Latn-BA"/>
        </w:rPr>
        <w:t>,19</w:t>
      </w:r>
      <w:bookmarkStart w:id="0" w:name="_GoBack"/>
      <w:bookmarkEnd w:id="0"/>
      <w:r w:rsidR="00DE015C">
        <w:rPr>
          <w:rFonts w:ascii="Arial" w:hAnsi="Arial" w:cs="Arial"/>
          <w:lang w:val="bs-Latn-BA"/>
        </w:rPr>
        <w:t>]</w:t>
      </w:r>
      <w:r w:rsidR="00DE015C" w:rsidRPr="00DE015C">
        <w:rPr>
          <w:rFonts w:ascii="Arial" w:hAnsi="Arial" w:cs="Arial"/>
          <w:lang w:val="bs-Latn-BA"/>
        </w:rPr>
        <w:t xml:space="preserve">. Systemic inflammation has been shown to be responsible for a number of comorbidities in chronic COPD </w:t>
      </w:r>
      <w:r w:rsidR="00DE015C">
        <w:rPr>
          <w:rFonts w:ascii="Arial" w:hAnsi="Arial" w:cs="Arial"/>
          <w:lang w:val="bs-Latn-BA"/>
        </w:rPr>
        <w:t>[</w:t>
      </w:r>
      <w:r w:rsidR="00DE015C" w:rsidRPr="00DE015C">
        <w:rPr>
          <w:rFonts w:ascii="Arial" w:hAnsi="Arial" w:cs="Arial"/>
          <w:lang w:val="bs-Latn-BA"/>
        </w:rPr>
        <w:t>3,4</w:t>
      </w:r>
      <w:r w:rsidR="00DE015C">
        <w:rPr>
          <w:rFonts w:ascii="Arial" w:hAnsi="Arial" w:cs="Arial"/>
          <w:lang w:val="bs-Latn-BA"/>
        </w:rPr>
        <w:t>]</w:t>
      </w:r>
      <w:r w:rsidR="00DE015C" w:rsidRPr="00DE015C">
        <w:rPr>
          <w:rFonts w:ascii="Arial" w:hAnsi="Arial" w:cs="Arial"/>
          <w:lang w:val="bs-Latn-BA"/>
        </w:rPr>
        <w:t>. It is characteri</w:t>
      </w:r>
      <w:r w:rsidR="000F68DD">
        <w:rPr>
          <w:rFonts w:ascii="Arial" w:hAnsi="Arial" w:cs="Arial"/>
          <w:lang w:val="bs-Latn-BA"/>
        </w:rPr>
        <w:t>s</w:t>
      </w:r>
      <w:r w:rsidR="00DE015C" w:rsidRPr="00DE015C">
        <w:rPr>
          <w:rFonts w:ascii="Arial" w:hAnsi="Arial" w:cs="Arial"/>
          <w:lang w:val="bs-Latn-BA"/>
        </w:rPr>
        <w:t xml:space="preserve">ed by limited airflow in the airways that cannot be completely resolved with therapy. These changes lead to the following manifestations of the disease: cough, difficulty breathing, increased production of secretions, etc. Exacerbations of COPD are frequent and, along with associated comorbidities, contribute to the progression of the disease </w:t>
      </w:r>
      <w:r w:rsidR="00DE015C">
        <w:rPr>
          <w:rFonts w:ascii="Arial" w:hAnsi="Arial" w:cs="Arial"/>
          <w:lang w:val="bs-Latn-BA"/>
        </w:rPr>
        <w:t>[</w:t>
      </w:r>
      <w:r w:rsidR="00DE015C" w:rsidRPr="00DE015C">
        <w:rPr>
          <w:rFonts w:ascii="Arial" w:hAnsi="Arial" w:cs="Arial"/>
          <w:lang w:val="bs-Latn-BA"/>
        </w:rPr>
        <w:t>5</w:t>
      </w:r>
      <w:r w:rsidR="00DE015C">
        <w:rPr>
          <w:rFonts w:ascii="Arial" w:hAnsi="Arial" w:cs="Arial"/>
          <w:lang w:val="bs-Latn-BA"/>
        </w:rPr>
        <w:t>]</w:t>
      </w:r>
      <w:r w:rsidR="00DE015C" w:rsidRPr="00DE015C">
        <w:rPr>
          <w:rFonts w:ascii="Arial" w:hAnsi="Arial" w:cs="Arial"/>
          <w:lang w:val="bs-Latn-BA"/>
        </w:rPr>
        <w:t xml:space="preserve">. Daily activities can become a real challenge for patients. Breathing difficulties can make the simplest tasks impossible and interfere with the patient's work and home environment </w:t>
      </w:r>
      <w:r w:rsidR="00DE015C">
        <w:rPr>
          <w:rFonts w:ascii="Arial" w:hAnsi="Arial" w:cs="Arial"/>
          <w:lang w:val="bs-Latn-BA"/>
        </w:rPr>
        <w:t>[</w:t>
      </w:r>
      <w:r w:rsidR="00DE015C" w:rsidRPr="00DE015C">
        <w:rPr>
          <w:rFonts w:ascii="Arial" w:hAnsi="Arial" w:cs="Arial"/>
          <w:lang w:val="bs-Latn-BA"/>
        </w:rPr>
        <w:t>6,7</w:t>
      </w:r>
      <w:r w:rsidR="00DE015C">
        <w:rPr>
          <w:rFonts w:ascii="Arial" w:hAnsi="Arial" w:cs="Arial"/>
          <w:lang w:val="bs-Latn-BA"/>
        </w:rPr>
        <w:t>]</w:t>
      </w:r>
      <w:r w:rsidR="00DE015C" w:rsidRPr="00DE015C">
        <w:rPr>
          <w:rFonts w:ascii="Arial" w:hAnsi="Arial" w:cs="Arial"/>
          <w:lang w:val="bs-Latn-BA"/>
        </w:rPr>
        <w:t xml:space="preserve">. Both indoor and outdoor air pollution are significant contributors to disease </w:t>
      </w:r>
      <w:r w:rsidR="00DE015C">
        <w:rPr>
          <w:rFonts w:ascii="Arial" w:hAnsi="Arial" w:cs="Arial"/>
          <w:lang w:val="bs-Latn-BA"/>
        </w:rPr>
        <w:t>[</w:t>
      </w:r>
      <w:r w:rsidR="00DE015C" w:rsidRPr="00DE015C">
        <w:rPr>
          <w:rFonts w:ascii="Arial" w:hAnsi="Arial" w:cs="Arial"/>
          <w:lang w:val="bs-Latn-BA"/>
        </w:rPr>
        <w:t>8,9</w:t>
      </w:r>
      <w:r w:rsidR="00DE015C">
        <w:rPr>
          <w:rFonts w:ascii="Arial" w:hAnsi="Arial" w:cs="Arial"/>
          <w:lang w:val="bs-Latn-BA"/>
        </w:rPr>
        <w:t>]</w:t>
      </w:r>
      <w:r w:rsidR="00DE015C" w:rsidRPr="00DE015C">
        <w:rPr>
          <w:rFonts w:ascii="Arial" w:hAnsi="Arial" w:cs="Arial"/>
          <w:lang w:val="bs-Latn-BA"/>
        </w:rPr>
        <w:t xml:space="preserve">. Occupational exposure to harmful particles and gases represents an additional risk factor for disease onset, while factors such as diet, socioeconomic status, and recurrent childhood respiratory infections contribute to COPD development </w:t>
      </w:r>
      <w:r w:rsidR="00DE015C">
        <w:rPr>
          <w:rFonts w:ascii="Arial" w:hAnsi="Arial" w:cs="Arial"/>
          <w:lang w:val="bs-Latn-BA"/>
        </w:rPr>
        <w:t>[</w:t>
      </w:r>
      <w:r w:rsidR="00DE015C" w:rsidRPr="00DE015C">
        <w:rPr>
          <w:rFonts w:ascii="Arial" w:hAnsi="Arial" w:cs="Arial"/>
          <w:lang w:val="bs-Latn-BA"/>
        </w:rPr>
        <w:t>10</w:t>
      </w:r>
      <w:r w:rsidR="00DE015C">
        <w:rPr>
          <w:rFonts w:ascii="Arial" w:hAnsi="Arial" w:cs="Arial"/>
          <w:lang w:val="bs-Latn-BA"/>
        </w:rPr>
        <w:t>]</w:t>
      </w:r>
      <w:r w:rsidR="00DE015C" w:rsidRPr="00DE015C">
        <w:rPr>
          <w:rFonts w:ascii="Arial" w:hAnsi="Arial" w:cs="Arial"/>
          <w:lang w:val="bs-Latn-BA"/>
        </w:rPr>
        <w:t>.</w:t>
      </w:r>
    </w:p>
    <w:p w14:paraId="47C5972F" w14:textId="163DBD45" w:rsidR="00DE015C" w:rsidRPr="0092486A" w:rsidRDefault="00DE015C" w:rsidP="00DE015C">
      <w:pPr>
        <w:pStyle w:val="Body"/>
        <w:spacing w:after="0"/>
        <w:rPr>
          <w:rFonts w:ascii="Arial" w:hAnsi="Arial" w:cs="Arial"/>
          <w:lang w:val="bs-Latn-BA"/>
        </w:rPr>
      </w:pPr>
      <w:r w:rsidRPr="00DE015C">
        <w:rPr>
          <w:rFonts w:ascii="Arial" w:hAnsi="Arial" w:cs="Arial"/>
          <w:lang w:val="bs-Latn-BA"/>
        </w:rPr>
        <w:lastRenderedPageBreak/>
        <w:t>COPD is characteri</w:t>
      </w:r>
      <w:r w:rsidR="000F68DD">
        <w:rPr>
          <w:rFonts w:ascii="Arial" w:hAnsi="Arial" w:cs="Arial"/>
          <w:lang w:val="bs-Latn-BA"/>
        </w:rPr>
        <w:t>s</w:t>
      </w:r>
      <w:r w:rsidRPr="00DE015C">
        <w:rPr>
          <w:rFonts w:ascii="Arial" w:hAnsi="Arial" w:cs="Arial"/>
          <w:lang w:val="bs-Latn-BA"/>
        </w:rPr>
        <w:t>ed by an accelerated deterioration of lung function. Patients seeking medical attention for an acute exacerbation of COPD (AECOPD) typically exhibit increased coughing and purulent sputum, often accompanied by rales and morning expectoration. This research aims to identify the most common symptoms in COPD patients and assess their ability to work based on symptom prevalence.</w:t>
      </w:r>
    </w:p>
    <w:p w14:paraId="054040CE" w14:textId="77777777" w:rsidR="00790ADA" w:rsidRPr="0092486A" w:rsidRDefault="00790ADA" w:rsidP="00441B6F">
      <w:pPr>
        <w:pStyle w:val="Body"/>
        <w:spacing w:after="0"/>
        <w:rPr>
          <w:rFonts w:ascii="Arial" w:hAnsi="Arial" w:cs="Arial"/>
          <w:lang w:val="bs-Latn-BA"/>
        </w:rPr>
      </w:pPr>
    </w:p>
    <w:p w14:paraId="0D02D9E2" w14:textId="77777777" w:rsidR="007F7B32" w:rsidRPr="0092486A" w:rsidRDefault="00902823" w:rsidP="00441B6F">
      <w:pPr>
        <w:pStyle w:val="AbstHead"/>
        <w:spacing w:after="0"/>
        <w:jc w:val="both"/>
        <w:rPr>
          <w:rFonts w:ascii="Arial" w:hAnsi="Arial" w:cs="Arial"/>
          <w:lang w:val="bs-Latn-BA"/>
        </w:rPr>
      </w:pPr>
      <w:r w:rsidRPr="0092486A">
        <w:rPr>
          <w:rFonts w:ascii="Arial" w:hAnsi="Arial" w:cs="Arial"/>
          <w:lang w:val="bs-Latn-BA"/>
        </w:rPr>
        <w:t>2. material and method</w:t>
      </w:r>
      <w:r w:rsidR="00C70DBC" w:rsidRPr="0092486A">
        <w:rPr>
          <w:rFonts w:ascii="Arial" w:hAnsi="Arial" w:cs="Arial"/>
          <w:lang w:val="bs-Latn-BA"/>
        </w:rPr>
        <w:t>s</w:t>
      </w:r>
    </w:p>
    <w:p w14:paraId="416D6BAC" w14:textId="77777777" w:rsidR="00790ADA" w:rsidRPr="0092486A" w:rsidRDefault="00790ADA" w:rsidP="00441B6F">
      <w:pPr>
        <w:pStyle w:val="AbstHead"/>
        <w:spacing w:after="0"/>
        <w:jc w:val="both"/>
        <w:rPr>
          <w:rFonts w:ascii="Arial" w:hAnsi="Arial" w:cs="Arial"/>
          <w:lang w:val="bs-Latn-BA"/>
        </w:rPr>
      </w:pPr>
    </w:p>
    <w:p w14:paraId="2367AC21" w14:textId="49DE6E82" w:rsidR="00DE015C" w:rsidRPr="00DE015C" w:rsidRDefault="00DE015C" w:rsidP="00DE015C">
      <w:pPr>
        <w:pStyle w:val="Body"/>
        <w:spacing w:after="0"/>
        <w:rPr>
          <w:rFonts w:ascii="Arial" w:hAnsi="Arial" w:cs="Arial"/>
          <w:lang w:val="bs-Latn-BA"/>
        </w:rPr>
      </w:pPr>
      <w:r w:rsidRPr="00DE015C">
        <w:rPr>
          <w:rFonts w:ascii="Arial" w:hAnsi="Arial" w:cs="Arial"/>
          <w:lang w:val="bs-Latn-BA"/>
        </w:rPr>
        <w:t>The prospective study was carried out at the Pulmonology Department of the Sarajevo Canton Health Cent</w:t>
      </w:r>
      <w:r w:rsidR="000F68DD">
        <w:rPr>
          <w:rFonts w:ascii="Arial" w:hAnsi="Arial" w:cs="Arial"/>
          <w:lang w:val="bs-Latn-BA"/>
        </w:rPr>
        <w:t>re</w:t>
      </w:r>
      <w:r w:rsidRPr="00DE015C">
        <w:rPr>
          <w:rFonts w:ascii="Arial" w:hAnsi="Arial" w:cs="Arial"/>
          <w:lang w:val="bs-Latn-BA"/>
        </w:rPr>
        <w:t xml:space="preserve"> in 2019. Initially, 307 patients (workers) were selected based on the diagnosis of COPD established and verified during the examinations. A smaller proportion of participants was selected based on previous medical records. To achieve the sample size, every other participant was selected using the system</w:t>
      </w:r>
      <w:r w:rsidR="000F68DD">
        <w:rPr>
          <w:rFonts w:ascii="Arial" w:hAnsi="Arial" w:cs="Arial"/>
          <w:lang w:val="bs-Latn-BA"/>
        </w:rPr>
        <w:t>at</w:t>
      </w:r>
      <w:r w:rsidRPr="00DE015C">
        <w:rPr>
          <w:rFonts w:ascii="Arial" w:hAnsi="Arial" w:cs="Arial"/>
          <w:lang w:val="bs-Latn-BA"/>
        </w:rPr>
        <w:t>ic random selection method, leaving 150 participants in a study group. In addition to having COPD, these participants were older than 40 years and had given voluntary consent to participate in the study. Participants who were younger than 40 years, had malignancies or pneumoconiosis, did not have COPD, had comorbidities, and had not voluntarily consented to participate were excluded. Patients with other chronic lung diseases were included in a control group (n = 50). In both groups, subgroups were formed according to cigarette consumption habits (smokers and nonsmokers).</w:t>
      </w:r>
    </w:p>
    <w:p w14:paraId="5B4326A2" w14:textId="09E7ECA1" w:rsidR="00DE015C" w:rsidRPr="00DE015C" w:rsidRDefault="00DE015C" w:rsidP="00DE015C">
      <w:pPr>
        <w:pStyle w:val="Body"/>
        <w:spacing w:after="0"/>
        <w:rPr>
          <w:rFonts w:ascii="Arial" w:hAnsi="Arial" w:cs="Arial"/>
          <w:lang w:val="bs-Latn-BA"/>
        </w:rPr>
      </w:pPr>
      <w:r w:rsidRPr="00DE015C">
        <w:rPr>
          <w:rFonts w:ascii="Arial" w:hAnsi="Arial" w:cs="Arial"/>
          <w:lang w:val="bs-Latn-BA"/>
        </w:rPr>
        <w:t>Data on age, sex, smoking habits, and occupational history were obtained from medical records. All participants completed a standardi</w:t>
      </w:r>
      <w:r w:rsidR="000F68DD">
        <w:rPr>
          <w:rFonts w:ascii="Arial" w:hAnsi="Arial" w:cs="Arial"/>
          <w:lang w:val="bs-Latn-BA"/>
        </w:rPr>
        <w:t>s</w:t>
      </w:r>
      <w:r w:rsidRPr="00DE015C">
        <w:rPr>
          <w:rFonts w:ascii="Arial" w:hAnsi="Arial" w:cs="Arial"/>
          <w:lang w:val="bs-Latn-BA"/>
        </w:rPr>
        <w:t>ed COPD questionnaire, underwent a physical examination with a focus on lung auscultation, and had spirometry tests conducted using a Master Screen Body Jaeger spirometer.</w:t>
      </w:r>
    </w:p>
    <w:p w14:paraId="3A2DFAFB" w14:textId="602779DE" w:rsidR="00DE015C" w:rsidRPr="00DE015C" w:rsidRDefault="00DE015C" w:rsidP="00DE015C">
      <w:pPr>
        <w:pStyle w:val="Body"/>
        <w:spacing w:after="0"/>
        <w:rPr>
          <w:rFonts w:ascii="Arial" w:hAnsi="Arial" w:cs="Arial"/>
          <w:lang w:val="bs-Latn-BA"/>
        </w:rPr>
      </w:pPr>
      <w:r w:rsidRPr="00DE015C">
        <w:rPr>
          <w:rFonts w:ascii="Arial" w:hAnsi="Arial" w:cs="Arial"/>
          <w:lang w:val="bs-Latn-BA"/>
        </w:rPr>
        <w:t xml:space="preserve">COPD is classified into four stages (A-D) according to the GOLD (Global Initiative for Chronic Obstructive Pulmonary Disease) guidelines, based on the forced expiratory volume in the first second (FEV1) </w:t>
      </w:r>
      <w:r>
        <w:rPr>
          <w:rFonts w:ascii="Arial" w:hAnsi="Arial" w:cs="Arial"/>
          <w:lang w:val="bs-Latn-BA"/>
        </w:rPr>
        <w:t>[</w:t>
      </w:r>
      <w:r w:rsidRPr="00DE015C">
        <w:rPr>
          <w:rFonts w:ascii="Arial" w:hAnsi="Arial" w:cs="Arial"/>
          <w:lang w:val="bs-Latn-BA"/>
        </w:rPr>
        <w:t>11,12</w:t>
      </w:r>
      <w:r>
        <w:rPr>
          <w:rFonts w:ascii="Arial" w:hAnsi="Arial" w:cs="Arial"/>
          <w:lang w:val="bs-Latn-BA"/>
        </w:rPr>
        <w:t>]</w:t>
      </w:r>
      <w:r w:rsidRPr="00DE015C">
        <w:rPr>
          <w:rFonts w:ascii="Arial" w:hAnsi="Arial" w:cs="Arial"/>
          <w:lang w:val="bs-Latn-BA"/>
        </w:rPr>
        <w:t>.</w:t>
      </w:r>
    </w:p>
    <w:p w14:paraId="20AE7E60" w14:textId="03C2C233" w:rsidR="00DE015C" w:rsidRDefault="00DE015C" w:rsidP="00DE015C">
      <w:pPr>
        <w:pStyle w:val="Body"/>
        <w:spacing w:after="0"/>
        <w:rPr>
          <w:rFonts w:ascii="Arial" w:hAnsi="Arial" w:cs="Arial"/>
          <w:lang w:val="bs-Latn-BA"/>
        </w:rPr>
      </w:pPr>
      <w:r w:rsidRPr="00DE015C">
        <w:rPr>
          <w:rFonts w:ascii="Arial" w:hAnsi="Arial" w:cs="Arial"/>
          <w:lang w:val="bs-Latn-BA"/>
        </w:rPr>
        <w:t>The statistical method for biomedical research was used to obtain results on parameters evaluating temporary disability (number of days lost from work, DALY) and permanent disability (entitlement to a specific type of disability). These results were analy</w:t>
      </w:r>
      <w:r w:rsidR="000F68DD">
        <w:rPr>
          <w:rFonts w:ascii="Arial" w:hAnsi="Arial" w:cs="Arial"/>
          <w:lang w:val="bs-Latn-BA"/>
        </w:rPr>
        <w:t>s</w:t>
      </w:r>
      <w:r w:rsidRPr="00DE015C">
        <w:rPr>
          <w:rFonts w:ascii="Arial" w:hAnsi="Arial" w:cs="Arial"/>
          <w:lang w:val="bs-Latn-BA"/>
        </w:rPr>
        <w:t>ed in relation to sex, age, occupation, smoking habits, subjective complaints, length of service, spirometry, and lung auscultatory findings in workers from both the study and control groups. The results are presented in tables and figures. The quantitative values of the obtained results are represented by arithmetic means and standard deviations, and the categorical values by absolute numbers. Statistical data analysis was performed using the software IBM SPSS Statistics v.21.</w:t>
      </w:r>
    </w:p>
    <w:p w14:paraId="4EDF2892" w14:textId="77777777" w:rsidR="00DE015C" w:rsidRDefault="00DE015C" w:rsidP="00DE015C">
      <w:pPr>
        <w:pStyle w:val="Body"/>
        <w:spacing w:after="0"/>
        <w:rPr>
          <w:rFonts w:ascii="Arial" w:hAnsi="Arial" w:cs="Arial"/>
          <w:lang w:val="bs-Latn-BA"/>
        </w:rPr>
      </w:pPr>
    </w:p>
    <w:p w14:paraId="2D589C6B" w14:textId="2DA313F7" w:rsidR="00902823" w:rsidRPr="0092486A" w:rsidRDefault="00000F8F" w:rsidP="00441B6F">
      <w:pPr>
        <w:pStyle w:val="Head1"/>
        <w:spacing w:after="0"/>
        <w:jc w:val="both"/>
        <w:rPr>
          <w:rFonts w:ascii="Arial" w:hAnsi="Arial" w:cs="Arial"/>
          <w:lang w:val="bs-Latn-BA"/>
        </w:rPr>
      </w:pPr>
      <w:r w:rsidRPr="0092486A">
        <w:rPr>
          <w:rFonts w:ascii="Arial" w:hAnsi="Arial" w:cs="Arial"/>
          <w:lang w:val="bs-Latn-BA"/>
        </w:rPr>
        <w:t>3</w:t>
      </w:r>
      <w:r w:rsidR="00902823" w:rsidRPr="0092486A">
        <w:rPr>
          <w:rFonts w:ascii="Arial" w:hAnsi="Arial" w:cs="Arial"/>
          <w:lang w:val="bs-Latn-BA"/>
        </w:rPr>
        <w:t xml:space="preserve">. </w:t>
      </w:r>
      <w:r w:rsidRPr="0092486A">
        <w:rPr>
          <w:rFonts w:ascii="Arial" w:hAnsi="Arial" w:cs="Arial"/>
          <w:lang w:val="bs-Latn-BA"/>
        </w:rPr>
        <w:t>results</w:t>
      </w:r>
    </w:p>
    <w:p w14:paraId="2A909173" w14:textId="77777777" w:rsidR="00B71522" w:rsidRDefault="00B71522" w:rsidP="00B71522">
      <w:pPr>
        <w:rPr>
          <w:lang w:val="bs-Latn-BA"/>
        </w:rPr>
      </w:pPr>
    </w:p>
    <w:p w14:paraId="623D1D28" w14:textId="51467995" w:rsidR="00DE015C" w:rsidRDefault="00DE015C" w:rsidP="00B71522">
      <w:pPr>
        <w:jc w:val="both"/>
        <w:rPr>
          <w:rFonts w:ascii="Arial" w:hAnsi="Arial" w:cs="Arial"/>
          <w:lang w:val="bs-Latn-BA"/>
        </w:rPr>
      </w:pPr>
      <w:r w:rsidRPr="00DE015C">
        <w:rPr>
          <w:rFonts w:ascii="Arial" w:hAnsi="Arial" w:cs="Arial"/>
          <w:lang w:val="bs-Latn-BA"/>
        </w:rPr>
        <w:t>The study included 200 participants, with the study group comprising 105 men and 45 women, with a mean age of 60.16 years (SD ± 5.12). The average disease duration was 25.9 years (SD ± 11.9). In the control group of 50 participants, men (n = 29) slightly outnumbered women (n = 21), with most participants aged between 51 and 60 years. Most participants were on sick leave for up to 42 days, with 127 of them taking sick leave within a year, while 73 were on sick leave for more than 42 days. Table 1 compares the stage of COPD with spirometry results. The lowest mean values for FVC (44.50%) and FEV1 (38.82%) were found in participants with stage D according to the GOLD classification.</w:t>
      </w:r>
    </w:p>
    <w:p w14:paraId="17B31722" w14:textId="4C8B2A33" w:rsidR="00A327BE" w:rsidRDefault="00A327BE" w:rsidP="00B71522">
      <w:pPr>
        <w:jc w:val="both"/>
        <w:rPr>
          <w:rFonts w:ascii="Arial" w:hAnsi="Arial" w:cs="Arial"/>
          <w:lang w:val="bs-Latn-BA"/>
        </w:rPr>
      </w:pPr>
    </w:p>
    <w:p w14:paraId="11DEBEDF" w14:textId="294D2A69" w:rsidR="00A327BE" w:rsidRDefault="00A327BE" w:rsidP="00B71522">
      <w:pPr>
        <w:jc w:val="both"/>
        <w:rPr>
          <w:rFonts w:ascii="Arial" w:hAnsi="Arial" w:cs="Arial"/>
          <w:lang w:val="bs-Latn-BA"/>
        </w:rPr>
      </w:pPr>
    </w:p>
    <w:p w14:paraId="1060B6DE" w14:textId="77777777" w:rsidR="00A327BE" w:rsidRDefault="00A327BE" w:rsidP="00B71522">
      <w:pPr>
        <w:jc w:val="both"/>
        <w:rPr>
          <w:rFonts w:ascii="Arial" w:hAnsi="Arial" w:cs="Arial"/>
          <w:lang w:val="bs-Latn-BA"/>
        </w:rPr>
      </w:pPr>
    </w:p>
    <w:p w14:paraId="100E1826" w14:textId="3BEABADD" w:rsidR="00DE015C" w:rsidRDefault="00DE015C" w:rsidP="00B71522">
      <w:pPr>
        <w:jc w:val="both"/>
        <w:rPr>
          <w:rFonts w:ascii="Arial" w:hAnsi="Arial" w:cs="Arial"/>
          <w:lang w:val="bs-Latn-BA"/>
        </w:rPr>
      </w:pPr>
    </w:p>
    <w:p w14:paraId="715DD343" w14:textId="77777777" w:rsidR="00DE015C" w:rsidRPr="00DE015C" w:rsidRDefault="00DE015C" w:rsidP="00DE015C">
      <w:pPr>
        <w:spacing w:line="360" w:lineRule="auto"/>
        <w:jc w:val="center"/>
        <w:rPr>
          <w:rFonts w:ascii="Arial" w:hAnsi="Arial" w:cs="Arial"/>
          <w:b/>
          <w:lang w:eastAsia="x-none"/>
        </w:rPr>
      </w:pPr>
      <w:r w:rsidRPr="00DE015C">
        <w:rPr>
          <w:rFonts w:ascii="Arial" w:hAnsi="Arial" w:cs="Arial"/>
          <w:b/>
          <w:lang w:eastAsia="x-none"/>
        </w:rPr>
        <w:t xml:space="preserve">Table 1. </w:t>
      </w:r>
      <w:r w:rsidRPr="00DE015C">
        <w:rPr>
          <w:rFonts w:ascii="Arial" w:hAnsi="Arial" w:cs="Arial"/>
          <w:b/>
        </w:rPr>
        <w:t>Compares the stage of COPD with spirometry</w:t>
      </w:r>
    </w:p>
    <w:tbl>
      <w:tblPr>
        <w:tblStyle w:val="PlainTable4"/>
        <w:tblW w:w="5000" w:type="pct"/>
        <w:tblLook w:val="04A0" w:firstRow="1" w:lastRow="0" w:firstColumn="1" w:lastColumn="0" w:noHBand="0" w:noVBand="1"/>
      </w:tblPr>
      <w:tblGrid>
        <w:gridCol w:w="1185"/>
        <w:gridCol w:w="929"/>
        <w:gridCol w:w="928"/>
        <w:gridCol w:w="1346"/>
        <w:gridCol w:w="1346"/>
        <w:gridCol w:w="1346"/>
        <w:gridCol w:w="1344"/>
      </w:tblGrid>
      <w:tr w:rsidR="00DE015C" w:rsidRPr="00DE015C" w14:paraId="3DB2E4F6" w14:textId="77777777" w:rsidTr="00DE015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3" w:type="pct"/>
            <w:vMerge w:val="restart"/>
            <w:tcBorders>
              <w:top w:val="single" w:sz="4" w:space="0" w:color="auto"/>
            </w:tcBorders>
            <w:vAlign w:val="center"/>
            <w:hideMark/>
          </w:tcPr>
          <w:p w14:paraId="377E9D3D" w14:textId="77777777" w:rsidR="00DE015C" w:rsidRPr="00DE015C" w:rsidRDefault="00DE015C">
            <w:pPr>
              <w:jc w:val="center"/>
              <w:rPr>
                <w:rFonts w:ascii="Arial" w:hAnsi="Arial" w:cs="Arial"/>
                <w:color w:val="000000"/>
                <w:lang w:eastAsia="bs-Latn-BA"/>
              </w:rPr>
            </w:pPr>
            <w:r w:rsidRPr="00DE015C">
              <w:rPr>
                <w:rFonts w:ascii="Arial" w:hAnsi="Arial" w:cs="Arial"/>
              </w:rPr>
              <w:lastRenderedPageBreak/>
              <w:t>Stage of COPD</w:t>
            </w:r>
          </w:p>
        </w:tc>
        <w:tc>
          <w:tcPr>
            <w:tcW w:w="1102" w:type="pct"/>
            <w:gridSpan w:val="2"/>
            <w:tcBorders>
              <w:top w:val="single" w:sz="4" w:space="0" w:color="auto"/>
              <w:bottom w:val="single" w:sz="4" w:space="0" w:color="auto"/>
            </w:tcBorders>
            <w:vAlign w:val="center"/>
            <w:hideMark/>
          </w:tcPr>
          <w:p w14:paraId="0F62F638" w14:textId="77777777" w:rsidR="00DE015C" w:rsidRPr="00DE015C" w:rsidRDefault="00DE015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 xml:space="preserve">Patients </w:t>
            </w:r>
          </w:p>
        </w:tc>
        <w:tc>
          <w:tcPr>
            <w:tcW w:w="799" w:type="pct"/>
            <w:vMerge w:val="restart"/>
            <w:tcBorders>
              <w:top w:val="single" w:sz="4" w:space="0" w:color="auto"/>
            </w:tcBorders>
            <w:vAlign w:val="center"/>
            <w:hideMark/>
          </w:tcPr>
          <w:p w14:paraId="628C79A4" w14:textId="77777777" w:rsidR="00DE015C" w:rsidRPr="00DE015C" w:rsidRDefault="00DE015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FVC mean value %</w:t>
            </w:r>
          </w:p>
        </w:tc>
        <w:tc>
          <w:tcPr>
            <w:tcW w:w="799" w:type="pct"/>
            <w:vMerge w:val="restart"/>
            <w:tcBorders>
              <w:top w:val="single" w:sz="4" w:space="0" w:color="auto"/>
            </w:tcBorders>
            <w:vAlign w:val="center"/>
            <w:hideMark/>
          </w:tcPr>
          <w:p w14:paraId="4223645E" w14:textId="77777777" w:rsidR="00DE015C" w:rsidRPr="00DE015C" w:rsidRDefault="00DE015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FVC mean value L</w:t>
            </w:r>
          </w:p>
        </w:tc>
        <w:tc>
          <w:tcPr>
            <w:tcW w:w="799" w:type="pct"/>
            <w:vMerge w:val="restart"/>
            <w:tcBorders>
              <w:top w:val="single" w:sz="4" w:space="0" w:color="auto"/>
            </w:tcBorders>
            <w:vAlign w:val="center"/>
            <w:hideMark/>
          </w:tcPr>
          <w:p w14:paraId="62CE312E" w14:textId="77777777" w:rsidR="00DE015C" w:rsidRPr="00DE015C" w:rsidRDefault="00DE015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FEV1 mean value %</w:t>
            </w:r>
          </w:p>
        </w:tc>
        <w:tc>
          <w:tcPr>
            <w:tcW w:w="798" w:type="pct"/>
            <w:vMerge w:val="restart"/>
            <w:tcBorders>
              <w:top w:val="single" w:sz="4" w:space="0" w:color="auto"/>
            </w:tcBorders>
            <w:vAlign w:val="center"/>
            <w:hideMark/>
          </w:tcPr>
          <w:p w14:paraId="1B41930C" w14:textId="77777777" w:rsidR="00DE015C" w:rsidRPr="00DE015C" w:rsidRDefault="00DE015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FEV1 mean value L</w:t>
            </w:r>
          </w:p>
        </w:tc>
      </w:tr>
      <w:tr w:rsidR="00DE015C" w:rsidRPr="00DE015C" w14:paraId="7E46E76E" w14:textId="77777777" w:rsidTr="00DE015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vAlign w:val="center"/>
            <w:hideMark/>
          </w:tcPr>
          <w:p w14:paraId="130694A6" w14:textId="77777777" w:rsidR="00DE015C" w:rsidRPr="00DE015C" w:rsidRDefault="00DE015C">
            <w:pPr>
              <w:rPr>
                <w:rFonts w:ascii="Arial" w:hAnsi="Arial" w:cs="Arial"/>
                <w:color w:val="000000"/>
                <w:kern w:val="2"/>
                <w:lang w:eastAsia="bs-Latn-BA"/>
              </w:rPr>
            </w:pPr>
          </w:p>
        </w:tc>
        <w:tc>
          <w:tcPr>
            <w:tcW w:w="551" w:type="pct"/>
            <w:tcBorders>
              <w:top w:val="single" w:sz="4" w:space="0" w:color="auto"/>
              <w:bottom w:val="single" w:sz="4" w:space="0" w:color="auto"/>
            </w:tcBorders>
            <w:shd w:val="clear" w:color="auto" w:fill="auto"/>
            <w:vAlign w:val="center"/>
            <w:hideMark/>
          </w:tcPr>
          <w:p w14:paraId="7E8171A1"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eastAsia="bs-Latn-BA"/>
              </w:rPr>
            </w:pPr>
            <w:r w:rsidRPr="00DE015C">
              <w:rPr>
                <w:rFonts w:ascii="Arial" w:hAnsi="Arial" w:cs="Arial"/>
                <w:b/>
                <w:bCs/>
                <w:color w:val="000000"/>
                <w:lang w:eastAsia="bs-Latn-BA"/>
              </w:rPr>
              <w:t>n</w:t>
            </w:r>
          </w:p>
        </w:tc>
        <w:tc>
          <w:tcPr>
            <w:tcW w:w="551" w:type="pct"/>
            <w:tcBorders>
              <w:top w:val="single" w:sz="4" w:space="0" w:color="auto"/>
              <w:bottom w:val="single" w:sz="4" w:space="0" w:color="auto"/>
            </w:tcBorders>
            <w:shd w:val="clear" w:color="auto" w:fill="auto"/>
            <w:vAlign w:val="center"/>
            <w:hideMark/>
          </w:tcPr>
          <w:p w14:paraId="46F118B6"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eastAsia="bs-Latn-BA"/>
              </w:rPr>
            </w:pPr>
            <w:r w:rsidRPr="00DE015C">
              <w:rPr>
                <w:rFonts w:ascii="Arial" w:hAnsi="Arial" w:cs="Arial"/>
                <w:b/>
                <w:bCs/>
                <w:color w:val="000000"/>
                <w:lang w:eastAsia="bs-Latn-BA"/>
              </w:rPr>
              <w:t>%</w:t>
            </w:r>
          </w:p>
        </w:tc>
        <w:tc>
          <w:tcPr>
            <w:tcW w:w="0" w:type="auto"/>
            <w:vMerge/>
            <w:tcBorders>
              <w:bottom w:val="single" w:sz="4" w:space="0" w:color="auto"/>
            </w:tcBorders>
            <w:shd w:val="clear" w:color="auto" w:fill="auto"/>
            <w:vAlign w:val="center"/>
            <w:hideMark/>
          </w:tcPr>
          <w:p w14:paraId="2A4DD543" w14:textId="77777777" w:rsidR="00DE015C" w:rsidRPr="00DE015C" w:rsidRDefault="00DE015C">
            <w:pP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
                <w:lang w:eastAsia="bs-Latn-BA"/>
              </w:rPr>
            </w:pPr>
          </w:p>
        </w:tc>
        <w:tc>
          <w:tcPr>
            <w:tcW w:w="0" w:type="auto"/>
            <w:vMerge/>
            <w:tcBorders>
              <w:bottom w:val="single" w:sz="4" w:space="0" w:color="auto"/>
            </w:tcBorders>
            <w:shd w:val="clear" w:color="auto" w:fill="auto"/>
            <w:vAlign w:val="center"/>
            <w:hideMark/>
          </w:tcPr>
          <w:p w14:paraId="06FB2856" w14:textId="77777777" w:rsidR="00DE015C" w:rsidRPr="00DE015C" w:rsidRDefault="00DE015C">
            <w:pP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
                <w:lang w:eastAsia="bs-Latn-BA"/>
              </w:rPr>
            </w:pPr>
          </w:p>
        </w:tc>
        <w:tc>
          <w:tcPr>
            <w:tcW w:w="0" w:type="auto"/>
            <w:vMerge/>
            <w:tcBorders>
              <w:bottom w:val="single" w:sz="4" w:space="0" w:color="auto"/>
            </w:tcBorders>
            <w:shd w:val="clear" w:color="auto" w:fill="auto"/>
            <w:vAlign w:val="center"/>
            <w:hideMark/>
          </w:tcPr>
          <w:p w14:paraId="6C47192C" w14:textId="77777777" w:rsidR="00DE015C" w:rsidRPr="00DE015C" w:rsidRDefault="00DE015C">
            <w:pP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
                <w:lang w:eastAsia="bs-Latn-BA"/>
              </w:rPr>
            </w:pPr>
          </w:p>
        </w:tc>
        <w:tc>
          <w:tcPr>
            <w:tcW w:w="0" w:type="auto"/>
            <w:vMerge/>
            <w:tcBorders>
              <w:bottom w:val="single" w:sz="4" w:space="0" w:color="auto"/>
            </w:tcBorders>
            <w:shd w:val="clear" w:color="auto" w:fill="auto"/>
            <w:vAlign w:val="center"/>
            <w:hideMark/>
          </w:tcPr>
          <w:p w14:paraId="7E9D9415" w14:textId="77777777" w:rsidR="00DE015C" w:rsidRPr="00DE015C" w:rsidRDefault="00DE015C">
            <w:pP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
                <w:lang w:eastAsia="bs-Latn-BA"/>
              </w:rPr>
            </w:pPr>
          </w:p>
        </w:tc>
      </w:tr>
      <w:tr w:rsidR="00DE015C" w:rsidRPr="00DE015C" w14:paraId="2B2E4444" w14:textId="77777777" w:rsidTr="00DE015C">
        <w:trPr>
          <w:trHeight w:val="283"/>
        </w:trPr>
        <w:tc>
          <w:tcPr>
            <w:cnfStyle w:val="001000000000" w:firstRow="0" w:lastRow="0" w:firstColumn="1" w:lastColumn="0" w:oddVBand="0" w:evenVBand="0" w:oddHBand="0" w:evenHBand="0" w:firstRowFirstColumn="0" w:firstRowLastColumn="0" w:lastRowFirstColumn="0" w:lastRowLastColumn="0"/>
            <w:tcW w:w="703" w:type="pct"/>
            <w:tcBorders>
              <w:top w:val="single" w:sz="4" w:space="0" w:color="auto"/>
            </w:tcBorders>
            <w:noWrap/>
            <w:vAlign w:val="center"/>
            <w:hideMark/>
          </w:tcPr>
          <w:p w14:paraId="01296645" w14:textId="77777777" w:rsidR="00DE015C" w:rsidRPr="00DE015C" w:rsidRDefault="00DE015C">
            <w:pPr>
              <w:jc w:val="center"/>
              <w:rPr>
                <w:rFonts w:ascii="Arial" w:hAnsi="Arial" w:cs="Arial"/>
                <w:b w:val="0"/>
                <w:bCs w:val="0"/>
                <w:color w:val="000000"/>
                <w:lang w:eastAsia="bs-Latn-BA"/>
              </w:rPr>
            </w:pPr>
            <w:r w:rsidRPr="00DE015C">
              <w:rPr>
                <w:rFonts w:ascii="Arial" w:hAnsi="Arial" w:cs="Arial"/>
                <w:color w:val="000000"/>
                <w:lang w:eastAsia="bs-Latn-BA"/>
              </w:rPr>
              <w:t>A</w:t>
            </w:r>
          </w:p>
        </w:tc>
        <w:tc>
          <w:tcPr>
            <w:tcW w:w="551" w:type="pct"/>
            <w:tcBorders>
              <w:top w:val="single" w:sz="4" w:space="0" w:color="auto"/>
            </w:tcBorders>
            <w:noWrap/>
            <w:vAlign w:val="center"/>
            <w:hideMark/>
          </w:tcPr>
          <w:p w14:paraId="2C45098F"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33</w:t>
            </w:r>
          </w:p>
        </w:tc>
        <w:tc>
          <w:tcPr>
            <w:tcW w:w="551" w:type="pct"/>
            <w:tcBorders>
              <w:top w:val="single" w:sz="4" w:space="0" w:color="auto"/>
            </w:tcBorders>
            <w:noWrap/>
            <w:vAlign w:val="center"/>
            <w:hideMark/>
          </w:tcPr>
          <w:p w14:paraId="6F8C7808"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22.00</w:t>
            </w:r>
          </w:p>
        </w:tc>
        <w:tc>
          <w:tcPr>
            <w:tcW w:w="799" w:type="pct"/>
            <w:tcBorders>
              <w:top w:val="single" w:sz="4" w:space="0" w:color="auto"/>
            </w:tcBorders>
            <w:noWrap/>
            <w:vAlign w:val="center"/>
            <w:hideMark/>
          </w:tcPr>
          <w:p w14:paraId="7AE5C260"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75.06</w:t>
            </w:r>
          </w:p>
        </w:tc>
        <w:tc>
          <w:tcPr>
            <w:tcW w:w="799" w:type="pct"/>
            <w:tcBorders>
              <w:top w:val="single" w:sz="4" w:space="0" w:color="auto"/>
            </w:tcBorders>
            <w:noWrap/>
            <w:vAlign w:val="center"/>
            <w:hideMark/>
          </w:tcPr>
          <w:p w14:paraId="5B5EE205"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2.98</w:t>
            </w:r>
          </w:p>
        </w:tc>
        <w:tc>
          <w:tcPr>
            <w:tcW w:w="799" w:type="pct"/>
            <w:tcBorders>
              <w:top w:val="single" w:sz="4" w:space="0" w:color="auto"/>
            </w:tcBorders>
            <w:noWrap/>
            <w:vAlign w:val="center"/>
            <w:hideMark/>
          </w:tcPr>
          <w:p w14:paraId="6211D17A"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61.32</w:t>
            </w:r>
          </w:p>
        </w:tc>
        <w:tc>
          <w:tcPr>
            <w:tcW w:w="798" w:type="pct"/>
            <w:tcBorders>
              <w:top w:val="single" w:sz="4" w:space="0" w:color="auto"/>
            </w:tcBorders>
            <w:noWrap/>
            <w:vAlign w:val="center"/>
            <w:hideMark/>
          </w:tcPr>
          <w:p w14:paraId="609E123B"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1.99</w:t>
            </w:r>
          </w:p>
        </w:tc>
      </w:tr>
      <w:tr w:rsidR="00DE015C" w:rsidRPr="00DE015C" w14:paraId="1C4F2364" w14:textId="77777777" w:rsidTr="00DE015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3" w:type="pct"/>
            <w:shd w:val="clear" w:color="auto" w:fill="auto"/>
            <w:noWrap/>
            <w:vAlign w:val="center"/>
            <w:hideMark/>
          </w:tcPr>
          <w:p w14:paraId="28FDAE96" w14:textId="77777777" w:rsidR="00DE015C" w:rsidRPr="00DE015C" w:rsidRDefault="00DE015C">
            <w:pPr>
              <w:jc w:val="center"/>
              <w:rPr>
                <w:rFonts w:ascii="Arial" w:hAnsi="Arial" w:cs="Arial"/>
                <w:color w:val="000000"/>
                <w:lang w:eastAsia="bs-Latn-BA"/>
              </w:rPr>
            </w:pPr>
            <w:r w:rsidRPr="00DE015C">
              <w:rPr>
                <w:rFonts w:ascii="Arial" w:hAnsi="Arial" w:cs="Arial"/>
                <w:color w:val="000000"/>
                <w:lang w:eastAsia="bs-Latn-BA"/>
              </w:rPr>
              <w:t>B</w:t>
            </w:r>
          </w:p>
        </w:tc>
        <w:tc>
          <w:tcPr>
            <w:tcW w:w="551" w:type="pct"/>
            <w:shd w:val="clear" w:color="auto" w:fill="auto"/>
            <w:noWrap/>
            <w:vAlign w:val="center"/>
            <w:hideMark/>
          </w:tcPr>
          <w:p w14:paraId="271F67B7"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40</w:t>
            </w:r>
          </w:p>
        </w:tc>
        <w:tc>
          <w:tcPr>
            <w:tcW w:w="551" w:type="pct"/>
            <w:shd w:val="clear" w:color="auto" w:fill="auto"/>
            <w:noWrap/>
            <w:vAlign w:val="center"/>
            <w:hideMark/>
          </w:tcPr>
          <w:p w14:paraId="7ADAAC4C"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26.67</w:t>
            </w:r>
          </w:p>
        </w:tc>
        <w:tc>
          <w:tcPr>
            <w:tcW w:w="799" w:type="pct"/>
            <w:shd w:val="clear" w:color="auto" w:fill="auto"/>
            <w:noWrap/>
            <w:vAlign w:val="center"/>
            <w:hideMark/>
          </w:tcPr>
          <w:p w14:paraId="3210D120"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70.08</w:t>
            </w:r>
          </w:p>
        </w:tc>
        <w:tc>
          <w:tcPr>
            <w:tcW w:w="799" w:type="pct"/>
            <w:shd w:val="clear" w:color="auto" w:fill="auto"/>
            <w:noWrap/>
            <w:vAlign w:val="center"/>
            <w:hideMark/>
          </w:tcPr>
          <w:p w14:paraId="4A3399A8"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2.68</w:t>
            </w:r>
          </w:p>
        </w:tc>
        <w:tc>
          <w:tcPr>
            <w:tcW w:w="799" w:type="pct"/>
            <w:shd w:val="clear" w:color="auto" w:fill="auto"/>
            <w:noWrap/>
            <w:vAlign w:val="center"/>
            <w:hideMark/>
          </w:tcPr>
          <w:p w14:paraId="389AA47D"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55.41</w:t>
            </w:r>
          </w:p>
        </w:tc>
        <w:tc>
          <w:tcPr>
            <w:tcW w:w="798" w:type="pct"/>
            <w:shd w:val="clear" w:color="auto" w:fill="auto"/>
            <w:noWrap/>
            <w:vAlign w:val="center"/>
            <w:hideMark/>
          </w:tcPr>
          <w:p w14:paraId="1FA51CD0"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1.74</w:t>
            </w:r>
          </w:p>
        </w:tc>
      </w:tr>
      <w:tr w:rsidR="00DE015C" w:rsidRPr="00DE015C" w14:paraId="677AE201" w14:textId="77777777" w:rsidTr="00DE015C">
        <w:trPr>
          <w:trHeight w:val="283"/>
        </w:trPr>
        <w:tc>
          <w:tcPr>
            <w:cnfStyle w:val="001000000000" w:firstRow="0" w:lastRow="0" w:firstColumn="1" w:lastColumn="0" w:oddVBand="0" w:evenVBand="0" w:oddHBand="0" w:evenHBand="0" w:firstRowFirstColumn="0" w:firstRowLastColumn="0" w:lastRowFirstColumn="0" w:lastRowLastColumn="0"/>
            <w:tcW w:w="703" w:type="pct"/>
            <w:noWrap/>
            <w:vAlign w:val="center"/>
            <w:hideMark/>
          </w:tcPr>
          <w:p w14:paraId="230D8647" w14:textId="77777777" w:rsidR="00DE015C" w:rsidRPr="00DE015C" w:rsidRDefault="00DE015C">
            <w:pPr>
              <w:jc w:val="center"/>
              <w:rPr>
                <w:rFonts w:ascii="Arial" w:hAnsi="Arial" w:cs="Arial"/>
                <w:color w:val="000000"/>
                <w:lang w:eastAsia="bs-Latn-BA"/>
              </w:rPr>
            </w:pPr>
            <w:r w:rsidRPr="00DE015C">
              <w:rPr>
                <w:rFonts w:ascii="Arial" w:hAnsi="Arial" w:cs="Arial"/>
                <w:color w:val="000000"/>
                <w:lang w:eastAsia="bs-Latn-BA"/>
              </w:rPr>
              <w:t>C</w:t>
            </w:r>
          </w:p>
        </w:tc>
        <w:tc>
          <w:tcPr>
            <w:tcW w:w="551" w:type="pct"/>
            <w:noWrap/>
            <w:vAlign w:val="center"/>
            <w:hideMark/>
          </w:tcPr>
          <w:p w14:paraId="58E50831"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44</w:t>
            </w:r>
          </w:p>
        </w:tc>
        <w:tc>
          <w:tcPr>
            <w:tcW w:w="551" w:type="pct"/>
            <w:noWrap/>
            <w:vAlign w:val="center"/>
            <w:hideMark/>
          </w:tcPr>
          <w:p w14:paraId="657814B1"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29.33</w:t>
            </w:r>
          </w:p>
        </w:tc>
        <w:tc>
          <w:tcPr>
            <w:tcW w:w="799" w:type="pct"/>
            <w:noWrap/>
            <w:vAlign w:val="center"/>
            <w:hideMark/>
          </w:tcPr>
          <w:p w14:paraId="4ABEC2C9"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53.55</w:t>
            </w:r>
          </w:p>
        </w:tc>
        <w:tc>
          <w:tcPr>
            <w:tcW w:w="799" w:type="pct"/>
            <w:noWrap/>
            <w:vAlign w:val="center"/>
            <w:hideMark/>
          </w:tcPr>
          <w:p w14:paraId="134375DC"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2.00</w:t>
            </w:r>
          </w:p>
        </w:tc>
        <w:tc>
          <w:tcPr>
            <w:tcW w:w="799" w:type="pct"/>
            <w:noWrap/>
            <w:vAlign w:val="center"/>
            <w:hideMark/>
          </w:tcPr>
          <w:p w14:paraId="1E0D2E6C"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47.49</w:t>
            </w:r>
          </w:p>
        </w:tc>
        <w:tc>
          <w:tcPr>
            <w:tcW w:w="798" w:type="pct"/>
            <w:noWrap/>
            <w:vAlign w:val="center"/>
            <w:hideMark/>
          </w:tcPr>
          <w:p w14:paraId="7ABAB33B"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1.48</w:t>
            </w:r>
          </w:p>
        </w:tc>
      </w:tr>
      <w:tr w:rsidR="00DE015C" w:rsidRPr="00DE015C" w14:paraId="31971305" w14:textId="77777777" w:rsidTr="00DE015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uto"/>
            </w:tcBorders>
            <w:shd w:val="clear" w:color="auto" w:fill="auto"/>
            <w:noWrap/>
            <w:vAlign w:val="center"/>
            <w:hideMark/>
          </w:tcPr>
          <w:p w14:paraId="703D3F10" w14:textId="77777777" w:rsidR="00DE015C" w:rsidRPr="00DE015C" w:rsidRDefault="00DE015C">
            <w:pPr>
              <w:jc w:val="center"/>
              <w:rPr>
                <w:rFonts w:ascii="Arial" w:hAnsi="Arial" w:cs="Arial"/>
                <w:color w:val="000000"/>
                <w:lang w:eastAsia="bs-Latn-BA"/>
              </w:rPr>
            </w:pPr>
            <w:r w:rsidRPr="00DE015C">
              <w:rPr>
                <w:rFonts w:ascii="Arial" w:hAnsi="Arial" w:cs="Arial"/>
                <w:color w:val="000000"/>
                <w:lang w:eastAsia="bs-Latn-BA"/>
              </w:rPr>
              <w:t>D</w:t>
            </w:r>
          </w:p>
        </w:tc>
        <w:tc>
          <w:tcPr>
            <w:tcW w:w="551" w:type="pct"/>
            <w:tcBorders>
              <w:bottom w:val="single" w:sz="4" w:space="0" w:color="auto"/>
            </w:tcBorders>
            <w:shd w:val="clear" w:color="auto" w:fill="auto"/>
            <w:noWrap/>
            <w:vAlign w:val="center"/>
            <w:hideMark/>
          </w:tcPr>
          <w:p w14:paraId="78A94EEE"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33</w:t>
            </w:r>
          </w:p>
        </w:tc>
        <w:tc>
          <w:tcPr>
            <w:tcW w:w="551" w:type="pct"/>
            <w:tcBorders>
              <w:bottom w:val="single" w:sz="4" w:space="0" w:color="auto"/>
            </w:tcBorders>
            <w:shd w:val="clear" w:color="auto" w:fill="auto"/>
            <w:noWrap/>
            <w:vAlign w:val="center"/>
            <w:hideMark/>
          </w:tcPr>
          <w:p w14:paraId="12460610"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22.00</w:t>
            </w:r>
          </w:p>
        </w:tc>
        <w:tc>
          <w:tcPr>
            <w:tcW w:w="799" w:type="pct"/>
            <w:tcBorders>
              <w:bottom w:val="single" w:sz="4" w:space="0" w:color="auto"/>
            </w:tcBorders>
            <w:shd w:val="clear" w:color="auto" w:fill="auto"/>
            <w:noWrap/>
            <w:vAlign w:val="center"/>
            <w:hideMark/>
          </w:tcPr>
          <w:p w14:paraId="23634232"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44.50</w:t>
            </w:r>
          </w:p>
        </w:tc>
        <w:tc>
          <w:tcPr>
            <w:tcW w:w="799" w:type="pct"/>
            <w:tcBorders>
              <w:bottom w:val="single" w:sz="4" w:space="0" w:color="auto"/>
            </w:tcBorders>
            <w:shd w:val="clear" w:color="auto" w:fill="auto"/>
            <w:noWrap/>
            <w:vAlign w:val="center"/>
            <w:hideMark/>
          </w:tcPr>
          <w:p w14:paraId="31EF3C5A"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1.95</w:t>
            </w:r>
          </w:p>
        </w:tc>
        <w:tc>
          <w:tcPr>
            <w:tcW w:w="799" w:type="pct"/>
            <w:tcBorders>
              <w:bottom w:val="single" w:sz="4" w:space="0" w:color="auto"/>
            </w:tcBorders>
            <w:shd w:val="clear" w:color="auto" w:fill="auto"/>
            <w:noWrap/>
            <w:vAlign w:val="center"/>
            <w:hideMark/>
          </w:tcPr>
          <w:p w14:paraId="41EB0769"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38.82</w:t>
            </w:r>
          </w:p>
        </w:tc>
        <w:tc>
          <w:tcPr>
            <w:tcW w:w="798" w:type="pct"/>
            <w:tcBorders>
              <w:bottom w:val="single" w:sz="4" w:space="0" w:color="auto"/>
            </w:tcBorders>
            <w:shd w:val="clear" w:color="auto" w:fill="auto"/>
            <w:noWrap/>
            <w:vAlign w:val="center"/>
            <w:hideMark/>
          </w:tcPr>
          <w:p w14:paraId="70882241"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1.35</w:t>
            </w:r>
          </w:p>
        </w:tc>
      </w:tr>
    </w:tbl>
    <w:p w14:paraId="00F7ECFF" w14:textId="77777777" w:rsidR="00DE015C" w:rsidRDefault="00DE015C" w:rsidP="00DE015C">
      <w:pPr>
        <w:pStyle w:val="BodyTextIntechOpen"/>
        <w:spacing w:line="276" w:lineRule="auto"/>
        <w:ind w:firstLine="0"/>
        <w:rPr>
          <w:rFonts w:ascii="Times New Roman" w:eastAsiaTheme="minorEastAsia" w:hAnsi="Times New Roman"/>
          <w:sz w:val="24"/>
          <w:szCs w:val="24"/>
        </w:rPr>
      </w:pPr>
    </w:p>
    <w:p w14:paraId="0BC186F4" w14:textId="3A058624" w:rsidR="00DE015C" w:rsidRPr="00DE015C" w:rsidRDefault="00DE015C" w:rsidP="00DE015C">
      <w:pPr>
        <w:pStyle w:val="BodyTextIntechOpen"/>
        <w:ind w:firstLine="0"/>
        <w:jc w:val="both"/>
        <w:rPr>
          <w:rFonts w:ascii="Arial" w:eastAsiaTheme="minorEastAsia" w:hAnsi="Arial" w:cs="Arial"/>
        </w:rPr>
      </w:pPr>
      <w:r w:rsidRPr="00DE015C">
        <w:rPr>
          <w:rFonts w:ascii="Arial" w:eastAsiaTheme="minorEastAsia" w:hAnsi="Arial" w:cs="Arial"/>
        </w:rPr>
        <w:t>As shown in Figure 1, cough was the leading symptom in half of the participants with reduced work ability and in about one-third of the participants with preserved work ability. In addition, fatigue (30%), dyspnea (26%), and expectoration (20%) were the most common symptoms in participants with limited work ability, while chest pressure (13,33%), shortness of breath (9,33%), and fatigue (8%) were the most common in participants with preserved work ability.</w:t>
      </w:r>
    </w:p>
    <w:p w14:paraId="1F725B85" w14:textId="1323E020" w:rsidR="00DE015C" w:rsidRDefault="00DE015C" w:rsidP="00DE015C">
      <w:pPr>
        <w:pStyle w:val="BodyTextIntechOpen"/>
        <w:spacing w:line="276" w:lineRule="auto"/>
        <w:ind w:firstLine="0"/>
        <w:rPr>
          <w:rFonts w:ascii="Times New Roman" w:eastAsiaTheme="minorEastAsia" w:hAnsi="Times New Roman"/>
          <w:sz w:val="24"/>
          <w:szCs w:val="24"/>
        </w:rPr>
      </w:pPr>
    </w:p>
    <w:p w14:paraId="6259E398" w14:textId="15EFBF99" w:rsidR="00DE015C" w:rsidRDefault="00DE015C" w:rsidP="00DE015C">
      <w:pPr>
        <w:pStyle w:val="BodyTextIntechOpen"/>
        <w:spacing w:line="276" w:lineRule="auto"/>
        <w:ind w:firstLine="0"/>
        <w:jc w:val="center"/>
        <w:rPr>
          <w:rFonts w:ascii="Times New Roman" w:eastAsiaTheme="minorEastAsia" w:hAnsi="Times New Roman"/>
          <w:sz w:val="24"/>
          <w:szCs w:val="24"/>
        </w:rPr>
      </w:pPr>
      <w:r>
        <w:rPr>
          <w:rFonts w:ascii="Times New Roman" w:eastAsiaTheme="minorEastAsia" w:hAnsi="Times New Roman"/>
          <w:noProof/>
          <w:sz w:val="24"/>
          <w:szCs w:val="24"/>
        </w:rPr>
        <w:drawing>
          <wp:inline distT="0" distB="0" distL="0" distR="0" wp14:anchorId="0BBD99D0" wp14:editId="1076FC91">
            <wp:extent cx="4462463" cy="236664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l="736" t="985" r="695" b="1081"/>
                    <a:stretch/>
                  </pic:blipFill>
                  <pic:spPr bwMode="auto">
                    <a:xfrm>
                      <a:off x="0" y="0"/>
                      <a:ext cx="4469687" cy="2370476"/>
                    </a:xfrm>
                    <a:prstGeom prst="rect">
                      <a:avLst/>
                    </a:prstGeom>
                    <a:noFill/>
                    <a:ln>
                      <a:noFill/>
                    </a:ln>
                    <a:extLst>
                      <a:ext uri="{53640926-AAD7-44D8-BBD7-CCE9431645EC}">
                        <a14:shadowObscured xmlns:a14="http://schemas.microsoft.com/office/drawing/2010/main"/>
                      </a:ext>
                    </a:extLst>
                  </pic:spPr>
                </pic:pic>
              </a:graphicData>
            </a:graphic>
          </wp:inline>
        </w:drawing>
      </w:r>
    </w:p>
    <w:p w14:paraId="2996167E" w14:textId="4C698373" w:rsidR="00DE015C" w:rsidRPr="00DE015C" w:rsidRDefault="00DE015C" w:rsidP="00DE015C">
      <w:pPr>
        <w:pStyle w:val="BodyTextIntechOpen"/>
        <w:spacing w:line="276" w:lineRule="auto"/>
        <w:ind w:firstLine="0"/>
        <w:jc w:val="center"/>
        <w:rPr>
          <w:rFonts w:ascii="Arial" w:eastAsiaTheme="minorEastAsia" w:hAnsi="Arial" w:cs="Arial"/>
          <w:b/>
          <w:bCs/>
        </w:rPr>
      </w:pPr>
      <w:r w:rsidRPr="00DE015C">
        <w:rPr>
          <w:rFonts w:ascii="Arial" w:eastAsiaTheme="minorEastAsia" w:hAnsi="Arial" w:cs="Arial"/>
          <w:b/>
          <w:bCs/>
        </w:rPr>
        <w:t>Fig. 1. Changes in working ability in relation to the participants' difficulties</w:t>
      </w:r>
    </w:p>
    <w:p w14:paraId="39A6B923" w14:textId="0F5B7458" w:rsidR="00DE015C" w:rsidRDefault="00DE015C" w:rsidP="00DE015C">
      <w:pPr>
        <w:pStyle w:val="BodyTextIntechOpen"/>
        <w:spacing w:line="276" w:lineRule="auto"/>
        <w:ind w:firstLine="0"/>
        <w:rPr>
          <w:noProof/>
        </w:rPr>
      </w:pPr>
    </w:p>
    <w:p w14:paraId="12C3F224" w14:textId="77777777" w:rsidR="00DE015C" w:rsidRPr="00DE015C" w:rsidRDefault="00DE015C" w:rsidP="00DE015C">
      <w:pPr>
        <w:jc w:val="both"/>
        <w:rPr>
          <w:rFonts w:ascii="Arial" w:hAnsi="Arial" w:cs="Arial"/>
        </w:rPr>
      </w:pPr>
      <w:r w:rsidRPr="00DE015C">
        <w:rPr>
          <w:rFonts w:ascii="Arial" w:hAnsi="Arial" w:cs="Arial"/>
        </w:rPr>
        <w:t>Considering the structure of the control group by diagnosis, most subjects were diagnosed with obstructive bronchitis (n = 19), followed by asthma (n = 15) and chronic simplex bronchitis (n = 9) (Table 2).</w:t>
      </w:r>
    </w:p>
    <w:p w14:paraId="172BEC34" w14:textId="77777777" w:rsidR="00DE015C" w:rsidRPr="00DE015C" w:rsidRDefault="00DE015C" w:rsidP="00DE015C">
      <w:pPr>
        <w:suppressAutoHyphens/>
        <w:rPr>
          <w:rFonts w:ascii="Arial" w:hAnsi="Arial" w:cs="Arial"/>
          <w:b/>
          <w:bCs/>
          <w:shd w:val="clear" w:color="auto" w:fill="FFFFFF"/>
        </w:rPr>
      </w:pPr>
    </w:p>
    <w:p w14:paraId="0B114F5A" w14:textId="77777777" w:rsidR="00DE015C" w:rsidRPr="00DE015C" w:rsidRDefault="00DE015C" w:rsidP="00DE015C">
      <w:pPr>
        <w:suppressAutoHyphens/>
        <w:jc w:val="center"/>
        <w:rPr>
          <w:rFonts w:ascii="Arial" w:hAnsi="Arial" w:cs="Arial"/>
          <w:b/>
          <w:bCs/>
          <w:shd w:val="clear" w:color="auto" w:fill="FFFFFF"/>
        </w:rPr>
      </w:pPr>
    </w:p>
    <w:p w14:paraId="321DEC9D" w14:textId="10428710" w:rsidR="00DE015C" w:rsidRPr="00DE015C" w:rsidRDefault="00DE015C" w:rsidP="00DE015C">
      <w:pPr>
        <w:suppressAutoHyphens/>
        <w:spacing w:line="360" w:lineRule="auto"/>
        <w:jc w:val="center"/>
        <w:rPr>
          <w:rFonts w:ascii="Arial" w:hAnsi="Arial" w:cs="Arial"/>
          <w:b/>
          <w:bCs/>
          <w:lang w:eastAsia="bs-Latn-BA"/>
        </w:rPr>
      </w:pPr>
      <w:r w:rsidRPr="00DE015C">
        <w:rPr>
          <w:rFonts w:ascii="Arial" w:hAnsi="Arial" w:cs="Arial"/>
          <w:b/>
          <w:bCs/>
          <w:shd w:val="clear" w:color="auto" w:fill="FFFFFF"/>
        </w:rPr>
        <w:t>Table 2.</w:t>
      </w:r>
      <w:r w:rsidRPr="00DE015C">
        <w:rPr>
          <w:rFonts w:ascii="Arial" w:hAnsi="Arial" w:cs="Arial"/>
          <w:b/>
          <w:bCs/>
          <w:lang w:eastAsia="bs-Latn-BA"/>
        </w:rPr>
        <w:t xml:space="preserve"> Structure of </w:t>
      </w:r>
      <w:r w:rsidR="000F68DD">
        <w:rPr>
          <w:rFonts w:ascii="Arial" w:hAnsi="Arial" w:cs="Arial"/>
          <w:b/>
          <w:bCs/>
          <w:lang w:eastAsia="bs-Latn-BA"/>
        </w:rPr>
        <w:t xml:space="preserve">the </w:t>
      </w:r>
      <w:r w:rsidRPr="00DE015C">
        <w:rPr>
          <w:rFonts w:ascii="Arial" w:hAnsi="Arial" w:cs="Arial"/>
          <w:b/>
          <w:bCs/>
          <w:lang w:eastAsia="bs-Latn-BA"/>
        </w:rPr>
        <w:t>control group by diagnoses</w:t>
      </w:r>
    </w:p>
    <w:tbl>
      <w:tblPr>
        <w:tblStyle w:val="TableGridLight"/>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809"/>
        <w:gridCol w:w="2807"/>
      </w:tblGrid>
      <w:tr w:rsidR="000F68DD" w:rsidRPr="00DE015C" w14:paraId="17108503" w14:textId="77777777" w:rsidTr="000F68DD">
        <w:trPr>
          <w:trHeight w:val="283"/>
        </w:trPr>
        <w:tc>
          <w:tcPr>
            <w:tcW w:w="1667" w:type="pct"/>
            <w:tcBorders>
              <w:top w:val="single" w:sz="8" w:space="0" w:color="auto"/>
              <w:left w:val="nil"/>
              <w:bottom w:val="single" w:sz="8" w:space="0" w:color="auto"/>
              <w:right w:val="nil"/>
            </w:tcBorders>
            <w:vAlign w:val="center"/>
            <w:hideMark/>
          </w:tcPr>
          <w:p w14:paraId="410B105D" w14:textId="77777777" w:rsidR="000F68DD" w:rsidRPr="00DE015C" w:rsidRDefault="000F68DD" w:rsidP="00DE015C">
            <w:pPr>
              <w:suppressAutoHyphens/>
              <w:rPr>
                <w:rFonts w:ascii="Arial" w:eastAsia="Times New Roman" w:hAnsi="Arial" w:cs="Arial"/>
                <w:b/>
                <w:bCs/>
                <w:sz w:val="20"/>
                <w:szCs w:val="20"/>
                <w:lang w:eastAsia="bs-Latn-BA"/>
              </w:rPr>
            </w:pPr>
            <w:r w:rsidRPr="00DE015C">
              <w:rPr>
                <w:rFonts w:ascii="Arial" w:eastAsia="Times New Roman" w:hAnsi="Arial" w:cs="Arial"/>
                <w:b/>
                <w:bCs/>
                <w:sz w:val="20"/>
                <w:szCs w:val="20"/>
                <w:lang w:eastAsia="bs-Latn-BA"/>
              </w:rPr>
              <w:t>Diagnosis</w:t>
            </w:r>
          </w:p>
        </w:tc>
        <w:tc>
          <w:tcPr>
            <w:tcW w:w="1667" w:type="pct"/>
            <w:tcBorders>
              <w:top w:val="single" w:sz="8" w:space="0" w:color="auto"/>
              <w:left w:val="nil"/>
              <w:bottom w:val="single" w:sz="8" w:space="0" w:color="auto"/>
              <w:right w:val="nil"/>
            </w:tcBorders>
          </w:tcPr>
          <w:p w14:paraId="73110BDD" w14:textId="77777777" w:rsidR="000F68DD" w:rsidRPr="00DE015C" w:rsidRDefault="000F68DD" w:rsidP="00DE015C">
            <w:pPr>
              <w:suppressAutoHyphens/>
              <w:jc w:val="center"/>
              <w:rPr>
                <w:rFonts w:ascii="Arial" w:hAnsi="Arial" w:cs="Arial"/>
                <w:b/>
                <w:bCs/>
                <w:lang w:eastAsia="bs-Latn-BA"/>
              </w:rPr>
            </w:pPr>
          </w:p>
        </w:tc>
        <w:tc>
          <w:tcPr>
            <w:tcW w:w="1666" w:type="pct"/>
            <w:tcBorders>
              <w:top w:val="single" w:sz="8" w:space="0" w:color="auto"/>
              <w:left w:val="nil"/>
              <w:bottom w:val="single" w:sz="8" w:space="0" w:color="auto"/>
              <w:right w:val="nil"/>
            </w:tcBorders>
            <w:vAlign w:val="center"/>
            <w:hideMark/>
          </w:tcPr>
          <w:p w14:paraId="607F84A5" w14:textId="27B8AEA7" w:rsidR="000F68DD" w:rsidRPr="00DE015C" w:rsidRDefault="000F68DD" w:rsidP="00DE015C">
            <w:pPr>
              <w:suppressAutoHyphens/>
              <w:jc w:val="center"/>
              <w:rPr>
                <w:rFonts w:ascii="Arial" w:eastAsia="Times New Roman" w:hAnsi="Arial" w:cs="Arial"/>
                <w:b/>
                <w:bCs/>
                <w:sz w:val="20"/>
                <w:szCs w:val="20"/>
                <w:lang w:eastAsia="bs-Latn-BA"/>
              </w:rPr>
            </w:pPr>
            <w:r w:rsidRPr="00DE015C">
              <w:rPr>
                <w:rFonts w:ascii="Arial" w:eastAsia="Times New Roman" w:hAnsi="Arial" w:cs="Arial"/>
                <w:b/>
                <w:bCs/>
                <w:sz w:val="20"/>
                <w:szCs w:val="20"/>
                <w:lang w:eastAsia="bs-Latn-BA"/>
              </w:rPr>
              <w:t>Number of participants</w:t>
            </w:r>
          </w:p>
        </w:tc>
      </w:tr>
      <w:tr w:rsidR="000F68DD" w:rsidRPr="00DE015C" w14:paraId="03648B02" w14:textId="77777777" w:rsidTr="000F68DD">
        <w:trPr>
          <w:trHeight w:val="283"/>
        </w:trPr>
        <w:tc>
          <w:tcPr>
            <w:tcW w:w="1667" w:type="pct"/>
            <w:tcBorders>
              <w:top w:val="single" w:sz="8" w:space="0" w:color="auto"/>
              <w:left w:val="nil"/>
              <w:bottom w:val="nil"/>
              <w:right w:val="nil"/>
            </w:tcBorders>
            <w:vAlign w:val="center"/>
            <w:hideMark/>
          </w:tcPr>
          <w:p w14:paraId="6FCB7A1C" w14:textId="77777777" w:rsidR="000F68DD" w:rsidRPr="00DE015C" w:rsidRDefault="000F68DD" w:rsidP="00DE015C">
            <w:pPr>
              <w:suppressAutoHyphens/>
              <w:rPr>
                <w:rFonts w:ascii="Arial" w:eastAsia="Times New Roman" w:hAnsi="Arial" w:cs="Arial"/>
                <w:sz w:val="20"/>
                <w:szCs w:val="20"/>
                <w:lang w:eastAsia="bs-Latn-BA"/>
              </w:rPr>
            </w:pPr>
            <w:r w:rsidRPr="00DE015C">
              <w:rPr>
                <w:rFonts w:ascii="Arial" w:eastAsia="Times New Roman" w:hAnsi="Arial" w:cs="Arial"/>
                <w:sz w:val="20"/>
                <w:szCs w:val="20"/>
                <w:lang w:eastAsia="bs-Latn-BA"/>
              </w:rPr>
              <w:t>Obstructive bronchitis</w:t>
            </w:r>
          </w:p>
        </w:tc>
        <w:tc>
          <w:tcPr>
            <w:tcW w:w="1667" w:type="pct"/>
            <w:tcBorders>
              <w:top w:val="single" w:sz="8" w:space="0" w:color="auto"/>
              <w:left w:val="nil"/>
              <w:bottom w:val="nil"/>
              <w:right w:val="nil"/>
            </w:tcBorders>
          </w:tcPr>
          <w:p w14:paraId="75CC7678" w14:textId="77777777" w:rsidR="000F68DD" w:rsidRPr="00DE015C" w:rsidRDefault="000F68DD" w:rsidP="00DE015C">
            <w:pPr>
              <w:suppressAutoHyphens/>
              <w:jc w:val="center"/>
              <w:rPr>
                <w:rFonts w:ascii="Arial" w:hAnsi="Arial" w:cs="Arial"/>
                <w:lang w:eastAsia="bs-Latn-BA"/>
              </w:rPr>
            </w:pPr>
          </w:p>
        </w:tc>
        <w:tc>
          <w:tcPr>
            <w:tcW w:w="1666" w:type="pct"/>
            <w:tcBorders>
              <w:top w:val="single" w:sz="8" w:space="0" w:color="auto"/>
              <w:left w:val="nil"/>
              <w:bottom w:val="nil"/>
              <w:right w:val="nil"/>
            </w:tcBorders>
            <w:vAlign w:val="center"/>
            <w:hideMark/>
          </w:tcPr>
          <w:p w14:paraId="6C1882F3" w14:textId="70011D43" w:rsidR="000F68DD" w:rsidRPr="00DE015C" w:rsidRDefault="000F68DD" w:rsidP="00DE015C">
            <w:pPr>
              <w:suppressAutoHyphens/>
              <w:jc w:val="center"/>
              <w:rPr>
                <w:rFonts w:ascii="Arial" w:eastAsia="Times New Roman" w:hAnsi="Arial" w:cs="Arial"/>
                <w:sz w:val="20"/>
                <w:szCs w:val="20"/>
                <w:lang w:eastAsia="bs-Latn-BA"/>
              </w:rPr>
            </w:pPr>
            <w:r w:rsidRPr="00DE015C">
              <w:rPr>
                <w:rFonts w:ascii="Arial" w:eastAsia="Times New Roman" w:hAnsi="Arial" w:cs="Arial"/>
                <w:sz w:val="20"/>
                <w:szCs w:val="20"/>
                <w:lang w:eastAsia="bs-Latn-BA"/>
              </w:rPr>
              <w:t>19</w:t>
            </w:r>
          </w:p>
        </w:tc>
      </w:tr>
      <w:tr w:rsidR="000F68DD" w:rsidRPr="00DE015C" w14:paraId="69F16EF3" w14:textId="77777777" w:rsidTr="000F68DD">
        <w:trPr>
          <w:trHeight w:val="283"/>
        </w:trPr>
        <w:tc>
          <w:tcPr>
            <w:tcW w:w="1667" w:type="pct"/>
            <w:vAlign w:val="center"/>
            <w:hideMark/>
          </w:tcPr>
          <w:p w14:paraId="43358067" w14:textId="77777777" w:rsidR="000F68DD" w:rsidRPr="00DE015C" w:rsidRDefault="000F68DD" w:rsidP="00DE015C">
            <w:pPr>
              <w:suppressAutoHyphens/>
              <w:rPr>
                <w:rFonts w:ascii="Arial" w:eastAsia="Times New Roman" w:hAnsi="Arial" w:cs="Arial"/>
                <w:sz w:val="20"/>
                <w:szCs w:val="20"/>
                <w:lang w:eastAsia="bs-Latn-BA"/>
              </w:rPr>
            </w:pPr>
            <w:r w:rsidRPr="00DE015C">
              <w:rPr>
                <w:rFonts w:ascii="Arial" w:eastAsia="Times New Roman" w:hAnsi="Arial" w:cs="Arial"/>
                <w:sz w:val="20"/>
                <w:szCs w:val="20"/>
                <w:lang w:eastAsia="bs-Latn-BA"/>
              </w:rPr>
              <w:t>Asthma</w:t>
            </w:r>
          </w:p>
        </w:tc>
        <w:tc>
          <w:tcPr>
            <w:tcW w:w="1667" w:type="pct"/>
          </w:tcPr>
          <w:p w14:paraId="05616662" w14:textId="77777777" w:rsidR="000F68DD" w:rsidRPr="00DE015C" w:rsidRDefault="000F68DD" w:rsidP="00DE015C">
            <w:pPr>
              <w:suppressAutoHyphens/>
              <w:jc w:val="center"/>
              <w:rPr>
                <w:rFonts w:ascii="Arial" w:hAnsi="Arial" w:cs="Arial"/>
                <w:lang w:eastAsia="bs-Latn-BA"/>
              </w:rPr>
            </w:pPr>
          </w:p>
        </w:tc>
        <w:tc>
          <w:tcPr>
            <w:tcW w:w="1666" w:type="pct"/>
            <w:vAlign w:val="center"/>
            <w:hideMark/>
          </w:tcPr>
          <w:p w14:paraId="768BBD7E" w14:textId="3FE9BF6C" w:rsidR="000F68DD" w:rsidRPr="00DE015C" w:rsidRDefault="000F68DD" w:rsidP="00DE015C">
            <w:pPr>
              <w:suppressAutoHyphens/>
              <w:jc w:val="center"/>
              <w:rPr>
                <w:rFonts w:ascii="Arial" w:eastAsia="Times New Roman" w:hAnsi="Arial" w:cs="Arial"/>
                <w:sz w:val="20"/>
                <w:szCs w:val="20"/>
                <w:lang w:eastAsia="bs-Latn-BA"/>
              </w:rPr>
            </w:pPr>
            <w:r w:rsidRPr="00DE015C">
              <w:rPr>
                <w:rFonts w:ascii="Arial" w:eastAsia="Times New Roman" w:hAnsi="Arial" w:cs="Arial"/>
                <w:sz w:val="20"/>
                <w:szCs w:val="20"/>
                <w:lang w:eastAsia="bs-Latn-BA"/>
              </w:rPr>
              <w:t>15</w:t>
            </w:r>
          </w:p>
        </w:tc>
      </w:tr>
      <w:tr w:rsidR="000F68DD" w:rsidRPr="00DE015C" w14:paraId="7D4F8089" w14:textId="77777777" w:rsidTr="000F68DD">
        <w:trPr>
          <w:trHeight w:val="283"/>
        </w:trPr>
        <w:tc>
          <w:tcPr>
            <w:tcW w:w="1667" w:type="pct"/>
            <w:vAlign w:val="center"/>
            <w:hideMark/>
          </w:tcPr>
          <w:p w14:paraId="6E3A5AEF" w14:textId="77777777" w:rsidR="000F68DD" w:rsidRPr="00DE015C" w:rsidRDefault="000F68DD" w:rsidP="00DE015C">
            <w:pPr>
              <w:suppressAutoHyphens/>
              <w:rPr>
                <w:rFonts w:ascii="Arial" w:eastAsia="Times New Roman" w:hAnsi="Arial" w:cs="Arial"/>
                <w:sz w:val="20"/>
                <w:szCs w:val="20"/>
                <w:lang w:eastAsia="bs-Latn-BA"/>
              </w:rPr>
            </w:pPr>
            <w:r w:rsidRPr="00DE015C">
              <w:rPr>
                <w:rFonts w:ascii="Arial" w:eastAsia="Times New Roman" w:hAnsi="Arial" w:cs="Arial"/>
                <w:sz w:val="20"/>
                <w:szCs w:val="20"/>
                <w:lang w:eastAsia="bs-Latn-BA"/>
              </w:rPr>
              <w:t xml:space="preserve">Bronchitis </w:t>
            </w:r>
            <w:proofErr w:type="spellStart"/>
            <w:r w:rsidRPr="00DE015C">
              <w:rPr>
                <w:rFonts w:ascii="Arial" w:eastAsia="Times New Roman" w:hAnsi="Arial" w:cs="Arial"/>
                <w:sz w:val="20"/>
                <w:szCs w:val="20"/>
                <w:lang w:eastAsia="bs-Latn-BA"/>
              </w:rPr>
              <w:t>chr.</w:t>
            </w:r>
            <w:proofErr w:type="spellEnd"/>
            <w:r w:rsidRPr="00DE015C">
              <w:rPr>
                <w:rFonts w:ascii="Arial" w:eastAsia="Times New Roman" w:hAnsi="Arial" w:cs="Arial"/>
                <w:sz w:val="20"/>
                <w:szCs w:val="20"/>
                <w:lang w:eastAsia="bs-Latn-BA"/>
              </w:rPr>
              <w:t xml:space="preserve"> simplex</w:t>
            </w:r>
          </w:p>
        </w:tc>
        <w:tc>
          <w:tcPr>
            <w:tcW w:w="1667" w:type="pct"/>
          </w:tcPr>
          <w:p w14:paraId="4061FF1A" w14:textId="77777777" w:rsidR="000F68DD" w:rsidRPr="00DE015C" w:rsidRDefault="000F68DD" w:rsidP="00DE015C">
            <w:pPr>
              <w:suppressAutoHyphens/>
              <w:jc w:val="center"/>
              <w:rPr>
                <w:rFonts w:ascii="Arial" w:hAnsi="Arial" w:cs="Arial"/>
                <w:lang w:eastAsia="bs-Latn-BA"/>
              </w:rPr>
            </w:pPr>
          </w:p>
        </w:tc>
        <w:tc>
          <w:tcPr>
            <w:tcW w:w="1666" w:type="pct"/>
            <w:vAlign w:val="center"/>
            <w:hideMark/>
          </w:tcPr>
          <w:p w14:paraId="4FBF69ED" w14:textId="04A17068" w:rsidR="000F68DD" w:rsidRPr="00DE015C" w:rsidRDefault="000F68DD" w:rsidP="00DE015C">
            <w:pPr>
              <w:suppressAutoHyphens/>
              <w:jc w:val="center"/>
              <w:rPr>
                <w:rFonts w:ascii="Arial" w:eastAsia="Times New Roman" w:hAnsi="Arial" w:cs="Arial"/>
                <w:sz w:val="20"/>
                <w:szCs w:val="20"/>
                <w:lang w:eastAsia="bs-Latn-BA"/>
              </w:rPr>
            </w:pPr>
            <w:r w:rsidRPr="00DE015C">
              <w:rPr>
                <w:rFonts w:ascii="Arial" w:eastAsia="Times New Roman" w:hAnsi="Arial" w:cs="Arial"/>
                <w:sz w:val="20"/>
                <w:szCs w:val="20"/>
                <w:lang w:eastAsia="bs-Latn-BA"/>
              </w:rPr>
              <w:t>9</w:t>
            </w:r>
          </w:p>
        </w:tc>
      </w:tr>
      <w:tr w:rsidR="000F68DD" w:rsidRPr="00DE015C" w14:paraId="2952039E" w14:textId="77777777" w:rsidTr="000F68DD">
        <w:trPr>
          <w:trHeight w:val="283"/>
        </w:trPr>
        <w:tc>
          <w:tcPr>
            <w:tcW w:w="1667" w:type="pct"/>
            <w:vAlign w:val="center"/>
            <w:hideMark/>
          </w:tcPr>
          <w:p w14:paraId="6E0306FF" w14:textId="77777777" w:rsidR="000F68DD" w:rsidRPr="00DE015C" w:rsidRDefault="000F68DD" w:rsidP="00DE015C">
            <w:pPr>
              <w:suppressAutoHyphens/>
              <w:rPr>
                <w:rFonts w:ascii="Arial" w:eastAsia="Times New Roman" w:hAnsi="Arial" w:cs="Arial"/>
                <w:sz w:val="20"/>
                <w:szCs w:val="20"/>
                <w:lang w:eastAsia="bs-Latn-BA"/>
              </w:rPr>
            </w:pPr>
            <w:r w:rsidRPr="00DE015C">
              <w:rPr>
                <w:rFonts w:ascii="Arial" w:eastAsia="Times New Roman" w:hAnsi="Arial" w:cs="Arial"/>
                <w:sz w:val="20"/>
                <w:szCs w:val="20"/>
                <w:lang w:eastAsia="bs-Latn-BA"/>
              </w:rPr>
              <w:t>Bronchitis simplex</w:t>
            </w:r>
          </w:p>
        </w:tc>
        <w:tc>
          <w:tcPr>
            <w:tcW w:w="1667" w:type="pct"/>
          </w:tcPr>
          <w:p w14:paraId="13793F2B" w14:textId="77777777" w:rsidR="000F68DD" w:rsidRPr="00DE015C" w:rsidRDefault="000F68DD" w:rsidP="00DE015C">
            <w:pPr>
              <w:suppressAutoHyphens/>
              <w:jc w:val="center"/>
              <w:rPr>
                <w:rFonts w:ascii="Arial" w:hAnsi="Arial" w:cs="Arial"/>
                <w:lang w:eastAsia="bs-Latn-BA"/>
              </w:rPr>
            </w:pPr>
          </w:p>
        </w:tc>
        <w:tc>
          <w:tcPr>
            <w:tcW w:w="1666" w:type="pct"/>
            <w:vAlign w:val="center"/>
            <w:hideMark/>
          </w:tcPr>
          <w:p w14:paraId="05304EF7" w14:textId="0A846091" w:rsidR="000F68DD" w:rsidRPr="00DE015C" w:rsidRDefault="000F68DD" w:rsidP="00DE015C">
            <w:pPr>
              <w:suppressAutoHyphens/>
              <w:jc w:val="center"/>
              <w:rPr>
                <w:rFonts w:ascii="Arial" w:eastAsia="Times New Roman" w:hAnsi="Arial" w:cs="Arial"/>
                <w:sz w:val="20"/>
                <w:szCs w:val="20"/>
                <w:lang w:eastAsia="bs-Latn-BA"/>
              </w:rPr>
            </w:pPr>
            <w:r w:rsidRPr="00DE015C">
              <w:rPr>
                <w:rFonts w:ascii="Arial" w:eastAsia="Times New Roman" w:hAnsi="Arial" w:cs="Arial"/>
                <w:sz w:val="20"/>
                <w:szCs w:val="20"/>
                <w:lang w:eastAsia="bs-Latn-BA"/>
              </w:rPr>
              <w:t>3</w:t>
            </w:r>
          </w:p>
        </w:tc>
      </w:tr>
      <w:tr w:rsidR="000F68DD" w:rsidRPr="00DE015C" w14:paraId="779FCBAE" w14:textId="77777777" w:rsidTr="000F68DD">
        <w:trPr>
          <w:trHeight w:val="283"/>
        </w:trPr>
        <w:tc>
          <w:tcPr>
            <w:tcW w:w="1667" w:type="pct"/>
            <w:vAlign w:val="center"/>
            <w:hideMark/>
          </w:tcPr>
          <w:p w14:paraId="4A618C7B" w14:textId="77777777" w:rsidR="000F68DD" w:rsidRPr="00DE015C" w:rsidRDefault="000F68DD" w:rsidP="00DE015C">
            <w:pPr>
              <w:suppressAutoHyphens/>
              <w:rPr>
                <w:rFonts w:ascii="Arial" w:eastAsia="Times New Roman" w:hAnsi="Arial" w:cs="Arial"/>
                <w:sz w:val="20"/>
                <w:szCs w:val="20"/>
                <w:lang w:eastAsia="bs-Latn-BA"/>
              </w:rPr>
            </w:pPr>
            <w:r w:rsidRPr="00DE015C">
              <w:rPr>
                <w:rFonts w:ascii="Arial" w:eastAsia="Times New Roman" w:hAnsi="Arial" w:cs="Arial"/>
                <w:sz w:val="20"/>
                <w:szCs w:val="20"/>
                <w:lang w:eastAsia="bs-Latn-BA"/>
              </w:rPr>
              <w:t xml:space="preserve">Bronchitis </w:t>
            </w:r>
            <w:proofErr w:type="spellStart"/>
            <w:r w:rsidRPr="00DE015C">
              <w:rPr>
                <w:rFonts w:ascii="Arial" w:eastAsia="Times New Roman" w:hAnsi="Arial" w:cs="Arial"/>
                <w:sz w:val="20"/>
                <w:szCs w:val="20"/>
                <w:lang w:eastAsia="bs-Latn-BA"/>
              </w:rPr>
              <w:t>spastica</w:t>
            </w:r>
            <w:proofErr w:type="spellEnd"/>
          </w:p>
        </w:tc>
        <w:tc>
          <w:tcPr>
            <w:tcW w:w="1667" w:type="pct"/>
          </w:tcPr>
          <w:p w14:paraId="19DBFA5D" w14:textId="77777777" w:rsidR="000F68DD" w:rsidRPr="00DE015C" w:rsidRDefault="000F68DD" w:rsidP="00DE015C">
            <w:pPr>
              <w:suppressAutoHyphens/>
              <w:jc w:val="center"/>
              <w:rPr>
                <w:rFonts w:ascii="Arial" w:hAnsi="Arial" w:cs="Arial"/>
                <w:lang w:eastAsia="bs-Latn-BA"/>
              </w:rPr>
            </w:pPr>
          </w:p>
        </w:tc>
        <w:tc>
          <w:tcPr>
            <w:tcW w:w="1666" w:type="pct"/>
            <w:vAlign w:val="center"/>
            <w:hideMark/>
          </w:tcPr>
          <w:p w14:paraId="1B571A7C" w14:textId="2D7919B5" w:rsidR="000F68DD" w:rsidRPr="00DE015C" w:rsidRDefault="000F68DD" w:rsidP="00DE015C">
            <w:pPr>
              <w:suppressAutoHyphens/>
              <w:jc w:val="center"/>
              <w:rPr>
                <w:rFonts w:ascii="Arial" w:eastAsia="Times New Roman" w:hAnsi="Arial" w:cs="Arial"/>
                <w:sz w:val="20"/>
                <w:szCs w:val="20"/>
                <w:lang w:eastAsia="bs-Latn-BA"/>
              </w:rPr>
            </w:pPr>
            <w:r w:rsidRPr="00DE015C">
              <w:rPr>
                <w:rFonts w:ascii="Arial" w:eastAsia="Times New Roman" w:hAnsi="Arial" w:cs="Arial"/>
                <w:sz w:val="20"/>
                <w:szCs w:val="20"/>
                <w:lang w:eastAsia="bs-Latn-BA"/>
              </w:rPr>
              <w:t>2</w:t>
            </w:r>
          </w:p>
        </w:tc>
      </w:tr>
      <w:tr w:rsidR="000F68DD" w:rsidRPr="00DE015C" w14:paraId="6DBD2E85" w14:textId="77777777" w:rsidTr="000F68DD">
        <w:trPr>
          <w:trHeight w:val="283"/>
        </w:trPr>
        <w:tc>
          <w:tcPr>
            <w:tcW w:w="1667" w:type="pct"/>
            <w:vAlign w:val="center"/>
            <w:hideMark/>
          </w:tcPr>
          <w:p w14:paraId="4855BABC" w14:textId="77777777" w:rsidR="000F68DD" w:rsidRPr="00DE015C" w:rsidRDefault="000F68DD" w:rsidP="00DE015C">
            <w:pPr>
              <w:suppressAutoHyphens/>
              <w:rPr>
                <w:rFonts w:ascii="Arial" w:eastAsia="Times New Roman" w:hAnsi="Arial" w:cs="Arial"/>
                <w:sz w:val="20"/>
                <w:szCs w:val="20"/>
                <w:lang w:eastAsia="bs-Latn-BA"/>
              </w:rPr>
            </w:pPr>
            <w:r w:rsidRPr="00DE015C">
              <w:rPr>
                <w:rFonts w:ascii="Arial" w:eastAsia="Times New Roman" w:hAnsi="Arial" w:cs="Arial"/>
                <w:sz w:val="20"/>
                <w:szCs w:val="20"/>
                <w:lang w:eastAsia="bs-Latn-BA"/>
              </w:rPr>
              <w:t xml:space="preserve">Bronchitis. </w:t>
            </w:r>
            <w:proofErr w:type="spellStart"/>
            <w:r w:rsidRPr="00DE015C">
              <w:rPr>
                <w:rFonts w:ascii="Arial" w:eastAsia="Times New Roman" w:hAnsi="Arial" w:cs="Arial"/>
                <w:sz w:val="20"/>
                <w:szCs w:val="20"/>
                <w:lang w:eastAsia="bs-Latn-BA"/>
              </w:rPr>
              <w:t>chr.</w:t>
            </w:r>
            <w:proofErr w:type="spellEnd"/>
            <w:r w:rsidRPr="00DE015C">
              <w:rPr>
                <w:rFonts w:ascii="Arial" w:eastAsia="Times New Roman" w:hAnsi="Arial" w:cs="Arial"/>
                <w:sz w:val="20"/>
                <w:szCs w:val="20"/>
                <w:lang w:eastAsia="bs-Latn-BA"/>
              </w:rPr>
              <w:t xml:space="preserve"> </w:t>
            </w:r>
            <w:proofErr w:type="spellStart"/>
            <w:r w:rsidRPr="00DE015C">
              <w:rPr>
                <w:rFonts w:ascii="Arial" w:eastAsia="Times New Roman" w:hAnsi="Arial" w:cs="Arial"/>
                <w:sz w:val="20"/>
                <w:szCs w:val="20"/>
                <w:lang w:eastAsia="bs-Latn-BA"/>
              </w:rPr>
              <w:t>st.</w:t>
            </w:r>
            <w:proofErr w:type="spellEnd"/>
            <w:r w:rsidRPr="00DE015C">
              <w:rPr>
                <w:rFonts w:ascii="Arial" w:eastAsia="Times New Roman" w:hAnsi="Arial" w:cs="Arial"/>
                <w:sz w:val="20"/>
                <w:szCs w:val="20"/>
                <w:lang w:eastAsia="bs-Latn-BA"/>
              </w:rPr>
              <w:t xml:space="preserve"> post PTE</w:t>
            </w:r>
          </w:p>
        </w:tc>
        <w:tc>
          <w:tcPr>
            <w:tcW w:w="1667" w:type="pct"/>
          </w:tcPr>
          <w:p w14:paraId="27868BBE" w14:textId="77777777" w:rsidR="000F68DD" w:rsidRPr="00DE015C" w:rsidRDefault="000F68DD" w:rsidP="00DE015C">
            <w:pPr>
              <w:suppressAutoHyphens/>
              <w:jc w:val="center"/>
              <w:rPr>
                <w:rFonts w:ascii="Arial" w:hAnsi="Arial" w:cs="Arial"/>
                <w:lang w:eastAsia="bs-Latn-BA"/>
              </w:rPr>
            </w:pPr>
          </w:p>
        </w:tc>
        <w:tc>
          <w:tcPr>
            <w:tcW w:w="1666" w:type="pct"/>
            <w:vAlign w:val="center"/>
            <w:hideMark/>
          </w:tcPr>
          <w:p w14:paraId="1BE9A720" w14:textId="272091CF" w:rsidR="000F68DD" w:rsidRPr="00DE015C" w:rsidRDefault="000F68DD" w:rsidP="00DE015C">
            <w:pPr>
              <w:suppressAutoHyphens/>
              <w:jc w:val="center"/>
              <w:rPr>
                <w:rFonts w:ascii="Arial" w:eastAsia="Times New Roman" w:hAnsi="Arial" w:cs="Arial"/>
                <w:sz w:val="20"/>
                <w:szCs w:val="20"/>
                <w:lang w:eastAsia="bs-Latn-BA"/>
              </w:rPr>
            </w:pPr>
            <w:r w:rsidRPr="00DE015C">
              <w:rPr>
                <w:rFonts w:ascii="Arial" w:eastAsia="Times New Roman" w:hAnsi="Arial" w:cs="Arial"/>
                <w:sz w:val="20"/>
                <w:szCs w:val="20"/>
                <w:lang w:eastAsia="bs-Latn-BA"/>
              </w:rPr>
              <w:t>1</w:t>
            </w:r>
          </w:p>
        </w:tc>
      </w:tr>
      <w:tr w:rsidR="000F68DD" w:rsidRPr="00DE015C" w14:paraId="71CAB9F0" w14:textId="77777777" w:rsidTr="000F68DD">
        <w:trPr>
          <w:trHeight w:val="283"/>
        </w:trPr>
        <w:tc>
          <w:tcPr>
            <w:tcW w:w="1667" w:type="pct"/>
            <w:tcBorders>
              <w:top w:val="nil"/>
              <w:left w:val="nil"/>
              <w:bottom w:val="single" w:sz="8" w:space="0" w:color="auto"/>
              <w:right w:val="nil"/>
            </w:tcBorders>
            <w:vAlign w:val="center"/>
            <w:hideMark/>
          </w:tcPr>
          <w:p w14:paraId="0DAE917E" w14:textId="77777777" w:rsidR="000F68DD" w:rsidRPr="00DE015C" w:rsidRDefault="000F68DD" w:rsidP="00DE015C">
            <w:pPr>
              <w:suppressAutoHyphens/>
              <w:rPr>
                <w:rFonts w:ascii="Arial" w:eastAsia="Times New Roman" w:hAnsi="Arial" w:cs="Arial"/>
                <w:sz w:val="20"/>
                <w:szCs w:val="20"/>
                <w:lang w:eastAsia="bs-Latn-BA"/>
              </w:rPr>
            </w:pPr>
            <w:r w:rsidRPr="00DE015C">
              <w:rPr>
                <w:rFonts w:ascii="Arial" w:eastAsia="Times New Roman" w:hAnsi="Arial" w:cs="Arial"/>
                <w:sz w:val="20"/>
                <w:szCs w:val="20"/>
                <w:lang w:eastAsia="bs-Latn-BA"/>
              </w:rPr>
              <w:t xml:space="preserve">Bronchitis </w:t>
            </w:r>
            <w:proofErr w:type="spellStart"/>
            <w:r w:rsidRPr="00DE015C">
              <w:rPr>
                <w:rFonts w:ascii="Arial" w:eastAsia="Times New Roman" w:hAnsi="Arial" w:cs="Arial"/>
                <w:sz w:val="20"/>
                <w:szCs w:val="20"/>
                <w:lang w:eastAsia="bs-Latn-BA"/>
              </w:rPr>
              <w:t>chr.</w:t>
            </w:r>
            <w:proofErr w:type="spellEnd"/>
            <w:r w:rsidRPr="00DE015C">
              <w:rPr>
                <w:rFonts w:ascii="Arial" w:eastAsia="Times New Roman" w:hAnsi="Arial" w:cs="Arial"/>
                <w:sz w:val="20"/>
                <w:szCs w:val="20"/>
                <w:lang w:eastAsia="bs-Latn-BA"/>
              </w:rPr>
              <w:t xml:space="preserve"> obstructive</w:t>
            </w:r>
          </w:p>
        </w:tc>
        <w:tc>
          <w:tcPr>
            <w:tcW w:w="1667" w:type="pct"/>
            <w:tcBorders>
              <w:top w:val="nil"/>
              <w:left w:val="nil"/>
              <w:bottom w:val="single" w:sz="8" w:space="0" w:color="auto"/>
              <w:right w:val="nil"/>
            </w:tcBorders>
          </w:tcPr>
          <w:p w14:paraId="28383B2A" w14:textId="77777777" w:rsidR="000F68DD" w:rsidRPr="00DE015C" w:rsidRDefault="000F68DD" w:rsidP="00DE015C">
            <w:pPr>
              <w:suppressAutoHyphens/>
              <w:jc w:val="center"/>
              <w:rPr>
                <w:rFonts w:ascii="Arial" w:hAnsi="Arial" w:cs="Arial"/>
                <w:lang w:eastAsia="bs-Latn-BA"/>
              </w:rPr>
            </w:pPr>
          </w:p>
        </w:tc>
        <w:tc>
          <w:tcPr>
            <w:tcW w:w="1666" w:type="pct"/>
            <w:tcBorders>
              <w:top w:val="nil"/>
              <w:left w:val="nil"/>
              <w:bottom w:val="single" w:sz="8" w:space="0" w:color="auto"/>
              <w:right w:val="nil"/>
            </w:tcBorders>
            <w:vAlign w:val="center"/>
            <w:hideMark/>
          </w:tcPr>
          <w:p w14:paraId="7D1034E9" w14:textId="6FABADD2" w:rsidR="000F68DD" w:rsidRPr="00DE015C" w:rsidRDefault="000F68DD" w:rsidP="00DE015C">
            <w:pPr>
              <w:suppressAutoHyphens/>
              <w:jc w:val="center"/>
              <w:rPr>
                <w:rFonts w:ascii="Arial" w:eastAsia="Times New Roman" w:hAnsi="Arial" w:cs="Arial"/>
                <w:sz w:val="20"/>
                <w:szCs w:val="20"/>
                <w:lang w:eastAsia="bs-Latn-BA"/>
              </w:rPr>
            </w:pPr>
            <w:r w:rsidRPr="00DE015C">
              <w:rPr>
                <w:rFonts w:ascii="Arial" w:eastAsia="Times New Roman" w:hAnsi="Arial" w:cs="Arial"/>
                <w:sz w:val="20"/>
                <w:szCs w:val="20"/>
                <w:lang w:eastAsia="bs-Latn-BA"/>
              </w:rPr>
              <w:t>1</w:t>
            </w:r>
          </w:p>
        </w:tc>
      </w:tr>
    </w:tbl>
    <w:p w14:paraId="094C3097" w14:textId="77777777" w:rsidR="00DE015C" w:rsidRPr="00DE015C" w:rsidRDefault="00DE015C" w:rsidP="00DE015C">
      <w:pPr>
        <w:jc w:val="both"/>
        <w:rPr>
          <w:rFonts w:ascii="Arial" w:eastAsiaTheme="minorEastAsia" w:hAnsi="Arial" w:cs="Arial"/>
        </w:rPr>
      </w:pPr>
    </w:p>
    <w:p w14:paraId="4AF0C2D5" w14:textId="064ED51E" w:rsidR="00DE015C" w:rsidRDefault="00DE015C" w:rsidP="00DE015C">
      <w:pPr>
        <w:jc w:val="both"/>
        <w:rPr>
          <w:rFonts w:ascii="Arial" w:hAnsi="Arial" w:cs="Arial"/>
        </w:rPr>
      </w:pPr>
      <w:r w:rsidRPr="00DE015C">
        <w:rPr>
          <w:rFonts w:ascii="Arial" w:hAnsi="Arial" w:cs="Arial"/>
        </w:rPr>
        <w:lastRenderedPageBreak/>
        <w:t>Figure 2 shows the results of altered work capacity in relation to age. Reduced work capacity was highest in the participant group 61-70 years of age, 35.33%, and was preserved in the same group, 28.67%.</w:t>
      </w:r>
    </w:p>
    <w:p w14:paraId="19528EBB" w14:textId="77777777" w:rsidR="00DE015C" w:rsidRPr="00DE015C" w:rsidRDefault="00DE015C" w:rsidP="00DE015C">
      <w:pPr>
        <w:jc w:val="both"/>
        <w:rPr>
          <w:rFonts w:ascii="Arial" w:hAnsi="Arial" w:cs="Arial"/>
        </w:rPr>
      </w:pPr>
    </w:p>
    <w:p w14:paraId="116F4524" w14:textId="746BA9A8" w:rsidR="00DE015C" w:rsidRPr="00DE015C" w:rsidRDefault="00DE015C" w:rsidP="00DE015C">
      <w:pPr>
        <w:spacing w:line="360" w:lineRule="auto"/>
        <w:jc w:val="center"/>
        <w:rPr>
          <w:rFonts w:ascii="Arial" w:hAnsi="Arial" w:cs="Arial"/>
        </w:rPr>
      </w:pPr>
      <w:r>
        <w:rPr>
          <w:rFonts w:ascii="Arial" w:hAnsi="Arial" w:cs="Arial"/>
          <w:noProof/>
        </w:rPr>
        <w:drawing>
          <wp:inline distT="0" distB="0" distL="0" distR="0" wp14:anchorId="589C35F9" wp14:editId="5EDB61BC">
            <wp:extent cx="3519488" cy="163830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l="400" t="1949" r="1047" b="2229"/>
                    <a:stretch/>
                  </pic:blipFill>
                  <pic:spPr bwMode="auto">
                    <a:xfrm>
                      <a:off x="0" y="0"/>
                      <a:ext cx="3526908" cy="1641754"/>
                    </a:xfrm>
                    <a:prstGeom prst="rect">
                      <a:avLst/>
                    </a:prstGeom>
                    <a:noFill/>
                    <a:ln>
                      <a:noFill/>
                    </a:ln>
                    <a:extLst>
                      <a:ext uri="{53640926-AAD7-44D8-BBD7-CCE9431645EC}">
                        <a14:shadowObscured xmlns:a14="http://schemas.microsoft.com/office/drawing/2010/main"/>
                      </a:ext>
                    </a:extLst>
                  </pic:spPr>
                </pic:pic>
              </a:graphicData>
            </a:graphic>
          </wp:inline>
        </w:drawing>
      </w:r>
    </w:p>
    <w:p w14:paraId="74BC2ECC" w14:textId="29EA24CF" w:rsidR="00DE015C" w:rsidRPr="00DE015C" w:rsidRDefault="00DE015C" w:rsidP="00DE015C">
      <w:pPr>
        <w:jc w:val="center"/>
        <w:rPr>
          <w:rFonts w:ascii="Arial" w:hAnsi="Arial" w:cs="Arial"/>
          <w:b/>
          <w:bCs/>
          <w:lang w:eastAsia="x-none"/>
        </w:rPr>
      </w:pPr>
      <w:r w:rsidRPr="00DE015C">
        <w:rPr>
          <w:rFonts w:ascii="Arial" w:hAnsi="Arial" w:cs="Arial"/>
          <w:b/>
          <w:bCs/>
          <w:shd w:val="clear" w:color="auto" w:fill="FFFFFF"/>
        </w:rPr>
        <w:t>Fig. 2</w:t>
      </w:r>
      <w:r w:rsidRPr="00DE015C">
        <w:rPr>
          <w:rFonts w:ascii="Arial" w:hAnsi="Arial" w:cs="Arial"/>
          <w:b/>
          <w:bCs/>
          <w:lang w:eastAsia="x-none"/>
        </w:rPr>
        <w:t xml:space="preserve">. Changes in the work ability of participants with COPD, </w:t>
      </w:r>
      <w:proofErr w:type="spellStart"/>
      <w:r w:rsidRPr="00DE015C">
        <w:rPr>
          <w:rFonts w:ascii="Arial" w:hAnsi="Arial" w:cs="Arial"/>
          <w:b/>
          <w:bCs/>
          <w:lang w:eastAsia="x-none"/>
        </w:rPr>
        <w:t>categori</w:t>
      </w:r>
      <w:r w:rsidR="000F68DD">
        <w:rPr>
          <w:rFonts w:ascii="Arial" w:hAnsi="Arial" w:cs="Arial"/>
          <w:b/>
          <w:bCs/>
          <w:lang w:eastAsia="x-none"/>
        </w:rPr>
        <w:t>s</w:t>
      </w:r>
      <w:r w:rsidRPr="00DE015C">
        <w:rPr>
          <w:rFonts w:ascii="Arial" w:hAnsi="Arial" w:cs="Arial"/>
          <w:b/>
          <w:bCs/>
          <w:lang w:eastAsia="x-none"/>
        </w:rPr>
        <w:t>ed</w:t>
      </w:r>
      <w:proofErr w:type="spellEnd"/>
      <w:r w:rsidRPr="00DE015C">
        <w:rPr>
          <w:rFonts w:ascii="Arial" w:hAnsi="Arial" w:cs="Arial"/>
          <w:b/>
          <w:bCs/>
          <w:lang w:eastAsia="x-none"/>
        </w:rPr>
        <w:t xml:space="preserve"> by age</w:t>
      </w:r>
    </w:p>
    <w:p w14:paraId="725C3534" w14:textId="63442B41" w:rsidR="00DE015C" w:rsidRDefault="00DE015C" w:rsidP="00DE015C">
      <w:pPr>
        <w:jc w:val="both"/>
        <w:rPr>
          <w:rFonts w:ascii="Arial" w:hAnsi="Arial" w:cs="Arial"/>
        </w:rPr>
      </w:pPr>
      <w:r w:rsidRPr="00DE015C">
        <w:rPr>
          <w:rFonts w:ascii="Arial" w:hAnsi="Arial" w:cs="Arial"/>
        </w:rPr>
        <w:br/>
        <w:t>Figure 3 illustrates participants' work ability in relation to nicotine use. Among those with impaired work ability, 23 were ex-smokers</w:t>
      </w:r>
      <w:r w:rsidR="000F68DD">
        <w:rPr>
          <w:rFonts w:ascii="Arial" w:hAnsi="Arial" w:cs="Arial"/>
        </w:rPr>
        <w:t>,</w:t>
      </w:r>
      <w:r w:rsidRPr="00DE015C">
        <w:rPr>
          <w:rFonts w:ascii="Arial" w:hAnsi="Arial" w:cs="Arial"/>
        </w:rPr>
        <w:t xml:space="preserve"> and 19 were current smokers, while the frequency was the same for participants with preserved work ability (n = 54).</w:t>
      </w:r>
    </w:p>
    <w:p w14:paraId="24D02129" w14:textId="77777777" w:rsidR="00DE015C" w:rsidRPr="00DE015C" w:rsidRDefault="00DE015C" w:rsidP="00DE015C">
      <w:pPr>
        <w:jc w:val="both"/>
        <w:rPr>
          <w:rFonts w:ascii="Arial" w:eastAsiaTheme="minorEastAsia" w:hAnsi="Arial" w:cs="Arial"/>
        </w:rPr>
      </w:pPr>
    </w:p>
    <w:p w14:paraId="5671F7B6" w14:textId="1030D18F" w:rsidR="00DE015C" w:rsidRPr="00DE015C" w:rsidRDefault="00DE015C" w:rsidP="00DE015C">
      <w:pPr>
        <w:spacing w:line="360" w:lineRule="auto"/>
        <w:jc w:val="center"/>
        <w:rPr>
          <w:rFonts w:ascii="Arial" w:hAnsi="Arial" w:cs="Arial"/>
        </w:rPr>
      </w:pPr>
      <w:r>
        <w:rPr>
          <w:rFonts w:ascii="Arial" w:hAnsi="Arial" w:cs="Arial"/>
          <w:noProof/>
        </w:rPr>
        <w:drawing>
          <wp:inline distT="0" distB="0" distL="0" distR="0" wp14:anchorId="78F063A7" wp14:editId="08B14F86">
            <wp:extent cx="3790950" cy="178117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BEBA8EAE-BF5A-486C-A8C5-ECC9F3942E4B}">
                          <a14:imgProps xmlns:a14="http://schemas.microsoft.com/office/drawing/2010/main">
                            <a14:imgLayer r:embed="rId19">
                              <a14:imgEffect>
                                <a14:sharpenSoften amount="25000"/>
                              </a14:imgEffect>
                            </a14:imgLayer>
                          </a14:imgProps>
                        </a:ext>
                        <a:ext uri="{28A0092B-C50C-407E-A947-70E740481C1C}">
                          <a14:useLocalDpi xmlns:a14="http://schemas.microsoft.com/office/drawing/2010/main" val="0"/>
                        </a:ext>
                      </a:extLst>
                    </a:blip>
                    <a:srcRect l="983" t="2042" r="1099" b="2485"/>
                    <a:stretch/>
                  </pic:blipFill>
                  <pic:spPr bwMode="auto">
                    <a:xfrm>
                      <a:off x="0" y="0"/>
                      <a:ext cx="3790950" cy="1781175"/>
                    </a:xfrm>
                    <a:prstGeom prst="rect">
                      <a:avLst/>
                    </a:prstGeom>
                    <a:noFill/>
                    <a:ln>
                      <a:noFill/>
                    </a:ln>
                    <a:extLst>
                      <a:ext uri="{53640926-AAD7-44D8-BBD7-CCE9431645EC}">
                        <a14:shadowObscured xmlns:a14="http://schemas.microsoft.com/office/drawing/2010/main"/>
                      </a:ext>
                    </a:extLst>
                  </pic:spPr>
                </pic:pic>
              </a:graphicData>
            </a:graphic>
          </wp:inline>
        </w:drawing>
      </w:r>
    </w:p>
    <w:p w14:paraId="6D38E9A4" w14:textId="77777777" w:rsidR="00DE015C" w:rsidRPr="00DE015C" w:rsidRDefault="00DE015C" w:rsidP="00DE015C">
      <w:pPr>
        <w:tabs>
          <w:tab w:val="left" w:pos="1052"/>
        </w:tabs>
        <w:jc w:val="center"/>
        <w:rPr>
          <w:rFonts w:ascii="Arial" w:hAnsi="Arial" w:cs="Arial"/>
          <w:b/>
          <w:bCs/>
        </w:rPr>
      </w:pPr>
      <w:r w:rsidRPr="00DE015C">
        <w:rPr>
          <w:rFonts w:ascii="Arial" w:hAnsi="Arial" w:cs="Arial"/>
          <w:b/>
          <w:bCs/>
        </w:rPr>
        <w:t>Fig. 3. Working ability in relation to nicotine abuse</w:t>
      </w:r>
    </w:p>
    <w:p w14:paraId="3B682154" w14:textId="77777777" w:rsidR="00DE015C" w:rsidRPr="00DE015C" w:rsidRDefault="00DE015C" w:rsidP="00DE015C">
      <w:pPr>
        <w:tabs>
          <w:tab w:val="left" w:pos="1052"/>
        </w:tabs>
        <w:jc w:val="center"/>
        <w:rPr>
          <w:rFonts w:ascii="Arial" w:hAnsi="Arial" w:cs="Arial"/>
          <w:b/>
          <w:bCs/>
          <w:shd w:val="clear" w:color="auto" w:fill="FFFFFF"/>
        </w:rPr>
      </w:pPr>
      <w:r w:rsidRPr="00DE015C">
        <w:rPr>
          <w:rFonts w:ascii="Arial" w:hAnsi="Arial" w:cs="Arial"/>
          <w:b/>
          <w:bCs/>
          <w:shd w:val="clear" w:color="auto" w:fill="FFFFFF"/>
        </w:rPr>
        <w:br/>
      </w:r>
    </w:p>
    <w:p w14:paraId="24D36AF5" w14:textId="77777777" w:rsidR="00DE015C" w:rsidRPr="008F3E20" w:rsidRDefault="00DE015C" w:rsidP="00DE015C">
      <w:pPr>
        <w:tabs>
          <w:tab w:val="left" w:pos="1052"/>
        </w:tabs>
        <w:spacing w:line="360" w:lineRule="auto"/>
        <w:jc w:val="center"/>
        <w:rPr>
          <w:rFonts w:ascii="Arial" w:hAnsi="Arial" w:cs="Arial"/>
          <w:b/>
          <w:bCs/>
        </w:rPr>
      </w:pPr>
      <w:r w:rsidRPr="008F3E20">
        <w:rPr>
          <w:rFonts w:ascii="Arial" w:hAnsi="Arial" w:cs="Arial"/>
          <w:b/>
          <w:bCs/>
          <w:shd w:val="clear" w:color="auto" w:fill="FFFFFF"/>
        </w:rPr>
        <w:t>Table 3</w:t>
      </w:r>
      <w:r w:rsidRPr="008F3E20">
        <w:rPr>
          <w:rFonts w:ascii="Arial" w:hAnsi="Arial" w:cs="Arial"/>
          <w:b/>
          <w:bCs/>
          <w:lang w:eastAsia="bs-Latn-BA"/>
        </w:rPr>
        <w:t>. Working abilities of respondents with COPD</w:t>
      </w:r>
    </w:p>
    <w:tbl>
      <w:tblPr>
        <w:tblStyle w:val="TableGridLight"/>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9"/>
        <w:gridCol w:w="1809"/>
        <w:gridCol w:w="1809"/>
        <w:gridCol w:w="1809"/>
        <w:gridCol w:w="1808"/>
      </w:tblGrid>
      <w:tr w:rsidR="00DE015C" w:rsidRPr="00DE015C" w14:paraId="7F01A130" w14:textId="77777777" w:rsidTr="008F3E20">
        <w:trPr>
          <w:trHeight w:val="283"/>
        </w:trPr>
        <w:tc>
          <w:tcPr>
            <w:tcW w:w="705" w:type="pct"/>
            <w:tcBorders>
              <w:top w:val="single" w:sz="8" w:space="0" w:color="auto"/>
              <w:left w:val="nil"/>
              <w:bottom w:val="single" w:sz="8" w:space="0" w:color="auto"/>
              <w:right w:val="nil"/>
            </w:tcBorders>
            <w:vAlign w:val="center"/>
            <w:hideMark/>
          </w:tcPr>
          <w:p w14:paraId="5DBB11DE" w14:textId="77777777" w:rsidR="00DE015C" w:rsidRPr="008F3E20" w:rsidRDefault="00DE015C" w:rsidP="00DE015C">
            <w:pPr>
              <w:jc w:val="center"/>
              <w:rPr>
                <w:rFonts w:ascii="Arial" w:eastAsia="Times New Roman" w:hAnsi="Arial" w:cs="Arial"/>
                <w:b/>
                <w:bCs/>
                <w:color w:val="000000"/>
                <w:sz w:val="20"/>
                <w:szCs w:val="20"/>
                <w:lang w:val="bs-Latn-BA" w:eastAsia="bs-Latn-BA"/>
              </w:rPr>
            </w:pPr>
            <w:r w:rsidRPr="008F3E20">
              <w:rPr>
                <w:rFonts w:ascii="Arial" w:hAnsi="Arial" w:cs="Arial"/>
                <w:b/>
                <w:bCs/>
                <w:sz w:val="20"/>
                <w:szCs w:val="20"/>
              </w:rPr>
              <w:t>Stage of COPD</w:t>
            </w:r>
          </w:p>
        </w:tc>
        <w:tc>
          <w:tcPr>
            <w:tcW w:w="1074" w:type="pct"/>
            <w:tcBorders>
              <w:top w:val="single" w:sz="8" w:space="0" w:color="auto"/>
              <w:left w:val="nil"/>
              <w:bottom w:val="single" w:sz="8" w:space="0" w:color="auto"/>
              <w:right w:val="nil"/>
            </w:tcBorders>
            <w:vAlign w:val="center"/>
            <w:hideMark/>
          </w:tcPr>
          <w:p w14:paraId="6CA95BD2" w14:textId="77777777" w:rsidR="00DE015C" w:rsidRPr="008F3E20" w:rsidRDefault="00DE015C" w:rsidP="00DE015C">
            <w:pPr>
              <w:jc w:val="center"/>
              <w:rPr>
                <w:rFonts w:ascii="Arial" w:eastAsia="Times New Roman" w:hAnsi="Arial" w:cs="Arial"/>
                <w:b/>
                <w:bCs/>
                <w:color w:val="000000"/>
                <w:sz w:val="20"/>
                <w:szCs w:val="20"/>
                <w:lang w:val="bs-Latn-BA" w:eastAsia="bs-Latn-BA"/>
              </w:rPr>
            </w:pPr>
            <w:r w:rsidRPr="008F3E20">
              <w:rPr>
                <w:rFonts w:ascii="Arial" w:eastAsia="Times New Roman" w:hAnsi="Arial" w:cs="Arial"/>
                <w:b/>
                <w:bCs/>
                <w:color w:val="000000"/>
                <w:sz w:val="20"/>
                <w:szCs w:val="20"/>
                <w:lang w:val="bs-Latn-BA" w:eastAsia="bs-Latn-BA"/>
              </w:rPr>
              <w:t>Working ability preserved (n)</w:t>
            </w:r>
          </w:p>
        </w:tc>
        <w:tc>
          <w:tcPr>
            <w:tcW w:w="1074" w:type="pct"/>
            <w:tcBorders>
              <w:top w:val="single" w:sz="8" w:space="0" w:color="auto"/>
              <w:left w:val="nil"/>
              <w:bottom w:val="single" w:sz="8" w:space="0" w:color="auto"/>
              <w:right w:val="nil"/>
            </w:tcBorders>
            <w:vAlign w:val="center"/>
            <w:hideMark/>
          </w:tcPr>
          <w:p w14:paraId="38346FE4" w14:textId="77777777" w:rsidR="00DE015C" w:rsidRPr="008F3E20" w:rsidRDefault="00DE015C" w:rsidP="00DE015C">
            <w:pPr>
              <w:jc w:val="center"/>
              <w:rPr>
                <w:rFonts w:ascii="Arial" w:eastAsia="Times New Roman" w:hAnsi="Arial" w:cs="Arial"/>
                <w:b/>
                <w:bCs/>
                <w:color w:val="000000"/>
                <w:sz w:val="20"/>
                <w:szCs w:val="20"/>
                <w:lang w:val="bs-Latn-BA" w:eastAsia="bs-Latn-BA"/>
              </w:rPr>
            </w:pPr>
            <w:r w:rsidRPr="008F3E20">
              <w:rPr>
                <w:rFonts w:ascii="Arial" w:eastAsia="Times New Roman" w:hAnsi="Arial" w:cs="Arial"/>
                <w:b/>
                <w:bCs/>
                <w:color w:val="000000"/>
                <w:sz w:val="20"/>
                <w:szCs w:val="20"/>
                <w:lang w:val="bs-Latn-BA" w:eastAsia="bs-Latn-BA"/>
              </w:rPr>
              <w:t>Relationship working ability preserved (%)</w:t>
            </w:r>
          </w:p>
        </w:tc>
        <w:tc>
          <w:tcPr>
            <w:tcW w:w="1074" w:type="pct"/>
            <w:tcBorders>
              <w:top w:val="single" w:sz="8" w:space="0" w:color="auto"/>
              <w:left w:val="nil"/>
              <w:bottom w:val="single" w:sz="8" w:space="0" w:color="auto"/>
              <w:right w:val="nil"/>
            </w:tcBorders>
            <w:vAlign w:val="center"/>
            <w:hideMark/>
          </w:tcPr>
          <w:p w14:paraId="4EB5472F" w14:textId="77777777" w:rsidR="00DE015C" w:rsidRPr="008F3E20" w:rsidRDefault="00DE015C" w:rsidP="00DE015C">
            <w:pPr>
              <w:jc w:val="center"/>
              <w:rPr>
                <w:rFonts w:ascii="Arial" w:eastAsia="Times New Roman" w:hAnsi="Arial" w:cs="Arial"/>
                <w:b/>
                <w:bCs/>
                <w:color w:val="000000"/>
                <w:sz w:val="20"/>
                <w:szCs w:val="20"/>
                <w:lang w:val="bs-Latn-BA" w:eastAsia="bs-Latn-BA"/>
              </w:rPr>
            </w:pPr>
            <w:r w:rsidRPr="008F3E20">
              <w:rPr>
                <w:rFonts w:ascii="Arial" w:eastAsia="Times New Roman" w:hAnsi="Arial" w:cs="Arial"/>
                <w:b/>
                <w:bCs/>
                <w:color w:val="000000"/>
                <w:sz w:val="20"/>
                <w:szCs w:val="20"/>
                <w:lang w:val="bs-Latn-BA" w:eastAsia="bs-Latn-BA"/>
              </w:rPr>
              <w:t>Working ability diminished (n)</w:t>
            </w:r>
          </w:p>
        </w:tc>
        <w:tc>
          <w:tcPr>
            <w:tcW w:w="1074" w:type="pct"/>
            <w:tcBorders>
              <w:top w:val="single" w:sz="8" w:space="0" w:color="auto"/>
              <w:left w:val="nil"/>
              <w:bottom w:val="single" w:sz="8" w:space="0" w:color="auto"/>
              <w:right w:val="nil"/>
            </w:tcBorders>
            <w:vAlign w:val="center"/>
            <w:hideMark/>
          </w:tcPr>
          <w:p w14:paraId="1B78A93F" w14:textId="77777777" w:rsidR="00DE015C" w:rsidRPr="008F3E20" w:rsidRDefault="00DE015C" w:rsidP="00DE015C">
            <w:pPr>
              <w:jc w:val="center"/>
              <w:rPr>
                <w:rFonts w:ascii="Arial" w:eastAsia="Times New Roman" w:hAnsi="Arial" w:cs="Arial"/>
                <w:b/>
                <w:bCs/>
                <w:color w:val="000000"/>
                <w:sz w:val="20"/>
                <w:szCs w:val="20"/>
                <w:lang w:val="bs-Latn-BA" w:eastAsia="bs-Latn-BA"/>
              </w:rPr>
            </w:pPr>
            <w:r w:rsidRPr="008F3E20">
              <w:rPr>
                <w:rFonts w:ascii="Arial" w:eastAsia="Times New Roman" w:hAnsi="Arial" w:cs="Arial"/>
                <w:b/>
                <w:bCs/>
                <w:color w:val="000000"/>
                <w:sz w:val="20"/>
                <w:szCs w:val="20"/>
                <w:lang w:val="bs-Latn-BA" w:eastAsia="bs-Latn-BA"/>
              </w:rPr>
              <w:t>Ratio of reduced working ability (%)</w:t>
            </w:r>
          </w:p>
        </w:tc>
      </w:tr>
      <w:tr w:rsidR="00DE015C" w:rsidRPr="00DE015C" w14:paraId="213F6D8A" w14:textId="77777777" w:rsidTr="008F3E20">
        <w:trPr>
          <w:trHeight w:val="283"/>
        </w:trPr>
        <w:tc>
          <w:tcPr>
            <w:tcW w:w="705" w:type="pct"/>
            <w:tcBorders>
              <w:top w:val="single" w:sz="8" w:space="0" w:color="auto"/>
              <w:left w:val="nil"/>
              <w:bottom w:val="nil"/>
              <w:right w:val="nil"/>
            </w:tcBorders>
            <w:noWrap/>
            <w:vAlign w:val="center"/>
            <w:hideMark/>
          </w:tcPr>
          <w:p w14:paraId="7C919D54"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A</w:t>
            </w:r>
          </w:p>
        </w:tc>
        <w:tc>
          <w:tcPr>
            <w:tcW w:w="1074" w:type="pct"/>
            <w:tcBorders>
              <w:top w:val="single" w:sz="8" w:space="0" w:color="auto"/>
              <w:left w:val="nil"/>
              <w:bottom w:val="nil"/>
              <w:right w:val="nil"/>
            </w:tcBorders>
            <w:noWrap/>
            <w:vAlign w:val="center"/>
            <w:hideMark/>
          </w:tcPr>
          <w:p w14:paraId="794D991F"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33</w:t>
            </w:r>
          </w:p>
        </w:tc>
        <w:tc>
          <w:tcPr>
            <w:tcW w:w="1074" w:type="pct"/>
            <w:tcBorders>
              <w:top w:val="single" w:sz="8" w:space="0" w:color="auto"/>
              <w:left w:val="nil"/>
              <w:bottom w:val="nil"/>
              <w:right w:val="nil"/>
            </w:tcBorders>
            <w:vAlign w:val="center"/>
            <w:hideMark/>
          </w:tcPr>
          <w:p w14:paraId="30F832F9"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22.00</w:t>
            </w:r>
          </w:p>
        </w:tc>
        <w:tc>
          <w:tcPr>
            <w:tcW w:w="1074" w:type="pct"/>
            <w:tcBorders>
              <w:top w:val="single" w:sz="8" w:space="0" w:color="auto"/>
              <w:left w:val="nil"/>
              <w:bottom w:val="nil"/>
              <w:right w:val="nil"/>
            </w:tcBorders>
            <w:noWrap/>
            <w:vAlign w:val="center"/>
            <w:hideMark/>
          </w:tcPr>
          <w:p w14:paraId="3CC845E9"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0</w:t>
            </w:r>
          </w:p>
        </w:tc>
        <w:tc>
          <w:tcPr>
            <w:tcW w:w="1074" w:type="pct"/>
            <w:tcBorders>
              <w:top w:val="single" w:sz="8" w:space="0" w:color="auto"/>
              <w:left w:val="nil"/>
              <w:bottom w:val="nil"/>
              <w:right w:val="nil"/>
            </w:tcBorders>
            <w:vAlign w:val="center"/>
            <w:hideMark/>
          </w:tcPr>
          <w:p w14:paraId="6A2ED21C"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0.00</w:t>
            </w:r>
          </w:p>
        </w:tc>
      </w:tr>
      <w:tr w:rsidR="00DE015C" w:rsidRPr="00DE015C" w14:paraId="6BE78F09" w14:textId="77777777" w:rsidTr="008F3E20">
        <w:trPr>
          <w:trHeight w:val="283"/>
        </w:trPr>
        <w:tc>
          <w:tcPr>
            <w:tcW w:w="705" w:type="pct"/>
            <w:noWrap/>
            <w:vAlign w:val="center"/>
            <w:hideMark/>
          </w:tcPr>
          <w:p w14:paraId="195A1A28"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B</w:t>
            </w:r>
          </w:p>
        </w:tc>
        <w:tc>
          <w:tcPr>
            <w:tcW w:w="1074" w:type="pct"/>
            <w:noWrap/>
            <w:vAlign w:val="center"/>
            <w:hideMark/>
          </w:tcPr>
          <w:p w14:paraId="30AA2DE6"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38</w:t>
            </w:r>
          </w:p>
        </w:tc>
        <w:tc>
          <w:tcPr>
            <w:tcW w:w="1074" w:type="pct"/>
            <w:vAlign w:val="center"/>
            <w:hideMark/>
          </w:tcPr>
          <w:p w14:paraId="0BAFA155" w14:textId="640BE39F" w:rsidR="00DE015C" w:rsidRPr="00DE015C" w:rsidRDefault="00DE015C" w:rsidP="00DE015C">
            <w:pPr>
              <w:jc w:val="center"/>
              <w:rPr>
                <w:rFonts w:ascii="Arial" w:eastAsia="Times New Roman" w:hAnsi="Arial" w:cs="Arial"/>
                <w:color w:val="000000"/>
                <w:sz w:val="20"/>
                <w:szCs w:val="20"/>
                <w:lang w:val="bs-Latn-BA" w:eastAsia="bs-Latn-BA"/>
              </w:rPr>
            </w:pPr>
            <w:r w:rsidRPr="00070946">
              <w:rPr>
                <w:rFonts w:ascii="Arial" w:eastAsia="Times New Roman" w:hAnsi="Arial" w:cs="Arial"/>
                <w:color w:val="000000"/>
                <w:sz w:val="20"/>
                <w:szCs w:val="20"/>
                <w:lang w:val="bs-Latn-BA" w:eastAsia="bs-Latn-BA"/>
              </w:rPr>
              <w:t>25</w:t>
            </w:r>
            <w:r w:rsidR="00E5142C" w:rsidRPr="00070946">
              <w:rPr>
                <w:rFonts w:ascii="Arial" w:eastAsia="Times New Roman" w:hAnsi="Arial" w:cs="Arial"/>
                <w:color w:val="000000"/>
                <w:sz w:val="20"/>
                <w:szCs w:val="20"/>
                <w:lang w:val="bs-Latn-BA" w:eastAsia="bs-Latn-BA"/>
              </w:rPr>
              <w:t>.</w:t>
            </w:r>
            <w:r w:rsidRPr="00070946">
              <w:rPr>
                <w:rFonts w:ascii="Arial" w:eastAsia="Times New Roman" w:hAnsi="Arial" w:cs="Arial"/>
                <w:color w:val="000000"/>
                <w:sz w:val="20"/>
                <w:szCs w:val="20"/>
                <w:lang w:val="bs-Latn-BA" w:eastAsia="bs-Latn-BA"/>
              </w:rPr>
              <w:t>33</w:t>
            </w:r>
          </w:p>
        </w:tc>
        <w:tc>
          <w:tcPr>
            <w:tcW w:w="1074" w:type="pct"/>
            <w:noWrap/>
            <w:vAlign w:val="center"/>
            <w:hideMark/>
          </w:tcPr>
          <w:p w14:paraId="6BCCE602"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2</w:t>
            </w:r>
          </w:p>
        </w:tc>
        <w:tc>
          <w:tcPr>
            <w:tcW w:w="1074" w:type="pct"/>
            <w:vAlign w:val="center"/>
            <w:hideMark/>
          </w:tcPr>
          <w:p w14:paraId="2EA0DA68"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1.33</w:t>
            </w:r>
          </w:p>
        </w:tc>
      </w:tr>
      <w:tr w:rsidR="00DE015C" w:rsidRPr="00DE015C" w14:paraId="42125CFD" w14:textId="77777777" w:rsidTr="008F3E20">
        <w:trPr>
          <w:trHeight w:val="283"/>
        </w:trPr>
        <w:tc>
          <w:tcPr>
            <w:tcW w:w="705" w:type="pct"/>
            <w:noWrap/>
            <w:vAlign w:val="center"/>
            <w:hideMark/>
          </w:tcPr>
          <w:p w14:paraId="2D674282"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C</w:t>
            </w:r>
          </w:p>
        </w:tc>
        <w:tc>
          <w:tcPr>
            <w:tcW w:w="1074" w:type="pct"/>
            <w:noWrap/>
            <w:vAlign w:val="center"/>
            <w:hideMark/>
          </w:tcPr>
          <w:p w14:paraId="6D6F40FA"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2</w:t>
            </w:r>
          </w:p>
        </w:tc>
        <w:tc>
          <w:tcPr>
            <w:tcW w:w="1074" w:type="pct"/>
            <w:vAlign w:val="center"/>
            <w:hideMark/>
          </w:tcPr>
          <w:p w14:paraId="601CA929"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1.33</w:t>
            </w:r>
          </w:p>
        </w:tc>
        <w:tc>
          <w:tcPr>
            <w:tcW w:w="1074" w:type="pct"/>
            <w:noWrap/>
            <w:vAlign w:val="center"/>
            <w:hideMark/>
          </w:tcPr>
          <w:p w14:paraId="46926AED"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42</w:t>
            </w:r>
          </w:p>
        </w:tc>
        <w:tc>
          <w:tcPr>
            <w:tcW w:w="1074" w:type="pct"/>
            <w:vAlign w:val="center"/>
            <w:hideMark/>
          </w:tcPr>
          <w:p w14:paraId="7A1CE88D"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28.00</w:t>
            </w:r>
          </w:p>
        </w:tc>
      </w:tr>
      <w:tr w:rsidR="00DE015C" w:rsidRPr="00DE015C" w14:paraId="2FDA8D28" w14:textId="77777777" w:rsidTr="008F3E20">
        <w:trPr>
          <w:trHeight w:val="283"/>
        </w:trPr>
        <w:tc>
          <w:tcPr>
            <w:tcW w:w="705" w:type="pct"/>
            <w:noWrap/>
            <w:vAlign w:val="center"/>
            <w:hideMark/>
          </w:tcPr>
          <w:p w14:paraId="558621D0"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D</w:t>
            </w:r>
          </w:p>
        </w:tc>
        <w:tc>
          <w:tcPr>
            <w:tcW w:w="1074" w:type="pct"/>
            <w:noWrap/>
            <w:vAlign w:val="center"/>
            <w:hideMark/>
          </w:tcPr>
          <w:p w14:paraId="15CC027B"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0</w:t>
            </w:r>
          </w:p>
        </w:tc>
        <w:tc>
          <w:tcPr>
            <w:tcW w:w="1074" w:type="pct"/>
            <w:vAlign w:val="center"/>
            <w:hideMark/>
          </w:tcPr>
          <w:p w14:paraId="4E87DAF6"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0.00</w:t>
            </w:r>
          </w:p>
        </w:tc>
        <w:tc>
          <w:tcPr>
            <w:tcW w:w="1074" w:type="pct"/>
            <w:noWrap/>
            <w:vAlign w:val="center"/>
            <w:hideMark/>
          </w:tcPr>
          <w:p w14:paraId="4CE7E4A3"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33</w:t>
            </w:r>
          </w:p>
        </w:tc>
        <w:tc>
          <w:tcPr>
            <w:tcW w:w="1074" w:type="pct"/>
            <w:vAlign w:val="center"/>
            <w:hideMark/>
          </w:tcPr>
          <w:p w14:paraId="773B0FD0"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22.00</w:t>
            </w:r>
          </w:p>
        </w:tc>
      </w:tr>
      <w:tr w:rsidR="00DE015C" w:rsidRPr="00DE015C" w14:paraId="2F8C057F" w14:textId="77777777" w:rsidTr="008F3E20">
        <w:trPr>
          <w:trHeight w:val="283"/>
        </w:trPr>
        <w:tc>
          <w:tcPr>
            <w:tcW w:w="705" w:type="pct"/>
            <w:noWrap/>
            <w:vAlign w:val="center"/>
            <w:hideMark/>
          </w:tcPr>
          <w:p w14:paraId="6E661544"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Control</w:t>
            </w:r>
          </w:p>
        </w:tc>
        <w:tc>
          <w:tcPr>
            <w:tcW w:w="1074" w:type="pct"/>
            <w:noWrap/>
            <w:vAlign w:val="center"/>
            <w:hideMark/>
          </w:tcPr>
          <w:p w14:paraId="5D4AB475"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50</w:t>
            </w:r>
          </w:p>
        </w:tc>
        <w:tc>
          <w:tcPr>
            <w:tcW w:w="1074" w:type="pct"/>
            <w:vAlign w:val="center"/>
            <w:hideMark/>
          </w:tcPr>
          <w:p w14:paraId="15F9D5EE"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100.00</w:t>
            </w:r>
          </w:p>
        </w:tc>
        <w:tc>
          <w:tcPr>
            <w:tcW w:w="1074" w:type="pct"/>
            <w:noWrap/>
            <w:vAlign w:val="center"/>
          </w:tcPr>
          <w:p w14:paraId="2C90D4BE" w14:textId="77777777" w:rsidR="00DE015C" w:rsidRPr="00DE015C" w:rsidRDefault="00DE015C" w:rsidP="00DE015C">
            <w:pPr>
              <w:jc w:val="center"/>
              <w:rPr>
                <w:rFonts w:ascii="Arial" w:eastAsia="Times New Roman" w:hAnsi="Arial" w:cs="Arial"/>
                <w:color w:val="000000"/>
                <w:sz w:val="20"/>
                <w:szCs w:val="20"/>
                <w:lang w:val="bs-Latn-BA" w:eastAsia="bs-Latn-BA"/>
              </w:rPr>
            </w:pPr>
          </w:p>
        </w:tc>
        <w:tc>
          <w:tcPr>
            <w:tcW w:w="1074" w:type="pct"/>
            <w:vAlign w:val="center"/>
          </w:tcPr>
          <w:p w14:paraId="4B3E493A" w14:textId="77777777" w:rsidR="00DE015C" w:rsidRPr="00DE015C" w:rsidRDefault="00DE015C" w:rsidP="00DE015C">
            <w:pPr>
              <w:jc w:val="center"/>
              <w:rPr>
                <w:rFonts w:ascii="Arial" w:eastAsia="Times New Roman" w:hAnsi="Arial" w:cs="Arial"/>
                <w:color w:val="000000"/>
                <w:sz w:val="20"/>
                <w:szCs w:val="20"/>
                <w:lang w:val="bs-Latn-BA" w:eastAsia="bs-Latn-BA"/>
              </w:rPr>
            </w:pPr>
          </w:p>
        </w:tc>
      </w:tr>
      <w:tr w:rsidR="00DE015C" w:rsidRPr="00DE015C" w14:paraId="3936909B" w14:textId="77777777" w:rsidTr="008F3E20">
        <w:trPr>
          <w:trHeight w:val="283"/>
        </w:trPr>
        <w:tc>
          <w:tcPr>
            <w:tcW w:w="705" w:type="pct"/>
            <w:tcBorders>
              <w:top w:val="nil"/>
              <w:left w:val="nil"/>
              <w:bottom w:val="single" w:sz="8" w:space="0" w:color="auto"/>
              <w:right w:val="nil"/>
            </w:tcBorders>
            <w:noWrap/>
            <w:vAlign w:val="center"/>
            <w:hideMark/>
          </w:tcPr>
          <w:p w14:paraId="29BBA14B"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Total</w:t>
            </w:r>
          </w:p>
        </w:tc>
        <w:tc>
          <w:tcPr>
            <w:tcW w:w="1074" w:type="pct"/>
            <w:tcBorders>
              <w:top w:val="nil"/>
              <w:left w:val="nil"/>
              <w:bottom w:val="single" w:sz="8" w:space="0" w:color="auto"/>
              <w:right w:val="nil"/>
            </w:tcBorders>
            <w:noWrap/>
            <w:vAlign w:val="center"/>
            <w:hideMark/>
          </w:tcPr>
          <w:p w14:paraId="1E279104"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123</w:t>
            </w:r>
          </w:p>
        </w:tc>
        <w:tc>
          <w:tcPr>
            <w:tcW w:w="1074" w:type="pct"/>
            <w:tcBorders>
              <w:top w:val="nil"/>
              <w:left w:val="nil"/>
              <w:bottom w:val="single" w:sz="8" w:space="0" w:color="auto"/>
              <w:right w:val="nil"/>
            </w:tcBorders>
            <w:vAlign w:val="center"/>
            <w:hideMark/>
          </w:tcPr>
          <w:p w14:paraId="6EF306F7"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48.67</w:t>
            </w:r>
          </w:p>
        </w:tc>
        <w:tc>
          <w:tcPr>
            <w:tcW w:w="1074" w:type="pct"/>
            <w:tcBorders>
              <w:top w:val="nil"/>
              <w:left w:val="nil"/>
              <w:bottom w:val="single" w:sz="8" w:space="0" w:color="auto"/>
              <w:right w:val="nil"/>
            </w:tcBorders>
            <w:noWrap/>
            <w:vAlign w:val="center"/>
            <w:hideMark/>
          </w:tcPr>
          <w:p w14:paraId="7C5F1AA0"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77</w:t>
            </w:r>
          </w:p>
        </w:tc>
        <w:tc>
          <w:tcPr>
            <w:tcW w:w="1074" w:type="pct"/>
            <w:tcBorders>
              <w:top w:val="nil"/>
              <w:left w:val="nil"/>
              <w:bottom w:val="single" w:sz="8" w:space="0" w:color="auto"/>
              <w:right w:val="nil"/>
            </w:tcBorders>
            <w:vAlign w:val="center"/>
            <w:hideMark/>
          </w:tcPr>
          <w:p w14:paraId="678D77B7"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51.33</w:t>
            </w:r>
          </w:p>
        </w:tc>
      </w:tr>
    </w:tbl>
    <w:p w14:paraId="7D565E13" w14:textId="77777777" w:rsidR="00DE015C" w:rsidRPr="00DE015C" w:rsidRDefault="00DE015C" w:rsidP="00DE015C">
      <w:pPr>
        <w:tabs>
          <w:tab w:val="left" w:pos="1052"/>
        </w:tabs>
        <w:rPr>
          <w:rFonts w:ascii="Arial" w:eastAsiaTheme="minorEastAsia" w:hAnsi="Arial" w:cs="Arial"/>
        </w:rPr>
      </w:pPr>
    </w:p>
    <w:p w14:paraId="756401F3" w14:textId="77777777" w:rsidR="00DE015C" w:rsidRPr="00DE015C" w:rsidRDefault="00DE015C" w:rsidP="00DE015C">
      <w:pPr>
        <w:tabs>
          <w:tab w:val="left" w:pos="1052"/>
        </w:tabs>
        <w:jc w:val="both"/>
        <w:rPr>
          <w:rFonts w:ascii="Arial" w:hAnsi="Arial" w:cs="Arial"/>
        </w:rPr>
      </w:pPr>
      <w:r w:rsidRPr="00DE015C">
        <w:rPr>
          <w:rFonts w:ascii="Arial" w:hAnsi="Arial" w:cs="Arial"/>
        </w:rPr>
        <w:t xml:space="preserve">Table 3 shows the work ability of participants with COPD and the control group. In the group of patients with COPD at different stages, the decreased work ability was most pronounced in patients at stage C (n =42) and D (n = 33), whereas we had no patients whose work ability </w:t>
      </w:r>
      <w:r w:rsidRPr="00DE015C">
        <w:rPr>
          <w:rFonts w:ascii="Arial" w:hAnsi="Arial" w:cs="Arial"/>
        </w:rPr>
        <w:lastRenderedPageBreak/>
        <w:t xml:space="preserve">was decreased at stage A. In terms of preserved work capacity, most patients were stage </w:t>
      </w:r>
      <w:proofErr w:type="gramStart"/>
      <w:r w:rsidRPr="00DE015C">
        <w:rPr>
          <w:rFonts w:ascii="Arial" w:hAnsi="Arial" w:cs="Arial"/>
        </w:rPr>
        <w:t>A ,</w:t>
      </w:r>
      <w:proofErr w:type="gramEnd"/>
      <w:r w:rsidRPr="00DE015C">
        <w:rPr>
          <w:rFonts w:ascii="Arial" w:hAnsi="Arial" w:cs="Arial"/>
        </w:rPr>
        <w:t xml:space="preserve"> while there were no patients with preserved work capacity at stage D. In the control group, the ability to work was 100%.</w:t>
      </w:r>
    </w:p>
    <w:p w14:paraId="428B1DC6" w14:textId="77777777" w:rsidR="00DE015C" w:rsidRDefault="00DE015C" w:rsidP="00DE015C">
      <w:pPr>
        <w:pStyle w:val="BodyTextIntechOpen"/>
        <w:spacing w:line="276" w:lineRule="auto"/>
        <w:ind w:firstLine="0"/>
        <w:rPr>
          <w:rFonts w:ascii="Times New Roman" w:eastAsiaTheme="minorEastAsia" w:hAnsi="Times New Roman"/>
          <w:sz w:val="24"/>
          <w:szCs w:val="24"/>
        </w:rPr>
      </w:pPr>
    </w:p>
    <w:p w14:paraId="370F9224" w14:textId="5D89A2A2" w:rsidR="00DE015C" w:rsidRPr="008F3E20" w:rsidRDefault="008F3E20" w:rsidP="00DE015C">
      <w:pPr>
        <w:jc w:val="both"/>
        <w:rPr>
          <w:rFonts w:ascii="Arial" w:hAnsi="Arial" w:cs="Arial"/>
          <w:b/>
          <w:bCs/>
          <w:sz w:val="22"/>
          <w:szCs w:val="22"/>
          <w:lang w:val="bs-Latn-BA"/>
        </w:rPr>
      </w:pPr>
      <w:r w:rsidRPr="008F3E20">
        <w:rPr>
          <w:rFonts w:ascii="Arial" w:hAnsi="Arial" w:cs="Arial"/>
          <w:b/>
          <w:bCs/>
          <w:sz w:val="22"/>
          <w:szCs w:val="22"/>
          <w:lang w:val="bs-Latn-BA"/>
        </w:rPr>
        <w:t>4. DISCUSSION</w:t>
      </w:r>
    </w:p>
    <w:p w14:paraId="228413C3" w14:textId="204E4FD3" w:rsidR="00863E2C" w:rsidRDefault="00863E2C" w:rsidP="00441B6F">
      <w:pPr>
        <w:pStyle w:val="Body"/>
        <w:spacing w:after="0"/>
        <w:rPr>
          <w:rFonts w:ascii="Arial" w:hAnsi="Arial" w:cs="Arial"/>
          <w:lang w:val="bs-Latn-BA"/>
        </w:rPr>
      </w:pPr>
    </w:p>
    <w:p w14:paraId="3F636F80" w14:textId="43F281D6" w:rsidR="008F3E20" w:rsidRPr="008F3E20" w:rsidRDefault="008F3E20" w:rsidP="008F3E20">
      <w:pPr>
        <w:pStyle w:val="Body"/>
        <w:spacing w:after="0"/>
        <w:rPr>
          <w:rFonts w:ascii="Arial" w:hAnsi="Arial" w:cs="Arial"/>
          <w:lang w:val="bs-Latn-BA"/>
        </w:rPr>
      </w:pPr>
      <w:r w:rsidRPr="008F3E20">
        <w:rPr>
          <w:rFonts w:ascii="Arial" w:hAnsi="Arial" w:cs="Arial"/>
          <w:lang w:val="bs-Latn-BA"/>
        </w:rPr>
        <w:t>A long history of smoking is known to precede the development of COPD, with the disease taking many years to fully manifest. One possible reason for this is inadequate prevention at the primary healthcare level, coupled with a lack of patient education. Many patients continue to smoke and neglect preventive personal protective measures in the workplace, especially when exposed to dust, fumes, and chemical irritants. Quitting smoking offers numerous benefits for individuals with lung disease. These include a lower risk of lung infections and worsening of their condition, a reduced likelihood of needing hospitali</w:t>
      </w:r>
      <w:r w:rsidR="000F68DD">
        <w:rPr>
          <w:rFonts w:ascii="Arial" w:hAnsi="Arial" w:cs="Arial"/>
          <w:lang w:val="bs-Latn-BA"/>
        </w:rPr>
        <w:t>s</w:t>
      </w:r>
      <w:r w:rsidRPr="008F3E20">
        <w:rPr>
          <w:rFonts w:ascii="Arial" w:hAnsi="Arial" w:cs="Arial"/>
          <w:lang w:val="bs-Latn-BA"/>
        </w:rPr>
        <w:t>ation, improved oxygen levels, and normali</w:t>
      </w:r>
      <w:r w:rsidR="000F68DD">
        <w:rPr>
          <w:rFonts w:ascii="Arial" w:hAnsi="Arial" w:cs="Arial"/>
          <w:lang w:val="bs-Latn-BA"/>
        </w:rPr>
        <w:t>s</w:t>
      </w:r>
      <w:r w:rsidRPr="008F3E20">
        <w:rPr>
          <w:rFonts w:ascii="Arial" w:hAnsi="Arial" w:cs="Arial"/>
          <w:lang w:val="bs-Latn-BA"/>
        </w:rPr>
        <w:t>ation of carbon monoxide levels. Many symptoms are alleviated, making individuals less likely to experience temporary work absences. However, the findings reveal that the ratio of smokers to ex-smokers among the respondents is unfortunately 3:1. A comparison with existing literature shows that these results align with ours. Convincing smokers to quit is challenging, as smoking is deeply ingrained in their daily habits, highly addictive, and often not perceived as something that impedes lung function or proper treatment. In the case of COPD and other lung diseases, quitting smoking is the most crucial step.</w:t>
      </w:r>
    </w:p>
    <w:p w14:paraId="64B95438" w14:textId="47FD8229" w:rsidR="008F3E20" w:rsidRPr="008F3E20" w:rsidRDefault="008F3E20" w:rsidP="008F3E20">
      <w:pPr>
        <w:pStyle w:val="Body"/>
        <w:spacing w:after="0"/>
        <w:rPr>
          <w:rFonts w:ascii="Arial" w:hAnsi="Arial" w:cs="Arial"/>
          <w:lang w:val="bs-Latn-BA"/>
        </w:rPr>
      </w:pPr>
      <w:r w:rsidRPr="008F3E20">
        <w:rPr>
          <w:rFonts w:ascii="Arial" w:hAnsi="Arial" w:cs="Arial"/>
          <w:lang w:val="bs-Latn-BA"/>
        </w:rPr>
        <w:t>Numerous studies have shown that, in addition to smoking, long-term exposure to polluted air in the workplace is linked to an increased incidence of COPD. These work environments typically involve special working conditions. In a group of 150 patients, the following occupations were included: plumber, car mechanic, painter, police officer, gunsmith, gas station attendant, craftsman, cook, farmer, bricklayer, warehouse worker, hairdresser, cleaner, lathe operator, locksmith, shoemaker, mail carrier, operator, educator, programmer, social worker, physiotherapist, market vendor, security guard, sanitation technician, driver, speech therapist, cashier, architect, and untrained construction worker. These jobs are characteri</w:t>
      </w:r>
      <w:r w:rsidR="000F68DD">
        <w:rPr>
          <w:rFonts w:ascii="Arial" w:hAnsi="Arial" w:cs="Arial"/>
          <w:lang w:val="bs-Latn-BA"/>
        </w:rPr>
        <w:t>s</w:t>
      </w:r>
      <w:r w:rsidRPr="008F3E20">
        <w:rPr>
          <w:rFonts w:ascii="Arial" w:hAnsi="Arial" w:cs="Arial"/>
          <w:lang w:val="bs-Latn-BA"/>
        </w:rPr>
        <w:t>ed by specific working conditions where employees are exposed to various health hazards.</w:t>
      </w:r>
    </w:p>
    <w:p w14:paraId="34E0D690" w14:textId="2DF5C69F" w:rsidR="008F3E20" w:rsidRPr="008F3E20" w:rsidRDefault="008F3E20" w:rsidP="008F3E20">
      <w:pPr>
        <w:pStyle w:val="Body"/>
        <w:spacing w:after="0"/>
        <w:rPr>
          <w:rFonts w:ascii="Arial" w:hAnsi="Arial" w:cs="Arial"/>
          <w:lang w:val="bs-Latn-BA"/>
        </w:rPr>
      </w:pPr>
      <w:r w:rsidRPr="008F3E20">
        <w:rPr>
          <w:rFonts w:ascii="Arial" w:hAnsi="Arial" w:cs="Arial"/>
          <w:lang w:val="bs-Latn-BA"/>
        </w:rPr>
        <w:t xml:space="preserve">COPD is currently the only chronic disease experiencing a significant rise in both morbidity and mortality, with projections indicating further increases in its incidence over the next 20 years. This will likely lead to reduced work capacity and extended absences. As a result, it is crucial to implement timely preventive measures and establish guidelines for smoking cessation at the primary healthcare level. Kuhajda's dissertation </w:t>
      </w:r>
      <w:r>
        <w:rPr>
          <w:rFonts w:ascii="Arial" w:hAnsi="Arial" w:cs="Arial"/>
          <w:lang w:val="bs-Latn-BA"/>
        </w:rPr>
        <w:t>[</w:t>
      </w:r>
      <w:r w:rsidRPr="008F3E20">
        <w:rPr>
          <w:rFonts w:ascii="Arial" w:hAnsi="Arial" w:cs="Arial"/>
          <w:lang w:val="bs-Latn-BA"/>
        </w:rPr>
        <w:t>13</w:t>
      </w:r>
      <w:r>
        <w:rPr>
          <w:rFonts w:ascii="Arial" w:hAnsi="Arial" w:cs="Arial"/>
          <w:lang w:val="bs-Latn-BA"/>
        </w:rPr>
        <w:t>]</w:t>
      </w:r>
      <w:r w:rsidRPr="008F3E20">
        <w:rPr>
          <w:rFonts w:ascii="Arial" w:hAnsi="Arial" w:cs="Arial"/>
          <w:lang w:val="bs-Latn-BA"/>
        </w:rPr>
        <w:t>, "Risk Factors Affecting the Outcome of Respiratory Rehabilitation in COPD Patients," found that rehabilitation outcomes were excellent in 77.3% of patients who had the disease for less than 10 years.</w:t>
      </w:r>
    </w:p>
    <w:p w14:paraId="30943392" w14:textId="77777777" w:rsidR="008F3E20" w:rsidRPr="008F3E20" w:rsidRDefault="008F3E20" w:rsidP="008F3E20">
      <w:pPr>
        <w:pStyle w:val="Body"/>
        <w:spacing w:after="0"/>
        <w:rPr>
          <w:rFonts w:ascii="Arial" w:hAnsi="Arial" w:cs="Arial"/>
          <w:lang w:val="bs-Latn-BA"/>
        </w:rPr>
      </w:pPr>
      <w:r w:rsidRPr="008F3E20">
        <w:rPr>
          <w:rFonts w:ascii="Arial" w:hAnsi="Arial" w:cs="Arial"/>
          <w:lang w:val="bs-Latn-BA"/>
        </w:rPr>
        <w:t>In respondents with limited work capacity, the duration of COPD was 31.83 ± 8.79 years, compared to 19.75 ± 10.35 years in those with preserved work capacity. Concerning disease severity, work capacity was limited in 51.33% of cases and preserved in 48.67%. Unfortunately, we could not find data from other studies on work capacity in relation to the duration and severity of COPD.</w:t>
      </w:r>
    </w:p>
    <w:p w14:paraId="408B3909" w14:textId="21B3DC36" w:rsidR="008F3E20" w:rsidRPr="008F3E20" w:rsidRDefault="008F3E20" w:rsidP="008F3E20">
      <w:pPr>
        <w:pStyle w:val="Body"/>
        <w:spacing w:after="0"/>
        <w:rPr>
          <w:rFonts w:ascii="Arial" w:hAnsi="Arial" w:cs="Arial"/>
          <w:lang w:val="bs-Latn-BA"/>
        </w:rPr>
      </w:pPr>
      <w:r w:rsidRPr="008F3E20">
        <w:rPr>
          <w:rFonts w:ascii="Arial" w:hAnsi="Arial" w:cs="Arial"/>
          <w:lang w:val="bs-Latn-BA"/>
        </w:rPr>
        <w:t xml:space="preserve">Our results indicate that subjects in stage D had the lowest FVC and FEV1 values, with a mean FVC of 44.50% and a mean FEV1 of 38.82%. These findings are consistent with those of other studies. Škrbić reported an FEV1 value of 1.43 L in COPD patients </w:t>
      </w:r>
      <w:r>
        <w:rPr>
          <w:rFonts w:ascii="Arial" w:hAnsi="Arial" w:cs="Arial"/>
          <w:lang w:val="bs-Latn-BA"/>
        </w:rPr>
        <w:t>[</w:t>
      </w:r>
      <w:r w:rsidRPr="008F3E20">
        <w:rPr>
          <w:rFonts w:ascii="Arial" w:hAnsi="Arial" w:cs="Arial"/>
          <w:lang w:val="bs-Latn-BA"/>
        </w:rPr>
        <w:t>14</w:t>
      </w:r>
      <w:r>
        <w:rPr>
          <w:rFonts w:ascii="Arial" w:hAnsi="Arial" w:cs="Arial"/>
          <w:lang w:val="bs-Latn-BA"/>
        </w:rPr>
        <w:t>]</w:t>
      </w:r>
      <w:r w:rsidRPr="008F3E20">
        <w:rPr>
          <w:rFonts w:ascii="Arial" w:hAnsi="Arial" w:cs="Arial"/>
          <w:lang w:val="bs-Latn-BA"/>
        </w:rPr>
        <w:t xml:space="preserve">, while Fernández-Villar reported a mean value of 40.30% </w:t>
      </w:r>
      <w:r>
        <w:rPr>
          <w:rFonts w:ascii="Arial" w:hAnsi="Arial" w:cs="Arial"/>
          <w:lang w:val="bs-Latn-BA"/>
        </w:rPr>
        <w:t>[</w:t>
      </w:r>
      <w:r w:rsidRPr="008F3E20">
        <w:rPr>
          <w:rFonts w:ascii="Arial" w:hAnsi="Arial" w:cs="Arial"/>
          <w:lang w:val="bs-Latn-BA"/>
        </w:rPr>
        <w:t>15</w:t>
      </w:r>
      <w:r>
        <w:rPr>
          <w:rFonts w:ascii="Arial" w:hAnsi="Arial" w:cs="Arial"/>
          <w:lang w:val="bs-Latn-BA"/>
        </w:rPr>
        <w:t>]</w:t>
      </w:r>
      <w:r w:rsidRPr="008F3E20">
        <w:rPr>
          <w:rFonts w:ascii="Arial" w:hAnsi="Arial" w:cs="Arial"/>
          <w:lang w:val="bs-Latn-BA"/>
        </w:rPr>
        <w:t>.</w:t>
      </w:r>
    </w:p>
    <w:p w14:paraId="3817F5AC" w14:textId="08BF65E6" w:rsidR="008F3E20" w:rsidRPr="008F3E20" w:rsidRDefault="008F3E20" w:rsidP="008F3E20">
      <w:pPr>
        <w:pStyle w:val="Body"/>
        <w:spacing w:after="0"/>
        <w:rPr>
          <w:rFonts w:ascii="Arial" w:hAnsi="Arial" w:cs="Arial"/>
          <w:lang w:val="bs-Latn-BA"/>
        </w:rPr>
      </w:pPr>
      <w:r w:rsidRPr="008F3E20">
        <w:rPr>
          <w:rFonts w:ascii="Arial" w:hAnsi="Arial" w:cs="Arial"/>
          <w:lang w:val="bs-Latn-BA"/>
        </w:rPr>
        <w:t xml:space="preserve">The symptoms of COPD vary depending on the stage of the disease. Chronic cough is typically the first symptom, initially appearing occasionally in the morning and later becoming a daily occurrence. The cough is usually mild at first and often mistaken for a "normal" smoker's cough, although it is not. During infections, the cough becomes more pronounced and is accompanied by the expectoration of yellow or green secretions </w:t>
      </w:r>
      <w:r>
        <w:rPr>
          <w:rFonts w:ascii="Arial" w:hAnsi="Arial" w:cs="Arial"/>
          <w:lang w:val="bs-Latn-BA"/>
        </w:rPr>
        <w:t>[</w:t>
      </w:r>
      <w:r w:rsidRPr="008F3E20">
        <w:rPr>
          <w:rFonts w:ascii="Arial" w:hAnsi="Arial" w:cs="Arial"/>
          <w:lang w:val="bs-Latn-BA"/>
        </w:rPr>
        <w:t>16,17</w:t>
      </w:r>
      <w:r>
        <w:rPr>
          <w:rFonts w:ascii="Arial" w:hAnsi="Arial" w:cs="Arial"/>
          <w:lang w:val="bs-Latn-BA"/>
        </w:rPr>
        <w:t>]</w:t>
      </w:r>
      <w:r w:rsidRPr="008F3E20">
        <w:rPr>
          <w:rFonts w:ascii="Arial" w:hAnsi="Arial" w:cs="Arial"/>
          <w:lang w:val="bs-Latn-BA"/>
        </w:rPr>
        <w:t xml:space="preserve">. Dyspnea, or shortness of breath, is another key symptom. Similar to cough, dyspnea is linked to fatigue </w:t>
      </w:r>
      <w:r w:rsidRPr="008F3E20">
        <w:rPr>
          <w:rFonts w:ascii="Arial" w:hAnsi="Arial" w:cs="Arial"/>
          <w:lang w:val="bs-Latn-BA"/>
        </w:rPr>
        <w:lastRenderedPageBreak/>
        <w:t>and reduced mobility, which limits work capacity. In advanced stages of the disease, dyspnea may even occur at rest, accompanied by a sensation of chest tightness and difficulty breathing.</w:t>
      </w:r>
    </w:p>
    <w:p w14:paraId="0A389470" w14:textId="77777777" w:rsidR="008F3E20" w:rsidRPr="008F3E20" w:rsidRDefault="008F3E20" w:rsidP="008F3E20">
      <w:pPr>
        <w:pStyle w:val="Body"/>
        <w:spacing w:after="0"/>
        <w:rPr>
          <w:rFonts w:ascii="Arial" w:hAnsi="Arial" w:cs="Arial"/>
          <w:lang w:val="bs-Latn-BA"/>
        </w:rPr>
      </w:pPr>
      <w:r w:rsidRPr="008F3E20">
        <w:rPr>
          <w:rFonts w:ascii="Arial" w:hAnsi="Arial" w:cs="Arial"/>
          <w:lang w:val="bs-Latn-BA"/>
        </w:rPr>
        <w:t>An analysis of COPD symptom frequency revealed that cough was the most common symptom, affecting 137 subjects. Fatigue was reported by 59 subjects, followed by shortness of breath (42 subjects), expectoration (37 subjects), and chest pressure (34 subjects). Other symptoms, including sweating, insomnia, choking, and additional cases of dyspnea and shortness of breath, were reported by a smaller number of patients.</w:t>
      </w:r>
    </w:p>
    <w:p w14:paraId="37A35512" w14:textId="63774505" w:rsidR="008F3E20" w:rsidRPr="008F3E20" w:rsidRDefault="008F3E20" w:rsidP="008F3E20">
      <w:pPr>
        <w:pStyle w:val="Body"/>
        <w:spacing w:after="0"/>
        <w:rPr>
          <w:rFonts w:ascii="Arial" w:hAnsi="Arial" w:cs="Arial"/>
          <w:lang w:val="bs-Latn-BA"/>
        </w:rPr>
      </w:pPr>
      <w:r w:rsidRPr="008F3E20">
        <w:rPr>
          <w:rFonts w:ascii="Arial" w:hAnsi="Arial" w:cs="Arial"/>
          <w:lang w:val="bs-Latn-BA"/>
        </w:rPr>
        <w:t xml:space="preserve">If we compare the patients' ability to work and their difficulties, we arrive at the number of 75 patients who have limited ability to work and whose main symptom is cough. A total of 52 patients with the same symptom have preserved </w:t>
      </w:r>
      <w:r w:rsidR="000F68DD">
        <w:rPr>
          <w:rFonts w:ascii="Arial" w:hAnsi="Arial" w:cs="Arial"/>
          <w:lang w:val="bs-Latn-BA"/>
        </w:rPr>
        <w:t xml:space="preserve">the </w:t>
      </w:r>
      <w:r w:rsidRPr="008F3E20">
        <w:rPr>
          <w:rFonts w:ascii="Arial" w:hAnsi="Arial" w:cs="Arial"/>
          <w:lang w:val="bs-Latn-BA"/>
        </w:rPr>
        <w:t>ability to work. All primary symptoms were most prevalent among patients with limited work capacity. As previously noted, the majority of these patients were employed in occupations with special working conditions, where they were exposed to workplace pollutants. This exposure contributed to increased bronchial secretion, resulting in a persistent cough. These factors collectively led to more frequent disease exacerbations, resulting in temporary work incapacity and, ultimately, reduced overall work ability.</w:t>
      </w:r>
    </w:p>
    <w:p w14:paraId="775926C5" w14:textId="210A1C92" w:rsidR="008F3E20" w:rsidRPr="0092486A" w:rsidRDefault="008F3E20" w:rsidP="008F3E20">
      <w:pPr>
        <w:pStyle w:val="Body"/>
        <w:spacing w:after="0"/>
        <w:rPr>
          <w:rFonts w:ascii="Arial" w:hAnsi="Arial" w:cs="Arial"/>
          <w:lang w:val="bs-Latn-BA"/>
        </w:rPr>
      </w:pPr>
      <w:r w:rsidRPr="008F3E20">
        <w:rPr>
          <w:rFonts w:ascii="Arial" w:hAnsi="Arial" w:cs="Arial"/>
          <w:lang w:val="bs-Latn-BA"/>
        </w:rPr>
        <w:t>This study also analysed the ability to work. Our results show that in the group of smokers</w:t>
      </w:r>
      <w:r w:rsidR="000F68DD">
        <w:rPr>
          <w:rFonts w:ascii="Arial" w:hAnsi="Arial" w:cs="Arial"/>
          <w:lang w:val="bs-Latn-BA"/>
        </w:rPr>
        <w:t>,</w:t>
      </w:r>
      <w:r w:rsidRPr="008F3E20">
        <w:rPr>
          <w:rFonts w:ascii="Arial" w:hAnsi="Arial" w:cs="Arial"/>
          <w:lang w:val="bs-Latn-BA"/>
        </w:rPr>
        <w:t xml:space="preserve"> there are the same number of patients with preserved and decreased work abilityAmong the group of ex-smokers, work capacity was reduced in 23 individuals and preserved in 19. The subjects' medical history data revealed that they had to stop smoking when COPD was detected</w:t>
      </w:r>
      <w:r w:rsidR="000F68DD">
        <w:rPr>
          <w:rFonts w:ascii="Arial" w:hAnsi="Arial" w:cs="Arial"/>
          <w:lang w:val="bs-Latn-BA"/>
        </w:rPr>
        <w:t>,</w:t>
      </w:r>
      <w:r w:rsidRPr="008F3E20">
        <w:rPr>
          <w:rFonts w:ascii="Arial" w:hAnsi="Arial" w:cs="Arial"/>
          <w:lang w:val="bs-Latn-BA"/>
        </w:rPr>
        <w:t xml:space="preserve"> and </w:t>
      </w:r>
      <w:r w:rsidR="000F68DD">
        <w:rPr>
          <w:rFonts w:ascii="Arial" w:hAnsi="Arial" w:cs="Arial"/>
          <w:lang w:val="bs-Latn-BA"/>
        </w:rPr>
        <w:t xml:space="preserve">it </w:t>
      </w:r>
      <w:r w:rsidRPr="008F3E20">
        <w:rPr>
          <w:rFonts w:ascii="Arial" w:hAnsi="Arial" w:cs="Arial"/>
          <w:lang w:val="bs-Latn-BA"/>
        </w:rPr>
        <w:t xml:space="preserve">was associated with comorbidities. In the study by Okiljević et al </w:t>
      </w:r>
      <w:r>
        <w:rPr>
          <w:rFonts w:ascii="Arial" w:hAnsi="Arial" w:cs="Arial"/>
          <w:lang w:val="bs-Latn-BA"/>
        </w:rPr>
        <w:t>[</w:t>
      </w:r>
      <w:r w:rsidRPr="008F3E20">
        <w:rPr>
          <w:rFonts w:ascii="Arial" w:hAnsi="Arial" w:cs="Arial"/>
          <w:lang w:val="bs-Latn-BA"/>
        </w:rPr>
        <w:t>18</w:t>
      </w:r>
      <w:r>
        <w:rPr>
          <w:rFonts w:ascii="Arial" w:hAnsi="Arial" w:cs="Arial"/>
          <w:lang w:val="bs-Latn-BA"/>
        </w:rPr>
        <w:t>]</w:t>
      </w:r>
      <w:r w:rsidRPr="008F3E20">
        <w:rPr>
          <w:rFonts w:ascii="Arial" w:hAnsi="Arial" w:cs="Arial"/>
          <w:lang w:val="bs-Latn-BA"/>
        </w:rPr>
        <w:t>, it was found that most workers diagnosed with COPD who were examined and assessed for work ability kept their jobs (90.00%)</w:t>
      </w:r>
      <w:r w:rsidR="000F68DD">
        <w:rPr>
          <w:rFonts w:ascii="Arial" w:hAnsi="Arial" w:cs="Arial"/>
          <w:lang w:val="bs-Latn-BA"/>
        </w:rPr>
        <w:t>,</w:t>
      </w:r>
      <w:r w:rsidRPr="008F3E20">
        <w:rPr>
          <w:rFonts w:ascii="Arial" w:hAnsi="Arial" w:cs="Arial"/>
          <w:lang w:val="bs-Latn-BA"/>
        </w:rPr>
        <w:t xml:space="preserve"> and their work ability was monitored. Monitor regular examinations within the time limits set by the occupational health physician, depending on the stage of the disease and the comorbidities present.</w:t>
      </w:r>
    </w:p>
    <w:p w14:paraId="3FF6F52F" w14:textId="77777777" w:rsidR="00790ADA" w:rsidRPr="0092486A" w:rsidRDefault="00790ADA" w:rsidP="00441B6F">
      <w:pPr>
        <w:pStyle w:val="Body"/>
        <w:spacing w:after="0"/>
        <w:rPr>
          <w:rFonts w:ascii="Arial" w:hAnsi="Arial" w:cs="Arial"/>
          <w:lang w:val="bs-Latn-BA"/>
        </w:rPr>
      </w:pPr>
    </w:p>
    <w:p w14:paraId="0028E1A6" w14:textId="2BB04FFF" w:rsidR="00B01FCD" w:rsidRPr="0092486A" w:rsidRDefault="008F3E20" w:rsidP="00441B6F">
      <w:pPr>
        <w:pStyle w:val="ConcHead"/>
        <w:spacing w:after="0"/>
        <w:jc w:val="both"/>
        <w:rPr>
          <w:rFonts w:ascii="Arial" w:hAnsi="Arial" w:cs="Arial"/>
          <w:lang w:val="bs-Latn-BA"/>
        </w:rPr>
      </w:pPr>
      <w:r>
        <w:rPr>
          <w:rFonts w:ascii="Arial" w:hAnsi="Arial" w:cs="Arial"/>
          <w:lang w:val="bs-Latn-BA"/>
        </w:rPr>
        <w:t>5</w:t>
      </w:r>
      <w:r w:rsidR="00000F8F" w:rsidRPr="0092486A">
        <w:rPr>
          <w:rFonts w:ascii="Arial" w:hAnsi="Arial" w:cs="Arial"/>
          <w:lang w:val="bs-Latn-BA"/>
        </w:rPr>
        <w:t xml:space="preserve">. </w:t>
      </w:r>
      <w:r w:rsidR="00B01FCD" w:rsidRPr="0092486A">
        <w:rPr>
          <w:rFonts w:ascii="Arial" w:hAnsi="Arial" w:cs="Arial"/>
          <w:lang w:val="bs-Latn-BA"/>
        </w:rPr>
        <w:t>Conclusion</w:t>
      </w:r>
    </w:p>
    <w:p w14:paraId="3B653B0D" w14:textId="77777777" w:rsidR="00790ADA" w:rsidRPr="0092486A" w:rsidRDefault="00790ADA" w:rsidP="00441B6F">
      <w:pPr>
        <w:pStyle w:val="ConcHead"/>
        <w:spacing w:after="0"/>
        <w:jc w:val="both"/>
        <w:rPr>
          <w:rFonts w:ascii="Arial" w:hAnsi="Arial" w:cs="Arial"/>
          <w:lang w:val="bs-Latn-BA"/>
        </w:rPr>
      </w:pPr>
    </w:p>
    <w:p w14:paraId="29FDB38B" w14:textId="55FC6698" w:rsidR="00973AC1" w:rsidRDefault="008F3E20" w:rsidP="00973AC1">
      <w:pPr>
        <w:jc w:val="both"/>
      </w:pPr>
      <w:r w:rsidRPr="008F3E20">
        <w:rPr>
          <w:rFonts w:ascii="Arial" w:hAnsi="Arial" w:cs="Arial"/>
          <w:lang w:val="bs-Latn-BA"/>
        </w:rPr>
        <w:t>Modified work capacity in terms of disease severity according to the GOLD classification was reduced by 51,33%, whereas preserved work capacity was reduced by 48,67%. Cough was the predominant symptom in both reduced work ability (n=75) and maintained work ability (n=52).</w:t>
      </w:r>
      <w:r w:rsidR="00973AC1">
        <w:rPr>
          <w:rFonts w:ascii="Arial" w:hAnsi="Arial" w:cs="Arial"/>
          <w:lang w:val="bs-Latn-BA"/>
        </w:rPr>
        <w:t xml:space="preserve"> </w:t>
      </w:r>
      <w:r w:rsidR="00973AC1">
        <w:t xml:space="preserve">Since human capital is often the most important national asset for developing countries, the indirect costs of COPD could be a serious threat to their economy. This group of patients should be a special focus of attention for workers, employers and doctors, as well as health and pension insurance funds. Prevention must begin on time by stopping exposure to harmful noxious substances in stage A, quitting smoking and undergoing respiratory rehabilitation. It is necessary to </w:t>
      </w:r>
      <w:proofErr w:type="spellStart"/>
      <w:r w:rsidR="00973AC1">
        <w:t>emphasi</w:t>
      </w:r>
      <w:r w:rsidR="000F68DD">
        <w:t>s</w:t>
      </w:r>
      <w:r w:rsidR="00973AC1">
        <w:t>e</w:t>
      </w:r>
      <w:proofErr w:type="spellEnd"/>
      <w:r w:rsidR="00973AC1">
        <w:t xml:space="preserve"> the already mentioned fact that COPD is the leading cause of morbidity and mortality both in the world and in our country</w:t>
      </w:r>
      <w:r w:rsidR="000F68DD">
        <w:t>,</w:t>
      </w:r>
      <w:r w:rsidR="00973AC1">
        <w:t xml:space="preserve"> and significantly contributes to the increase in healthcare system costs. Therefore, it is important to </w:t>
      </w:r>
      <w:proofErr w:type="spellStart"/>
      <w:r w:rsidR="00973AC1">
        <w:t>emphasi</w:t>
      </w:r>
      <w:r w:rsidR="000F68DD">
        <w:t>s</w:t>
      </w:r>
      <w:r w:rsidR="00973AC1">
        <w:t>e</w:t>
      </w:r>
      <w:proofErr w:type="spellEnd"/>
      <w:r w:rsidR="00973AC1">
        <w:t xml:space="preserve"> that the prevention of COPD also includes regular periodic examinations of workers who are exposed to workplace hazards, as part of which their working capacity is assessed. Prevention in preventing illness, and thus a reduction in working capacity, whether temporary or permanent, is also an obligation to monitor compliance with personal protection regulations at work. Personal protective equipment is provided for use by persons exposed to certain hazards during work that cannot be eliminated by other measures.</w:t>
      </w:r>
    </w:p>
    <w:p w14:paraId="14B1423D" w14:textId="6F46CA11" w:rsidR="00C361DA" w:rsidRDefault="00C361DA" w:rsidP="00973AC1">
      <w:pPr>
        <w:jc w:val="both"/>
      </w:pPr>
    </w:p>
    <w:p w14:paraId="2873AF1B" w14:textId="1476D3CB" w:rsidR="000B1D51" w:rsidRPr="006E4C3F" w:rsidRDefault="006E4C3F" w:rsidP="00973AC1">
      <w:pPr>
        <w:jc w:val="both"/>
        <w:rPr>
          <w:b/>
        </w:rPr>
      </w:pPr>
      <w:r w:rsidRPr="006E4C3F">
        <w:rPr>
          <w:b/>
        </w:rPr>
        <w:t>C</w:t>
      </w:r>
      <w:r w:rsidR="00DC3C90" w:rsidRPr="006E4C3F">
        <w:rPr>
          <w:b/>
        </w:rPr>
        <w:t>onsent</w:t>
      </w:r>
      <w:r w:rsidRPr="006E4C3F">
        <w:rPr>
          <w:b/>
        </w:rPr>
        <w:t xml:space="preserve"> and Ethical Approval </w:t>
      </w:r>
    </w:p>
    <w:p w14:paraId="09C2D8F4" w14:textId="3EA13D7C" w:rsidR="00C361DA" w:rsidRDefault="0015679E" w:rsidP="00973AC1">
      <w:pPr>
        <w:jc w:val="both"/>
      </w:pPr>
      <w:r w:rsidRPr="0015679E">
        <w:t>As per international standards or university standards, Participants’ written consent has been collected and preserved by the author(s).</w:t>
      </w:r>
      <w:r w:rsidR="000205E4">
        <w:t xml:space="preserve"> </w:t>
      </w:r>
      <w:r w:rsidR="00C361DA" w:rsidRPr="00C361DA">
        <w:t>The study was approved by the Ethics Committee of the health facility, and all personal data of the participants were protected in accordance with legislation and the principles outlined in the Declaration of Helsinki.</w:t>
      </w:r>
      <w:r w:rsidR="000B1D51">
        <w:t xml:space="preserve"> </w:t>
      </w:r>
    </w:p>
    <w:p w14:paraId="414748D6" w14:textId="7B6906B3" w:rsidR="008F3E20" w:rsidRDefault="008F3E20" w:rsidP="008F3E20">
      <w:pPr>
        <w:pStyle w:val="Body"/>
        <w:spacing w:after="0"/>
        <w:rPr>
          <w:rFonts w:ascii="Arial" w:hAnsi="Arial" w:cs="Arial"/>
          <w:lang w:val="bs-Latn-BA"/>
        </w:rPr>
      </w:pPr>
    </w:p>
    <w:p w14:paraId="6BB555C0" w14:textId="77777777" w:rsidR="003C7DFF" w:rsidRDefault="00922592" w:rsidP="00195131">
      <w:pPr>
        <w:jc w:val="both"/>
        <w:rPr>
          <w:highlight w:val="yellow"/>
        </w:rPr>
      </w:pPr>
      <w:r w:rsidRPr="00740879">
        <w:rPr>
          <w:highlight w:val="yellow"/>
        </w:rPr>
        <w:lastRenderedPageBreak/>
        <w:t>Disclaimer (Artificial intelligence)</w:t>
      </w:r>
    </w:p>
    <w:p w14:paraId="1FC22253" w14:textId="16D104E4" w:rsidR="008F3E20" w:rsidRPr="00195131" w:rsidRDefault="00922592" w:rsidP="00195131">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1FC9587" w14:textId="77777777" w:rsidR="00860000" w:rsidRPr="0092486A" w:rsidRDefault="00860000" w:rsidP="00441B6F">
      <w:pPr>
        <w:pStyle w:val="ReferHead"/>
        <w:spacing w:after="0"/>
        <w:jc w:val="both"/>
        <w:rPr>
          <w:rFonts w:ascii="Arial" w:hAnsi="Arial" w:cs="Arial"/>
          <w:lang w:val="bs-Latn-BA"/>
        </w:rPr>
      </w:pPr>
    </w:p>
    <w:p w14:paraId="62013B6D" w14:textId="77777777" w:rsidR="00B01FCD" w:rsidRPr="00C00559" w:rsidRDefault="00B01FCD" w:rsidP="00441B6F">
      <w:pPr>
        <w:pStyle w:val="ReferHead"/>
        <w:spacing w:after="0"/>
        <w:jc w:val="both"/>
        <w:rPr>
          <w:rFonts w:ascii="Arial" w:hAnsi="Arial" w:cs="Arial"/>
          <w:lang w:val="bs-Latn-BA"/>
        </w:rPr>
      </w:pPr>
      <w:r w:rsidRPr="0092486A">
        <w:rPr>
          <w:rFonts w:ascii="Arial" w:hAnsi="Arial" w:cs="Arial"/>
          <w:lang w:val="bs-Latn-BA"/>
        </w:rPr>
        <w:t>Ref</w:t>
      </w:r>
      <w:r w:rsidRPr="00C00559">
        <w:rPr>
          <w:rFonts w:ascii="Arial" w:hAnsi="Arial" w:cs="Arial"/>
          <w:lang w:val="bs-Latn-BA"/>
        </w:rPr>
        <w:t>erences</w:t>
      </w:r>
    </w:p>
    <w:p w14:paraId="6451A734" w14:textId="77777777" w:rsidR="00284C4C" w:rsidRPr="00C00559" w:rsidRDefault="00284C4C" w:rsidP="00441B6F">
      <w:pPr>
        <w:pStyle w:val="Body"/>
        <w:spacing w:after="0"/>
        <w:rPr>
          <w:rFonts w:ascii="Arial" w:hAnsi="Arial" w:cs="Arial"/>
          <w:i/>
          <w:u w:val="single"/>
          <w:lang w:val="bs-Latn-BA"/>
        </w:rPr>
      </w:pPr>
    </w:p>
    <w:p w14:paraId="6A171681" w14:textId="15360A5F" w:rsidR="008F3E20" w:rsidRPr="00C00559" w:rsidRDefault="00A21AB9" w:rsidP="008F3E20">
      <w:pPr>
        <w:pStyle w:val="ListParagraph"/>
        <w:numPr>
          <w:ilvl w:val="0"/>
          <w:numId w:val="31"/>
        </w:numPr>
        <w:ind w:left="426" w:hanging="426"/>
        <w:jc w:val="both"/>
        <w:rPr>
          <w:rFonts w:ascii="Arial" w:hAnsi="Arial" w:cs="Arial"/>
        </w:rPr>
      </w:pPr>
      <w:r w:rsidRPr="00C00559">
        <w:rPr>
          <w:rFonts w:ascii="Arial" w:hAnsi="Arial" w:cs="Arial"/>
        </w:rPr>
        <w:t xml:space="preserve">Rossi, A., </w:t>
      </w:r>
      <w:proofErr w:type="spellStart"/>
      <w:r w:rsidRPr="00C00559">
        <w:rPr>
          <w:rFonts w:ascii="Arial" w:hAnsi="Arial" w:cs="Arial"/>
        </w:rPr>
        <w:t>Butorac-Petanjek</w:t>
      </w:r>
      <w:proofErr w:type="spellEnd"/>
      <w:r w:rsidRPr="00C00559">
        <w:rPr>
          <w:rFonts w:ascii="Arial" w:hAnsi="Arial" w:cs="Arial"/>
        </w:rPr>
        <w:t xml:space="preserve">, B., </w:t>
      </w:r>
      <w:proofErr w:type="spellStart"/>
      <w:r w:rsidRPr="00C00559">
        <w:rPr>
          <w:rFonts w:ascii="Arial" w:hAnsi="Arial" w:cs="Arial"/>
        </w:rPr>
        <w:t>Chilosi</w:t>
      </w:r>
      <w:proofErr w:type="spellEnd"/>
      <w:r w:rsidRPr="00C00559">
        <w:rPr>
          <w:rFonts w:ascii="Arial" w:hAnsi="Arial" w:cs="Arial"/>
        </w:rPr>
        <w:t xml:space="preserve">, M., </w:t>
      </w:r>
      <w:proofErr w:type="spellStart"/>
      <w:r w:rsidRPr="00C00559">
        <w:rPr>
          <w:rFonts w:ascii="Arial" w:hAnsi="Arial" w:cs="Arial"/>
        </w:rPr>
        <w:t>Cosío</w:t>
      </w:r>
      <w:proofErr w:type="spellEnd"/>
      <w:r w:rsidRPr="00C00559">
        <w:rPr>
          <w:rFonts w:ascii="Arial" w:hAnsi="Arial" w:cs="Arial"/>
        </w:rPr>
        <w:t xml:space="preserve">, B. G., </w:t>
      </w:r>
      <w:proofErr w:type="spellStart"/>
      <w:r w:rsidRPr="00C00559">
        <w:rPr>
          <w:rFonts w:ascii="Arial" w:hAnsi="Arial" w:cs="Arial"/>
        </w:rPr>
        <w:t>Flezar</w:t>
      </w:r>
      <w:proofErr w:type="spellEnd"/>
      <w:r w:rsidRPr="00C00559">
        <w:rPr>
          <w:rFonts w:ascii="Arial" w:hAnsi="Arial" w:cs="Arial"/>
        </w:rPr>
        <w:t>, M., Koulouris, N., et al. (2017). Chronic obstructive pulmonary disease with mild airflow limitation: current knowledge and proposal for future research – a consensus document from six scientific societies. *International Journal of Chronic Obstructive Pulmonary Disease*, *12*, 2593–2610. https://doi.org/10.2147/COPD.S132236</w:t>
      </w:r>
      <w:r w:rsidR="008F3E20" w:rsidRPr="00C00559">
        <w:rPr>
          <w:rFonts w:ascii="Arial" w:hAnsi="Arial" w:cs="Arial"/>
        </w:rPr>
        <w:t>.</w:t>
      </w:r>
    </w:p>
    <w:p w14:paraId="12C74296" w14:textId="38C1AFE9" w:rsidR="008F3E20" w:rsidRPr="00C00559" w:rsidRDefault="0087624B" w:rsidP="008F3E20">
      <w:pPr>
        <w:pStyle w:val="ListParagraph"/>
        <w:numPr>
          <w:ilvl w:val="0"/>
          <w:numId w:val="31"/>
        </w:numPr>
        <w:ind w:left="426" w:hanging="426"/>
        <w:jc w:val="both"/>
        <w:rPr>
          <w:rFonts w:ascii="Arial" w:hAnsi="Arial" w:cs="Arial"/>
        </w:rPr>
      </w:pPr>
      <w:proofErr w:type="spellStart"/>
      <w:r w:rsidRPr="00C00559">
        <w:rPr>
          <w:rFonts w:ascii="Arial" w:hAnsi="Arial" w:cs="Arial"/>
        </w:rPr>
        <w:t>Pahal</w:t>
      </w:r>
      <w:proofErr w:type="spellEnd"/>
      <w:r w:rsidRPr="00C00559">
        <w:rPr>
          <w:rFonts w:ascii="Arial" w:hAnsi="Arial" w:cs="Arial"/>
        </w:rPr>
        <w:t xml:space="preserve">, P., </w:t>
      </w:r>
      <w:proofErr w:type="spellStart"/>
      <w:r w:rsidRPr="00C00559">
        <w:rPr>
          <w:rFonts w:ascii="Arial" w:hAnsi="Arial" w:cs="Arial"/>
        </w:rPr>
        <w:t>Avula</w:t>
      </w:r>
      <w:proofErr w:type="spellEnd"/>
      <w:r w:rsidRPr="00C00559">
        <w:rPr>
          <w:rFonts w:ascii="Arial" w:hAnsi="Arial" w:cs="Arial"/>
        </w:rPr>
        <w:t xml:space="preserve">, A., &amp; Afzal, M. (2025). Emphysema. In </w:t>
      </w:r>
      <w:proofErr w:type="spellStart"/>
      <w:r w:rsidRPr="00C00559">
        <w:rPr>
          <w:rFonts w:ascii="Arial" w:hAnsi="Arial" w:cs="Arial"/>
        </w:rPr>
        <w:t>StatPearls</w:t>
      </w:r>
      <w:proofErr w:type="spellEnd"/>
      <w:r w:rsidRPr="00C00559">
        <w:rPr>
          <w:rFonts w:ascii="Arial" w:hAnsi="Arial" w:cs="Arial"/>
        </w:rPr>
        <w:t xml:space="preserve">. Treasure Island (FL): </w:t>
      </w:r>
      <w:proofErr w:type="spellStart"/>
      <w:r w:rsidRPr="00C00559">
        <w:rPr>
          <w:rFonts w:ascii="Arial" w:hAnsi="Arial" w:cs="Arial"/>
        </w:rPr>
        <w:t>StatPearls</w:t>
      </w:r>
      <w:proofErr w:type="spellEnd"/>
      <w:r w:rsidRPr="00C00559">
        <w:rPr>
          <w:rFonts w:ascii="Arial" w:hAnsi="Arial" w:cs="Arial"/>
        </w:rPr>
        <w:t xml:space="preserve"> Publishing. https://www.ncbi.nlm.nih.gov/books/NBK482217/</w:t>
      </w:r>
    </w:p>
    <w:p w14:paraId="0152214E" w14:textId="706E3E56" w:rsidR="008F3E20" w:rsidRPr="00C00559" w:rsidRDefault="00401C7B" w:rsidP="008F3E20">
      <w:pPr>
        <w:pStyle w:val="ListParagraph"/>
        <w:numPr>
          <w:ilvl w:val="0"/>
          <w:numId w:val="31"/>
        </w:numPr>
        <w:ind w:left="426" w:hanging="426"/>
        <w:jc w:val="both"/>
        <w:rPr>
          <w:rFonts w:ascii="Arial" w:hAnsi="Arial" w:cs="Arial"/>
        </w:rPr>
      </w:pPr>
      <w:proofErr w:type="spellStart"/>
      <w:r w:rsidRPr="00C00559">
        <w:rPr>
          <w:rFonts w:ascii="Arial" w:hAnsi="Arial" w:cs="Arial"/>
        </w:rPr>
        <w:t>Sevenoaks</w:t>
      </w:r>
      <w:proofErr w:type="spellEnd"/>
      <w:r w:rsidRPr="00C00559">
        <w:rPr>
          <w:rFonts w:ascii="Arial" w:hAnsi="Arial" w:cs="Arial"/>
        </w:rPr>
        <w:t xml:space="preserve">, M. J., &amp; Stockley, R. A. (2006). Chronic obstructive pulmonary disease, inflammation and co-morbidity—a common inflammatory </w:t>
      </w:r>
      <w:proofErr w:type="gramStart"/>
      <w:r w:rsidRPr="00C00559">
        <w:rPr>
          <w:rFonts w:ascii="Arial" w:hAnsi="Arial" w:cs="Arial"/>
        </w:rPr>
        <w:t>phenotype?.</w:t>
      </w:r>
      <w:proofErr w:type="gramEnd"/>
      <w:r w:rsidRPr="00C00559">
        <w:rPr>
          <w:rFonts w:ascii="Arial" w:hAnsi="Arial" w:cs="Arial"/>
        </w:rPr>
        <w:t xml:space="preserve"> Respiratory Research, 7(1), 70. https://doi.org/10.1186/1465-9921-7-70</w:t>
      </w:r>
    </w:p>
    <w:p w14:paraId="46D45247" w14:textId="63F6F31B" w:rsidR="008F3E20" w:rsidRPr="00C00559" w:rsidRDefault="001147F2" w:rsidP="008F3E20">
      <w:pPr>
        <w:pStyle w:val="ListParagraph"/>
        <w:numPr>
          <w:ilvl w:val="0"/>
          <w:numId w:val="31"/>
        </w:numPr>
        <w:ind w:left="426" w:hanging="426"/>
        <w:jc w:val="both"/>
        <w:rPr>
          <w:rFonts w:ascii="Arial" w:hAnsi="Arial" w:cs="Arial"/>
        </w:rPr>
      </w:pPr>
      <w:r w:rsidRPr="00C00559">
        <w:rPr>
          <w:rFonts w:ascii="Arial" w:hAnsi="Arial" w:cs="Arial"/>
        </w:rPr>
        <w:t xml:space="preserve">Jamison, D. T., </w:t>
      </w:r>
      <w:proofErr w:type="spellStart"/>
      <w:r w:rsidRPr="00C00559">
        <w:rPr>
          <w:rFonts w:ascii="Arial" w:hAnsi="Arial" w:cs="Arial"/>
        </w:rPr>
        <w:t>Breman</w:t>
      </w:r>
      <w:proofErr w:type="spellEnd"/>
      <w:r w:rsidRPr="00C00559">
        <w:rPr>
          <w:rFonts w:ascii="Arial" w:hAnsi="Arial" w:cs="Arial"/>
        </w:rPr>
        <w:t xml:space="preserve">, J. G., </w:t>
      </w:r>
      <w:proofErr w:type="spellStart"/>
      <w:r w:rsidRPr="00C00559">
        <w:rPr>
          <w:rFonts w:ascii="Arial" w:hAnsi="Arial" w:cs="Arial"/>
        </w:rPr>
        <w:t>Measham</w:t>
      </w:r>
      <w:proofErr w:type="spellEnd"/>
      <w:r w:rsidRPr="00C00559">
        <w:rPr>
          <w:rFonts w:ascii="Arial" w:hAnsi="Arial" w:cs="Arial"/>
        </w:rPr>
        <w:t xml:space="preserve">, A. R., Alleyne, G., </w:t>
      </w:r>
      <w:proofErr w:type="spellStart"/>
      <w:r w:rsidRPr="00C00559">
        <w:rPr>
          <w:rFonts w:ascii="Arial" w:hAnsi="Arial" w:cs="Arial"/>
        </w:rPr>
        <w:t>Claeson</w:t>
      </w:r>
      <w:proofErr w:type="spellEnd"/>
      <w:r w:rsidRPr="00C00559">
        <w:rPr>
          <w:rFonts w:ascii="Arial" w:hAnsi="Arial" w:cs="Arial"/>
        </w:rPr>
        <w:t>, M., Evans, D. B., Jha, P., Mills, A., &amp; Musgrove, P. (Eds.). (2006). Disease control priorities in developing countries (2nd ed.). The World Bank. https://doi.org/10.1596/978-0-8213-6179-5</w:t>
      </w:r>
    </w:p>
    <w:p w14:paraId="5A653653" w14:textId="2F294C1A" w:rsidR="008F3E20" w:rsidRPr="00C00559" w:rsidRDefault="008F3E20" w:rsidP="008F3E20">
      <w:pPr>
        <w:pStyle w:val="ListParagraph"/>
        <w:numPr>
          <w:ilvl w:val="0"/>
          <w:numId w:val="31"/>
        </w:numPr>
        <w:ind w:left="426" w:hanging="426"/>
        <w:jc w:val="both"/>
        <w:rPr>
          <w:rFonts w:ascii="Arial" w:hAnsi="Arial" w:cs="Arial"/>
        </w:rPr>
      </w:pPr>
      <w:proofErr w:type="spellStart"/>
      <w:r w:rsidRPr="00C00559">
        <w:rPr>
          <w:rFonts w:ascii="Arial" w:hAnsi="Arial" w:cs="Arial"/>
        </w:rPr>
        <w:t>Pavičić</w:t>
      </w:r>
      <w:proofErr w:type="spellEnd"/>
      <w:r w:rsidRPr="00C00559">
        <w:rPr>
          <w:rFonts w:ascii="Arial" w:hAnsi="Arial" w:cs="Arial"/>
        </w:rPr>
        <w:t xml:space="preserve"> F, </w:t>
      </w:r>
      <w:proofErr w:type="spellStart"/>
      <w:r w:rsidRPr="00C00559">
        <w:rPr>
          <w:rFonts w:ascii="Arial" w:hAnsi="Arial" w:cs="Arial"/>
        </w:rPr>
        <w:t>Tudorić</w:t>
      </w:r>
      <w:proofErr w:type="spellEnd"/>
      <w:r w:rsidRPr="00C00559">
        <w:rPr>
          <w:rFonts w:ascii="Arial" w:hAnsi="Arial" w:cs="Arial"/>
        </w:rPr>
        <w:t xml:space="preserve"> N. </w:t>
      </w:r>
      <w:proofErr w:type="spellStart"/>
      <w:r w:rsidRPr="00C00559">
        <w:rPr>
          <w:rFonts w:ascii="Arial" w:hAnsi="Arial" w:cs="Arial"/>
        </w:rPr>
        <w:t>Kronična</w:t>
      </w:r>
      <w:proofErr w:type="spellEnd"/>
      <w:r w:rsidRPr="00C00559">
        <w:rPr>
          <w:rFonts w:ascii="Arial" w:hAnsi="Arial" w:cs="Arial"/>
        </w:rPr>
        <w:t xml:space="preserve"> </w:t>
      </w:r>
      <w:proofErr w:type="spellStart"/>
      <w:r w:rsidRPr="00C00559">
        <w:rPr>
          <w:rFonts w:ascii="Arial" w:hAnsi="Arial" w:cs="Arial"/>
        </w:rPr>
        <w:t>opstruktivna</w:t>
      </w:r>
      <w:proofErr w:type="spellEnd"/>
      <w:r w:rsidRPr="00C00559">
        <w:rPr>
          <w:rFonts w:ascii="Arial" w:hAnsi="Arial" w:cs="Arial"/>
        </w:rPr>
        <w:t xml:space="preserve"> </w:t>
      </w:r>
      <w:proofErr w:type="spellStart"/>
      <w:r w:rsidRPr="00C00559">
        <w:rPr>
          <w:rFonts w:ascii="Arial" w:hAnsi="Arial" w:cs="Arial"/>
        </w:rPr>
        <w:t>plućna</w:t>
      </w:r>
      <w:proofErr w:type="spellEnd"/>
      <w:r w:rsidRPr="00C00559">
        <w:rPr>
          <w:rFonts w:ascii="Arial" w:hAnsi="Arial" w:cs="Arial"/>
        </w:rPr>
        <w:t xml:space="preserve"> </w:t>
      </w:r>
      <w:proofErr w:type="spellStart"/>
      <w:r w:rsidRPr="00C00559">
        <w:rPr>
          <w:rFonts w:ascii="Arial" w:hAnsi="Arial" w:cs="Arial"/>
        </w:rPr>
        <w:t>bolest</w:t>
      </w:r>
      <w:proofErr w:type="spellEnd"/>
      <w:r w:rsidRPr="00C00559">
        <w:rPr>
          <w:rFonts w:ascii="Arial" w:hAnsi="Arial" w:cs="Arial"/>
        </w:rPr>
        <w:t xml:space="preserve">. In: </w:t>
      </w:r>
      <w:proofErr w:type="spellStart"/>
      <w:r w:rsidRPr="00C00559">
        <w:rPr>
          <w:rFonts w:ascii="Arial" w:hAnsi="Arial" w:cs="Arial"/>
        </w:rPr>
        <w:t>Francetić</w:t>
      </w:r>
      <w:proofErr w:type="spellEnd"/>
      <w:r w:rsidRPr="00C00559">
        <w:rPr>
          <w:rFonts w:ascii="Arial" w:hAnsi="Arial" w:cs="Arial"/>
        </w:rPr>
        <w:t xml:space="preserve"> I, </w:t>
      </w:r>
      <w:proofErr w:type="spellStart"/>
      <w:r w:rsidRPr="00C00559">
        <w:rPr>
          <w:rFonts w:ascii="Arial" w:hAnsi="Arial" w:cs="Arial"/>
        </w:rPr>
        <w:t>Jakšić</w:t>
      </w:r>
      <w:proofErr w:type="spellEnd"/>
      <w:r w:rsidRPr="00C00559">
        <w:rPr>
          <w:rFonts w:ascii="Arial" w:hAnsi="Arial" w:cs="Arial"/>
        </w:rPr>
        <w:t xml:space="preserve"> B, </w:t>
      </w:r>
      <w:proofErr w:type="spellStart"/>
      <w:r w:rsidRPr="00C00559">
        <w:rPr>
          <w:rFonts w:ascii="Arial" w:hAnsi="Arial" w:cs="Arial"/>
        </w:rPr>
        <w:t>Labar</w:t>
      </w:r>
      <w:proofErr w:type="spellEnd"/>
      <w:r w:rsidRPr="00C00559">
        <w:rPr>
          <w:rFonts w:ascii="Arial" w:hAnsi="Arial" w:cs="Arial"/>
        </w:rPr>
        <w:t xml:space="preserve"> B, </w:t>
      </w:r>
      <w:proofErr w:type="spellStart"/>
      <w:r w:rsidRPr="00C00559">
        <w:rPr>
          <w:rFonts w:ascii="Arial" w:hAnsi="Arial" w:cs="Arial"/>
        </w:rPr>
        <w:t>Vučelić</w:t>
      </w:r>
      <w:proofErr w:type="spellEnd"/>
      <w:r w:rsidRPr="00C00559">
        <w:rPr>
          <w:rFonts w:ascii="Arial" w:hAnsi="Arial" w:cs="Arial"/>
        </w:rPr>
        <w:t xml:space="preserve"> B, editors. </w:t>
      </w:r>
      <w:proofErr w:type="spellStart"/>
      <w:r w:rsidRPr="00C00559">
        <w:rPr>
          <w:rFonts w:ascii="Arial" w:hAnsi="Arial" w:cs="Arial"/>
        </w:rPr>
        <w:t>Interna</w:t>
      </w:r>
      <w:proofErr w:type="spellEnd"/>
      <w:r w:rsidRPr="00C00559">
        <w:rPr>
          <w:rFonts w:ascii="Arial" w:hAnsi="Arial" w:cs="Arial"/>
        </w:rPr>
        <w:t xml:space="preserve"> </w:t>
      </w:r>
      <w:proofErr w:type="spellStart"/>
      <w:r w:rsidRPr="00C00559">
        <w:rPr>
          <w:rFonts w:ascii="Arial" w:hAnsi="Arial" w:cs="Arial"/>
        </w:rPr>
        <w:t>medicina</w:t>
      </w:r>
      <w:proofErr w:type="spellEnd"/>
      <w:r w:rsidRPr="00C00559">
        <w:rPr>
          <w:rFonts w:ascii="Arial" w:hAnsi="Arial" w:cs="Arial"/>
        </w:rPr>
        <w:t xml:space="preserve">. Zagreb: </w:t>
      </w:r>
      <w:proofErr w:type="spellStart"/>
      <w:r w:rsidRPr="00C00559">
        <w:rPr>
          <w:rFonts w:ascii="Arial" w:hAnsi="Arial" w:cs="Arial"/>
        </w:rPr>
        <w:t>Naprijed</w:t>
      </w:r>
      <w:proofErr w:type="spellEnd"/>
      <w:r w:rsidRPr="00C00559">
        <w:rPr>
          <w:rFonts w:ascii="Arial" w:hAnsi="Arial" w:cs="Arial"/>
        </w:rPr>
        <w:t>; 2003. p. 707-</w:t>
      </w:r>
      <w:r w:rsidR="008A5C92" w:rsidRPr="00C00559">
        <w:rPr>
          <w:rFonts w:ascii="Arial" w:hAnsi="Arial" w:cs="Arial"/>
        </w:rPr>
        <w:t>7</w:t>
      </w:r>
      <w:r w:rsidRPr="00C00559">
        <w:rPr>
          <w:rFonts w:ascii="Arial" w:hAnsi="Arial" w:cs="Arial"/>
        </w:rPr>
        <w:t>14.</w:t>
      </w:r>
    </w:p>
    <w:p w14:paraId="77E1ECDC" w14:textId="5A1E519F" w:rsidR="008F3E20" w:rsidRPr="00C00559" w:rsidRDefault="00C95F6B" w:rsidP="008F3E20">
      <w:pPr>
        <w:pStyle w:val="ListParagraph"/>
        <w:numPr>
          <w:ilvl w:val="0"/>
          <w:numId w:val="31"/>
        </w:numPr>
        <w:ind w:left="426" w:hanging="426"/>
        <w:jc w:val="both"/>
        <w:rPr>
          <w:rFonts w:ascii="Arial" w:hAnsi="Arial" w:cs="Arial"/>
        </w:rPr>
      </w:pPr>
      <w:proofErr w:type="spellStart"/>
      <w:r w:rsidRPr="00C00559">
        <w:rPr>
          <w:rFonts w:ascii="Arial" w:hAnsi="Arial" w:cs="Arial"/>
        </w:rPr>
        <w:t>Agustí</w:t>
      </w:r>
      <w:proofErr w:type="spellEnd"/>
      <w:r w:rsidRPr="00C00559">
        <w:rPr>
          <w:rFonts w:ascii="Arial" w:hAnsi="Arial" w:cs="Arial"/>
        </w:rPr>
        <w:t>, A., &amp; Hogg, J. C. (2019). Update on the pathogenesis of chronic obstructive pulmonary disease. The New England Journal of Medicine, 381(13), 1248-1256. https://doi.org/10.1056/NEJMra1900475</w:t>
      </w:r>
    </w:p>
    <w:p w14:paraId="3148A48A" w14:textId="08742067" w:rsidR="008F3E20" w:rsidRPr="00C00559" w:rsidRDefault="0022328D" w:rsidP="008F3E20">
      <w:pPr>
        <w:pStyle w:val="ListParagraph"/>
        <w:numPr>
          <w:ilvl w:val="0"/>
          <w:numId w:val="31"/>
        </w:numPr>
        <w:ind w:left="426" w:hanging="426"/>
        <w:jc w:val="both"/>
        <w:rPr>
          <w:rFonts w:ascii="Arial" w:hAnsi="Arial" w:cs="Arial"/>
        </w:rPr>
      </w:pPr>
      <w:proofErr w:type="spellStart"/>
      <w:r w:rsidRPr="00C00559">
        <w:rPr>
          <w:rFonts w:ascii="Arial" w:hAnsi="Arial" w:cs="Arial"/>
        </w:rPr>
        <w:t>Vogelmeier</w:t>
      </w:r>
      <w:proofErr w:type="spellEnd"/>
      <w:r w:rsidRPr="00C00559">
        <w:rPr>
          <w:rFonts w:ascii="Arial" w:hAnsi="Arial" w:cs="Arial"/>
        </w:rPr>
        <w:t xml:space="preserve">, C. F., </w:t>
      </w:r>
      <w:proofErr w:type="spellStart"/>
      <w:r w:rsidRPr="00C00559">
        <w:rPr>
          <w:rFonts w:ascii="Arial" w:hAnsi="Arial" w:cs="Arial"/>
        </w:rPr>
        <w:t>Criner</w:t>
      </w:r>
      <w:proofErr w:type="spellEnd"/>
      <w:r w:rsidRPr="00C00559">
        <w:rPr>
          <w:rFonts w:ascii="Arial" w:hAnsi="Arial" w:cs="Arial"/>
        </w:rPr>
        <w:t xml:space="preserve">, G. J., Martinez, F. J., </w:t>
      </w:r>
      <w:proofErr w:type="spellStart"/>
      <w:r w:rsidRPr="00C00559">
        <w:rPr>
          <w:rFonts w:ascii="Arial" w:hAnsi="Arial" w:cs="Arial"/>
        </w:rPr>
        <w:t>Anzueto</w:t>
      </w:r>
      <w:proofErr w:type="spellEnd"/>
      <w:r w:rsidRPr="00C00559">
        <w:rPr>
          <w:rFonts w:ascii="Arial" w:hAnsi="Arial" w:cs="Arial"/>
        </w:rPr>
        <w:t xml:space="preserve">, A., Barnes, P. J., Bourbeau, J., Celli, B. R., Chen, R., </w:t>
      </w:r>
      <w:proofErr w:type="spellStart"/>
      <w:r w:rsidRPr="00C00559">
        <w:rPr>
          <w:rFonts w:ascii="Arial" w:hAnsi="Arial" w:cs="Arial"/>
        </w:rPr>
        <w:t>Decramer</w:t>
      </w:r>
      <w:proofErr w:type="spellEnd"/>
      <w:r w:rsidRPr="00C00559">
        <w:rPr>
          <w:rFonts w:ascii="Arial" w:hAnsi="Arial" w:cs="Arial"/>
        </w:rPr>
        <w:t xml:space="preserve">, M., </w:t>
      </w:r>
      <w:proofErr w:type="spellStart"/>
      <w:r w:rsidRPr="00C00559">
        <w:rPr>
          <w:rFonts w:ascii="Arial" w:hAnsi="Arial" w:cs="Arial"/>
        </w:rPr>
        <w:t>Fabbri</w:t>
      </w:r>
      <w:proofErr w:type="spellEnd"/>
      <w:r w:rsidRPr="00C00559">
        <w:rPr>
          <w:rFonts w:ascii="Arial" w:hAnsi="Arial" w:cs="Arial"/>
        </w:rPr>
        <w:t xml:space="preserve">, L. M., </w:t>
      </w:r>
      <w:proofErr w:type="spellStart"/>
      <w:r w:rsidRPr="00C00559">
        <w:rPr>
          <w:rFonts w:ascii="Arial" w:hAnsi="Arial" w:cs="Arial"/>
        </w:rPr>
        <w:t>Frith</w:t>
      </w:r>
      <w:proofErr w:type="spellEnd"/>
      <w:r w:rsidRPr="00C00559">
        <w:rPr>
          <w:rFonts w:ascii="Arial" w:hAnsi="Arial" w:cs="Arial"/>
        </w:rPr>
        <w:t xml:space="preserve">, P., Halpin, D. M. G., López Varela, M. V., Nishimura, M., Roche, N., Rodriguez-Roisin, R., Sin, D. D., Singh, D., Stockley, R., </w:t>
      </w:r>
      <w:proofErr w:type="spellStart"/>
      <w:r w:rsidRPr="00C00559">
        <w:rPr>
          <w:rFonts w:ascii="Arial" w:hAnsi="Arial" w:cs="Arial"/>
        </w:rPr>
        <w:t>Vestbo</w:t>
      </w:r>
      <w:proofErr w:type="spellEnd"/>
      <w:r w:rsidRPr="00C00559">
        <w:rPr>
          <w:rFonts w:ascii="Arial" w:hAnsi="Arial" w:cs="Arial"/>
        </w:rPr>
        <w:t xml:space="preserve">, J., </w:t>
      </w:r>
      <w:proofErr w:type="spellStart"/>
      <w:r w:rsidRPr="00C00559">
        <w:rPr>
          <w:rFonts w:ascii="Arial" w:hAnsi="Arial" w:cs="Arial"/>
        </w:rPr>
        <w:t>Wedzicha</w:t>
      </w:r>
      <w:proofErr w:type="spellEnd"/>
      <w:r w:rsidRPr="00C00559">
        <w:rPr>
          <w:rFonts w:ascii="Arial" w:hAnsi="Arial" w:cs="Arial"/>
        </w:rPr>
        <w:t xml:space="preserve">, J. A., &amp; </w:t>
      </w:r>
      <w:proofErr w:type="spellStart"/>
      <w:r w:rsidRPr="00C00559">
        <w:rPr>
          <w:rFonts w:ascii="Arial" w:hAnsi="Arial" w:cs="Arial"/>
        </w:rPr>
        <w:t>Agustí</w:t>
      </w:r>
      <w:proofErr w:type="spellEnd"/>
      <w:r w:rsidRPr="00C00559">
        <w:rPr>
          <w:rFonts w:ascii="Arial" w:hAnsi="Arial" w:cs="Arial"/>
        </w:rPr>
        <w:t>, A. (2017). Global Strategy for the Diagnosis, Management, and Prevention of Chronic Obstructive Lung Disease 2017 report: GOLD executive summary. *American Journal of Respiratory and Critical Care Medicine*, *195*(5), 557-582. https://doi.org/10.1164/rccm.201701-0218PP</w:t>
      </w:r>
    </w:p>
    <w:p w14:paraId="4ADD1C45" w14:textId="486BE6F9" w:rsidR="008F3E20" w:rsidRPr="00C00559" w:rsidRDefault="00B71482" w:rsidP="008F3E20">
      <w:pPr>
        <w:pStyle w:val="ListParagraph"/>
        <w:numPr>
          <w:ilvl w:val="0"/>
          <w:numId w:val="31"/>
        </w:numPr>
        <w:ind w:left="426" w:hanging="426"/>
        <w:jc w:val="both"/>
        <w:rPr>
          <w:rFonts w:ascii="Arial" w:hAnsi="Arial" w:cs="Arial"/>
        </w:rPr>
      </w:pPr>
      <w:proofErr w:type="spellStart"/>
      <w:r w:rsidRPr="00C00559">
        <w:rPr>
          <w:rFonts w:ascii="Arial" w:hAnsi="Arial" w:cs="Arial"/>
        </w:rPr>
        <w:t>Nakawah</w:t>
      </w:r>
      <w:proofErr w:type="spellEnd"/>
      <w:r w:rsidRPr="00C00559">
        <w:rPr>
          <w:rFonts w:ascii="Arial" w:hAnsi="Arial" w:cs="Arial"/>
        </w:rPr>
        <w:t xml:space="preserve">, M. O., Hawkins, C., &amp; </w:t>
      </w:r>
      <w:proofErr w:type="spellStart"/>
      <w:r w:rsidRPr="00C00559">
        <w:rPr>
          <w:rFonts w:ascii="Arial" w:hAnsi="Arial" w:cs="Arial"/>
        </w:rPr>
        <w:t>Barbandi</w:t>
      </w:r>
      <w:proofErr w:type="spellEnd"/>
      <w:r w:rsidRPr="00C00559">
        <w:rPr>
          <w:rFonts w:ascii="Arial" w:hAnsi="Arial" w:cs="Arial"/>
        </w:rPr>
        <w:t>, F. (2013). Asthma, chronic obstructive pulmonary disease (COPD), and the overlap syndrome. Journal of the American Board of Family Medicine, 26(4), 470-477. https://doi.org/10.3122/jabfm.2013.04.120256</w:t>
      </w:r>
    </w:p>
    <w:p w14:paraId="1F92709D" w14:textId="6B38E64C" w:rsidR="008F3E20" w:rsidRPr="00C00559" w:rsidRDefault="00EE3633" w:rsidP="008F3E20">
      <w:pPr>
        <w:pStyle w:val="ListParagraph"/>
        <w:numPr>
          <w:ilvl w:val="0"/>
          <w:numId w:val="31"/>
        </w:numPr>
        <w:ind w:left="426" w:hanging="426"/>
        <w:jc w:val="both"/>
        <w:rPr>
          <w:rFonts w:ascii="Arial" w:hAnsi="Arial" w:cs="Arial"/>
        </w:rPr>
      </w:pPr>
      <w:r w:rsidRPr="00C00559">
        <w:rPr>
          <w:rFonts w:ascii="Arial" w:hAnsi="Arial" w:cs="Arial"/>
        </w:rPr>
        <w:t xml:space="preserve">Rabe, K. F., </w:t>
      </w:r>
      <w:proofErr w:type="spellStart"/>
      <w:r w:rsidRPr="00C00559">
        <w:rPr>
          <w:rFonts w:ascii="Arial" w:hAnsi="Arial" w:cs="Arial"/>
        </w:rPr>
        <w:t>Wedzicha</w:t>
      </w:r>
      <w:proofErr w:type="spellEnd"/>
      <w:r w:rsidRPr="00C00559">
        <w:rPr>
          <w:rFonts w:ascii="Arial" w:hAnsi="Arial" w:cs="Arial"/>
        </w:rPr>
        <w:t xml:space="preserve">, J. A., &amp; </w:t>
      </w:r>
      <w:proofErr w:type="spellStart"/>
      <w:r w:rsidRPr="00C00559">
        <w:rPr>
          <w:rFonts w:ascii="Arial" w:hAnsi="Arial" w:cs="Arial"/>
        </w:rPr>
        <w:t>Wouters</w:t>
      </w:r>
      <w:proofErr w:type="spellEnd"/>
      <w:r w:rsidRPr="00C00559">
        <w:rPr>
          <w:rFonts w:ascii="Arial" w:hAnsi="Arial" w:cs="Arial"/>
        </w:rPr>
        <w:t>, E. F. M. (Eds.). (2013). *COPD and comorbidity*. European Respiratory Society. https://doi.org/10.1183/1025448x.erm5913</w:t>
      </w:r>
    </w:p>
    <w:p w14:paraId="4FF6FFF1" w14:textId="446A758F" w:rsidR="008F3E20" w:rsidRPr="00C00559" w:rsidRDefault="00AA54BA" w:rsidP="008F3E20">
      <w:pPr>
        <w:pStyle w:val="ListParagraph"/>
        <w:numPr>
          <w:ilvl w:val="0"/>
          <w:numId w:val="31"/>
        </w:numPr>
        <w:ind w:left="426" w:hanging="426"/>
        <w:jc w:val="both"/>
        <w:rPr>
          <w:rFonts w:ascii="Arial" w:hAnsi="Arial" w:cs="Arial"/>
        </w:rPr>
      </w:pPr>
      <w:r w:rsidRPr="00C00559">
        <w:rPr>
          <w:rFonts w:ascii="Arial" w:hAnsi="Arial" w:cs="Arial"/>
        </w:rPr>
        <w:t xml:space="preserve">Fisk, M., McMillan, V., Brown, J., </w:t>
      </w:r>
      <w:proofErr w:type="spellStart"/>
      <w:r w:rsidRPr="00C00559">
        <w:rPr>
          <w:rFonts w:ascii="Arial" w:hAnsi="Arial" w:cs="Arial"/>
        </w:rPr>
        <w:t>Holzhauer</w:t>
      </w:r>
      <w:proofErr w:type="spellEnd"/>
      <w:r w:rsidRPr="00C00559">
        <w:rPr>
          <w:rFonts w:ascii="Arial" w:hAnsi="Arial" w:cs="Arial"/>
        </w:rPr>
        <w:t>-Barrie, J., Khan, M. S., &amp; Baxter, N. (2017). P29 Clinical characteristics and management of patients with an inaccurate diagnosis of chronic obstructive pulmonary disease (</w:t>
      </w:r>
      <w:proofErr w:type="spellStart"/>
      <w:r w:rsidRPr="00C00559">
        <w:rPr>
          <w:rFonts w:ascii="Arial" w:hAnsi="Arial" w:cs="Arial"/>
        </w:rPr>
        <w:t>copd</w:t>
      </w:r>
      <w:proofErr w:type="spellEnd"/>
      <w:r w:rsidRPr="00C00559">
        <w:rPr>
          <w:rFonts w:ascii="Arial" w:hAnsi="Arial" w:cs="Arial"/>
        </w:rPr>
        <w:t>) in primary care; results from the Welsh national COPD primary care audit. *Thorax*, *72*(Suppl 3), A171. https://doi.org/10.1136/thoraxjnl-2017-210983.171</w:t>
      </w:r>
    </w:p>
    <w:p w14:paraId="51C59046" w14:textId="18DCA799" w:rsidR="008F3E20" w:rsidRPr="00C00559" w:rsidRDefault="00DE5ABB" w:rsidP="008F3E20">
      <w:pPr>
        <w:pStyle w:val="ListParagraph"/>
        <w:numPr>
          <w:ilvl w:val="0"/>
          <w:numId w:val="31"/>
        </w:numPr>
        <w:ind w:left="426" w:hanging="426"/>
        <w:jc w:val="both"/>
        <w:rPr>
          <w:rFonts w:ascii="Arial" w:hAnsi="Arial" w:cs="Arial"/>
        </w:rPr>
      </w:pPr>
      <w:r w:rsidRPr="00C00559">
        <w:rPr>
          <w:rFonts w:ascii="Arial" w:hAnsi="Arial" w:cs="Arial"/>
        </w:rPr>
        <w:t xml:space="preserve">Singh, D., </w:t>
      </w:r>
      <w:proofErr w:type="spellStart"/>
      <w:r w:rsidRPr="00C00559">
        <w:rPr>
          <w:rFonts w:ascii="Arial" w:hAnsi="Arial" w:cs="Arial"/>
        </w:rPr>
        <w:t>Agusti</w:t>
      </w:r>
      <w:proofErr w:type="spellEnd"/>
      <w:r w:rsidRPr="00C00559">
        <w:rPr>
          <w:rFonts w:ascii="Arial" w:hAnsi="Arial" w:cs="Arial"/>
        </w:rPr>
        <w:t xml:space="preserve">, A., </w:t>
      </w:r>
      <w:proofErr w:type="spellStart"/>
      <w:r w:rsidRPr="00C00559">
        <w:rPr>
          <w:rFonts w:ascii="Arial" w:hAnsi="Arial" w:cs="Arial"/>
        </w:rPr>
        <w:t>Anzueto</w:t>
      </w:r>
      <w:proofErr w:type="spellEnd"/>
      <w:r w:rsidRPr="00C00559">
        <w:rPr>
          <w:rFonts w:ascii="Arial" w:hAnsi="Arial" w:cs="Arial"/>
        </w:rPr>
        <w:t xml:space="preserve">, A., Barnes, P. J., Bourbeau, J., Celli, B. R., </w:t>
      </w:r>
      <w:proofErr w:type="spellStart"/>
      <w:r w:rsidRPr="00C00559">
        <w:rPr>
          <w:rFonts w:ascii="Arial" w:hAnsi="Arial" w:cs="Arial"/>
        </w:rPr>
        <w:t>Criner</w:t>
      </w:r>
      <w:proofErr w:type="spellEnd"/>
      <w:r w:rsidRPr="00C00559">
        <w:rPr>
          <w:rFonts w:ascii="Arial" w:hAnsi="Arial" w:cs="Arial"/>
        </w:rPr>
        <w:t xml:space="preserve">, G. J., </w:t>
      </w:r>
      <w:proofErr w:type="spellStart"/>
      <w:r w:rsidRPr="00C00559">
        <w:rPr>
          <w:rFonts w:ascii="Arial" w:hAnsi="Arial" w:cs="Arial"/>
        </w:rPr>
        <w:t>Frith</w:t>
      </w:r>
      <w:proofErr w:type="spellEnd"/>
      <w:r w:rsidRPr="00C00559">
        <w:rPr>
          <w:rFonts w:ascii="Arial" w:hAnsi="Arial" w:cs="Arial"/>
        </w:rPr>
        <w:t xml:space="preserve">, P., Halpin, D. M. G., Han, M., López Varela, M. V., Martinez, F., Montes de </w:t>
      </w:r>
      <w:proofErr w:type="spellStart"/>
      <w:r w:rsidRPr="00C00559">
        <w:rPr>
          <w:rFonts w:ascii="Arial" w:hAnsi="Arial" w:cs="Arial"/>
        </w:rPr>
        <w:t>Oca</w:t>
      </w:r>
      <w:proofErr w:type="spellEnd"/>
      <w:r w:rsidRPr="00C00559">
        <w:rPr>
          <w:rFonts w:ascii="Arial" w:hAnsi="Arial" w:cs="Arial"/>
        </w:rPr>
        <w:t xml:space="preserve">, M., </w:t>
      </w:r>
      <w:proofErr w:type="spellStart"/>
      <w:r w:rsidRPr="00C00559">
        <w:rPr>
          <w:rFonts w:ascii="Arial" w:hAnsi="Arial" w:cs="Arial"/>
        </w:rPr>
        <w:t>Papi</w:t>
      </w:r>
      <w:proofErr w:type="spellEnd"/>
      <w:r w:rsidRPr="00C00559">
        <w:rPr>
          <w:rFonts w:ascii="Arial" w:hAnsi="Arial" w:cs="Arial"/>
        </w:rPr>
        <w:t xml:space="preserve">, A., </w:t>
      </w:r>
      <w:proofErr w:type="spellStart"/>
      <w:r w:rsidRPr="00C00559">
        <w:rPr>
          <w:rFonts w:ascii="Arial" w:hAnsi="Arial" w:cs="Arial"/>
        </w:rPr>
        <w:t>Pavord</w:t>
      </w:r>
      <w:proofErr w:type="spellEnd"/>
      <w:r w:rsidRPr="00C00559">
        <w:rPr>
          <w:rFonts w:ascii="Arial" w:hAnsi="Arial" w:cs="Arial"/>
        </w:rPr>
        <w:t xml:space="preserve">, I. D., Roche, N., Sin, D. D., Stockley, R., </w:t>
      </w:r>
      <w:proofErr w:type="spellStart"/>
      <w:r w:rsidRPr="00C00559">
        <w:rPr>
          <w:rFonts w:ascii="Arial" w:hAnsi="Arial" w:cs="Arial"/>
        </w:rPr>
        <w:t>Vestbo</w:t>
      </w:r>
      <w:proofErr w:type="spellEnd"/>
      <w:r w:rsidRPr="00C00559">
        <w:rPr>
          <w:rFonts w:ascii="Arial" w:hAnsi="Arial" w:cs="Arial"/>
        </w:rPr>
        <w:t xml:space="preserve">, J., </w:t>
      </w:r>
      <w:proofErr w:type="spellStart"/>
      <w:r w:rsidRPr="00C00559">
        <w:rPr>
          <w:rFonts w:ascii="Arial" w:hAnsi="Arial" w:cs="Arial"/>
        </w:rPr>
        <w:t>Wedzicha</w:t>
      </w:r>
      <w:proofErr w:type="spellEnd"/>
      <w:r w:rsidRPr="00C00559">
        <w:rPr>
          <w:rFonts w:ascii="Arial" w:hAnsi="Arial" w:cs="Arial"/>
        </w:rPr>
        <w:t xml:space="preserve">, J. A., &amp; </w:t>
      </w:r>
      <w:proofErr w:type="spellStart"/>
      <w:r w:rsidRPr="00C00559">
        <w:rPr>
          <w:rFonts w:ascii="Arial" w:hAnsi="Arial" w:cs="Arial"/>
        </w:rPr>
        <w:t>Vogelmeier</w:t>
      </w:r>
      <w:proofErr w:type="spellEnd"/>
      <w:r w:rsidRPr="00C00559">
        <w:rPr>
          <w:rFonts w:ascii="Arial" w:hAnsi="Arial" w:cs="Arial"/>
        </w:rPr>
        <w:t>, C. (2019). Global strategy for the diagnosis, management, and prevention of chronic obstructive lung disease: the GOLD Science Committee report 2019. European Respiratory Journal, 53(5), 1900164. https://doi.org/10.1183/13993003.00164-2019</w:t>
      </w:r>
    </w:p>
    <w:p w14:paraId="233CB176" w14:textId="26CB78D6" w:rsidR="008F3E20" w:rsidRPr="00C00559" w:rsidRDefault="00FC5C08" w:rsidP="008F3E20">
      <w:pPr>
        <w:pStyle w:val="ListParagraph"/>
        <w:numPr>
          <w:ilvl w:val="0"/>
          <w:numId w:val="31"/>
        </w:numPr>
        <w:ind w:left="426" w:hanging="426"/>
        <w:jc w:val="both"/>
        <w:rPr>
          <w:rFonts w:ascii="Arial" w:hAnsi="Arial" w:cs="Arial"/>
        </w:rPr>
      </w:pPr>
      <w:r w:rsidRPr="00C00559">
        <w:rPr>
          <w:rFonts w:ascii="Arial" w:hAnsi="Arial" w:cs="Arial"/>
        </w:rPr>
        <w:t xml:space="preserve">Soler-Cataluña, J. J., </w:t>
      </w:r>
      <w:proofErr w:type="spellStart"/>
      <w:r w:rsidRPr="00C00559">
        <w:rPr>
          <w:rFonts w:ascii="Arial" w:hAnsi="Arial" w:cs="Arial"/>
        </w:rPr>
        <w:t>Cosío</w:t>
      </w:r>
      <w:proofErr w:type="spellEnd"/>
      <w:r w:rsidRPr="00C00559">
        <w:rPr>
          <w:rFonts w:ascii="Arial" w:hAnsi="Arial" w:cs="Arial"/>
        </w:rPr>
        <w:t xml:space="preserve">, B., </w:t>
      </w:r>
      <w:proofErr w:type="spellStart"/>
      <w:r w:rsidRPr="00C00559">
        <w:rPr>
          <w:rFonts w:ascii="Arial" w:hAnsi="Arial" w:cs="Arial"/>
        </w:rPr>
        <w:t>Izquierdo</w:t>
      </w:r>
      <w:proofErr w:type="spellEnd"/>
      <w:r w:rsidRPr="00C00559">
        <w:rPr>
          <w:rFonts w:ascii="Arial" w:hAnsi="Arial" w:cs="Arial"/>
        </w:rPr>
        <w:t xml:space="preserve">, J. L., López-Campos, J. L., Marín, J. M., </w:t>
      </w:r>
      <w:proofErr w:type="spellStart"/>
      <w:r w:rsidRPr="00C00559">
        <w:rPr>
          <w:rFonts w:ascii="Arial" w:hAnsi="Arial" w:cs="Arial"/>
        </w:rPr>
        <w:t>Agüero</w:t>
      </w:r>
      <w:proofErr w:type="spellEnd"/>
      <w:r w:rsidRPr="00C00559">
        <w:rPr>
          <w:rFonts w:ascii="Arial" w:hAnsi="Arial" w:cs="Arial"/>
        </w:rPr>
        <w:t xml:space="preserve">, R., </w:t>
      </w:r>
      <w:proofErr w:type="spellStart"/>
      <w:r w:rsidRPr="00C00559">
        <w:rPr>
          <w:rFonts w:ascii="Arial" w:hAnsi="Arial" w:cs="Arial"/>
        </w:rPr>
        <w:t>Baloira</w:t>
      </w:r>
      <w:proofErr w:type="spellEnd"/>
      <w:r w:rsidRPr="00C00559">
        <w:rPr>
          <w:rFonts w:ascii="Arial" w:hAnsi="Arial" w:cs="Arial"/>
        </w:rPr>
        <w:t xml:space="preserve">, A., Carrizo, S., Esteban, C., </w:t>
      </w:r>
      <w:proofErr w:type="spellStart"/>
      <w:r w:rsidRPr="00C00559">
        <w:rPr>
          <w:rFonts w:ascii="Arial" w:hAnsi="Arial" w:cs="Arial"/>
        </w:rPr>
        <w:t>Galdiz</w:t>
      </w:r>
      <w:proofErr w:type="spellEnd"/>
      <w:r w:rsidRPr="00C00559">
        <w:rPr>
          <w:rFonts w:ascii="Arial" w:hAnsi="Arial" w:cs="Arial"/>
        </w:rPr>
        <w:t xml:space="preserve">, J. B., González, M. C., </w:t>
      </w:r>
      <w:proofErr w:type="spellStart"/>
      <w:r w:rsidRPr="00C00559">
        <w:rPr>
          <w:rFonts w:ascii="Arial" w:hAnsi="Arial" w:cs="Arial"/>
        </w:rPr>
        <w:t>Miravitlles</w:t>
      </w:r>
      <w:proofErr w:type="spellEnd"/>
      <w:r w:rsidRPr="00C00559">
        <w:rPr>
          <w:rFonts w:ascii="Arial" w:hAnsi="Arial" w:cs="Arial"/>
        </w:rPr>
        <w:t xml:space="preserve">, M., </w:t>
      </w:r>
      <w:proofErr w:type="spellStart"/>
      <w:r w:rsidRPr="00C00559">
        <w:rPr>
          <w:rFonts w:ascii="Arial" w:hAnsi="Arial" w:cs="Arial"/>
        </w:rPr>
        <w:t>Monsó</w:t>
      </w:r>
      <w:proofErr w:type="spellEnd"/>
      <w:r w:rsidRPr="00C00559">
        <w:rPr>
          <w:rFonts w:ascii="Arial" w:hAnsi="Arial" w:cs="Arial"/>
        </w:rPr>
        <w:t xml:space="preserve">, E., Montemayor, T., </w:t>
      </w:r>
      <w:proofErr w:type="spellStart"/>
      <w:r w:rsidRPr="00C00559">
        <w:rPr>
          <w:rFonts w:ascii="Arial" w:hAnsi="Arial" w:cs="Arial"/>
        </w:rPr>
        <w:t>Morera</w:t>
      </w:r>
      <w:proofErr w:type="spellEnd"/>
      <w:r w:rsidRPr="00C00559">
        <w:rPr>
          <w:rFonts w:ascii="Arial" w:hAnsi="Arial" w:cs="Arial"/>
        </w:rPr>
        <w:t xml:space="preserve">, J., Ortega, F., </w:t>
      </w:r>
      <w:proofErr w:type="spellStart"/>
      <w:r w:rsidRPr="00C00559">
        <w:rPr>
          <w:rFonts w:ascii="Arial" w:hAnsi="Arial" w:cs="Arial"/>
        </w:rPr>
        <w:t>Peces</w:t>
      </w:r>
      <w:proofErr w:type="spellEnd"/>
      <w:r w:rsidRPr="00C00559">
        <w:rPr>
          <w:rFonts w:ascii="Arial" w:hAnsi="Arial" w:cs="Arial"/>
        </w:rPr>
        <w:t xml:space="preserve">-Barba, G., Puente, L., Rodríguez, J. M., ... Viejo, J. L. (2012). Consensus document on the overlap </w:t>
      </w:r>
      <w:r w:rsidRPr="00C00559">
        <w:rPr>
          <w:rFonts w:ascii="Arial" w:hAnsi="Arial" w:cs="Arial"/>
        </w:rPr>
        <w:lastRenderedPageBreak/>
        <w:t>phenotype COPD–asthma in COPD. *</w:t>
      </w:r>
      <w:proofErr w:type="spellStart"/>
      <w:r w:rsidRPr="00C00559">
        <w:rPr>
          <w:rFonts w:ascii="Arial" w:hAnsi="Arial" w:cs="Arial"/>
        </w:rPr>
        <w:t>Archivos</w:t>
      </w:r>
      <w:proofErr w:type="spellEnd"/>
      <w:r w:rsidRPr="00C00559">
        <w:rPr>
          <w:rFonts w:ascii="Arial" w:hAnsi="Arial" w:cs="Arial"/>
        </w:rPr>
        <w:t xml:space="preserve"> de </w:t>
      </w:r>
      <w:proofErr w:type="spellStart"/>
      <w:r w:rsidRPr="00C00559">
        <w:rPr>
          <w:rFonts w:ascii="Arial" w:hAnsi="Arial" w:cs="Arial"/>
        </w:rPr>
        <w:t>Bronconeumología</w:t>
      </w:r>
      <w:proofErr w:type="spellEnd"/>
      <w:r w:rsidRPr="00C00559">
        <w:rPr>
          <w:rFonts w:ascii="Arial" w:hAnsi="Arial" w:cs="Arial"/>
        </w:rPr>
        <w:t>*, *48*(9), 331-337. https://doi.org/10.1016/j.arbres.2011.12.009</w:t>
      </w:r>
    </w:p>
    <w:p w14:paraId="6A70C226" w14:textId="6A6AA4E8" w:rsidR="008F3E20" w:rsidRPr="00C00559" w:rsidRDefault="0084483E" w:rsidP="008F3E20">
      <w:pPr>
        <w:pStyle w:val="ListParagraph"/>
        <w:numPr>
          <w:ilvl w:val="0"/>
          <w:numId w:val="31"/>
        </w:numPr>
        <w:ind w:left="426" w:hanging="426"/>
        <w:jc w:val="both"/>
        <w:rPr>
          <w:rFonts w:ascii="Arial" w:hAnsi="Arial" w:cs="Arial"/>
        </w:rPr>
      </w:pPr>
      <w:proofErr w:type="spellStart"/>
      <w:r w:rsidRPr="00C00559">
        <w:rPr>
          <w:rFonts w:ascii="Arial" w:hAnsi="Arial" w:cs="Arial"/>
        </w:rPr>
        <w:t>Kuhajda</w:t>
      </w:r>
      <w:proofErr w:type="spellEnd"/>
      <w:r w:rsidRPr="00C00559">
        <w:rPr>
          <w:rFonts w:ascii="Arial" w:hAnsi="Arial" w:cs="Arial"/>
        </w:rPr>
        <w:t>, D. (2016). *Risk factors affecting the outcome of respiratory rehabilitation in patients with chronic obstructive pulmonary disease* [Doctoral dissertation, University of Novi Sad]. http://cris.uns.ac.rs/record.jsf?recordId=10000000000000000000&amp;source=UNS&amp;language=en</w:t>
      </w:r>
    </w:p>
    <w:p w14:paraId="02D5142F" w14:textId="77777777" w:rsidR="008F3E20" w:rsidRPr="00C00559" w:rsidRDefault="008F3E20" w:rsidP="008F3E20">
      <w:pPr>
        <w:pStyle w:val="ListParagraph"/>
        <w:numPr>
          <w:ilvl w:val="0"/>
          <w:numId w:val="31"/>
        </w:numPr>
        <w:ind w:left="426" w:hanging="426"/>
        <w:jc w:val="both"/>
        <w:rPr>
          <w:rFonts w:ascii="Arial" w:hAnsi="Arial" w:cs="Arial"/>
        </w:rPr>
      </w:pPr>
      <w:proofErr w:type="spellStart"/>
      <w:r w:rsidRPr="00C00559">
        <w:rPr>
          <w:rFonts w:ascii="Arial" w:hAnsi="Arial" w:cs="Arial"/>
        </w:rPr>
        <w:t>Škrbić</w:t>
      </w:r>
      <w:proofErr w:type="spellEnd"/>
      <w:r w:rsidRPr="00C00559">
        <w:rPr>
          <w:rFonts w:ascii="Arial" w:hAnsi="Arial" w:cs="Arial"/>
        </w:rPr>
        <w:t xml:space="preserve"> D. Metabolic syndrome in patients with chronic obstructive pulmonary disease and bronchiectasis [dissertation]. Novi Sad: University of Novi Sad, Faculty of Medicine; 2015.</w:t>
      </w:r>
    </w:p>
    <w:p w14:paraId="43740386" w14:textId="180D1216" w:rsidR="008F3E20" w:rsidRPr="00C00559" w:rsidRDefault="00530290" w:rsidP="008F3E20">
      <w:pPr>
        <w:pStyle w:val="ListParagraph"/>
        <w:numPr>
          <w:ilvl w:val="0"/>
          <w:numId w:val="31"/>
        </w:numPr>
        <w:ind w:left="426" w:hanging="426"/>
        <w:jc w:val="both"/>
        <w:rPr>
          <w:rFonts w:ascii="Arial" w:hAnsi="Arial" w:cs="Arial"/>
        </w:rPr>
      </w:pPr>
      <w:r w:rsidRPr="00C00559">
        <w:rPr>
          <w:rFonts w:ascii="Arial" w:hAnsi="Arial" w:cs="Arial"/>
        </w:rPr>
        <w:t>Fernández-</w:t>
      </w:r>
      <w:proofErr w:type="spellStart"/>
      <w:r w:rsidRPr="00C00559">
        <w:rPr>
          <w:rFonts w:ascii="Arial" w:hAnsi="Arial" w:cs="Arial"/>
        </w:rPr>
        <w:t>Villar</w:t>
      </w:r>
      <w:proofErr w:type="spellEnd"/>
      <w:r w:rsidRPr="00C00559">
        <w:rPr>
          <w:rFonts w:ascii="Arial" w:hAnsi="Arial" w:cs="Arial"/>
        </w:rPr>
        <w:t xml:space="preserve">, A., </w:t>
      </w:r>
      <w:proofErr w:type="spellStart"/>
      <w:r w:rsidRPr="00C00559">
        <w:rPr>
          <w:rFonts w:ascii="Arial" w:hAnsi="Arial" w:cs="Arial"/>
        </w:rPr>
        <w:t>Represas-Represas</w:t>
      </w:r>
      <w:proofErr w:type="spellEnd"/>
      <w:r w:rsidRPr="00C00559">
        <w:rPr>
          <w:rFonts w:ascii="Arial" w:hAnsi="Arial" w:cs="Arial"/>
        </w:rPr>
        <w:t xml:space="preserve">, C., </w:t>
      </w:r>
      <w:proofErr w:type="spellStart"/>
      <w:r w:rsidRPr="00C00559">
        <w:rPr>
          <w:rFonts w:ascii="Arial" w:hAnsi="Arial" w:cs="Arial"/>
        </w:rPr>
        <w:t>Mouronte-Roibás</w:t>
      </w:r>
      <w:proofErr w:type="spellEnd"/>
      <w:r w:rsidRPr="00C00559">
        <w:rPr>
          <w:rFonts w:ascii="Arial" w:hAnsi="Arial" w:cs="Arial"/>
        </w:rPr>
        <w:t xml:space="preserve">, C., Ramos-Hernández, C., </w:t>
      </w:r>
      <w:proofErr w:type="spellStart"/>
      <w:r w:rsidRPr="00C00559">
        <w:rPr>
          <w:rFonts w:ascii="Arial" w:hAnsi="Arial" w:cs="Arial"/>
        </w:rPr>
        <w:t>Priegue</w:t>
      </w:r>
      <w:proofErr w:type="spellEnd"/>
      <w:r w:rsidRPr="00C00559">
        <w:rPr>
          <w:rFonts w:ascii="Arial" w:hAnsi="Arial" w:cs="Arial"/>
        </w:rPr>
        <w:t xml:space="preserve">-Carrera, A., Fernández-García, S., &amp; López-Campos, J. L. (2018). Reliability and usefulness of spirometry performed during admission for COPD exacerbation. </w:t>
      </w:r>
      <w:proofErr w:type="spellStart"/>
      <w:r w:rsidRPr="00C00559">
        <w:rPr>
          <w:rFonts w:ascii="Arial" w:hAnsi="Arial" w:cs="Arial"/>
        </w:rPr>
        <w:t>PLoS</w:t>
      </w:r>
      <w:proofErr w:type="spellEnd"/>
      <w:r w:rsidRPr="00C00559">
        <w:rPr>
          <w:rFonts w:ascii="Arial" w:hAnsi="Arial" w:cs="Arial"/>
        </w:rPr>
        <w:t xml:space="preserve"> One, 13(3), e0194983. https://doi.org/10.1371/journal.pone.0194983</w:t>
      </w:r>
    </w:p>
    <w:p w14:paraId="54B80B37" w14:textId="74555551" w:rsidR="008F3E20" w:rsidRPr="00C00559" w:rsidRDefault="002A50D0" w:rsidP="008F3E20">
      <w:pPr>
        <w:pStyle w:val="ListParagraph"/>
        <w:numPr>
          <w:ilvl w:val="0"/>
          <w:numId w:val="31"/>
        </w:numPr>
        <w:ind w:left="426" w:hanging="426"/>
        <w:jc w:val="both"/>
        <w:rPr>
          <w:rFonts w:ascii="Arial" w:hAnsi="Arial" w:cs="Arial"/>
        </w:rPr>
      </w:pPr>
      <w:r w:rsidRPr="00C00559">
        <w:rPr>
          <w:rFonts w:ascii="Arial" w:hAnsi="Arial" w:cs="Arial"/>
        </w:rPr>
        <w:t xml:space="preserve">López-Campos, J. L., Tan, W., &amp; Soriano, J. B. (2016). Global burden of COPD. </w:t>
      </w:r>
      <w:proofErr w:type="spellStart"/>
      <w:r w:rsidRPr="00C00559">
        <w:rPr>
          <w:rFonts w:ascii="Arial" w:hAnsi="Arial" w:cs="Arial"/>
        </w:rPr>
        <w:t>Respirology</w:t>
      </w:r>
      <w:proofErr w:type="spellEnd"/>
      <w:r w:rsidRPr="00C00559">
        <w:rPr>
          <w:rFonts w:ascii="Arial" w:hAnsi="Arial" w:cs="Arial"/>
        </w:rPr>
        <w:t>, 21(1), 14-23. https://doi.org/10.1111/resp.12660</w:t>
      </w:r>
    </w:p>
    <w:p w14:paraId="33931E2A" w14:textId="0C71247E" w:rsidR="008F3E20" w:rsidRPr="00C00559" w:rsidRDefault="00136AF6" w:rsidP="008F3E20">
      <w:pPr>
        <w:pStyle w:val="ListParagraph"/>
        <w:numPr>
          <w:ilvl w:val="0"/>
          <w:numId w:val="31"/>
        </w:numPr>
        <w:ind w:left="426" w:hanging="426"/>
        <w:jc w:val="both"/>
        <w:rPr>
          <w:rFonts w:ascii="Arial" w:hAnsi="Arial" w:cs="Arial"/>
        </w:rPr>
      </w:pPr>
      <w:r w:rsidRPr="00C00559">
        <w:rPr>
          <w:rFonts w:ascii="Arial" w:hAnsi="Arial" w:cs="Arial"/>
        </w:rPr>
        <w:t xml:space="preserve">Agarwal, A. K., Raja, A., &amp; Brown, B. D. (2023). Chronic obstructive pulmonary disease. In </w:t>
      </w:r>
      <w:proofErr w:type="spellStart"/>
      <w:r w:rsidRPr="00C00559">
        <w:rPr>
          <w:rFonts w:ascii="Arial" w:hAnsi="Arial" w:cs="Arial"/>
        </w:rPr>
        <w:t>StatPearls</w:t>
      </w:r>
      <w:proofErr w:type="spellEnd"/>
      <w:r w:rsidRPr="00C00559">
        <w:rPr>
          <w:rFonts w:ascii="Arial" w:hAnsi="Arial" w:cs="Arial"/>
        </w:rPr>
        <w:t xml:space="preserve">. </w:t>
      </w:r>
      <w:proofErr w:type="spellStart"/>
      <w:r w:rsidRPr="00C00559">
        <w:rPr>
          <w:rFonts w:ascii="Arial" w:hAnsi="Arial" w:cs="Arial"/>
        </w:rPr>
        <w:t>StatPearls</w:t>
      </w:r>
      <w:proofErr w:type="spellEnd"/>
      <w:r w:rsidRPr="00C00559">
        <w:rPr>
          <w:rFonts w:ascii="Arial" w:hAnsi="Arial" w:cs="Arial"/>
        </w:rPr>
        <w:t xml:space="preserve"> Publishing. https://www.ncbi.nlm.nih.gov/books/NBK559281/</w:t>
      </w:r>
    </w:p>
    <w:p w14:paraId="7EE53D3F" w14:textId="48BAE299" w:rsidR="00CE4E9B" w:rsidRDefault="008F3E20" w:rsidP="00A620C2">
      <w:pPr>
        <w:pStyle w:val="ListParagraph"/>
        <w:numPr>
          <w:ilvl w:val="0"/>
          <w:numId w:val="31"/>
        </w:numPr>
        <w:ind w:left="426" w:hanging="426"/>
        <w:jc w:val="both"/>
        <w:rPr>
          <w:rFonts w:ascii="Arial" w:hAnsi="Arial" w:cs="Arial"/>
        </w:rPr>
      </w:pPr>
      <w:proofErr w:type="spellStart"/>
      <w:r w:rsidRPr="00C00559">
        <w:rPr>
          <w:rFonts w:ascii="Arial" w:hAnsi="Arial" w:cs="Arial"/>
        </w:rPr>
        <w:t>Okiljević</w:t>
      </w:r>
      <w:proofErr w:type="spellEnd"/>
      <w:r w:rsidRPr="00C00559">
        <w:rPr>
          <w:rFonts w:ascii="Arial" w:hAnsi="Arial" w:cs="Arial"/>
        </w:rPr>
        <w:t xml:space="preserve"> Z, </w:t>
      </w:r>
      <w:proofErr w:type="spellStart"/>
      <w:r w:rsidRPr="00C00559">
        <w:rPr>
          <w:rFonts w:ascii="Arial" w:hAnsi="Arial" w:cs="Arial"/>
        </w:rPr>
        <w:t>Jovančević-Drvenica</w:t>
      </w:r>
      <w:proofErr w:type="spellEnd"/>
      <w:r w:rsidRPr="00C00559">
        <w:rPr>
          <w:rFonts w:ascii="Arial" w:hAnsi="Arial" w:cs="Arial"/>
        </w:rPr>
        <w:t xml:space="preserve"> M, </w:t>
      </w:r>
      <w:proofErr w:type="spellStart"/>
      <w:r w:rsidRPr="00C00559">
        <w:rPr>
          <w:rFonts w:ascii="Arial" w:hAnsi="Arial" w:cs="Arial"/>
        </w:rPr>
        <w:t>Kopitović</w:t>
      </w:r>
      <w:proofErr w:type="spellEnd"/>
      <w:r w:rsidRPr="00C00559">
        <w:rPr>
          <w:rFonts w:ascii="Arial" w:hAnsi="Arial" w:cs="Arial"/>
        </w:rPr>
        <w:t xml:space="preserve"> I, </w:t>
      </w:r>
      <w:proofErr w:type="spellStart"/>
      <w:r w:rsidRPr="00C00559">
        <w:rPr>
          <w:rFonts w:ascii="Arial" w:hAnsi="Arial" w:cs="Arial"/>
        </w:rPr>
        <w:t>Kovačević</w:t>
      </w:r>
      <w:proofErr w:type="spellEnd"/>
      <w:r w:rsidRPr="00C00559">
        <w:rPr>
          <w:rFonts w:ascii="Arial" w:hAnsi="Arial" w:cs="Arial"/>
        </w:rPr>
        <w:t xml:space="preserve"> T, </w:t>
      </w:r>
      <w:proofErr w:type="spellStart"/>
      <w:r w:rsidRPr="00C00559">
        <w:rPr>
          <w:rFonts w:ascii="Arial" w:hAnsi="Arial" w:cs="Arial"/>
        </w:rPr>
        <w:t>Trivić</w:t>
      </w:r>
      <w:proofErr w:type="spellEnd"/>
      <w:r w:rsidRPr="00C00559">
        <w:rPr>
          <w:rFonts w:ascii="Arial" w:hAnsi="Arial" w:cs="Arial"/>
        </w:rPr>
        <w:t xml:space="preserve"> B, </w:t>
      </w:r>
      <w:proofErr w:type="spellStart"/>
      <w:r w:rsidRPr="00C00559">
        <w:rPr>
          <w:rFonts w:ascii="Arial" w:hAnsi="Arial" w:cs="Arial"/>
        </w:rPr>
        <w:t>Milutinov</w:t>
      </w:r>
      <w:proofErr w:type="spellEnd"/>
      <w:r w:rsidRPr="00C00559">
        <w:rPr>
          <w:rFonts w:ascii="Arial" w:hAnsi="Arial" w:cs="Arial"/>
        </w:rPr>
        <w:t xml:space="preserve"> S. The algorithm for the assessment of functional work capacity of railway workers with chronic obstructive pulmonary disease (COPD). Praxis </w:t>
      </w:r>
      <w:proofErr w:type="spellStart"/>
      <w:r w:rsidRPr="00C00559">
        <w:rPr>
          <w:rFonts w:ascii="Arial" w:hAnsi="Arial" w:cs="Arial"/>
        </w:rPr>
        <w:t>Medica</w:t>
      </w:r>
      <w:proofErr w:type="spellEnd"/>
      <w:r w:rsidRPr="00C00559">
        <w:rPr>
          <w:rFonts w:ascii="Arial" w:hAnsi="Arial" w:cs="Arial"/>
        </w:rPr>
        <w:t>. 2014;43(2):55-</w:t>
      </w:r>
      <w:r w:rsidR="00C56424" w:rsidRPr="00C00559">
        <w:rPr>
          <w:rFonts w:ascii="Arial" w:hAnsi="Arial" w:cs="Arial"/>
        </w:rPr>
        <w:t>5</w:t>
      </w:r>
      <w:r w:rsidRPr="00C00559">
        <w:rPr>
          <w:rFonts w:ascii="Arial" w:hAnsi="Arial" w:cs="Arial"/>
        </w:rPr>
        <w:t>9.</w:t>
      </w:r>
    </w:p>
    <w:p w14:paraId="146D0005" w14:textId="77777777" w:rsidR="00A36B11" w:rsidRPr="00A36B11" w:rsidRDefault="00A36B11" w:rsidP="00A36B11">
      <w:pPr>
        <w:pStyle w:val="ListParagraph"/>
        <w:numPr>
          <w:ilvl w:val="0"/>
          <w:numId w:val="31"/>
        </w:numPr>
        <w:shd w:val="clear" w:color="auto" w:fill="FFFFFF"/>
        <w:rPr>
          <w:rFonts w:ascii="Noto Sans" w:hAnsi="Noto Sans"/>
          <w:color w:val="333333"/>
          <w:sz w:val="27"/>
          <w:szCs w:val="27"/>
        </w:rPr>
      </w:pPr>
      <w:proofErr w:type="spellStart"/>
      <w:r w:rsidRPr="00A36B11">
        <w:rPr>
          <w:rFonts w:ascii="Noto Sans" w:hAnsi="Noto Sans"/>
          <w:color w:val="333333"/>
          <w:sz w:val="27"/>
          <w:szCs w:val="27"/>
        </w:rPr>
        <w:t>Akor</w:t>
      </w:r>
      <w:proofErr w:type="spellEnd"/>
      <w:r w:rsidRPr="00A36B11">
        <w:rPr>
          <w:rFonts w:ascii="Noto Sans" w:hAnsi="Noto Sans"/>
          <w:color w:val="333333"/>
          <w:sz w:val="27"/>
          <w:szCs w:val="27"/>
        </w:rPr>
        <w:t xml:space="preserve">, Alexander Agada, </w:t>
      </w:r>
      <w:proofErr w:type="spellStart"/>
      <w:r w:rsidRPr="00A36B11">
        <w:rPr>
          <w:rFonts w:ascii="Noto Sans" w:hAnsi="Noto Sans"/>
          <w:color w:val="333333"/>
          <w:sz w:val="27"/>
          <w:szCs w:val="27"/>
        </w:rPr>
        <w:t>Obaseki</w:t>
      </w:r>
      <w:proofErr w:type="spellEnd"/>
      <w:r w:rsidRPr="00A36B11">
        <w:rPr>
          <w:rFonts w:ascii="Noto Sans" w:hAnsi="Noto Sans"/>
          <w:color w:val="333333"/>
          <w:sz w:val="27"/>
          <w:szCs w:val="27"/>
        </w:rPr>
        <w:t xml:space="preserve"> Daniel, Bamidele Adeniyi &amp; Gregory </w:t>
      </w:r>
      <w:proofErr w:type="spellStart"/>
      <w:r w:rsidRPr="00A36B11">
        <w:rPr>
          <w:rFonts w:ascii="Noto Sans" w:hAnsi="Noto Sans"/>
          <w:color w:val="333333"/>
          <w:sz w:val="27"/>
          <w:szCs w:val="27"/>
        </w:rPr>
        <w:t>Efosa</w:t>
      </w:r>
      <w:proofErr w:type="spellEnd"/>
      <w:r w:rsidRPr="00A36B11">
        <w:rPr>
          <w:rFonts w:ascii="Noto Sans" w:hAnsi="Noto Sans"/>
          <w:color w:val="333333"/>
          <w:sz w:val="27"/>
          <w:szCs w:val="27"/>
        </w:rPr>
        <w:t xml:space="preserve"> </w:t>
      </w:r>
      <w:proofErr w:type="spellStart"/>
      <w:r w:rsidRPr="00A36B11">
        <w:rPr>
          <w:rFonts w:ascii="Noto Sans" w:hAnsi="Noto Sans"/>
          <w:color w:val="333333"/>
          <w:sz w:val="27"/>
          <w:szCs w:val="27"/>
        </w:rPr>
        <w:t>Erhabor</w:t>
      </w:r>
      <w:proofErr w:type="spellEnd"/>
      <w:r w:rsidRPr="00A36B11">
        <w:rPr>
          <w:rFonts w:ascii="Noto Sans" w:hAnsi="Noto Sans"/>
          <w:color w:val="333333"/>
          <w:sz w:val="27"/>
          <w:szCs w:val="27"/>
        </w:rPr>
        <w:t>. (2019). Utilization of Chronic Obstructive Pulmonary Disease Assessment Test (CAT) in Patients with COPD in Low Resource Countries. </w:t>
      </w:r>
      <w:r w:rsidRPr="00A36B11">
        <w:rPr>
          <w:rFonts w:ascii="Noto Sans" w:hAnsi="Noto Sans"/>
          <w:i/>
          <w:iCs/>
          <w:color w:val="333333"/>
          <w:sz w:val="27"/>
          <w:szCs w:val="27"/>
        </w:rPr>
        <w:t>Journal of Advances in Medicine and Medical Research</w:t>
      </w:r>
      <w:r w:rsidRPr="00A36B11">
        <w:rPr>
          <w:rFonts w:ascii="Noto Sans" w:hAnsi="Noto Sans"/>
          <w:color w:val="333333"/>
          <w:sz w:val="27"/>
          <w:szCs w:val="27"/>
        </w:rPr>
        <w:t>, </w:t>
      </w:r>
      <w:r w:rsidRPr="00A36B11">
        <w:rPr>
          <w:rFonts w:ascii="Noto Sans" w:hAnsi="Noto Sans"/>
          <w:i/>
          <w:iCs/>
          <w:color w:val="333333"/>
          <w:sz w:val="27"/>
          <w:szCs w:val="27"/>
        </w:rPr>
        <w:t>30</w:t>
      </w:r>
      <w:r w:rsidRPr="00A36B11">
        <w:rPr>
          <w:rFonts w:ascii="Noto Sans" w:hAnsi="Noto Sans"/>
          <w:color w:val="333333"/>
          <w:sz w:val="27"/>
          <w:szCs w:val="27"/>
        </w:rPr>
        <w:t>(9), 1–7. https://doi.org/10.9734/jammr/2019/v30i930236</w:t>
      </w:r>
    </w:p>
    <w:p w14:paraId="4493D7C1" w14:textId="77777777" w:rsidR="00A36B11" w:rsidRPr="00C00559" w:rsidRDefault="00A36B11" w:rsidP="00A36B11">
      <w:pPr>
        <w:pStyle w:val="ListParagraph"/>
        <w:ind w:left="426"/>
        <w:jc w:val="both"/>
        <w:rPr>
          <w:rFonts w:ascii="Arial" w:hAnsi="Arial" w:cs="Arial"/>
        </w:rPr>
      </w:pPr>
    </w:p>
    <w:p w14:paraId="6C61D2C3" w14:textId="77777777" w:rsidR="00A620C2" w:rsidRPr="00CE4E9B" w:rsidRDefault="00A620C2" w:rsidP="00A620C2">
      <w:pPr>
        <w:pStyle w:val="Body"/>
        <w:spacing w:after="0"/>
        <w:rPr>
          <w:rFonts w:ascii="Arial" w:hAnsi="Arial" w:cs="Arial"/>
          <w:lang w:val="bs-Latn-BA"/>
        </w:rPr>
        <w:sectPr w:rsidR="00A620C2" w:rsidRPr="00CE4E9B" w:rsidSect="00A327BE">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3B978B6D" w14:textId="77777777" w:rsidR="00B01FCD" w:rsidRPr="0092486A" w:rsidRDefault="00B01FCD" w:rsidP="00D97CB7">
      <w:pPr>
        <w:pStyle w:val="Appendix"/>
        <w:spacing w:after="0"/>
        <w:jc w:val="both"/>
        <w:rPr>
          <w:rFonts w:ascii="Arial" w:hAnsi="Arial" w:cs="Arial"/>
          <w:b w:val="0"/>
          <w:lang w:val="bs-Latn-BA"/>
        </w:rPr>
      </w:pPr>
    </w:p>
    <w:sectPr w:rsidR="00B01FCD" w:rsidRPr="0092486A" w:rsidSect="00A327B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D7C19" w14:textId="77777777" w:rsidR="003B45BA" w:rsidRDefault="003B45BA" w:rsidP="00C37E61">
      <w:r>
        <w:separator/>
      </w:r>
    </w:p>
  </w:endnote>
  <w:endnote w:type="continuationSeparator" w:id="0">
    <w:p w14:paraId="6AD26F51" w14:textId="77777777" w:rsidR="003B45BA" w:rsidRDefault="003B45B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Brabo">
    <w:altName w:val="Times New Roman"/>
    <w:charset w:val="00"/>
    <w:family w:val="roman"/>
    <w:pitch w:val="variable"/>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FB74" w14:textId="77777777" w:rsidR="00A327BE" w:rsidRDefault="00A32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2C78B" w14:textId="77777777" w:rsidR="00A327BE" w:rsidRDefault="00A32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F0CF0" w14:textId="076384A1" w:rsidR="00754C9A" w:rsidRPr="00AF6EB6" w:rsidRDefault="00754C9A" w:rsidP="00AF6E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367D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55BC7" w14:textId="77777777" w:rsidR="003B45BA" w:rsidRDefault="003B45BA" w:rsidP="00C37E61">
      <w:r>
        <w:separator/>
      </w:r>
    </w:p>
  </w:footnote>
  <w:footnote w:type="continuationSeparator" w:id="0">
    <w:p w14:paraId="53BCE66A" w14:textId="77777777" w:rsidR="003B45BA" w:rsidRDefault="003B45B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45A0F" w14:textId="30C31D30" w:rsidR="00A327BE" w:rsidRDefault="003B45BA">
    <w:pPr>
      <w:pStyle w:val="Header"/>
    </w:pPr>
    <w:r>
      <w:rPr>
        <w:noProof/>
      </w:rPr>
      <w:pict w14:anchorId="0A426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648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72E57" w14:textId="4C68FDC2" w:rsidR="00A327BE" w:rsidRDefault="003B45BA">
    <w:pPr>
      <w:pStyle w:val="Header"/>
    </w:pPr>
    <w:r>
      <w:rPr>
        <w:noProof/>
      </w:rPr>
      <w:pict w14:anchorId="20DFF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648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B2C5" w14:textId="782E4635" w:rsidR="00296529" w:rsidRPr="00296529" w:rsidRDefault="003B45BA" w:rsidP="00296529">
    <w:pPr>
      <w:ind w:left="2160"/>
      <w:jc w:val="center"/>
      <w:rPr>
        <w:rFonts w:ascii="Times New Roman" w:eastAsia="Calibri" w:hAnsi="Times New Roman"/>
        <w:i/>
        <w:sz w:val="18"/>
        <w:szCs w:val="22"/>
      </w:rPr>
    </w:pPr>
    <w:r>
      <w:rPr>
        <w:noProof/>
      </w:rPr>
      <w:pict w14:anchorId="1FE6E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648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571C2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DF4C2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78203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77FD5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3E26D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6560F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25C3" w14:textId="716DA043" w:rsidR="00A327BE" w:rsidRDefault="003B45BA">
    <w:pPr>
      <w:pStyle w:val="Header"/>
    </w:pPr>
    <w:r>
      <w:rPr>
        <w:noProof/>
      </w:rPr>
      <w:pict w14:anchorId="74581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648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A52EC" w14:textId="66F9A232" w:rsidR="00A327BE" w:rsidRDefault="003B45BA">
    <w:pPr>
      <w:pStyle w:val="Header"/>
    </w:pPr>
    <w:r>
      <w:rPr>
        <w:noProof/>
      </w:rPr>
      <w:pict w14:anchorId="2B2FE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648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7B581" w14:textId="57E9F708" w:rsidR="00A327BE" w:rsidRDefault="003B45BA">
    <w:pPr>
      <w:pStyle w:val="Header"/>
    </w:pPr>
    <w:r>
      <w:rPr>
        <w:noProof/>
      </w:rPr>
      <w:pict w14:anchorId="58733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648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F125B"/>
    <w:multiLevelType w:val="hybridMultilevel"/>
    <w:tmpl w:val="65BEA85A"/>
    <w:lvl w:ilvl="0" w:tplc="10F867A2">
      <w:start w:val="1"/>
      <w:numFmt w:val="decimal"/>
      <w:lvlText w:val="%1."/>
      <w:lvlJc w:val="left"/>
      <w:pPr>
        <w:ind w:left="720" w:hanging="360"/>
      </w:pPr>
      <w:rPr>
        <w:i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071BCD"/>
    <w:multiLevelType w:val="hybridMultilevel"/>
    <w:tmpl w:val="256266E4"/>
    <w:lvl w:ilvl="0" w:tplc="AE84710C">
      <w:start w:val="1"/>
      <w:numFmt w:val="decimal"/>
      <w:lvlText w:val="%1."/>
      <w:lvlJc w:val="left"/>
      <w:pPr>
        <w:ind w:left="720" w:hanging="360"/>
      </w:pPr>
      <w:rPr>
        <w:rFonts w:ascii="Times New Roman" w:hAnsi="Times New Roman" w:cs="Times New Roman" w:hint="default"/>
        <w:sz w:val="24"/>
        <w:szCs w:val="24"/>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6"/>
  </w:num>
  <w:num w:numId="19">
    <w:abstractNumId w:val="30"/>
  </w:num>
  <w:num w:numId="20">
    <w:abstractNumId w:val="12"/>
  </w:num>
  <w:num w:numId="21">
    <w:abstractNumId w:val="9"/>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yNTE3NjUzMDExtzRX0lEKTi0uzszPAykwqgUATwGWISwAAAA="/>
  </w:docVars>
  <w:rsids>
    <w:rsidRoot w:val="00AA6219"/>
    <w:rsid w:val="00000F8F"/>
    <w:rsid w:val="000205E4"/>
    <w:rsid w:val="00030174"/>
    <w:rsid w:val="0004579C"/>
    <w:rsid w:val="000474DC"/>
    <w:rsid w:val="000708A3"/>
    <w:rsid w:val="00070946"/>
    <w:rsid w:val="000A47FA"/>
    <w:rsid w:val="000A65D3"/>
    <w:rsid w:val="000B0F85"/>
    <w:rsid w:val="000B13E0"/>
    <w:rsid w:val="000B1D51"/>
    <w:rsid w:val="000B1E33"/>
    <w:rsid w:val="000D0BA7"/>
    <w:rsid w:val="000D689F"/>
    <w:rsid w:val="000E7B7B"/>
    <w:rsid w:val="000E7D62"/>
    <w:rsid w:val="000F68DD"/>
    <w:rsid w:val="00103357"/>
    <w:rsid w:val="001147F2"/>
    <w:rsid w:val="00123C9F"/>
    <w:rsid w:val="00126190"/>
    <w:rsid w:val="00130F17"/>
    <w:rsid w:val="001320BF"/>
    <w:rsid w:val="00136AF6"/>
    <w:rsid w:val="0014704A"/>
    <w:rsid w:val="0015679E"/>
    <w:rsid w:val="00163BC4"/>
    <w:rsid w:val="00191062"/>
    <w:rsid w:val="00192B72"/>
    <w:rsid w:val="00195131"/>
    <w:rsid w:val="001A29D8"/>
    <w:rsid w:val="001A5CAA"/>
    <w:rsid w:val="001B0427"/>
    <w:rsid w:val="001D3A51"/>
    <w:rsid w:val="001E10D2"/>
    <w:rsid w:val="001E25B4"/>
    <w:rsid w:val="001E44FE"/>
    <w:rsid w:val="00200595"/>
    <w:rsid w:val="00204835"/>
    <w:rsid w:val="002118AB"/>
    <w:rsid w:val="0022328D"/>
    <w:rsid w:val="00227182"/>
    <w:rsid w:val="00231920"/>
    <w:rsid w:val="0023195C"/>
    <w:rsid w:val="0024282C"/>
    <w:rsid w:val="002460DC"/>
    <w:rsid w:val="00250985"/>
    <w:rsid w:val="00251DBD"/>
    <w:rsid w:val="002556F6"/>
    <w:rsid w:val="00283105"/>
    <w:rsid w:val="0028373F"/>
    <w:rsid w:val="00284C4C"/>
    <w:rsid w:val="00296529"/>
    <w:rsid w:val="002A50D0"/>
    <w:rsid w:val="002A5842"/>
    <w:rsid w:val="002B27FB"/>
    <w:rsid w:val="002B57DA"/>
    <w:rsid w:val="002B685A"/>
    <w:rsid w:val="002C57D2"/>
    <w:rsid w:val="002E0D56"/>
    <w:rsid w:val="002E2D25"/>
    <w:rsid w:val="002F71D2"/>
    <w:rsid w:val="00312FA9"/>
    <w:rsid w:val="003138C7"/>
    <w:rsid w:val="00315186"/>
    <w:rsid w:val="00332E05"/>
    <w:rsid w:val="0033343E"/>
    <w:rsid w:val="003512C2"/>
    <w:rsid w:val="00353474"/>
    <w:rsid w:val="00371FB6"/>
    <w:rsid w:val="003763C1"/>
    <w:rsid w:val="00376BBE"/>
    <w:rsid w:val="003811B3"/>
    <w:rsid w:val="0039224F"/>
    <w:rsid w:val="003A43A4"/>
    <w:rsid w:val="003A7E18"/>
    <w:rsid w:val="003B45BA"/>
    <w:rsid w:val="003C4C86"/>
    <w:rsid w:val="003C6258"/>
    <w:rsid w:val="003C6682"/>
    <w:rsid w:val="003C7DFF"/>
    <w:rsid w:val="003D3067"/>
    <w:rsid w:val="003E2904"/>
    <w:rsid w:val="00401927"/>
    <w:rsid w:val="00401C7B"/>
    <w:rsid w:val="0041027F"/>
    <w:rsid w:val="00412475"/>
    <w:rsid w:val="00423789"/>
    <w:rsid w:val="00440F43"/>
    <w:rsid w:val="00441B6F"/>
    <w:rsid w:val="00446221"/>
    <w:rsid w:val="00450E62"/>
    <w:rsid w:val="004539DB"/>
    <w:rsid w:val="0046153A"/>
    <w:rsid w:val="00471A80"/>
    <w:rsid w:val="0047334E"/>
    <w:rsid w:val="00486421"/>
    <w:rsid w:val="004D305E"/>
    <w:rsid w:val="004D4277"/>
    <w:rsid w:val="004E107F"/>
    <w:rsid w:val="00502516"/>
    <w:rsid w:val="00505F06"/>
    <w:rsid w:val="00506828"/>
    <w:rsid w:val="00530290"/>
    <w:rsid w:val="0053056E"/>
    <w:rsid w:val="00554FDA"/>
    <w:rsid w:val="005A3E83"/>
    <w:rsid w:val="005B0D7D"/>
    <w:rsid w:val="005B4E6A"/>
    <w:rsid w:val="005C784C"/>
    <w:rsid w:val="005D17F6"/>
    <w:rsid w:val="005E06A4"/>
    <w:rsid w:val="005E17E6"/>
    <w:rsid w:val="005E5539"/>
    <w:rsid w:val="00602BF5"/>
    <w:rsid w:val="00617FDD"/>
    <w:rsid w:val="00633614"/>
    <w:rsid w:val="00633F68"/>
    <w:rsid w:val="00636EB2"/>
    <w:rsid w:val="006375B8"/>
    <w:rsid w:val="0064260E"/>
    <w:rsid w:val="0066440C"/>
    <w:rsid w:val="0066510A"/>
    <w:rsid w:val="00673F9F"/>
    <w:rsid w:val="00686953"/>
    <w:rsid w:val="00687DEA"/>
    <w:rsid w:val="00687E67"/>
    <w:rsid w:val="006967F7"/>
    <w:rsid w:val="006A250C"/>
    <w:rsid w:val="006B21D3"/>
    <w:rsid w:val="006B57D0"/>
    <w:rsid w:val="006C10D3"/>
    <w:rsid w:val="006C124A"/>
    <w:rsid w:val="006D214B"/>
    <w:rsid w:val="006D30FF"/>
    <w:rsid w:val="006D6940"/>
    <w:rsid w:val="006E4C3F"/>
    <w:rsid w:val="006F11EC"/>
    <w:rsid w:val="006F6483"/>
    <w:rsid w:val="0070082C"/>
    <w:rsid w:val="00716F0D"/>
    <w:rsid w:val="007369E6"/>
    <w:rsid w:val="00746E59"/>
    <w:rsid w:val="00754C9A"/>
    <w:rsid w:val="0075599A"/>
    <w:rsid w:val="00761D52"/>
    <w:rsid w:val="0077749E"/>
    <w:rsid w:val="00790ADA"/>
    <w:rsid w:val="00792786"/>
    <w:rsid w:val="007D1A67"/>
    <w:rsid w:val="007D2288"/>
    <w:rsid w:val="007E088F"/>
    <w:rsid w:val="007F7B32"/>
    <w:rsid w:val="00804BC2"/>
    <w:rsid w:val="0081431A"/>
    <w:rsid w:val="008169E9"/>
    <w:rsid w:val="0083216F"/>
    <w:rsid w:val="008352CE"/>
    <w:rsid w:val="0084483E"/>
    <w:rsid w:val="00860000"/>
    <w:rsid w:val="00863BD3"/>
    <w:rsid w:val="00863E2C"/>
    <w:rsid w:val="00866D66"/>
    <w:rsid w:val="008671C6"/>
    <w:rsid w:val="00875803"/>
    <w:rsid w:val="0087624B"/>
    <w:rsid w:val="008A5C92"/>
    <w:rsid w:val="008B459E"/>
    <w:rsid w:val="008C3931"/>
    <w:rsid w:val="008D6236"/>
    <w:rsid w:val="008E13AE"/>
    <w:rsid w:val="008E1506"/>
    <w:rsid w:val="008E2AA7"/>
    <w:rsid w:val="008E710C"/>
    <w:rsid w:val="008F3E20"/>
    <w:rsid w:val="008F69D6"/>
    <w:rsid w:val="00902823"/>
    <w:rsid w:val="00906E15"/>
    <w:rsid w:val="00915CA6"/>
    <w:rsid w:val="00922592"/>
    <w:rsid w:val="00923137"/>
    <w:rsid w:val="0092486A"/>
    <w:rsid w:val="00927834"/>
    <w:rsid w:val="00942288"/>
    <w:rsid w:val="009500A6"/>
    <w:rsid w:val="00957C18"/>
    <w:rsid w:val="009659BA"/>
    <w:rsid w:val="00973AC1"/>
    <w:rsid w:val="00983040"/>
    <w:rsid w:val="009A0647"/>
    <w:rsid w:val="009B3FB9"/>
    <w:rsid w:val="009C2465"/>
    <w:rsid w:val="009C6C51"/>
    <w:rsid w:val="009D35A0"/>
    <w:rsid w:val="009D7EB7"/>
    <w:rsid w:val="009E048A"/>
    <w:rsid w:val="009E08E9"/>
    <w:rsid w:val="009E3DB9"/>
    <w:rsid w:val="009E6E35"/>
    <w:rsid w:val="009F0DAF"/>
    <w:rsid w:val="009F0EDA"/>
    <w:rsid w:val="00A00F9B"/>
    <w:rsid w:val="00A03B96"/>
    <w:rsid w:val="00A05B19"/>
    <w:rsid w:val="00A1134E"/>
    <w:rsid w:val="00A21AB9"/>
    <w:rsid w:val="00A24E7E"/>
    <w:rsid w:val="00A258C3"/>
    <w:rsid w:val="00A327BE"/>
    <w:rsid w:val="00A347C0"/>
    <w:rsid w:val="00A36B11"/>
    <w:rsid w:val="00A51431"/>
    <w:rsid w:val="00A539AD"/>
    <w:rsid w:val="00A620C2"/>
    <w:rsid w:val="00A66FF6"/>
    <w:rsid w:val="00A94063"/>
    <w:rsid w:val="00AA54BA"/>
    <w:rsid w:val="00AA6219"/>
    <w:rsid w:val="00AA74E0"/>
    <w:rsid w:val="00AB703F"/>
    <w:rsid w:val="00AC0228"/>
    <w:rsid w:val="00AC6BB8"/>
    <w:rsid w:val="00AD0438"/>
    <w:rsid w:val="00AE008F"/>
    <w:rsid w:val="00AF6EB6"/>
    <w:rsid w:val="00B01FCD"/>
    <w:rsid w:val="00B02993"/>
    <w:rsid w:val="00B16C5B"/>
    <w:rsid w:val="00B1776C"/>
    <w:rsid w:val="00B234F7"/>
    <w:rsid w:val="00B337B0"/>
    <w:rsid w:val="00B446F2"/>
    <w:rsid w:val="00B5046F"/>
    <w:rsid w:val="00B52896"/>
    <w:rsid w:val="00B71482"/>
    <w:rsid w:val="00B71522"/>
    <w:rsid w:val="00B95236"/>
    <w:rsid w:val="00B96BD9"/>
    <w:rsid w:val="00BA1B01"/>
    <w:rsid w:val="00BA2641"/>
    <w:rsid w:val="00BB37AA"/>
    <w:rsid w:val="00BB3F1D"/>
    <w:rsid w:val="00BC53A0"/>
    <w:rsid w:val="00BE62AD"/>
    <w:rsid w:val="00BF121F"/>
    <w:rsid w:val="00BF1F80"/>
    <w:rsid w:val="00C00559"/>
    <w:rsid w:val="00C042EC"/>
    <w:rsid w:val="00C166EF"/>
    <w:rsid w:val="00C17EB0"/>
    <w:rsid w:val="00C27F5F"/>
    <w:rsid w:val="00C30A0F"/>
    <w:rsid w:val="00C31B26"/>
    <w:rsid w:val="00C361DA"/>
    <w:rsid w:val="00C37E61"/>
    <w:rsid w:val="00C56424"/>
    <w:rsid w:val="00C643D5"/>
    <w:rsid w:val="00C70DBC"/>
    <w:rsid w:val="00C70F1B"/>
    <w:rsid w:val="00C71A47"/>
    <w:rsid w:val="00C7464C"/>
    <w:rsid w:val="00C85588"/>
    <w:rsid w:val="00C95F6B"/>
    <w:rsid w:val="00CA5306"/>
    <w:rsid w:val="00CD6755"/>
    <w:rsid w:val="00CD6856"/>
    <w:rsid w:val="00CE0089"/>
    <w:rsid w:val="00CE4E9B"/>
    <w:rsid w:val="00CE793C"/>
    <w:rsid w:val="00D173F1"/>
    <w:rsid w:val="00D649E4"/>
    <w:rsid w:val="00D8295D"/>
    <w:rsid w:val="00D94610"/>
    <w:rsid w:val="00D97CB7"/>
    <w:rsid w:val="00DA5DE0"/>
    <w:rsid w:val="00DA6EA8"/>
    <w:rsid w:val="00DB3789"/>
    <w:rsid w:val="00DC2A65"/>
    <w:rsid w:val="00DC3C90"/>
    <w:rsid w:val="00DE015C"/>
    <w:rsid w:val="00DE15F0"/>
    <w:rsid w:val="00DE5663"/>
    <w:rsid w:val="00DE5ABB"/>
    <w:rsid w:val="00DE78AA"/>
    <w:rsid w:val="00DF5A8E"/>
    <w:rsid w:val="00E053D0"/>
    <w:rsid w:val="00E13423"/>
    <w:rsid w:val="00E15994"/>
    <w:rsid w:val="00E3114E"/>
    <w:rsid w:val="00E31A70"/>
    <w:rsid w:val="00E32D5C"/>
    <w:rsid w:val="00E35B02"/>
    <w:rsid w:val="00E5142C"/>
    <w:rsid w:val="00E54477"/>
    <w:rsid w:val="00E66496"/>
    <w:rsid w:val="00E66B35"/>
    <w:rsid w:val="00E66E10"/>
    <w:rsid w:val="00E768E7"/>
    <w:rsid w:val="00E769F6"/>
    <w:rsid w:val="00E8407C"/>
    <w:rsid w:val="00E84F3C"/>
    <w:rsid w:val="00EA012C"/>
    <w:rsid w:val="00ED0288"/>
    <w:rsid w:val="00EE3633"/>
    <w:rsid w:val="00EE52CB"/>
    <w:rsid w:val="00EF08B8"/>
    <w:rsid w:val="00EF097A"/>
    <w:rsid w:val="00EF581D"/>
    <w:rsid w:val="00EF7FD8"/>
    <w:rsid w:val="00F06F59"/>
    <w:rsid w:val="00F17988"/>
    <w:rsid w:val="00F262C0"/>
    <w:rsid w:val="00F40051"/>
    <w:rsid w:val="00F4302A"/>
    <w:rsid w:val="00F469F0"/>
    <w:rsid w:val="00F53273"/>
    <w:rsid w:val="00F66A16"/>
    <w:rsid w:val="00F755E4"/>
    <w:rsid w:val="00F77D02"/>
    <w:rsid w:val="00F84449"/>
    <w:rsid w:val="00F84F61"/>
    <w:rsid w:val="00FA5A18"/>
    <w:rsid w:val="00FB3A86"/>
    <w:rsid w:val="00FC12AB"/>
    <w:rsid w:val="00FC5012"/>
    <w:rsid w:val="00FC5790"/>
    <w:rsid w:val="00FC5C0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7358DF6"/>
  <w15:docId w15:val="{769E4D35-781B-4ECB-8E47-A3590591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E768E7"/>
    <w:pPr>
      <w:ind w:left="720"/>
      <w:contextualSpacing/>
    </w:pPr>
  </w:style>
  <w:style w:type="character" w:customStyle="1" w:styleId="html-italic">
    <w:name w:val="html-italic"/>
    <w:basedOn w:val="DefaultParagraphFont"/>
    <w:rsid w:val="00CA5306"/>
  </w:style>
  <w:style w:type="character" w:customStyle="1" w:styleId="topic-highlight">
    <w:name w:val="topic-highlight"/>
    <w:basedOn w:val="DefaultParagraphFont"/>
    <w:rsid w:val="00B71522"/>
  </w:style>
  <w:style w:type="character" w:customStyle="1" w:styleId="HeaderChar">
    <w:name w:val="Header Char"/>
    <w:basedOn w:val="DefaultParagraphFont"/>
    <w:link w:val="Header"/>
    <w:uiPriority w:val="99"/>
    <w:rsid w:val="00FC12AB"/>
    <w:rPr>
      <w:rFonts w:ascii="Helvetica" w:hAnsi="Helvetica"/>
    </w:rPr>
  </w:style>
  <w:style w:type="character" w:customStyle="1" w:styleId="BodyTextIntechOpenChar">
    <w:name w:val="Body Text IntechOpen Char"/>
    <w:basedOn w:val="DefaultParagraphFont"/>
    <w:link w:val="BodyTextIntechOpen"/>
    <w:qFormat/>
    <w:locked/>
    <w:rsid w:val="00DE015C"/>
    <w:rPr>
      <w:rFonts w:ascii="FS Brabo" w:hAnsi="FS Brabo"/>
    </w:rPr>
  </w:style>
  <w:style w:type="paragraph" w:customStyle="1" w:styleId="BodyTextIntechOpen">
    <w:name w:val="Body Text IntechOpen"/>
    <w:link w:val="BodyTextIntechOpenChar"/>
    <w:qFormat/>
    <w:rsid w:val="00DE015C"/>
    <w:pPr>
      <w:ind w:firstLine="284"/>
    </w:pPr>
    <w:rPr>
      <w:rFonts w:ascii="FS Brabo" w:hAnsi="FS Brabo"/>
    </w:rPr>
  </w:style>
  <w:style w:type="table" w:styleId="TableGridLight">
    <w:name w:val="Grid Table Light"/>
    <w:basedOn w:val="TableNormal"/>
    <w:uiPriority w:val="40"/>
    <w:rsid w:val="00DE015C"/>
    <w:rPr>
      <w:rFonts w:asciiTheme="minorHAnsi" w:eastAsiaTheme="minorHAnsi" w:hAnsiTheme="minorHAnsi" w:cstheme="minorBidi"/>
      <w:kern w:val="2"/>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DE01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64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8175272">
      <w:bodyDiv w:val="1"/>
      <w:marLeft w:val="0"/>
      <w:marRight w:val="0"/>
      <w:marTop w:val="0"/>
      <w:marBottom w:val="0"/>
      <w:divBdr>
        <w:top w:val="none" w:sz="0" w:space="0" w:color="auto"/>
        <w:left w:val="none" w:sz="0" w:space="0" w:color="auto"/>
        <w:bottom w:val="none" w:sz="0" w:space="0" w:color="auto"/>
        <w:right w:val="none" w:sz="0" w:space="0" w:color="auto"/>
      </w:divBdr>
      <w:divsChild>
        <w:div w:id="1150251093">
          <w:marLeft w:val="0"/>
          <w:marRight w:val="0"/>
          <w:marTop w:val="0"/>
          <w:marBottom w:val="0"/>
          <w:divBdr>
            <w:top w:val="none" w:sz="0" w:space="0" w:color="auto"/>
            <w:left w:val="none" w:sz="0" w:space="0" w:color="auto"/>
            <w:bottom w:val="none" w:sz="0" w:space="0" w:color="auto"/>
            <w:right w:val="none" w:sz="0" w:space="0" w:color="auto"/>
          </w:divBdr>
        </w:div>
      </w:divsChild>
    </w:div>
    <w:div w:id="179394656">
      <w:bodyDiv w:val="1"/>
      <w:marLeft w:val="0"/>
      <w:marRight w:val="0"/>
      <w:marTop w:val="0"/>
      <w:marBottom w:val="0"/>
      <w:divBdr>
        <w:top w:val="none" w:sz="0" w:space="0" w:color="auto"/>
        <w:left w:val="none" w:sz="0" w:space="0" w:color="auto"/>
        <w:bottom w:val="none" w:sz="0" w:space="0" w:color="auto"/>
        <w:right w:val="none" w:sz="0" w:space="0" w:color="auto"/>
      </w:divBdr>
      <w:divsChild>
        <w:div w:id="77218798">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8397710">
      <w:bodyDiv w:val="1"/>
      <w:marLeft w:val="0"/>
      <w:marRight w:val="0"/>
      <w:marTop w:val="0"/>
      <w:marBottom w:val="0"/>
      <w:divBdr>
        <w:top w:val="none" w:sz="0" w:space="0" w:color="auto"/>
        <w:left w:val="none" w:sz="0" w:space="0" w:color="auto"/>
        <w:bottom w:val="none" w:sz="0" w:space="0" w:color="auto"/>
        <w:right w:val="none" w:sz="0" w:space="0" w:color="auto"/>
      </w:divBdr>
      <w:divsChild>
        <w:div w:id="2013683442">
          <w:marLeft w:val="0"/>
          <w:marRight w:val="0"/>
          <w:marTop w:val="0"/>
          <w:marBottom w:val="0"/>
          <w:divBdr>
            <w:top w:val="none" w:sz="0" w:space="0" w:color="auto"/>
            <w:left w:val="none" w:sz="0" w:space="0" w:color="auto"/>
            <w:bottom w:val="none" w:sz="0" w:space="0" w:color="auto"/>
            <w:right w:val="none" w:sz="0" w:space="0" w:color="auto"/>
          </w:divBdr>
        </w:div>
      </w:divsChild>
    </w:div>
    <w:div w:id="502279693">
      <w:bodyDiv w:val="1"/>
      <w:marLeft w:val="0"/>
      <w:marRight w:val="0"/>
      <w:marTop w:val="0"/>
      <w:marBottom w:val="0"/>
      <w:divBdr>
        <w:top w:val="none" w:sz="0" w:space="0" w:color="auto"/>
        <w:left w:val="none" w:sz="0" w:space="0" w:color="auto"/>
        <w:bottom w:val="none" w:sz="0" w:space="0" w:color="auto"/>
        <w:right w:val="none" w:sz="0" w:space="0" w:color="auto"/>
      </w:divBdr>
      <w:divsChild>
        <w:div w:id="856500101">
          <w:marLeft w:val="0"/>
          <w:marRight w:val="0"/>
          <w:marTop w:val="0"/>
          <w:marBottom w:val="0"/>
          <w:divBdr>
            <w:top w:val="none" w:sz="0" w:space="0" w:color="auto"/>
            <w:left w:val="none" w:sz="0" w:space="0" w:color="auto"/>
            <w:bottom w:val="none" w:sz="0" w:space="0" w:color="auto"/>
            <w:right w:val="none" w:sz="0" w:space="0" w:color="auto"/>
          </w:divBdr>
          <w:divsChild>
            <w:div w:id="1270546683">
              <w:marLeft w:val="0"/>
              <w:marRight w:val="0"/>
              <w:marTop w:val="0"/>
              <w:marBottom w:val="0"/>
              <w:divBdr>
                <w:top w:val="none" w:sz="0" w:space="0" w:color="auto"/>
                <w:left w:val="none" w:sz="0" w:space="0" w:color="auto"/>
                <w:bottom w:val="none" w:sz="0" w:space="0" w:color="auto"/>
                <w:right w:val="none" w:sz="0" w:space="0" w:color="auto"/>
              </w:divBdr>
              <w:divsChild>
                <w:div w:id="464465171">
                  <w:marLeft w:val="0"/>
                  <w:marRight w:val="0"/>
                  <w:marTop w:val="0"/>
                  <w:marBottom w:val="0"/>
                  <w:divBdr>
                    <w:top w:val="none" w:sz="0" w:space="0" w:color="auto"/>
                    <w:left w:val="none" w:sz="0" w:space="0" w:color="auto"/>
                    <w:bottom w:val="none" w:sz="0" w:space="0" w:color="auto"/>
                    <w:right w:val="none" w:sz="0" w:space="0" w:color="auto"/>
                  </w:divBdr>
                  <w:divsChild>
                    <w:div w:id="17403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3527828">
      <w:bodyDiv w:val="1"/>
      <w:marLeft w:val="0"/>
      <w:marRight w:val="0"/>
      <w:marTop w:val="0"/>
      <w:marBottom w:val="0"/>
      <w:divBdr>
        <w:top w:val="none" w:sz="0" w:space="0" w:color="auto"/>
        <w:left w:val="none" w:sz="0" w:space="0" w:color="auto"/>
        <w:bottom w:val="none" w:sz="0" w:space="0" w:color="auto"/>
        <w:right w:val="none" w:sz="0" w:space="0" w:color="auto"/>
      </w:divBdr>
      <w:divsChild>
        <w:div w:id="697244875">
          <w:marLeft w:val="0"/>
          <w:marRight w:val="0"/>
          <w:marTop w:val="0"/>
          <w:marBottom w:val="0"/>
          <w:divBdr>
            <w:top w:val="none" w:sz="0" w:space="0" w:color="auto"/>
            <w:left w:val="none" w:sz="0" w:space="0" w:color="auto"/>
            <w:bottom w:val="none" w:sz="0" w:space="0" w:color="auto"/>
            <w:right w:val="none" w:sz="0" w:space="0" w:color="auto"/>
          </w:divBdr>
        </w:div>
      </w:divsChild>
    </w:div>
    <w:div w:id="755248457">
      <w:bodyDiv w:val="1"/>
      <w:marLeft w:val="0"/>
      <w:marRight w:val="0"/>
      <w:marTop w:val="0"/>
      <w:marBottom w:val="0"/>
      <w:divBdr>
        <w:top w:val="none" w:sz="0" w:space="0" w:color="auto"/>
        <w:left w:val="none" w:sz="0" w:space="0" w:color="auto"/>
        <w:bottom w:val="none" w:sz="0" w:space="0" w:color="auto"/>
        <w:right w:val="none" w:sz="0" w:space="0" w:color="auto"/>
      </w:divBdr>
      <w:divsChild>
        <w:div w:id="294485973">
          <w:marLeft w:val="0"/>
          <w:marRight w:val="0"/>
          <w:marTop w:val="0"/>
          <w:marBottom w:val="0"/>
          <w:divBdr>
            <w:top w:val="none" w:sz="0" w:space="0" w:color="auto"/>
            <w:left w:val="none" w:sz="0" w:space="0" w:color="auto"/>
            <w:bottom w:val="none" w:sz="0" w:space="0" w:color="auto"/>
            <w:right w:val="none" w:sz="0" w:space="0" w:color="auto"/>
          </w:divBdr>
        </w:div>
      </w:divsChild>
    </w:div>
    <w:div w:id="789514265">
      <w:bodyDiv w:val="1"/>
      <w:marLeft w:val="0"/>
      <w:marRight w:val="0"/>
      <w:marTop w:val="0"/>
      <w:marBottom w:val="0"/>
      <w:divBdr>
        <w:top w:val="none" w:sz="0" w:space="0" w:color="auto"/>
        <w:left w:val="none" w:sz="0" w:space="0" w:color="auto"/>
        <w:bottom w:val="none" w:sz="0" w:space="0" w:color="auto"/>
        <w:right w:val="none" w:sz="0" w:space="0" w:color="auto"/>
      </w:divBdr>
      <w:divsChild>
        <w:div w:id="155654390">
          <w:marLeft w:val="0"/>
          <w:marRight w:val="0"/>
          <w:marTop w:val="0"/>
          <w:marBottom w:val="0"/>
          <w:divBdr>
            <w:top w:val="none" w:sz="0" w:space="0" w:color="auto"/>
            <w:left w:val="none" w:sz="0" w:space="0" w:color="auto"/>
            <w:bottom w:val="none" w:sz="0" w:space="0" w:color="auto"/>
            <w:right w:val="none" w:sz="0" w:space="0" w:color="auto"/>
          </w:divBdr>
        </w:div>
      </w:divsChild>
    </w:div>
    <w:div w:id="904144911">
      <w:bodyDiv w:val="1"/>
      <w:marLeft w:val="0"/>
      <w:marRight w:val="0"/>
      <w:marTop w:val="0"/>
      <w:marBottom w:val="0"/>
      <w:divBdr>
        <w:top w:val="none" w:sz="0" w:space="0" w:color="auto"/>
        <w:left w:val="none" w:sz="0" w:space="0" w:color="auto"/>
        <w:bottom w:val="none" w:sz="0" w:space="0" w:color="auto"/>
        <w:right w:val="none" w:sz="0" w:space="0" w:color="auto"/>
      </w:divBdr>
      <w:divsChild>
        <w:div w:id="1916820041">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84719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207205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7144793">
      <w:bodyDiv w:val="1"/>
      <w:marLeft w:val="0"/>
      <w:marRight w:val="0"/>
      <w:marTop w:val="0"/>
      <w:marBottom w:val="0"/>
      <w:divBdr>
        <w:top w:val="none" w:sz="0" w:space="0" w:color="auto"/>
        <w:left w:val="none" w:sz="0" w:space="0" w:color="auto"/>
        <w:bottom w:val="none" w:sz="0" w:space="0" w:color="auto"/>
        <w:right w:val="none" w:sz="0" w:space="0" w:color="auto"/>
      </w:divBdr>
      <w:divsChild>
        <w:div w:id="687172148">
          <w:marLeft w:val="0"/>
          <w:marRight w:val="0"/>
          <w:marTop w:val="0"/>
          <w:marBottom w:val="0"/>
          <w:divBdr>
            <w:top w:val="none" w:sz="0" w:space="0" w:color="auto"/>
            <w:left w:val="none" w:sz="0" w:space="0" w:color="auto"/>
            <w:bottom w:val="none" w:sz="0" w:space="0" w:color="auto"/>
            <w:right w:val="none" w:sz="0" w:space="0" w:color="auto"/>
          </w:divBdr>
        </w:div>
      </w:divsChild>
    </w:div>
    <w:div w:id="1892693168">
      <w:bodyDiv w:val="1"/>
      <w:marLeft w:val="0"/>
      <w:marRight w:val="0"/>
      <w:marTop w:val="0"/>
      <w:marBottom w:val="0"/>
      <w:divBdr>
        <w:top w:val="none" w:sz="0" w:space="0" w:color="auto"/>
        <w:left w:val="none" w:sz="0" w:space="0" w:color="auto"/>
        <w:bottom w:val="none" w:sz="0" w:space="0" w:color="auto"/>
        <w:right w:val="none" w:sz="0" w:space="0" w:color="auto"/>
      </w:divBdr>
      <w:divsChild>
        <w:div w:id="1202596773">
          <w:marLeft w:val="0"/>
          <w:marRight w:val="0"/>
          <w:marTop w:val="0"/>
          <w:marBottom w:val="0"/>
          <w:divBdr>
            <w:top w:val="none" w:sz="0" w:space="0" w:color="auto"/>
            <w:left w:val="none" w:sz="0" w:space="0" w:color="auto"/>
            <w:bottom w:val="none" w:sz="0" w:space="0" w:color="auto"/>
            <w:right w:val="none" w:sz="0" w:space="0" w:color="auto"/>
          </w:divBdr>
        </w:div>
      </w:divsChild>
    </w:div>
    <w:div w:id="1959558681">
      <w:bodyDiv w:val="1"/>
      <w:marLeft w:val="0"/>
      <w:marRight w:val="0"/>
      <w:marTop w:val="0"/>
      <w:marBottom w:val="0"/>
      <w:divBdr>
        <w:top w:val="none" w:sz="0" w:space="0" w:color="auto"/>
        <w:left w:val="none" w:sz="0" w:space="0" w:color="auto"/>
        <w:bottom w:val="none" w:sz="0" w:space="0" w:color="auto"/>
        <w:right w:val="none" w:sz="0" w:space="0" w:color="auto"/>
      </w:divBdr>
      <w:divsChild>
        <w:div w:id="2146117474">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8628589">
      <w:bodyDiv w:val="1"/>
      <w:marLeft w:val="0"/>
      <w:marRight w:val="0"/>
      <w:marTop w:val="0"/>
      <w:marBottom w:val="0"/>
      <w:divBdr>
        <w:top w:val="none" w:sz="0" w:space="0" w:color="auto"/>
        <w:left w:val="none" w:sz="0" w:space="0" w:color="auto"/>
        <w:bottom w:val="none" w:sz="0" w:space="0" w:color="auto"/>
        <w:right w:val="none" w:sz="0" w:space="0" w:color="auto"/>
      </w:divBdr>
      <w:divsChild>
        <w:div w:id="1285573904">
          <w:marLeft w:val="0"/>
          <w:marRight w:val="0"/>
          <w:marTop w:val="0"/>
          <w:marBottom w:val="0"/>
          <w:divBdr>
            <w:top w:val="none" w:sz="0" w:space="0" w:color="auto"/>
            <w:left w:val="none" w:sz="0" w:space="0" w:color="auto"/>
            <w:bottom w:val="none" w:sz="0" w:space="0" w:color="auto"/>
            <w:right w:val="none" w:sz="0" w:space="0" w:color="auto"/>
          </w:divBdr>
        </w:div>
      </w:divsChild>
    </w:div>
    <w:div w:id="202165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2.wd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eader" Target="header6.xml"/><Relationship Id="rId10" Type="http://schemas.openxmlformats.org/officeDocument/2006/relationships/footer" Target="footer1.xml"/><Relationship Id="rId19" Type="http://schemas.microsoft.com/office/2007/relationships/hdphoto" Target="media/hdphoto3.wdp"/><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690D8-C1B3-4E53-A0BE-BAE08986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206</TotalTime>
  <Pages>8</Pages>
  <Words>3390</Words>
  <Characters>19329</Characters>
  <Application>Microsoft Office Word</Application>
  <DocSecurity>0</DocSecurity>
  <Lines>161</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22674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117</cp:revision>
  <cp:lastPrinted>1999-07-06T11:00:00Z</cp:lastPrinted>
  <dcterms:created xsi:type="dcterms:W3CDTF">2014-10-25T14:34:00Z</dcterms:created>
  <dcterms:modified xsi:type="dcterms:W3CDTF">2025-12-15T06:58:00Z</dcterms:modified>
</cp:coreProperties>
</file>