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8B3BC">
      <w:pPr>
        <w:rPr>
          <w:rFonts w:ascii="Arial" w:hAnsi="Arial" w:eastAsia="SimSun" w:cs="Arial"/>
          <w:b/>
          <w:bCs/>
          <w:sz w:val="28"/>
          <w:szCs w:val="28"/>
          <w:lang w:val="en-IN"/>
        </w:rPr>
      </w:pPr>
      <w:r>
        <w:rPr>
          <w:lang w:val="en-IN"/>
        </w:rPr>
        <w:t xml:space="preserve"> </w:t>
      </w:r>
      <w:r>
        <w:rPr>
          <w:rFonts w:ascii="Arial" w:hAnsi="Arial" w:eastAsia="SimSun" w:cs="Arial"/>
          <w:b/>
          <w:bCs/>
          <w:sz w:val="28"/>
          <w:szCs w:val="28"/>
        </w:rPr>
        <w:t>Efficacy of Azithromycin and Atovaquone Combination Therapy in the Clinical Management of Babesia gibsoni Infection in Dogs</w:t>
      </w:r>
    </w:p>
    <w:p w14:paraId="79E40CC2">
      <w:pPr>
        <w:ind w:left="843" w:hanging="843" w:hangingChars="300"/>
        <w:rPr>
          <w:rFonts w:ascii="Times New Roman" w:hAnsi="Times New Roman" w:eastAsia="SimSun" w:cs="Times New Roman"/>
          <w:b/>
          <w:bCs/>
          <w:sz w:val="28"/>
          <w:szCs w:val="28"/>
          <w:lang w:val="en-IN"/>
        </w:rPr>
      </w:pPr>
      <w:r>
        <w:rPr>
          <w:rFonts w:ascii="Times New Roman" w:hAnsi="Times New Roman" w:eastAsia="SimSun" w:cs="Times New Roman"/>
          <w:b/>
          <w:bCs/>
          <w:sz w:val="28"/>
          <w:szCs w:val="28"/>
          <w:lang w:val="en-IN"/>
        </w:rPr>
        <w:t xml:space="preserve">   </w:t>
      </w:r>
    </w:p>
    <w:p w14:paraId="7F602FBA">
      <w:pPr>
        <w:ind w:left="723" w:hanging="723" w:hangingChars="300"/>
        <w:rPr>
          <w:rFonts w:ascii="Arial" w:hAnsi="Arial" w:eastAsia="SimSun" w:cs="Arial"/>
          <w:b/>
          <w:bCs/>
          <w:sz w:val="24"/>
          <w:szCs w:val="24"/>
          <w:lang w:val="en-IN"/>
        </w:rPr>
      </w:pPr>
      <w:r>
        <w:rPr>
          <w:rFonts w:ascii="Times New Roman" w:hAnsi="Times New Roman" w:eastAsia="SimSun" w:cs="Times New Roman"/>
          <w:b/>
          <w:bCs/>
          <w:sz w:val="24"/>
          <w:szCs w:val="24"/>
          <w:lang w:val="en-IN"/>
        </w:rPr>
        <w:t xml:space="preserve">            </w:t>
      </w:r>
    </w:p>
    <w:p w14:paraId="2813E177">
      <w:pPr>
        <w:ind w:left="723" w:hanging="723" w:hangingChars="300"/>
        <w:rPr>
          <w:rFonts w:ascii="Arial" w:hAnsi="Arial" w:eastAsia="SimSun" w:cs="Arial"/>
          <w:b/>
          <w:bCs/>
          <w:sz w:val="24"/>
          <w:szCs w:val="24"/>
          <w:lang w:val="en-IN"/>
        </w:rPr>
      </w:pPr>
    </w:p>
    <w:p w14:paraId="1DBD657A">
      <w:pPr>
        <w:ind w:left="723" w:hanging="723" w:hangingChars="300"/>
        <w:rPr>
          <w:rFonts w:ascii="Arial" w:hAnsi="Arial" w:eastAsia="SimSun" w:cs="Arial"/>
          <w:b/>
          <w:bCs/>
          <w:sz w:val="24"/>
          <w:szCs w:val="24"/>
          <w:lang w:val="en-IN"/>
        </w:rPr>
      </w:pPr>
    </w:p>
    <w:p w14:paraId="05EACB98">
      <w:pPr>
        <w:ind w:left="723" w:hanging="723" w:hangingChars="300"/>
        <w:rPr>
          <w:rFonts w:ascii="Arial" w:hAnsi="Arial" w:eastAsia="SimSun" w:cs="Arial"/>
          <w:b/>
          <w:bCs/>
          <w:sz w:val="24"/>
          <w:szCs w:val="24"/>
          <w:lang w:val="en-IN"/>
        </w:rPr>
      </w:pPr>
    </w:p>
    <w:p w14:paraId="1B914AA1">
      <w:pPr>
        <w:ind w:left="723" w:hanging="723" w:hangingChars="300"/>
        <w:rPr>
          <w:rFonts w:ascii="Arial" w:hAnsi="Arial" w:eastAsia="SimSun" w:cs="Arial"/>
          <w:b/>
          <w:bCs/>
          <w:sz w:val="24"/>
          <w:szCs w:val="24"/>
          <w:lang w:val="en-IN"/>
        </w:rPr>
      </w:pPr>
      <w:r>
        <w:rPr>
          <w:rFonts w:ascii="Arial" w:hAnsi="Arial" w:eastAsia="SimSun" w:cs="Arial"/>
          <w:b/>
          <w:bCs/>
          <w:sz w:val="24"/>
          <w:szCs w:val="24"/>
          <w:lang w:val="en-IN"/>
        </w:rPr>
        <w:t xml:space="preserve">                                                 Abstract</w:t>
      </w:r>
    </w:p>
    <w:p w14:paraId="2FE8D61C">
      <w:pPr>
        <w:jc w:val="both"/>
        <w:rPr>
          <w:rFonts w:ascii="Arial" w:hAnsi="Arial" w:eastAsia="SimSun" w:cs="Arial"/>
          <w:b/>
          <w:bCs/>
          <w:sz w:val="24"/>
          <w:szCs w:val="24"/>
          <w:lang w:val="en-IN"/>
        </w:rPr>
      </w:pPr>
    </w:p>
    <w:p w14:paraId="126ABEED">
      <w:pPr>
        <w:ind w:firstLine="720"/>
        <w:jc w:val="both"/>
        <w:rPr>
          <w:rFonts w:ascii="Arial" w:hAnsi="Arial" w:cs="Arial"/>
          <w:lang w:val="en-IN"/>
        </w:rPr>
      </w:pPr>
      <w:r>
        <w:rPr>
          <w:rFonts w:ascii="Arial" w:hAnsi="Arial" w:cs="Arial"/>
          <w:lang w:val="en-IN"/>
        </w:rPr>
        <w:t xml:space="preserve">Six dogs with clinical babesiosis were presented at the Veterinary Clinical Complex, Rajendranagar, Hyderabad. Breeds affected were Labrador Retriever (2), German Shepherd, Belgian Malinois, Golden Retriever, and one non-descript (n=6). Young dogs (&lt;4 years) predominated (83.33%), and males were more affected (66.67%), possibly due to fight-related bite transmission of Babesia gibsoni in addition to ticks. Common clinical signs included fever (100%), anorexia and pale mucous membranes (83.3% each), lethargy and lymphadenopathy (66.7% each), splenomegaly and hemoglobinuria (50% each), and icterus (33.3%). Hematological findings revealed regenerative anemia, consistent thrombocytopenia (100%), and leukocytosis. Biochemical alterations included hyperbilirubinemia, elevated liver enzymes (ALT, AST, ALP), hypoalbuminemia, hyperglobulinemia, and mild azotemia in some cases. Giemsa-stained blood smears confirmed small intraerythrocytic </w:t>
      </w:r>
      <w:r>
        <w:rPr>
          <w:rFonts w:ascii="Arial" w:hAnsi="Arial" w:cs="Arial"/>
          <w:i/>
          <w:iCs/>
          <w:lang w:val="en-IN"/>
        </w:rPr>
        <w:t>B. gibsoni</w:t>
      </w:r>
      <w:r>
        <w:rPr>
          <w:rFonts w:ascii="Arial" w:hAnsi="Arial" w:cs="Arial"/>
          <w:lang w:val="en-IN"/>
        </w:rPr>
        <w:t xml:space="preserve">  piroplasms in all dogs. Ultrasonography showed splenomegaly (50%), hepatomegaly, and increased renal echogenicity in affected cases. All dogs were treated with atovaquone (13.3 mg/kg TID) and azithromycin (10 mg/kg SID) for 10 days along with supportive therapy. Clinical recovery</w:t>
      </w:r>
      <w:bookmarkStart w:id="0" w:name="_GoBack"/>
      <w:bookmarkEnd w:id="0"/>
      <w:r>
        <w:rPr>
          <w:rFonts w:ascii="Arial" w:hAnsi="Arial" w:cs="Arial"/>
          <w:lang w:val="en-IN"/>
        </w:rPr>
        <w:t xml:space="preserve"> occurred within 7-10 days, with complete hematological improvement and negative blood smears by day 30.The study highlights the characteristic hemolytic anemia, thrombocytopenia, and multisystem involvement in canine B. gibsoni infection, along with excellent therapeutic response to the atovaquone–azithromycin protocol.</w:t>
      </w:r>
    </w:p>
    <w:p w14:paraId="242B39E7">
      <w:pPr>
        <w:ind w:left="142" w:leftChars="71"/>
        <w:jc w:val="both"/>
        <w:rPr>
          <w:rFonts w:ascii="Arial" w:hAnsi="Arial" w:cs="Arial"/>
          <w:b/>
          <w:bCs/>
          <w:lang w:val="en-IN"/>
        </w:rPr>
      </w:pPr>
    </w:p>
    <w:p w14:paraId="07CE2C39">
      <w:pPr>
        <w:ind w:left="142" w:leftChars="71"/>
        <w:jc w:val="both"/>
        <w:rPr>
          <w:rFonts w:ascii="Arial" w:hAnsi="Arial" w:cs="Arial"/>
          <w:b/>
          <w:bCs/>
          <w:lang w:val="en-IN"/>
        </w:rPr>
      </w:pPr>
    </w:p>
    <w:p w14:paraId="2959286A">
      <w:pPr>
        <w:ind w:left="142" w:leftChars="71"/>
        <w:jc w:val="both"/>
        <w:rPr>
          <w:rFonts w:eastAsia="URWPalladioL-Roma"/>
          <w:b/>
          <w:bCs/>
          <w:color w:val="000000"/>
          <w:sz w:val="20"/>
          <w:szCs w:val="20"/>
          <w:lang w:val="en-IN" w:bidi="ar"/>
        </w:rPr>
      </w:pPr>
      <w:r>
        <w:rPr>
          <w:rFonts w:hint="default" w:ascii="Arial" w:hAnsi="Arial" w:cs="Arial"/>
          <w:b/>
          <w:bCs/>
          <w:i/>
          <w:iCs/>
          <w:lang w:val="en-IN"/>
        </w:rPr>
        <w:t xml:space="preserve">Key words : </w:t>
      </w:r>
      <w:r>
        <w:rPr>
          <w:rFonts w:hint="default" w:ascii="Arial" w:hAnsi="Arial" w:cs="Arial"/>
          <w:b w:val="0"/>
          <w:bCs w:val="0"/>
          <w:i/>
          <w:iCs/>
          <w:lang w:val="en-IN"/>
        </w:rPr>
        <w:t>Babesia gibsoni, Haemoglobinuria, Icterus , Azithromycin and Atavaqoune</w:t>
      </w:r>
    </w:p>
    <w:p w14:paraId="5C7027A6">
      <w:pPr>
        <w:pStyle w:val="8"/>
        <w:ind w:left="142" w:leftChars="71"/>
        <w:jc w:val="both"/>
        <w:rPr>
          <w:rFonts w:eastAsia="URWPalladioL-Roma"/>
          <w:b/>
          <w:bCs/>
          <w:color w:val="000000"/>
          <w:sz w:val="20"/>
          <w:szCs w:val="20"/>
          <w:lang w:val="en-IN" w:bidi="ar"/>
        </w:rPr>
      </w:pPr>
    </w:p>
    <w:p w14:paraId="55ADED89">
      <w:pPr>
        <w:pStyle w:val="8"/>
        <w:jc w:val="both"/>
        <w:rPr>
          <w:rFonts w:ascii="Arial" w:hAnsi="Arial" w:eastAsia="URWPalladioL-Roma" w:cs="Arial"/>
          <w:b/>
          <w:bCs/>
          <w:color w:val="000000"/>
          <w:sz w:val="22"/>
          <w:szCs w:val="22"/>
          <w:lang w:val="en-IN" w:bidi="ar"/>
        </w:rPr>
      </w:pPr>
      <w:r>
        <w:rPr>
          <w:rFonts w:ascii="Arial" w:hAnsi="Arial" w:eastAsia="URWPalladioL-Roma" w:cs="Arial"/>
          <w:b/>
          <w:bCs/>
          <w:color w:val="000000"/>
          <w:sz w:val="22"/>
          <w:szCs w:val="22"/>
          <w:lang w:val="en-IN" w:bidi="ar"/>
        </w:rPr>
        <w:t>INTRODUCTION</w:t>
      </w:r>
    </w:p>
    <w:p w14:paraId="0C7E7FA2">
      <w:pPr>
        <w:pStyle w:val="8"/>
        <w:ind w:firstLine="720"/>
        <w:jc w:val="both"/>
        <w:rPr>
          <w:rFonts w:ascii="Arial" w:hAnsi="Arial" w:cs="Arial"/>
          <w:sz w:val="20"/>
          <w:szCs w:val="20"/>
        </w:rPr>
      </w:pPr>
      <w:r>
        <w:rPr>
          <w:rFonts w:ascii="Arial" w:hAnsi="Arial" w:cs="Arial"/>
          <w:sz w:val="20"/>
          <w:szCs w:val="20"/>
        </w:rPr>
        <w:t xml:space="preserve">Canine babesiosis is a haemoprotozoan disease caused by parasites of the genus </w:t>
      </w:r>
      <w:r>
        <w:rPr>
          <w:rStyle w:val="4"/>
          <w:rFonts w:ascii="Arial" w:hAnsi="Arial" w:cs="Arial"/>
          <w:sz w:val="20"/>
          <w:szCs w:val="20"/>
        </w:rPr>
        <w:t>Babesia</w:t>
      </w:r>
      <w:r>
        <w:rPr>
          <w:rFonts w:ascii="Arial" w:hAnsi="Arial" w:cs="Arial"/>
          <w:sz w:val="20"/>
          <w:szCs w:val="20"/>
        </w:rPr>
        <w:t xml:space="preserve">. Several </w:t>
      </w:r>
      <w:r>
        <w:rPr>
          <w:rStyle w:val="4"/>
          <w:rFonts w:ascii="Arial" w:hAnsi="Arial" w:cs="Arial"/>
          <w:sz w:val="20"/>
          <w:szCs w:val="20"/>
        </w:rPr>
        <w:t>Babesia</w:t>
      </w:r>
      <w:r>
        <w:rPr>
          <w:rFonts w:ascii="Arial" w:hAnsi="Arial" w:cs="Arial"/>
          <w:sz w:val="20"/>
          <w:szCs w:val="20"/>
        </w:rPr>
        <w:t xml:space="preserve"> species occur worldwide, broadly classified into large forms (e.g., </w:t>
      </w:r>
      <w:r>
        <w:rPr>
          <w:rStyle w:val="4"/>
          <w:rFonts w:ascii="Arial" w:hAnsi="Arial" w:cs="Arial"/>
          <w:sz w:val="20"/>
          <w:szCs w:val="20"/>
        </w:rPr>
        <w:t>Babesia canis</w:t>
      </w:r>
      <w:r>
        <w:rPr>
          <w:rFonts w:ascii="Arial" w:hAnsi="Arial" w:cs="Arial"/>
          <w:sz w:val="20"/>
          <w:szCs w:val="20"/>
        </w:rPr>
        <w:t xml:space="preserve">) and small forms (e.g., </w:t>
      </w:r>
      <w:r>
        <w:rPr>
          <w:rStyle w:val="4"/>
          <w:rFonts w:ascii="Arial" w:hAnsi="Arial" w:cs="Arial"/>
          <w:sz w:val="20"/>
          <w:szCs w:val="20"/>
        </w:rPr>
        <w:t>Babesia gibsoni</w:t>
      </w:r>
      <w:r>
        <w:rPr>
          <w:rFonts w:ascii="Arial" w:hAnsi="Arial" w:cs="Arial"/>
          <w:sz w:val="20"/>
          <w:szCs w:val="20"/>
        </w:rPr>
        <w:t xml:space="preserve">). </w:t>
      </w:r>
      <w:r>
        <w:rPr>
          <w:rStyle w:val="4"/>
          <w:rFonts w:ascii="Arial" w:hAnsi="Arial" w:cs="Arial"/>
          <w:sz w:val="20"/>
          <w:szCs w:val="20"/>
        </w:rPr>
        <w:t>Babesia gibsoni</w:t>
      </w:r>
      <w:r>
        <w:rPr>
          <w:rFonts w:ascii="Arial" w:hAnsi="Arial" w:cs="Arial"/>
          <w:sz w:val="20"/>
          <w:szCs w:val="20"/>
        </w:rPr>
        <w:t xml:space="preserve"> is a small intraerythrocytic protozoan parasite that infects dogs, primarily invading red blood cells (erythrocytes), causing their rupture and resulting in hemolytic anemia.The parasite is commonly transmitted by ticks such as </w:t>
      </w:r>
      <w:r>
        <w:rPr>
          <w:rStyle w:val="4"/>
          <w:rFonts w:ascii="Arial" w:hAnsi="Arial" w:cs="Arial"/>
          <w:sz w:val="20"/>
          <w:szCs w:val="20"/>
        </w:rPr>
        <w:t>Haemaphysalis bispinosa</w:t>
      </w:r>
      <w:r>
        <w:rPr>
          <w:rFonts w:ascii="Arial" w:hAnsi="Arial" w:cs="Arial"/>
          <w:sz w:val="20"/>
          <w:szCs w:val="20"/>
        </w:rPr>
        <w:t xml:space="preserve"> and </w:t>
      </w:r>
      <w:r>
        <w:rPr>
          <w:rStyle w:val="4"/>
          <w:rFonts w:ascii="Arial" w:hAnsi="Arial" w:cs="Arial"/>
          <w:sz w:val="20"/>
          <w:szCs w:val="20"/>
        </w:rPr>
        <w:t>Haemaphysalis longicornis</w:t>
      </w:r>
      <w:r>
        <w:rPr>
          <w:rFonts w:ascii="Arial" w:hAnsi="Arial" w:cs="Arial"/>
          <w:sz w:val="20"/>
          <w:szCs w:val="20"/>
        </w:rPr>
        <w:t xml:space="preserve">. Other routes of transmission include transplacental infection and direct blood contact during dog fights. Clinically, canine babesiosis presents with a wide range of severity—from hyperacute, shock-associated hemolytic crises to mild or subclinical infections. The clinical manifestations of </w:t>
      </w:r>
      <w:r>
        <w:rPr>
          <w:rStyle w:val="4"/>
          <w:rFonts w:ascii="Arial" w:hAnsi="Arial" w:cs="Arial"/>
          <w:sz w:val="20"/>
          <w:szCs w:val="20"/>
        </w:rPr>
        <w:t>B. gibsoni</w:t>
      </w:r>
      <w:r>
        <w:rPr>
          <w:rFonts w:ascii="Arial" w:hAnsi="Arial" w:cs="Arial"/>
          <w:sz w:val="20"/>
          <w:szCs w:val="20"/>
        </w:rPr>
        <w:t xml:space="preserve"> infection are similar to those caused by </w:t>
      </w:r>
      <w:r>
        <w:rPr>
          <w:rStyle w:val="4"/>
          <w:rFonts w:ascii="Arial" w:hAnsi="Arial" w:cs="Arial"/>
          <w:sz w:val="20"/>
          <w:szCs w:val="20"/>
        </w:rPr>
        <w:t>B. canis</w:t>
      </w:r>
      <w:r>
        <w:rPr>
          <w:rFonts w:ascii="Arial" w:hAnsi="Arial" w:cs="Arial"/>
          <w:sz w:val="20"/>
          <w:szCs w:val="20"/>
        </w:rPr>
        <w:t xml:space="preserve">, including lymphadenopathy, splenomegaly, diarrhea, weight loss, proteinuria, hemoglobinuria, polyuria/polydipsia (PU/PD), and nephropathy. In most cases, the disease course is severe </w:t>
      </w:r>
      <w:r>
        <w:rPr>
          <w:rFonts w:ascii="Arial" w:hAnsi="Arial" w:cs="Arial"/>
          <w:sz w:val="20"/>
          <w:szCs w:val="20"/>
          <w:lang w:val="en-IN"/>
        </w:rPr>
        <w:t>[</w:t>
      </w:r>
      <w:r>
        <w:rPr>
          <w:rFonts w:ascii="Arial" w:hAnsi="Arial" w:eastAsia="URWPalladioL-Roma" w:cs="Arial"/>
          <w:color w:val="000000"/>
          <w:sz w:val="20"/>
          <w:szCs w:val="20"/>
          <w:lang w:bidi="ar"/>
        </w:rPr>
        <w:t>Macintire</w:t>
      </w:r>
      <w:r>
        <w:rPr>
          <w:rFonts w:ascii="Arial" w:hAnsi="Arial" w:eastAsia="URWPalladioL-Roma" w:cs="Arial"/>
          <w:color w:val="000000"/>
          <w:sz w:val="20"/>
          <w:szCs w:val="20"/>
          <w:lang w:val="en-IN" w:bidi="ar"/>
        </w:rPr>
        <w:t xml:space="preserve"> </w:t>
      </w:r>
      <w:r>
        <w:rPr>
          <w:rFonts w:ascii="Arial" w:hAnsi="Arial" w:eastAsia="URWPalladioL-Roma" w:cs="Arial"/>
          <w:i/>
          <w:iCs/>
          <w:color w:val="000000"/>
          <w:sz w:val="20"/>
          <w:szCs w:val="20"/>
          <w:lang w:val="en-IN" w:bidi="ar"/>
        </w:rPr>
        <w:t xml:space="preserve">et.al., </w:t>
      </w:r>
      <w:r>
        <w:rPr>
          <w:rFonts w:ascii="Arial" w:hAnsi="Arial" w:eastAsia="URWPalladioL-Roma" w:cs="Arial"/>
          <w:color w:val="000000"/>
          <w:sz w:val="20"/>
          <w:szCs w:val="20"/>
          <w:lang w:val="en-IN" w:bidi="ar"/>
        </w:rPr>
        <w:t xml:space="preserve">2002, </w:t>
      </w:r>
      <w:r>
        <w:rPr>
          <w:rFonts w:ascii="Arial" w:hAnsi="Arial" w:eastAsia="URWPalladioL-Roma" w:cs="Arial"/>
          <w:color w:val="000000"/>
          <w:sz w:val="20"/>
          <w:szCs w:val="20"/>
          <w:lang w:bidi="ar"/>
        </w:rPr>
        <w:t xml:space="preserve">Birkkenheuer </w:t>
      </w:r>
      <w:r>
        <w:rPr>
          <w:rFonts w:ascii="Arial" w:hAnsi="Arial" w:eastAsia="URWPalladioL-Roma" w:cs="Arial"/>
          <w:i/>
          <w:iCs/>
          <w:color w:val="000000"/>
          <w:sz w:val="20"/>
          <w:szCs w:val="20"/>
          <w:lang w:val="en-IN" w:bidi="ar"/>
        </w:rPr>
        <w:t xml:space="preserve">et.al., </w:t>
      </w:r>
      <w:r>
        <w:rPr>
          <w:rFonts w:ascii="Arial" w:hAnsi="Arial" w:eastAsia="URWPalladioL-Roma" w:cs="Arial"/>
          <w:color w:val="000000"/>
          <w:sz w:val="20"/>
          <w:szCs w:val="20"/>
          <w:lang w:val="en-IN" w:bidi="ar"/>
        </w:rPr>
        <w:t xml:space="preserve">2004 and </w:t>
      </w:r>
      <w:r>
        <w:rPr>
          <w:rFonts w:ascii="Arial" w:hAnsi="Arial" w:eastAsia="URWPalladioL-Roma" w:cs="Arial"/>
          <w:color w:val="000000"/>
          <w:sz w:val="20"/>
          <w:szCs w:val="20"/>
          <w:lang w:bidi="ar"/>
        </w:rPr>
        <w:t>Lee</w:t>
      </w:r>
      <w:r>
        <w:rPr>
          <w:rFonts w:ascii="Arial" w:hAnsi="Arial" w:eastAsia="URWPalladioL-Roma" w:cs="Arial"/>
          <w:color w:val="000000"/>
          <w:sz w:val="20"/>
          <w:szCs w:val="20"/>
          <w:lang w:val="en-IN" w:bidi="ar"/>
        </w:rPr>
        <w:t xml:space="preserve"> </w:t>
      </w:r>
      <w:r>
        <w:rPr>
          <w:rFonts w:ascii="Arial" w:hAnsi="Arial" w:eastAsia="URWPalladioL-Roma" w:cs="Arial"/>
          <w:i/>
          <w:iCs/>
          <w:color w:val="000000"/>
          <w:sz w:val="20"/>
          <w:szCs w:val="20"/>
          <w:lang w:val="en-IN" w:bidi="ar"/>
        </w:rPr>
        <w:t>et.al</w:t>
      </w:r>
      <w:r>
        <w:rPr>
          <w:rFonts w:ascii="Arial" w:hAnsi="Arial" w:eastAsia="URWPalladioL-Roma" w:cs="Arial"/>
          <w:color w:val="000000"/>
          <w:sz w:val="20"/>
          <w:szCs w:val="20"/>
          <w:lang w:val="en-IN" w:bidi="ar"/>
        </w:rPr>
        <w:t xml:space="preserve"> 2009)</w:t>
      </w:r>
      <w:r>
        <w:rPr>
          <w:rFonts w:ascii="Arial" w:hAnsi="Arial" w:cs="Arial"/>
          <w:sz w:val="20"/>
          <w:szCs w:val="20"/>
        </w:rPr>
        <w:t>. Un complicated babesiosis is typically characterized by anemia [</w:t>
      </w:r>
      <w:r>
        <w:rPr>
          <w:rFonts w:ascii="Arial" w:hAnsi="Arial" w:eastAsia="URWPalladioL-Roma" w:cs="Arial"/>
          <w:color w:val="000000"/>
          <w:sz w:val="20"/>
          <w:szCs w:val="20"/>
          <w:lang w:bidi="ar"/>
        </w:rPr>
        <w:t>Birkenheuer</w:t>
      </w:r>
      <w:r>
        <w:rPr>
          <w:rFonts w:ascii="Arial" w:hAnsi="Arial" w:eastAsia="URWPalladioL-Roma" w:cs="Arial"/>
          <w:color w:val="000000"/>
          <w:sz w:val="20"/>
          <w:szCs w:val="20"/>
          <w:lang w:val="en-IN" w:bidi="ar"/>
        </w:rPr>
        <w:t xml:space="preserve"> </w:t>
      </w:r>
      <w:r>
        <w:rPr>
          <w:rFonts w:ascii="Arial" w:hAnsi="Arial" w:eastAsia="URWPalladioL-Roma" w:cs="Arial"/>
          <w:i/>
          <w:iCs/>
          <w:color w:val="000000"/>
          <w:sz w:val="20"/>
          <w:szCs w:val="20"/>
          <w:lang w:val="en-IN" w:bidi="ar"/>
        </w:rPr>
        <w:t xml:space="preserve">et.al., </w:t>
      </w:r>
      <w:r>
        <w:rPr>
          <w:rFonts w:ascii="Arial" w:hAnsi="Arial" w:eastAsia="URWPalladioL-Roma" w:cs="Arial"/>
          <w:color w:val="000000"/>
          <w:sz w:val="20"/>
          <w:szCs w:val="20"/>
          <w:lang w:val="en-IN" w:bidi="ar"/>
        </w:rPr>
        <w:t>1999)</w:t>
      </w:r>
      <w:r>
        <w:rPr>
          <w:rFonts w:ascii="Arial" w:hAnsi="Arial" w:cs="Arial"/>
          <w:sz w:val="20"/>
          <w:szCs w:val="20"/>
        </w:rPr>
        <w:t xml:space="preserve">, whereas complicated babesiosis involves dysfunction of one or more organs </w:t>
      </w:r>
      <w:r>
        <w:rPr>
          <w:rFonts w:ascii="Arial" w:hAnsi="Arial" w:cs="Arial"/>
          <w:sz w:val="20"/>
          <w:szCs w:val="20"/>
          <w:lang w:val="en-IN"/>
        </w:rPr>
        <w:t>(</w:t>
      </w:r>
      <w:r>
        <w:rPr>
          <w:rFonts w:ascii="Arial" w:hAnsi="Arial" w:eastAsia="URWPalladioL-Roma" w:cs="Arial"/>
          <w:color w:val="000000"/>
          <w:sz w:val="20"/>
          <w:szCs w:val="20"/>
          <w:lang w:bidi="ar"/>
        </w:rPr>
        <w:t>Slade</w:t>
      </w:r>
      <w:r>
        <w:rPr>
          <w:rFonts w:ascii="Arial" w:hAnsi="Arial" w:eastAsia="URWPalladioL-Roma" w:cs="Arial"/>
          <w:color w:val="000000"/>
          <w:sz w:val="20"/>
          <w:szCs w:val="20"/>
          <w:lang w:val="en-IN" w:bidi="ar"/>
        </w:rPr>
        <w:t xml:space="preserve"> </w:t>
      </w:r>
      <w:r>
        <w:rPr>
          <w:rFonts w:ascii="Arial" w:hAnsi="Arial" w:eastAsia="URWPalladioL-Roma" w:cs="Arial"/>
          <w:i/>
          <w:iCs/>
          <w:color w:val="000000"/>
          <w:sz w:val="20"/>
          <w:szCs w:val="20"/>
          <w:lang w:val="en-IN" w:bidi="ar"/>
        </w:rPr>
        <w:t>et.al.,2011</w:t>
      </w:r>
      <w:r>
        <w:rPr>
          <w:rFonts w:ascii="Arial" w:hAnsi="Arial" w:eastAsia="URWPalladioL-Roma" w:cs="Arial"/>
          <w:color w:val="000000"/>
          <w:sz w:val="20"/>
          <w:szCs w:val="20"/>
          <w:lang w:val="en-IN" w:bidi="ar"/>
        </w:rPr>
        <w:t>)</w:t>
      </w:r>
      <w:r>
        <w:rPr>
          <w:rFonts w:ascii="Arial" w:hAnsi="Arial" w:cs="Arial"/>
          <w:sz w:val="20"/>
          <w:szCs w:val="20"/>
        </w:rPr>
        <w:t xml:space="preserve">]. Blood smear examination remains the first-line diagnostic tool; however, in cases where blood smears are negative but infection is suspected, molecular techniques such as PCR or serological tests like the indirect fluorescent antibody test (IFAT) are recommended for confirmation </w:t>
      </w:r>
      <w:r>
        <w:rPr>
          <w:rFonts w:ascii="Arial" w:hAnsi="Arial" w:eastAsia="URWPalladioL-Roma" w:cs="Arial"/>
          <w:color w:val="000000"/>
          <w:sz w:val="20"/>
          <w:szCs w:val="20"/>
          <w:lang w:val="en-IN" w:bidi="ar"/>
        </w:rPr>
        <w:t>(</w:t>
      </w:r>
      <w:r>
        <w:rPr>
          <w:rFonts w:ascii="Arial" w:hAnsi="Arial" w:eastAsia="URWPalladioL-Roma" w:cs="Arial"/>
          <w:color w:val="000000"/>
          <w:sz w:val="20"/>
          <w:szCs w:val="20"/>
          <w:lang w:bidi="ar"/>
        </w:rPr>
        <w:t>Kushwaha</w:t>
      </w:r>
      <w:r>
        <w:rPr>
          <w:rFonts w:ascii="Arial" w:hAnsi="Arial" w:eastAsia="URWPalladioL-Roma" w:cs="Arial"/>
          <w:color w:val="000000"/>
          <w:sz w:val="20"/>
          <w:szCs w:val="20"/>
          <w:lang w:val="en-IN" w:bidi="ar"/>
        </w:rPr>
        <w:t xml:space="preserve"> </w:t>
      </w:r>
      <w:r>
        <w:rPr>
          <w:rFonts w:ascii="Arial" w:hAnsi="Arial" w:eastAsia="URWPalladioL-Roma" w:cs="Arial"/>
          <w:i/>
          <w:iCs/>
          <w:color w:val="000000"/>
          <w:sz w:val="20"/>
          <w:szCs w:val="20"/>
          <w:lang w:val="en-IN" w:bidi="ar"/>
        </w:rPr>
        <w:t>et.al</w:t>
      </w:r>
      <w:r>
        <w:rPr>
          <w:rFonts w:ascii="Arial" w:hAnsi="Arial" w:eastAsia="URWPalladioL-Roma" w:cs="Arial"/>
          <w:color w:val="000000"/>
          <w:sz w:val="20"/>
          <w:szCs w:val="20"/>
          <w:lang w:val="en-IN" w:bidi="ar"/>
        </w:rPr>
        <w:t xml:space="preserve"> 2017)</w:t>
      </w:r>
      <w:r>
        <w:rPr>
          <w:rFonts w:ascii="Arial" w:hAnsi="Arial" w:cs="Arial"/>
          <w:sz w:val="20"/>
          <w:szCs w:val="20"/>
        </w:rPr>
        <w:t>.</w:t>
      </w:r>
    </w:p>
    <w:p w14:paraId="6BF31BAD">
      <w:pPr>
        <w:pStyle w:val="8"/>
        <w:jc w:val="both"/>
        <w:rPr>
          <w:rFonts w:ascii="Arial" w:hAnsi="Arial" w:eastAsia="URWPalladioL-Roma" w:cs="Arial"/>
          <w:b/>
          <w:bCs/>
          <w:color w:val="000000"/>
          <w:sz w:val="22"/>
          <w:szCs w:val="22"/>
          <w:lang w:val="en-IN" w:bidi="ar"/>
        </w:rPr>
      </w:pPr>
      <w:r>
        <w:rPr>
          <w:rFonts w:ascii="Arial" w:hAnsi="Arial" w:eastAsia="URWPalladioL-Roma" w:cs="Arial"/>
          <w:b/>
          <w:bCs/>
          <w:color w:val="000000"/>
          <w:sz w:val="22"/>
          <w:szCs w:val="22"/>
          <w:lang w:val="en-IN" w:bidi="ar"/>
        </w:rPr>
        <w:t>MATERIALS AND METHODS</w:t>
      </w:r>
    </w:p>
    <w:p w14:paraId="6879B408">
      <w:pPr>
        <w:pStyle w:val="8"/>
        <w:ind w:firstLine="720"/>
        <w:jc w:val="both"/>
        <w:rPr>
          <w:rFonts w:ascii="Arial" w:hAnsi="Arial" w:cs="Arial"/>
          <w:sz w:val="20"/>
          <w:szCs w:val="20"/>
        </w:rPr>
      </w:pPr>
      <w:r>
        <w:rPr>
          <w:rFonts w:ascii="Arial" w:hAnsi="Arial" w:cs="Arial"/>
          <w:sz w:val="20"/>
          <w:szCs w:val="20"/>
        </w:rPr>
        <w:t>A total of six animals of different ages, breeds, and sexes, presented to the Veterinary Clinical Complex (VCC), College of Veterinary Science, Rajendranagar, with clinical signs suggestive of babesiosis, were selected for the study. Detailed information regarding breed, age, and sex was systematically recorded. Each animal underwent a thorough physical and clinical examination, and all findings were carefully documented.</w:t>
      </w:r>
      <w:r>
        <w:rPr>
          <w:rFonts w:ascii="Arial" w:hAnsi="Arial" w:cs="Arial"/>
          <w:sz w:val="20"/>
          <w:szCs w:val="20"/>
          <w:lang w:val="en-IN"/>
        </w:rPr>
        <w:t xml:space="preserve"> History of tick infestation was recorded in alal the animals . </w:t>
      </w:r>
      <w:r>
        <w:rPr>
          <w:rFonts w:ascii="Arial" w:hAnsi="Arial" w:cs="Arial"/>
          <w:sz w:val="20"/>
          <w:szCs w:val="20"/>
        </w:rPr>
        <w:t xml:space="preserve">Peripheral blood smears were </w:t>
      </w:r>
      <w:r>
        <w:rPr>
          <w:rFonts w:ascii="Arial" w:hAnsi="Arial" w:cs="Arial"/>
          <w:sz w:val="20"/>
          <w:szCs w:val="20"/>
          <w:lang w:val="en-IN"/>
        </w:rPr>
        <w:t xml:space="preserve">prepared  </w:t>
      </w:r>
      <w:r>
        <w:rPr>
          <w:rFonts w:ascii="Arial" w:hAnsi="Arial" w:cs="Arial"/>
          <w:sz w:val="20"/>
          <w:szCs w:val="20"/>
        </w:rPr>
        <w:t>from the suspected animals</w:t>
      </w:r>
      <w:r>
        <w:rPr>
          <w:rFonts w:ascii="Arial" w:hAnsi="Arial" w:cs="Arial"/>
          <w:sz w:val="20"/>
          <w:szCs w:val="20"/>
          <w:lang w:val="en-IN"/>
        </w:rPr>
        <w:t xml:space="preserve"> from ear tips</w:t>
      </w:r>
      <w:r>
        <w:rPr>
          <w:rFonts w:ascii="Arial" w:hAnsi="Arial" w:cs="Arial"/>
          <w:sz w:val="20"/>
          <w:szCs w:val="20"/>
        </w:rPr>
        <w:t>, stained with Giemsa stain, and examined microscopically for the presence of intraerythrocytic piroplasms</w:t>
      </w:r>
      <w:r>
        <w:rPr>
          <w:rFonts w:ascii="Arial" w:hAnsi="Arial" w:cs="Arial"/>
          <w:sz w:val="20"/>
          <w:szCs w:val="20"/>
          <w:lang w:val="en-IN"/>
        </w:rPr>
        <w:t xml:space="preserve">. </w:t>
      </w:r>
      <w:r>
        <w:rPr>
          <w:rFonts w:ascii="Arial" w:hAnsi="Arial" w:cs="Arial"/>
          <w:sz w:val="20"/>
          <w:szCs w:val="20"/>
        </w:rPr>
        <w:t>Blood samples were collected aseptically in sterile vials with and without EDTA for hematological and biochemical analysis. Blood samples from six apparently healthy animals served as control.</w:t>
      </w:r>
      <w:r>
        <w:rPr>
          <w:rFonts w:ascii="Arial" w:hAnsi="Arial" w:cs="Arial"/>
          <w:sz w:val="20"/>
          <w:szCs w:val="20"/>
          <w:lang w:val="en-IN"/>
        </w:rPr>
        <w:t xml:space="preserve"> </w:t>
      </w:r>
      <w:r>
        <w:rPr>
          <w:rFonts w:ascii="Arial" w:hAnsi="Arial" w:cs="Arial"/>
          <w:sz w:val="20"/>
          <w:szCs w:val="20"/>
        </w:rPr>
        <w:t>Selected cases were further evaluated using diagnostic imaging techniques, such as ultrasonography, to support clinical assessment and confirm diagnosis. The final diagnosis was established based on clinical signs, serum biochemical findings, and blood smear examination.</w:t>
      </w:r>
      <w:r>
        <w:rPr>
          <w:rFonts w:ascii="Arial" w:hAnsi="Arial" w:cs="Arial"/>
          <w:sz w:val="20"/>
          <w:szCs w:val="20"/>
          <w:lang w:val="en-IN"/>
        </w:rPr>
        <w:t xml:space="preserve"> </w:t>
      </w:r>
      <w:r>
        <w:rPr>
          <w:rFonts w:ascii="Arial" w:hAnsi="Arial" w:cs="Arial"/>
          <w:sz w:val="20"/>
          <w:szCs w:val="20"/>
        </w:rPr>
        <w:t>All affected animals were treated with a combination of Azithromycin @ 10 mg/kg body weight once daily (SID) and Atovaquone @ 13.3 mg/kg body weight thrice daily (TID) for 10 days, along with appropriate supportive therapy. The data obtained were subjected to the statistical analysis described by Snedecor and Cochran</w:t>
      </w:r>
      <w:r>
        <w:rPr>
          <w:rFonts w:ascii="Arial" w:hAnsi="Arial" w:cs="Arial"/>
          <w:sz w:val="20"/>
          <w:szCs w:val="20"/>
          <w:lang w:val="en-IN"/>
        </w:rPr>
        <w:t xml:space="preserve">. </w:t>
      </w:r>
      <w:r>
        <w:rPr>
          <w:rFonts w:ascii="Arial" w:hAnsi="Arial" w:cs="Arial"/>
          <w:sz w:val="20"/>
          <w:szCs w:val="20"/>
        </w:rPr>
        <w:t>The therapeutic response was evaluated based on the resolution of clinical signs and normalization of hematobiochemical parameters.</w:t>
      </w:r>
    </w:p>
    <w:p w14:paraId="1FFC7E3C">
      <w:pPr>
        <w:pStyle w:val="8"/>
        <w:jc w:val="both"/>
        <w:rPr>
          <w:rFonts w:ascii="Arial" w:hAnsi="Arial" w:cs="Arial"/>
          <w:b/>
          <w:bCs/>
          <w:sz w:val="22"/>
          <w:szCs w:val="22"/>
          <w:lang w:val="en-IN"/>
        </w:rPr>
      </w:pPr>
    </w:p>
    <w:p w14:paraId="348389C8">
      <w:pPr>
        <w:pStyle w:val="8"/>
        <w:jc w:val="both"/>
        <w:rPr>
          <w:rFonts w:ascii="Arial" w:hAnsi="Arial" w:cs="Arial"/>
          <w:b/>
          <w:bCs/>
          <w:sz w:val="22"/>
          <w:szCs w:val="22"/>
          <w:lang w:val="en-IN"/>
        </w:rPr>
      </w:pPr>
      <w:r>
        <w:rPr>
          <w:rFonts w:ascii="Arial" w:hAnsi="Arial" w:cs="Arial"/>
          <w:b/>
          <w:bCs/>
          <w:sz w:val="22"/>
          <w:szCs w:val="22"/>
          <w:lang w:val="en-IN"/>
        </w:rPr>
        <w:t xml:space="preserve">RESULTS AND DISCUSSION </w:t>
      </w:r>
    </w:p>
    <w:p w14:paraId="35498A29">
      <w:pPr>
        <w:ind w:firstLine="720"/>
        <w:jc w:val="both"/>
        <w:rPr>
          <w:rFonts w:ascii="Arial" w:hAnsi="Arial" w:cs="Arial"/>
          <w:b/>
          <w:bCs/>
          <w:lang w:val="en-IN"/>
        </w:rPr>
      </w:pPr>
      <w:r>
        <w:rPr>
          <w:rFonts w:ascii="Arial" w:hAnsi="Arial" w:eastAsia="SimSun" w:cs="Arial"/>
        </w:rPr>
        <w:t xml:space="preserve">Six dogs of different breeds, ages, and sexes presented to the Veterinary Clinical Complex, College of Veterinary Science, Rajendranagar, exhibiting clinical signs suggestive of babesiosis. The affected breeds included </w:t>
      </w:r>
      <w:r>
        <w:rPr>
          <w:rStyle w:val="9"/>
          <w:rFonts w:ascii="Arial" w:hAnsi="Arial" w:eastAsia="SimSun" w:cs="Arial"/>
          <w:b w:val="0"/>
          <w:bCs w:val="0"/>
        </w:rPr>
        <w:t>Labrador Retrievers (2/6; 33.33%)</w:t>
      </w:r>
      <w:r>
        <w:rPr>
          <w:rFonts w:ascii="Arial" w:hAnsi="Arial" w:eastAsia="SimSun" w:cs="Arial"/>
        </w:rPr>
        <w:t xml:space="preserve">, </w:t>
      </w:r>
      <w:r>
        <w:rPr>
          <w:rStyle w:val="9"/>
          <w:rFonts w:ascii="Arial" w:hAnsi="Arial" w:eastAsia="SimSun" w:cs="Arial"/>
          <w:b w:val="0"/>
          <w:bCs w:val="0"/>
        </w:rPr>
        <w:t>German Shepherd (1/6; 16.67%)</w:t>
      </w:r>
      <w:r>
        <w:rPr>
          <w:rFonts w:ascii="Arial" w:hAnsi="Arial" w:eastAsia="SimSun" w:cs="Arial"/>
        </w:rPr>
        <w:t xml:space="preserve">, </w:t>
      </w:r>
      <w:r>
        <w:rPr>
          <w:rStyle w:val="9"/>
          <w:rFonts w:ascii="Arial" w:hAnsi="Arial" w:eastAsia="SimSun" w:cs="Arial"/>
          <w:b w:val="0"/>
          <w:bCs w:val="0"/>
        </w:rPr>
        <w:t>Belgian Malinois (1/6)</w:t>
      </w:r>
      <w:r>
        <w:rPr>
          <w:rFonts w:ascii="Arial" w:hAnsi="Arial" w:eastAsia="SimSun" w:cs="Arial"/>
        </w:rPr>
        <w:t xml:space="preserve">, </w:t>
      </w:r>
      <w:r>
        <w:rPr>
          <w:rStyle w:val="9"/>
          <w:rFonts w:ascii="Arial" w:hAnsi="Arial" w:eastAsia="SimSun" w:cs="Arial"/>
          <w:b w:val="0"/>
          <w:bCs w:val="0"/>
        </w:rPr>
        <w:t>Golden Retriever (1/6)</w:t>
      </w:r>
      <w:r>
        <w:rPr>
          <w:rFonts w:ascii="Arial" w:hAnsi="Arial" w:eastAsia="SimSun" w:cs="Arial"/>
        </w:rPr>
        <w:t xml:space="preserve">, and </w:t>
      </w:r>
      <w:r>
        <w:rPr>
          <w:rStyle w:val="9"/>
          <w:rFonts w:ascii="Arial" w:hAnsi="Arial" w:eastAsia="SimSun" w:cs="Arial"/>
          <w:b w:val="0"/>
          <w:bCs w:val="0"/>
        </w:rPr>
        <w:t>non-descript breed (1/6)</w:t>
      </w:r>
      <w:r>
        <w:rPr>
          <w:rFonts w:ascii="Arial" w:hAnsi="Arial" w:eastAsia="SimSun" w:cs="Arial"/>
        </w:rPr>
        <w:t xml:space="preserve">. </w:t>
      </w:r>
      <w:r>
        <w:rPr>
          <w:rFonts w:hint="default" w:ascii="Arial" w:hAnsi="Arial" w:cs="Arial"/>
        </w:rPr>
        <w:t>Among the six dogs infected with babesiosis five dogs were below 4 years age and remaining one dog was aged</w:t>
      </w:r>
      <w:r>
        <w:rPr>
          <w:rFonts w:hint="default" w:ascii="Arial" w:hAnsi="Arial" w:cs="Arial"/>
          <w:lang w:val="en-IN"/>
        </w:rPr>
        <w:t xml:space="preserve"> above 4 years</w:t>
      </w:r>
      <w:r>
        <w:rPr>
          <w:rFonts w:hint="default" w:ascii="Arial" w:hAnsi="Arial" w:eastAsia="SimSun" w:cs="Arial"/>
        </w:rPr>
        <w:t>.</w:t>
      </w:r>
      <w:r>
        <w:rPr>
          <w:rFonts w:ascii="Arial" w:hAnsi="Arial" w:eastAsia="SimSun" w:cs="Arial"/>
        </w:rPr>
        <w:t xml:space="preserve"> Regarding sex distribution, </w:t>
      </w:r>
      <w:r>
        <w:rPr>
          <w:rStyle w:val="9"/>
          <w:rFonts w:ascii="Arial" w:hAnsi="Arial" w:eastAsia="SimSun" w:cs="Arial"/>
          <w:b w:val="0"/>
          <w:bCs w:val="0"/>
        </w:rPr>
        <w:t>males accounted for 66.67% (4/6)</w:t>
      </w:r>
      <w:r>
        <w:rPr>
          <w:rFonts w:ascii="Arial" w:hAnsi="Arial" w:eastAsia="SimSun" w:cs="Arial"/>
        </w:rPr>
        <w:t xml:space="preserve"> of the cases, while </w:t>
      </w:r>
      <w:r>
        <w:rPr>
          <w:rStyle w:val="9"/>
          <w:rFonts w:ascii="Arial" w:hAnsi="Arial" w:eastAsia="SimSun" w:cs="Arial"/>
          <w:b w:val="0"/>
          <w:bCs w:val="0"/>
        </w:rPr>
        <w:t>females comprised 33.33% (2/6)</w:t>
      </w:r>
      <w:r>
        <w:rPr>
          <w:rFonts w:ascii="Arial" w:hAnsi="Arial" w:eastAsia="SimSun" w:cs="Arial"/>
        </w:rPr>
        <w:t>.</w:t>
      </w:r>
      <w:r>
        <w:rPr>
          <w:rFonts w:ascii="Arial" w:hAnsi="Arial" w:cs="Arial"/>
          <w:lang w:val="en-IN"/>
        </w:rPr>
        <w:t xml:space="preserve"> </w:t>
      </w:r>
      <w:r>
        <w:rPr>
          <w:rFonts w:ascii="Arial" w:hAnsi="Arial" w:eastAsia="SimSun" w:cs="Arial"/>
        </w:rPr>
        <w:t xml:space="preserve">The higher occurrence of infection in male dogs may be attributed to their </w:t>
      </w:r>
      <w:r>
        <w:rPr>
          <w:rStyle w:val="9"/>
          <w:rFonts w:ascii="Arial" w:hAnsi="Arial" w:eastAsia="SimSun" w:cs="Arial"/>
          <w:b w:val="0"/>
          <w:bCs w:val="0"/>
        </w:rPr>
        <w:t>fighting behavior</w:t>
      </w:r>
      <w:r>
        <w:rPr>
          <w:rFonts w:ascii="Arial" w:hAnsi="Arial" w:eastAsia="SimSun" w:cs="Arial"/>
        </w:rPr>
        <w:t xml:space="preserve">, which serves as a common mode of </w:t>
      </w:r>
      <w:r>
        <w:rPr>
          <w:rStyle w:val="4"/>
          <w:rFonts w:ascii="Arial" w:hAnsi="Arial" w:eastAsia="SimSun" w:cs="Arial"/>
        </w:rPr>
        <w:t>Babesia gibsoni</w:t>
      </w:r>
      <w:r>
        <w:rPr>
          <w:rFonts w:ascii="Arial" w:hAnsi="Arial" w:eastAsia="SimSun" w:cs="Arial"/>
        </w:rPr>
        <w:t xml:space="preserve"> transmission through </w:t>
      </w:r>
      <w:r>
        <w:rPr>
          <w:rStyle w:val="9"/>
          <w:rFonts w:ascii="Arial" w:hAnsi="Arial" w:eastAsia="SimSun" w:cs="Arial"/>
          <w:b w:val="0"/>
          <w:bCs w:val="0"/>
        </w:rPr>
        <w:t>bite wounds</w:t>
      </w:r>
      <w:r>
        <w:rPr>
          <w:rFonts w:ascii="Arial" w:hAnsi="Arial" w:eastAsia="SimSun" w:cs="Arial"/>
        </w:rPr>
        <w:t xml:space="preserve"> during dog fights, in addition to </w:t>
      </w:r>
      <w:r>
        <w:rPr>
          <w:rStyle w:val="9"/>
          <w:rFonts w:ascii="Arial" w:hAnsi="Arial" w:eastAsia="SimSun" w:cs="Arial"/>
          <w:b w:val="0"/>
          <w:bCs w:val="0"/>
        </w:rPr>
        <w:t>tick-borne transmission</w:t>
      </w:r>
      <w:r>
        <w:rPr>
          <w:rFonts w:ascii="Arial" w:hAnsi="Arial" w:eastAsia="SimSun" w:cs="Arial"/>
        </w:rPr>
        <w:t>.</w:t>
      </w:r>
      <w:r>
        <w:rPr>
          <w:rFonts w:ascii="Arial" w:hAnsi="Arial" w:cs="Arial"/>
          <w:lang w:val="en-IN"/>
        </w:rPr>
        <w:t xml:space="preserve"> </w:t>
      </w:r>
      <w:r>
        <w:rPr>
          <w:rFonts w:ascii="Arial" w:hAnsi="Arial" w:eastAsia="SimSun" w:cs="Arial"/>
        </w:rPr>
        <w:t xml:space="preserve">The most common clinical manifestations observed were </w:t>
      </w:r>
      <w:r>
        <w:rPr>
          <w:rStyle w:val="9"/>
          <w:rFonts w:ascii="Arial" w:hAnsi="Arial" w:eastAsia="SimSun" w:cs="Arial"/>
          <w:b w:val="0"/>
          <w:bCs w:val="0"/>
        </w:rPr>
        <w:t>fever (100%)</w:t>
      </w:r>
      <w:r>
        <w:rPr>
          <w:rFonts w:ascii="Arial" w:hAnsi="Arial" w:eastAsia="SimSun" w:cs="Arial"/>
        </w:rPr>
        <w:t xml:space="preserve">, </w:t>
      </w:r>
      <w:r>
        <w:rPr>
          <w:rStyle w:val="9"/>
          <w:rFonts w:ascii="Arial" w:hAnsi="Arial" w:eastAsia="SimSun" w:cs="Arial"/>
          <w:b w:val="0"/>
          <w:bCs w:val="0"/>
        </w:rPr>
        <w:t>anorexia (</w:t>
      </w:r>
      <w:r>
        <w:rPr>
          <w:rStyle w:val="9"/>
          <w:rFonts w:ascii="Arial" w:hAnsi="Arial" w:eastAsia="SimSun" w:cs="Arial"/>
          <w:b w:val="0"/>
          <w:bCs w:val="0"/>
          <w:lang w:val="en-IN"/>
        </w:rPr>
        <w:t xml:space="preserve"> 5/6; </w:t>
      </w:r>
      <w:r>
        <w:rPr>
          <w:rStyle w:val="9"/>
          <w:rFonts w:ascii="Arial" w:hAnsi="Arial" w:eastAsia="SimSun" w:cs="Arial"/>
          <w:b w:val="0"/>
          <w:bCs w:val="0"/>
        </w:rPr>
        <w:t>83.3%)</w:t>
      </w:r>
      <w:r>
        <w:rPr>
          <w:rFonts w:ascii="Arial" w:hAnsi="Arial" w:eastAsia="SimSun" w:cs="Arial"/>
        </w:rPr>
        <w:t xml:space="preserve">, </w:t>
      </w:r>
      <w:r>
        <w:rPr>
          <w:rStyle w:val="9"/>
          <w:rFonts w:ascii="Arial" w:hAnsi="Arial" w:eastAsia="SimSun" w:cs="Arial"/>
          <w:b w:val="0"/>
          <w:bCs w:val="0"/>
        </w:rPr>
        <w:t>pallor of mucous membranes (</w:t>
      </w:r>
      <w:r>
        <w:rPr>
          <w:rStyle w:val="9"/>
          <w:rFonts w:ascii="Arial" w:hAnsi="Arial" w:eastAsia="SimSun" w:cs="Arial"/>
          <w:b w:val="0"/>
          <w:bCs w:val="0"/>
          <w:lang w:val="en-IN"/>
        </w:rPr>
        <w:t xml:space="preserve"> 5/6; </w:t>
      </w:r>
      <w:r>
        <w:rPr>
          <w:rStyle w:val="9"/>
          <w:rFonts w:ascii="Arial" w:hAnsi="Arial" w:eastAsia="SimSun" w:cs="Arial"/>
          <w:b w:val="0"/>
          <w:bCs w:val="0"/>
        </w:rPr>
        <w:t>83.3%)</w:t>
      </w:r>
      <w:r>
        <w:rPr>
          <w:rFonts w:ascii="Arial" w:hAnsi="Arial" w:eastAsia="SimSun" w:cs="Arial"/>
        </w:rPr>
        <w:t xml:space="preserve">, </w:t>
      </w:r>
      <w:r>
        <w:rPr>
          <w:rStyle w:val="9"/>
          <w:rFonts w:ascii="Arial" w:hAnsi="Arial" w:eastAsia="SimSun" w:cs="Arial"/>
          <w:b w:val="0"/>
          <w:bCs w:val="0"/>
        </w:rPr>
        <w:t>lethargy (</w:t>
      </w:r>
      <w:r>
        <w:rPr>
          <w:rStyle w:val="9"/>
          <w:rFonts w:ascii="Arial" w:hAnsi="Arial" w:eastAsia="SimSun" w:cs="Arial"/>
          <w:b w:val="0"/>
          <w:bCs w:val="0"/>
          <w:lang w:val="en-IN"/>
        </w:rPr>
        <w:t xml:space="preserve"> 4/6; </w:t>
      </w:r>
      <w:r>
        <w:rPr>
          <w:rStyle w:val="9"/>
          <w:rFonts w:ascii="Arial" w:hAnsi="Arial" w:eastAsia="SimSun" w:cs="Arial"/>
          <w:b w:val="0"/>
          <w:bCs w:val="0"/>
        </w:rPr>
        <w:t>66.</w:t>
      </w:r>
      <w:r>
        <w:rPr>
          <w:rStyle w:val="9"/>
          <w:rFonts w:ascii="Arial" w:hAnsi="Arial" w:eastAsia="SimSun" w:cs="Arial"/>
          <w:b w:val="0"/>
          <w:bCs w:val="0"/>
          <w:lang w:val="en-IN"/>
        </w:rPr>
        <w:t>6</w:t>
      </w:r>
      <w:r>
        <w:rPr>
          <w:rStyle w:val="9"/>
          <w:rFonts w:ascii="Arial" w:hAnsi="Arial" w:eastAsia="SimSun" w:cs="Arial"/>
          <w:b w:val="0"/>
          <w:bCs w:val="0"/>
        </w:rPr>
        <w:t>7%)</w:t>
      </w:r>
      <w:r>
        <w:rPr>
          <w:rFonts w:ascii="Arial" w:hAnsi="Arial" w:eastAsia="SimSun" w:cs="Arial"/>
        </w:rPr>
        <w:t xml:space="preserve">, and </w:t>
      </w:r>
      <w:r>
        <w:rPr>
          <w:rStyle w:val="9"/>
          <w:rFonts w:ascii="Arial" w:hAnsi="Arial" w:eastAsia="SimSun" w:cs="Arial"/>
          <w:b w:val="0"/>
          <w:bCs w:val="0"/>
        </w:rPr>
        <w:t>splenomegaly (</w:t>
      </w:r>
      <w:r>
        <w:rPr>
          <w:rStyle w:val="9"/>
          <w:rFonts w:ascii="Arial" w:hAnsi="Arial" w:eastAsia="SimSun" w:cs="Arial"/>
          <w:b w:val="0"/>
          <w:bCs w:val="0"/>
          <w:lang w:val="en-IN"/>
        </w:rPr>
        <w:t xml:space="preserve">3/6; </w:t>
      </w:r>
      <w:r>
        <w:rPr>
          <w:rStyle w:val="9"/>
          <w:rFonts w:ascii="Arial" w:hAnsi="Arial" w:eastAsia="SimSun" w:cs="Arial"/>
          <w:b w:val="0"/>
          <w:bCs w:val="0"/>
        </w:rPr>
        <w:t>50%)</w:t>
      </w:r>
      <w:r>
        <w:rPr>
          <w:rStyle w:val="9"/>
          <w:rFonts w:ascii="Arial" w:hAnsi="Arial" w:eastAsia="SimSun" w:cs="Arial"/>
          <w:b w:val="0"/>
          <w:bCs w:val="0"/>
          <w:lang w:val="en-IN"/>
        </w:rPr>
        <w:t>, lymphadenopathy</w:t>
      </w:r>
      <w:r>
        <w:rPr>
          <w:rStyle w:val="9"/>
          <w:rFonts w:ascii="Arial" w:hAnsi="Arial" w:eastAsia="SimSun" w:cs="Arial"/>
          <w:b w:val="0"/>
          <w:bCs w:val="0"/>
        </w:rPr>
        <w:t>(</w:t>
      </w:r>
      <w:r>
        <w:rPr>
          <w:rStyle w:val="9"/>
          <w:rFonts w:ascii="Arial" w:hAnsi="Arial" w:eastAsia="SimSun" w:cs="Arial"/>
          <w:b w:val="0"/>
          <w:bCs w:val="0"/>
          <w:lang w:val="en-IN"/>
        </w:rPr>
        <w:t xml:space="preserve"> 4/6; </w:t>
      </w:r>
      <w:r>
        <w:rPr>
          <w:rStyle w:val="9"/>
          <w:rFonts w:ascii="Arial" w:hAnsi="Arial" w:eastAsia="SimSun" w:cs="Arial"/>
          <w:b w:val="0"/>
          <w:bCs w:val="0"/>
        </w:rPr>
        <w:t>66.</w:t>
      </w:r>
      <w:r>
        <w:rPr>
          <w:rStyle w:val="9"/>
          <w:rFonts w:ascii="Arial" w:hAnsi="Arial" w:eastAsia="SimSun" w:cs="Arial"/>
          <w:b w:val="0"/>
          <w:bCs w:val="0"/>
          <w:lang w:val="en-IN"/>
        </w:rPr>
        <w:t>6</w:t>
      </w:r>
      <w:r>
        <w:rPr>
          <w:rStyle w:val="9"/>
          <w:rFonts w:ascii="Arial" w:hAnsi="Arial" w:eastAsia="SimSun" w:cs="Arial"/>
          <w:b w:val="0"/>
          <w:bCs w:val="0"/>
        </w:rPr>
        <w:t>7%)</w:t>
      </w:r>
      <w:r>
        <w:rPr>
          <w:rStyle w:val="9"/>
          <w:rFonts w:ascii="Arial" w:hAnsi="Arial" w:eastAsia="SimSun" w:cs="Arial"/>
          <w:b w:val="0"/>
          <w:bCs w:val="0"/>
          <w:lang w:val="en-IN"/>
        </w:rPr>
        <w:t xml:space="preserve">, </w:t>
      </w:r>
      <w:r>
        <w:rPr>
          <w:rFonts w:ascii="Arial" w:hAnsi="Arial" w:eastAsia="SimSun" w:cs="Arial"/>
        </w:rPr>
        <w:t xml:space="preserve"> </w:t>
      </w:r>
      <w:r>
        <w:rPr>
          <w:rStyle w:val="9"/>
          <w:rFonts w:ascii="Arial" w:hAnsi="Arial" w:eastAsia="SimSun" w:cs="Arial"/>
          <w:b w:val="0"/>
          <w:bCs w:val="0"/>
        </w:rPr>
        <w:t>hemoglobinuri</w:t>
      </w:r>
      <w:r>
        <w:rPr>
          <w:rStyle w:val="9"/>
          <w:rFonts w:ascii="Arial" w:hAnsi="Arial" w:eastAsia="SimSun" w:cs="Arial"/>
          <w:b w:val="0"/>
          <w:bCs w:val="0"/>
          <w:lang w:val="en-IN"/>
        </w:rPr>
        <w:t xml:space="preserve">a </w:t>
      </w:r>
      <w:r>
        <w:rPr>
          <w:rStyle w:val="9"/>
          <w:rFonts w:ascii="Arial" w:hAnsi="Arial" w:eastAsia="SimSun" w:cs="Arial"/>
          <w:b w:val="0"/>
          <w:bCs w:val="0"/>
        </w:rPr>
        <w:t>(</w:t>
      </w:r>
      <w:r>
        <w:rPr>
          <w:rStyle w:val="9"/>
          <w:rFonts w:ascii="Arial" w:hAnsi="Arial" w:eastAsia="SimSun" w:cs="Arial"/>
          <w:b w:val="0"/>
          <w:bCs w:val="0"/>
          <w:lang w:val="en-IN"/>
        </w:rPr>
        <w:t xml:space="preserve">3/6; </w:t>
      </w:r>
      <w:r>
        <w:rPr>
          <w:rStyle w:val="9"/>
          <w:rFonts w:ascii="Arial" w:hAnsi="Arial" w:eastAsia="SimSun" w:cs="Arial"/>
          <w:b w:val="0"/>
          <w:bCs w:val="0"/>
        </w:rPr>
        <w:t>50%)</w:t>
      </w:r>
      <w:r>
        <w:rPr>
          <w:rStyle w:val="9"/>
          <w:rFonts w:ascii="Arial" w:hAnsi="Arial" w:eastAsia="SimSun" w:cs="Arial"/>
          <w:b w:val="0"/>
          <w:bCs w:val="0"/>
          <w:lang w:val="en-IN"/>
        </w:rPr>
        <w:t xml:space="preserve"> and </w:t>
      </w:r>
      <w:r>
        <w:rPr>
          <w:rStyle w:val="9"/>
          <w:rFonts w:ascii="Arial" w:hAnsi="Arial" w:eastAsia="SimSun" w:cs="Arial"/>
          <w:b w:val="0"/>
          <w:bCs w:val="0"/>
        </w:rPr>
        <w:t>icterus</w:t>
      </w:r>
      <w:r>
        <w:rPr>
          <w:rStyle w:val="9"/>
          <w:rFonts w:ascii="Arial" w:hAnsi="Arial" w:eastAsia="SimSun" w:cs="Arial"/>
          <w:b w:val="0"/>
          <w:bCs w:val="0"/>
          <w:lang w:val="en-IN"/>
        </w:rPr>
        <w:t xml:space="preserve"> (2/6; </w:t>
      </w:r>
      <w:r>
        <w:rPr>
          <w:rFonts w:ascii="Arial" w:hAnsi="Arial" w:cs="Arial"/>
          <w:lang w:val="en-IN"/>
        </w:rPr>
        <w:t>33.33%)</w:t>
      </w:r>
      <w:r>
        <w:rPr>
          <w:rFonts w:ascii="Arial" w:hAnsi="Arial" w:eastAsia="SimSun" w:cs="Arial"/>
        </w:rPr>
        <w:t xml:space="preserve">.These findings are in agreement with previous studies, which reported that </w:t>
      </w:r>
      <w:r>
        <w:rPr>
          <w:rStyle w:val="4"/>
          <w:rFonts w:ascii="Arial" w:hAnsi="Arial" w:eastAsia="SimSun" w:cs="Arial"/>
        </w:rPr>
        <w:t>B. gibsoni</w:t>
      </w:r>
      <w:r>
        <w:rPr>
          <w:rFonts w:ascii="Arial" w:hAnsi="Arial" w:eastAsia="SimSun" w:cs="Arial"/>
        </w:rPr>
        <w:t xml:space="preserve"> infection commonly manifests as fever, anemia, lethargy, and splenomegaly due to intravascular hemolysis and immune-mediated erythrocyte destruction (Singh et al., 2023; Tóthová et al., 2022).</w:t>
      </w:r>
      <w:r>
        <w:rPr>
          <w:rFonts w:ascii="Arial" w:hAnsi="Arial" w:eastAsia="SimSun" w:cs="Arial"/>
          <w:lang w:val="en-IN"/>
        </w:rPr>
        <w:t>Other non specific sings included were vomiting, diarrhoea and weight loss ( 1/6;</w:t>
      </w:r>
      <w:r>
        <w:rPr>
          <w:rFonts w:ascii="Arial" w:hAnsi="Arial" w:cs="Arial"/>
          <w:lang w:val="en-IN"/>
        </w:rPr>
        <w:t>16.67% each).</w:t>
      </w:r>
      <w:r>
        <w:rPr>
          <w:rFonts w:ascii="Arial" w:hAnsi="Arial" w:eastAsia="SimSun" w:cs="Arial"/>
          <w:lang w:val="en-IN"/>
        </w:rPr>
        <w:t xml:space="preserve"> </w:t>
      </w:r>
    </w:p>
    <w:p w14:paraId="61460BD4">
      <w:pPr>
        <w:pStyle w:val="8"/>
        <w:ind w:firstLine="720"/>
        <w:jc w:val="both"/>
        <w:rPr>
          <w:rFonts w:ascii="Arial" w:hAnsi="Arial" w:cs="Arial"/>
          <w:sz w:val="20"/>
          <w:szCs w:val="20"/>
        </w:rPr>
      </w:pPr>
      <w:r>
        <w:rPr>
          <w:rFonts w:ascii="Arial" w:hAnsi="Arial" w:cs="Arial"/>
          <w:sz w:val="20"/>
          <w:szCs w:val="20"/>
        </w:rPr>
        <w:t xml:space="preserve">Haematological analysis revealed a </w:t>
      </w:r>
      <w:r>
        <w:rPr>
          <w:rFonts w:ascii="Arial" w:hAnsi="Arial" w:cs="Arial"/>
          <w:sz w:val="20"/>
          <w:szCs w:val="20"/>
          <w:lang w:val="en-IN"/>
        </w:rPr>
        <w:t xml:space="preserve">significant </w:t>
      </w:r>
      <w:r>
        <w:rPr>
          <w:rFonts w:ascii="Arial" w:hAnsi="Arial" w:cs="Arial"/>
          <w:sz w:val="20"/>
          <w:szCs w:val="20"/>
        </w:rPr>
        <w:t>(p &lt; 0.05)</w:t>
      </w:r>
      <w:r>
        <w:rPr>
          <w:rFonts w:ascii="Arial" w:hAnsi="Arial" w:cs="Arial"/>
          <w:sz w:val="20"/>
          <w:szCs w:val="20"/>
          <w:lang w:val="en-IN"/>
        </w:rPr>
        <w:t xml:space="preserve"> </w:t>
      </w:r>
      <w:r>
        <w:rPr>
          <w:rStyle w:val="9"/>
          <w:rFonts w:ascii="Arial" w:hAnsi="Arial" w:cs="Arial"/>
          <w:b w:val="0"/>
          <w:bCs w:val="0"/>
          <w:sz w:val="20"/>
          <w:szCs w:val="20"/>
        </w:rPr>
        <w:t>decrease in hemoglobin (Hb)</w:t>
      </w:r>
      <w:r>
        <w:rPr>
          <w:rFonts w:ascii="Arial" w:hAnsi="Arial" w:cs="Arial"/>
          <w:sz w:val="20"/>
          <w:szCs w:val="20"/>
        </w:rPr>
        <w:t xml:space="preserve">, </w:t>
      </w:r>
      <w:r>
        <w:rPr>
          <w:rStyle w:val="9"/>
          <w:rFonts w:ascii="Arial" w:hAnsi="Arial" w:cs="Arial"/>
          <w:b w:val="0"/>
          <w:bCs w:val="0"/>
          <w:sz w:val="20"/>
          <w:szCs w:val="20"/>
        </w:rPr>
        <w:t>packed cell volume (PCV)</w:t>
      </w:r>
      <w:r>
        <w:rPr>
          <w:rFonts w:ascii="Arial" w:hAnsi="Arial" w:cs="Arial"/>
          <w:sz w:val="20"/>
          <w:szCs w:val="20"/>
        </w:rPr>
        <w:t xml:space="preserve">, and </w:t>
      </w:r>
      <w:r>
        <w:rPr>
          <w:rStyle w:val="9"/>
          <w:rFonts w:ascii="Arial" w:hAnsi="Arial" w:cs="Arial"/>
          <w:b w:val="0"/>
          <w:bCs w:val="0"/>
          <w:sz w:val="20"/>
          <w:szCs w:val="20"/>
        </w:rPr>
        <w:t>total erythrocyte count (TEC)</w:t>
      </w:r>
      <w:r>
        <w:rPr>
          <w:rFonts w:ascii="Arial" w:hAnsi="Arial" w:cs="Arial"/>
          <w:sz w:val="20"/>
          <w:szCs w:val="20"/>
        </w:rPr>
        <w:t xml:space="preserve"> in infected dogs compared to healthy controls (Table 1).</w:t>
      </w:r>
      <w:r>
        <w:rPr>
          <w:rFonts w:ascii="Arial" w:hAnsi="Arial" w:cs="Arial"/>
          <w:sz w:val="20"/>
          <w:szCs w:val="20"/>
          <w:lang w:val="en-IN"/>
        </w:rPr>
        <w:t xml:space="preserve"> Similar findings were also reported by </w:t>
      </w:r>
      <w:r>
        <w:rPr>
          <w:rFonts w:ascii="Arial" w:hAnsi="Arial" w:eastAsia="Consolas" w:cs="Arial"/>
          <w:color w:val="1B1B1B"/>
          <w:sz w:val="20"/>
          <w:szCs w:val="20"/>
          <w:shd w:val="clear" w:color="auto" w:fill="FFFFFF"/>
        </w:rPr>
        <w:t>Bilwal</w:t>
      </w:r>
      <w:r>
        <w:rPr>
          <w:rFonts w:ascii="Arial" w:hAnsi="Arial" w:eastAsia="Consolas" w:cs="Arial"/>
          <w:color w:val="1B1B1B"/>
          <w:sz w:val="20"/>
          <w:szCs w:val="20"/>
          <w:shd w:val="clear" w:color="auto" w:fill="FFFFFF"/>
          <w:lang w:val="en-IN"/>
        </w:rPr>
        <w:t xml:space="preserve"> et.al 2017. </w:t>
      </w:r>
      <w:r>
        <w:rPr>
          <w:rFonts w:ascii="Arial" w:hAnsi="Arial" w:cs="Arial"/>
          <w:sz w:val="20"/>
          <w:szCs w:val="20"/>
        </w:rPr>
        <w:t xml:space="preserve"> </w:t>
      </w:r>
      <w:r>
        <w:rPr>
          <w:rStyle w:val="9"/>
          <w:rFonts w:ascii="Arial" w:hAnsi="Arial" w:cs="Arial"/>
          <w:b w:val="0"/>
          <w:bCs w:val="0"/>
          <w:sz w:val="20"/>
          <w:szCs w:val="20"/>
        </w:rPr>
        <w:t>Thrombocytopenia</w:t>
      </w:r>
      <w:r>
        <w:rPr>
          <w:rFonts w:ascii="Arial" w:hAnsi="Arial" w:cs="Arial"/>
          <w:sz w:val="20"/>
          <w:szCs w:val="20"/>
        </w:rPr>
        <w:t xml:space="preserve"> was a consistent finding (100%), which is a hallmark of </w:t>
      </w:r>
      <w:r>
        <w:rPr>
          <w:rStyle w:val="4"/>
          <w:rFonts w:ascii="Arial" w:hAnsi="Arial" w:cs="Arial"/>
          <w:sz w:val="20"/>
          <w:szCs w:val="20"/>
        </w:rPr>
        <w:t>Babesia gibsoni</w:t>
      </w:r>
      <w:r>
        <w:rPr>
          <w:rFonts w:ascii="Arial" w:hAnsi="Arial" w:cs="Arial"/>
          <w:sz w:val="20"/>
          <w:szCs w:val="20"/>
        </w:rPr>
        <w:t xml:space="preserve"> infection, as reported by Birkenheuer </w:t>
      </w:r>
      <w:r>
        <w:rPr>
          <w:rFonts w:ascii="Arial" w:hAnsi="Arial" w:cs="Arial"/>
          <w:i/>
          <w:iCs/>
          <w:sz w:val="20"/>
          <w:szCs w:val="20"/>
        </w:rPr>
        <w:t>et al</w:t>
      </w:r>
      <w:r>
        <w:rPr>
          <w:rFonts w:ascii="Arial" w:hAnsi="Arial" w:cs="Arial"/>
          <w:sz w:val="20"/>
          <w:szCs w:val="20"/>
        </w:rPr>
        <w:t>. (2</w:t>
      </w:r>
      <w:r>
        <w:rPr>
          <w:rFonts w:ascii="Arial" w:hAnsi="Arial" w:cs="Arial"/>
          <w:sz w:val="20"/>
          <w:szCs w:val="20"/>
          <w:lang w:val="en-IN"/>
        </w:rPr>
        <w:t>004</w:t>
      </w:r>
      <w:r>
        <w:rPr>
          <w:rFonts w:ascii="Arial" w:hAnsi="Arial" w:cs="Arial"/>
          <w:sz w:val="20"/>
          <w:szCs w:val="20"/>
        </w:rPr>
        <w:t xml:space="preserve">). </w:t>
      </w:r>
      <w:r>
        <w:rPr>
          <w:rFonts w:ascii="Arial" w:hAnsi="Arial" w:cs="Arial"/>
          <w:sz w:val="20"/>
          <w:szCs w:val="20"/>
          <w:lang w:val="en-IN"/>
        </w:rPr>
        <w:t xml:space="preserve"> </w:t>
      </w:r>
      <w:r>
        <w:rPr>
          <w:rFonts w:ascii="Arial" w:hAnsi="Arial" w:cs="Arial"/>
          <w:sz w:val="20"/>
          <w:szCs w:val="20"/>
        </w:rPr>
        <w:t xml:space="preserve">A significant (p &lt; 0.05) elevation in leukocyte counts observed in </w:t>
      </w:r>
      <w:r>
        <w:rPr>
          <w:rStyle w:val="4"/>
          <w:rFonts w:ascii="Arial" w:hAnsi="Arial" w:cs="Arial"/>
          <w:sz w:val="20"/>
          <w:szCs w:val="20"/>
        </w:rPr>
        <w:t>Babesia</w:t>
      </w:r>
      <w:r>
        <w:rPr>
          <w:rFonts w:ascii="Arial" w:hAnsi="Arial" w:cs="Arial"/>
          <w:sz w:val="20"/>
          <w:szCs w:val="20"/>
        </w:rPr>
        <w:t xml:space="preserve">-affected dogs may be attributed to the </w:t>
      </w:r>
      <w:r>
        <w:rPr>
          <w:rStyle w:val="9"/>
          <w:rFonts w:ascii="Arial" w:hAnsi="Arial" w:cs="Arial"/>
          <w:b w:val="0"/>
          <w:bCs w:val="0"/>
          <w:sz w:val="20"/>
          <w:szCs w:val="20"/>
        </w:rPr>
        <w:t>immune response mounted against the parasite</w:t>
      </w:r>
      <w:r>
        <w:rPr>
          <w:rFonts w:ascii="Arial" w:hAnsi="Arial" w:cs="Arial"/>
          <w:sz w:val="20"/>
          <w:szCs w:val="20"/>
        </w:rPr>
        <w:t xml:space="preserve"> and the </w:t>
      </w:r>
      <w:r>
        <w:rPr>
          <w:rStyle w:val="9"/>
          <w:rFonts w:ascii="Arial" w:hAnsi="Arial" w:cs="Arial"/>
          <w:b w:val="0"/>
          <w:bCs w:val="0"/>
          <w:sz w:val="20"/>
          <w:szCs w:val="20"/>
        </w:rPr>
        <w:t>severity of the infection</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 xml:space="preserve">The hematological alterations observed are attributed to the </w:t>
      </w:r>
      <w:r>
        <w:rPr>
          <w:rStyle w:val="9"/>
          <w:rFonts w:ascii="Arial" w:hAnsi="Arial" w:cs="Arial"/>
          <w:b w:val="0"/>
          <w:bCs w:val="0"/>
          <w:sz w:val="20"/>
          <w:szCs w:val="20"/>
        </w:rPr>
        <w:t>destruction of parasitized erythrocytes</w:t>
      </w:r>
      <w:r>
        <w:rPr>
          <w:rFonts w:ascii="Arial" w:hAnsi="Arial" w:cs="Arial"/>
          <w:sz w:val="20"/>
          <w:szCs w:val="20"/>
        </w:rPr>
        <w:t xml:space="preserve">, </w:t>
      </w:r>
      <w:r>
        <w:rPr>
          <w:rStyle w:val="9"/>
          <w:rFonts w:ascii="Arial" w:hAnsi="Arial" w:cs="Arial"/>
          <w:b w:val="0"/>
          <w:bCs w:val="0"/>
          <w:sz w:val="20"/>
          <w:szCs w:val="20"/>
        </w:rPr>
        <w:t>immune-mediated hemolysis</w:t>
      </w:r>
      <w:r>
        <w:rPr>
          <w:rFonts w:ascii="Arial" w:hAnsi="Arial" w:cs="Arial"/>
          <w:sz w:val="20"/>
          <w:szCs w:val="20"/>
        </w:rPr>
        <w:t xml:space="preserve">, and </w:t>
      </w:r>
      <w:r>
        <w:rPr>
          <w:rStyle w:val="9"/>
          <w:rFonts w:ascii="Arial" w:hAnsi="Arial" w:cs="Arial"/>
          <w:b w:val="0"/>
          <w:bCs w:val="0"/>
          <w:sz w:val="20"/>
          <w:szCs w:val="20"/>
        </w:rPr>
        <w:t>splenic sequestration</w:t>
      </w:r>
      <w:r>
        <w:rPr>
          <w:rFonts w:ascii="Arial" w:hAnsi="Arial" w:cs="Arial"/>
          <w:sz w:val="20"/>
          <w:szCs w:val="20"/>
        </w:rPr>
        <w:t xml:space="preserve"> (Vial &amp; Gorenflot, 20</w:t>
      </w:r>
      <w:r>
        <w:rPr>
          <w:rFonts w:ascii="Arial" w:hAnsi="Arial" w:cs="Arial"/>
          <w:sz w:val="20"/>
          <w:szCs w:val="20"/>
          <w:lang w:val="en-IN"/>
        </w:rPr>
        <w:t>06</w:t>
      </w:r>
      <w:r>
        <w:rPr>
          <w:rFonts w:ascii="Arial" w:hAnsi="Arial" w:cs="Arial"/>
          <w:sz w:val="20"/>
          <w:szCs w:val="20"/>
        </w:rPr>
        <w:t xml:space="preserve">). Compared to healthy controls, the mean PCV and Hb values were significantly reduced (p &lt; 0.05), confirming the presence of </w:t>
      </w:r>
      <w:r>
        <w:rPr>
          <w:rStyle w:val="9"/>
          <w:rFonts w:ascii="Arial" w:hAnsi="Arial" w:cs="Arial"/>
          <w:b w:val="0"/>
          <w:bCs w:val="0"/>
          <w:sz w:val="20"/>
          <w:szCs w:val="20"/>
        </w:rPr>
        <w:t>regenerative anemia</w:t>
      </w:r>
      <w:r>
        <w:rPr>
          <w:rFonts w:ascii="Arial" w:hAnsi="Arial" w:cs="Arial"/>
          <w:sz w:val="20"/>
          <w:szCs w:val="20"/>
        </w:rPr>
        <w:t xml:space="preserve"> in affected dogs.</w:t>
      </w:r>
    </w:p>
    <w:p w14:paraId="5740A20D">
      <w:pPr>
        <w:pStyle w:val="8"/>
        <w:ind w:firstLine="720"/>
        <w:jc w:val="both"/>
        <w:rPr>
          <w:rFonts w:ascii="Arial" w:hAnsi="Arial" w:cs="Arial"/>
          <w:sz w:val="20"/>
          <w:szCs w:val="20"/>
        </w:rPr>
      </w:pPr>
      <w:r>
        <w:rPr>
          <w:rFonts w:ascii="Arial" w:hAnsi="Arial" w:cs="Arial"/>
          <w:sz w:val="20"/>
          <w:szCs w:val="20"/>
        </w:rPr>
        <w:t xml:space="preserve">Biochemical analysis showed </w:t>
      </w:r>
      <w:r>
        <w:rPr>
          <w:rFonts w:ascii="Arial" w:hAnsi="Arial" w:cs="Arial"/>
          <w:sz w:val="20"/>
          <w:szCs w:val="20"/>
          <w:lang w:val="en-IN"/>
        </w:rPr>
        <w:t xml:space="preserve">significantly </w:t>
      </w:r>
      <w:r>
        <w:rPr>
          <w:rFonts w:ascii="Arial" w:hAnsi="Arial" w:cs="Arial"/>
          <w:sz w:val="20"/>
          <w:szCs w:val="20"/>
        </w:rPr>
        <w:t>(p &lt; 0.05)</w:t>
      </w:r>
      <w:r>
        <w:rPr>
          <w:rFonts w:ascii="Arial" w:hAnsi="Arial" w:cs="Arial"/>
          <w:sz w:val="20"/>
          <w:szCs w:val="20"/>
          <w:lang w:val="en-IN"/>
        </w:rPr>
        <w:t xml:space="preserve"> </w:t>
      </w:r>
      <w:r>
        <w:rPr>
          <w:rStyle w:val="9"/>
          <w:rFonts w:ascii="Arial" w:hAnsi="Arial" w:cs="Arial"/>
          <w:b w:val="0"/>
          <w:bCs w:val="0"/>
          <w:sz w:val="20"/>
          <w:szCs w:val="20"/>
        </w:rPr>
        <w:t xml:space="preserve">elevated total bilirubin, ALT, </w:t>
      </w:r>
      <w:r>
        <w:rPr>
          <w:rStyle w:val="9"/>
          <w:rFonts w:ascii="Arial" w:hAnsi="Arial" w:cs="Arial"/>
          <w:b w:val="0"/>
          <w:bCs w:val="0"/>
          <w:sz w:val="20"/>
          <w:szCs w:val="20"/>
          <w:lang w:val="en-IN"/>
        </w:rPr>
        <w:t xml:space="preserve">ALP </w:t>
      </w:r>
      <w:r>
        <w:rPr>
          <w:rStyle w:val="9"/>
          <w:rFonts w:ascii="Arial" w:hAnsi="Arial" w:cs="Arial"/>
          <w:b w:val="0"/>
          <w:bCs w:val="0"/>
          <w:sz w:val="20"/>
          <w:szCs w:val="20"/>
        </w:rPr>
        <w:t>and AST levels</w:t>
      </w:r>
      <w:r>
        <w:rPr>
          <w:rFonts w:ascii="Arial" w:hAnsi="Arial" w:cs="Arial"/>
          <w:sz w:val="20"/>
          <w:szCs w:val="20"/>
        </w:rPr>
        <w:t xml:space="preserve">, indicating hepatic involvement secondary to hemolysis. </w:t>
      </w:r>
      <w:r>
        <w:rPr>
          <w:rStyle w:val="9"/>
          <w:rFonts w:ascii="Arial" w:hAnsi="Arial" w:cs="Arial"/>
          <w:b w:val="0"/>
          <w:bCs w:val="0"/>
          <w:sz w:val="20"/>
          <w:szCs w:val="20"/>
        </w:rPr>
        <w:t>Total protein</w:t>
      </w:r>
      <w:r>
        <w:rPr>
          <w:rFonts w:ascii="Arial" w:hAnsi="Arial" w:cs="Arial"/>
          <w:sz w:val="20"/>
          <w:szCs w:val="20"/>
        </w:rPr>
        <w:t xml:space="preserve"> and </w:t>
      </w:r>
      <w:r>
        <w:rPr>
          <w:rStyle w:val="9"/>
          <w:rFonts w:ascii="Arial" w:hAnsi="Arial" w:cs="Arial"/>
          <w:b w:val="0"/>
          <w:bCs w:val="0"/>
          <w:sz w:val="20"/>
          <w:szCs w:val="20"/>
        </w:rPr>
        <w:t>globulin</w:t>
      </w:r>
      <w:r>
        <w:rPr>
          <w:rFonts w:ascii="Arial" w:hAnsi="Arial" w:cs="Arial"/>
          <w:sz w:val="20"/>
          <w:szCs w:val="20"/>
        </w:rPr>
        <w:t xml:space="preserve"> levels were significantly (p &lt; 0.05) higher in infected dogs, whereas </w:t>
      </w:r>
      <w:r>
        <w:rPr>
          <w:rStyle w:val="9"/>
          <w:rFonts w:ascii="Arial" w:hAnsi="Arial" w:cs="Arial"/>
          <w:b w:val="0"/>
          <w:bCs w:val="0"/>
          <w:sz w:val="20"/>
          <w:szCs w:val="20"/>
        </w:rPr>
        <w:t>serum albumin</w:t>
      </w:r>
      <w:r>
        <w:rPr>
          <w:rFonts w:ascii="Arial" w:hAnsi="Arial" w:cs="Arial"/>
          <w:sz w:val="20"/>
          <w:szCs w:val="20"/>
        </w:rPr>
        <w:t xml:space="preserve"> w</w:t>
      </w:r>
      <w:r>
        <w:rPr>
          <w:rFonts w:ascii="Arial" w:hAnsi="Arial" w:cs="Arial"/>
          <w:sz w:val="20"/>
          <w:szCs w:val="20"/>
          <w:lang w:val="en-IN"/>
        </w:rPr>
        <w:t xml:space="preserve">a significantly </w:t>
      </w:r>
      <w:r>
        <w:rPr>
          <w:rFonts w:ascii="Arial" w:hAnsi="Arial" w:cs="Arial"/>
          <w:sz w:val="20"/>
          <w:szCs w:val="20"/>
        </w:rPr>
        <w:t>(p &lt; 0.05) reduced</w:t>
      </w:r>
      <w:r>
        <w:rPr>
          <w:rFonts w:ascii="Arial" w:hAnsi="Arial" w:cs="Arial"/>
          <w:sz w:val="20"/>
          <w:szCs w:val="20"/>
          <w:lang w:val="en-IN"/>
        </w:rPr>
        <w:t xml:space="preserve"> (Table 2). S</w:t>
      </w:r>
      <w:r>
        <w:rPr>
          <w:rFonts w:ascii="Arial" w:hAnsi="Arial" w:cs="Arial"/>
          <w:sz w:val="20"/>
          <w:szCs w:val="20"/>
        </w:rPr>
        <w:t xml:space="preserve">imilar patterns were observed by </w:t>
      </w:r>
      <w:r>
        <w:rPr>
          <w:rFonts w:ascii="Arial" w:hAnsi="Arial" w:eastAsia="Consolas" w:cs="Arial"/>
          <w:color w:val="1B1B1B"/>
          <w:sz w:val="20"/>
          <w:szCs w:val="20"/>
          <w:shd w:val="clear" w:color="auto" w:fill="FFFFFF"/>
        </w:rPr>
        <w:t>Bilwal</w:t>
      </w:r>
      <w:r>
        <w:rPr>
          <w:rFonts w:ascii="Arial" w:hAnsi="Arial" w:eastAsia="Consolas" w:cs="Arial"/>
          <w:color w:val="1B1B1B"/>
          <w:sz w:val="20"/>
          <w:szCs w:val="20"/>
          <w:shd w:val="clear" w:color="auto" w:fill="FFFFFF"/>
          <w:lang w:val="en-IN"/>
        </w:rPr>
        <w:t xml:space="preserve"> </w:t>
      </w:r>
      <w:r>
        <w:rPr>
          <w:rFonts w:ascii="Arial" w:hAnsi="Arial" w:eastAsia="Consolas" w:cs="Arial"/>
          <w:i/>
          <w:iCs/>
          <w:color w:val="1B1B1B"/>
          <w:sz w:val="20"/>
          <w:szCs w:val="20"/>
          <w:shd w:val="clear" w:color="auto" w:fill="FFFFFF"/>
          <w:lang w:val="en-IN"/>
        </w:rPr>
        <w:t>et.al</w:t>
      </w:r>
      <w:r>
        <w:rPr>
          <w:rFonts w:ascii="Arial" w:hAnsi="Arial" w:eastAsia="Consolas" w:cs="Arial"/>
          <w:color w:val="1B1B1B"/>
          <w:sz w:val="20"/>
          <w:szCs w:val="20"/>
          <w:shd w:val="clear" w:color="auto" w:fill="FFFFFF"/>
          <w:lang w:val="en-IN"/>
        </w:rPr>
        <w:t xml:space="preserve"> (2017) and </w:t>
      </w:r>
      <w:r>
        <w:rPr>
          <w:rFonts w:ascii="Arial" w:hAnsi="Arial" w:cs="Arial"/>
          <w:sz w:val="20"/>
          <w:szCs w:val="20"/>
        </w:rPr>
        <w:t xml:space="preserve">Tothova </w:t>
      </w:r>
      <w:r>
        <w:rPr>
          <w:rFonts w:ascii="Arial" w:hAnsi="Arial" w:cs="Arial"/>
          <w:i/>
          <w:iCs/>
          <w:sz w:val="20"/>
          <w:szCs w:val="20"/>
        </w:rPr>
        <w:t xml:space="preserve">et al. </w:t>
      </w:r>
      <w:r>
        <w:rPr>
          <w:rFonts w:ascii="Arial" w:hAnsi="Arial" w:cs="Arial"/>
          <w:sz w:val="20"/>
          <w:szCs w:val="20"/>
        </w:rPr>
        <w:t>(202</w:t>
      </w:r>
      <w:r>
        <w:rPr>
          <w:rFonts w:ascii="Arial" w:hAnsi="Arial" w:cs="Arial"/>
          <w:sz w:val="20"/>
          <w:szCs w:val="20"/>
          <w:lang w:val="en-IN"/>
        </w:rPr>
        <w:t>0</w:t>
      </w:r>
      <w:r>
        <w:rPr>
          <w:rFonts w:ascii="Arial" w:hAnsi="Arial" w:cs="Arial"/>
          <w:sz w:val="20"/>
          <w:szCs w:val="20"/>
        </w:rPr>
        <w:t xml:space="preserve">), who reported hypoalbuminemia and hyperglobulinemia in </w:t>
      </w:r>
      <w:r>
        <w:rPr>
          <w:rStyle w:val="4"/>
          <w:rFonts w:ascii="Arial" w:hAnsi="Arial" w:cs="Arial"/>
          <w:sz w:val="20"/>
          <w:szCs w:val="20"/>
        </w:rPr>
        <w:t>B. gibsoni</w:t>
      </w:r>
      <w:r>
        <w:rPr>
          <w:rFonts w:ascii="Arial" w:hAnsi="Arial" w:cs="Arial"/>
          <w:sz w:val="20"/>
          <w:szCs w:val="20"/>
        </w:rPr>
        <w:t>-infected dogs due to chronic antigenic stimulation and immune activation.</w:t>
      </w:r>
      <w:r>
        <w:rPr>
          <w:rFonts w:ascii="Arial" w:hAnsi="Arial" w:cs="Arial"/>
          <w:sz w:val="20"/>
          <w:szCs w:val="20"/>
          <w:lang w:val="en-IN"/>
        </w:rPr>
        <w:t xml:space="preserve"> </w:t>
      </w:r>
      <w:r>
        <w:rPr>
          <w:rFonts w:ascii="Arial" w:hAnsi="Arial" w:cs="Arial"/>
          <w:sz w:val="20"/>
          <w:szCs w:val="20"/>
        </w:rPr>
        <w:t>According to T</w:t>
      </w:r>
      <w:r>
        <w:rPr>
          <w:rFonts w:ascii="Arial" w:hAnsi="Arial" w:cs="Arial"/>
          <w:sz w:val="20"/>
          <w:szCs w:val="20"/>
          <w:lang w:val="en-IN"/>
        </w:rPr>
        <w:t>o</w:t>
      </w:r>
      <w:r>
        <w:rPr>
          <w:rFonts w:ascii="Arial" w:hAnsi="Arial" w:cs="Arial"/>
          <w:sz w:val="20"/>
          <w:szCs w:val="20"/>
        </w:rPr>
        <w:t>thov</w:t>
      </w:r>
      <w:r>
        <w:rPr>
          <w:rFonts w:ascii="Arial" w:hAnsi="Arial" w:cs="Arial"/>
          <w:sz w:val="20"/>
          <w:szCs w:val="20"/>
          <w:lang w:val="en-IN"/>
        </w:rPr>
        <w:t>a</w:t>
      </w:r>
      <w:r>
        <w:rPr>
          <w:rFonts w:ascii="Arial" w:hAnsi="Arial" w:cs="Arial"/>
          <w:sz w:val="20"/>
          <w:szCs w:val="20"/>
        </w:rPr>
        <w:t xml:space="preserve"> </w:t>
      </w:r>
      <w:r>
        <w:rPr>
          <w:rFonts w:ascii="Arial" w:hAnsi="Arial" w:cs="Arial"/>
          <w:i/>
          <w:iCs/>
          <w:sz w:val="20"/>
          <w:szCs w:val="20"/>
        </w:rPr>
        <w:t>et</w:t>
      </w:r>
      <w:r>
        <w:rPr>
          <w:rFonts w:ascii="Arial" w:hAnsi="Arial" w:cs="Arial"/>
          <w:i/>
          <w:iCs/>
          <w:sz w:val="20"/>
          <w:szCs w:val="20"/>
          <w:lang w:val="en-IN"/>
        </w:rPr>
        <w:t>.</w:t>
      </w:r>
      <w:r>
        <w:rPr>
          <w:rFonts w:ascii="Arial" w:hAnsi="Arial" w:cs="Arial"/>
          <w:i/>
          <w:iCs/>
          <w:sz w:val="20"/>
          <w:szCs w:val="20"/>
        </w:rPr>
        <w:t xml:space="preserve"> al</w:t>
      </w:r>
      <w:r>
        <w:rPr>
          <w:rFonts w:ascii="Arial" w:hAnsi="Arial" w:cs="Arial"/>
          <w:sz w:val="20"/>
          <w:szCs w:val="20"/>
          <w:lang w:val="en-IN"/>
        </w:rPr>
        <w:t xml:space="preserve"> (2020)</w:t>
      </w:r>
      <w:r>
        <w:rPr>
          <w:rFonts w:ascii="Arial" w:hAnsi="Arial" w:cs="Arial"/>
          <w:sz w:val="20"/>
          <w:szCs w:val="20"/>
        </w:rPr>
        <w:t xml:space="preserve">. </w:t>
      </w:r>
      <w:r>
        <w:rPr>
          <w:rFonts w:ascii="Arial" w:hAnsi="Arial" w:cs="Arial"/>
          <w:sz w:val="20"/>
          <w:szCs w:val="20"/>
          <w:lang w:val="en-IN"/>
        </w:rPr>
        <w:t>D</w:t>
      </w:r>
      <w:r>
        <w:rPr>
          <w:rFonts w:ascii="Arial" w:hAnsi="Arial" w:cs="Arial"/>
          <w:sz w:val="20"/>
          <w:szCs w:val="20"/>
        </w:rPr>
        <w:t xml:space="preserve">ogs infected with </w:t>
      </w:r>
      <w:r>
        <w:rPr>
          <w:rStyle w:val="4"/>
          <w:rFonts w:ascii="Arial" w:hAnsi="Arial" w:cs="Arial"/>
          <w:sz w:val="20"/>
          <w:szCs w:val="20"/>
        </w:rPr>
        <w:t>B. gibsoni</w:t>
      </w:r>
      <w:r>
        <w:rPr>
          <w:rFonts w:ascii="Arial" w:hAnsi="Arial" w:cs="Arial"/>
          <w:sz w:val="20"/>
          <w:szCs w:val="20"/>
        </w:rPr>
        <w:t xml:space="preserve"> exhibit significantly higher serum gamma-globulin concentrations and markedly lower albumin levels compared to those infected with </w:t>
      </w:r>
      <w:r>
        <w:rPr>
          <w:rStyle w:val="4"/>
          <w:rFonts w:ascii="Arial" w:hAnsi="Arial" w:cs="Arial"/>
          <w:sz w:val="20"/>
          <w:szCs w:val="20"/>
        </w:rPr>
        <w:t>B. canis</w:t>
      </w:r>
      <w:r>
        <w:rPr>
          <w:rFonts w:ascii="Arial" w:hAnsi="Arial" w:cs="Arial"/>
          <w:sz w:val="20"/>
          <w:szCs w:val="20"/>
        </w:rPr>
        <w:t xml:space="preserve">. </w:t>
      </w:r>
      <w:r>
        <w:rPr>
          <w:rStyle w:val="9"/>
          <w:rFonts w:ascii="Arial" w:hAnsi="Arial" w:cs="Arial"/>
          <w:b w:val="0"/>
          <w:bCs w:val="0"/>
          <w:sz w:val="20"/>
          <w:szCs w:val="20"/>
        </w:rPr>
        <w:t>Blood urea nitrogen (BUN)</w:t>
      </w:r>
      <w:r>
        <w:rPr>
          <w:rFonts w:ascii="Arial" w:hAnsi="Arial" w:cs="Arial"/>
          <w:sz w:val="20"/>
          <w:szCs w:val="20"/>
        </w:rPr>
        <w:t xml:space="preserve"> and </w:t>
      </w:r>
      <w:r>
        <w:rPr>
          <w:rStyle w:val="9"/>
          <w:rFonts w:ascii="Arial" w:hAnsi="Arial" w:cs="Arial"/>
          <w:b w:val="0"/>
          <w:bCs w:val="0"/>
          <w:sz w:val="20"/>
          <w:szCs w:val="20"/>
        </w:rPr>
        <w:t>creatinine</w:t>
      </w:r>
      <w:r>
        <w:rPr>
          <w:rFonts w:ascii="Arial" w:hAnsi="Arial" w:cs="Arial"/>
          <w:sz w:val="20"/>
          <w:szCs w:val="20"/>
        </w:rPr>
        <w:t xml:space="preserve"> levels were mildly elevated in two animals, suggesting transient renal stress possibly due to hemoglobinuria or immune-mediated glomerular changes. These biochemical derangements align with reports by Solano-Gallego &amp; Baneth (20</w:t>
      </w:r>
      <w:r>
        <w:rPr>
          <w:rFonts w:ascii="Arial" w:hAnsi="Arial" w:cs="Arial"/>
          <w:sz w:val="20"/>
          <w:szCs w:val="20"/>
          <w:lang w:val="en-IN"/>
        </w:rPr>
        <w:t>1</w:t>
      </w:r>
      <w:r>
        <w:rPr>
          <w:rFonts w:ascii="Arial" w:hAnsi="Arial" w:cs="Arial"/>
          <w:sz w:val="20"/>
          <w:szCs w:val="20"/>
        </w:rPr>
        <w:t>1)</w:t>
      </w:r>
      <w:r>
        <w:rPr>
          <w:rFonts w:ascii="Arial" w:hAnsi="Arial" w:cs="Arial"/>
          <w:sz w:val="20"/>
          <w:szCs w:val="20"/>
          <w:lang w:val="en-IN"/>
        </w:rPr>
        <w:t xml:space="preserve"> and Lakshmi</w:t>
      </w:r>
      <w:r>
        <w:rPr>
          <w:rFonts w:ascii="Arial" w:hAnsi="Arial" w:cs="Arial"/>
          <w:i/>
          <w:iCs/>
          <w:sz w:val="20"/>
          <w:szCs w:val="20"/>
          <w:lang w:val="en-IN"/>
        </w:rPr>
        <w:t xml:space="preserve"> et.al</w:t>
      </w:r>
      <w:r>
        <w:rPr>
          <w:rFonts w:ascii="Arial" w:hAnsi="Arial" w:cs="Arial"/>
          <w:sz w:val="20"/>
          <w:szCs w:val="20"/>
          <w:lang w:val="en-IN"/>
        </w:rPr>
        <w:t xml:space="preserve"> (2024)</w:t>
      </w:r>
      <w:r>
        <w:rPr>
          <w:rFonts w:ascii="Arial" w:hAnsi="Arial" w:cs="Arial"/>
          <w:sz w:val="20"/>
          <w:szCs w:val="20"/>
        </w:rPr>
        <w:t xml:space="preserve">, indicating that </w:t>
      </w:r>
      <w:r>
        <w:rPr>
          <w:rStyle w:val="4"/>
          <w:rFonts w:ascii="Arial" w:hAnsi="Arial" w:cs="Arial"/>
          <w:sz w:val="20"/>
          <w:szCs w:val="20"/>
        </w:rPr>
        <w:t>Babesia</w:t>
      </w:r>
      <w:r>
        <w:rPr>
          <w:rFonts w:ascii="Arial" w:hAnsi="Arial" w:cs="Arial"/>
          <w:sz w:val="20"/>
          <w:szCs w:val="20"/>
        </w:rPr>
        <w:t xml:space="preserve"> infections can cause multisystem involvement, especially in severe or chronic cases.</w:t>
      </w:r>
    </w:p>
    <w:p w14:paraId="6595A4FC">
      <w:pPr>
        <w:pStyle w:val="8"/>
        <w:ind w:firstLine="720"/>
        <w:jc w:val="both"/>
        <w:rPr>
          <w:rFonts w:ascii="Arial" w:hAnsi="Arial" w:cs="Arial"/>
          <w:sz w:val="20"/>
          <w:szCs w:val="20"/>
          <w:lang w:val="en-IN"/>
        </w:rPr>
      </w:pPr>
      <w:r>
        <w:rPr>
          <w:rFonts w:ascii="Arial" w:hAnsi="Arial" w:cs="Arial"/>
          <w:sz w:val="20"/>
          <w:szCs w:val="20"/>
        </w:rPr>
        <w:t xml:space="preserve">Giemsa-stained peripheral blood smears revealed small, ring-shaped intraerythrocytic piroplasms characteristic of </w:t>
      </w:r>
      <w:r>
        <w:rPr>
          <w:rStyle w:val="4"/>
          <w:rFonts w:ascii="Arial" w:hAnsi="Arial" w:cs="Arial"/>
          <w:sz w:val="20"/>
          <w:szCs w:val="20"/>
        </w:rPr>
        <w:t>Babesia gibsoni</w:t>
      </w:r>
      <w:r>
        <w:rPr>
          <w:rFonts w:ascii="Arial" w:hAnsi="Arial" w:cs="Arial"/>
          <w:sz w:val="20"/>
          <w:szCs w:val="20"/>
        </w:rPr>
        <w:t xml:space="preserve"> in all six affected dogs</w:t>
      </w:r>
      <w:r>
        <w:rPr>
          <w:rFonts w:ascii="Arial" w:hAnsi="Arial" w:cs="Arial"/>
          <w:sz w:val="20"/>
          <w:szCs w:val="20"/>
          <w:lang w:val="en-IN"/>
        </w:rPr>
        <w:t xml:space="preserve"> (Figure 2)</w:t>
      </w:r>
      <w:r>
        <w:rPr>
          <w:rFonts w:ascii="Arial" w:hAnsi="Arial" w:cs="Arial"/>
          <w:sz w:val="20"/>
          <w:szCs w:val="20"/>
        </w:rPr>
        <w:t xml:space="preserve">. No hemoparasites were detected in healthy controls. The microscopic identification of </w:t>
      </w:r>
      <w:r>
        <w:rPr>
          <w:rStyle w:val="4"/>
          <w:rFonts w:ascii="Arial" w:hAnsi="Arial" w:cs="Arial"/>
          <w:sz w:val="20"/>
          <w:szCs w:val="20"/>
        </w:rPr>
        <w:t>B. gibsoni</w:t>
      </w:r>
      <w:r>
        <w:rPr>
          <w:rFonts w:ascii="Arial" w:hAnsi="Arial" w:cs="Arial"/>
          <w:sz w:val="20"/>
          <w:szCs w:val="20"/>
        </w:rPr>
        <w:t xml:space="preserve"> remains a cornerstone of diagnosis, although PCR is considered more sensitive, particularly in subclinical or carrier cases (Jefferies </w:t>
      </w:r>
      <w:r>
        <w:rPr>
          <w:rFonts w:ascii="Arial" w:hAnsi="Arial" w:cs="Arial"/>
          <w:i/>
          <w:iCs/>
          <w:sz w:val="20"/>
          <w:szCs w:val="20"/>
        </w:rPr>
        <w:t>et al.</w:t>
      </w:r>
      <w:r>
        <w:rPr>
          <w:rFonts w:ascii="Arial" w:hAnsi="Arial" w:cs="Arial"/>
          <w:sz w:val="20"/>
          <w:szCs w:val="20"/>
        </w:rPr>
        <w:t>, 20</w:t>
      </w:r>
      <w:r>
        <w:rPr>
          <w:rFonts w:ascii="Arial" w:hAnsi="Arial" w:cs="Arial"/>
          <w:sz w:val="20"/>
          <w:szCs w:val="20"/>
          <w:lang w:val="en-IN"/>
        </w:rPr>
        <w:t>03</w:t>
      </w:r>
      <w:r>
        <w:rPr>
          <w:rFonts w:ascii="Arial" w:hAnsi="Arial" w:cs="Arial"/>
          <w:sz w:val="20"/>
          <w:szCs w:val="20"/>
        </w:rPr>
        <w:t>; CAPC Guidelines, 2024)</w:t>
      </w:r>
      <w:r>
        <w:rPr>
          <w:rFonts w:ascii="Arial" w:hAnsi="Arial" w:cs="Arial"/>
          <w:sz w:val="20"/>
          <w:szCs w:val="20"/>
          <w:lang w:val="en-IN"/>
        </w:rPr>
        <w:t>.</w:t>
      </w:r>
    </w:p>
    <w:p w14:paraId="38E756B3">
      <w:pPr>
        <w:pStyle w:val="8"/>
        <w:ind w:firstLine="720"/>
        <w:jc w:val="both"/>
        <w:rPr>
          <w:rFonts w:ascii="Arial" w:hAnsi="Arial" w:cs="Arial"/>
          <w:sz w:val="20"/>
          <w:szCs w:val="20"/>
        </w:rPr>
      </w:pPr>
      <w:r>
        <w:rPr>
          <w:rFonts w:ascii="Arial" w:hAnsi="Arial" w:cs="Arial"/>
          <w:sz w:val="20"/>
          <w:szCs w:val="20"/>
        </w:rPr>
        <w:t xml:space="preserve">Ultrasonographic examination revealed </w:t>
      </w:r>
      <w:r>
        <w:rPr>
          <w:rStyle w:val="9"/>
          <w:rFonts w:ascii="Arial" w:hAnsi="Arial" w:cs="Arial"/>
          <w:b w:val="0"/>
          <w:bCs w:val="0"/>
          <w:sz w:val="20"/>
          <w:szCs w:val="20"/>
        </w:rPr>
        <w:t>splenomegaly in 50% (3/6)</w:t>
      </w:r>
      <w:r>
        <w:rPr>
          <w:rFonts w:ascii="Arial" w:hAnsi="Arial" w:cs="Arial"/>
          <w:sz w:val="20"/>
          <w:szCs w:val="20"/>
        </w:rPr>
        <w:t xml:space="preserve"> of the affected dogs, </w:t>
      </w:r>
      <w:r>
        <w:rPr>
          <w:rStyle w:val="9"/>
          <w:rFonts w:ascii="Arial" w:hAnsi="Arial" w:cs="Arial"/>
          <w:b w:val="0"/>
          <w:bCs w:val="0"/>
          <w:sz w:val="20"/>
          <w:szCs w:val="20"/>
        </w:rPr>
        <w:t>hepatomegaly with increased hepatic echogenicity in 33.3% (2/6)</w:t>
      </w:r>
      <w:r>
        <w:rPr>
          <w:rFonts w:ascii="Arial" w:hAnsi="Arial" w:cs="Arial"/>
          <w:sz w:val="20"/>
          <w:szCs w:val="20"/>
        </w:rPr>
        <w:t xml:space="preserve">, and </w:t>
      </w:r>
      <w:r>
        <w:rPr>
          <w:rStyle w:val="9"/>
          <w:rFonts w:ascii="Arial" w:hAnsi="Arial" w:cs="Arial"/>
          <w:b w:val="0"/>
          <w:bCs w:val="0"/>
          <w:sz w:val="20"/>
          <w:szCs w:val="20"/>
        </w:rPr>
        <w:t>hepatic congestion in 16.7% (1/6)</w:t>
      </w:r>
      <w:r>
        <w:rPr>
          <w:rFonts w:ascii="Arial" w:hAnsi="Arial" w:cs="Arial"/>
          <w:sz w:val="20"/>
          <w:szCs w:val="20"/>
        </w:rPr>
        <w:t xml:space="preserve"> of cases. Additionally, </w:t>
      </w:r>
      <w:r>
        <w:rPr>
          <w:rStyle w:val="9"/>
          <w:rFonts w:ascii="Arial" w:hAnsi="Arial" w:cs="Arial"/>
          <w:b w:val="0"/>
          <w:bCs w:val="0"/>
          <w:sz w:val="20"/>
          <w:szCs w:val="20"/>
        </w:rPr>
        <w:t>increased renal cortical echogenicity with loss of corticomedullary junction (CMJ)</w:t>
      </w:r>
      <w:r>
        <w:rPr>
          <w:rFonts w:ascii="Arial" w:hAnsi="Arial" w:cs="Arial"/>
          <w:sz w:val="20"/>
          <w:szCs w:val="20"/>
        </w:rPr>
        <w:t xml:space="preserve"> was observed in </w:t>
      </w:r>
      <w:r>
        <w:rPr>
          <w:rStyle w:val="9"/>
          <w:rFonts w:ascii="Arial" w:hAnsi="Arial" w:cs="Arial"/>
          <w:b w:val="0"/>
          <w:bCs w:val="0"/>
          <w:sz w:val="20"/>
          <w:szCs w:val="20"/>
        </w:rPr>
        <w:t>33.3% (2/6)</w:t>
      </w:r>
      <w:r>
        <w:rPr>
          <w:rFonts w:ascii="Arial" w:hAnsi="Arial" w:cs="Arial"/>
          <w:sz w:val="20"/>
          <w:szCs w:val="20"/>
        </w:rPr>
        <w:t xml:space="preserve"> of the animals.</w:t>
      </w:r>
    </w:p>
    <w:p w14:paraId="1DF5F43C">
      <w:pPr>
        <w:pStyle w:val="8"/>
        <w:ind w:firstLine="720"/>
        <w:jc w:val="both"/>
        <w:rPr>
          <w:rFonts w:ascii="Arial" w:hAnsi="Arial" w:cs="Arial"/>
          <w:sz w:val="20"/>
          <w:szCs w:val="20"/>
          <w:lang w:val="en-IN"/>
        </w:rPr>
      </w:pPr>
      <w:r>
        <w:rPr>
          <w:rFonts w:ascii="Arial" w:hAnsi="Arial" w:cs="Arial"/>
          <w:sz w:val="20"/>
          <w:szCs w:val="20"/>
        </w:rPr>
        <w:t xml:space="preserve">All infected dogs were treated with </w:t>
      </w:r>
      <w:r>
        <w:rPr>
          <w:rStyle w:val="9"/>
          <w:rFonts w:ascii="Arial" w:hAnsi="Arial" w:cs="Arial"/>
          <w:b w:val="0"/>
          <w:bCs w:val="0"/>
          <w:sz w:val="20"/>
          <w:szCs w:val="20"/>
        </w:rPr>
        <w:t>Atovaquone (13.3 mg/kg, TID) and Azithromycin (10 mg/kg, SID) for 10 days</w:t>
      </w:r>
      <w:r>
        <w:rPr>
          <w:rFonts w:ascii="Arial" w:hAnsi="Arial" w:cs="Arial"/>
          <w:sz w:val="20"/>
          <w:szCs w:val="20"/>
        </w:rPr>
        <w:t xml:space="preserve">, along with supportive therapy. Clinical improvement, including normalization of body temperature, appetite, and activity, was observed within 7–10 days post-treatment. Haematological parameters showed gradual recovery, and follow-up blood smears at day 30 were negative for piroplasms in all </w:t>
      </w:r>
      <w:r>
        <w:rPr>
          <w:rFonts w:ascii="Arial" w:hAnsi="Arial" w:cs="Arial"/>
          <w:sz w:val="20"/>
          <w:szCs w:val="20"/>
          <w:lang w:val="en-IN"/>
        </w:rPr>
        <w:t xml:space="preserve"> the </w:t>
      </w:r>
      <w:r>
        <w:rPr>
          <w:rFonts w:ascii="Arial" w:hAnsi="Arial" w:cs="Arial"/>
          <w:sz w:val="20"/>
          <w:szCs w:val="20"/>
        </w:rPr>
        <w:t xml:space="preserve">dogs. These findings corroborate the efficacy of the </w:t>
      </w:r>
      <w:r>
        <w:rPr>
          <w:rStyle w:val="9"/>
          <w:rFonts w:ascii="Arial" w:hAnsi="Arial" w:cs="Arial"/>
          <w:b w:val="0"/>
          <w:bCs w:val="0"/>
          <w:sz w:val="20"/>
          <w:szCs w:val="20"/>
        </w:rPr>
        <w:t>Atovaquone–Azithromycin combination</w:t>
      </w:r>
      <w:r>
        <w:rPr>
          <w:rFonts w:ascii="Arial" w:hAnsi="Arial" w:cs="Arial"/>
          <w:sz w:val="20"/>
          <w:szCs w:val="20"/>
        </w:rPr>
        <w:t>, as reported by</w:t>
      </w:r>
      <w:r>
        <w:rPr>
          <w:rFonts w:ascii="Arial" w:hAnsi="Arial" w:cs="Arial"/>
          <w:sz w:val="20"/>
          <w:szCs w:val="20"/>
          <w:lang w:val="en-IN"/>
        </w:rPr>
        <w:t xml:space="preserve"> </w:t>
      </w:r>
      <w:r>
        <w:rPr>
          <w:rFonts w:ascii="Arial" w:hAnsi="Arial" w:cs="Arial"/>
          <w:sz w:val="20"/>
          <w:szCs w:val="20"/>
        </w:rPr>
        <w:t xml:space="preserve">Birkenheuer </w:t>
      </w:r>
      <w:r>
        <w:rPr>
          <w:rFonts w:ascii="Arial" w:hAnsi="Arial" w:cs="Arial"/>
          <w:i/>
          <w:iCs/>
          <w:sz w:val="20"/>
          <w:szCs w:val="20"/>
        </w:rPr>
        <w:t>et al</w:t>
      </w:r>
      <w:r>
        <w:rPr>
          <w:rFonts w:ascii="Arial" w:hAnsi="Arial" w:cs="Arial"/>
          <w:sz w:val="20"/>
          <w:szCs w:val="20"/>
        </w:rPr>
        <w:t>. (2</w:t>
      </w:r>
      <w:r>
        <w:rPr>
          <w:rFonts w:ascii="Arial" w:hAnsi="Arial" w:cs="Arial"/>
          <w:sz w:val="20"/>
          <w:szCs w:val="20"/>
          <w:lang w:val="en-IN"/>
        </w:rPr>
        <w:t>004</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 xml:space="preserve"> </w:t>
      </w:r>
      <w:r>
        <w:rPr>
          <w:rFonts w:ascii="Arial" w:hAnsi="Arial" w:cs="Arial"/>
          <w:sz w:val="20"/>
          <w:szCs w:val="20"/>
          <w:lang w:val="en-IN"/>
        </w:rPr>
        <w:t xml:space="preserve"> </w:t>
      </w:r>
      <w:r>
        <w:rPr>
          <w:rFonts w:ascii="Arial" w:hAnsi="Arial" w:eastAsia="Consolas" w:cs="Arial"/>
          <w:color w:val="1B1B1B"/>
          <w:sz w:val="20"/>
          <w:szCs w:val="20"/>
          <w:shd w:val="clear" w:color="auto" w:fill="FFFFFF"/>
        </w:rPr>
        <w:t>Kirk</w:t>
      </w:r>
      <w:r>
        <w:rPr>
          <w:rFonts w:ascii="Arial" w:hAnsi="Arial" w:eastAsia="Consolas" w:cs="Arial"/>
          <w:color w:val="1B1B1B"/>
          <w:sz w:val="20"/>
          <w:szCs w:val="20"/>
          <w:shd w:val="clear" w:color="auto" w:fill="FFFFFF"/>
          <w:lang w:val="en-IN"/>
        </w:rPr>
        <w:t xml:space="preserve"> </w:t>
      </w:r>
      <w:r>
        <w:rPr>
          <w:rFonts w:ascii="Arial" w:hAnsi="Arial" w:eastAsia="Consolas" w:cs="Arial"/>
          <w:i/>
          <w:iCs/>
          <w:color w:val="1B1B1B"/>
          <w:sz w:val="20"/>
          <w:szCs w:val="20"/>
          <w:shd w:val="clear" w:color="auto" w:fill="FFFFFF"/>
          <w:lang w:val="en-IN"/>
        </w:rPr>
        <w:t>et.al</w:t>
      </w:r>
      <w:r>
        <w:rPr>
          <w:rFonts w:ascii="Arial" w:hAnsi="Arial" w:eastAsia="Consolas" w:cs="Arial"/>
          <w:color w:val="1B1B1B"/>
          <w:sz w:val="20"/>
          <w:szCs w:val="20"/>
          <w:shd w:val="clear" w:color="auto" w:fill="FFFFFF"/>
          <w:lang w:val="en-IN"/>
        </w:rPr>
        <w:t xml:space="preserve"> (2017), </w:t>
      </w:r>
      <w:r>
        <w:rPr>
          <w:rFonts w:ascii="Arial" w:hAnsi="Arial" w:cs="Arial"/>
          <w:sz w:val="20"/>
          <w:szCs w:val="20"/>
          <w:lang w:val="en-IN"/>
        </w:rPr>
        <w:t>Lakshmi</w:t>
      </w:r>
      <w:r>
        <w:rPr>
          <w:rFonts w:ascii="Arial" w:hAnsi="Arial" w:cs="Arial"/>
          <w:i/>
          <w:iCs/>
          <w:sz w:val="20"/>
          <w:szCs w:val="20"/>
          <w:lang w:val="en-IN"/>
        </w:rPr>
        <w:t xml:space="preserve"> et.al</w:t>
      </w:r>
      <w:r>
        <w:rPr>
          <w:rFonts w:ascii="Arial" w:hAnsi="Arial" w:cs="Arial"/>
          <w:sz w:val="20"/>
          <w:szCs w:val="20"/>
          <w:lang w:val="en-IN"/>
        </w:rPr>
        <w:t xml:space="preserve"> 2024 and </w:t>
      </w:r>
      <w:r>
        <w:rPr>
          <w:rFonts w:ascii="Arial" w:hAnsi="Arial" w:eastAsia="Consolas" w:cs="Arial"/>
          <w:color w:val="1B1B1B"/>
          <w:sz w:val="20"/>
          <w:szCs w:val="20"/>
          <w:shd w:val="clear" w:color="auto" w:fill="FFFFFF"/>
        </w:rPr>
        <w:t>Sakshi</w:t>
      </w:r>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(202</w:t>
      </w:r>
      <w:r>
        <w:rPr>
          <w:rFonts w:ascii="Arial" w:hAnsi="Arial" w:cs="Arial"/>
          <w:sz w:val="20"/>
          <w:szCs w:val="20"/>
          <w:lang w:val="en-IN"/>
        </w:rPr>
        <w:t>5</w:t>
      </w:r>
      <w:r>
        <w:rPr>
          <w:rFonts w:ascii="Arial" w:hAnsi="Arial" w:cs="Arial"/>
          <w:sz w:val="20"/>
          <w:szCs w:val="20"/>
        </w:rPr>
        <w:t>)</w:t>
      </w:r>
      <w:r>
        <w:rPr>
          <w:rFonts w:ascii="Arial" w:hAnsi="Arial" w:cs="Arial"/>
          <w:sz w:val="20"/>
          <w:szCs w:val="20"/>
          <w:lang w:val="en-IN"/>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4176"/>
      </w:tblGrid>
      <w:tr w14:paraId="24B5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6" w:type="dxa"/>
          </w:tcPr>
          <w:p w14:paraId="7FA76827">
            <w:pPr>
              <w:pStyle w:val="8"/>
              <w:widowControl w:val="0"/>
              <w:jc w:val="both"/>
              <w:rPr>
                <w:sz w:val="22"/>
                <w:szCs w:val="22"/>
                <w:lang w:val="en-IN"/>
              </w:rPr>
            </w:pPr>
            <w:r>
              <w:rPr>
                <w:sz w:val="22"/>
                <w:szCs w:val="22"/>
                <w:lang w:val="en-IN"/>
              </w:rPr>
              <w:drawing>
                <wp:inline distT="0" distB="0" distL="114300" distR="114300">
                  <wp:extent cx="2560320" cy="1925955"/>
                  <wp:effectExtent l="76200" t="76200" r="125730" b="131445"/>
                  <wp:docPr id="1" name="Picture 1" descr="05cf3b4a-8bc2-4df0-89fc-2c59abcb1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5cf3b4a-8bc2-4df0-89fc-2c59abcb1eba"/>
                          <pic:cNvPicPr>
                            <a:picLocks noChangeAspect="1"/>
                          </pic:cNvPicPr>
                        </pic:nvPicPr>
                        <pic:blipFill>
                          <a:blip r:embed="rId10"/>
                          <a:stretch>
                            <a:fillRect/>
                          </a:stretch>
                        </pic:blipFill>
                        <pic:spPr>
                          <a:xfrm>
                            <a:off x="0" y="0"/>
                            <a:ext cx="2560320" cy="192595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4176" w:type="dxa"/>
          </w:tcPr>
          <w:p w14:paraId="54538F83">
            <w:pPr>
              <w:pStyle w:val="8"/>
              <w:widowControl w:val="0"/>
              <w:jc w:val="both"/>
              <w:rPr>
                <w:sz w:val="22"/>
                <w:szCs w:val="22"/>
                <w:lang w:val="en-IN"/>
              </w:rPr>
            </w:pPr>
            <w:r>
              <w:drawing>
                <wp:inline distT="0" distB="0" distL="0" distR="0">
                  <wp:extent cx="1876425" cy="2429510"/>
                  <wp:effectExtent l="85408" t="66992" r="133032" b="133033"/>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922516" cy="248896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r>
      <w:tr w14:paraId="74BB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6" w:type="dxa"/>
          </w:tcPr>
          <w:p w14:paraId="5EE748CE">
            <w:pPr>
              <w:pStyle w:val="8"/>
              <w:widowControl w:val="0"/>
              <w:numPr>
                <w:ilvl w:val="0"/>
                <w:numId w:val="1"/>
              </w:numPr>
              <w:jc w:val="both"/>
              <w:rPr>
                <w:rFonts w:ascii="Arial" w:hAnsi="Arial" w:cs="Arial"/>
                <w:sz w:val="20"/>
                <w:szCs w:val="20"/>
                <w:lang w:val="en-IN"/>
              </w:rPr>
            </w:pPr>
            <w:r>
              <w:rPr>
                <w:rFonts w:ascii="Arial" w:hAnsi="Arial" w:cs="Arial"/>
                <w:sz w:val="20"/>
                <w:szCs w:val="20"/>
                <w:lang w:val="en-IN"/>
              </w:rPr>
              <w:t>Pale mucosa</w:t>
            </w:r>
          </w:p>
        </w:tc>
        <w:tc>
          <w:tcPr>
            <w:tcW w:w="4176" w:type="dxa"/>
          </w:tcPr>
          <w:p w14:paraId="69E0EB9D">
            <w:pPr>
              <w:pStyle w:val="8"/>
              <w:widowControl w:val="0"/>
              <w:numPr>
                <w:ilvl w:val="0"/>
                <w:numId w:val="1"/>
              </w:numPr>
              <w:jc w:val="both"/>
              <w:rPr>
                <w:rFonts w:ascii="Arial" w:hAnsi="Arial" w:cs="Arial"/>
                <w:sz w:val="20"/>
                <w:szCs w:val="20"/>
                <w:lang w:val="en-IN"/>
              </w:rPr>
            </w:pPr>
            <w:r>
              <w:rPr>
                <w:rFonts w:ascii="Arial" w:hAnsi="Arial" w:cs="Arial"/>
                <w:sz w:val="20"/>
                <w:szCs w:val="20"/>
                <w:lang w:val="en-IN"/>
              </w:rPr>
              <w:t xml:space="preserve">Icterus </w:t>
            </w:r>
          </w:p>
        </w:tc>
      </w:tr>
      <w:tr w14:paraId="772F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6" w:type="dxa"/>
          </w:tcPr>
          <w:p w14:paraId="638011BE">
            <w:pPr>
              <w:pStyle w:val="8"/>
              <w:widowControl w:val="0"/>
              <w:jc w:val="both"/>
              <w:rPr>
                <w:rFonts w:ascii="Arial" w:hAnsi="Arial" w:cs="Arial"/>
                <w:sz w:val="20"/>
                <w:szCs w:val="20"/>
                <w:lang w:val="en-IN"/>
              </w:rPr>
            </w:pPr>
            <w:r>
              <w:rPr>
                <w:rFonts w:ascii="Arial" w:hAnsi="Arial" w:cs="Arial"/>
                <w:sz w:val="20"/>
                <w:szCs w:val="20"/>
              </w:rPr>
              <w:drawing>
                <wp:inline distT="0" distB="0" distL="114300" distR="114300">
                  <wp:extent cx="2496820" cy="1697355"/>
                  <wp:effectExtent l="53975" t="53975" r="116205" b="11557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cstate="print">
                            <a:extLst>
                              <a:ext uri="{28A0092B-C50C-407E-A947-70E740481C1C}">
                                <a14:useLocalDpi xmlns:a14="http://schemas.microsoft.com/office/drawing/2010/main" val="0"/>
                              </a:ext>
                            </a:extLst>
                          </a:blip>
                          <a:srcRect l="8684" t="22927" r="22184" b="14634"/>
                          <a:stretch>
                            <a:fillRect/>
                          </a:stretch>
                        </pic:blipFill>
                        <pic:spPr>
                          <a:xfrm>
                            <a:off x="0" y="0"/>
                            <a:ext cx="2496820" cy="169735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4176" w:type="dxa"/>
          </w:tcPr>
          <w:p w14:paraId="433584A8">
            <w:pPr>
              <w:pStyle w:val="8"/>
              <w:widowControl w:val="0"/>
              <w:jc w:val="both"/>
              <w:rPr>
                <w:rFonts w:ascii="Arial" w:hAnsi="Arial" w:cs="Arial"/>
                <w:sz w:val="20"/>
                <w:szCs w:val="20"/>
                <w:lang w:val="en-IN"/>
              </w:rPr>
            </w:pPr>
            <w:r>
              <w:rPr>
                <w:rFonts w:ascii="Arial" w:hAnsi="Arial" w:cs="Arial"/>
                <w:sz w:val="20"/>
                <w:szCs w:val="20"/>
                <w:lang w:val="en-IN"/>
              </w:rPr>
              <w:drawing>
                <wp:inline distT="0" distB="0" distL="0" distR="0">
                  <wp:extent cx="2447290" cy="1681480"/>
                  <wp:effectExtent l="53975" t="53975" r="108585" b="112395"/>
                  <wp:docPr id="1333026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2664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r="10463" b="15382"/>
                          <a:stretch>
                            <a:fillRect/>
                          </a:stretch>
                        </pic:blipFill>
                        <pic:spPr>
                          <a:xfrm>
                            <a:off x="0" y="0"/>
                            <a:ext cx="2485263" cy="1681480"/>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r>
      <w:tr w14:paraId="4FCC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346" w:type="dxa"/>
          </w:tcPr>
          <w:p w14:paraId="62B99365">
            <w:pPr>
              <w:pStyle w:val="8"/>
              <w:widowControl w:val="0"/>
              <w:numPr>
                <w:ilvl w:val="0"/>
                <w:numId w:val="1"/>
              </w:numPr>
              <w:jc w:val="both"/>
              <w:rPr>
                <w:rFonts w:ascii="Arial" w:hAnsi="Arial" w:cs="Arial"/>
                <w:sz w:val="20"/>
                <w:szCs w:val="20"/>
              </w:rPr>
            </w:pPr>
            <w:r>
              <w:rPr>
                <w:rFonts w:ascii="Arial" w:hAnsi="Arial" w:cs="Arial"/>
                <w:sz w:val="20"/>
                <w:szCs w:val="20"/>
              </w:rPr>
              <w:t xml:space="preserve">Lypmhadenopathy </w:t>
            </w:r>
          </w:p>
        </w:tc>
        <w:tc>
          <w:tcPr>
            <w:tcW w:w="4176" w:type="dxa"/>
          </w:tcPr>
          <w:p w14:paraId="04586FF9">
            <w:pPr>
              <w:pStyle w:val="8"/>
              <w:widowControl w:val="0"/>
              <w:numPr>
                <w:ilvl w:val="0"/>
                <w:numId w:val="1"/>
              </w:numPr>
              <w:jc w:val="both"/>
              <w:rPr>
                <w:rFonts w:ascii="Arial" w:hAnsi="Arial" w:cs="Arial"/>
                <w:sz w:val="20"/>
                <w:szCs w:val="20"/>
                <w:lang w:val="en-IN"/>
              </w:rPr>
            </w:pPr>
            <w:r>
              <w:rPr>
                <w:rFonts w:ascii="Arial" w:hAnsi="Arial" w:cs="Arial"/>
                <w:sz w:val="20"/>
                <w:szCs w:val="20"/>
                <w:lang w:val="en-IN"/>
              </w:rPr>
              <w:t xml:space="preserve">Haemoglobinuria </w:t>
            </w:r>
          </w:p>
        </w:tc>
      </w:tr>
      <w:tr w14:paraId="7DD4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6CD6C481">
            <w:pPr>
              <w:pStyle w:val="8"/>
              <w:widowControl w:val="0"/>
              <w:jc w:val="both"/>
              <w:rPr>
                <w:rFonts w:ascii="Arial" w:hAnsi="Arial" w:cs="Arial"/>
                <w:b/>
                <w:bCs/>
                <w:sz w:val="20"/>
                <w:szCs w:val="20"/>
                <w:lang w:val="en-IN"/>
              </w:rPr>
            </w:pPr>
            <w:r>
              <w:rPr>
                <w:rFonts w:ascii="Arial" w:hAnsi="Arial" w:cs="Arial"/>
                <w:sz w:val="20"/>
                <w:szCs w:val="20"/>
                <w:lang w:val="en-IN"/>
              </w:rPr>
              <w:t xml:space="preserve">           </w:t>
            </w:r>
            <w:r>
              <w:rPr>
                <w:rFonts w:ascii="Arial" w:hAnsi="Arial" w:cs="Arial"/>
                <w:b/>
                <w:bCs/>
                <w:sz w:val="20"/>
                <w:szCs w:val="20"/>
                <w:lang w:val="en-IN"/>
              </w:rPr>
              <w:t xml:space="preserve">Figure :1 Clinical signs exhibited by </w:t>
            </w:r>
            <w:r>
              <w:rPr>
                <w:rFonts w:ascii="Arial" w:hAnsi="Arial" w:cs="Arial"/>
                <w:b/>
                <w:bCs/>
                <w:i/>
                <w:iCs/>
                <w:sz w:val="20"/>
                <w:szCs w:val="20"/>
                <w:lang w:val="en-IN"/>
              </w:rPr>
              <w:t>Babesia gibsoni</w:t>
            </w:r>
            <w:r>
              <w:rPr>
                <w:rFonts w:ascii="Arial" w:hAnsi="Arial" w:cs="Arial"/>
                <w:b/>
                <w:bCs/>
                <w:sz w:val="20"/>
                <w:szCs w:val="20"/>
                <w:lang w:val="en-IN"/>
              </w:rPr>
              <w:t xml:space="preserve"> affected dogs </w:t>
            </w:r>
          </w:p>
          <w:p w14:paraId="063D6EEB">
            <w:pPr>
              <w:pStyle w:val="8"/>
              <w:widowControl w:val="0"/>
              <w:jc w:val="both"/>
              <w:rPr>
                <w:rFonts w:ascii="Arial" w:hAnsi="Arial" w:cs="Arial"/>
                <w:b/>
                <w:bCs/>
                <w:sz w:val="20"/>
                <w:szCs w:val="20"/>
                <w:lang w:val="en-IN"/>
              </w:rPr>
            </w:pPr>
          </w:p>
        </w:tc>
      </w:tr>
      <w:tr w14:paraId="2AFC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6D0D1C1E">
            <w:pPr>
              <w:pStyle w:val="8"/>
              <w:widowControl w:val="0"/>
              <w:jc w:val="both"/>
              <w:rPr>
                <w:rFonts w:ascii="Arial" w:hAnsi="Arial" w:cs="Arial"/>
                <w:sz w:val="20"/>
                <w:szCs w:val="20"/>
                <w:lang w:val="en-IN"/>
              </w:rPr>
            </w:pPr>
            <w:r>
              <w:rPr>
                <w:rFonts w:ascii="Arial" w:hAnsi="Arial" w:cs="Arial"/>
                <w:sz w:val="20"/>
                <w:szCs w:val="20"/>
                <w:lang w:val="en-IN"/>
              </w:rPr>
              <w:t xml:space="preserve">                                    </w:t>
            </w:r>
            <w:r>
              <w:rPr>
                <w:rFonts w:ascii="Arial" w:hAnsi="Arial" w:cs="Arial"/>
                <w:sz w:val="20"/>
                <w:szCs w:val="20"/>
                <w:lang w:val="en-IN"/>
              </w:rPr>
              <w:drawing>
                <wp:inline distT="0" distB="0" distL="114300" distR="114300">
                  <wp:extent cx="2170430" cy="1663065"/>
                  <wp:effectExtent l="76200" t="76200" r="134620" b="127635"/>
                  <wp:docPr id="2" name="Picture 2" descr="WhatsApp Image 2025-11-14 at 10.12.59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11-14 at 10.12.59 AM"/>
                          <pic:cNvPicPr>
                            <a:picLocks noChangeAspect="1"/>
                          </pic:cNvPicPr>
                        </pic:nvPicPr>
                        <pic:blipFill>
                          <a:blip r:embed="rId14"/>
                          <a:srcRect l="12919" t="21390" b="41092"/>
                          <a:stretch>
                            <a:fillRect/>
                          </a:stretch>
                        </pic:blipFill>
                        <pic:spPr>
                          <a:xfrm>
                            <a:off x="0" y="0"/>
                            <a:ext cx="2170430" cy="166306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r>
      <w:tr w14:paraId="05F2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AAFD105">
            <w:pPr>
              <w:pStyle w:val="8"/>
              <w:widowControl w:val="0"/>
              <w:ind w:left="1300" w:hanging="1300" w:hangingChars="650"/>
              <w:jc w:val="both"/>
              <w:rPr>
                <w:rFonts w:ascii="Arial" w:hAnsi="Arial" w:cs="Arial"/>
                <w:sz w:val="20"/>
                <w:szCs w:val="20"/>
                <w:lang w:val="en-IN"/>
              </w:rPr>
            </w:pPr>
            <w:r>
              <w:rPr>
                <w:rFonts w:ascii="Arial" w:hAnsi="Arial" w:cs="Arial"/>
                <w:sz w:val="20"/>
                <w:szCs w:val="20"/>
                <w:lang w:val="en-IN"/>
              </w:rPr>
              <w:t xml:space="preserve">   </w:t>
            </w:r>
            <w:r>
              <w:rPr>
                <w:rFonts w:ascii="Arial" w:hAnsi="Arial" w:cs="Arial"/>
                <w:b/>
                <w:bCs/>
                <w:sz w:val="20"/>
                <w:szCs w:val="20"/>
                <w:lang w:val="en-IN"/>
              </w:rPr>
              <w:t>Figure 2:</w:t>
            </w:r>
            <w:r>
              <w:rPr>
                <w:rFonts w:ascii="Arial" w:hAnsi="Arial" w:cs="Arial"/>
                <w:sz w:val="20"/>
                <w:szCs w:val="20"/>
                <w:lang w:val="en-IN"/>
              </w:rPr>
              <w:t xml:space="preserve"> </w:t>
            </w:r>
            <w:r>
              <w:rPr>
                <w:rFonts w:ascii="Arial" w:hAnsi="Arial" w:cs="Arial"/>
                <w:sz w:val="20"/>
                <w:szCs w:val="20"/>
              </w:rPr>
              <w:t xml:space="preserve">Giemsa-stained peripheral blood smear showing intraerythrocytic </w:t>
            </w:r>
            <w:r>
              <w:rPr>
                <w:rStyle w:val="9"/>
                <w:rFonts w:ascii="Arial" w:hAnsi="Arial" w:cs="Arial"/>
                <w:b w:val="0"/>
                <w:bCs w:val="0"/>
                <w:i/>
                <w:iCs/>
                <w:sz w:val="20"/>
                <w:szCs w:val="20"/>
              </w:rPr>
              <w:t>Babesia</w:t>
            </w:r>
            <w:r>
              <w:rPr>
                <w:rStyle w:val="9"/>
                <w:rFonts w:ascii="Arial" w:hAnsi="Arial" w:cs="Arial"/>
                <w:b w:val="0"/>
                <w:bCs w:val="0"/>
                <w:i/>
                <w:iCs/>
                <w:sz w:val="20"/>
                <w:szCs w:val="20"/>
                <w:lang w:val="en-IN"/>
              </w:rPr>
              <w:t xml:space="preserve"> </w:t>
            </w:r>
            <w:r>
              <w:rPr>
                <w:rStyle w:val="9"/>
                <w:rFonts w:ascii="Arial" w:hAnsi="Arial" w:cs="Arial"/>
                <w:b w:val="0"/>
                <w:bCs w:val="0"/>
                <w:i/>
                <w:iCs/>
                <w:sz w:val="20"/>
                <w:szCs w:val="20"/>
              </w:rPr>
              <w:t>gibsoni</w:t>
            </w:r>
            <w:r>
              <w:rPr>
                <w:rFonts w:ascii="Arial" w:hAnsi="Arial" w:cs="Arial"/>
                <w:sz w:val="20"/>
                <w:szCs w:val="20"/>
              </w:rPr>
              <w:t xml:space="preserve"> organisms.</w:t>
            </w:r>
            <w:r>
              <w:rPr>
                <w:rFonts w:ascii="Arial" w:hAnsi="Arial" w:cs="Arial"/>
                <w:sz w:val="20"/>
                <w:szCs w:val="20"/>
                <w:lang w:val="en-IN"/>
              </w:rPr>
              <w:t xml:space="preserve"> </w:t>
            </w:r>
            <w:r>
              <w:rPr>
                <w:rFonts w:ascii="Arial" w:hAnsi="Arial" w:cs="Arial"/>
                <w:sz w:val="20"/>
                <w:szCs w:val="20"/>
              </w:rPr>
              <w:t>Noticeable anisocytosis and poikilocytosis are also evident, which may reflect the hemolytic process associated with babesial infection</w:t>
            </w:r>
            <w:r>
              <w:rPr>
                <w:rFonts w:ascii="Arial" w:hAnsi="Arial" w:cs="Arial"/>
                <w:sz w:val="20"/>
                <w:szCs w:val="20"/>
                <w:lang w:val="en-IN"/>
              </w:rPr>
              <w:t>.</w:t>
            </w:r>
          </w:p>
        </w:tc>
      </w:tr>
    </w:tbl>
    <w:p w14:paraId="4369D51C">
      <w:pPr>
        <w:pStyle w:val="8"/>
        <w:ind w:firstLine="720"/>
        <w:jc w:val="both"/>
        <w:rPr>
          <w:sz w:val="22"/>
          <w:szCs w:val="22"/>
          <w:lang w:val="en-IN"/>
        </w:rPr>
      </w:pPr>
    </w:p>
    <w:p w14:paraId="49AB26DE">
      <w:pPr>
        <w:pStyle w:val="8"/>
        <w:ind w:firstLine="402" w:firstLineChars="200"/>
        <w:jc w:val="both"/>
        <w:rPr>
          <w:rFonts w:ascii="Arial" w:hAnsi="Arial" w:cs="Arial"/>
          <w:b/>
          <w:bCs/>
          <w:sz w:val="20"/>
          <w:szCs w:val="20"/>
          <w:lang w:val="en-IN"/>
        </w:rPr>
      </w:pPr>
      <w:r>
        <w:rPr>
          <w:rFonts w:ascii="Arial" w:hAnsi="Arial" w:cs="Arial"/>
          <w:b/>
          <w:bCs/>
          <w:sz w:val="20"/>
          <w:szCs w:val="20"/>
          <w:lang w:val="en-IN"/>
        </w:rPr>
        <w:t xml:space="preserve">    </w:t>
      </w:r>
    </w:p>
    <w:p w14:paraId="45FF01C4">
      <w:pPr>
        <w:pStyle w:val="8"/>
        <w:ind w:firstLine="402" w:firstLineChars="200"/>
        <w:jc w:val="both"/>
        <w:rPr>
          <w:rFonts w:ascii="Arial" w:hAnsi="Arial" w:cs="Arial"/>
          <w:sz w:val="20"/>
          <w:szCs w:val="20"/>
          <w:lang w:val="en-IN"/>
        </w:rPr>
      </w:pPr>
      <w:r>
        <w:rPr>
          <w:rFonts w:ascii="Arial" w:hAnsi="Arial" w:cs="Arial"/>
          <w:b/>
          <w:bCs/>
          <w:sz w:val="20"/>
          <w:szCs w:val="20"/>
          <w:lang w:val="en-IN"/>
        </w:rPr>
        <w:t xml:space="preserve"> Table: 1 Haematological findings in Babesia gibsoni affected dogs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2B70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62F3A45A">
            <w:pPr>
              <w:widowControl w:val="0"/>
              <w:spacing w:line="276" w:lineRule="auto"/>
              <w:jc w:val="left"/>
              <w:rPr>
                <w:rFonts w:ascii="Arial" w:hAnsi="Arial" w:cs="Arial"/>
                <w:lang w:val="en-IN"/>
              </w:rPr>
            </w:pPr>
            <w:r>
              <w:rPr>
                <w:rFonts w:ascii="Arial" w:hAnsi="Arial" w:cs="Arial"/>
                <w:b/>
                <w:bCs/>
                <w:lang w:val="en-IN"/>
              </w:rPr>
              <w:t>Parameter</w:t>
            </w:r>
          </w:p>
        </w:tc>
        <w:tc>
          <w:tcPr>
            <w:tcW w:w="2130" w:type="dxa"/>
          </w:tcPr>
          <w:p w14:paraId="37F4FCF8">
            <w:pPr>
              <w:widowControl w:val="0"/>
              <w:spacing w:line="276" w:lineRule="auto"/>
              <w:ind w:left="300" w:hanging="300" w:hangingChars="150"/>
              <w:jc w:val="left"/>
              <w:rPr>
                <w:rFonts w:ascii="Arial" w:hAnsi="Arial" w:cs="Arial"/>
                <w:b/>
                <w:bCs/>
                <w:lang w:val="en-IN"/>
              </w:rPr>
            </w:pPr>
            <w:r>
              <w:rPr>
                <w:rFonts w:ascii="Arial" w:hAnsi="Arial" w:cs="Arial"/>
                <w:b/>
                <w:bCs/>
                <w:lang w:val="en-IN"/>
              </w:rPr>
              <w:t>Healthy control (n=6)</w:t>
            </w:r>
          </w:p>
        </w:tc>
        <w:tc>
          <w:tcPr>
            <w:tcW w:w="2130" w:type="dxa"/>
          </w:tcPr>
          <w:p w14:paraId="4C997BA0">
            <w:pPr>
              <w:widowControl w:val="0"/>
              <w:spacing w:line="276" w:lineRule="auto"/>
              <w:ind w:left="300" w:hanging="300" w:hangingChars="150"/>
              <w:jc w:val="left"/>
              <w:rPr>
                <w:rFonts w:ascii="Arial" w:hAnsi="Arial" w:cs="Arial"/>
                <w:b/>
                <w:bCs/>
                <w:lang w:val="en-IN"/>
              </w:rPr>
            </w:pPr>
            <w:r>
              <w:rPr>
                <w:rFonts w:ascii="Arial" w:hAnsi="Arial" w:cs="Arial"/>
                <w:b/>
                <w:bCs/>
                <w:lang w:val="en-IN"/>
              </w:rPr>
              <w:t>Before therapy (n=6)</w:t>
            </w:r>
          </w:p>
        </w:tc>
        <w:tc>
          <w:tcPr>
            <w:tcW w:w="2130" w:type="dxa"/>
          </w:tcPr>
          <w:p w14:paraId="3728988B">
            <w:pPr>
              <w:pStyle w:val="8"/>
              <w:widowControl/>
              <w:ind w:left="301" w:hanging="301" w:hangingChars="150"/>
              <w:jc w:val="both"/>
              <w:rPr>
                <w:rFonts w:ascii="Arial" w:hAnsi="Arial" w:cs="Arial"/>
                <w:b/>
                <w:bCs/>
                <w:sz w:val="20"/>
                <w:szCs w:val="20"/>
                <w:lang w:val="en-IN"/>
              </w:rPr>
            </w:pPr>
            <w:r>
              <w:rPr>
                <w:rFonts w:ascii="Arial" w:hAnsi="Arial" w:cs="Arial"/>
                <w:b/>
                <w:bCs/>
                <w:sz w:val="20"/>
                <w:szCs w:val="20"/>
                <w:lang w:val="en-IN"/>
              </w:rPr>
              <w:t>After Therapy (n=6)</w:t>
            </w:r>
          </w:p>
        </w:tc>
      </w:tr>
      <w:tr w14:paraId="4EDB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5D3DC52">
            <w:pPr>
              <w:widowControl w:val="0"/>
              <w:spacing w:line="276" w:lineRule="auto"/>
              <w:jc w:val="both"/>
              <w:rPr>
                <w:rFonts w:ascii="Arial" w:hAnsi="Arial" w:cs="Arial"/>
                <w:lang w:val="en-IN"/>
              </w:rPr>
            </w:pPr>
            <w:r>
              <w:rPr>
                <w:rFonts w:ascii="Arial" w:hAnsi="Arial" w:cs="Arial"/>
              </w:rPr>
              <w:t>Hb (g/dl)</w:t>
            </w:r>
          </w:p>
        </w:tc>
        <w:tc>
          <w:tcPr>
            <w:tcW w:w="2130" w:type="dxa"/>
          </w:tcPr>
          <w:p w14:paraId="4BB7FCD2">
            <w:pPr>
              <w:widowControl w:val="0"/>
              <w:spacing w:line="276" w:lineRule="auto"/>
              <w:jc w:val="both"/>
              <w:rPr>
                <w:rFonts w:ascii="Arial" w:hAnsi="Arial" w:cs="Arial"/>
                <w:vertAlign w:val="superscript"/>
                <w:lang w:val="en-IN"/>
              </w:rPr>
            </w:pPr>
            <w:r>
              <w:rPr>
                <w:rFonts w:ascii="Arial" w:hAnsi="Arial" w:cs="Arial"/>
                <w:lang w:val="en-IN"/>
              </w:rPr>
              <w:t>12</w:t>
            </w:r>
            <w:r>
              <w:rPr>
                <w:rFonts w:ascii="Arial" w:hAnsi="Arial" w:cs="Arial"/>
              </w:rPr>
              <w:t>.</w:t>
            </w:r>
            <w:r>
              <w:rPr>
                <w:rFonts w:ascii="Arial" w:hAnsi="Arial" w:cs="Arial"/>
                <w:lang w:val="en-IN"/>
              </w:rPr>
              <w:t>1</w:t>
            </w:r>
            <w:r>
              <w:rPr>
                <w:rFonts w:ascii="Arial" w:hAnsi="Arial" w:cs="Arial"/>
              </w:rPr>
              <w:t>7±1.</w:t>
            </w:r>
            <w:r>
              <w:rPr>
                <w:rFonts w:ascii="Arial" w:hAnsi="Arial" w:cs="Arial"/>
                <w:lang w:val="en-IN"/>
              </w:rPr>
              <w:t>5</w:t>
            </w:r>
            <w:r>
              <w:rPr>
                <w:rFonts w:ascii="Arial" w:hAnsi="Arial" w:cs="Arial"/>
              </w:rPr>
              <w:t>6</w:t>
            </w:r>
            <w:r>
              <w:rPr>
                <w:rFonts w:ascii="Arial" w:hAnsi="Arial" w:cs="Arial"/>
                <w:vertAlign w:val="superscript"/>
                <w:lang w:val="en-IN"/>
              </w:rPr>
              <w:t>ab</w:t>
            </w:r>
          </w:p>
        </w:tc>
        <w:tc>
          <w:tcPr>
            <w:tcW w:w="2130" w:type="dxa"/>
          </w:tcPr>
          <w:p w14:paraId="6C6AE59E">
            <w:pPr>
              <w:widowControl w:val="0"/>
              <w:spacing w:line="276" w:lineRule="auto"/>
              <w:jc w:val="both"/>
              <w:rPr>
                <w:rFonts w:ascii="Arial" w:hAnsi="Arial" w:cs="Arial"/>
                <w:vertAlign w:val="superscript"/>
                <w:lang w:val="en-IN"/>
              </w:rPr>
            </w:pPr>
            <w:r>
              <w:rPr>
                <w:rFonts w:ascii="Arial" w:hAnsi="Arial" w:cs="Arial"/>
              </w:rPr>
              <w:t>8.47±1.96</w:t>
            </w:r>
            <w:r>
              <w:rPr>
                <w:rFonts w:ascii="Arial" w:hAnsi="Arial" w:cs="Arial"/>
                <w:vertAlign w:val="superscript"/>
                <w:lang w:val="en-IN"/>
              </w:rPr>
              <w:t>b</w:t>
            </w:r>
          </w:p>
        </w:tc>
        <w:tc>
          <w:tcPr>
            <w:tcW w:w="2130" w:type="dxa"/>
          </w:tcPr>
          <w:p w14:paraId="5BF7DCBA">
            <w:pPr>
              <w:widowControl w:val="0"/>
              <w:spacing w:line="276" w:lineRule="auto"/>
              <w:jc w:val="both"/>
              <w:rPr>
                <w:rFonts w:ascii="Arial" w:hAnsi="Arial" w:cs="Arial"/>
                <w:vertAlign w:val="superscript"/>
                <w:lang w:val="en-IN"/>
              </w:rPr>
            </w:pPr>
            <w:r>
              <w:rPr>
                <w:rFonts w:ascii="Arial" w:hAnsi="Arial" w:cs="Arial"/>
                <w:lang w:val="en-IN"/>
              </w:rPr>
              <w:t>13</w:t>
            </w:r>
            <w:r>
              <w:rPr>
                <w:rFonts w:ascii="Arial" w:hAnsi="Arial" w:cs="Arial"/>
              </w:rPr>
              <w:t>.</w:t>
            </w:r>
            <w:r>
              <w:rPr>
                <w:rFonts w:ascii="Arial" w:hAnsi="Arial" w:cs="Arial"/>
                <w:lang w:val="en-IN"/>
              </w:rPr>
              <w:t>56</w:t>
            </w:r>
            <w:r>
              <w:rPr>
                <w:rFonts w:ascii="Arial" w:hAnsi="Arial" w:cs="Arial"/>
              </w:rPr>
              <w:t>±1.</w:t>
            </w:r>
            <w:r>
              <w:rPr>
                <w:rFonts w:ascii="Arial" w:hAnsi="Arial" w:cs="Arial"/>
                <w:lang w:val="en-IN"/>
              </w:rPr>
              <w:t>78</w:t>
            </w:r>
            <w:r>
              <w:rPr>
                <w:rFonts w:ascii="Arial" w:hAnsi="Arial" w:cs="Arial"/>
                <w:vertAlign w:val="superscript"/>
                <w:lang w:val="en-IN"/>
              </w:rPr>
              <w:t>a</w:t>
            </w:r>
          </w:p>
        </w:tc>
      </w:tr>
      <w:tr w14:paraId="75AC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CD56E43">
            <w:pPr>
              <w:widowControl w:val="0"/>
              <w:spacing w:line="276" w:lineRule="auto"/>
              <w:jc w:val="both"/>
              <w:rPr>
                <w:rFonts w:ascii="Arial" w:hAnsi="Arial" w:cs="Arial"/>
                <w:lang w:val="en-IN"/>
              </w:rPr>
            </w:pPr>
            <w:r>
              <w:rPr>
                <w:rFonts w:ascii="Arial" w:hAnsi="Arial" w:cs="Arial"/>
              </w:rPr>
              <w:t>TEC</w:t>
            </w:r>
            <w:r>
              <w:rPr>
                <w:rFonts w:ascii="Arial" w:hAnsi="Arial" w:cs="Arial"/>
                <w:shd w:val="clear" w:color="auto" w:fill="FFFFFF"/>
              </w:rPr>
              <w:t xml:space="preserve"> </w:t>
            </w:r>
            <w:r>
              <w:rPr>
                <w:rFonts w:ascii="Arial" w:hAnsi="Arial" w:cs="Arial"/>
              </w:rPr>
              <w:t>(10</w:t>
            </w:r>
            <w:r>
              <w:rPr>
                <w:rFonts w:ascii="Arial" w:hAnsi="Arial" w:cs="Arial"/>
                <w:vertAlign w:val="superscript"/>
              </w:rPr>
              <w:t>3</w:t>
            </w:r>
            <w:r>
              <w:rPr>
                <w:rFonts w:ascii="Arial" w:hAnsi="Arial" w:cs="Arial"/>
              </w:rPr>
              <w:t>/μL)</w:t>
            </w:r>
          </w:p>
        </w:tc>
        <w:tc>
          <w:tcPr>
            <w:tcW w:w="2130" w:type="dxa"/>
          </w:tcPr>
          <w:p w14:paraId="02F3E353">
            <w:pPr>
              <w:widowControl w:val="0"/>
              <w:spacing w:line="276" w:lineRule="auto"/>
              <w:jc w:val="both"/>
              <w:rPr>
                <w:rFonts w:ascii="Arial" w:hAnsi="Arial" w:cs="Arial"/>
                <w:vertAlign w:val="superscript"/>
                <w:lang w:val="en-IN"/>
              </w:rPr>
            </w:pPr>
            <w:r>
              <w:rPr>
                <w:rFonts w:ascii="Arial" w:hAnsi="Arial" w:cs="Arial"/>
                <w:lang w:val="en-IN"/>
              </w:rPr>
              <w:t>5</w:t>
            </w:r>
            <w:r>
              <w:rPr>
                <w:rFonts w:ascii="Arial" w:hAnsi="Arial" w:cs="Arial"/>
              </w:rPr>
              <w:t>.22±0.</w:t>
            </w:r>
            <w:r>
              <w:rPr>
                <w:rFonts w:ascii="Arial" w:hAnsi="Arial" w:cs="Arial"/>
                <w:lang w:val="en-IN"/>
              </w:rPr>
              <w:t>2</w:t>
            </w:r>
            <w:r>
              <w:rPr>
                <w:rFonts w:ascii="Arial" w:hAnsi="Arial" w:cs="Arial"/>
              </w:rPr>
              <w:t>7</w:t>
            </w:r>
            <w:r>
              <w:rPr>
                <w:rFonts w:ascii="Arial" w:hAnsi="Arial" w:cs="Arial"/>
                <w:vertAlign w:val="superscript"/>
                <w:lang w:val="en-IN"/>
              </w:rPr>
              <w:t>b</w:t>
            </w:r>
          </w:p>
        </w:tc>
        <w:tc>
          <w:tcPr>
            <w:tcW w:w="2130" w:type="dxa"/>
          </w:tcPr>
          <w:p w14:paraId="6164989A">
            <w:pPr>
              <w:widowControl w:val="0"/>
              <w:spacing w:line="276" w:lineRule="auto"/>
              <w:jc w:val="both"/>
              <w:rPr>
                <w:rFonts w:ascii="Arial" w:hAnsi="Arial" w:cs="Arial"/>
                <w:vertAlign w:val="superscript"/>
                <w:lang w:val="en-IN"/>
              </w:rPr>
            </w:pPr>
            <w:r>
              <w:rPr>
                <w:rFonts w:ascii="Arial" w:hAnsi="Arial" w:cs="Arial"/>
              </w:rPr>
              <w:t>3.22±0.6</w:t>
            </w:r>
            <w:r>
              <w:rPr>
                <w:rFonts w:ascii="Arial" w:hAnsi="Arial" w:cs="Arial"/>
                <w:lang w:val="en-IN"/>
              </w:rPr>
              <w:t>4</w:t>
            </w:r>
            <w:r>
              <w:rPr>
                <w:rFonts w:ascii="Arial" w:hAnsi="Arial" w:cs="Arial"/>
                <w:vertAlign w:val="superscript"/>
                <w:lang w:val="en-IN"/>
              </w:rPr>
              <w:t>c</w:t>
            </w:r>
          </w:p>
        </w:tc>
        <w:tc>
          <w:tcPr>
            <w:tcW w:w="2130" w:type="dxa"/>
          </w:tcPr>
          <w:p w14:paraId="6B3F47A7">
            <w:pPr>
              <w:widowControl w:val="0"/>
              <w:spacing w:line="276" w:lineRule="auto"/>
              <w:jc w:val="both"/>
              <w:rPr>
                <w:rFonts w:ascii="Arial" w:hAnsi="Arial" w:cs="Arial"/>
                <w:vertAlign w:val="superscript"/>
                <w:lang w:val="en-IN"/>
              </w:rPr>
            </w:pPr>
            <w:r>
              <w:rPr>
                <w:rFonts w:ascii="Arial" w:hAnsi="Arial" w:cs="Arial"/>
                <w:lang w:val="en-IN"/>
              </w:rPr>
              <w:t>6</w:t>
            </w:r>
            <w:r>
              <w:rPr>
                <w:rFonts w:ascii="Arial" w:hAnsi="Arial" w:cs="Arial"/>
              </w:rPr>
              <w:t>.</w:t>
            </w:r>
            <w:r>
              <w:rPr>
                <w:rFonts w:ascii="Arial" w:hAnsi="Arial" w:cs="Arial"/>
                <w:lang w:val="en-IN"/>
              </w:rPr>
              <w:t>67</w:t>
            </w:r>
            <w:r>
              <w:rPr>
                <w:rFonts w:ascii="Arial" w:hAnsi="Arial" w:cs="Arial"/>
              </w:rPr>
              <w:t>±0.</w:t>
            </w:r>
            <w:r>
              <w:rPr>
                <w:rFonts w:ascii="Arial" w:hAnsi="Arial" w:cs="Arial"/>
                <w:lang w:val="en-IN"/>
              </w:rPr>
              <w:t>29</w:t>
            </w:r>
            <w:r>
              <w:rPr>
                <w:rFonts w:ascii="Arial" w:hAnsi="Arial" w:cs="Arial"/>
                <w:vertAlign w:val="superscript"/>
                <w:lang w:val="en-IN"/>
              </w:rPr>
              <w:t>a</w:t>
            </w:r>
          </w:p>
        </w:tc>
      </w:tr>
      <w:tr w14:paraId="5C9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7F0B0BA3">
            <w:pPr>
              <w:widowControl w:val="0"/>
              <w:spacing w:line="276" w:lineRule="auto"/>
              <w:jc w:val="both"/>
              <w:rPr>
                <w:rFonts w:ascii="Arial" w:hAnsi="Arial" w:cs="Arial"/>
                <w:lang w:val="en-IN"/>
              </w:rPr>
            </w:pPr>
            <w:r>
              <w:rPr>
                <w:rFonts w:ascii="Arial" w:hAnsi="Arial" w:cs="Arial"/>
              </w:rPr>
              <w:t>TLC</w:t>
            </w:r>
            <w:r>
              <w:rPr>
                <w:rFonts w:ascii="Arial" w:hAnsi="Arial" w:cs="Arial"/>
                <w:shd w:val="clear" w:color="auto" w:fill="FFFFFF"/>
              </w:rPr>
              <w:t xml:space="preserve"> </w:t>
            </w:r>
            <w:r>
              <w:rPr>
                <w:rFonts w:ascii="Arial" w:hAnsi="Arial" w:cs="Arial"/>
              </w:rPr>
              <w:t>10</w:t>
            </w:r>
            <w:r>
              <w:rPr>
                <w:rFonts w:ascii="Arial" w:hAnsi="Arial" w:cs="Arial"/>
                <w:vertAlign w:val="superscript"/>
              </w:rPr>
              <w:t>6</w:t>
            </w:r>
            <w:r>
              <w:rPr>
                <w:rFonts w:ascii="Arial" w:hAnsi="Arial" w:cs="Arial"/>
              </w:rPr>
              <w:t>/μL)</w:t>
            </w:r>
          </w:p>
        </w:tc>
        <w:tc>
          <w:tcPr>
            <w:tcW w:w="2130" w:type="dxa"/>
          </w:tcPr>
          <w:p w14:paraId="65CA788E">
            <w:pPr>
              <w:widowControl w:val="0"/>
              <w:spacing w:line="276" w:lineRule="auto"/>
              <w:jc w:val="both"/>
              <w:rPr>
                <w:rFonts w:ascii="Arial" w:hAnsi="Arial" w:cs="Arial"/>
                <w:vertAlign w:val="superscript"/>
                <w:lang w:val="en-IN"/>
              </w:rPr>
            </w:pPr>
            <w:r>
              <w:rPr>
                <w:rFonts w:ascii="Arial" w:hAnsi="Arial" w:cs="Arial"/>
              </w:rPr>
              <w:t>1</w:t>
            </w:r>
            <w:r>
              <w:rPr>
                <w:rFonts w:ascii="Arial" w:hAnsi="Arial" w:cs="Arial"/>
                <w:lang w:val="en-IN"/>
              </w:rPr>
              <w:t>5</w:t>
            </w:r>
            <w:r>
              <w:rPr>
                <w:rFonts w:ascii="Arial" w:hAnsi="Arial" w:cs="Arial"/>
              </w:rPr>
              <w:t>.2</w:t>
            </w:r>
            <w:r>
              <w:rPr>
                <w:rFonts w:ascii="Arial" w:hAnsi="Arial" w:cs="Arial"/>
                <w:lang w:val="en-IN"/>
              </w:rPr>
              <w:t>1</w:t>
            </w:r>
            <w:r>
              <w:rPr>
                <w:rFonts w:ascii="Arial" w:hAnsi="Arial" w:cs="Arial"/>
              </w:rPr>
              <w:t>±</w:t>
            </w:r>
            <w:r>
              <w:rPr>
                <w:rFonts w:ascii="Arial" w:hAnsi="Arial" w:cs="Arial"/>
                <w:lang w:val="en-IN"/>
              </w:rPr>
              <w:t>0</w:t>
            </w:r>
            <w:r>
              <w:rPr>
                <w:rFonts w:ascii="Arial" w:hAnsi="Arial" w:cs="Arial"/>
              </w:rPr>
              <w:t>.1</w:t>
            </w:r>
            <w:r>
              <w:rPr>
                <w:rFonts w:ascii="Arial" w:hAnsi="Arial" w:cs="Arial"/>
                <w:lang w:val="en-IN"/>
              </w:rPr>
              <w:t>4</w:t>
            </w:r>
            <w:r>
              <w:rPr>
                <w:rFonts w:ascii="Arial" w:hAnsi="Arial" w:cs="Arial"/>
                <w:vertAlign w:val="superscript"/>
                <w:lang w:val="en-IN"/>
              </w:rPr>
              <w:t>b</w:t>
            </w:r>
          </w:p>
        </w:tc>
        <w:tc>
          <w:tcPr>
            <w:tcW w:w="2130" w:type="dxa"/>
          </w:tcPr>
          <w:p w14:paraId="237FC1AB">
            <w:pPr>
              <w:widowControl w:val="0"/>
              <w:spacing w:line="276" w:lineRule="auto"/>
              <w:jc w:val="both"/>
              <w:rPr>
                <w:rFonts w:ascii="Arial" w:hAnsi="Arial" w:cs="Arial"/>
                <w:vertAlign w:val="superscript"/>
                <w:lang w:val="en-IN"/>
              </w:rPr>
            </w:pPr>
            <w:r>
              <w:rPr>
                <w:rFonts w:ascii="Arial" w:hAnsi="Arial" w:cs="Arial"/>
                <w:lang w:val="en-IN"/>
              </w:rPr>
              <w:t>21</w:t>
            </w:r>
            <w:r>
              <w:rPr>
                <w:rFonts w:ascii="Arial" w:hAnsi="Arial" w:cs="Arial"/>
              </w:rPr>
              <w:t>.23±</w:t>
            </w:r>
            <w:r>
              <w:rPr>
                <w:rFonts w:ascii="Arial" w:hAnsi="Arial" w:cs="Arial"/>
                <w:lang w:val="en-IN"/>
              </w:rPr>
              <w:t>0</w:t>
            </w:r>
            <w:r>
              <w:rPr>
                <w:rFonts w:ascii="Arial" w:hAnsi="Arial" w:cs="Arial"/>
              </w:rPr>
              <w:t>.1</w:t>
            </w:r>
            <w:r>
              <w:rPr>
                <w:rFonts w:ascii="Arial" w:hAnsi="Arial" w:cs="Arial"/>
                <w:lang w:val="en-IN"/>
              </w:rPr>
              <w:t>1</w:t>
            </w:r>
            <w:r>
              <w:rPr>
                <w:rFonts w:ascii="Arial" w:hAnsi="Arial" w:cs="Arial"/>
                <w:vertAlign w:val="superscript"/>
                <w:lang w:val="en-IN"/>
              </w:rPr>
              <w:t>a</w:t>
            </w:r>
          </w:p>
        </w:tc>
        <w:tc>
          <w:tcPr>
            <w:tcW w:w="2130" w:type="dxa"/>
          </w:tcPr>
          <w:p w14:paraId="77358E0A">
            <w:pPr>
              <w:widowControl w:val="0"/>
              <w:spacing w:line="276" w:lineRule="auto"/>
              <w:jc w:val="both"/>
              <w:rPr>
                <w:rFonts w:ascii="Arial" w:hAnsi="Arial" w:cs="Arial"/>
                <w:vertAlign w:val="superscript"/>
                <w:lang w:val="en-IN"/>
              </w:rPr>
            </w:pPr>
            <w:r>
              <w:rPr>
                <w:rFonts w:ascii="Arial" w:hAnsi="Arial" w:cs="Arial"/>
              </w:rPr>
              <w:t>1</w:t>
            </w:r>
            <w:r>
              <w:rPr>
                <w:rFonts w:ascii="Arial" w:hAnsi="Arial" w:cs="Arial"/>
                <w:lang w:val="en-IN"/>
              </w:rPr>
              <w:t>4</w:t>
            </w:r>
            <w:r>
              <w:rPr>
                <w:rFonts w:ascii="Arial" w:hAnsi="Arial" w:cs="Arial"/>
              </w:rPr>
              <w:t>.</w:t>
            </w:r>
            <w:r>
              <w:rPr>
                <w:rFonts w:ascii="Arial" w:hAnsi="Arial" w:cs="Arial"/>
                <w:lang w:val="en-IN"/>
              </w:rPr>
              <w:t>11</w:t>
            </w:r>
            <w:r>
              <w:rPr>
                <w:rFonts w:ascii="Arial" w:hAnsi="Arial" w:cs="Arial"/>
              </w:rPr>
              <w:t>±</w:t>
            </w:r>
            <w:r>
              <w:rPr>
                <w:rFonts w:ascii="Arial" w:hAnsi="Arial" w:cs="Arial"/>
                <w:lang w:val="en-IN"/>
              </w:rPr>
              <w:t>0</w:t>
            </w:r>
            <w:r>
              <w:rPr>
                <w:rFonts w:ascii="Arial" w:hAnsi="Arial" w:cs="Arial"/>
              </w:rPr>
              <w:t>.</w:t>
            </w:r>
            <w:r>
              <w:rPr>
                <w:rFonts w:ascii="Arial" w:hAnsi="Arial" w:cs="Arial"/>
                <w:lang w:val="en-IN"/>
              </w:rPr>
              <w:t>76</w:t>
            </w:r>
            <w:r>
              <w:rPr>
                <w:rFonts w:ascii="Arial" w:hAnsi="Arial" w:cs="Arial"/>
                <w:vertAlign w:val="superscript"/>
                <w:lang w:val="en-IN"/>
              </w:rPr>
              <w:t>b</w:t>
            </w:r>
          </w:p>
        </w:tc>
      </w:tr>
      <w:tr w14:paraId="2083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C2A791C">
            <w:pPr>
              <w:widowControl w:val="0"/>
              <w:spacing w:line="276" w:lineRule="auto"/>
              <w:jc w:val="both"/>
              <w:rPr>
                <w:rFonts w:ascii="Arial" w:hAnsi="Arial" w:cs="Arial"/>
              </w:rPr>
            </w:pPr>
            <w:r>
              <w:rPr>
                <w:rFonts w:ascii="Arial" w:hAnsi="Arial" w:cs="Arial"/>
              </w:rPr>
              <w:t>PCV (%)</w:t>
            </w:r>
          </w:p>
        </w:tc>
        <w:tc>
          <w:tcPr>
            <w:tcW w:w="2130" w:type="dxa"/>
          </w:tcPr>
          <w:p w14:paraId="7474F625">
            <w:pPr>
              <w:widowControl w:val="0"/>
              <w:spacing w:line="276" w:lineRule="auto"/>
              <w:jc w:val="both"/>
              <w:rPr>
                <w:rFonts w:ascii="Arial" w:hAnsi="Arial" w:cs="Arial"/>
                <w:vertAlign w:val="superscript"/>
                <w:lang w:val="en-IN"/>
              </w:rPr>
            </w:pPr>
            <w:r>
              <w:rPr>
                <w:rFonts w:ascii="Arial" w:hAnsi="Arial" w:cs="Arial"/>
                <w:lang w:val="en-IN"/>
              </w:rPr>
              <w:t>51</w:t>
            </w:r>
            <w:r>
              <w:rPr>
                <w:rFonts w:ascii="Arial" w:hAnsi="Arial" w:cs="Arial"/>
              </w:rPr>
              <w:t>.1</w:t>
            </w:r>
            <w:r>
              <w:rPr>
                <w:rFonts w:ascii="Arial" w:hAnsi="Arial" w:cs="Arial"/>
                <w:lang w:val="en-IN"/>
              </w:rPr>
              <w:t>4</w:t>
            </w:r>
            <w:r>
              <w:rPr>
                <w:rFonts w:ascii="Arial" w:hAnsi="Arial" w:cs="Arial"/>
              </w:rPr>
              <w:t>±1.</w:t>
            </w:r>
            <w:r>
              <w:rPr>
                <w:rFonts w:ascii="Arial" w:hAnsi="Arial" w:cs="Arial"/>
                <w:lang w:val="en-IN"/>
              </w:rPr>
              <w:t>1</w:t>
            </w:r>
            <w:r>
              <w:rPr>
                <w:rFonts w:ascii="Arial" w:hAnsi="Arial" w:cs="Arial"/>
              </w:rPr>
              <w:t>4</w:t>
            </w:r>
            <w:r>
              <w:rPr>
                <w:rFonts w:ascii="Arial" w:hAnsi="Arial" w:cs="Arial"/>
                <w:vertAlign w:val="superscript"/>
                <w:lang w:val="en-IN"/>
              </w:rPr>
              <w:t>a</w:t>
            </w:r>
          </w:p>
        </w:tc>
        <w:tc>
          <w:tcPr>
            <w:tcW w:w="2130" w:type="dxa"/>
          </w:tcPr>
          <w:p w14:paraId="4613D484">
            <w:pPr>
              <w:widowControl w:val="0"/>
              <w:spacing w:line="276" w:lineRule="auto"/>
              <w:jc w:val="both"/>
              <w:rPr>
                <w:rFonts w:ascii="Arial" w:hAnsi="Arial" w:cs="Arial"/>
                <w:vertAlign w:val="superscript"/>
                <w:lang w:val="en-IN"/>
              </w:rPr>
            </w:pPr>
            <w:r>
              <w:rPr>
                <w:rFonts w:ascii="Arial" w:hAnsi="Arial" w:cs="Arial"/>
                <w:lang w:val="en-IN"/>
              </w:rPr>
              <w:t>31</w:t>
            </w:r>
            <w:r>
              <w:rPr>
                <w:rFonts w:ascii="Arial" w:hAnsi="Arial" w:cs="Arial"/>
              </w:rPr>
              <w:t>.12±1.</w:t>
            </w:r>
            <w:r>
              <w:rPr>
                <w:rFonts w:ascii="Arial" w:hAnsi="Arial" w:cs="Arial"/>
                <w:lang w:val="en-IN"/>
              </w:rPr>
              <w:t>01</w:t>
            </w:r>
            <w:r>
              <w:rPr>
                <w:rFonts w:ascii="Arial" w:hAnsi="Arial" w:cs="Arial"/>
                <w:vertAlign w:val="superscript"/>
                <w:lang w:val="en-IN"/>
              </w:rPr>
              <w:t>b</w:t>
            </w:r>
          </w:p>
        </w:tc>
        <w:tc>
          <w:tcPr>
            <w:tcW w:w="2130" w:type="dxa"/>
          </w:tcPr>
          <w:p w14:paraId="01CC952A">
            <w:pPr>
              <w:widowControl w:val="0"/>
              <w:spacing w:line="276" w:lineRule="auto"/>
              <w:jc w:val="both"/>
              <w:rPr>
                <w:rFonts w:ascii="Arial" w:hAnsi="Arial" w:cs="Arial"/>
                <w:vertAlign w:val="superscript"/>
                <w:lang w:val="en-IN"/>
              </w:rPr>
            </w:pPr>
            <w:r>
              <w:rPr>
                <w:rFonts w:ascii="Arial" w:hAnsi="Arial" w:cs="Arial"/>
                <w:lang w:val="en-IN"/>
              </w:rPr>
              <w:t>52</w:t>
            </w:r>
            <w:r>
              <w:rPr>
                <w:rFonts w:ascii="Arial" w:hAnsi="Arial" w:cs="Arial"/>
              </w:rPr>
              <w:t>.</w:t>
            </w:r>
            <w:r>
              <w:rPr>
                <w:rFonts w:ascii="Arial" w:hAnsi="Arial" w:cs="Arial"/>
                <w:lang w:val="en-IN"/>
              </w:rPr>
              <w:t>24</w:t>
            </w:r>
            <w:r>
              <w:rPr>
                <w:rFonts w:ascii="Arial" w:hAnsi="Arial" w:cs="Arial"/>
              </w:rPr>
              <w:t>±1.</w:t>
            </w:r>
            <w:r>
              <w:rPr>
                <w:rFonts w:ascii="Arial" w:hAnsi="Arial" w:cs="Arial"/>
                <w:lang w:val="en-IN"/>
              </w:rPr>
              <w:t>09</w:t>
            </w:r>
            <w:r>
              <w:rPr>
                <w:rFonts w:ascii="Arial" w:hAnsi="Arial" w:cs="Arial"/>
                <w:vertAlign w:val="superscript"/>
                <w:lang w:val="en-IN"/>
              </w:rPr>
              <w:t>a</w:t>
            </w:r>
          </w:p>
        </w:tc>
      </w:tr>
      <w:tr w14:paraId="3E80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E4EC489">
            <w:pPr>
              <w:widowControl w:val="0"/>
              <w:spacing w:line="276" w:lineRule="auto"/>
              <w:jc w:val="both"/>
              <w:rPr>
                <w:rFonts w:ascii="Arial" w:hAnsi="Arial" w:cs="Arial"/>
                <w:lang w:val="en-IN"/>
              </w:rPr>
            </w:pPr>
            <w:r>
              <w:rPr>
                <w:rFonts w:ascii="Arial" w:hAnsi="Arial" w:cs="Arial"/>
              </w:rPr>
              <w:t>PLT (10</w:t>
            </w:r>
            <w:r>
              <w:rPr>
                <w:rFonts w:ascii="Arial" w:hAnsi="Arial" w:cs="Arial"/>
                <w:vertAlign w:val="superscript"/>
              </w:rPr>
              <w:t>5</w:t>
            </w:r>
            <w:r>
              <w:rPr>
                <w:rFonts w:ascii="Arial" w:hAnsi="Arial" w:cs="Arial"/>
              </w:rPr>
              <w:t>/μL)</w:t>
            </w:r>
          </w:p>
        </w:tc>
        <w:tc>
          <w:tcPr>
            <w:tcW w:w="2130" w:type="dxa"/>
          </w:tcPr>
          <w:p w14:paraId="0ED69A8F">
            <w:pPr>
              <w:widowControl w:val="0"/>
              <w:spacing w:line="276" w:lineRule="auto"/>
              <w:jc w:val="both"/>
              <w:rPr>
                <w:rFonts w:ascii="Arial" w:hAnsi="Arial" w:cs="Arial"/>
                <w:vertAlign w:val="superscript"/>
                <w:lang w:val="en-IN"/>
              </w:rPr>
            </w:pPr>
            <w:r>
              <w:rPr>
                <w:rFonts w:ascii="Arial" w:hAnsi="Arial" w:cs="Arial"/>
                <w:lang w:val="en-IN"/>
              </w:rPr>
              <w:t>2</w:t>
            </w:r>
            <w:r>
              <w:rPr>
                <w:rFonts w:ascii="Arial" w:hAnsi="Arial" w:cs="Arial"/>
              </w:rPr>
              <w:t>.</w:t>
            </w:r>
            <w:r>
              <w:rPr>
                <w:rFonts w:ascii="Arial" w:hAnsi="Arial" w:cs="Arial"/>
                <w:lang w:val="en-IN"/>
              </w:rPr>
              <w:t>1</w:t>
            </w:r>
            <w:r>
              <w:rPr>
                <w:rFonts w:ascii="Arial" w:hAnsi="Arial" w:cs="Arial"/>
              </w:rPr>
              <w:t>3±0.2</w:t>
            </w:r>
            <w:r>
              <w:rPr>
                <w:rFonts w:ascii="Arial" w:hAnsi="Arial" w:cs="Arial"/>
                <w:lang w:val="en-IN"/>
              </w:rPr>
              <w:t>8</w:t>
            </w:r>
            <w:r>
              <w:rPr>
                <w:rFonts w:ascii="Arial" w:hAnsi="Arial" w:cs="Arial"/>
                <w:vertAlign w:val="superscript"/>
                <w:lang w:val="en-IN"/>
              </w:rPr>
              <w:t>ab</w:t>
            </w:r>
          </w:p>
        </w:tc>
        <w:tc>
          <w:tcPr>
            <w:tcW w:w="2130" w:type="dxa"/>
          </w:tcPr>
          <w:p w14:paraId="59F40ACF">
            <w:pPr>
              <w:widowControl w:val="0"/>
              <w:spacing w:line="276" w:lineRule="auto"/>
              <w:jc w:val="both"/>
              <w:rPr>
                <w:rFonts w:ascii="Arial" w:hAnsi="Arial" w:cs="Arial"/>
                <w:vertAlign w:val="superscript"/>
                <w:lang w:val="en-IN"/>
              </w:rPr>
            </w:pPr>
            <w:r>
              <w:rPr>
                <w:rFonts w:ascii="Arial" w:hAnsi="Arial" w:cs="Arial"/>
              </w:rPr>
              <w:t>0.</w:t>
            </w:r>
            <w:r>
              <w:rPr>
                <w:rFonts w:ascii="Arial" w:hAnsi="Arial" w:cs="Arial"/>
                <w:lang w:val="en-IN"/>
              </w:rPr>
              <w:t>8</w:t>
            </w:r>
            <w:r>
              <w:rPr>
                <w:rFonts w:ascii="Arial" w:hAnsi="Arial" w:cs="Arial"/>
              </w:rPr>
              <w:t>3±0.22</w:t>
            </w:r>
            <w:r>
              <w:rPr>
                <w:rFonts w:ascii="Arial" w:hAnsi="Arial" w:cs="Arial"/>
                <w:vertAlign w:val="superscript"/>
                <w:lang w:val="en-IN"/>
              </w:rPr>
              <w:t>b</w:t>
            </w:r>
          </w:p>
        </w:tc>
        <w:tc>
          <w:tcPr>
            <w:tcW w:w="2130" w:type="dxa"/>
          </w:tcPr>
          <w:p w14:paraId="024F7D25">
            <w:pPr>
              <w:widowControl w:val="0"/>
              <w:spacing w:line="276" w:lineRule="auto"/>
              <w:jc w:val="both"/>
              <w:rPr>
                <w:rFonts w:ascii="Arial" w:hAnsi="Arial" w:cs="Arial"/>
                <w:vertAlign w:val="superscript"/>
                <w:lang w:val="en-IN"/>
              </w:rPr>
            </w:pPr>
            <w:r>
              <w:rPr>
                <w:rFonts w:ascii="Arial" w:hAnsi="Arial" w:cs="Arial"/>
                <w:lang w:val="en-IN"/>
              </w:rPr>
              <w:t>2</w:t>
            </w:r>
            <w:r>
              <w:rPr>
                <w:rFonts w:ascii="Arial" w:hAnsi="Arial" w:cs="Arial"/>
              </w:rPr>
              <w:t>.</w:t>
            </w:r>
            <w:r>
              <w:rPr>
                <w:rFonts w:ascii="Arial" w:hAnsi="Arial" w:cs="Arial"/>
                <w:lang w:val="en-IN"/>
              </w:rPr>
              <w:t>5</w:t>
            </w:r>
            <w:r>
              <w:rPr>
                <w:rFonts w:ascii="Arial" w:hAnsi="Arial" w:cs="Arial"/>
              </w:rPr>
              <w:t>3±0.</w:t>
            </w:r>
            <w:r>
              <w:rPr>
                <w:rFonts w:ascii="Arial" w:hAnsi="Arial" w:cs="Arial"/>
                <w:lang w:val="en-IN"/>
              </w:rPr>
              <w:t>26</w:t>
            </w:r>
            <w:r>
              <w:rPr>
                <w:rFonts w:ascii="Arial" w:hAnsi="Arial" w:cs="Arial"/>
                <w:vertAlign w:val="superscript"/>
                <w:lang w:val="en-IN"/>
              </w:rPr>
              <w:t>a</w:t>
            </w:r>
          </w:p>
        </w:tc>
      </w:tr>
      <w:tr w14:paraId="74ED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6AADBD69">
            <w:pPr>
              <w:widowControl w:val="0"/>
              <w:spacing w:line="276" w:lineRule="auto"/>
              <w:jc w:val="both"/>
              <w:rPr>
                <w:rFonts w:ascii="Arial" w:hAnsi="Arial" w:cs="Arial"/>
                <w:lang w:val="en-IN"/>
              </w:rPr>
            </w:pPr>
            <w:r>
              <w:rPr>
                <w:rFonts w:ascii="Arial" w:hAnsi="Arial" w:cs="Arial"/>
              </w:rPr>
              <w:t>Neutrophils (%)</w:t>
            </w:r>
          </w:p>
        </w:tc>
        <w:tc>
          <w:tcPr>
            <w:tcW w:w="2130" w:type="dxa"/>
          </w:tcPr>
          <w:p w14:paraId="26485D42">
            <w:pPr>
              <w:widowControl w:val="0"/>
              <w:spacing w:line="276" w:lineRule="auto"/>
              <w:jc w:val="both"/>
              <w:rPr>
                <w:rFonts w:ascii="Arial" w:hAnsi="Arial" w:cs="Arial"/>
                <w:vertAlign w:val="superscript"/>
                <w:lang w:val="en-IN"/>
              </w:rPr>
            </w:pPr>
            <w:r>
              <w:rPr>
                <w:rFonts w:ascii="Arial" w:hAnsi="Arial" w:cs="Arial"/>
              </w:rPr>
              <w:t>7</w:t>
            </w:r>
            <w:r>
              <w:rPr>
                <w:rFonts w:ascii="Arial" w:hAnsi="Arial" w:cs="Arial"/>
                <w:lang w:val="en-IN"/>
              </w:rPr>
              <w:t>7</w:t>
            </w:r>
            <w:r>
              <w:rPr>
                <w:rFonts w:ascii="Arial" w:hAnsi="Arial" w:cs="Arial"/>
              </w:rPr>
              <w:t>.1</w:t>
            </w:r>
            <w:r>
              <w:rPr>
                <w:rFonts w:ascii="Arial" w:hAnsi="Arial" w:cs="Arial"/>
                <w:lang w:val="en-IN"/>
              </w:rPr>
              <w:t>8</w:t>
            </w:r>
            <w:r>
              <w:rPr>
                <w:rFonts w:ascii="Arial" w:hAnsi="Arial" w:cs="Arial"/>
              </w:rPr>
              <w:t>±</w:t>
            </w:r>
            <w:r>
              <w:rPr>
                <w:rFonts w:ascii="Arial" w:hAnsi="Arial" w:cs="Arial"/>
                <w:lang w:val="en-IN"/>
              </w:rPr>
              <w:t>0</w:t>
            </w:r>
            <w:r>
              <w:rPr>
                <w:rFonts w:ascii="Arial" w:hAnsi="Arial" w:cs="Arial"/>
              </w:rPr>
              <w:t>.1</w:t>
            </w:r>
            <w:r>
              <w:rPr>
                <w:rFonts w:ascii="Arial" w:hAnsi="Arial" w:cs="Arial"/>
                <w:lang w:val="en-IN"/>
              </w:rPr>
              <w:t>4</w:t>
            </w:r>
            <w:r>
              <w:rPr>
                <w:rFonts w:ascii="Arial" w:hAnsi="Arial" w:cs="Arial"/>
                <w:vertAlign w:val="superscript"/>
                <w:lang w:val="en-IN"/>
              </w:rPr>
              <w:t>b</w:t>
            </w:r>
          </w:p>
        </w:tc>
        <w:tc>
          <w:tcPr>
            <w:tcW w:w="2130" w:type="dxa"/>
          </w:tcPr>
          <w:p w14:paraId="412E66F9">
            <w:pPr>
              <w:widowControl w:val="0"/>
              <w:spacing w:line="276" w:lineRule="auto"/>
              <w:jc w:val="both"/>
              <w:rPr>
                <w:rFonts w:ascii="Arial" w:hAnsi="Arial" w:cs="Arial"/>
                <w:vertAlign w:val="superscript"/>
                <w:lang w:val="en-IN"/>
              </w:rPr>
            </w:pPr>
            <w:r>
              <w:rPr>
                <w:rFonts w:ascii="Arial" w:hAnsi="Arial" w:cs="Arial"/>
                <w:lang w:val="en-IN"/>
              </w:rPr>
              <w:t>81</w:t>
            </w:r>
            <w:r>
              <w:rPr>
                <w:rFonts w:ascii="Arial" w:hAnsi="Arial" w:cs="Arial"/>
              </w:rPr>
              <w:t>.12±10.12</w:t>
            </w:r>
            <w:r>
              <w:rPr>
                <w:rFonts w:ascii="Arial" w:hAnsi="Arial" w:cs="Arial"/>
                <w:vertAlign w:val="superscript"/>
                <w:lang w:val="en-IN"/>
              </w:rPr>
              <w:t>a</w:t>
            </w:r>
          </w:p>
        </w:tc>
        <w:tc>
          <w:tcPr>
            <w:tcW w:w="2130" w:type="dxa"/>
          </w:tcPr>
          <w:p w14:paraId="2C312890">
            <w:pPr>
              <w:widowControl w:val="0"/>
              <w:spacing w:line="276" w:lineRule="auto"/>
              <w:jc w:val="both"/>
              <w:rPr>
                <w:rFonts w:ascii="Arial" w:hAnsi="Arial" w:cs="Arial"/>
                <w:vertAlign w:val="superscript"/>
                <w:lang w:val="en-IN"/>
              </w:rPr>
            </w:pPr>
            <w:r>
              <w:rPr>
                <w:rFonts w:ascii="Arial" w:hAnsi="Arial" w:cs="Arial"/>
              </w:rPr>
              <w:t>7</w:t>
            </w:r>
            <w:r>
              <w:rPr>
                <w:rFonts w:ascii="Arial" w:hAnsi="Arial" w:cs="Arial"/>
                <w:lang w:val="en-IN"/>
              </w:rPr>
              <w:t>5</w:t>
            </w:r>
            <w:r>
              <w:rPr>
                <w:rFonts w:ascii="Arial" w:hAnsi="Arial" w:cs="Arial"/>
              </w:rPr>
              <w:t>.1</w:t>
            </w:r>
            <w:r>
              <w:rPr>
                <w:rFonts w:ascii="Arial" w:hAnsi="Arial" w:cs="Arial"/>
                <w:lang w:val="en-IN"/>
              </w:rPr>
              <w:t>8</w:t>
            </w:r>
            <w:r>
              <w:rPr>
                <w:rFonts w:ascii="Arial" w:hAnsi="Arial" w:cs="Arial"/>
              </w:rPr>
              <w:t>±</w:t>
            </w:r>
            <w:r>
              <w:rPr>
                <w:rFonts w:ascii="Arial" w:hAnsi="Arial" w:cs="Arial"/>
                <w:lang w:val="en-IN"/>
              </w:rPr>
              <w:t>0</w:t>
            </w:r>
            <w:r>
              <w:rPr>
                <w:rFonts w:ascii="Arial" w:hAnsi="Arial" w:cs="Arial"/>
              </w:rPr>
              <w:t>.1</w:t>
            </w:r>
            <w:r>
              <w:rPr>
                <w:rFonts w:ascii="Arial" w:hAnsi="Arial" w:cs="Arial"/>
                <w:lang w:val="en-IN"/>
              </w:rPr>
              <w:t>4</w:t>
            </w:r>
            <w:r>
              <w:rPr>
                <w:rFonts w:ascii="Arial" w:hAnsi="Arial" w:cs="Arial"/>
                <w:vertAlign w:val="superscript"/>
                <w:lang w:val="en-IN"/>
              </w:rPr>
              <w:t>b</w:t>
            </w:r>
          </w:p>
        </w:tc>
      </w:tr>
      <w:tr w14:paraId="5621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65FAFF81">
            <w:pPr>
              <w:widowControl w:val="0"/>
              <w:spacing w:line="276" w:lineRule="auto"/>
              <w:jc w:val="both"/>
              <w:rPr>
                <w:rFonts w:ascii="Arial" w:hAnsi="Arial" w:cs="Arial"/>
                <w:lang w:val="en-IN"/>
              </w:rPr>
            </w:pPr>
            <w:r>
              <w:rPr>
                <w:rFonts w:ascii="Arial" w:hAnsi="Arial" w:cs="Arial"/>
              </w:rPr>
              <w:t>Lymphocytes(%)</w:t>
            </w:r>
          </w:p>
        </w:tc>
        <w:tc>
          <w:tcPr>
            <w:tcW w:w="2130" w:type="dxa"/>
          </w:tcPr>
          <w:p w14:paraId="6928EA94">
            <w:pPr>
              <w:widowControl w:val="0"/>
              <w:spacing w:line="276" w:lineRule="auto"/>
              <w:jc w:val="both"/>
              <w:rPr>
                <w:rFonts w:ascii="Arial" w:hAnsi="Arial" w:cs="Arial"/>
                <w:vertAlign w:val="superscript"/>
                <w:lang w:val="en-IN"/>
              </w:rPr>
            </w:pPr>
            <w:r>
              <w:rPr>
                <w:rFonts w:ascii="Arial" w:hAnsi="Arial" w:cs="Arial"/>
                <w:lang w:val="en-IN"/>
              </w:rPr>
              <w:t>1</w:t>
            </w:r>
            <w:r>
              <w:rPr>
                <w:rFonts w:ascii="Arial" w:hAnsi="Arial" w:cs="Arial"/>
              </w:rPr>
              <w:t>3.18±</w:t>
            </w:r>
            <w:r>
              <w:rPr>
                <w:rFonts w:ascii="Arial" w:hAnsi="Arial" w:cs="Arial"/>
                <w:lang w:val="en-IN"/>
              </w:rPr>
              <w:t>0</w:t>
            </w:r>
            <w:r>
              <w:rPr>
                <w:rFonts w:ascii="Arial" w:hAnsi="Arial" w:cs="Arial"/>
              </w:rPr>
              <w:t>.</w:t>
            </w:r>
            <w:r>
              <w:rPr>
                <w:rFonts w:ascii="Arial" w:hAnsi="Arial" w:cs="Arial"/>
                <w:lang w:val="en-IN"/>
              </w:rPr>
              <w:t>2</w:t>
            </w:r>
            <w:r>
              <w:rPr>
                <w:rFonts w:ascii="Arial" w:hAnsi="Arial" w:cs="Arial"/>
              </w:rPr>
              <w:t>1</w:t>
            </w:r>
            <w:r>
              <w:rPr>
                <w:rFonts w:ascii="Arial" w:hAnsi="Arial" w:cs="Arial"/>
                <w:vertAlign w:val="superscript"/>
                <w:lang w:val="en-IN"/>
              </w:rPr>
              <w:t>a</w:t>
            </w:r>
          </w:p>
        </w:tc>
        <w:tc>
          <w:tcPr>
            <w:tcW w:w="2130" w:type="dxa"/>
          </w:tcPr>
          <w:p w14:paraId="61BC0D20">
            <w:pPr>
              <w:widowControl w:val="0"/>
              <w:spacing w:line="276" w:lineRule="auto"/>
              <w:jc w:val="both"/>
              <w:rPr>
                <w:rFonts w:ascii="Arial" w:hAnsi="Arial" w:cs="Arial"/>
                <w:vertAlign w:val="superscript"/>
                <w:lang w:val="en-IN"/>
              </w:rPr>
            </w:pPr>
            <w:r>
              <w:rPr>
                <w:rFonts w:ascii="Arial" w:hAnsi="Arial" w:cs="Arial"/>
                <w:lang w:val="en-IN"/>
              </w:rPr>
              <w:t>10</w:t>
            </w:r>
            <w:r>
              <w:rPr>
                <w:rFonts w:ascii="Arial" w:hAnsi="Arial" w:cs="Arial"/>
              </w:rPr>
              <w:t>.18±</w:t>
            </w:r>
            <w:r>
              <w:rPr>
                <w:rFonts w:ascii="Arial" w:hAnsi="Arial" w:cs="Arial"/>
                <w:lang w:val="en-IN"/>
              </w:rPr>
              <w:t xml:space="preserve"> 0</w:t>
            </w:r>
            <w:r>
              <w:rPr>
                <w:rFonts w:ascii="Arial" w:hAnsi="Arial" w:cs="Arial"/>
              </w:rPr>
              <w:t>.11</w:t>
            </w:r>
            <w:r>
              <w:rPr>
                <w:rFonts w:ascii="Arial" w:hAnsi="Arial" w:cs="Arial"/>
                <w:vertAlign w:val="superscript"/>
                <w:lang w:val="en-IN"/>
              </w:rPr>
              <w:t>a</w:t>
            </w:r>
          </w:p>
        </w:tc>
        <w:tc>
          <w:tcPr>
            <w:tcW w:w="2130" w:type="dxa"/>
          </w:tcPr>
          <w:p w14:paraId="06506AE8">
            <w:pPr>
              <w:widowControl w:val="0"/>
              <w:spacing w:line="276" w:lineRule="auto"/>
              <w:jc w:val="both"/>
              <w:rPr>
                <w:rFonts w:ascii="Arial" w:hAnsi="Arial" w:cs="Arial"/>
                <w:vertAlign w:val="superscript"/>
                <w:lang w:val="en-IN"/>
              </w:rPr>
            </w:pPr>
            <w:r>
              <w:rPr>
                <w:rFonts w:ascii="Arial" w:hAnsi="Arial" w:cs="Arial"/>
                <w:lang w:val="en-IN"/>
              </w:rPr>
              <w:t>1</w:t>
            </w:r>
            <w:r>
              <w:rPr>
                <w:rFonts w:ascii="Arial" w:hAnsi="Arial" w:cs="Arial"/>
              </w:rPr>
              <w:t>3.18±</w:t>
            </w:r>
            <w:r>
              <w:rPr>
                <w:rFonts w:ascii="Arial" w:hAnsi="Arial" w:cs="Arial"/>
                <w:lang w:val="en-IN"/>
              </w:rPr>
              <w:t>0</w:t>
            </w:r>
            <w:r>
              <w:rPr>
                <w:rFonts w:ascii="Arial" w:hAnsi="Arial" w:cs="Arial"/>
              </w:rPr>
              <w:t>.</w:t>
            </w:r>
            <w:r>
              <w:rPr>
                <w:rFonts w:ascii="Arial" w:hAnsi="Arial" w:cs="Arial"/>
                <w:lang w:val="en-IN"/>
              </w:rPr>
              <w:t>2</w:t>
            </w:r>
            <w:r>
              <w:rPr>
                <w:rFonts w:ascii="Arial" w:hAnsi="Arial" w:cs="Arial"/>
              </w:rPr>
              <w:t>1</w:t>
            </w:r>
            <w:r>
              <w:rPr>
                <w:rFonts w:ascii="Arial" w:hAnsi="Arial" w:cs="Arial"/>
                <w:vertAlign w:val="superscript"/>
                <w:lang w:val="en-IN"/>
              </w:rPr>
              <w:t>a</w:t>
            </w:r>
          </w:p>
        </w:tc>
      </w:tr>
      <w:tr w14:paraId="2A41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701E3D28">
            <w:pPr>
              <w:widowControl w:val="0"/>
              <w:spacing w:line="276" w:lineRule="auto"/>
              <w:jc w:val="both"/>
              <w:rPr>
                <w:rFonts w:ascii="Arial" w:hAnsi="Arial" w:cs="Arial"/>
                <w:lang w:val="en-IN"/>
              </w:rPr>
            </w:pPr>
            <w:r>
              <w:rPr>
                <w:rFonts w:ascii="Arial" w:hAnsi="Arial" w:cs="Arial"/>
              </w:rPr>
              <w:t>Monocytes (%)</w:t>
            </w:r>
          </w:p>
        </w:tc>
        <w:tc>
          <w:tcPr>
            <w:tcW w:w="2130" w:type="dxa"/>
          </w:tcPr>
          <w:p w14:paraId="531D0D95">
            <w:pPr>
              <w:widowControl w:val="0"/>
              <w:spacing w:line="276" w:lineRule="auto"/>
              <w:jc w:val="both"/>
              <w:rPr>
                <w:rFonts w:ascii="Arial" w:hAnsi="Arial" w:cs="Arial"/>
                <w:vertAlign w:val="superscript"/>
                <w:lang w:val="en-IN"/>
              </w:rPr>
            </w:pPr>
            <w:r>
              <w:rPr>
                <w:rFonts w:ascii="Arial" w:hAnsi="Arial" w:cs="Arial"/>
                <w:lang w:val="en-IN"/>
              </w:rPr>
              <w:t>9</w:t>
            </w:r>
            <w:r>
              <w:rPr>
                <w:rFonts w:ascii="Arial" w:hAnsi="Arial" w:cs="Arial"/>
              </w:rPr>
              <w:t>.08±0.3</w:t>
            </w:r>
            <w:r>
              <w:rPr>
                <w:rFonts w:ascii="Arial" w:hAnsi="Arial" w:cs="Arial"/>
                <w:lang w:val="en-IN"/>
              </w:rPr>
              <w:t>9</w:t>
            </w:r>
            <w:r>
              <w:rPr>
                <w:rFonts w:ascii="Arial" w:hAnsi="Arial" w:cs="Arial"/>
                <w:vertAlign w:val="superscript"/>
                <w:lang w:val="en-IN"/>
              </w:rPr>
              <w:t>a</w:t>
            </w:r>
          </w:p>
        </w:tc>
        <w:tc>
          <w:tcPr>
            <w:tcW w:w="2130" w:type="dxa"/>
          </w:tcPr>
          <w:p w14:paraId="1C9EF641">
            <w:pPr>
              <w:widowControl w:val="0"/>
              <w:spacing w:line="276" w:lineRule="auto"/>
              <w:jc w:val="both"/>
              <w:rPr>
                <w:rFonts w:ascii="Arial" w:hAnsi="Arial" w:cs="Arial"/>
                <w:vertAlign w:val="superscript"/>
                <w:lang w:val="en-IN"/>
              </w:rPr>
            </w:pPr>
            <w:r>
              <w:rPr>
                <w:rFonts w:ascii="Arial" w:hAnsi="Arial" w:cs="Arial"/>
                <w:lang w:val="en-IN"/>
              </w:rPr>
              <w:t>8</w:t>
            </w:r>
            <w:r>
              <w:rPr>
                <w:rFonts w:ascii="Arial" w:hAnsi="Arial" w:cs="Arial"/>
              </w:rPr>
              <w:t>.0</w:t>
            </w:r>
            <w:r>
              <w:rPr>
                <w:rFonts w:ascii="Arial" w:hAnsi="Arial" w:cs="Arial"/>
                <w:lang w:val="en-IN"/>
              </w:rPr>
              <w:t>1</w:t>
            </w:r>
            <w:r>
              <w:rPr>
                <w:rFonts w:ascii="Arial" w:hAnsi="Arial" w:cs="Arial"/>
              </w:rPr>
              <w:t>±</w:t>
            </w:r>
            <w:r>
              <w:rPr>
                <w:rFonts w:ascii="Arial" w:hAnsi="Arial" w:cs="Arial"/>
                <w:lang w:val="en-IN"/>
              </w:rPr>
              <w:t>0</w:t>
            </w:r>
            <w:r>
              <w:rPr>
                <w:rFonts w:ascii="Arial" w:hAnsi="Arial" w:cs="Arial"/>
              </w:rPr>
              <w:t>.43</w:t>
            </w:r>
            <w:r>
              <w:rPr>
                <w:rFonts w:ascii="Arial" w:hAnsi="Arial" w:cs="Arial"/>
                <w:vertAlign w:val="superscript"/>
                <w:lang w:val="en-IN"/>
              </w:rPr>
              <w:t>a</w:t>
            </w:r>
          </w:p>
        </w:tc>
        <w:tc>
          <w:tcPr>
            <w:tcW w:w="2130" w:type="dxa"/>
          </w:tcPr>
          <w:p w14:paraId="1959EF63">
            <w:pPr>
              <w:widowControl w:val="0"/>
              <w:spacing w:line="276" w:lineRule="auto"/>
              <w:jc w:val="both"/>
              <w:rPr>
                <w:rFonts w:ascii="Arial" w:hAnsi="Arial" w:cs="Arial"/>
                <w:vertAlign w:val="superscript"/>
                <w:lang w:val="en-IN"/>
              </w:rPr>
            </w:pPr>
            <w:r>
              <w:rPr>
                <w:rFonts w:ascii="Arial" w:hAnsi="Arial" w:cs="Arial"/>
                <w:lang w:val="en-IN"/>
              </w:rPr>
              <w:t>11</w:t>
            </w:r>
            <w:r>
              <w:rPr>
                <w:rFonts w:ascii="Arial" w:hAnsi="Arial" w:cs="Arial"/>
              </w:rPr>
              <w:t>.</w:t>
            </w:r>
            <w:r>
              <w:rPr>
                <w:rFonts w:ascii="Arial" w:hAnsi="Arial" w:cs="Arial"/>
                <w:lang w:val="en-IN"/>
              </w:rPr>
              <w:t>11</w:t>
            </w:r>
            <w:r>
              <w:rPr>
                <w:rFonts w:ascii="Arial" w:hAnsi="Arial" w:cs="Arial"/>
              </w:rPr>
              <w:t>±0.</w:t>
            </w:r>
            <w:r>
              <w:rPr>
                <w:rFonts w:ascii="Arial" w:hAnsi="Arial" w:cs="Arial"/>
                <w:lang w:val="en-IN"/>
              </w:rPr>
              <w:t>34</w:t>
            </w:r>
            <w:r>
              <w:rPr>
                <w:rFonts w:ascii="Arial" w:hAnsi="Arial" w:cs="Arial"/>
                <w:vertAlign w:val="superscript"/>
                <w:lang w:val="en-IN"/>
              </w:rPr>
              <w:t>a</w:t>
            </w:r>
          </w:p>
        </w:tc>
      </w:tr>
      <w:tr w14:paraId="40BD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8F167CF">
            <w:pPr>
              <w:widowControl w:val="0"/>
              <w:spacing w:line="276" w:lineRule="auto"/>
              <w:jc w:val="both"/>
              <w:rPr>
                <w:rFonts w:ascii="Arial" w:hAnsi="Arial" w:cs="Arial"/>
                <w:lang w:val="en-IN"/>
              </w:rPr>
            </w:pPr>
            <w:r>
              <w:rPr>
                <w:rFonts w:ascii="Arial" w:hAnsi="Arial" w:cs="Arial"/>
              </w:rPr>
              <w:t>Eosinophils (%)</w:t>
            </w:r>
          </w:p>
        </w:tc>
        <w:tc>
          <w:tcPr>
            <w:tcW w:w="2130" w:type="dxa"/>
          </w:tcPr>
          <w:p w14:paraId="50284671">
            <w:pPr>
              <w:widowControl w:val="0"/>
              <w:spacing w:line="276" w:lineRule="auto"/>
              <w:jc w:val="both"/>
              <w:rPr>
                <w:rFonts w:ascii="Arial" w:hAnsi="Arial" w:cs="Arial"/>
                <w:vertAlign w:val="superscript"/>
                <w:lang w:val="en-IN"/>
              </w:rPr>
            </w:pPr>
            <w:r>
              <w:rPr>
                <w:rFonts w:ascii="Arial" w:hAnsi="Arial" w:cs="Arial"/>
              </w:rPr>
              <w:t>1.</w:t>
            </w:r>
            <w:r>
              <w:rPr>
                <w:rFonts w:ascii="Arial" w:hAnsi="Arial" w:cs="Arial"/>
                <w:lang w:val="en-IN"/>
              </w:rPr>
              <w:t>0</w:t>
            </w:r>
            <w:r>
              <w:rPr>
                <w:rFonts w:ascii="Arial" w:hAnsi="Arial" w:cs="Arial"/>
              </w:rPr>
              <w:t>8±0.45</w:t>
            </w:r>
            <w:r>
              <w:rPr>
                <w:rFonts w:ascii="Arial" w:hAnsi="Arial" w:cs="Arial"/>
                <w:vertAlign w:val="superscript"/>
                <w:lang w:val="en-IN"/>
              </w:rPr>
              <w:t>a</w:t>
            </w:r>
          </w:p>
        </w:tc>
        <w:tc>
          <w:tcPr>
            <w:tcW w:w="2130" w:type="dxa"/>
          </w:tcPr>
          <w:p w14:paraId="34233983">
            <w:pPr>
              <w:widowControl w:val="0"/>
              <w:spacing w:line="276" w:lineRule="auto"/>
              <w:jc w:val="both"/>
              <w:rPr>
                <w:rFonts w:ascii="Arial" w:hAnsi="Arial" w:cs="Arial"/>
                <w:vertAlign w:val="superscript"/>
                <w:lang w:val="en-IN"/>
              </w:rPr>
            </w:pPr>
            <w:r>
              <w:rPr>
                <w:rFonts w:ascii="Arial" w:hAnsi="Arial" w:cs="Arial"/>
              </w:rPr>
              <w:t>1.</w:t>
            </w:r>
            <w:r>
              <w:rPr>
                <w:rFonts w:ascii="Arial" w:hAnsi="Arial" w:cs="Arial"/>
                <w:lang w:val="en-IN"/>
              </w:rPr>
              <w:t>1</w:t>
            </w:r>
            <w:r>
              <w:rPr>
                <w:rFonts w:ascii="Arial" w:hAnsi="Arial" w:cs="Arial"/>
              </w:rPr>
              <w:t>8±0.</w:t>
            </w:r>
            <w:r>
              <w:rPr>
                <w:rFonts w:ascii="Arial" w:hAnsi="Arial" w:cs="Arial"/>
                <w:lang w:val="en-IN"/>
              </w:rPr>
              <w:t>38</w:t>
            </w:r>
            <w:r>
              <w:rPr>
                <w:rFonts w:ascii="Arial" w:hAnsi="Arial" w:cs="Arial"/>
                <w:vertAlign w:val="superscript"/>
                <w:lang w:val="en-IN"/>
              </w:rPr>
              <w:t>a</w:t>
            </w:r>
          </w:p>
        </w:tc>
        <w:tc>
          <w:tcPr>
            <w:tcW w:w="2130" w:type="dxa"/>
          </w:tcPr>
          <w:p w14:paraId="466235F9">
            <w:pPr>
              <w:widowControl w:val="0"/>
              <w:spacing w:line="276" w:lineRule="auto"/>
              <w:jc w:val="both"/>
              <w:rPr>
                <w:rFonts w:ascii="Arial" w:hAnsi="Arial" w:cs="Arial"/>
                <w:vertAlign w:val="superscript"/>
                <w:lang w:val="en-IN"/>
              </w:rPr>
            </w:pPr>
            <w:r>
              <w:rPr>
                <w:rFonts w:ascii="Arial" w:hAnsi="Arial" w:cs="Arial"/>
              </w:rPr>
              <w:t>1.</w:t>
            </w:r>
            <w:r>
              <w:rPr>
                <w:rFonts w:ascii="Arial" w:hAnsi="Arial" w:cs="Arial"/>
                <w:lang w:val="en-IN"/>
              </w:rPr>
              <w:t>0</w:t>
            </w:r>
            <w:r>
              <w:rPr>
                <w:rFonts w:ascii="Arial" w:hAnsi="Arial" w:cs="Arial"/>
              </w:rPr>
              <w:t>8±0.45</w:t>
            </w:r>
            <w:r>
              <w:rPr>
                <w:rFonts w:ascii="Arial" w:hAnsi="Arial" w:cs="Arial"/>
                <w:vertAlign w:val="superscript"/>
                <w:lang w:val="en-IN"/>
              </w:rPr>
              <w:t>a</w:t>
            </w:r>
          </w:p>
        </w:tc>
      </w:tr>
    </w:tbl>
    <w:p w14:paraId="3F1A6527">
      <w:pPr>
        <w:rPr>
          <w:rFonts w:ascii="Arial" w:hAnsi="Arial" w:cs="Arial"/>
          <w:b/>
          <w:bCs/>
        </w:rPr>
      </w:pPr>
      <w:r>
        <w:rPr>
          <w:rFonts w:ascii="Arial" w:hAnsi="Arial" w:cs="Arial"/>
          <w:b/>
          <w:bCs/>
        </w:rPr>
        <w:t xml:space="preserve">             Values bearing different superscripts in a row differ significantly (P&lt; 0.05) </w:t>
      </w:r>
    </w:p>
    <w:p w14:paraId="72A74CC0">
      <w:pPr>
        <w:rPr>
          <w:rFonts w:ascii="Arial" w:hAnsi="Arial" w:cs="Arial"/>
          <w:b/>
          <w:bCs/>
        </w:rPr>
      </w:pPr>
      <w:r>
        <w:rPr>
          <w:rFonts w:ascii="Arial" w:hAnsi="Arial" w:cs="Arial"/>
          <w:b/>
          <w:bCs/>
        </w:rPr>
        <w:t xml:space="preserve">             Values bearing similar superscripts in a row did not differ significantly (P &gt;0.05)</w:t>
      </w:r>
    </w:p>
    <w:p w14:paraId="17385BD0">
      <w:pPr>
        <w:pStyle w:val="8"/>
        <w:ind w:firstLine="720"/>
        <w:jc w:val="both"/>
        <w:rPr>
          <w:rFonts w:ascii="Arial" w:hAnsi="Arial" w:cs="Arial"/>
          <w:sz w:val="20"/>
          <w:szCs w:val="20"/>
          <w:lang w:val="en-IN"/>
        </w:rPr>
      </w:pPr>
    </w:p>
    <w:p w14:paraId="6826E9FD">
      <w:pPr>
        <w:pStyle w:val="8"/>
        <w:ind w:firstLine="720"/>
        <w:jc w:val="both"/>
        <w:rPr>
          <w:rFonts w:ascii="Arial" w:hAnsi="Arial" w:cs="Arial"/>
          <w:sz w:val="20"/>
          <w:szCs w:val="20"/>
          <w:lang w:val="en-IN"/>
        </w:rPr>
      </w:pPr>
    </w:p>
    <w:p w14:paraId="1DD10D39">
      <w:pPr>
        <w:pStyle w:val="8"/>
        <w:ind w:firstLine="703" w:firstLineChars="350"/>
        <w:jc w:val="both"/>
        <w:rPr>
          <w:rFonts w:ascii="Arial" w:hAnsi="Arial" w:cs="Arial"/>
          <w:b/>
          <w:bCs/>
          <w:sz w:val="20"/>
          <w:szCs w:val="20"/>
          <w:lang w:val="en-IN"/>
        </w:rPr>
      </w:pPr>
    </w:p>
    <w:p w14:paraId="3703B139">
      <w:pPr>
        <w:pStyle w:val="8"/>
        <w:ind w:firstLine="703" w:firstLineChars="350"/>
        <w:jc w:val="both"/>
        <w:rPr>
          <w:rFonts w:ascii="Arial" w:hAnsi="Arial" w:cs="Arial"/>
          <w:b/>
          <w:bCs/>
          <w:sz w:val="20"/>
          <w:szCs w:val="20"/>
          <w:lang w:val="en-IN"/>
        </w:rPr>
      </w:pPr>
    </w:p>
    <w:p w14:paraId="0280799E">
      <w:pPr>
        <w:pStyle w:val="8"/>
        <w:ind w:firstLine="703" w:firstLineChars="350"/>
        <w:jc w:val="both"/>
        <w:rPr>
          <w:rFonts w:ascii="Arial" w:hAnsi="Arial" w:cs="Arial"/>
          <w:b/>
          <w:bCs/>
          <w:sz w:val="20"/>
          <w:szCs w:val="20"/>
          <w:lang w:val="en-IN"/>
        </w:rPr>
      </w:pPr>
    </w:p>
    <w:p w14:paraId="07858153">
      <w:pPr>
        <w:pStyle w:val="8"/>
        <w:ind w:firstLine="703" w:firstLineChars="350"/>
        <w:jc w:val="both"/>
        <w:rPr>
          <w:rFonts w:ascii="Arial" w:hAnsi="Arial" w:cs="Arial"/>
          <w:b/>
          <w:bCs/>
          <w:sz w:val="20"/>
          <w:szCs w:val="20"/>
          <w:lang w:val="en-IN"/>
        </w:rPr>
      </w:pPr>
    </w:p>
    <w:p w14:paraId="2B6B5207">
      <w:pPr>
        <w:pStyle w:val="8"/>
        <w:ind w:firstLine="703" w:firstLineChars="350"/>
        <w:jc w:val="both"/>
        <w:rPr>
          <w:rFonts w:ascii="Arial" w:hAnsi="Arial" w:cs="Arial"/>
          <w:b/>
          <w:bCs/>
          <w:sz w:val="20"/>
          <w:szCs w:val="20"/>
          <w:lang w:val="en-IN"/>
        </w:rPr>
      </w:pPr>
    </w:p>
    <w:p w14:paraId="017DF4E4">
      <w:pPr>
        <w:pStyle w:val="8"/>
        <w:ind w:firstLine="703" w:firstLineChars="350"/>
        <w:jc w:val="both"/>
        <w:rPr>
          <w:rFonts w:ascii="Arial" w:hAnsi="Arial" w:cs="Arial"/>
          <w:b/>
          <w:bCs/>
          <w:sz w:val="20"/>
          <w:szCs w:val="20"/>
          <w:lang w:val="en-IN"/>
        </w:rPr>
      </w:pPr>
    </w:p>
    <w:p w14:paraId="37EB8E4A">
      <w:pPr>
        <w:pStyle w:val="8"/>
        <w:ind w:firstLine="703" w:firstLineChars="350"/>
        <w:jc w:val="both"/>
        <w:rPr>
          <w:rFonts w:ascii="Arial" w:hAnsi="Arial" w:cs="Arial"/>
          <w:b/>
          <w:bCs/>
          <w:sz w:val="20"/>
          <w:szCs w:val="20"/>
          <w:lang w:val="en-IN"/>
        </w:rPr>
      </w:pPr>
      <w:r>
        <w:rPr>
          <w:rFonts w:ascii="Arial" w:hAnsi="Arial" w:cs="Arial"/>
          <w:b/>
          <w:bCs/>
          <w:sz w:val="20"/>
          <w:szCs w:val="20"/>
          <w:lang w:val="en-IN"/>
        </w:rPr>
        <w:t xml:space="preserve">Table: 2 Biochemical findings in Babesia gibsoni affected dogs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25D9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62BE7EA1">
            <w:pPr>
              <w:widowControl w:val="0"/>
              <w:spacing w:line="276" w:lineRule="auto"/>
              <w:jc w:val="left"/>
              <w:rPr>
                <w:rFonts w:ascii="Arial" w:hAnsi="Arial" w:cs="Arial"/>
                <w:lang w:val="en-IN"/>
              </w:rPr>
            </w:pPr>
            <w:r>
              <w:rPr>
                <w:rFonts w:ascii="Arial" w:hAnsi="Arial" w:cs="Arial"/>
                <w:b/>
                <w:bCs/>
                <w:lang w:val="en-IN"/>
              </w:rPr>
              <w:t>Parameter</w:t>
            </w:r>
          </w:p>
        </w:tc>
        <w:tc>
          <w:tcPr>
            <w:tcW w:w="2130" w:type="dxa"/>
          </w:tcPr>
          <w:p w14:paraId="410CC6D9">
            <w:pPr>
              <w:widowControl w:val="0"/>
              <w:spacing w:line="276" w:lineRule="auto"/>
              <w:ind w:left="300" w:hanging="300" w:hangingChars="150"/>
              <w:jc w:val="left"/>
              <w:rPr>
                <w:rFonts w:ascii="Arial" w:hAnsi="Arial" w:cs="Arial"/>
                <w:lang w:val="en-IN"/>
              </w:rPr>
            </w:pPr>
            <w:r>
              <w:rPr>
                <w:rFonts w:ascii="Arial" w:hAnsi="Arial" w:cs="Arial"/>
                <w:b/>
                <w:bCs/>
                <w:lang w:val="en-IN"/>
              </w:rPr>
              <w:t>Healthy control (n=6)</w:t>
            </w:r>
          </w:p>
        </w:tc>
        <w:tc>
          <w:tcPr>
            <w:tcW w:w="2130" w:type="dxa"/>
          </w:tcPr>
          <w:p w14:paraId="22353CF0">
            <w:pPr>
              <w:widowControl w:val="0"/>
              <w:spacing w:line="276" w:lineRule="auto"/>
              <w:ind w:left="300" w:hanging="300" w:hangingChars="150"/>
              <w:jc w:val="left"/>
              <w:rPr>
                <w:rFonts w:ascii="Arial" w:hAnsi="Arial" w:cs="Arial"/>
                <w:lang w:val="en-IN"/>
              </w:rPr>
            </w:pPr>
            <w:r>
              <w:rPr>
                <w:rFonts w:ascii="Arial" w:hAnsi="Arial" w:cs="Arial"/>
                <w:b/>
                <w:bCs/>
                <w:lang w:val="en-IN"/>
              </w:rPr>
              <w:t>Before therapy (n=6)</w:t>
            </w:r>
          </w:p>
        </w:tc>
        <w:tc>
          <w:tcPr>
            <w:tcW w:w="2130" w:type="dxa"/>
          </w:tcPr>
          <w:p w14:paraId="6F6F8F50">
            <w:pPr>
              <w:widowControl w:val="0"/>
              <w:spacing w:line="276" w:lineRule="auto"/>
              <w:ind w:left="300" w:hanging="300" w:hangingChars="150"/>
              <w:jc w:val="left"/>
              <w:rPr>
                <w:rFonts w:ascii="Arial" w:hAnsi="Arial" w:cs="Arial"/>
                <w:b/>
                <w:bCs/>
                <w:lang w:val="en-IN"/>
              </w:rPr>
            </w:pPr>
            <w:r>
              <w:rPr>
                <w:rFonts w:ascii="Arial" w:hAnsi="Arial" w:cs="Arial"/>
                <w:b/>
                <w:bCs/>
                <w:lang w:val="en-IN"/>
              </w:rPr>
              <w:t>After Therapy (n=6)</w:t>
            </w:r>
          </w:p>
        </w:tc>
      </w:tr>
      <w:tr w14:paraId="70BD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32485074">
            <w:pPr>
              <w:widowControl w:val="0"/>
              <w:spacing w:line="276" w:lineRule="auto"/>
              <w:jc w:val="center"/>
              <w:rPr>
                <w:rFonts w:ascii="Arial" w:hAnsi="Arial" w:cs="Arial"/>
                <w:lang w:val="en-IN"/>
              </w:rPr>
            </w:pPr>
            <w:r>
              <w:rPr>
                <w:rFonts w:ascii="Arial" w:hAnsi="Arial" w:cs="Arial"/>
              </w:rPr>
              <w:t>ALT(U/L)</w:t>
            </w:r>
          </w:p>
        </w:tc>
        <w:tc>
          <w:tcPr>
            <w:tcW w:w="2130" w:type="dxa"/>
          </w:tcPr>
          <w:p w14:paraId="1B434F81">
            <w:pPr>
              <w:widowControl w:val="0"/>
              <w:spacing w:line="276" w:lineRule="auto"/>
              <w:jc w:val="center"/>
              <w:rPr>
                <w:rFonts w:ascii="Arial" w:hAnsi="Arial" w:cs="Arial"/>
                <w:vertAlign w:val="superscript"/>
                <w:lang w:val="en-IN"/>
              </w:rPr>
            </w:pPr>
            <w:r>
              <w:rPr>
                <w:rFonts w:ascii="Arial" w:hAnsi="Arial" w:cs="Arial"/>
                <w:lang w:val="en-IN"/>
              </w:rPr>
              <w:t>7</w:t>
            </w:r>
            <w:r>
              <w:rPr>
                <w:rFonts w:ascii="Arial" w:hAnsi="Arial" w:cs="Arial"/>
              </w:rPr>
              <w:t>9.12±</w:t>
            </w:r>
            <w:r>
              <w:rPr>
                <w:rFonts w:ascii="Arial" w:hAnsi="Arial" w:cs="Arial"/>
                <w:lang w:val="en-IN"/>
              </w:rPr>
              <w:t>0</w:t>
            </w:r>
            <w:r>
              <w:rPr>
                <w:rFonts w:ascii="Arial" w:hAnsi="Arial" w:cs="Arial"/>
              </w:rPr>
              <w:t>.9</w:t>
            </w:r>
            <w:r>
              <w:rPr>
                <w:rFonts w:ascii="Arial" w:hAnsi="Arial" w:cs="Arial"/>
                <w:lang w:val="en-IN"/>
              </w:rPr>
              <w:t>1</w:t>
            </w:r>
            <w:r>
              <w:rPr>
                <w:rFonts w:ascii="Arial" w:hAnsi="Arial" w:cs="Arial"/>
                <w:vertAlign w:val="superscript"/>
                <w:lang w:val="en-IN"/>
              </w:rPr>
              <w:t>b</w:t>
            </w:r>
          </w:p>
        </w:tc>
        <w:tc>
          <w:tcPr>
            <w:tcW w:w="2130" w:type="dxa"/>
          </w:tcPr>
          <w:p w14:paraId="004DC7C8">
            <w:pPr>
              <w:widowControl w:val="0"/>
              <w:spacing w:line="276" w:lineRule="auto"/>
              <w:jc w:val="center"/>
              <w:rPr>
                <w:rFonts w:ascii="Arial" w:hAnsi="Arial" w:cs="Arial"/>
                <w:vertAlign w:val="superscript"/>
                <w:lang w:val="en-IN"/>
              </w:rPr>
            </w:pPr>
            <w:r>
              <w:rPr>
                <w:rFonts w:ascii="Arial" w:hAnsi="Arial" w:cs="Arial"/>
                <w:lang w:val="en-IN"/>
              </w:rPr>
              <w:t>112</w:t>
            </w:r>
            <w:r>
              <w:rPr>
                <w:rFonts w:ascii="Arial" w:hAnsi="Arial" w:cs="Arial"/>
              </w:rPr>
              <w:t>.12±</w:t>
            </w:r>
            <w:r>
              <w:rPr>
                <w:rFonts w:ascii="Arial" w:hAnsi="Arial" w:cs="Arial"/>
                <w:lang w:val="en-IN"/>
              </w:rPr>
              <w:t>1</w:t>
            </w:r>
            <w:r>
              <w:rPr>
                <w:rFonts w:ascii="Arial" w:hAnsi="Arial" w:cs="Arial"/>
              </w:rPr>
              <w:t>.</w:t>
            </w:r>
            <w:r>
              <w:rPr>
                <w:rFonts w:ascii="Arial" w:hAnsi="Arial" w:cs="Arial"/>
                <w:lang w:val="en-IN"/>
              </w:rPr>
              <w:t>19</w:t>
            </w:r>
            <w:r>
              <w:rPr>
                <w:rFonts w:ascii="Arial" w:hAnsi="Arial" w:cs="Arial"/>
                <w:vertAlign w:val="superscript"/>
                <w:lang w:val="en-IN"/>
              </w:rPr>
              <w:t>a</w:t>
            </w:r>
          </w:p>
        </w:tc>
        <w:tc>
          <w:tcPr>
            <w:tcW w:w="2130" w:type="dxa"/>
          </w:tcPr>
          <w:p w14:paraId="42F5F4CF">
            <w:pPr>
              <w:widowControl w:val="0"/>
              <w:spacing w:line="276" w:lineRule="auto"/>
              <w:jc w:val="center"/>
              <w:rPr>
                <w:rFonts w:ascii="Arial" w:hAnsi="Arial" w:cs="Arial"/>
                <w:vertAlign w:val="superscript"/>
                <w:lang w:val="en-IN"/>
              </w:rPr>
            </w:pPr>
            <w:r>
              <w:rPr>
                <w:rFonts w:ascii="Arial" w:hAnsi="Arial" w:cs="Arial"/>
                <w:lang w:val="en-IN"/>
              </w:rPr>
              <w:t>77</w:t>
            </w:r>
            <w:r>
              <w:rPr>
                <w:rFonts w:ascii="Arial" w:hAnsi="Arial" w:cs="Arial"/>
              </w:rPr>
              <w:t>.12±</w:t>
            </w:r>
            <w:r>
              <w:rPr>
                <w:rFonts w:ascii="Arial" w:hAnsi="Arial" w:cs="Arial"/>
                <w:lang w:val="en-IN"/>
              </w:rPr>
              <w:t>0</w:t>
            </w:r>
            <w:r>
              <w:rPr>
                <w:rFonts w:ascii="Arial" w:hAnsi="Arial" w:cs="Arial"/>
              </w:rPr>
              <w:t>.</w:t>
            </w:r>
            <w:r>
              <w:rPr>
                <w:rFonts w:ascii="Arial" w:hAnsi="Arial" w:cs="Arial"/>
                <w:lang w:val="en-IN"/>
              </w:rPr>
              <w:t>51</w:t>
            </w:r>
            <w:r>
              <w:rPr>
                <w:rFonts w:ascii="Arial" w:hAnsi="Arial" w:cs="Arial"/>
                <w:vertAlign w:val="superscript"/>
                <w:lang w:val="en-IN"/>
              </w:rPr>
              <w:t>b</w:t>
            </w:r>
          </w:p>
        </w:tc>
      </w:tr>
      <w:tr w14:paraId="2304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323EEC59">
            <w:pPr>
              <w:widowControl w:val="0"/>
              <w:spacing w:line="276" w:lineRule="auto"/>
              <w:jc w:val="center"/>
              <w:rPr>
                <w:rFonts w:ascii="Arial" w:hAnsi="Arial" w:cs="Arial"/>
                <w:lang w:val="en-IN"/>
              </w:rPr>
            </w:pPr>
            <w:r>
              <w:rPr>
                <w:rFonts w:ascii="Arial" w:hAnsi="Arial" w:cs="Arial"/>
              </w:rPr>
              <w:t>ALP(U/L)</w:t>
            </w:r>
          </w:p>
        </w:tc>
        <w:tc>
          <w:tcPr>
            <w:tcW w:w="2130" w:type="dxa"/>
          </w:tcPr>
          <w:p w14:paraId="32FDD04D">
            <w:pPr>
              <w:widowControl w:val="0"/>
              <w:spacing w:line="276" w:lineRule="auto"/>
              <w:jc w:val="center"/>
              <w:rPr>
                <w:rFonts w:ascii="Arial" w:hAnsi="Arial" w:cs="Arial"/>
                <w:vertAlign w:val="superscript"/>
                <w:lang w:val="en-IN"/>
              </w:rPr>
            </w:pPr>
            <w:r>
              <w:rPr>
                <w:rFonts w:ascii="Arial" w:hAnsi="Arial" w:cs="Arial"/>
              </w:rPr>
              <w:t>1</w:t>
            </w:r>
            <w:r>
              <w:rPr>
                <w:rFonts w:ascii="Arial" w:hAnsi="Arial" w:cs="Arial"/>
                <w:lang w:val="en-IN"/>
              </w:rPr>
              <w:t>1</w:t>
            </w:r>
            <w:r>
              <w:rPr>
                <w:rFonts w:ascii="Arial" w:hAnsi="Arial" w:cs="Arial"/>
              </w:rPr>
              <w:t>6.34±</w:t>
            </w:r>
            <w:r>
              <w:rPr>
                <w:rFonts w:ascii="Arial" w:hAnsi="Arial" w:cs="Arial"/>
                <w:lang w:val="en-IN"/>
              </w:rPr>
              <w:t>1</w:t>
            </w:r>
            <w:r>
              <w:rPr>
                <w:rFonts w:ascii="Arial" w:hAnsi="Arial" w:cs="Arial"/>
              </w:rPr>
              <w:t>.</w:t>
            </w:r>
            <w:r>
              <w:rPr>
                <w:rFonts w:ascii="Arial" w:hAnsi="Arial" w:cs="Arial"/>
                <w:lang w:val="en-IN"/>
              </w:rPr>
              <w:t>8</w:t>
            </w:r>
            <w:r>
              <w:rPr>
                <w:rFonts w:ascii="Arial" w:hAnsi="Arial" w:cs="Arial"/>
              </w:rPr>
              <w:t>8</w:t>
            </w:r>
            <w:r>
              <w:rPr>
                <w:rFonts w:ascii="Arial" w:hAnsi="Arial" w:cs="Arial"/>
                <w:vertAlign w:val="superscript"/>
                <w:lang w:val="en-IN"/>
              </w:rPr>
              <w:t>b</w:t>
            </w:r>
          </w:p>
        </w:tc>
        <w:tc>
          <w:tcPr>
            <w:tcW w:w="2130" w:type="dxa"/>
          </w:tcPr>
          <w:p w14:paraId="4E2CD5C4">
            <w:pPr>
              <w:widowControl w:val="0"/>
              <w:spacing w:line="276" w:lineRule="auto"/>
              <w:jc w:val="center"/>
              <w:rPr>
                <w:rFonts w:ascii="Arial" w:hAnsi="Arial" w:cs="Arial"/>
                <w:vertAlign w:val="superscript"/>
                <w:lang w:val="en-IN"/>
              </w:rPr>
            </w:pPr>
            <w:r>
              <w:rPr>
                <w:rFonts w:ascii="Arial" w:hAnsi="Arial" w:cs="Arial"/>
              </w:rPr>
              <w:t>156.34±</w:t>
            </w:r>
            <w:r>
              <w:rPr>
                <w:rFonts w:ascii="Arial" w:hAnsi="Arial" w:cs="Arial"/>
                <w:lang w:val="en-IN"/>
              </w:rPr>
              <w:t>1</w:t>
            </w:r>
            <w:r>
              <w:rPr>
                <w:rFonts w:ascii="Arial" w:hAnsi="Arial" w:cs="Arial"/>
              </w:rPr>
              <w:t>.</w:t>
            </w:r>
            <w:r>
              <w:rPr>
                <w:rFonts w:ascii="Arial" w:hAnsi="Arial" w:cs="Arial"/>
                <w:lang w:val="en-IN"/>
              </w:rPr>
              <w:t>9</w:t>
            </w:r>
            <w:r>
              <w:rPr>
                <w:rFonts w:ascii="Arial" w:hAnsi="Arial" w:cs="Arial"/>
              </w:rPr>
              <w:t>8</w:t>
            </w:r>
            <w:r>
              <w:rPr>
                <w:rFonts w:ascii="Arial" w:hAnsi="Arial" w:cs="Arial"/>
                <w:vertAlign w:val="superscript"/>
                <w:lang w:val="en-IN"/>
              </w:rPr>
              <w:t>a</w:t>
            </w:r>
          </w:p>
        </w:tc>
        <w:tc>
          <w:tcPr>
            <w:tcW w:w="2130" w:type="dxa"/>
          </w:tcPr>
          <w:p w14:paraId="29119819">
            <w:pPr>
              <w:widowControl w:val="0"/>
              <w:spacing w:line="276" w:lineRule="auto"/>
              <w:jc w:val="center"/>
              <w:rPr>
                <w:rFonts w:ascii="Arial" w:hAnsi="Arial" w:cs="Arial"/>
                <w:vertAlign w:val="superscript"/>
                <w:lang w:val="en-IN"/>
              </w:rPr>
            </w:pPr>
            <w:r>
              <w:rPr>
                <w:rFonts w:ascii="Arial" w:hAnsi="Arial" w:cs="Arial"/>
              </w:rPr>
              <w:t>1</w:t>
            </w:r>
            <w:r>
              <w:rPr>
                <w:rFonts w:ascii="Arial" w:hAnsi="Arial" w:cs="Arial"/>
                <w:lang w:val="en-IN"/>
              </w:rPr>
              <w:t>15</w:t>
            </w:r>
            <w:r>
              <w:rPr>
                <w:rFonts w:ascii="Arial" w:hAnsi="Arial" w:cs="Arial"/>
              </w:rPr>
              <w:t>.</w:t>
            </w:r>
            <w:r>
              <w:rPr>
                <w:rFonts w:ascii="Arial" w:hAnsi="Arial" w:cs="Arial"/>
                <w:lang w:val="en-IN"/>
              </w:rPr>
              <w:t>22</w:t>
            </w:r>
            <w:r>
              <w:rPr>
                <w:rFonts w:ascii="Arial" w:hAnsi="Arial" w:cs="Arial"/>
              </w:rPr>
              <w:t>±</w:t>
            </w:r>
            <w:r>
              <w:rPr>
                <w:rFonts w:ascii="Arial" w:hAnsi="Arial" w:cs="Arial"/>
                <w:lang w:val="en-IN"/>
              </w:rPr>
              <w:t>1</w:t>
            </w:r>
            <w:r>
              <w:rPr>
                <w:rFonts w:ascii="Arial" w:hAnsi="Arial" w:cs="Arial"/>
              </w:rPr>
              <w:t>.</w:t>
            </w:r>
            <w:r>
              <w:rPr>
                <w:rFonts w:ascii="Arial" w:hAnsi="Arial" w:cs="Arial"/>
                <w:lang w:val="en-IN"/>
              </w:rPr>
              <w:t>43</w:t>
            </w:r>
            <w:r>
              <w:rPr>
                <w:rFonts w:ascii="Arial" w:hAnsi="Arial" w:cs="Arial"/>
                <w:vertAlign w:val="superscript"/>
                <w:lang w:val="en-IN"/>
              </w:rPr>
              <w:t>b</w:t>
            </w:r>
          </w:p>
        </w:tc>
      </w:tr>
      <w:tr w14:paraId="474F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056EDD5B">
            <w:pPr>
              <w:widowControl w:val="0"/>
              <w:spacing w:line="276" w:lineRule="auto"/>
              <w:jc w:val="center"/>
              <w:rPr>
                <w:rFonts w:ascii="Arial" w:hAnsi="Arial" w:cs="Arial"/>
                <w:lang w:val="en-IN"/>
              </w:rPr>
            </w:pPr>
            <w:r>
              <w:rPr>
                <w:rFonts w:ascii="Arial" w:hAnsi="Arial" w:cs="Arial"/>
              </w:rPr>
              <w:t>AST(U/L)</w:t>
            </w:r>
          </w:p>
        </w:tc>
        <w:tc>
          <w:tcPr>
            <w:tcW w:w="2130" w:type="dxa"/>
          </w:tcPr>
          <w:p w14:paraId="092EB08C">
            <w:pPr>
              <w:widowControl w:val="0"/>
              <w:spacing w:line="276" w:lineRule="auto"/>
              <w:jc w:val="center"/>
              <w:rPr>
                <w:rFonts w:ascii="Arial" w:hAnsi="Arial" w:cs="Arial"/>
                <w:vertAlign w:val="superscript"/>
                <w:lang w:val="en-IN"/>
              </w:rPr>
            </w:pPr>
            <w:r>
              <w:rPr>
                <w:rFonts w:ascii="Arial" w:hAnsi="Arial" w:cs="Arial"/>
                <w:lang w:val="en-IN"/>
              </w:rPr>
              <w:t>70</w:t>
            </w:r>
            <w:r>
              <w:rPr>
                <w:rFonts w:ascii="Arial" w:hAnsi="Arial" w:cs="Arial"/>
              </w:rPr>
              <w:t>.78±1.7</w:t>
            </w:r>
            <w:r>
              <w:rPr>
                <w:rFonts w:ascii="Arial" w:hAnsi="Arial" w:cs="Arial"/>
                <w:lang w:val="en-IN"/>
              </w:rPr>
              <w:t>2</w:t>
            </w:r>
            <w:r>
              <w:rPr>
                <w:rFonts w:ascii="Arial" w:hAnsi="Arial" w:cs="Arial"/>
                <w:vertAlign w:val="superscript"/>
                <w:lang w:val="en-IN"/>
              </w:rPr>
              <w:t>b</w:t>
            </w:r>
          </w:p>
        </w:tc>
        <w:tc>
          <w:tcPr>
            <w:tcW w:w="2130" w:type="dxa"/>
          </w:tcPr>
          <w:p w14:paraId="5F379F15">
            <w:pPr>
              <w:widowControl w:val="0"/>
              <w:spacing w:line="276" w:lineRule="auto"/>
              <w:jc w:val="center"/>
              <w:rPr>
                <w:rFonts w:ascii="Arial" w:hAnsi="Arial" w:cs="Arial"/>
                <w:vertAlign w:val="superscript"/>
                <w:lang w:val="en-IN"/>
              </w:rPr>
            </w:pPr>
            <w:r>
              <w:rPr>
                <w:rFonts w:ascii="Arial" w:hAnsi="Arial" w:cs="Arial"/>
                <w:lang w:val="en-IN"/>
              </w:rPr>
              <w:t>99</w:t>
            </w:r>
            <w:r>
              <w:rPr>
                <w:rFonts w:ascii="Arial" w:hAnsi="Arial" w:cs="Arial"/>
              </w:rPr>
              <w:t>.</w:t>
            </w:r>
            <w:r>
              <w:rPr>
                <w:rFonts w:ascii="Arial" w:hAnsi="Arial" w:cs="Arial"/>
                <w:lang w:val="en-IN"/>
              </w:rPr>
              <w:t>1</w:t>
            </w:r>
            <w:r>
              <w:rPr>
                <w:rFonts w:ascii="Arial" w:hAnsi="Arial" w:cs="Arial"/>
              </w:rPr>
              <w:t>8±</w:t>
            </w:r>
            <w:r>
              <w:rPr>
                <w:rFonts w:ascii="Arial" w:hAnsi="Arial" w:cs="Arial"/>
                <w:lang w:val="en-IN"/>
              </w:rPr>
              <w:t>0</w:t>
            </w:r>
            <w:r>
              <w:rPr>
                <w:rFonts w:ascii="Arial" w:hAnsi="Arial" w:cs="Arial"/>
              </w:rPr>
              <w:t>.67</w:t>
            </w:r>
            <w:r>
              <w:rPr>
                <w:rFonts w:ascii="Arial" w:hAnsi="Arial" w:cs="Arial"/>
                <w:vertAlign w:val="superscript"/>
                <w:lang w:val="en-IN"/>
              </w:rPr>
              <w:t>a</w:t>
            </w:r>
          </w:p>
        </w:tc>
        <w:tc>
          <w:tcPr>
            <w:tcW w:w="2130" w:type="dxa"/>
          </w:tcPr>
          <w:p w14:paraId="73DED99E">
            <w:pPr>
              <w:widowControl w:val="0"/>
              <w:spacing w:line="276" w:lineRule="auto"/>
              <w:jc w:val="center"/>
              <w:rPr>
                <w:rFonts w:ascii="Arial" w:hAnsi="Arial" w:cs="Arial"/>
                <w:vertAlign w:val="superscript"/>
                <w:lang w:val="en-IN"/>
              </w:rPr>
            </w:pPr>
            <w:r>
              <w:rPr>
                <w:rFonts w:ascii="Arial" w:hAnsi="Arial" w:cs="Arial"/>
                <w:lang w:val="en-IN"/>
              </w:rPr>
              <w:t>70</w:t>
            </w:r>
            <w:r>
              <w:rPr>
                <w:rFonts w:ascii="Arial" w:hAnsi="Arial" w:cs="Arial"/>
              </w:rPr>
              <w:t>.</w:t>
            </w:r>
            <w:r>
              <w:rPr>
                <w:rFonts w:ascii="Arial" w:hAnsi="Arial" w:cs="Arial"/>
                <w:lang w:val="en-IN"/>
              </w:rPr>
              <w:t>1</w:t>
            </w:r>
            <w:r>
              <w:rPr>
                <w:rFonts w:ascii="Arial" w:hAnsi="Arial" w:cs="Arial"/>
              </w:rPr>
              <w:t>8±</w:t>
            </w:r>
            <w:r>
              <w:rPr>
                <w:rFonts w:ascii="Arial" w:hAnsi="Arial" w:cs="Arial"/>
                <w:lang w:val="en-IN"/>
              </w:rPr>
              <w:t>0</w:t>
            </w:r>
            <w:r>
              <w:rPr>
                <w:rFonts w:ascii="Arial" w:hAnsi="Arial" w:cs="Arial"/>
              </w:rPr>
              <w:t>.</w:t>
            </w:r>
            <w:r>
              <w:rPr>
                <w:rFonts w:ascii="Arial" w:hAnsi="Arial" w:cs="Arial"/>
                <w:lang w:val="en-IN"/>
              </w:rPr>
              <w:t>12</w:t>
            </w:r>
            <w:r>
              <w:rPr>
                <w:rFonts w:ascii="Arial" w:hAnsi="Arial" w:cs="Arial"/>
                <w:vertAlign w:val="superscript"/>
                <w:lang w:val="en-IN"/>
              </w:rPr>
              <w:t>b</w:t>
            </w:r>
          </w:p>
        </w:tc>
      </w:tr>
      <w:tr w14:paraId="6F8B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4FD3A562">
            <w:pPr>
              <w:widowControl w:val="0"/>
              <w:spacing w:line="276" w:lineRule="auto"/>
              <w:jc w:val="center"/>
              <w:rPr>
                <w:rFonts w:ascii="Arial" w:hAnsi="Arial" w:cs="Arial"/>
              </w:rPr>
            </w:pPr>
            <w:r>
              <w:rPr>
                <w:rFonts w:ascii="Arial" w:hAnsi="Arial" w:cs="Arial"/>
              </w:rPr>
              <w:t>Total protein</w:t>
            </w:r>
          </w:p>
          <w:p w14:paraId="057C7679">
            <w:pPr>
              <w:widowControl w:val="0"/>
              <w:spacing w:line="276" w:lineRule="auto"/>
              <w:jc w:val="center"/>
              <w:rPr>
                <w:rFonts w:ascii="Arial" w:hAnsi="Arial" w:cs="Arial"/>
                <w:lang w:val="en-IN"/>
              </w:rPr>
            </w:pPr>
            <w:r>
              <w:rPr>
                <w:rFonts w:ascii="Arial" w:hAnsi="Arial" w:cs="Arial"/>
              </w:rPr>
              <w:t>(</w:t>
            </w:r>
            <w:r>
              <w:rPr>
                <w:rFonts w:ascii="Arial" w:hAnsi="Arial" w:cs="Arial"/>
                <w:lang w:val="en-IN"/>
              </w:rPr>
              <w:t>m</w:t>
            </w:r>
            <w:r>
              <w:rPr>
                <w:rFonts w:ascii="Arial" w:hAnsi="Arial" w:cs="Arial"/>
              </w:rPr>
              <w:t>g/dL)</w:t>
            </w:r>
          </w:p>
        </w:tc>
        <w:tc>
          <w:tcPr>
            <w:tcW w:w="2130" w:type="dxa"/>
          </w:tcPr>
          <w:p w14:paraId="12D9B994">
            <w:pPr>
              <w:widowControl w:val="0"/>
              <w:spacing w:line="276" w:lineRule="auto"/>
              <w:jc w:val="center"/>
              <w:rPr>
                <w:rFonts w:ascii="Arial" w:hAnsi="Arial" w:cs="Arial"/>
                <w:vertAlign w:val="superscript"/>
                <w:lang w:val="en-IN"/>
              </w:rPr>
            </w:pPr>
            <w:r>
              <w:rPr>
                <w:rFonts w:ascii="Arial" w:hAnsi="Arial" w:cs="Arial"/>
                <w:lang w:val="en-IN"/>
              </w:rPr>
              <w:t>6</w:t>
            </w:r>
            <w:r>
              <w:rPr>
                <w:rFonts w:ascii="Arial" w:hAnsi="Arial" w:cs="Arial"/>
              </w:rPr>
              <w:t>.90±0.98</w:t>
            </w:r>
            <w:r>
              <w:rPr>
                <w:rFonts w:ascii="Arial" w:hAnsi="Arial" w:cs="Arial"/>
                <w:vertAlign w:val="superscript"/>
                <w:lang w:val="en-IN"/>
              </w:rPr>
              <w:t>ab</w:t>
            </w:r>
          </w:p>
        </w:tc>
        <w:tc>
          <w:tcPr>
            <w:tcW w:w="2130" w:type="dxa"/>
          </w:tcPr>
          <w:p w14:paraId="45B13064">
            <w:pPr>
              <w:widowControl w:val="0"/>
              <w:spacing w:line="276" w:lineRule="auto"/>
              <w:jc w:val="center"/>
              <w:rPr>
                <w:rFonts w:ascii="Arial" w:hAnsi="Arial" w:cs="Arial"/>
                <w:vertAlign w:val="superscript"/>
                <w:lang w:val="en-IN"/>
              </w:rPr>
            </w:pPr>
            <w:r>
              <w:rPr>
                <w:rFonts w:ascii="Arial" w:hAnsi="Arial" w:cs="Arial"/>
                <w:lang w:val="en-IN"/>
              </w:rPr>
              <w:t>8</w:t>
            </w:r>
            <w:r>
              <w:rPr>
                <w:rFonts w:ascii="Arial" w:hAnsi="Arial" w:cs="Arial"/>
              </w:rPr>
              <w:t>.</w:t>
            </w:r>
            <w:r>
              <w:rPr>
                <w:rFonts w:ascii="Arial" w:hAnsi="Arial" w:cs="Arial"/>
                <w:lang w:val="en-IN"/>
              </w:rPr>
              <w:t>18</w:t>
            </w:r>
            <w:r>
              <w:rPr>
                <w:rFonts w:ascii="Arial" w:hAnsi="Arial" w:cs="Arial"/>
              </w:rPr>
              <w:t>±0.</w:t>
            </w:r>
            <w:r>
              <w:rPr>
                <w:rFonts w:ascii="Arial" w:hAnsi="Arial" w:cs="Arial"/>
                <w:lang w:val="en-IN"/>
              </w:rPr>
              <w:t>1</w:t>
            </w:r>
            <w:r>
              <w:rPr>
                <w:rFonts w:ascii="Arial" w:hAnsi="Arial" w:cs="Arial"/>
              </w:rPr>
              <w:t>8</w:t>
            </w:r>
            <w:r>
              <w:rPr>
                <w:rFonts w:ascii="Arial" w:hAnsi="Arial" w:cs="Arial"/>
                <w:vertAlign w:val="superscript"/>
                <w:lang w:val="en-IN"/>
              </w:rPr>
              <w:t>a</w:t>
            </w:r>
          </w:p>
        </w:tc>
        <w:tc>
          <w:tcPr>
            <w:tcW w:w="2130" w:type="dxa"/>
          </w:tcPr>
          <w:p w14:paraId="399A4D10">
            <w:pPr>
              <w:widowControl w:val="0"/>
              <w:spacing w:line="276" w:lineRule="auto"/>
              <w:jc w:val="center"/>
              <w:rPr>
                <w:rFonts w:ascii="Arial" w:hAnsi="Arial" w:cs="Arial"/>
                <w:vertAlign w:val="superscript"/>
                <w:lang w:val="en-IN"/>
              </w:rPr>
            </w:pPr>
            <w:r>
              <w:rPr>
                <w:rFonts w:ascii="Arial" w:hAnsi="Arial" w:cs="Arial"/>
                <w:lang w:val="en-IN"/>
              </w:rPr>
              <w:t>6</w:t>
            </w:r>
            <w:r>
              <w:rPr>
                <w:rFonts w:ascii="Arial" w:hAnsi="Arial" w:cs="Arial"/>
              </w:rPr>
              <w:t>.</w:t>
            </w:r>
            <w:r>
              <w:rPr>
                <w:rFonts w:ascii="Arial" w:hAnsi="Arial" w:cs="Arial"/>
                <w:lang w:val="en-IN"/>
              </w:rPr>
              <w:t>3</w:t>
            </w:r>
            <w:r>
              <w:rPr>
                <w:rFonts w:ascii="Arial" w:hAnsi="Arial" w:cs="Arial"/>
              </w:rPr>
              <w:t>0±0.98</w:t>
            </w:r>
            <w:r>
              <w:rPr>
                <w:rFonts w:ascii="Arial" w:hAnsi="Arial" w:cs="Arial"/>
                <w:vertAlign w:val="superscript"/>
                <w:lang w:val="en-IN"/>
              </w:rPr>
              <w:t>b</w:t>
            </w:r>
          </w:p>
        </w:tc>
      </w:tr>
      <w:tr w14:paraId="1BFF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48267194">
            <w:pPr>
              <w:widowControl w:val="0"/>
              <w:spacing w:line="276" w:lineRule="auto"/>
              <w:jc w:val="center"/>
              <w:rPr>
                <w:rFonts w:ascii="Arial" w:hAnsi="Arial" w:cs="Arial"/>
                <w:lang w:val="en-IN"/>
              </w:rPr>
            </w:pPr>
            <w:r>
              <w:rPr>
                <w:rFonts w:ascii="Arial" w:hAnsi="Arial" w:cs="Arial"/>
              </w:rPr>
              <w:t>Albumin(</w:t>
            </w:r>
            <w:r>
              <w:rPr>
                <w:rFonts w:ascii="Arial" w:hAnsi="Arial" w:cs="Arial"/>
                <w:lang w:val="en-IN"/>
              </w:rPr>
              <w:t>m</w:t>
            </w:r>
            <w:r>
              <w:rPr>
                <w:rFonts w:ascii="Arial" w:hAnsi="Arial" w:cs="Arial"/>
              </w:rPr>
              <w:t>g/dL)</w:t>
            </w:r>
          </w:p>
        </w:tc>
        <w:tc>
          <w:tcPr>
            <w:tcW w:w="2130" w:type="dxa"/>
          </w:tcPr>
          <w:p w14:paraId="05E0052C">
            <w:pPr>
              <w:widowControl w:val="0"/>
              <w:spacing w:line="276" w:lineRule="auto"/>
              <w:jc w:val="center"/>
              <w:rPr>
                <w:rFonts w:ascii="Arial" w:hAnsi="Arial" w:cs="Arial"/>
                <w:vertAlign w:val="superscript"/>
                <w:lang w:val="en-IN"/>
              </w:rPr>
            </w:pPr>
            <w:r>
              <w:rPr>
                <w:rFonts w:ascii="Arial" w:hAnsi="Arial" w:cs="Arial"/>
                <w:lang w:val="en-IN"/>
              </w:rPr>
              <w:t>3</w:t>
            </w:r>
            <w:r>
              <w:rPr>
                <w:rFonts w:ascii="Arial" w:hAnsi="Arial" w:cs="Arial"/>
              </w:rPr>
              <w:t>.</w:t>
            </w:r>
            <w:r>
              <w:rPr>
                <w:rFonts w:ascii="Arial" w:hAnsi="Arial" w:cs="Arial"/>
                <w:lang w:val="en-IN"/>
              </w:rPr>
              <w:t>1</w:t>
            </w:r>
            <w:r>
              <w:rPr>
                <w:rFonts w:ascii="Arial" w:hAnsi="Arial" w:cs="Arial"/>
              </w:rPr>
              <w:t>1±0.8</w:t>
            </w:r>
            <w:r>
              <w:rPr>
                <w:rFonts w:ascii="Arial" w:hAnsi="Arial" w:cs="Arial"/>
                <w:lang w:val="en-IN"/>
              </w:rPr>
              <w:t>9</w:t>
            </w:r>
            <w:r>
              <w:rPr>
                <w:rFonts w:ascii="Arial" w:hAnsi="Arial" w:cs="Arial"/>
                <w:vertAlign w:val="superscript"/>
                <w:lang w:val="en-IN"/>
              </w:rPr>
              <w:t>a</w:t>
            </w:r>
          </w:p>
        </w:tc>
        <w:tc>
          <w:tcPr>
            <w:tcW w:w="2130" w:type="dxa"/>
          </w:tcPr>
          <w:p w14:paraId="7E332A9E">
            <w:pPr>
              <w:widowControl w:val="0"/>
              <w:spacing w:line="276" w:lineRule="auto"/>
              <w:jc w:val="center"/>
              <w:rPr>
                <w:rFonts w:ascii="Arial" w:hAnsi="Arial" w:cs="Arial"/>
                <w:vertAlign w:val="superscript"/>
                <w:lang w:val="en-IN"/>
              </w:rPr>
            </w:pPr>
            <w:r>
              <w:rPr>
                <w:rFonts w:ascii="Arial" w:hAnsi="Arial" w:cs="Arial"/>
              </w:rPr>
              <w:t>1.91±0.</w:t>
            </w:r>
            <w:r>
              <w:rPr>
                <w:rFonts w:ascii="Arial" w:hAnsi="Arial" w:cs="Arial"/>
                <w:lang w:val="en-IN"/>
              </w:rPr>
              <w:t>6</w:t>
            </w:r>
            <w:r>
              <w:rPr>
                <w:rFonts w:ascii="Arial" w:hAnsi="Arial" w:cs="Arial"/>
              </w:rPr>
              <w:t>8</w:t>
            </w:r>
            <w:r>
              <w:rPr>
                <w:rFonts w:ascii="Arial" w:hAnsi="Arial" w:cs="Arial"/>
                <w:vertAlign w:val="superscript"/>
                <w:lang w:val="en-IN"/>
              </w:rPr>
              <w:t>b</w:t>
            </w:r>
          </w:p>
        </w:tc>
        <w:tc>
          <w:tcPr>
            <w:tcW w:w="2130" w:type="dxa"/>
          </w:tcPr>
          <w:p w14:paraId="0BF6F41A">
            <w:pPr>
              <w:widowControl w:val="0"/>
              <w:spacing w:line="276" w:lineRule="auto"/>
              <w:jc w:val="center"/>
              <w:rPr>
                <w:rFonts w:ascii="Arial" w:hAnsi="Arial" w:cs="Arial"/>
                <w:vertAlign w:val="superscript"/>
                <w:lang w:val="en-IN"/>
              </w:rPr>
            </w:pPr>
            <w:r>
              <w:rPr>
                <w:rFonts w:ascii="Arial" w:hAnsi="Arial" w:cs="Arial"/>
                <w:lang w:val="en-IN"/>
              </w:rPr>
              <w:t>3</w:t>
            </w:r>
            <w:r>
              <w:rPr>
                <w:rFonts w:ascii="Arial" w:hAnsi="Arial" w:cs="Arial"/>
              </w:rPr>
              <w:t>.</w:t>
            </w:r>
            <w:r>
              <w:rPr>
                <w:rFonts w:ascii="Arial" w:hAnsi="Arial" w:cs="Arial"/>
                <w:lang w:val="en-IN"/>
              </w:rPr>
              <w:t>09</w:t>
            </w:r>
            <w:r>
              <w:rPr>
                <w:rFonts w:ascii="Arial" w:hAnsi="Arial" w:cs="Arial"/>
              </w:rPr>
              <w:t>±0.</w:t>
            </w:r>
            <w:r>
              <w:rPr>
                <w:rFonts w:ascii="Arial" w:hAnsi="Arial" w:cs="Arial"/>
                <w:lang w:val="en-IN"/>
              </w:rPr>
              <w:t>32</w:t>
            </w:r>
            <w:r>
              <w:rPr>
                <w:rFonts w:ascii="Arial" w:hAnsi="Arial" w:cs="Arial"/>
                <w:vertAlign w:val="superscript"/>
                <w:lang w:val="en-IN"/>
              </w:rPr>
              <w:t>a</w:t>
            </w:r>
          </w:p>
        </w:tc>
      </w:tr>
      <w:tr w14:paraId="4DE2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805101A">
            <w:pPr>
              <w:widowControl w:val="0"/>
              <w:spacing w:line="276" w:lineRule="auto"/>
              <w:jc w:val="center"/>
              <w:rPr>
                <w:rFonts w:ascii="Arial" w:hAnsi="Arial" w:cs="Arial"/>
                <w:lang w:val="en-IN"/>
              </w:rPr>
            </w:pPr>
            <w:r>
              <w:rPr>
                <w:rFonts w:ascii="Arial" w:hAnsi="Arial" w:cs="Arial"/>
              </w:rPr>
              <w:t>Globulin(mg/dL)</w:t>
            </w:r>
          </w:p>
        </w:tc>
        <w:tc>
          <w:tcPr>
            <w:tcW w:w="2130" w:type="dxa"/>
          </w:tcPr>
          <w:p w14:paraId="65476FAA">
            <w:pPr>
              <w:widowControl w:val="0"/>
              <w:spacing w:line="276" w:lineRule="auto"/>
              <w:jc w:val="center"/>
              <w:rPr>
                <w:rFonts w:ascii="Arial" w:hAnsi="Arial" w:cs="Arial"/>
                <w:vertAlign w:val="superscript"/>
                <w:lang w:val="en-IN"/>
              </w:rPr>
            </w:pPr>
            <w:r>
              <w:rPr>
                <w:rFonts w:ascii="Arial" w:hAnsi="Arial" w:cs="Arial"/>
                <w:lang w:val="en-IN"/>
              </w:rPr>
              <w:t>3</w:t>
            </w:r>
            <w:r>
              <w:rPr>
                <w:rFonts w:ascii="Arial" w:hAnsi="Arial" w:cs="Arial"/>
              </w:rPr>
              <w:t>.</w:t>
            </w:r>
            <w:r>
              <w:rPr>
                <w:rFonts w:ascii="Arial" w:hAnsi="Arial" w:cs="Arial"/>
                <w:lang w:val="en-IN"/>
              </w:rPr>
              <w:t>5</w:t>
            </w:r>
            <w:r>
              <w:rPr>
                <w:rFonts w:ascii="Arial" w:hAnsi="Arial" w:cs="Arial"/>
              </w:rPr>
              <w:t>4±</w:t>
            </w:r>
            <w:r>
              <w:rPr>
                <w:rFonts w:ascii="Arial" w:hAnsi="Arial" w:cs="Arial"/>
                <w:lang w:val="en-IN"/>
              </w:rPr>
              <w:t>0</w:t>
            </w:r>
            <w:r>
              <w:rPr>
                <w:rFonts w:ascii="Arial" w:hAnsi="Arial" w:cs="Arial"/>
              </w:rPr>
              <w:t>.34</w:t>
            </w:r>
            <w:r>
              <w:rPr>
                <w:rFonts w:ascii="Arial" w:hAnsi="Arial" w:cs="Arial"/>
                <w:vertAlign w:val="superscript"/>
                <w:lang w:val="en-IN"/>
              </w:rPr>
              <w:t>ab</w:t>
            </w:r>
          </w:p>
        </w:tc>
        <w:tc>
          <w:tcPr>
            <w:tcW w:w="2130" w:type="dxa"/>
          </w:tcPr>
          <w:p w14:paraId="0093ABC5">
            <w:pPr>
              <w:widowControl w:val="0"/>
              <w:spacing w:line="276" w:lineRule="auto"/>
              <w:jc w:val="center"/>
              <w:rPr>
                <w:rFonts w:ascii="Arial" w:hAnsi="Arial" w:cs="Arial"/>
                <w:vertAlign w:val="superscript"/>
                <w:lang w:val="en-IN"/>
              </w:rPr>
            </w:pPr>
            <w:r>
              <w:rPr>
                <w:rFonts w:ascii="Arial" w:hAnsi="Arial" w:cs="Arial"/>
                <w:lang w:val="en-IN"/>
              </w:rPr>
              <w:t>7</w:t>
            </w:r>
            <w:r>
              <w:rPr>
                <w:rFonts w:ascii="Arial" w:hAnsi="Arial" w:cs="Arial"/>
              </w:rPr>
              <w:t>.</w:t>
            </w:r>
            <w:r>
              <w:rPr>
                <w:rFonts w:ascii="Arial" w:hAnsi="Arial" w:cs="Arial"/>
                <w:lang w:val="en-IN"/>
              </w:rPr>
              <w:t>2</w:t>
            </w:r>
            <w:r>
              <w:rPr>
                <w:rFonts w:ascii="Arial" w:hAnsi="Arial" w:cs="Arial"/>
              </w:rPr>
              <w:t>4±1.</w:t>
            </w:r>
            <w:r>
              <w:rPr>
                <w:rFonts w:ascii="Arial" w:hAnsi="Arial" w:cs="Arial"/>
                <w:lang w:val="en-IN"/>
              </w:rPr>
              <w:t>1</w:t>
            </w:r>
            <w:r>
              <w:rPr>
                <w:rFonts w:ascii="Arial" w:hAnsi="Arial" w:cs="Arial"/>
              </w:rPr>
              <w:t>4</w:t>
            </w:r>
            <w:r>
              <w:rPr>
                <w:rFonts w:ascii="Arial" w:hAnsi="Arial" w:cs="Arial"/>
                <w:vertAlign w:val="superscript"/>
                <w:lang w:val="en-IN"/>
              </w:rPr>
              <w:t>a</w:t>
            </w:r>
          </w:p>
        </w:tc>
        <w:tc>
          <w:tcPr>
            <w:tcW w:w="2130" w:type="dxa"/>
          </w:tcPr>
          <w:p w14:paraId="3C316455">
            <w:pPr>
              <w:widowControl w:val="0"/>
              <w:spacing w:line="276" w:lineRule="auto"/>
              <w:jc w:val="center"/>
              <w:rPr>
                <w:rFonts w:ascii="Arial" w:hAnsi="Arial" w:cs="Arial"/>
                <w:vertAlign w:val="superscript"/>
                <w:lang w:val="en-IN"/>
              </w:rPr>
            </w:pPr>
            <w:r>
              <w:rPr>
                <w:rFonts w:ascii="Arial" w:hAnsi="Arial" w:cs="Arial"/>
                <w:lang w:val="en-IN"/>
              </w:rPr>
              <w:t>3</w:t>
            </w:r>
            <w:r>
              <w:rPr>
                <w:rFonts w:ascii="Arial" w:hAnsi="Arial" w:cs="Arial"/>
              </w:rPr>
              <w:t>.</w:t>
            </w:r>
            <w:r>
              <w:rPr>
                <w:rFonts w:ascii="Arial" w:hAnsi="Arial" w:cs="Arial"/>
                <w:lang w:val="en-IN"/>
              </w:rPr>
              <w:t>1</w:t>
            </w:r>
            <w:r>
              <w:rPr>
                <w:rFonts w:ascii="Arial" w:hAnsi="Arial" w:cs="Arial"/>
              </w:rPr>
              <w:t>4±</w:t>
            </w:r>
            <w:r>
              <w:rPr>
                <w:rFonts w:ascii="Arial" w:hAnsi="Arial" w:cs="Arial"/>
                <w:lang w:val="en-IN"/>
              </w:rPr>
              <w:t>0</w:t>
            </w:r>
            <w:r>
              <w:rPr>
                <w:rFonts w:ascii="Arial" w:hAnsi="Arial" w:cs="Arial"/>
              </w:rPr>
              <w:t>.</w:t>
            </w:r>
            <w:r>
              <w:rPr>
                <w:rFonts w:ascii="Arial" w:hAnsi="Arial" w:cs="Arial"/>
                <w:lang w:val="en-IN"/>
              </w:rPr>
              <w:t>0</w:t>
            </w:r>
            <w:r>
              <w:rPr>
                <w:rFonts w:ascii="Arial" w:hAnsi="Arial" w:cs="Arial"/>
              </w:rPr>
              <w:t>4</w:t>
            </w:r>
            <w:r>
              <w:rPr>
                <w:rFonts w:ascii="Arial" w:hAnsi="Arial" w:cs="Arial"/>
                <w:vertAlign w:val="superscript"/>
                <w:lang w:val="en-IN"/>
              </w:rPr>
              <w:t>a</w:t>
            </w:r>
          </w:p>
        </w:tc>
      </w:tr>
      <w:tr w14:paraId="27D0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12E3AE0C">
            <w:pPr>
              <w:widowControl w:val="0"/>
              <w:spacing w:line="276" w:lineRule="auto"/>
              <w:jc w:val="center"/>
              <w:rPr>
                <w:rFonts w:ascii="Arial" w:hAnsi="Arial" w:cs="Arial"/>
              </w:rPr>
            </w:pPr>
            <w:r>
              <w:rPr>
                <w:rFonts w:ascii="Arial" w:hAnsi="Arial" w:cs="Arial"/>
              </w:rPr>
              <w:t>Total bilirubin</w:t>
            </w:r>
          </w:p>
          <w:p w14:paraId="4398B948">
            <w:pPr>
              <w:widowControl w:val="0"/>
              <w:spacing w:line="276" w:lineRule="auto"/>
              <w:jc w:val="center"/>
              <w:rPr>
                <w:rFonts w:ascii="Arial" w:hAnsi="Arial" w:cs="Arial"/>
                <w:lang w:val="en-IN"/>
              </w:rPr>
            </w:pPr>
            <w:r>
              <w:rPr>
                <w:rFonts w:ascii="Arial" w:hAnsi="Arial" w:cs="Arial"/>
              </w:rPr>
              <w:t>(mg/dL)</w:t>
            </w:r>
          </w:p>
        </w:tc>
        <w:tc>
          <w:tcPr>
            <w:tcW w:w="2130" w:type="dxa"/>
          </w:tcPr>
          <w:p w14:paraId="5508DE77">
            <w:pPr>
              <w:widowControl w:val="0"/>
              <w:spacing w:line="276" w:lineRule="auto"/>
              <w:jc w:val="center"/>
              <w:rPr>
                <w:rFonts w:ascii="Arial" w:hAnsi="Arial" w:cs="Arial"/>
                <w:vertAlign w:val="superscript"/>
                <w:lang w:val="en-IN"/>
              </w:rPr>
            </w:pPr>
            <w:r>
              <w:rPr>
                <w:rFonts w:ascii="Arial" w:hAnsi="Arial" w:cs="Arial"/>
                <w:lang w:val="en-IN"/>
              </w:rPr>
              <w:t>0</w:t>
            </w:r>
            <w:r>
              <w:rPr>
                <w:rFonts w:ascii="Arial" w:hAnsi="Arial" w:cs="Arial"/>
              </w:rPr>
              <w:t>.66±</w:t>
            </w:r>
            <w:r>
              <w:rPr>
                <w:rFonts w:ascii="Arial" w:hAnsi="Arial" w:cs="Arial"/>
                <w:lang w:val="en-IN"/>
              </w:rPr>
              <w:t>0</w:t>
            </w:r>
            <w:r>
              <w:rPr>
                <w:rFonts w:ascii="Arial" w:hAnsi="Arial" w:cs="Arial"/>
              </w:rPr>
              <w:t>.23</w:t>
            </w:r>
            <w:r>
              <w:rPr>
                <w:rFonts w:ascii="Arial" w:hAnsi="Arial" w:cs="Arial"/>
                <w:vertAlign w:val="superscript"/>
                <w:lang w:val="en-IN"/>
              </w:rPr>
              <w:t>b</w:t>
            </w:r>
          </w:p>
        </w:tc>
        <w:tc>
          <w:tcPr>
            <w:tcW w:w="2130" w:type="dxa"/>
          </w:tcPr>
          <w:p w14:paraId="504B56DE">
            <w:pPr>
              <w:widowControl w:val="0"/>
              <w:spacing w:line="276" w:lineRule="auto"/>
              <w:jc w:val="center"/>
              <w:rPr>
                <w:rFonts w:ascii="Arial" w:hAnsi="Arial" w:cs="Arial"/>
                <w:vertAlign w:val="superscript"/>
                <w:lang w:val="en-IN"/>
              </w:rPr>
            </w:pPr>
            <w:r>
              <w:rPr>
                <w:rFonts w:ascii="Arial" w:hAnsi="Arial" w:cs="Arial"/>
                <w:lang w:val="en-IN"/>
              </w:rPr>
              <w:t>1</w:t>
            </w:r>
            <w:r>
              <w:rPr>
                <w:rFonts w:ascii="Arial" w:hAnsi="Arial" w:cs="Arial"/>
              </w:rPr>
              <w:t>.</w:t>
            </w:r>
            <w:r>
              <w:rPr>
                <w:rFonts w:ascii="Arial" w:hAnsi="Arial" w:cs="Arial"/>
                <w:lang w:val="en-IN"/>
              </w:rPr>
              <w:t>9</w:t>
            </w:r>
            <w:r>
              <w:rPr>
                <w:rFonts w:ascii="Arial" w:hAnsi="Arial" w:cs="Arial"/>
              </w:rPr>
              <w:t>6±</w:t>
            </w:r>
            <w:r>
              <w:rPr>
                <w:rFonts w:ascii="Arial" w:hAnsi="Arial" w:cs="Arial"/>
                <w:lang w:val="en-IN"/>
              </w:rPr>
              <w:t>0</w:t>
            </w:r>
            <w:r>
              <w:rPr>
                <w:rFonts w:ascii="Arial" w:hAnsi="Arial" w:cs="Arial"/>
              </w:rPr>
              <w:t>.</w:t>
            </w:r>
            <w:r>
              <w:rPr>
                <w:rFonts w:ascii="Arial" w:hAnsi="Arial" w:cs="Arial"/>
                <w:lang w:val="en-IN"/>
              </w:rPr>
              <w:t>7</w:t>
            </w:r>
            <w:r>
              <w:rPr>
                <w:rFonts w:ascii="Arial" w:hAnsi="Arial" w:cs="Arial"/>
              </w:rPr>
              <w:t>3</w:t>
            </w:r>
            <w:r>
              <w:rPr>
                <w:rFonts w:ascii="Arial" w:hAnsi="Arial" w:cs="Arial"/>
                <w:vertAlign w:val="superscript"/>
                <w:lang w:val="en-IN"/>
              </w:rPr>
              <w:t>a</w:t>
            </w:r>
          </w:p>
        </w:tc>
        <w:tc>
          <w:tcPr>
            <w:tcW w:w="2130" w:type="dxa"/>
          </w:tcPr>
          <w:p w14:paraId="7550621B">
            <w:pPr>
              <w:widowControl w:val="0"/>
              <w:spacing w:line="276" w:lineRule="auto"/>
              <w:jc w:val="center"/>
              <w:rPr>
                <w:rFonts w:ascii="Arial" w:hAnsi="Arial" w:cs="Arial"/>
                <w:vertAlign w:val="superscript"/>
                <w:lang w:val="en-IN"/>
              </w:rPr>
            </w:pPr>
            <w:r>
              <w:rPr>
                <w:rFonts w:ascii="Arial" w:hAnsi="Arial" w:cs="Arial"/>
                <w:lang w:val="en-IN"/>
              </w:rPr>
              <w:t>0</w:t>
            </w:r>
            <w:r>
              <w:rPr>
                <w:rFonts w:ascii="Arial" w:hAnsi="Arial" w:cs="Arial"/>
              </w:rPr>
              <w:t>.</w:t>
            </w:r>
            <w:r>
              <w:rPr>
                <w:rFonts w:ascii="Arial" w:hAnsi="Arial" w:cs="Arial"/>
                <w:lang w:val="en-IN"/>
              </w:rPr>
              <w:t>54</w:t>
            </w:r>
            <w:r>
              <w:rPr>
                <w:rFonts w:ascii="Arial" w:hAnsi="Arial" w:cs="Arial"/>
              </w:rPr>
              <w:t>±</w:t>
            </w:r>
            <w:r>
              <w:rPr>
                <w:rFonts w:ascii="Arial" w:hAnsi="Arial" w:cs="Arial"/>
                <w:lang w:val="en-IN"/>
              </w:rPr>
              <w:t>0</w:t>
            </w:r>
            <w:r>
              <w:rPr>
                <w:rFonts w:ascii="Arial" w:hAnsi="Arial" w:cs="Arial"/>
              </w:rPr>
              <w:t>.</w:t>
            </w:r>
            <w:r>
              <w:rPr>
                <w:rFonts w:ascii="Arial" w:hAnsi="Arial" w:cs="Arial"/>
                <w:lang w:val="en-IN"/>
              </w:rPr>
              <w:t>19</w:t>
            </w:r>
            <w:r>
              <w:rPr>
                <w:rFonts w:ascii="Arial" w:hAnsi="Arial" w:cs="Arial"/>
                <w:vertAlign w:val="superscript"/>
                <w:lang w:val="en-IN"/>
              </w:rPr>
              <w:t>b</w:t>
            </w:r>
          </w:p>
        </w:tc>
      </w:tr>
      <w:tr w14:paraId="2A7A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071979E6">
            <w:pPr>
              <w:widowControl w:val="0"/>
              <w:spacing w:line="276" w:lineRule="auto"/>
              <w:jc w:val="center"/>
              <w:rPr>
                <w:rFonts w:ascii="Arial" w:hAnsi="Arial" w:cs="Arial"/>
                <w:lang w:val="en-IN"/>
              </w:rPr>
            </w:pPr>
            <w:r>
              <w:rPr>
                <w:rFonts w:ascii="Arial" w:hAnsi="Arial" w:cs="Arial"/>
                <w:lang w:val="en-IN"/>
              </w:rPr>
              <w:t xml:space="preserve">BUN </w:t>
            </w:r>
            <w:r>
              <w:rPr>
                <w:rFonts w:ascii="Arial" w:hAnsi="Arial" w:cs="Arial"/>
              </w:rPr>
              <w:t>(mg/dL)</w:t>
            </w:r>
          </w:p>
        </w:tc>
        <w:tc>
          <w:tcPr>
            <w:tcW w:w="2130" w:type="dxa"/>
          </w:tcPr>
          <w:p w14:paraId="7766111E">
            <w:pPr>
              <w:widowControl w:val="0"/>
              <w:spacing w:line="276" w:lineRule="auto"/>
              <w:jc w:val="center"/>
              <w:rPr>
                <w:rFonts w:ascii="Arial" w:hAnsi="Arial" w:cs="Arial"/>
                <w:vertAlign w:val="superscript"/>
                <w:lang w:val="en-IN"/>
              </w:rPr>
            </w:pPr>
            <w:r>
              <w:rPr>
                <w:rFonts w:ascii="Arial" w:hAnsi="Arial" w:cs="Arial"/>
                <w:lang w:val="en-IN"/>
              </w:rPr>
              <w:t>25.12</w:t>
            </w:r>
            <w:r>
              <w:rPr>
                <w:rFonts w:ascii="Arial" w:hAnsi="Arial" w:cs="Arial"/>
              </w:rPr>
              <w:t>±</w:t>
            </w:r>
            <w:r>
              <w:rPr>
                <w:rFonts w:ascii="Arial" w:hAnsi="Arial" w:cs="Arial"/>
                <w:lang w:val="en-IN"/>
              </w:rPr>
              <w:t>0</w:t>
            </w:r>
            <w:r>
              <w:rPr>
                <w:rFonts w:ascii="Arial" w:hAnsi="Arial" w:cs="Arial"/>
              </w:rPr>
              <w:t>.</w:t>
            </w:r>
            <w:r>
              <w:rPr>
                <w:rFonts w:ascii="Arial" w:hAnsi="Arial" w:cs="Arial"/>
                <w:lang w:val="en-IN"/>
              </w:rPr>
              <w:t>7</w:t>
            </w:r>
            <w:r>
              <w:rPr>
                <w:rFonts w:ascii="Arial" w:hAnsi="Arial" w:cs="Arial"/>
              </w:rPr>
              <w:t>3</w:t>
            </w:r>
            <w:r>
              <w:rPr>
                <w:rFonts w:ascii="Arial" w:hAnsi="Arial" w:cs="Arial"/>
                <w:vertAlign w:val="superscript"/>
                <w:lang w:val="en-IN"/>
              </w:rPr>
              <w:t>a</w:t>
            </w:r>
          </w:p>
        </w:tc>
        <w:tc>
          <w:tcPr>
            <w:tcW w:w="2130" w:type="dxa"/>
          </w:tcPr>
          <w:p w14:paraId="21AB9E51">
            <w:pPr>
              <w:widowControl w:val="0"/>
              <w:spacing w:line="276" w:lineRule="auto"/>
              <w:jc w:val="center"/>
              <w:rPr>
                <w:rFonts w:ascii="Arial" w:hAnsi="Arial" w:cs="Arial"/>
                <w:vertAlign w:val="superscript"/>
                <w:lang w:val="en-IN"/>
              </w:rPr>
            </w:pPr>
            <w:r>
              <w:rPr>
                <w:rFonts w:ascii="Arial" w:hAnsi="Arial" w:cs="Arial"/>
                <w:lang w:val="en-IN"/>
              </w:rPr>
              <w:t>31.09</w:t>
            </w:r>
            <w:r>
              <w:rPr>
                <w:rFonts w:ascii="Arial" w:hAnsi="Arial" w:cs="Arial"/>
              </w:rPr>
              <w:t>±</w:t>
            </w:r>
            <w:r>
              <w:rPr>
                <w:rFonts w:ascii="Arial" w:hAnsi="Arial" w:cs="Arial"/>
                <w:lang w:val="en-IN"/>
              </w:rPr>
              <w:t>0</w:t>
            </w:r>
            <w:r>
              <w:rPr>
                <w:rFonts w:ascii="Arial" w:hAnsi="Arial" w:cs="Arial"/>
              </w:rPr>
              <w:t>.</w:t>
            </w:r>
            <w:r>
              <w:rPr>
                <w:rFonts w:ascii="Arial" w:hAnsi="Arial" w:cs="Arial"/>
                <w:lang w:val="en-IN"/>
              </w:rPr>
              <w:t>43</w:t>
            </w:r>
            <w:r>
              <w:rPr>
                <w:rFonts w:ascii="Arial" w:hAnsi="Arial" w:cs="Arial"/>
                <w:vertAlign w:val="superscript"/>
                <w:lang w:val="en-IN"/>
              </w:rPr>
              <w:t>a</w:t>
            </w:r>
          </w:p>
        </w:tc>
        <w:tc>
          <w:tcPr>
            <w:tcW w:w="2130" w:type="dxa"/>
          </w:tcPr>
          <w:p w14:paraId="4FE54AFD">
            <w:pPr>
              <w:widowControl w:val="0"/>
              <w:spacing w:line="276" w:lineRule="auto"/>
              <w:jc w:val="center"/>
              <w:rPr>
                <w:rFonts w:ascii="Arial" w:hAnsi="Arial" w:cs="Arial"/>
                <w:vertAlign w:val="superscript"/>
                <w:lang w:val="en-IN"/>
              </w:rPr>
            </w:pPr>
            <w:r>
              <w:rPr>
                <w:rFonts w:ascii="Arial" w:hAnsi="Arial" w:cs="Arial"/>
                <w:lang w:val="en-IN"/>
              </w:rPr>
              <w:t>24.19</w:t>
            </w:r>
            <w:r>
              <w:rPr>
                <w:rFonts w:ascii="Arial" w:hAnsi="Arial" w:cs="Arial"/>
              </w:rPr>
              <w:t>±</w:t>
            </w:r>
            <w:r>
              <w:rPr>
                <w:rFonts w:ascii="Arial" w:hAnsi="Arial" w:cs="Arial"/>
                <w:lang w:val="en-IN"/>
              </w:rPr>
              <w:t>0</w:t>
            </w:r>
            <w:r>
              <w:rPr>
                <w:rFonts w:ascii="Arial" w:hAnsi="Arial" w:cs="Arial"/>
              </w:rPr>
              <w:t>.</w:t>
            </w:r>
            <w:r>
              <w:rPr>
                <w:rFonts w:ascii="Arial" w:hAnsi="Arial" w:cs="Arial"/>
                <w:lang w:val="en-IN"/>
              </w:rPr>
              <w:t>39</w:t>
            </w:r>
            <w:r>
              <w:rPr>
                <w:rFonts w:ascii="Arial" w:hAnsi="Arial" w:cs="Arial"/>
                <w:vertAlign w:val="superscript"/>
                <w:lang w:val="en-IN"/>
              </w:rPr>
              <w:t>a</w:t>
            </w:r>
          </w:p>
        </w:tc>
      </w:tr>
      <w:tr w14:paraId="55F4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3DD6ACB1">
            <w:pPr>
              <w:widowControl w:val="0"/>
              <w:spacing w:line="276" w:lineRule="auto"/>
              <w:jc w:val="center"/>
              <w:rPr>
                <w:rFonts w:ascii="Arial" w:hAnsi="Arial" w:cs="Arial"/>
                <w:lang w:val="en-IN"/>
              </w:rPr>
            </w:pPr>
            <w:r>
              <w:rPr>
                <w:rFonts w:ascii="Arial" w:hAnsi="Arial" w:cs="Arial"/>
                <w:lang w:val="en-IN"/>
              </w:rPr>
              <w:t xml:space="preserve">Creatinine </w:t>
            </w:r>
            <w:r>
              <w:rPr>
                <w:rFonts w:ascii="Arial" w:hAnsi="Arial" w:cs="Arial"/>
              </w:rPr>
              <w:t>(mg/dL)</w:t>
            </w:r>
          </w:p>
        </w:tc>
        <w:tc>
          <w:tcPr>
            <w:tcW w:w="2130" w:type="dxa"/>
          </w:tcPr>
          <w:p w14:paraId="6FABCA3B">
            <w:pPr>
              <w:widowControl w:val="0"/>
              <w:spacing w:line="276" w:lineRule="auto"/>
              <w:jc w:val="center"/>
              <w:rPr>
                <w:rFonts w:ascii="Arial" w:hAnsi="Arial" w:cs="Arial"/>
                <w:vertAlign w:val="superscript"/>
                <w:lang w:val="en-IN"/>
              </w:rPr>
            </w:pPr>
            <w:r>
              <w:rPr>
                <w:rFonts w:ascii="Arial" w:hAnsi="Arial" w:cs="Arial"/>
              </w:rPr>
              <w:t>1.</w:t>
            </w:r>
            <w:r>
              <w:rPr>
                <w:rFonts w:ascii="Arial" w:hAnsi="Arial" w:cs="Arial"/>
                <w:lang w:val="en-IN"/>
              </w:rPr>
              <w:t>1</w:t>
            </w:r>
            <w:r>
              <w:rPr>
                <w:rFonts w:ascii="Arial" w:hAnsi="Arial" w:cs="Arial"/>
              </w:rPr>
              <w:t>8±0.</w:t>
            </w:r>
            <w:r>
              <w:rPr>
                <w:rFonts w:ascii="Arial" w:hAnsi="Arial" w:cs="Arial"/>
                <w:lang w:val="en-IN"/>
              </w:rPr>
              <w:t>9</w:t>
            </w:r>
            <w:r>
              <w:rPr>
                <w:rFonts w:ascii="Arial" w:hAnsi="Arial" w:cs="Arial"/>
              </w:rPr>
              <w:t>5</w:t>
            </w:r>
            <w:r>
              <w:rPr>
                <w:rFonts w:ascii="Arial" w:hAnsi="Arial" w:cs="Arial"/>
                <w:vertAlign w:val="superscript"/>
                <w:lang w:val="en-IN"/>
              </w:rPr>
              <w:t>a</w:t>
            </w:r>
          </w:p>
        </w:tc>
        <w:tc>
          <w:tcPr>
            <w:tcW w:w="2130" w:type="dxa"/>
          </w:tcPr>
          <w:p w14:paraId="2C7A21A9">
            <w:pPr>
              <w:widowControl w:val="0"/>
              <w:spacing w:line="276" w:lineRule="auto"/>
              <w:jc w:val="center"/>
              <w:rPr>
                <w:rFonts w:ascii="Arial" w:hAnsi="Arial" w:cs="Arial"/>
                <w:vertAlign w:val="superscript"/>
                <w:lang w:val="en-IN"/>
              </w:rPr>
            </w:pPr>
            <w:r>
              <w:rPr>
                <w:rFonts w:ascii="Arial" w:hAnsi="Arial" w:cs="Arial"/>
                <w:lang w:val="en-IN"/>
              </w:rPr>
              <w:t>1</w:t>
            </w:r>
            <w:r>
              <w:rPr>
                <w:rFonts w:ascii="Arial" w:hAnsi="Arial" w:cs="Arial"/>
              </w:rPr>
              <w:t>.</w:t>
            </w:r>
            <w:r>
              <w:rPr>
                <w:rFonts w:ascii="Arial" w:hAnsi="Arial" w:cs="Arial"/>
                <w:lang w:val="en-IN"/>
              </w:rPr>
              <w:t>6</w:t>
            </w:r>
            <w:r>
              <w:rPr>
                <w:rFonts w:ascii="Arial" w:hAnsi="Arial" w:cs="Arial"/>
              </w:rPr>
              <w:t>8±0.</w:t>
            </w:r>
            <w:r>
              <w:rPr>
                <w:rFonts w:ascii="Arial" w:hAnsi="Arial" w:cs="Arial"/>
                <w:lang w:val="en-IN"/>
              </w:rPr>
              <w:t>45</w:t>
            </w:r>
            <w:r>
              <w:rPr>
                <w:rFonts w:ascii="Arial" w:hAnsi="Arial" w:cs="Arial"/>
                <w:vertAlign w:val="superscript"/>
                <w:lang w:val="en-IN"/>
              </w:rPr>
              <w:t>a</w:t>
            </w:r>
          </w:p>
        </w:tc>
        <w:tc>
          <w:tcPr>
            <w:tcW w:w="2130" w:type="dxa"/>
          </w:tcPr>
          <w:p w14:paraId="646A1D58">
            <w:pPr>
              <w:widowControl w:val="0"/>
              <w:spacing w:line="276" w:lineRule="auto"/>
              <w:jc w:val="center"/>
              <w:rPr>
                <w:rFonts w:ascii="Arial" w:hAnsi="Arial" w:cs="Arial"/>
                <w:vertAlign w:val="superscript"/>
                <w:lang w:val="en-IN"/>
              </w:rPr>
            </w:pPr>
            <w:r>
              <w:rPr>
                <w:rFonts w:ascii="Arial" w:hAnsi="Arial" w:cs="Arial"/>
              </w:rPr>
              <w:t>1.</w:t>
            </w:r>
            <w:r>
              <w:rPr>
                <w:rFonts w:ascii="Arial" w:hAnsi="Arial" w:cs="Arial"/>
                <w:lang w:val="en-IN"/>
              </w:rPr>
              <w:t>09</w:t>
            </w:r>
            <w:r>
              <w:rPr>
                <w:rFonts w:ascii="Arial" w:hAnsi="Arial" w:cs="Arial"/>
              </w:rPr>
              <w:t>±0.</w:t>
            </w:r>
            <w:r>
              <w:rPr>
                <w:rFonts w:ascii="Arial" w:hAnsi="Arial" w:cs="Arial"/>
                <w:lang w:val="en-IN"/>
              </w:rPr>
              <w:t>16</w:t>
            </w:r>
            <w:r>
              <w:rPr>
                <w:rFonts w:ascii="Arial" w:hAnsi="Arial" w:cs="Arial"/>
                <w:vertAlign w:val="superscript"/>
                <w:lang w:val="en-IN"/>
              </w:rPr>
              <w:t>a</w:t>
            </w:r>
          </w:p>
        </w:tc>
      </w:tr>
    </w:tbl>
    <w:p w14:paraId="25D2DCCB">
      <w:pPr>
        <w:rPr>
          <w:rFonts w:ascii="Arial" w:hAnsi="Arial" w:cs="Arial"/>
          <w:b/>
          <w:bCs/>
        </w:rPr>
      </w:pPr>
      <w:r>
        <w:rPr>
          <w:rFonts w:ascii="Arial" w:hAnsi="Arial" w:cs="Arial"/>
          <w:b/>
          <w:bCs/>
        </w:rPr>
        <w:t xml:space="preserve">           Values bearing different superscripts in a row differ significantly (P&lt; 0.05) </w:t>
      </w:r>
    </w:p>
    <w:p w14:paraId="256D0BE6">
      <w:pPr>
        <w:rPr>
          <w:rFonts w:ascii="Arial" w:hAnsi="Arial" w:cs="Arial"/>
          <w:b/>
          <w:bCs/>
        </w:rPr>
      </w:pPr>
      <w:r>
        <w:rPr>
          <w:rFonts w:ascii="Arial" w:hAnsi="Arial" w:cs="Arial"/>
          <w:b/>
          <w:bCs/>
        </w:rPr>
        <w:t xml:space="preserve">           Values bearing similar supesrscripts in a row did not differ significantly (P &gt;0.05)</w:t>
      </w:r>
    </w:p>
    <w:p w14:paraId="636E3A37">
      <w:pPr>
        <w:pStyle w:val="8"/>
        <w:rPr>
          <w:sz w:val="20"/>
          <w:szCs w:val="20"/>
          <w:lang w:val="en-I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pPr>
    </w:p>
    <w:p w14:paraId="16BC2AA6">
      <w:pPr>
        <w:pStyle w:val="8"/>
        <w:jc w:val="both"/>
        <w:rPr>
          <w:rFonts w:ascii="Arial" w:hAnsi="Arial" w:cs="Arial"/>
          <w:b/>
          <w:bCs/>
          <w:sz w:val="20"/>
          <w:szCs w:val="20"/>
          <w:lang w:val="en-IN"/>
        </w:rPr>
      </w:pPr>
      <w:r>
        <w:rPr>
          <w:rFonts w:ascii="Arial" w:hAnsi="Arial" w:cs="Arial"/>
          <w:b/>
          <w:bCs/>
          <w:sz w:val="20"/>
          <w:szCs w:val="20"/>
          <w:lang w:val="en-IN"/>
        </w:rPr>
        <w:t>CONCLUSION</w:t>
      </w:r>
    </w:p>
    <w:p w14:paraId="4BBCCD8A">
      <w:pPr>
        <w:pStyle w:val="8"/>
        <w:ind w:firstLine="720"/>
        <w:jc w:val="both"/>
        <w:rPr>
          <w:rFonts w:ascii="Arial" w:hAnsi="Arial" w:cs="Arial"/>
          <w:sz w:val="20"/>
          <w:szCs w:val="20"/>
        </w:rPr>
      </w:pPr>
      <w:r>
        <w:rPr>
          <w:rFonts w:ascii="Arial" w:hAnsi="Arial" w:cs="Arial"/>
          <w:sz w:val="20"/>
          <w:szCs w:val="20"/>
        </w:rPr>
        <w:t xml:space="preserve">The present study highlights the diagnostic and clinicopathological features of </w:t>
      </w:r>
      <w:r>
        <w:rPr>
          <w:rStyle w:val="4"/>
          <w:rFonts w:ascii="Arial" w:hAnsi="Arial" w:cs="Arial"/>
          <w:sz w:val="20"/>
          <w:szCs w:val="20"/>
        </w:rPr>
        <w:t>Babesia gibsoni</w:t>
      </w:r>
      <w:r>
        <w:rPr>
          <w:rFonts w:ascii="Arial" w:hAnsi="Arial" w:cs="Arial"/>
          <w:sz w:val="20"/>
          <w:szCs w:val="20"/>
        </w:rPr>
        <w:t xml:space="preserve"> infection in dogs. The combination therapy of Atovaquone and Azithromycin proved effective in clinical recovery and normalization of hematobiochemical parameters. Although peripheral blood smears are useful for detecting piroplasms, the possibility of chronic carrier states necessitates </w:t>
      </w:r>
      <w:r>
        <w:rPr>
          <w:rStyle w:val="9"/>
          <w:rFonts w:ascii="Arial" w:hAnsi="Arial" w:cs="Arial"/>
          <w:b w:val="0"/>
          <w:bCs w:val="0"/>
          <w:sz w:val="20"/>
          <w:szCs w:val="20"/>
        </w:rPr>
        <w:t>long-term monitoring</w:t>
      </w:r>
      <w:r>
        <w:rPr>
          <w:rFonts w:ascii="Arial" w:hAnsi="Arial" w:cs="Arial"/>
          <w:sz w:val="20"/>
          <w:szCs w:val="20"/>
        </w:rPr>
        <w:t xml:space="preserve"> and </w:t>
      </w:r>
      <w:r>
        <w:rPr>
          <w:rStyle w:val="9"/>
          <w:rFonts w:ascii="Arial" w:hAnsi="Arial" w:cs="Arial"/>
          <w:b w:val="0"/>
          <w:bCs w:val="0"/>
          <w:sz w:val="20"/>
          <w:szCs w:val="20"/>
        </w:rPr>
        <w:t>molecular confirmation using PCR</w:t>
      </w:r>
      <w:r>
        <w:rPr>
          <w:rFonts w:ascii="Arial" w:hAnsi="Arial" w:cs="Arial"/>
          <w:sz w:val="20"/>
          <w:szCs w:val="20"/>
        </w:rPr>
        <w:t xml:space="preserve"> to ensure complete elimination of the parasite.</w:t>
      </w:r>
    </w:p>
    <w:p w14:paraId="0E18DAD5">
      <w:pPr>
        <w:pStyle w:val="8"/>
        <w:ind w:firstLine="720"/>
        <w:jc w:val="both"/>
        <w:rPr>
          <w:rFonts w:ascii="Arial" w:hAnsi="Arial" w:cs="Arial"/>
          <w:sz w:val="20"/>
          <w:szCs w:val="20"/>
        </w:rPr>
      </w:pPr>
    </w:p>
    <w:p w14:paraId="7E141346">
      <w:pPr>
        <w:spacing w:after="200" w:line="276" w:lineRule="auto"/>
        <w:jc w:val="both"/>
        <w:outlineLvl w:val="0"/>
        <w:rPr>
          <w:rFonts w:ascii="Arial" w:hAnsi="Arial" w:eastAsia="Times New Roman" w:cs="Arial"/>
          <w:sz w:val="22"/>
          <w:szCs w:val="22"/>
          <w:lang w:val="en-GB" w:eastAsia="en-GB"/>
        </w:rPr>
      </w:pPr>
      <w:r>
        <w:rPr>
          <w:rFonts w:ascii="Arial" w:hAnsi="Arial" w:eastAsia="Times New Roman" w:cs="Arial"/>
          <w:b/>
          <w:bCs/>
          <w:sz w:val="22"/>
          <w:szCs w:val="22"/>
          <w:lang w:val="en-GB" w:eastAsia="en-GB"/>
        </w:rPr>
        <w:t>COMPETING INTERESTS DISCLAIMER:</w:t>
      </w:r>
    </w:p>
    <w:p w14:paraId="6334647B">
      <w:pPr>
        <w:spacing w:after="200" w:line="276" w:lineRule="auto"/>
        <w:rPr>
          <w:rFonts w:ascii="Calibri" w:hAnsi="Calibri" w:eastAsia="Times New Roman" w:cs="Times New Roman"/>
          <w:sz w:val="22"/>
          <w:szCs w:val="22"/>
          <w:lang w:val="en-GB" w:eastAsia="en-GB"/>
        </w:rPr>
      </w:pPr>
      <w:r>
        <w:rPr>
          <w:rFonts w:ascii="Calibri" w:hAnsi="Calibri" w:eastAsia="Times New Roman"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89DBB40">
      <w:pPr>
        <w:rPr>
          <w:highlight w:val="yellow"/>
        </w:rPr>
      </w:pPr>
      <w:r>
        <w:rPr>
          <w:highlight w:val="yellow"/>
        </w:rPr>
        <w:t>Disclaimer (Artificial intelligence)</w:t>
      </w:r>
    </w:p>
    <w:p w14:paraId="66256089">
      <w:pPr>
        <w:rPr>
          <w:highlight w:val="yellow"/>
        </w:rPr>
      </w:pPr>
      <w:r>
        <w:rPr>
          <w:highlight w:val="yellow"/>
        </w:rPr>
        <w:t xml:space="preserve">Option 1: </w:t>
      </w:r>
    </w:p>
    <w:p w14:paraId="42F5634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2CAD97D1">
      <w:pPr>
        <w:pStyle w:val="8"/>
        <w:ind w:firstLine="720"/>
        <w:jc w:val="both"/>
        <w:rPr>
          <w:rFonts w:ascii="Arial" w:hAnsi="Arial" w:cs="Arial"/>
          <w:b/>
          <w:bCs/>
          <w:sz w:val="20"/>
          <w:szCs w:val="20"/>
          <w:lang w:val="en-IN"/>
        </w:rPr>
      </w:pPr>
    </w:p>
    <w:p w14:paraId="2525F98E">
      <w:pPr>
        <w:jc w:val="both"/>
        <w:rPr>
          <w:rFonts w:ascii="Arial" w:hAnsi="Arial" w:eastAsia="SimSun" w:cs="Arial"/>
          <w:b/>
          <w:bCs/>
          <w:lang w:val="en-IN"/>
        </w:rPr>
      </w:pPr>
      <w:r>
        <w:rPr>
          <w:rFonts w:ascii="Arial" w:hAnsi="Arial" w:eastAsia="SimSun" w:cs="Arial"/>
          <w:b/>
          <w:bCs/>
          <w:lang w:val="en-IN"/>
        </w:rPr>
        <w:t xml:space="preserve">Reference </w:t>
      </w:r>
    </w:p>
    <w:p w14:paraId="3CE38EEF">
      <w:pPr>
        <w:pStyle w:val="8"/>
        <w:ind w:left="720" w:hanging="720"/>
        <w:jc w:val="both"/>
        <w:rPr>
          <w:rFonts w:ascii="Arial" w:hAnsi="Arial" w:cs="Arial"/>
          <w:sz w:val="20"/>
          <w:szCs w:val="20"/>
          <w:lang w:val="en-IN"/>
        </w:rPr>
      </w:pPr>
      <w:r>
        <w:rPr>
          <w:rFonts w:ascii="Arial" w:hAnsi="Arial" w:cs="Arial"/>
          <w:sz w:val="20"/>
          <w:szCs w:val="20"/>
        </w:rPr>
        <w:t xml:space="preserve">Bilwal, A. K., Mandali, G. C., &amp; Tandel, F. B. (2017). Clinicopathological alterations </w:t>
      </w:r>
      <w:r>
        <w:rPr>
          <w:rFonts w:ascii="Arial" w:hAnsi="Arial" w:cs="Arial"/>
          <w:sz w:val="20"/>
          <w:szCs w:val="20"/>
          <w:lang w:val="en-IN"/>
        </w:rPr>
        <w:tab/>
      </w:r>
      <w:r>
        <w:rPr>
          <w:rFonts w:ascii="Arial" w:hAnsi="Arial" w:cs="Arial"/>
          <w:sz w:val="20"/>
          <w:szCs w:val="20"/>
        </w:rPr>
        <w:t xml:space="preserve">in naturally occurring </w:t>
      </w:r>
      <w:r>
        <w:rPr>
          <w:rStyle w:val="4"/>
          <w:rFonts w:ascii="Arial" w:hAnsi="Arial" w:cs="Arial"/>
          <w:sz w:val="20"/>
          <w:szCs w:val="20"/>
        </w:rPr>
        <w:t>Babesia gibsoni</w:t>
      </w:r>
      <w:r>
        <w:rPr>
          <w:rFonts w:ascii="Arial" w:hAnsi="Arial" w:cs="Arial"/>
          <w:sz w:val="20"/>
          <w:szCs w:val="20"/>
        </w:rPr>
        <w:t xml:space="preserve"> infection in dogs of Middle-South </w:t>
      </w:r>
      <w:r>
        <w:rPr>
          <w:rFonts w:ascii="Arial" w:hAnsi="Arial" w:cs="Arial"/>
          <w:sz w:val="20"/>
          <w:szCs w:val="20"/>
          <w:lang w:val="en-IN"/>
        </w:rPr>
        <w:tab/>
      </w:r>
      <w:r>
        <w:rPr>
          <w:rFonts w:ascii="Arial" w:hAnsi="Arial" w:cs="Arial"/>
          <w:sz w:val="20"/>
          <w:szCs w:val="20"/>
        </w:rPr>
        <w:t>Gujarat,</w:t>
      </w:r>
      <w:r>
        <w:rPr>
          <w:rFonts w:ascii="Arial" w:hAnsi="Arial" w:cs="Arial"/>
          <w:sz w:val="20"/>
          <w:szCs w:val="20"/>
          <w:lang w:val="en-IN"/>
        </w:rPr>
        <w:t xml:space="preserve"> </w:t>
      </w:r>
      <w:r>
        <w:rPr>
          <w:rFonts w:ascii="Arial" w:hAnsi="Arial" w:cs="Arial"/>
          <w:sz w:val="20"/>
          <w:szCs w:val="20"/>
        </w:rPr>
        <w:t>India.</w:t>
      </w:r>
      <w:r>
        <w:rPr>
          <w:rFonts w:ascii="Arial" w:hAnsi="Arial" w:cs="Arial"/>
          <w:sz w:val="20"/>
          <w:szCs w:val="20"/>
          <w:lang w:val="en-IN"/>
        </w:rPr>
        <w:t xml:space="preserve"> </w:t>
      </w:r>
      <w:r>
        <w:rPr>
          <w:rStyle w:val="4"/>
          <w:rFonts w:ascii="Arial" w:hAnsi="Arial" w:cs="Arial"/>
          <w:sz w:val="20"/>
          <w:szCs w:val="20"/>
        </w:rPr>
        <w:t>VeterinaryWorld,10</w:t>
      </w:r>
      <w:r>
        <w:rPr>
          <w:rStyle w:val="4"/>
          <w:rFonts w:ascii="Arial" w:hAnsi="Arial" w:cs="Arial"/>
          <w:sz w:val="20"/>
          <w:szCs w:val="20"/>
          <w:lang w:val="en-IN"/>
        </w:rPr>
        <w:t xml:space="preserve"> </w:t>
      </w:r>
      <w:r>
        <w:rPr>
          <w:rFonts w:ascii="Arial" w:hAnsi="Arial" w:cs="Arial"/>
          <w:sz w:val="20"/>
          <w:szCs w:val="20"/>
        </w:rPr>
        <w:t>(10),1227–1232.</w:t>
      </w:r>
      <w:r>
        <w:rPr>
          <w:rFonts w:ascii="Arial" w:hAnsi="Arial" w:cs="Arial"/>
          <w:sz w:val="20"/>
          <w:szCs w:val="20"/>
          <w:lang w:val="en-IN"/>
        </w:rPr>
        <w:t xml:space="preserve"> </w:t>
      </w:r>
    </w:p>
    <w:p w14:paraId="00EF3235">
      <w:pPr>
        <w:pStyle w:val="8"/>
        <w:jc w:val="both"/>
        <w:rPr>
          <w:rFonts w:ascii="Arial" w:hAnsi="Arial" w:cs="Arial"/>
          <w:sz w:val="20"/>
          <w:szCs w:val="20"/>
        </w:rPr>
      </w:pPr>
      <w:r>
        <w:rPr>
          <w:rFonts w:ascii="Arial" w:hAnsi="Arial" w:cs="Arial"/>
          <w:sz w:val="20"/>
          <w:szCs w:val="20"/>
        </w:rPr>
        <w:t xml:space="preserve">Birkenheuer, A. J., Levy, M. G., Breitschwerdt, E. B. (2004). Efficacy of combined </w:t>
      </w:r>
      <w:r>
        <w:rPr>
          <w:rFonts w:ascii="Arial" w:hAnsi="Arial" w:cs="Arial"/>
          <w:sz w:val="20"/>
          <w:szCs w:val="20"/>
          <w:lang w:val="en-IN"/>
        </w:rPr>
        <w:tab/>
      </w:r>
      <w:r>
        <w:rPr>
          <w:rFonts w:ascii="Arial" w:hAnsi="Arial" w:cs="Arial"/>
          <w:sz w:val="20"/>
          <w:szCs w:val="20"/>
        </w:rPr>
        <w:t xml:space="preserve">atovaquone and azithromycin for therapy of chronic </w:t>
      </w:r>
      <w:r>
        <w:rPr>
          <w:rStyle w:val="4"/>
          <w:rFonts w:ascii="Arial" w:hAnsi="Arial" w:cs="Arial"/>
          <w:sz w:val="20"/>
          <w:szCs w:val="20"/>
        </w:rPr>
        <w:t>Babesia gibsoni</w:t>
      </w:r>
      <w:r>
        <w:rPr>
          <w:rFonts w:ascii="Arial" w:hAnsi="Arial" w:cs="Arial"/>
          <w:sz w:val="20"/>
          <w:szCs w:val="20"/>
        </w:rPr>
        <w:t xml:space="preserve"> (Asian </w:t>
      </w:r>
      <w:r>
        <w:rPr>
          <w:rFonts w:ascii="Arial" w:hAnsi="Arial" w:cs="Arial"/>
          <w:sz w:val="20"/>
          <w:szCs w:val="20"/>
          <w:lang w:val="en-IN"/>
        </w:rPr>
        <w:tab/>
      </w:r>
      <w:r>
        <w:rPr>
          <w:rFonts w:ascii="Arial" w:hAnsi="Arial" w:cs="Arial"/>
          <w:sz w:val="20"/>
          <w:szCs w:val="20"/>
        </w:rPr>
        <w:t xml:space="preserve">genotype) infections in dogs. </w:t>
      </w:r>
      <w:r>
        <w:rPr>
          <w:rStyle w:val="4"/>
          <w:rFonts w:ascii="Arial" w:hAnsi="Arial" w:cs="Arial"/>
          <w:sz w:val="20"/>
          <w:szCs w:val="20"/>
        </w:rPr>
        <w:t>Journal of Veterinary Internal Medicine, 18</w:t>
      </w:r>
      <w:r>
        <w:rPr>
          <w:rFonts w:ascii="Arial" w:hAnsi="Arial" w:cs="Arial"/>
          <w:sz w:val="20"/>
          <w:szCs w:val="20"/>
        </w:rPr>
        <w:t xml:space="preserve">(4), </w:t>
      </w:r>
      <w:r>
        <w:rPr>
          <w:rFonts w:ascii="Arial" w:hAnsi="Arial" w:cs="Arial"/>
          <w:sz w:val="20"/>
          <w:szCs w:val="20"/>
          <w:lang w:val="en-IN"/>
        </w:rPr>
        <w:tab/>
      </w:r>
      <w:r>
        <w:rPr>
          <w:rFonts w:ascii="Arial" w:hAnsi="Arial" w:cs="Arial"/>
          <w:sz w:val="20"/>
          <w:szCs w:val="20"/>
        </w:rPr>
        <w:t>494–498.</w:t>
      </w:r>
    </w:p>
    <w:p w14:paraId="7365C463">
      <w:pPr>
        <w:pStyle w:val="8"/>
        <w:ind w:left="720" w:hanging="720"/>
        <w:jc w:val="both"/>
        <w:rPr>
          <w:rFonts w:ascii="Arial" w:hAnsi="Arial" w:cs="Arial"/>
          <w:sz w:val="20"/>
          <w:szCs w:val="20"/>
        </w:rPr>
      </w:pPr>
      <w:r>
        <w:rPr>
          <w:rFonts w:ascii="Arial" w:hAnsi="Arial" w:cs="Arial"/>
          <w:sz w:val="20"/>
          <w:szCs w:val="20"/>
        </w:rPr>
        <w:t xml:space="preserve">Birkenheuer, A. J., Levy, M. G., Savary, K. C., Gager, R. B., &amp; Breitschwerdt, E. B. (1999). </w:t>
      </w:r>
      <w:r>
        <w:rPr>
          <w:rStyle w:val="4"/>
          <w:rFonts w:ascii="Arial" w:hAnsi="Arial" w:cs="Arial"/>
          <w:sz w:val="20"/>
          <w:szCs w:val="20"/>
        </w:rPr>
        <w:t>Babesia gibsoni</w:t>
      </w:r>
      <w:r>
        <w:rPr>
          <w:rFonts w:ascii="Arial" w:hAnsi="Arial" w:cs="Arial"/>
          <w:sz w:val="20"/>
          <w:szCs w:val="20"/>
        </w:rPr>
        <w:t xml:space="preserve"> infections in dogs from North Carolina. </w:t>
      </w:r>
      <w:r>
        <w:rPr>
          <w:rStyle w:val="4"/>
          <w:rFonts w:ascii="Arial" w:hAnsi="Arial" w:cs="Arial"/>
          <w:sz w:val="20"/>
          <w:szCs w:val="20"/>
        </w:rPr>
        <w:t>Journal of the American Animal Hospital Association, 35</w:t>
      </w:r>
      <w:r>
        <w:rPr>
          <w:rFonts w:ascii="Arial" w:hAnsi="Arial" w:cs="Arial"/>
          <w:sz w:val="20"/>
          <w:szCs w:val="20"/>
        </w:rPr>
        <w:t xml:space="preserve">(2), 125–128. </w:t>
      </w:r>
    </w:p>
    <w:p w14:paraId="222BFF75">
      <w:pPr>
        <w:pStyle w:val="8"/>
        <w:ind w:left="720" w:hanging="720"/>
        <w:jc w:val="both"/>
        <w:rPr>
          <w:rFonts w:ascii="Arial" w:hAnsi="Arial" w:cs="Arial"/>
          <w:sz w:val="20"/>
          <w:szCs w:val="20"/>
        </w:rPr>
      </w:pPr>
      <w:r>
        <w:rPr>
          <w:rFonts w:ascii="Arial" w:hAnsi="Arial" w:cs="Arial"/>
          <w:sz w:val="20"/>
          <w:szCs w:val="20"/>
        </w:rPr>
        <w:t xml:space="preserve">Companion Animal Parasite Council (CAPC). (2024). </w:t>
      </w:r>
      <w:r>
        <w:rPr>
          <w:rStyle w:val="4"/>
          <w:rFonts w:ascii="Arial" w:hAnsi="Arial" w:cs="Arial"/>
          <w:sz w:val="20"/>
          <w:szCs w:val="20"/>
        </w:rPr>
        <w:t>Babesia Guidelines</w:t>
      </w:r>
      <w:r>
        <w:rPr>
          <w:rFonts w:ascii="Arial" w:hAnsi="Arial" w:cs="Arial"/>
          <w:sz w:val="20"/>
          <w:szCs w:val="20"/>
        </w:rPr>
        <w:t xml:space="preserve">. </w:t>
      </w:r>
      <w:r>
        <w:fldChar w:fldCharType="begin"/>
      </w:r>
      <w:r>
        <w:instrText xml:space="preserve"> HYPERLINK "https://capcvet.org/guidelines/babesia" \t "_new" </w:instrText>
      </w:r>
      <w:r>
        <w:fldChar w:fldCharType="separate"/>
      </w:r>
      <w:r>
        <w:rPr>
          <w:rStyle w:val="7"/>
          <w:rFonts w:ascii="Arial" w:hAnsi="Arial" w:cs="Arial"/>
          <w:color w:val="000000" w:themeColor="text1"/>
          <w:sz w:val="20"/>
          <w:szCs w:val="20"/>
          <w14:textFill>
            <w14:solidFill>
              <w14:schemeClr w14:val="tx1"/>
            </w14:solidFill>
          </w14:textFill>
        </w:rPr>
        <w:t>https://capcvet.org/guidelines/babesia</w:t>
      </w:r>
      <w:r>
        <w:rPr>
          <w:rStyle w:val="7"/>
          <w:rFonts w:ascii="Arial" w:hAnsi="Arial" w:cs="Arial"/>
          <w:color w:val="000000" w:themeColor="text1"/>
          <w:sz w:val="20"/>
          <w:szCs w:val="20"/>
          <w14:textFill>
            <w14:solidFill>
              <w14:schemeClr w14:val="tx1"/>
            </w14:solidFill>
          </w14:textFill>
        </w:rPr>
        <w:fldChar w:fldCharType="end"/>
      </w:r>
    </w:p>
    <w:p w14:paraId="0CF3E354">
      <w:pPr>
        <w:pStyle w:val="8"/>
        <w:ind w:left="720" w:hanging="720"/>
        <w:jc w:val="both"/>
        <w:rPr>
          <w:rFonts w:ascii="Arial" w:hAnsi="Arial" w:cs="Arial"/>
          <w:sz w:val="20"/>
          <w:szCs w:val="20"/>
          <w:lang w:val="en-IN"/>
        </w:rPr>
      </w:pPr>
      <w:r>
        <w:rPr>
          <w:rFonts w:ascii="Arial" w:hAnsi="Arial" w:cs="Arial"/>
          <w:sz w:val="20"/>
          <w:szCs w:val="20"/>
        </w:rPr>
        <w:t xml:space="preserve">Jefferies, R., Ryan, U. M., Muhlnikel, C. J., &amp; Irwin, P. J. (2003). Two species of canine </w:t>
      </w:r>
      <w:r>
        <w:rPr>
          <w:rStyle w:val="4"/>
          <w:rFonts w:ascii="Arial" w:hAnsi="Arial" w:cs="Arial"/>
          <w:sz w:val="20"/>
          <w:szCs w:val="20"/>
        </w:rPr>
        <w:t>Babesia</w:t>
      </w:r>
      <w:r>
        <w:rPr>
          <w:rFonts w:ascii="Arial" w:hAnsi="Arial" w:cs="Arial"/>
          <w:sz w:val="20"/>
          <w:szCs w:val="20"/>
        </w:rPr>
        <w:t xml:space="preserve"> in Australia: Detection and characterization by PCR. </w:t>
      </w:r>
      <w:r>
        <w:rPr>
          <w:rStyle w:val="4"/>
          <w:rFonts w:ascii="Arial" w:hAnsi="Arial" w:cs="Arial"/>
          <w:sz w:val="20"/>
          <w:szCs w:val="20"/>
        </w:rPr>
        <w:t>Journal of Parasitology, 89</w:t>
      </w:r>
      <w:r>
        <w:rPr>
          <w:rFonts w:ascii="Arial" w:hAnsi="Arial" w:cs="Arial"/>
          <w:sz w:val="20"/>
          <w:szCs w:val="20"/>
        </w:rPr>
        <w:t xml:space="preserve">(2), 409–412. </w:t>
      </w:r>
    </w:p>
    <w:p w14:paraId="0364CD5C">
      <w:pPr>
        <w:pStyle w:val="8"/>
        <w:ind w:left="720" w:hanging="720"/>
        <w:jc w:val="both"/>
        <w:rPr>
          <w:rFonts w:ascii="Arial" w:hAnsi="Arial" w:cs="Arial"/>
          <w:sz w:val="20"/>
          <w:szCs w:val="20"/>
        </w:rPr>
      </w:pPr>
      <w:r>
        <w:rPr>
          <w:rFonts w:ascii="Arial" w:hAnsi="Arial" w:cs="Arial"/>
          <w:sz w:val="20"/>
          <w:szCs w:val="20"/>
        </w:rPr>
        <w:t xml:space="preserve">Kirk, S. K., Levy, J. K., &amp; Crawford, P. C. (2017). Efficacy of azithromycin and compounded atovaquone for treatment of </w:t>
      </w:r>
      <w:r>
        <w:rPr>
          <w:rStyle w:val="4"/>
          <w:rFonts w:ascii="Arial" w:hAnsi="Arial" w:cs="Arial"/>
          <w:sz w:val="20"/>
          <w:szCs w:val="20"/>
        </w:rPr>
        <w:t>Babesia gibsoni</w:t>
      </w:r>
      <w:r>
        <w:rPr>
          <w:rFonts w:ascii="Arial" w:hAnsi="Arial" w:cs="Arial"/>
          <w:sz w:val="20"/>
          <w:szCs w:val="20"/>
        </w:rPr>
        <w:t xml:space="preserve"> in dogs. </w:t>
      </w:r>
      <w:r>
        <w:rPr>
          <w:rStyle w:val="4"/>
          <w:rFonts w:ascii="Arial" w:hAnsi="Arial" w:cs="Arial"/>
          <w:sz w:val="20"/>
          <w:szCs w:val="20"/>
        </w:rPr>
        <w:t>Journal of Veterinary Internal Medicine, 31</w:t>
      </w:r>
      <w:r>
        <w:rPr>
          <w:rFonts w:ascii="Arial" w:hAnsi="Arial" w:cs="Arial"/>
          <w:sz w:val="20"/>
          <w:szCs w:val="20"/>
        </w:rPr>
        <w:t xml:space="preserve">(4), 1108–1112. </w:t>
      </w:r>
    </w:p>
    <w:p w14:paraId="4D26EC9B">
      <w:pPr>
        <w:pStyle w:val="8"/>
        <w:ind w:left="720" w:hanging="720"/>
        <w:jc w:val="both"/>
        <w:rPr>
          <w:rFonts w:ascii="Arial" w:hAnsi="Arial" w:cs="Arial"/>
          <w:sz w:val="20"/>
          <w:szCs w:val="20"/>
        </w:rPr>
      </w:pPr>
      <w:r>
        <w:rPr>
          <w:rFonts w:ascii="Arial" w:hAnsi="Arial" w:cs="Arial"/>
          <w:sz w:val="20"/>
          <w:szCs w:val="20"/>
        </w:rPr>
        <w:t xml:space="preserve">Kushwaha, N., Mondal, D., Singh, K. P., &amp; Mahapatra, R. R. (2017). Comparative evaluation of different diagnostic tests for </w:t>
      </w:r>
      <w:r>
        <w:rPr>
          <w:rStyle w:val="4"/>
          <w:rFonts w:ascii="Arial" w:hAnsi="Arial" w:cs="Arial"/>
          <w:sz w:val="20"/>
          <w:szCs w:val="20"/>
        </w:rPr>
        <w:t>Babesia gibsoni</w:t>
      </w:r>
      <w:r>
        <w:rPr>
          <w:rFonts w:ascii="Arial" w:hAnsi="Arial" w:cs="Arial"/>
          <w:sz w:val="20"/>
          <w:szCs w:val="20"/>
        </w:rPr>
        <w:t xml:space="preserve"> in dogs. </w:t>
      </w:r>
      <w:r>
        <w:rPr>
          <w:rStyle w:val="4"/>
          <w:rFonts w:ascii="Arial" w:hAnsi="Arial" w:cs="Arial"/>
          <w:sz w:val="20"/>
          <w:szCs w:val="20"/>
        </w:rPr>
        <w:t>Indian Journal of Animal Research, 52</w:t>
      </w:r>
      <w:r>
        <w:rPr>
          <w:rFonts w:ascii="Arial" w:hAnsi="Arial" w:cs="Arial"/>
          <w:sz w:val="20"/>
          <w:szCs w:val="20"/>
        </w:rPr>
        <w:t xml:space="preserve">(12), 1642–1648. </w:t>
      </w:r>
    </w:p>
    <w:p w14:paraId="694FDA43">
      <w:pPr>
        <w:pStyle w:val="8"/>
        <w:ind w:left="720" w:hanging="720"/>
        <w:jc w:val="both"/>
        <w:rPr>
          <w:rFonts w:ascii="Arial" w:hAnsi="Arial" w:cs="Arial"/>
          <w:sz w:val="20"/>
          <w:szCs w:val="20"/>
        </w:rPr>
      </w:pPr>
      <w:r>
        <w:rPr>
          <w:rFonts w:ascii="Arial" w:hAnsi="Arial" w:cs="Arial"/>
          <w:sz w:val="20"/>
          <w:szCs w:val="20"/>
        </w:rPr>
        <w:t xml:space="preserve">Lee, M. J., Yu, D. H., Yoon, J. S., Li, Y. H., Lee, J. H., Chae, J. S., &amp; Park, J. (2009). Epidemiologic and clinical surveys in dogs infected with </w:t>
      </w:r>
      <w:r>
        <w:rPr>
          <w:rStyle w:val="4"/>
          <w:rFonts w:ascii="Arial" w:hAnsi="Arial" w:cs="Arial"/>
          <w:sz w:val="20"/>
          <w:szCs w:val="20"/>
        </w:rPr>
        <w:t>Babesia gibsoni</w:t>
      </w:r>
      <w:r>
        <w:rPr>
          <w:rFonts w:ascii="Arial" w:hAnsi="Arial" w:cs="Arial"/>
          <w:sz w:val="20"/>
          <w:szCs w:val="20"/>
        </w:rPr>
        <w:t xml:space="preserve"> in South Korea. </w:t>
      </w:r>
      <w:r>
        <w:rPr>
          <w:rStyle w:val="4"/>
          <w:rFonts w:ascii="Arial" w:hAnsi="Arial" w:cs="Arial"/>
          <w:sz w:val="20"/>
          <w:szCs w:val="20"/>
        </w:rPr>
        <w:t>Vector-Borne and Zoonotic Diseases, 9</w:t>
      </w:r>
      <w:r>
        <w:rPr>
          <w:rFonts w:ascii="Arial" w:hAnsi="Arial" w:cs="Arial"/>
          <w:sz w:val="20"/>
          <w:szCs w:val="20"/>
        </w:rPr>
        <w:t xml:space="preserve">(6), 681–686. </w:t>
      </w:r>
    </w:p>
    <w:p w14:paraId="37752205">
      <w:pPr>
        <w:pStyle w:val="8"/>
        <w:ind w:left="720" w:hanging="720"/>
        <w:jc w:val="both"/>
        <w:rPr>
          <w:rFonts w:ascii="Arial" w:hAnsi="Arial" w:cs="Arial"/>
          <w:sz w:val="20"/>
          <w:szCs w:val="20"/>
        </w:rPr>
      </w:pPr>
      <w:r>
        <w:rPr>
          <w:rFonts w:ascii="Arial" w:hAnsi="Arial" w:cs="Arial"/>
          <w:sz w:val="20"/>
          <w:szCs w:val="20"/>
        </w:rPr>
        <w:t xml:space="preserve">Macintire, D. K., Boudreaux, M. K., West, G. D., Bourne, C., Wright, J. C., &amp; Conrad, P. A. (2002). </w:t>
      </w:r>
      <w:r>
        <w:rPr>
          <w:rStyle w:val="4"/>
          <w:rFonts w:ascii="Arial" w:hAnsi="Arial" w:cs="Arial"/>
          <w:sz w:val="20"/>
          <w:szCs w:val="20"/>
        </w:rPr>
        <w:t>Babesia gibsoni</w:t>
      </w:r>
      <w:r>
        <w:rPr>
          <w:rFonts w:ascii="Arial" w:hAnsi="Arial" w:cs="Arial"/>
          <w:sz w:val="20"/>
          <w:szCs w:val="20"/>
        </w:rPr>
        <w:t xml:space="preserve"> infection among dogs in the southeastern United States. </w:t>
      </w:r>
      <w:r>
        <w:rPr>
          <w:rStyle w:val="4"/>
          <w:rFonts w:ascii="Arial" w:hAnsi="Arial" w:cs="Arial"/>
          <w:sz w:val="20"/>
          <w:szCs w:val="20"/>
        </w:rPr>
        <w:t>Journal of the American Veterinary Medical Association, 220</w:t>
      </w:r>
      <w:r>
        <w:rPr>
          <w:rFonts w:ascii="Arial" w:hAnsi="Arial" w:cs="Arial"/>
          <w:sz w:val="20"/>
          <w:szCs w:val="20"/>
        </w:rPr>
        <w:t xml:space="preserve">(3), 325–329. </w:t>
      </w:r>
    </w:p>
    <w:p w14:paraId="23A6DFF4">
      <w:pPr>
        <w:pStyle w:val="8"/>
        <w:ind w:left="720" w:hanging="720"/>
        <w:jc w:val="both"/>
        <w:rPr>
          <w:rFonts w:ascii="Arial" w:hAnsi="Arial" w:cs="Arial"/>
          <w:sz w:val="20"/>
          <w:szCs w:val="20"/>
        </w:rPr>
      </w:pPr>
      <w:r>
        <w:rPr>
          <w:rFonts w:ascii="Arial" w:hAnsi="Arial" w:cs="Arial"/>
          <w:sz w:val="20"/>
          <w:szCs w:val="20"/>
        </w:rPr>
        <w:t xml:space="preserve">Sakshi, Kumar, M., Sahu, U., Sharma, P., Rajput, P., De, U., Yadav, U., Yadav, S., Kumar, A., &amp; Babu, S. (2025). A comparative clinical analysis of atovaquone-azithromycin and triple antimicrobial therapy in canine babesiosis. </w:t>
      </w:r>
      <w:r>
        <w:rPr>
          <w:rStyle w:val="4"/>
          <w:rFonts w:ascii="Arial" w:hAnsi="Arial" w:cs="Arial"/>
          <w:sz w:val="20"/>
          <w:szCs w:val="20"/>
        </w:rPr>
        <w:t>Uttar Pradesh Journal of Zoology, 46</w:t>
      </w:r>
      <w:r>
        <w:rPr>
          <w:rFonts w:ascii="Arial" w:hAnsi="Arial" w:cs="Arial"/>
          <w:sz w:val="20"/>
          <w:szCs w:val="20"/>
        </w:rPr>
        <w:t>, 220–229.</w:t>
      </w:r>
    </w:p>
    <w:p w14:paraId="53EA47B7">
      <w:pPr>
        <w:pStyle w:val="8"/>
        <w:ind w:left="720" w:hanging="720"/>
        <w:jc w:val="both"/>
        <w:rPr>
          <w:rFonts w:ascii="Arial" w:hAnsi="Arial" w:cs="Arial"/>
          <w:sz w:val="20"/>
          <w:szCs w:val="20"/>
        </w:rPr>
      </w:pPr>
      <w:r>
        <w:rPr>
          <w:rFonts w:ascii="Arial" w:hAnsi="Arial" w:cs="Arial"/>
          <w:sz w:val="20"/>
          <w:szCs w:val="20"/>
        </w:rPr>
        <w:t xml:space="preserve">Slade, D. J., Lees, G. E., Berridge, B. R., Clubb, F. J., Kuczynski, L. A., &amp; Littman, M. P. (2011). Resolution of a proteinuric nephropathy associated with </w:t>
      </w:r>
      <w:r>
        <w:rPr>
          <w:rStyle w:val="4"/>
          <w:rFonts w:ascii="Arial" w:hAnsi="Arial" w:cs="Arial"/>
          <w:sz w:val="20"/>
          <w:szCs w:val="20"/>
        </w:rPr>
        <w:t>Babesia gibsoni</w:t>
      </w:r>
      <w:r>
        <w:rPr>
          <w:rFonts w:ascii="Arial" w:hAnsi="Arial" w:cs="Arial"/>
          <w:sz w:val="20"/>
          <w:szCs w:val="20"/>
        </w:rPr>
        <w:t xml:space="preserve"> infection in a dog. </w:t>
      </w:r>
      <w:r>
        <w:rPr>
          <w:rStyle w:val="4"/>
          <w:rFonts w:ascii="Arial" w:hAnsi="Arial" w:cs="Arial"/>
          <w:sz w:val="20"/>
          <w:szCs w:val="20"/>
        </w:rPr>
        <w:t>Journal of the American Animal Hospital Association, 47</w:t>
      </w:r>
      <w:r>
        <w:rPr>
          <w:rFonts w:ascii="Arial" w:hAnsi="Arial" w:cs="Arial"/>
          <w:sz w:val="20"/>
          <w:szCs w:val="20"/>
        </w:rPr>
        <w:t xml:space="preserve">(2), 138–144. </w:t>
      </w:r>
    </w:p>
    <w:p w14:paraId="5DCE1A89">
      <w:pPr>
        <w:pStyle w:val="8"/>
        <w:ind w:left="720" w:hanging="720"/>
        <w:jc w:val="both"/>
        <w:rPr>
          <w:rFonts w:ascii="Arial" w:hAnsi="Arial" w:cs="Arial"/>
          <w:sz w:val="20"/>
          <w:szCs w:val="20"/>
        </w:rPr>
      </w:pPr>
      <w:r>
        <w:rPr>
          <w:rFonts w:ascii="Arial" w:hAnsi="Arial" w:cs="Arial"/>
          <w:sz w:val="20"/>
          <w:szCs w:val="20"/>
        </w:rPr>
        <w:t xml:space="preserve">Solano-Gallego, L., &amp; Baneth, G. (2011). Babesiosis in dogs and cats—Expanding parasitological and clinical perspectives. </w:t>
      </w:r>
      <w:r>
        <w:rPr>
          <w:rStyle w:val="4"/>
          <w:rFonts w:ascii="Arial" w:hAnsi="Arial" w:cs="Arial"/>
          <w:sz w:val="20"/>
          <w:szCs w:val="20"/>
        </w:rPr>
        <w:t>Veterinary Parasitology, 295</w:t>
      </w:r>
      <w:r>
        <w:rPr>
          <w:rFonts w:ascii="Arial" w:hAnsi="Arial" w:cs="Arial"/>
          <w:sz w:val="20"/>
          <w:szCs w:val="20"/>
        </w:rPr>
        <w:t xml:space="preserve">, 109456. </w:t>
      </w:r>
    </w:p>
    <w:p w14:paraId="46DCD88E">
      <w:pPr>
        <w:pStyle w:val="8"/>
        <w:ind w:left="720" w:hanging="720"/>
        <w:jc w:val="both"/>
        <w:rPr>
          <w:rFonts w:ascii="Arial" w:hAnsi="Arial" w:cs="Arial"/>
          <w:sz w:val="20"/>
          <w:szCs w:val="20"/>
        </w:rPr>
      </w:pPr>
      <w:r>
        <w:rPr>
          <w:rFonts w:ascii="Arial" w:hAnsi="Arial" w:cs="Arial"/>
          <w:sz w:val="20"/>
          <w:szCs w:val="20"/>
        </w:rPr>
        <w:t xml:space="preserve">Tóthová, C., Karasová, M., Blaňarová, L., Fialkovičová, M., &amp; Nagy, O. (2020). Differences in serum protein electrophoretic pattern in dogs naturally infected with </w:t>
      </w:r>
      <w:r>
        <w:rPr>
          <w:rStyle w:val="4"/>
          <w:rFonts w:ascii="Arial" w:hAnsi="Arial" w:cs="Arial"/>
          <w:sz w:val="20"/>
          <w:szCs w:val="20"/>
        </w:rPr>
        <w:t>Babesia gibsoni</w:t>
      </w:r>
      <w:r>
        <w:rPr>
          <w:rFonts w:ascii="Arial" w:hAnsi="Arial" w:cs="Arial"/>
          <w:sz w:val="20"/>
          <w:szCs w:val="20"/>
        </w:rPr>
        <w:t xml:space="preserve"> and </w:t>
      </w:r>
      <w:r>
        <w:rPr>
          <w:rStyle w:val="4"/>
          <w:rFonts w:ascii="Arial" w:hAnsi="Arial" w:cs="Arial"/>
          <w:sz w:val="20"/>
          <w:szCs w:val="20"/>
        </w:rPr>
        <w:t>Babesia canis</w:t>
      </w:r>
      <w:r>
        <w:rPr>
          <w:rFonts w:ascii="Arial" w:hAnsi="Arial" w:cs="Arial"/>
          <w:sz w:val="20"/>
          <w:szCs w:val="20"/>
        </w:rPr>
        <w:t xml:space="preserve">. </w:t>
      </w:r>
      <w:r>
        <w:rPr>
          <w:rStyle w:val="4"/>
          <w:rFonts w:ascii="Arial" w:hAnsi="Arial" w:cs="Arial"/>
          <w:sz w:val="20"/>
          <w:szCs w:val="20"/>
        </w:rPr>
        <w:t>Scientific Reports, 10</w:t>
      </w:r>
      <w:r>
        <w:rPr>
          <w:rFonts w:ascii="Arial" w:hAnsi="Arial" w:cs="Arial"/>
          <w:sz w:val="20"/>
          <w:szCs w:val="20"/>
        </w:rPr>
        <w:t xml:space="preserve">(1), 18904. </w:t>
      </w:r>
    </w:p>
    <w:p w14:paraId="216C90CF">
      <w:pPr>
        <w:pStyle w:val="8"/>
        <w:ind w:left="720" w:hanging="720"/>
        <w:jc w:val="both"/>
        <w:rPr>
          <w:rFonts w:ascii="Arial" w:hAnsi="Arial" w:cs="Arial"/>
          <w:sz w:val="20"/>
          <w:szCs w:val="20"/>
        </w:rPr>
      </w:pPr>
      <w:r>
        <w:rPr>
          <w:rFonts w:ascii="Arial" w:hAnsi="Arial" w:cs="Arial"/>
          <w:sz w:val="20"/>
          <w:szCs w:val="20"/>
        </w:rPr>
        <w:t xml:space="preserve">Vial, H. J., &amp; Gorenflot, A. (2006). Chemotherapy against babesiosis. </w:t>
      </w:r>
      <w:r>
        <w:rPr>
          <w:rStyle w:val="4"/>
          <w:rFonts w:ascii="Arial" w:hAnsi="Arial" w:cs="Arial"/>
          <w:sz w:val="20"/>
          <w:szCs w:val="20"/>
        </w:rPr>
        <w:t>Veterinary Parasitology, 138</w:t>
      </w:r>
      <w:r>
        <w:rPr>
          <w:rFonts w:ascii="Arial" w:hAnsi="Arial" w:cs="Arial"/>
          <w:sz w:val="20"/>
          <w:szCs w:val="20"/>
        </w:rPr>
        <w:t xml:space="preserve">(1–2), 147–160. </w:t>
      </w:r>
    </w:p>
    <w:p w14:paraId="5CFC2B24">
      <w:pPr>
        <w:ind w:left="720" w:hanging="720"/>
        <w:jc w:val="both"/>
        <w:rPr>
          <w:rFonts w:ascii="Arial" w:hAnsi="Arial" w:eastAsia="SimSun" w:cs="Arial"/>
          <w:b/>
          <w:bCs/>
          <w:lang w:val="en-IN"/>
        </w:rPr>
      </w:pPr>
    </w:p>
    <w:p w14:paraId="510FEB07">
      <w:pPr>
        <w:ind w:left="720" w:hanging="720"/>
        <w:jc w:val="both"/>
        <w:rPr>
          <w:rFonts w:ascii="Arial" w:hAnsi="Arial" w:eastAsia="SimSun" w:cs="Arial"/>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URWPalladioL-Roma">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508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045B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76F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59FC0">
    <w:pPr>
      <w:pStyle w:val="6"/>
    </w:pPr>
    <w:r>
      <w:pict>
        <v:shape id="PowerPlusWaterMarkObject77503564" o:spid="_x0000_s4098" o:spt="136" type="#_x0000_t136" style="position:absolute;left:0pt;height:92.9pt;width:492.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9E390">
    <w:pPr>
      <w:pStyle w:val="6"/>
    </w:pPr>
    <w:r>
      <w:pict>
        <v:shape id="PowerPlusWaterMarkObject77503563" o:spid="_x0000_s4099" o:spt="136" type="#_x0000_t136" style="position:absolute;left:0pt;height:92.9pt;width:492.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2B67">
    <w:pPr>
      <w:pStyle w:val="6"/>
    </w:pPr>
    <w:r>
      <w:pict>
        <v:shape id="PowerPlusWaterMarkObject77503562" o:spid="_x0000_s4097" o:spt="136" type="#_x0000_t136" style="position:absolute;left:0pt;height:92.9pt;width:492.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315B2F"/>
    <w:multiLevelType w:val="multilevel"/>
    <w:tmpl w:val="68315B2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documentProtection w:enforcement="0"/>
  <w:defaultTabStop w:val="720"/>
  <w:drawingGridVerticalSpacing w:val="156"/>
  <w:noPunctuationKerning w:val="1"/>
  <w:characterSpacingControl w:val="doNotCompress"/>
  <w:hdrShapeDefaults>
    <o:shapelayout v:ext="edit">
      <o:idmap v:ext="edit" data="3,4"/>
    </o:shapelayout>
  </w:hdrShapeDefault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F78"/>
    <w:rsid w:val="000076BF"/>
    <w:rsid w:val="00021C7A"/>
    <w:rsid w:val="00060FA8"/>
    <w:rsid w:val="00075E84"/>
    <w:rsid w:val="000955C9"/>
    <w:rsid w:val="000A5584"/>
    <w:rsid w:val="001803EB"/>
    <w:rsid w:val="001A4513"/>
    <w:rsid w:val="001A59EA"/>
    <w:rsid w:val="001B1B8A"/>
    <w:rsid w:val="001E6CF4"/>
    <w:rsid w:val="001F70D5"/>
    <w:rsid w:val="00270163"/>
    <w:rsid w:val="0028723E"/>
    <w:rsid w:val="003B1D67"/>
    <w:rsid w:val="003C4733"/>
    <w:rsid w:val="004C5767"/>
    <w:rsid w:val="004C6F78"/>
    <w:rsid w:val="004E3082"/>
    <w:rsid w:val="00510AC3"/>
    <w:rsid w:val="005277C8"/>
    <w:rsid w:val="005E307B"/>
    <w:rsid w:val="005E6840"/>
    <w:rsid w:val="00631DA5"/>
    <w:rsid w:val="006552E2"/>
    <w:rsid w:val="006F4F83"/>
    <w:rsid w:val="00715BD7"/>
    <w:rsid w:val="007539FA"/>
    <w:rsid w:val="00802CF6"/>
    <w:rsid w:val="00824E20"/>
    <w:rsid w:val="00830761"/>
    <w:rsid w:val="00855E9B"/>
    <w:rsid w:val="00877D48"/>
    <w:rsid w:val="008E60A3"/>
    <w:rsid w:val="009202EC"/>
    <w:rsid w:val="00952D33"/>
    <w:rsid w:val="009700FA"/>
    <w:rsid w:val="009E2667"/>
    <w:rsid w:val="009E6CB8"/>
    <w:rsid w:val="00A10BA9"/>
    <w:rsid w:val="00A10BBA"/>
    <w:rsid w:val="00AB37E1"/>
    <w:rsid w:val="00B95752"/>
    <w:rsid w:val="00BE5246"/>
    <w:rsid w:val="00BE6D63"/>
    <w:rsid w:val="00C105D1"/>
    <w:rsid w:val="00C54E54"/>
    <w:rsid w:val="00C90E31"/>
    <w:rsid w:val="00D22F8E"/>
    <w:rsid w:val="00D550CD"/>
    <w:rsid w:val="00DA417A"/>
    <w:rsid w:val="00DC15A8"/>
    <w:rsid w:val="00E11A9F"/>
    <w:rsid w:val="00E71A34"/>
    <w:rsid w:val="00E84E82"/>
    <w:rsid w:val="00EF3DB6"/>
    <w:rsid w:val="00F97348"/>
    <w:rsid w:val="031B1B8C"/>
    <w:rsid w:val="06844C8A"/>
    <w:rsid w:val="069544BC"/>
    <w:rsid w:val="09DB3BBB"/>
    <w:rsid w:val="0A776DE3"/>
    <w:rsid w:val="12365DC8"/>
    <w:rsid w:val="140D159C"/>
    <w:rsid w:val="14871C3B"/>
    <w:rsid w:val="19CE1D45"/>
    <w:rsid w:val="21FB04CE"/>
    <w:rsid w:val="240E593B"/>
    <w:rsid w:val="25D46DE1"/>
    <w:rsid w:val="28077E5F"/>
    <w:rsid w:val="2A0B7910"/>
    <w:rsid w:val="2D0662C9"/>
    <w:rsid w:val="341C6086"/>
    <w:rsid w:val="364B12F2"/>
    <w:rsid w:val="3BCF4F55"/>
    <w:rsid w:val="43366501"/>
    <w:rsid w:val="45531B4B"/>
    <w:rsid w:val="487C003A"/>
    <w:rsid w:val="4B057712"/>
    <w:rsid w:val="4E3B59B8"/>
    <w:rsid w:val="60FC5A2B"/>
    <w:rsid w:val="623113B7"/>
    <w:rsid w:val="625E0E5A"/>
    <w:rsid w:val="63025E1F"/>
    <w:rsid w:val="66BD2E2F"/>
    <w:rsid w:val="68C4352D"/>
    <w:rsid w:val="720A362B"/>
    <w:rsid w:val="76863E43"/>
    <w:rsid w:val="76C64988"/>
    <w:rsid w:val="7D861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link w:val="12"/>
    <w:uiPriority w:val="0"/>
    <w:pPr>
      <w:tabs>
        <w:tab w:val="center" w:pos="4513"/>
        <w:tab w:val="right" w:pos="9026"/>
      </w:tabs>
    </w:pPr>
  </w:style>
  <w:style w:type="paragraph" w:styleId="6">
    <w:name w:val="header"/>
    <w:basedOn w:val="1"/>
    <w:link w:val="11"/>
    <w:qFormat/>
    <w:uiPriority w:val="0"/>
    <w:pPr>
      <w:tabs>
        <w:tab w:val="center" w:pos="4513"/>
        <w:tab w:val="right" w:pos="9026"/>
      </w:tabs>
    </w:pPr>
  </w:style>
  <w:style w:type="character" w:styleId="7">
    <w:name w:val="Hyperlink"/>
    <w:basedOn w:val="2"/>
    <w:qFormat/>
    <w:uiPriority w:val="0"/>
    <w:rPr>
      <w:color w:val="0000FF"/>
      <w:u w:val="single"/>
    </w:r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9">
    <w:name w:val="Strong"/>
    <w:basedOn w:val="2"/>
    <w:qFormat/>
    <w:uiPriority w:val="0"/>
    <w:rPr>
      <w:b/>
      <w:bCs/>
    </w:rPr>
  </w:style>
  <w:style w:type="table" w:styleId="10">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Header Char"/>
    <w:basedOn w:val="2"/>
    <w:link w:val="6"/>
    <w:qFormat/>
    <w:uiPriority w:val="0"/>
    <w:rPr>
      <w:rFonts w:asciiTheme="minorHAnsi" w:hAnsiTheme="minorHAnsi" w:eastAsiaTheme="minorEastAsia" w:cstheme="minorBidi"/>
      <w:lang w:val="en-US" w:eastAsia="zh-CN"/>
    </w:rPr>
  </w:style>
  <w:style w:type="character" w:customStyle="1" w:styleId="12">
    <w:name w:val="Footer Char"/>
    <w:basedOn w:val="2"/>
    <w:link w:val="5"/>
    <w:qFormat/>
    <w:uiPriority w:val="0"/>
    <w:rPr>
      <w:rFonts w:asciiTheme="minorHAnsi" w:hAnsiTheme="minorHAnsi" w:eastAsiaTheme="minorEastAsia" w:cstheme="minorBidi"/>
      <w:lang w:val="en-US" w:eastAsia="zh-CN"/>
    </w:rPr>
  </w:style>
  <w:style w:type="character" w:customStyle="1" w:styleId="13">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2448</Words>
  <Characters>13958</Characters>
  <Lines>116</Lines>
  <Paragraphs>32</Paragraphs>
  <TotalTime>8</TotalTime>
  <ScaleCrop>false</ScaleCrop>
  <LinksUpToDate>false</LinksUpToDate>
  <CharactersWithSpaces>16374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2025-11-07T13:04:00Z</dcterms:created>
  <dc:creator>kasth</dc:creator>
  <cp:lastModifiedBy>kasthuri Dhileep</cp:lastModifiedBy>
  <dcterms:modified xsi:type="dcterms:W3CDTF">2025-12-01T14:05:28Z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FFAACAB315014912B72501A5DD8204E3_12</vt:lpwstr>
  </property>
</Properties>
</file>