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944" w:rsidRDefault="003D6944" w:rsidP="00EF1B66">
      <w:pPr>
        <w:jc w:val="center"/>
        <w:rPr>
          <w:rFonts w:ascii="Times New Roman" w:hAnsi="Times New Roman" w:cs="Times New Roman"/>
          <w:b/>
          <w:sz w:val="24"/>
          <w:szCs w:val="24"/>
        </w:rPr>
      </w:pPr>
      <w:r w:rsidRPr="008669E0">
        <w:rPr>
          <w:rFonts w:ascii="Times New Roman" w:hAnsi="Times New Roman" w:cs="Times New Roman"/>
          <w:b/>
          <w:sz w:val="24"/>
          <w:szCs w:val="24"/>
        </w:rPr>
        <w:t xml:space="preserve">Analyzing the </w:t>
      </w:r>
      <w:r w:rsidR="00BA1B13" w:rsidRPr="008669E0">
        <w:rPr>
          <w:rFonts w:ascii="Times New Roman" w:hAnsi="Times New Roman" w:cs="Times New Roman"/>
          <w:b/>
          <w:sz w:val="24"/>
          <w:szCs w:val="24"/>
        </w:rPr>
        <w:t xml:space="preserve">Relative Importance </w:t>
      </w:r>
      <w:r w:rsidRPr="008669E0">
        <w:rPr>
          <w:rFonts w:ascii="Times New Roman" w:hAnsi="Times New Roman" w:cs="Times New Roman"/>
          <w:b/>
          <w:sz w:val="24"/>
          <w:szCs w:val="24"/>
        </w:rPr>
        <w:t xml:space="preserve">of </w:t>
      </w:r>
      <w:r w:rsidR="00BA1B13" w:rsidRPr="008669E0">
        <w:rPr>
          <w:rFonts w:ascii="Times New Roman" w:hAnsi="Times New Roman" w:cs="Times New Roman"/>
          <w:b/>
          <w:sz w:val="24"/>
          <w:szCs w:val="24"/>
        </w:rPr>
        <w:t xml:space="preserve">Factors Influencing </w:t>
      </w:r>
      <w:r w:rsidRPr="008669E0">
        <w:rPr>
          <w:rFonts w:ascii="Times New Roman" w:hAnsi="Times New Roman" w:cs="Times New Roman"/>
          <w:b/>
          <w:sz w:val="24"/>
          <w:szCs w:val="24"/>
        </w:rPr>
        <w:t>Farm Women Empowerment</w:t>
      </w:r>
    </w:p>
    <w:p w:rsidR="00EF1B66" w:rsidRPr="008669E0" w:rsidRDefault="00EF1B66" w:rsidP="00EF1B66">
      <w:pPr>
        <w:jc w:val="center"/>
        <w:rPr>
          <w:rFonts w:ascii="Times New Roman" w:hAnsi="Times New Roman" w:cs="Times New Roman"/>
        </w:rPr>
      </w:pPr>
    </w:p>
    <w:p w:rsidR="00EF1B66" w:rsidRPr="008669E0" w:rsidRDefault="00EF1B66" w:rsidP="00EF1B66">
      <w:pPr>
        <w:jc w:val="center"/>
        <w:rPr>
          <w:rFonts w:ascii="Times New Roman" w:hAnsi="Times New Roman" w:cs="Times New Roman"/>
          <w:b/>
        </w:rPr>
      </w:pPr>
      <w:r w:rsidRPr="008669E0">
        <w:rPr>
          <w:rFonts w:ascii="Times New Roman" w:hAnsi="Times New Roman" w:cs="Times New Roman"/>
          <w:b/>
        </w:rPr>
        <w:t>Abstract</w:t>
      </w:r>
    </w:p>
    <w:p w:rsidR="00D772C0" w:rsidRPr="00D772C0" w:rsidRDefault="00DC00CB" w:rsidP="00D772C0">
      <w:pPr>
        <w:pStyle w:val="NormalWeb"/>
        <w:spacing w:line="360" w:lineRule="auto"/>
        <w:ind w:firstLine="709"/>
        <w:jc w:val="both"/>
        <w:rPr>
          <w:color w:val="000000" w:themeColor="text1"/>
        </w:rPr>
      </w:pPr>
      <w:r w:rsidRPr="00D772C0">
        <w:rPr>
          <w:color w:val="000000" w:themeColor="text1"/>
        </w:rPr>
        <w:t>Agriculture continues to be the</w:t>
      </w:r>
      <w:r w:rsidR="00FE7CEE" w:rsidRPr="00D772C0">
        <w:rPr>
          <w:color w:val="000000" w:themeColor="text1"/>
        </w:rPr>
        <w:t xml:space="preserve"> backbone of the Indian economy</w:t>
      </w:r>
      <w:r w:rsidRPr="00D772C0">
        <w:rPr>
          <w:color w:val="000000" w:themeColor="text1"/>
        </w:rPr>
        <w:t xml:space="preserve"> and women form an indispensable part of this sector. Empowerment is increasingly recognized as a multidimensional process influenced by perso</w:t>
      </w:r>
      <w:r w:rsidR="00FE7CEE" w:rsidRPr="00D772C0">
        <w:rPr>
          <w:color w:val="000000" w:themeColor="text1"/>
        </w:rPr>
        <w:t>nal, situational, psychological</w:t>
      </w:r>
      <w:r w:rsidRPr="00D772C0">
        <w:rPr>
          <w:color w:val="000000" w:themeColor="text1"/>
        </w:rPr>
        <w:t xml:space="preserve"> and institutional factors. </w:t>
      </w:r>
      <w:r w:rsidR="00D772C0" w:rsidRPr="00D772C0">
        <w:rPr>
          <w:bCs/>
          <w:color w:val="000000" w:themeColor="text1"/>
        </w:rPr>
        <w:t>The present study aimed to assess the level of farm women empowerment and to identify the major factors influencing their empowerment across selected villages of Chitradurga district.</w:t>
      </w:r>
      <w:r w:rsidR="00D772C0" w:rsidRPr="00D772C0">
        <w:rPr>
          <w:color w:val="000000" w:themeColor="text1"/>
        </w:rPr>
        <w:t xml:space="preserve"> </w:t>
      </w:r>
      <w:r w:rsidRPr="00D772C0">
        <w:rPr>
          <w:color w:val="000000" w:themeColor="text1"/>
        </w:rPr>
        <w:t>The study</w:t>
      </w:r>
      <w:r w:rsidR="00FE7CEE" w:rsidRPr="00D772C0">
        <w:rPr>
          <w:color w:val="000000" w:themeColor="text1"/>
        </w:rPr>
        <w:t xml:space="preserve"> was</w:t>
      </w:r>
      <w:r w:rsidRPr="00D772C0">
        <w:rPr>
          <w:color w:val="000000" w:themeColor="text1"/>
        </w:rPr>
        <w:t xml:space="preserve"> co</w:t>
      </w:r>
      <w:r w:rsidR="00FE7CEE" w:rsidRPr="00D772C0">
        <w:rPr>
          <w:color w:val="000000" w:themeColor="text1"/>
        </w:rPr>
        <w:t xml:space="preserve">nducted in </w:t>
      </w:r>
      <w:r w:rsidR="00365C30" w:rsidRPr="00D772C0">
        <w:rPr>
          <w:color w:val="000000" w:themeColor="text1"/>
        </w:rPr>
        <w:t>the three talukas of Chitradurga</w:t>
      </w:r>
      <w:r w:rsidR="00FE7CEE" w:rsidRPr="00D772C0">
        <w:rPr>
          <w:color w:val="000000" w:themeColor="text1"/>
        </w:rPr>
        <w:t xml:space="preserve"> district. Sixty</w:t>
      </w:r>
      <w:r w:rsidRPr="00D772C0">
        <w:rPr>
          <w:color w:val="000000" w:themeColor="text1"/>
        </w:rPr>
        <w:t xml:space="preserve"> farm women </w:t>
      </w:r>
      <w:r w:rsidR="00FE7CEE" w:rsidRPr="00D772C0">
        <w:rPr>
          <w:color w:val="000000" w:themeColor="text1"/>
        </w:rPr>
        <w:t xml:space="preserve">were selected </w:t>
      </w:r>
      <w:r w:rsidRPr="00D772C0">
        <w:rPr>
          <w:color w:val="000000" w:themeColor="text1"/>
        </w:rPr>
        <w:t xml:space="preserve">in each taluk, together formed 180 respondents. </w:t>
      </w:r>
      <w:r w:rsidR="00D772C0" w:rsidRPr="00D772C0">
        <w:rPr>
          <w:bCs/>
          <w:color w:val="000000" w:themeColor="text1"/>
        </w:rPr>
        <w:t>A structured interview schedule</w:t>
      </w:r>
      <w:r w:rsidR="00D772C0" w:rsidRPr="00D772C0">
        <w:rPr>
          <w:color w:val="000000" w:themeColor="text1"/>
        </w:rPr>
        <w:t xml:space="preserve"> was administered to collect data on variables categorized under personal, situational, psychological, and extension dimensions. </w:t>
      </w:r>
      <w:r w:rsidR="003B5724" w:rsidRPr="00D772C0">
        <w:rPr>
          <w:color w:val="000000" w:themeColor="text1"/>
        </w:rPr>
        <w:t xml:space="preserve">Regression Analysis was employed to obtain information about the order of importance of the independent variables in predicting the dependent variable. </w:t>
      </w:r>
      <w:r w:rsidRPr="00D772C0">
        <w:rPr>
          <w:color w:val="000000" w:themeColor="text1"/>
        </w:rPr>
        <w:t xml:space="preserve">Farm women empowerment was </w:t>
      </w:r>
      <w:r w:rsidR="003B5724" w:rsidRPr="00D772C0">
        <w:rPr>
          <w:color w:val="000000" w:themeColor="text1"/>
        </w:rPr>
        <w:t>selected as dependent variable and n</w:t>
      </w:r>
      <w:r w:rsidRPr="00D772C0">
        <w:rPr>
          <w:color w:val="000000" w:themeColor="text1"/>
        </w:rPr>
        <w:t>ineteen independent variables were considered in the present study</w:t>
      </w:r>
      <w:r w:rsidR="003B5724" w:rsidRPr="00D772C0">
        <w:rPr>
          <w:color w:val="000000" w:themeColor="text1"/>
        </w:rPr>
        <w:t>. These independent variables</w:t>
      </w:r>
      <w:r w:rsidRPr="00D772C0">
        <w:rPr>
          <w:color w:val="000000" w:themeColor="text1"/>
        </w:rPr>
        <w:t xml:space="preserve"> classified as personal, situational, psychological and extension variables. </w:t>
      </w:r>
      <w:r w:rsidR="003B5724" w:rsidRPr="00D772C0">
        <w:rPr>
          <w:color w:val="000000" w:themeColor="text1"/>
        </w:rPr>
        <w:t xml:space="preserve">According to the findings, step </w:t>
      </w:r>
      <w:r w:rsidR="003467F1" w:rsidRPr="00D772C0">
        <w:rPr>
          <w:color w:val="000000" w:themeColor="text1"/>
        </w:rPr>
        <w:t xml:space="preserve">one identified </w:t>
      </w:r>
      <w:r w:rsidR="003B5724" w:rsidRPr="00D772C0">
        <w:rPr>
          <w:color w:val="000000" w:themeColor="text1"/>
        </w:rPr>
        <w:t>training participation (X17), which accoun</w:t>
      </w:r>
      <w:r w:rsidR="001A3E28" w:rsidRPr="00D772C0">
        <w:rPr>
          <w:color w:val="000000" w:themeColor="text1"/>
        </w:rPr>
        <w:t>ts for about 59% of the variation</w:t>
      </w:r>
      <w:r w:rsidR="003B5724" w:rsidRPr="00D772C0">
        <w:rPr>
          <w:color w:val="000000" w:themeColor="text1"/>
        </w:rPr>
        <w:t xml:space="preserve"> in farm women's empowerment. The study's conclusions showed that the two key elements to increase farm women's e</w:t>
      </w:r>
      <w:r w:rsidR="001A3E28" w:rsidRPr="00D772C0">
        <w:rPr>
          <w:color w:val="000000" w:themeColor="text1"/>
        </w:rPr>
        <w:t>mpowerment were</w:t>
      </w:r>
      <w:r w:rsidR="003B5724" w:rsidRPr="00D772C0">
        <w:rPr>
          <w:color w:val="000000" w:themeColor="text1"/>
        </w:rPr>
        <w:t xml:space="preserve"> self-reliance and self-confidence.</w:t>
      </w:r>
      <w:r w:rsidR="00D772C0" w:rsidRPr="00D772C0">
        <w:rPr>
          <w:color w:val="000000" w:themeColor="text1"/>
        </w:rPr>
        <w:t xml:space="preserve"> </w:t>
      </w:r>
      <w:r w:rsidR="00D772C0" w:rsidRPr="00D772C0">
        <w:rPr>
          <w:bCs/>
          <w:color w:val="000000" w:themeColor="text1"/>
        </w:rPr>
        <w:t xml:space="preserve">It recommends increasing access to capacity-building programmes, strengthening extension contact and </w:t>
      </w:r>
      <w:r w:rsidR="00D772C0" w:rsidRPr="00D772C0">
        <w:rPr>
          <w:color w:val="000000" w:themeColor="text1"/>
        </w:rPr>
        <w:t xml:space="preserve">foster behavioural and motivational enhancement among farm women in rural areas to </w:t>
      </w:r>
      <w:r w:rsidR="00D772C0" w:rsidRPr="00D772C0">
        <w:rPr>
          <w:bCs/>
          <w:color w:val="000000" w:themeColor="text1"/>
        </w:rPr>
        <w:t xml:space="preserve">promoting inclusive institutional interventions to expand opportunities for skill development, decision-making and livelihood advancement </w:t>
      </w:r>
    </w:p>
    <w:p w:rsidR="003A3843" w:rsidRPr="008669E0" w:rsidRDefault="00566BCC" w:rsidP="00EA651B">
      <w:pPr>
        <w:rPr>
          <w:rFonts w:ascii="Times New Roman" w:hAnsi="Times New Roman" w:cs="Times New Roman"/>
          <w:b/>
        </w:rPr>
      </w:pPr>
      <w:r w:rsidRPr="008669E0">
        <w:rPr>
          <w:rFonts w:ascii="Times New Roman" w:hAnsi="Times New Roman" w:cs="Times New Roman"/>
          <w:b/>
        </w:rPr>
        <w:t>Key words</w:t>
      </w:r>
      <w:r w:rsidR="00EA651B" w:rsidRPr="008669E0">
        <w:rPr>
          <w:rFonts w:ascii="Times New Roman" w:hAnsi="Times New Roman" w:cs="Times New Roman"/>
          <w:b/>
        </w:rPr>
        <w:t xml:space="preserve">: </w:t>
      </w:r>
      <w:r w:rsidRPr="008669E0">
        <w:rPr>
          <w:rFonts w:ascii="Times New Roman" w:hAnsi="Times New Roman" w:cs="Times New Roman"/>
          <w:b/>
        </w:rPr>
        <w:t xml:space="preserve">Empowerment, </w:t>
      </w:r>
      <w:r w:rsidRPr="008669E0">
        <w:rPr>
          <w:rFonts w:ascii="Times New Roman" w:hAnsi="Times New Roman" w:cs="Times New Roman"/>
          <w:color w:val="000000" w:themeColor="text1"/>
          <w:lang w:val="en-IN" w:eastAsia="en-IN"/>
        </w:rPr>
        <w:t>Self reliance, self confidence</w:t>
      </w:r>
      <w:r w:rsidR="00512FF4" w:rsidRPr="008669E0">
        <w:rPr>
          <w:rFonts w:ascii="Times New Roman" w:hAnsi="Times New Roman" w:cs="Times New Roman"/>
          <w:color w:val="000000" w:themeColor="text1"/>
          <w:lang w:val="en-IN" w:eastAsia="en-IN"/>
        </w:rPr>
        <w:t xml:space="preserve">, Economic motivation and </w:t>
      </w:r>
      <w:r w:rsidR="00512FF4" w:rsidRPr="008669E0">
        <w:rPr>
          <w:rFonts w:ascii="Times New Roman" w:hAnsi="Times New Roman" w:cs="Times New Roman"/>
        </w:rPr>
        <w:t>land ownership.</w:t>
      </w:r>
    </w:p>
    <w:p w:rsidR="003D6944" w:rsidRPr="008669E0" w:rsidRDefault="003D6944" w:rsidP="00EF1B66">
      <w:pPr>
        <w:spacing w:before="280" w:line="360" w:lineRule="auto"/>
        <w:ind w:left="720" w:hanging="720"/>
        <w:jc w:val="both"/>
        <w:rPr>
          <w:rFonts w:ascii="Times New Roman" w:hAnsi="Times New Roman" w:cs="Times New Roman"/>
          <w:b/>
          <w:lang w:val="en-IN" w:eastAsia="en-IN"/>
        </w:rPr>
      </w:pPr>
      <w:r w:rsidRPr="008669E0">
        <w:rPr>
          <w:rFonts w:ascii="Times New Roman" w:hAnsi="Times New Roman" w:cs="Times New Roman"/>
          <w:b/>
          <w:lang w:val="en-IN" w:eastAsia="en-IN"/>
        </w:rPr>
        <w:t>Introduction</w:t>
      </w:r>
    </w:p>
    <w:p w:rsidR="00566BCC" w:rsidRPr="008669E0" w:rsidRDefault="003A3843" w:rsidP="00997CE7">
      <w:pPr>
        <w:pStyle w:val="NormalWeb"/>
        <w:spacing w:line="360" w:lineRule="auto"/>
        <w:ind w:firstLine="720"/>
        <w:jc w:val="both"/>
      </w:pPr>
      <w:r w:rsidRPr="008669E0">
        <w:t xml:space="preserve">Agriculture continues to be the backbone of the Indian economy and women form an indispensable part of this sector. According to various national estimates, nearly 70–75 percent of rural women participate in agricultural operations either as cultivators, labourers, or managers of farm and household enterprises. Despite their substantial contribution across crop production, </w:t>
      </w:r>
      <w:r w:rsidRPr="008669E0">
        <w:lastRenderedPageBreak/>
        <w:t>livestock management, post-harvest activities, and allied sectors, farm women often remain invisible in agricultural policies and institutional frameworks. Their role is frequently undervalued due to socio-cultural norms, limited access to productive resources, and restricted decision-making power at the household and community levels.</w:t>
      </w:r>
    </w:p>
    <w:p w:rsidR="00566BCC" w:rsidRPr="008669E0" w:rsidRDefault="003A3843" w:rsidP="00997CE7">
      <w:pPr>
        <w:pStyle w:val="NormalWeb"/>
        <w:spacing w:line="360" w:lineRule="auto"/>
        <w:ind w:firstLine="720"/>
        <w:jc w:val="both"/>
      </w:pPr>
      <w:r w:rsidRPr="008669E0">
        <w:t xml:space="preserve">The concept of </w:t>
      </w:r>
      <w:r w:rsidRPr="008669E0">
        <w:rPr>
          <w:rStyle w:val="Strong"/>
          <w:b w:val="0"/>
        </w:rPr>
        <w:t>farm women empowerment</w:t>
      </w:r>
      <w:r w:rsidRPr="008669E0">
        <w:t xml:space="preserve"> has gained prominence in recent years, emphasizing not only economic advancement but also improvements in social status, control over resources, </w:t>
      </w:r>
      <w:r w:rsidR="00DC00CB" w:rsidRPr="008669E0">
        <w:t>and access</w:t>
      </w:r>
      <w:r w:rsidRPr="008669E0">
        <w:t xml:space="preserve"> to information, participation in extension services, mobility, leadership, and overall decision-making autonomy. Empowerment is increasingly recognized as a multidimensional process influenced by personal, situational, psychological, and institutional factors. </w:t>
      </w:r>
    </w:p>
    <w:p w:rsidR="00566BCC" w:rsidRDefault="003A3843" w:rsidP="00997CE7">
      <w:pPr>
        <w:pStyle w:val="NormalWeb"/>
        <w:spacing w:line="360" w:lineRule="auto"/>
        <w:ind w:firstLine="720"/>
        <w:jc w:val="both"/>
      </w:pPr>
      <w:r w:rsidRPr="008669E0">
        <w:t>Government programmes such as the National Rural Livelihood Mission (NRLM), Mahila</w:t>
      </w:r>
      <w:r w:rsidR="005F3CE6">
        <w:t xml:space="preserve"> </w:t>
      </w:r>
      <w:r w:rsidRPr="008669E0">
        <w:t>Kisan</w:t>
      </w:r>
      <w:r w:rsidR="005F3CE6">
        <w:t xml:space="preserve"> </w:t>
      </w:r>
      <w:r w:rsidRPr="008669E0">
        <w:t>Sashaktikaran</w:t>
      </w:r>
      <w:r w:rsidR="005F3CE6">
        <w:t xml:space="preserve"> </w:t>
      </w:r>
      <w:r w:rsidRPr="008669E0">
        <w:t>Pariyojana (MKSP), self-help groups (SHGs), and various gender-sensitive extension initiatives have been introduced to strengthen the capabilities of farm women</w:t>
      </w:r>
      <w:r w:rsidR="001060D9" w:rsidRPr="008669E0">
        <w:t xml:space="preserve"> (Pushpa </w:t>
      </w:r>
      <w:r w:rsidR="001060D9" w:rsidRPr="008669E0">
        <w:rPr>
          <w:i/>
        </w:rPr>
        <w:t>et. al.,</w:t>
      </w:r>
      <w:r w:rsidR="001060D9" w:rsidRPr="008669E0">
        <w:t xml:space="preserve"> 2021; Yadava </w:t>
      </w:r>
      <w:r w:rsidR="001060D9" w:rsidRPr="008669E0">
        <w:rPr>
          <w:i/>
        </w:rPr>
        <w:t>et. al., 202</w:t>
      </w:r>
      <w:r w:rsidR="00AC6052">
        <w:rPr>
          <w:i/>
        </w:rPr>
        <w:t>4</w:t>
      </w:r>
      <w:r w:rsidR="001060D9" w:rsidRPr="008669E0">
        <w:t>)</w:t>
      </w:r>
      <w:r w:rsidRPr="008669E0">
        <w:t xml:space="preserve">. However, gaps persist in the awareness, reach and impact of </w:t>
      </w:r>
      <w:r w:rsidR="00DC00CB" w:rsidRPr="008669E0">
        <w:t>these interventions. In</w:t>
      </w:r>
      <w:r w:rsidRPr="008669E0">
        <w:t xml:space="preserve"> India, farm women continue to face challenges including limited land ownership, inadequate access to credit and technology, time poverty du</w:t>
      </w:r>
      <w:r w:rsidR="00DC7202">
        <w:t>e to household responsibilities</w:t>
      </w:r>
      <w:r w:rsidRPr="008669E0">
        <w:t xml:space="preserve"> and low representation in decision-making bodies</w:t>
      </w:r>
      <w:r w:rsidR="00DC7202">
        <w:t xml:space="preserve"> (</w:t>
      </w:r>
      <w:r w:rsidR="00DC7202" w:rsidRPr="008669E0">
        <w:t xml:space="preserve">Yadava </w:t>
      </w:r>
      <w:r w:rsidR="00DC7202" w:rsidRPr="008669E0">
        <w:rPr>
          <w:i/>
        </w:rPr>
        <w:t>et. al., 202</w:t>
      </w:r>
      <w:r w:rsidR="00DC7202">
        <w:rPr>
          <w:i/>
        </w:rPr>
        <w:t>2)</w:t>
      </w:r>
      <w:r w:rsidRPr="008669E0">
        <w:t xml:space="preserve">. While empowerment indicators are gradually improving, regional disparities remain significant. Understanding the </w:t>
      </w:r>
      <w:r w:rsidRPr="008669E0">
        <w:rPr>
          <w:rStyle w:val="Strong"/>
          <w:b w:val="0"/>
        </w:rPr>
        <w:t>current status of farm women empowerment</w:t>
      </w:r>
      <w:r w:rsidRPr="008669E0">
        <w:t xml:space="preserve"> is essential for designing evidence-based strategies that enhance their participation, productivity, and welfare.</w:t>
      </w:r>
    </w:p>
    <w:p w:rsidR="0012761B" w:rsidRPr="008669E0" w:rsidRDefault="0012761B" w:rsidP="00997CE7">
      <w:pPr>
        <w:pStyle w:val="NormalWeb"/>
        <w:spacing w:line="360" w:lineRule="auto"/>
        <w:ind w:firstLine="720"/>
        <w:jc w:val="both"/>
      </w:pPr>
      <w:r>
        <w:t xml:space="preserve">This study holds significant importance as it examines the multidimensional nature of farm women’s empowerment within the agricultural context of Chitradurga district. Despite women’s substantial contribution to farming and allied activities, their empowerment remains constrained by limited access to resources, training and institutional support. By systematically analysing personal, situational, psychological and extension variables, the study provides empirical evidence on the factors that most strongly influence empowerment. The findings generate actionable insights for policymakers, extension agencies and development practitioners to design targeted interventions that enhance self-confidence, decision-making abilities and leadership among farm women. Ultimately, the study contributes to bridging existing knowledge </w:t>
      </w:r>
      <w:r>
        <w:lastRenderedPageBreak/>
        <w:t>gaps and supports the formulation of gender-responsive agricultural development strategies aimed at improving rural livelihoods.</w:t>
      </w:r>
    </w:p>
    <w:p w:rsidR="003A3843" w:rsidRPr="008669E0" w:rsidRDefault="00FE1453" w:rsidP="00997CE7">
      <w:pPr>
        <w:pStyle w:val="NormalWeb"/>
        <w:spacing w:line="360" w:lineRule="auto"/>
        <w:ind w:firstLine="720"/>
        <w:jc w:val="both"/>
      </w:pPr>
      <w:r w:rsidRPr="008669E0">
        <w:t>In</w:t>
      </w:r>
      <w:r w:rsidR="003A3843" w:rsidRPr="008669E0">
        <w:t xml:space="preserve"> this context, the present paper aims to </w:t>
      </w:r>
      <w:r w:rsidRPr="008669E0">
        <w:t xml:space="preserve">analyze the relative importance of factors influencing Farm Women Empowerment. </w:t>
      </w:r>
      <w:r w:rsidR="003A3843" w:rsidRPr="008669E0">
        <w:t>The findings are expected to contribute to strengthening gender-responsive policies and e</w:t>
      </w:r>
      <w:r w:rsidRPr="008669E0">
        <w:t>xtension approaches for farm women empowerment.</w:t>
      </w:r>
    </w:p>
    <w:p w:rsidR="003A3843" w:rsidRPr="008669E0" w:rsidRDefault="003A3843" w:rsidP="003A3843">
      <w:pPr>
        <w:pStyle w:val="BodyText"/>
        <w:spacing w:before="280"/>
        <w:rPr>
          <w:rFonts w:ascii="Times New Roman" w:hAnsi="Times New Roman"/>
          <w:b/>
          <w:color w:val="000000" w:themeColor="text1"/>
          <w:lang w:val="en-IN" w:eastAsia="en-IN"/>
        </w:rPr>
      </w:pPr>
      <w:r w:rsidRPr="008669E0">
        <w:rPr>
          <w:rFonts w:ascii="Times New Roman" w:hAnsi="Times New Roman"/>
          <w:b/>
          <w:color w:val="000000" w:themeColor="text1"/>
          <w:lang w:val="en-IN" w:eastAsia="en-IN"/>
        </w:rPr>
        <w:t>Methodology</w:t>
      </w:r>
    </w:p>
    <w:p w:rsidR="004F5BF3" w:rsidRPr="008669E0" w:rsidRDefault="004F5BF3" w:rsidP="004F5BF3">
      <w:pPr>
        <w:spacing w:after="0" w:line="360" w:lineRule="auto"/>
        <w:ind w:firstLine="720"/>
        <w:jc w:val="both"/>
        <w:rPr>
          <w:rFonts w:ascii="Times New Roman" w:hAnsi="Times New Roman" w:cs="Times New Roman"/>
          <w:color w:val="000000" w:themeColor="text1"/>
          <w:sz w:val="24"/>
          <w:szCs w:val="24"/>
          <w:lang w:val="en-IN" w:eastAsia="en-IN"/>
        </w:rPr>
      </w:pPr>
      <w:r w:rsidRPr="008669E0">
        <w:rPr>
          <w:rFonts w:ascii="Times New Roman" w:hAnsi="Times New Roman" w:cs="Times New Roman"/>
          <w:color w:val="000000" w:themeColor="text1"/>
          <w:sz w:val="24"/>
          <w:szCs w:val="24"/>
          <w:lang w:val="en-IN" w:eastAsia="en-IN"/>
        </w:rPr>
        <w:t>The research was carried out in the Chitradurga district of Karnataka. Three taluks were randomly selected: one from a relatively developed area, one from a more backward area, and one from the most backward area. Three hoblies were randomly chosen from each taluk. Two villages were randomly selected from each hobli. It comprised six villages from each taluk, resulting in a total of 18 villages across three taluks. Ten farm women were interviewed in each selected village. The study included 60 farm women from each taluk, resulting in a total of 180 respondents. This study employed an ex-post-facto research design. The empowerment of farm women was designated as the dependent variable. The present study considered nineteen independent variables, which were classified into personal, situational, psychological, and extension categories.</w:t>
      </w:r>
    </w:p>
    <w:p w:rsidR="003A3843" w:rsidRPr="008669E0" w:rsidRDefault="003A3843" w:rsidP="004F5BF3">
      <w:pPr>
        <w:spacing w:before="280" w:after="0" w:line="360" w:lineRule="auto"/>
        <w:ind w:firstLine="720"/>
        <w:jc w:val="both"/>
        <w:rPr>
          <w:rFonts w:ascii="Times New Roman" w:hAnsi="Times New Roman" w:cs="Times New Roman"/>
          <w:color w:val="000000" w:themeColor="text1"/>
          <w:sz w:val="24"/>
          <w:szCs w:val="24"/>
          <w:lang w:val="en-IN" w:eastAsia="en-IN"/>
        </w:rPr>
      </w:pPr>
      <w:r w:rsidRPr="008669E0">
        <w:rPr>
          <w:rFonts w:ascii="Times New Roman" w:hAnsi="Times New Roman" w:cs="Times New Roman"/>
          <w:color w:val="000000" w:themeColor="text1"/>
          <w:sz w:val="24"/>
          <w:szCs w:val="24"/>
          <w:lang w:val="en-IN" w:eastAsia="en-IN"/>
        </w:rPr>
        <w:t>Stepwise Regression Analysis was employed to obtain information about the order of importance of the independent variables in predicting the dependent variable</w:t>
      </w:r>
      <w:r w:rsidR="004F5BF3" w:rsidRPr="008669E0">
        <w:rPr>
          <w:rFonts w:ascii="Times New Roman" w:hAnsi="Times New Roman" w:cs="Times New Roman"/>
          <w:color w:val="000000" w:themeColor="text1"/>
          <w:sz w:val="24"/>
          <w:szCs w:val="24"/>
          <w:lang w:val="en-IN" w:eastAsia="en-IN"/>
        </w:rPr>
        <w:t xml:space="preserve"> (</w:t>
      </w:r>
      <w:r w:rsidR="000C1CFB" w:rsidRPr="008669E0">
        <w:rPr>
          <w:rFonts w:ascii="Times New Roman" w:hAnsi="Times New Roman" w:cs="Times New Roman"/>
          <w:color w:val="000000" w:themeColor="text1"/>
          <w:sz w:val="24"/>
          <w:szCs w:val="24"/>
          <w:lang w:val="en-IN" w:eastAsia="en-IN"/>
        </w:rPr>
        <w:t xml:space="preserve">Anita and Madan, 2002; </w:t>
      </w:r>
      <w:r w:rsidR="000C1CFB" w:rsidRPr="008669E0">
        <w:rPr>
          <w:rFonts w:ascii="Times New Roman" w:hAnsi="Times New Roman" w:cs="Times New Roman"/>
        </w:rPr>
        <w:t>Bharathamma, 2005)</w:t>
      </w:r>
      <w:r w:rsidRPr="008669E0">
        <w:rPr>
          <w:rFonts w:ascii="Times New Roman" w:hAnsi="Times New Roman" w:cs="Times New Roman"/>
          <w:color w:val="000000" w:themeColor="text1"/>
          <w:sz w:val="24"/>
          <w:szCs w:val="24"/>
          <w:lang w:val="en-IN" w:eastAsia="en-IN"/>
        </w:rPr>
        <w:t>The stepwise Regression Analysis selects the best subset of variables in predicting the dependent variable in such a manner that a) It yields the largest multiple correlations among all subsets of size ‘n’, b) The inclusion of the remaining p-m variables does not significantly improve the prediction of dependent variables.</w:t>
      </w:r>
    </w:p>
    <w:p w:rsidR="008D3494" w:rsidRPr="008669E0" w:rsidRDefault="008D3494" w:rsidP="008D3494">
      <w:pPr>
        <w:spacing w:before="120" w:line="360" w:lineRule="auto"/>
        <w:jc w:val="both"/>
        <w:rPr>
          <w:rFonts w:ascii="Times New Roman" w:hAnsi="Times New Roman" w:cs="Times New Roman"/>
          <w:b/>
          <w:sz w:val="24"/>
          <w:szCs w:val="24"/>
          <w:lang w:val="en-IN" w:eastAsia="en-IN"/>
        </w:rPr>
      </w:pPr>
      <w:r w:rsidRPr="008669E0">
        <w:rPr>
          <w:rFonts w:ascii="Times New Roman" w:hAnsi="Times New Roman" w:cs="Times New Roman"/>
          <w:b/>
          <w:sz w:val="24"/>
          <w:szCs w:val="24"/>
          <w:lang w:val="en-IN" w:eastAsia="en-IN"/>
        </w:rPr>
        <w:t>Results and Discussion</w:t>
      </w:r>
    </w:p>
    <w:p w:rsidR="00EF1B66" w:rsidRPr="008669E0" w:rsidRDefault="00EF1B66" w:rsidP="00EF1B66">
      <w:pPr>
        <w:spacing w:before="280" w:line="360" w:lineRule="auto"/>
        <w:ind w:left="720" w:hanging="720"/>
        <w:jc w:val="both"/>
        <w:rPr>
          <w:rFonts w:ascii="Times New Roman" w:hAnsi="Times New Roman" w:cs="Times New Roman"/>
          <w:b/>
          <w:lang w:val="en-IN" w:eastAsia="en-IN"/>
        </w:rPr>
      </w:pPr>
      <w:r w:rsidRPr="008669E0">
        <w:rPr>
          <w:rFonts w:ascii="Times New Roman" w:hAnsi="Times New Roman" w:cs="Times New Roman"/>
          <w:b/>
          <w:lang w:val="en-IN" w:eastAsia="en-IN"/>
        </w:rPr>
        <w:t>Relative importance of selected factors in explaining the farm women empowerment</w:t>
      </w:r>
    </w:p>
    <w:p w:rsidR="00EF1B66" w:rsidRPr="008669E0" w:rsidRDefault="008D3494" w:rsidP="00EF1B66">
      <w:pPr>
        <w:spacing w:before="120" w:line="360" w:lineRule="auto"/>
        <w:ind w:firstLine="720"/>
        <w:jc w:val="both"/>
        <w:rPr>
          <w:rFonts w:ascii="Times New Roman" w:hAnsi="Times New Roman" w:cs="Times New Roman"/>
          <w:lang w:val="en-IN" w:eastAsia="en-IN"/>
        </w:rPr>
      </w:pPr>
      <w:r w:rsidRPr="008669E0">
        <w:rPr>
          <w:rFonts w:ascii="Times New Roman" w:hAnsi="Times New Roman" w:cs="Times New Roman"/>
          <w:lang w:val="en-IN" w:eastAsia="en-IN"/>
        </w:rPr>
        <w:t xml:space="preserve">A critical look at Table-1 </w:t>
      </w:r>
      <w:r w:rsidR="00EF1B66" w:rsidRPr="008669E0">
        <w:rPr>
          <w:rFonts w:ascii="Times New Roman" w:hAnsi="Times New Roman" w:cs="Times New Roman"/>
          <w:lang w:val="en-IN" w:eastAsia="en-IN"/>
        </w:rPr>
        <w:t>gives the results of the step wise regression analysis which depicts all the significant steps included in the farm women empowerment. From the table it could b</w:t>
      </w:r>
      <w:r w:rsidR="00997CE7">
        <w:rPr>
          <w:rFonts w:ascii="Times New Roman" w:hAnsi="Times New Roman" w:cs="Times New Roman"/>
          <w:lang w:val="en-IN" w:eastAsia="en-IN"/>
        </w:rPr>
        <w:t>e inferred that, the step</w:t>
      </w:r>
      <w:r w:rsidR="00EF1B66" w:rsidRPr="008669E0">
        <w:rPr>
          <w:rFonts w:ascii="Times New Roman" w:hAnsi="Times New Roman" w:cs="Times New Roman"/>
          <w:lang w:val="en-IN" w:eastAsia="en-IN"/>
        </w:rPr>
        <w:t xml:space="preserve"> 1 with only one variable, participation in trainings (X</w:t>
      </w:r>
      <w:r w:rsidR="00EF1B66" w:rsidRPr="007A63BD">
        <w:rPr>
          <w:rFonts w:ascii="Times New Roman" w:hAnsi="Times New Roman" w:cs="Times New Roman"/>
          <w:vertAlign w:val="subscript"/>
          <w:lang w:val="en-IN" w:eastAsia="en-IN"/>
        </w:rPr>
        <w:t>17</w:t>
      </w:r>
      <w:r w:rsidR="00EF1B66" w:rsidRPr="008669E0">
        <w:rPr>
          <w:rFonts w:ascii="Times New Roman" w:hAnsi="Times New Roman" w:cs="Times New Roman"/>
          <w:lang w:val="en-IN" w:eastAsia="en-IN"/>
        </w:rPr>
        <w:t>) included explain more than 59 per cent of the variation in farm women empowerment.</w:t>
      </w:r>
    </w:p>
    <w:p w:rsidR="00EF1B66" w:rsidRPr="008669E0" w:rsidRDefault="00EF1B66" w:rsidP="00EF1B66">
      <w:pPr>
        <w:spacing w:before="280" w:line="360" w:lineRule="auto"/>
        <w:ind w:firstLine="720"/>
        <w:jc w:val="both"/>
        <w:rPr>
          <w:rFonts w:ascii="Times New Roman" w:hAnsi="Times New Roman" w:cs="Times New Roman"/>
          <w:lang w:val="en-IN" w:eastAsia="en-IN"/>
        </w:rPr>
      </w:pPr>
      <w:r w:rsidRPr="008669E0">
        <w:rPr>
          <w:rFonts w:ascii="Times New Roman" w:hAnsi="Times New Roman" w:cs="Times New Roman"/>
          <w:lang w:val="en-IN" w:eastAsia="en-IN"/>
        </w:rPr>
        <w:lastRenderedPageBreak/>
        <w:t>The predictive power increases with the inclusion of each variable in the successive steps till a particular step, which the R values started decreasing the step which gives the highest R value is taken as the last step in which all the variables included will be significant. In the present study step number eight was taken as the last step. The eight variables included in this final step accounted for more than 71 per cent of the variation in the farm women empowerment. The F value (F8, 171= 52.80) was found to be significant at one per cent level which indicated the significance of the regression equation in predicting the farm women empowerment.</w:t>
      </w:r>
    </w:p>
    <w:p w:rsidR="002611A7" w:rsidRPr="008669E0" w:rsidRDefault="00EF1B66" w:rsidP="002611A7">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 xml:space="preserve">The results of the step wise regression analysis stating the final step with all the significant variables included is </w:t>
      </w:r>
      <w:r w:rsidR="008D3494" w:rsidRPr="008669E0">
        <w:rPr>
          <w:rFonts w:eastAsiaTheme="minorEastAsia"/>
          <w:sz w:val="22"/>
          <w:szCs w:val="22"/>
          <w:lang w:val="en-IN" w:eastAsia="en-IN"/>
        </w:rPr>
        <w:t>presented separately in Table-2</w:t>
      </w:r>
      <w:r w:rsidRPr="008669E0">
        <w:rPr>
          <w:rFonts w:eastAsiaTheme="minorEastAsia"/>
          <w:sz w:val="22"/>
          <w:szCs w:val="22"/>
          <w:lang w:val="en-IN" w:eastAsia="en-IN"/>
        </w:rPr>
        <w:t xml:space="preserve">. </w:t>
      </w:r>
      <w:r w:rsidR="002611A7" w:rsidRPr="008669E0">
        <w:rPr>
          <w:rFonts w:eastAsiaTheme="minorEastAsia"/>
          <w:sz w:val="22"/>
          <w:szCs w:val="22"/>
          <w:lang w:val="en-IN" w:eastAsia="en-IN"/>
        </w:rPr>
        <w:t xml:space="preserve">The analysis highlights the centrality of human and social capital variables in shaping the outcome variable, with </w:t>
      </w:r>
      <w:r w:rsidR="002611A7" w:rsidRPr="008669E0">
        <w:rPr>
          <w:rFonts w:eastAsiaTheme="minorEastAsia"/>
          <w:iCs/>
          <w:sz w:val="22"/>
          <w:szCs w:val="22"/>
          <w:lang w:val="en-IN" w:eastAsia="en-IN"/>
        </w:rPr>
        <w:t>participation in trainings</w:t>
      </w:r>
      <w:r w:rsidR="002611A7" w:rsidRPr="008669E0">
        <w:rPr>
          <w:rFonts w:eastAsiaTheme="minorEastAsia"/>
          <w:i/>
          <w:iCs/>
          <w:sz w:val="22"/>
          <w:szCs w:val="22"/>
          <w:lang w:val="en-IN" w:eastAsia="en-IN"/>
        </w:rPr>
        <w:t xml:space="preserve"> (X</w:t>
      </w:r>
      <w:r w:rsidR="002611A7" w:rsidRPr="007A63BD">
        <w:rPr>
          <w:rFonts w:eastAsiaTheme="minorEastAsia"/>
          <w:i/>
          <w:iCs/>
          <w:sz w:val="22"/>
          <w:szCs w:val="22"/>
          <w:vertAlign w:val="subscript"/>
          <w:lang w:val="en-IN" w:eastAsia="en-IN"/>
        </w:rPr>
        <w:t>17</w:t>
      </w:r>
      <w:r w:rsidR="002611A7" w:rsidRPr="008669E0">
        <w:rPr>
          <w:rFonts w:eastAsiaTheme="minorEastAsia"/>
          <w:i/>
          <w:iCs/>
          <w:sz w:val="22"/>
          <w:szCs w:val="22"/>
          <w:lang w:val="en-IN" w:eastAsia="en-IN"/>
        </w:rPr>
        <w:t>)</w:t>
      </w:r>
      <w:r w:rsidR="002611A7" w:rsidRPr="008669E0">
        <w:rPr>
          <w:rFonts w:eastAsiaTheme="minorEastAsia"/>
          <w:sz w:val="22"/>
          <w:szCs w:val="22"/>
          <w:lang w:val="en-IN" w:eastAsia="en-IN"/>
        </w:rPr>
        <w:t xml:space="preserve"> emerging as the most influential determinant (β = 2.4440; </w:t>
      </w:r>
      <w:r w:rsidR="002611A7" w:rsidRPr="008669E0">
        <w:rPr>
          <w:rFonts w:eastAsiaTheme="minorEastAsia"/>
          <w:i/>
          <w:iCs/>
          <w:sz w:val="22"/>
          <w:szCs w:val="22"/>
          <w:lang w:val="en-IN" w:eastAsia="en-IN"/>
        </w:rPr>
        <w:t>t</w:t>
      </w:r>
      <w:r w:rsidR="002611A7" w:rsidRPr="008669E0">
        <w:rPr>
          <w:rFonts w:eastAsiaTheme="minorEastAsia"/>
          <w:sz w:val="22"/>
          <w:szCs w:val="22"/>
          <w:lang w:val="en-IN" w:eastAsia="en-IN"/>
        </w:rPr>
        <w:t xml:space="preserve"> = 16.25) indicates that households with higher exposure to capacity-building programmes were more likely to demonstrate improved livelihood or agricultural performance. This aligns with earlier studies which argue that training enhances farmers’ technical skills, improves adoption of modern practices, and strengthens decision-making capacity, ultimately translating to higher produ</w:t>
      </w:r>
      <w:r w:rsidR="000E3D5A">
        <w:rPr>
          <w:rFonts w:eastAsiaTheme="minorEastAsia"/>
          <w:sz w:val="22"/>
          <w:szCs w:val="22"/>
          <w:lang w:val="en-IN" w:eastAsia="en-IN"/>
        </w:rPr>
        <w:t>ctivity and income (Pretty, 2007</w:t>
      </w:r>
      <w:r w:rsidR="002611A7" w:rsidRPr="008669E0">
        <w:rPr>
          <w:rFonts w:eastAsiaTheme="minorEastAsia"/>
          <w:sz w:val="22"/>
          <w:szCs w:val="22"/>
          <w:lang w:val="en-IN" w:eastAsia="en-IN"/>
        </w:rPr>
        <w:t>; Anderson and Feder, 2007). In rural development contexts, training programmes have been particularly effective in bridging information asymmetry and enabling communities to negotiate complex institutional environments (Chambers, 2014; Yadava, 2025).</w:t>
      </w:r>
    </w:p>
    <w:p w:rsidR="002611A7" w:rsidRPr="008669E0" w:rsidRDefault="002611A7" w:rsidP="002611A7">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 xml:space="preserve">Similarly, </w:t>
      </w:r>
      <w:r w:rsidRPr="008669E0">
        <w:rPr>
          <w:rFonts w:eastAsiaTheme="minorEastAsia"/>
          <w:iCs/>
          <w:sz w:val="22"/>
          <w:szCs w:val="22"/>
          <w:lang w:val="en-IN" w:eastAsia="en-IN"/>
        </w:rPr>
        <w:t>contact with extension agencies</w:t>
      </w:r>
      <w:r w:rsidRPr="008669E0">
        <w:rPr>
          <w:rFonts w:eastAsiaTheme="minorEastAsia"/>
          <w:i/>
          <w:iCs/>
          <w:sz w:val="22"/>
          <w:szCs w:val="22"/>
          <w:lang w:val="en-IN" w:eastAsia="en-IN"/>
        </w:rPr>
        <w:t xml:space="preserve"> (X19)</w:t>
      </w:r>
      <w:r w:rsidRPr="008669E0">
        <w:rPr>
          <w:rFonts w:eastAsiaTheme="minorEastAsia"/>
          <w:sz w:val="22"/>
          <w:szCs w:val="22"/>
          <w:lang w:val="en-IN" w:eastAsia="en-IN"/>
        </w:rPr>
        <w:t xml:space="preserve"> exhibits a significant positive association, emphasizing the relevance of extension systems as a channel for knowledge dissemination and innovation. With a moderate effect size (β = 0.4463; </w:t>
      </w:r>
      <w:r w:rsidRPr="008669E0">
        <w:rPr>
          <w:rFonts w:eastAsiaTheme="minorEastAsia"/>
          <w:i/>
          <w:iCs/>
          <w:sz w:val="22"/>
          <w:szCs w:val="22"/>
          <w:lang w:val="en-IN" w:eastAsia="en-IN"/>
        </w:rPr>
        <w:t>t</w:t>
      </w:r>
      <w:r w:rsidRPr="008669E0">
        <w:rPr>
          <w:rFonts w:eastAsiaTheme="minorEastAsia"/>
          <w:sz w:val="22"/>
          <w:szCs w:val="22"/>
          <w:lang w:val="en-IN" w:eastAsia="en-IN"/>
        </w:rPr>
        <w:t xml:space="preserve"> = 4.74), this finding corroborates a long body of literature that positions extension contact as a key driver of technology adoption, risk reduction, and livelihood diversification, particularly for marginalised and indigenous households (Rivera and Qamar, 2003; Swanson and Rajalahti, 2010). Frequent interaction with extension personnel not only improves awareness but also enhances trust in institutional services, which is often a prerequisite for the uptake of agricultural schemes and support mechanisms in the rural areas.</w:t>
      </w:r>
    </w:p>
    <w:p w:rsidR="002611A7" w:rsidRPr="008669E0" w:rsidRDefault="002611A7" w:rsidP="002611A7">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 xml:space="preserve">The influence of </w:t>
      </w:r>
      <w:r w:rsidRPr="008669E0">
        <w:rPr>
          <w:rFonts w:eastAsiaTheme="minorEastAsia"/>
          <w:iCs/>
          <w:sz w:val="22"/>
          <w:szCs w:val="22"/>
          <w:lang w:val="en-IN" w:eastAsia="en-IN"/>
        </w:rPr>
        <w:t>landholding size</w:t>
      </w:r>
      <w:r w:rsidRPr="008669E0">
        <w:rPr>
          <w:rFonts w:eastAsiaTheme="minorEastAsia"/>
          <w:i/>
          <w:iCs/>
          <w:sz w:val="22"/>
          <w:szCs w:val="22"/>
          <w:lang w:val="en-IN" w:eastAsia="en-IN"/>
        </w:rPr>
        <w:t xml:space="preserve"> (X</w:t>
      </w:r>
      <w:r w:rsidRPr="007A63BD">
        <w:rPr>
          <w:rFonts w:eastAsiaTheme="minorEastAsia"/>
          <w:i/>
          <w:iCs/>
          <w:sz w:val="22"/>
          <w:szCs w:val="22"/>
          <w:vertAlign w:val="subscript"/>
          <w:lang w:val="en-IN" w:eastAsia="en-IN"/>
        </w:rPr>
        <w:t>4</w:t>
      </w:r>
      <w:r w:rsidRPr="008669E0">
        <w:rPr>
          <w:rFonts w:eastAsiaTheme="minorEastAsia"/>
          <w:i/>
          <w:iCs/>
          <w:sz w:val="22"/>
          <w:szCs w:val="22"/>
          <w:lang w:val="en-IN" w:eastAsia="en-IN"/>
        </w:rPr>
        <w:t>)</w:t>
      </w:r>
      <w:r w:rsidRPr="008669E0">
        <w:rPr>
          <w:rFonts w:eastAsiaTheme="minorEastAsia"/>
          <w:sz w:val="22"/>
          <w:szCs w:val="22"/>
          <w:lang w:val="en-IN" w:eastAsia="en-IN"/>
        </w:rPr>
        <w:t xml:space="preserve"> illustrates the structural dimension of household economic behaviour. A positive and significant coefficient (β = 0.2555) suggests that larger landholdings provide a broader resource base for investment, experimentation and diversification. This is consistent with empirical studies showing that land size is a fundamental determinant of income, investment willingness and capacity to adopt improved practices among smallholders (Hazell </w:t>
      </w:r>
      <w:r w:rsidRPr="008669E0">
        <w:rPr>
          <w:rFonts w:eastAsiaTheme="minorEastAsia"/>
          <w:i/>
          <w:sz w:val="22"/>
          <w:szCs w:val="22"/>
          <w:lang w:val="en-IN" w:eastAsia="en-IN"/>
        </w:rPr>
        <w:t>et al.,</w:t>
      </w:r>
      <w:r w:rsidRPr="008669E0">
        <w:rPr>
          <w:rFonts w:eastAsiaTheme="minorEastAsia"/>
          <w:sz w:val="22"/>
          <w:szCs w:val="22"/>
          <w:lang w:val="en-IN" w:eastAsia="en-IN"/>
        </w:rPr>
        <w:t xml:space="preserve"> 2010; Pushpa </w:t>
      </w:r>
      <w:r w:rsidRPr="008669E0">
        <w:rPr>
          <w:rFonts w:eastAsiaTheme="minorEastAsia"/>
          <w:i/>
          <w:sz w:val="22"/>
          <w:szCs w:val="22"/>
          <w:lang w:val="en-IN" w:eastAsia="en-IN"/>
        </w:rPr>
        <w:t>et al.,</w:t>
      </w:r>
      <w:r w:rsidRPr="008669E0">
        <w:rPr>
          <w:rFonts w:eastAsiaTheme="minorEastAsia"/>
          <w:sz w:val="22"/>
          <w:szCs w:val="22"/>
          <w:lang w:val="en-IN" w:eastAsia="en-IN"/>
        </w:rPr>
        <w:t xml:space="preserve"> 2021). </w:t>
      </w:r>
    </w:p>
    <w:p w:rsidR="002611A7" w:rsidRPr="008669E0" w:rsidRDefault="002611A7" w:rsidP="002611A7">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 xml:space="preserve">Behavioural and psychological attributes further contribute to explaining variations in household outcomes. </w:t>
      </w:r>
      <w:r w:rsidRPr="008669E0">
        <w:rPr>
          <w:rFonts w:eastAsiaTheme="minorEastAsia"/>
          <w:iCs/>
          <w:sz w:val="22"/>
          <w:szCs w:val="22"/>
          <w:lang w:val="en-IN" w:eastAsia="en-IN"/>
        </w:rPr>
        <w:t>Extension participation</w:t>
      </w:r>
      <w:r w:rsidRPr="008669E0">
        <w:rPr>
          <w:rFonts w:eastAsiaTheme="minorEastAsia"/>
          <w:i/>
          <w:iCs/>
          <w:sz w:val="22"/>
          <w:szCs w:val="22"/>
          <w:lang w:val="en-IN" w:eastAsia="en-IN"/>
        </w:rPr>
        <w:t xml:space="preserve"> (X</w:t>
      </w:r>
      <w:r w:rsidRPr="007A63BD">
        <w:rPr>
          <w:rFonts w:eastAsiaTheme="minorEastAsia"/>
          <w:i/>
          <w:iCs/>
          <w:sz w:val="22"/>
          <w:szCs w:val="22"/>
          <w:vertAlign w:val="subscript"/>
          <w:lang w:val="en-IN" w:eastAsia="en-IN"/>
        </w:rPr>
        <w:t>16</w:t>
      </w:r>
      <w:r w:rsidRPr="008669E0">
        <w:rPr>
          <w:rFonts w:eastAsiaTheme="minorEastAsia"/>
          <w:i/>
          <w:iCs/>
          <w:sz w:val="22"/>
          <w:szCs w:val="22"/>
          <w:lang w:val="en-IN" w:eastAsia="en-IN"/>
        </w:rPr>
        <w:t>)</w:t>
      </w:r>
      <w:r w:rsidRPr="008669E0">
        <w:rPr>
          <w:rFonts w:eastAsiaTheme="minorEastAsia"/>
          <w:sz w:val="22"/>
          <w:szCs w:val="22"/>
          <w:lang w:val="en-IN" w:eastAsia="en-IN"/>
        </w:rPr>
        <w:t xml:space="preserve"> and </w:t>
      </w:r>
      <w:r w:rsidRPr="008669E0">
        <w:rPr>
          <w:rFonts w:eastAsiaTheme="minorEastAsia"/>
          <w:iCs/>
          <w:sz w:val="22"/>
          <w:szCs w:val="22"/>
          <w:lang w:val="en-IN" w:eastAsia="en-IN"/>
        </w:rPr>
        <w:t>economic motivation</w:t>
      </w:r>
      <w:r w:rsidRPr="008669E0">
        <w:rPr>
          <w:rFonts w:eastAsiaTheme="minorEastAsia"/>
          <w:i/>
          <w:iCs/>
          <w:sz w:val="22"/>
          <w:szCs w:val="22"/>
          <w:lang w:val="en-IN" w:eastAsia="en-IN"/>
        </w:rPr>
        <w:t xml:space="preserve"> (X</w:t>
      </w:r>
      <w:r w:rsidRPr="007A63BD">
        <w:rPr>
          <w:rFonts w:eastAsiaTheme="minorEastAsia"/>
          <w:i/>
          <w:iCs/>
          <w:sz w:val="22"/>
          <w:szCs w:val="22"/>
          <w:vertAlign w:val="subscript"/>
          <w:lang w:val="en-IN" w:eastAsia="en-IN"/>
        </w:rPr>
        <w:t>12</w:t>
      </w:r>
      <w:r w:rsidRPr="008669E0">
        <w:rPr>
          <w:rFonts w:eastAsiaTheme="minorEastAsia"/>
          <w:i/>
          <w:iCs/>
          <w:sz w:val="22"/>
          <w:szCs w:val="22"/>
          <w:lang w:val="en-IN" w:eastAsia="en-IN"/>
        </w:rPr>
        <w:t>)</w:t>
      </w:r>
      <w:r w:rsidRPr="008669E0">
        <w:rPr>
          <w:rFonts w:eastAsiaTheme="minorEastAsia"/>
          <w:sz w:val="22"/>
          <w:szCs w:val="22"/>
          <w:lang w:val="en-IN" w:eastAsia="en-IN"/>
        </w:rPr>
        <w:t xml:space="preserve"> both show statistically significant </w:t>
      </w:r>
      <w:r w:rsidRPr="008669E0">
        <w:rPr>
          <w:rFonts w:eastAsiaTheme="minorEastAsia"/>
          <w:sz w:val="22"/>
          <w:szCs w:val="22"/>
          <w:lang w:val="en-IN" w:eastAsia="en-IN"/>
        </w:rPr>
        <w:lastRenderedPageBreak/>
        <w:t xml:space="preserve">positive relationships, implying that individuals who are inherently more engaged and future-oriented tend to leverage opportunities for advancement. Similar findings have been reported in behavioural agricultural economics, where motivation and participation attitudes significantly affect adoption behaviour and investment decisions (Dessart </w:t>
      </w:r>
      <w:r w:rsidRPr="008669E0">
        <w:rPr>
          <w:rFonts w:eastAsiaTheme="minorEastAsia"/>
          <w:i/>
          <w:sz w:val="22"/>
          <w:szCs w:val="22"/>
          <w:lang w:val="en-IN" w:eastAsia="en-IN"/>
        </w:rPr>
        <w:t>et al.,</w:t>
      </w:r>
      <w:r w:rsidRPr="008669E0">
        <w:rPr>
          <w:rFonts w:eastAsiaTheme="minorEastAsia"/>
          <w:sz w:val="22"/>
          <w:szCs w:val="22"/>
          <w:lang w:val="en-IN" w:eastAsia="en-IN"/>
        </w:rPr>
        <w:t xml:space="preserve"> 2019). The relevance of </w:t>
      </w:r>
      <w:r w:rsidRPr="008669E0">
        <w:rPr>
          <w:rFonts w:eastAsiaTheme="minorEastAsia"/>
          <w:iCs/>
          <w:sz w:val="22"/>
          <w:szCs w:val="22"/>
          <w:lang w:val="en-IN" w:eastAsia="en-IN"/>
        </w:rPr>
        <w:t>family type</w:t>
      </w:r>
      <w:r w:rsidRPr="008669E0">
        <w:rPr>
          <w:rFonts w:eastAsiaTheme="minorEastAsia"/>
          <w:i/>
          <w:iCs/>
          <w:sz w:val="22"/>
          <w:szCs w:val="22"/>
          <w:lang w:val="en-IN" w:eastAsia="en-IN"/>
        </w:rPr>
        <w:t xml:space="preserve"> (X5)</w:t>
      </w:r>
      <w:r w:rsidRPr="008669E0">
        <w:rPr>
          <w:rFonts w:eastAsiaTheme="minorEastAsia"/>
          <w:sz w:val="22"/>
          <w:szCs w:val="22"/>
          <w:lang w:val="en-IN" w:eastAsia="en-IN"/>
        </w:rPr>
        <w:t xml:space="preserve"> also aligns with sociological scholarship suggesting that joint or extended families may provide additional labour, shared responsibilities, and risk-buffering mechanisms (Desai </w:t>
      </w:r>
      <w:r w:rsidR="00C850EA" w:rsidRPr="008669E0">
        <w:rPr>
          <w:rFonts w:eastAsiaTheme="minorEastAsia"/>
          <w:sz w:val="22"/>
          <w:szCs w:val="22"/>
          <w:lang w:val="en-IN" w:eastAsia="en-IN"/>
        </w:rPr>
        <w:t>and</w:t>
      </w:r>
      <w:r w:rsidRPr="008669E0">
        <w:rPr>
          <w:rFonts w:eastAsiaTheme="minorEastAsia"/>
          <w:sz w:val="22"/>
          <w:szCs w:val="22"/>
          <w:lang w:val="en-IN" w:eastAsia="en-IN"/>
        </w:rPr>
        <w:t xml:space="preserve"> Vanneman, 2015).</w:t>
      </w:r>
    </w:p>
    <w:p w:rsidR="008669E0" w:rsidRPr="008669E0" w:rsidRDefault="002611A7" w:rsidP="002611A7">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The softer personality traits</w:t>
      </w:r>
      <w:r w:rsidRPr="008669E0">
        <w:rPr>
          <w:rFonts w:eastAsiaTheme="minorEastAsia"/>
          <w:iCs/>
          <w:sz w:val="22"/>
          <w:szCs w:val="22"/>
          <w:lang w:val="en-IN" w:eastAsia="en-IN"/>
        </w:rPr>
        <w:t>self-reliance</w:t>
      </w:r>
      <w:r w:rsidRPr="008669E0">
        <w:rPr>
          <w:rFonts w:eastAsiaTheme="minorEastAsia"/>
          <w:i/>
          <w:iCs/>
          <w:sz w:val="22"/>
          <w:szCs w:val="22"/>
          <w:lang w:val="en-IN" w:eastAsia="en-IN"/>
        </w:rPr>
        <w:t xml:space="preserve"> (X</w:t>
      </w:r>
      <w:r w:rsidRPr="007A63BD">
        <w:rPr>
          <w:rFonts w:eastAsiaTheme="minorEastAsia"/>
          <w:i/>
          <w:iCs/>
          <w:sz w:val="22"/>
          <w:szCs w:val="22"/>
          <w:vertAlign w:val="subscript"/>
          <w:lang w:val="en-IN" w:eastAsia="en-IN"/>
        </w:rPr>
        <w:t>15</w:t>
      </w:r>
      <w:r w:rsidRPr="008669E0">
        <w:rPr>
          <w:rFonts w:eastAsiaTheme="minorEastAsia"/>
          <w:i/>
          <w:iCs/>
          <w:sz w:val="22"/>
          <w:szCs w:val="22"/>
          <w:lang w:val="en-IN" w:eastAsia="en-IN"/>
        </w:rPr>
        <w:t>)</w:t>
      </w:r>
      <w:r w:rsidRPr="008669E0">
        <w:rPr>
          <w:rFonts w:eastAsiaTheme="minorEastAsia"/>
          <w:sz w:val="22"/>
          <w:szCs w:val="22"/>
          <w:lang w:val="en-IN" w:eastAsia="en-IN"/>
        </w:rPr>
        <w:t xml:space="preserve"> and </w:t>
      </w:r>
      <w:r w:rsidRPr="008669E0">
        <w:rPr>
          <w:rFonts w:eastAsiaTheme="minorEastAsia"/>
          <w:iCs/>
          <w:sz w:val="22"/>
          <w:szCs w:val="22"/>
          <w:lang w:val="en-IN" w:eastAsia="en-IN"/>
        </w:rPr>
        <w:t>self-confidence</w:t>
      </w:r>
      <w:r w:rsidRPr="008669E0">
        <w:rPr>
          <w:rFonts w:eastAsiaTheme="minorEastAsia"/>
          <w:i/>
          <w:iCs/>
          <w:sz w:val="22"/>
          <w:szCs w:val="22"/>
          <w:lang w:val="en-IN" w:eastAsia="en-IN"/>
        </w:rPr>
        <w:t xml:space="preserve"> (X</w:t>
      </w:r>
      <w:r w:rsidRPr="007A63BD">
        <w:rPr>
          <w:rFonts w:eastAsiaTheme="minorEastAsia"/>
          <w:i/>
          <w:iCs/>
          <w:sz w:val="22"/>
          <w:szCs w:val="22"/>
          <w:vertAlign w:val="subscript"/>
          <w:lang w:val="en-IN" w:eastAsia="en-IN"/>
        </w:rPr>
        <w:t>14</w:t>
      </w:r>
      <w:r w:rsidRPr="008669E0">
        <w:rPr>
          <w:rFonts w:eastAsiaTheme="minorEastAsia"/>
          <w:i/>
          <w:iCs/>
          <w:sz w:val="22"/>
          <w:szCs w:val="22"/>
          <w:lang w:val="en-IN" w:eastAsia="en-IN"/>
        </w:rPr>
        <w:t>)</w:t>
      </w:r>
      <w:r w:rsidR="007A63BD">
        <w:rPr>
          <w:rFonts w:eastAsiaTheme="minorEastAsia"/>
          <w:i/>
          <w:iCs/>
          <w:sz w:val="22"/>
          <w:szCs w:val="22"/>
          <w:lang w:val="en-IN" w:eastAsia="en-IN"/>
        </w:rPr>
        <w:t xml:space="preserve"> </w:t>
      </w:r>
      <w:r w:rsidRPr="008669E0">
        <w:rPr>
          <w:rFonts w:eastAsiaTheme="minorEastAsia"/>
          <w:sz w:val="22"/>
          <w:szCs w:val="22"/>
          <w:lang w:val="en-IN" w:eastAsia="en-IN"/>
        </w:rPr>
        <w:t xml:space="preserve">though weaker in magnitude, remain important predictors. Their positive coefficients indicate that households displaying stronger internal locus of control and confidence are more likely to engage in productive activities and interact with institutional mechanisms. Prior studies have shown that psychological capital influences livelihood outcomes, especially among marginalised communities where external constraints are often high and aspirational capacities remain underdeveloped (Luthans </w:t>
      </w:r>
      <w:r w:rsidRPr="008669E0">
        <w:rPr>
          <w:rFonts w:eastAsiaTheme="minorEastAsia"/>
          <w:i/>
          <w:sz w:val="22"/>
          <w:szCs w:val="22"/>
          <w:lang w:val="en-IN" w:eastAsia="en-IN"/>
        </w:rPr>
        <w:t>et al.,</w:t>
      </w:r>
      <w:r w:rsidRPr="008669E0">
        <w:rPr>
          <w:rFonts w:eastAsiaTheme="minorEastAsia"/>
          <w:sz w:val="22"/>
          <w:szCs w:val="22"/>
          <w:lang w:val="en-IN" w:eastAsia="en-IN"/>
        </w:rPr>
        <w:t xml:space="preserve"> 2007; Bernard </w:t>
      </w:r>
      <w:r w:rsidR="00C850EA" w:rsidRPr="008669E0">
        <w:rPr>
          <w:rFonts w:eastAsiaTheme="minorEastAsia"/>
          <w:sz w:val="22"/>
          <w:szCs w:val="22"/>
          <w:lang w:val="en-IN" w:eastAsia="en-IN"/>
        </w:rPr>
        <w:t xml:space="preserve">and </w:t>
      </w:r>
      <w:r w:rsidRPr="008669E0">
        <w:rPr>
          <w:rFonts w:eastAsiaTheme="minorEastAsia"/>
          <w:sz w:val="22"/>
          <w:szCs w:val="22"/>
          <w:lang w:val="en-IN" w:eastAsia="en-IN"/>
        </w:rPr>
        <w:t>Taffesse, 2014).</w:t>
      </w:r>
    </w:p>
    <w:p w:rsidR="008669E0" w:rsidRPr="008669E0" w:rsidRDefault="008669E0">
      <w:pPr>
        <w:rPr>
          <w:rFonts w:ascii="Times New Roman" w:hAnsi="Times New Roman" w:cs="Times New Roman"/>
          <w:lang w:val="en-IN" w:eastAsia="en-IN"/>
        </w:rPr>
      </w:pPr>
      <w:r w:rsidRPr="008669E0">
        <w:rPr>
          <w:rFonts w:ascii="Times New Roman" w:hAnsi="Times New Roman" w:cs="Times New Roman"/>
          <w:lang w:val="en-IN" w:eastAsia="en-IN"/>
        </w:rPr>
        <w:br w:type="page"/>
      </w:r>
    </w:p>
    <w:p w:rsidR="008669E0" w:rsidRPr="008669E0" w:rsidRDefault="008D3494" w:rsidP="008669E0">
      <w:pPr>
        <w:keepLines/>
        <w:spacing w:after="0" w:line="240" w:lineRule="auto"/>
        <w:rPr>
          <w:rFonts w:ascii="Times New Roman" w:hAnsi="Times New Roman" w:cs="Times New Roman"/>
          <w:b/>
          <w:lang w:val="en-IN" w:eastAsia="en-IN"/>
        </w:rPr>
      </w:pPr>
      <w:r w:rsidRPr="008669E0">
        <w:rPr>
          <w:rFonts w:ascii="Times New Roman" w:hAnsi="Times New Roman" w:cs="Times New Roman"/>
          <w:b/>
          <w:lang w:val="en-IN" w:eastAsia="en-IN"/>
        </w:rPr>
        <w:lastRenderedPageBreak/>
        <w:t>Table1</w:t>
      </w:r>
      <w:r w:rsidR="00EF1B66" w:rsidRPr="008669E0">
        <w:rPr>
          <w:rFonts w:ascii="Times New Roman" w:hAnsi="Times New Roman" w:cs="Times New Roman"/>
          <w:b/>
          <w:lang w:val="en-IN" w:eastAsia="en-IN"/>
        </w:rPr>
        <w:t>:</w:t>
      </w:r>
      <w:r w:rsidR="008669E0" w:rsidRPr="008669E0">
        <w:rPr>
          <w:rFonts w:ascii="Times New Roman" w:hAnsi="Times New Roman" w:cs="Times New Roman"/>
          <w:b/>
          <w:lang w:val="en-IN" w:eastAsia="en-IN"/>
        </w:rPr>
        <w:t xml:space="preserve"> Factors influencing the </w:t>
      </w:r>
      <w:r w:rsidR="00EF1B66" w:rsidRPr="008669E0">
        <w:rPr>
          <w:rFonts w:ascii="Times New Roman" w:hAnsi="Times New Roman" w:cs="Times New Roman"/>
          <w:b/>
          <w:lang w:val="en-IN" w:eastAsia="en-IN"/>
        </w:rPr>
        <w:t>farm women empowerment</w:t>
      </w:r>
      <w:r w:rsidR="008669E0" w:rsidRPr="008669E0">
        <w:rPr>
          <w:rFonts w:ascii="Times New Roman" w:hAnsi="Times New Roman" w:cs="Times New Roman"/>
          <w:b/>
          <w:lang w:val="en-IN" w:eastAsia="en-IN"/>
        </w:rPr>
        <w:t xml:space="preserve"> in the study region</w:t>
      </w:r>
    </w:p>
    <w:p w:rsidR="001A3E28" w:rsidRPr="008669E0" w:rsidRDefault="001A3E28" w:rsidP="008669E0">
      <w:pPr>
        <w:keepLines/>
        <w:spacing w:after="0" w:line="240" w:lineRule="auto"/>
        <w:jc w:val="right"/>
        <w:rPr>
          <w:rFonts w:ascii="Times New Roman" w:hAnsi="Times New Roman" w:cs="Times New Roman"/>
          <w:lang w:val="en-IN" w:eastAsia="en-IN"/>
        </w:rPr>
      </w:pPr>
      <w:r w:rsidRPr="008669E0">
        <w:rPr>
          <w:rFonts w:ascii="Times New Roman" w:hAnsi="Times New Roman" w:cs="Times New Roman"/>
          <w:lang w:val="en-IN" w:eastAsia="en-IN"/>
        </w:rPr>
        <w:t>(n=180)</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0"/>
        <w:gridCol w:w="3557"/>
        <w:gridCol w:w="1100"/>
        <w:gridCol w:w="821"/>
        <w:gridCol w:w="2559"/>
      </w:tblGrid>
      <w:tr w:rsidR="00EF1B66" w:rsidRPr="008669E0" w:rsidTr="000C1CFB">
        <w:trPr>
          <w:jc w:val="center"/>
        </w:trPr>
        <w:tc>
          <w:tcPr>
            <w:tcW w:w="1093" w:type="dxa"/>
            <w:vAlign w:val="center"/>
          </w:tcPr>
          <w:p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Step number</w:t>
            </w:r>
          </w:p>
        </w:tc>
        <w:tc>
          <w:tcPr>
            <w:tcW w:w="3568" w:type="dxa"/>
            <w:vAlign w:val="center"/>
          </w:tcPr>
          <w:p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Factors entering regression</w:t>
            </w:r>
          </w:p>
        </w:tc>
        <w:tc>
          <w:tcPr>
            <w:tcW w:w="1106" w:type="dxa"/>
            <w:vAlign w:val="center"/>
          </w:tcPr>
          <w:p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df</w:t>
            </w:r>
          </w:p>
        </w:tc>
        <w:tc>
          <w:tcPr>
            <w:tcW w:w="780" w:type="dxa"/>
            <w:vAlign w:val="center"/>
          </w:tcPr>
          <w:p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‘F’ value</w:t>
            </w:r>
          </w:p>
        </w:tc>
        <w:tc>
          <w:tcPr>
            <w:tcW w:w="2580" w:type="dxa"/>
            <w:vAlign w:val="center"/>
          </w:tcPr>
          <w:p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Percentage of variation explained by regression</w:t>
            </w:r>
          </w:p>
        </w:tc>
      </w:tr>
      <w:tr w:rsidR="00EF1B66" w:rsidRPr="008669E0" w:rsidTr="000C1CFB">
        <w:trPr>
          <w:jc w:val="center"/>
        </w:trPr>
        <w:tc>
          <w:tcPr>
            <w:tcW w:w="1093"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w:t>
            </w:r>
          </w:p>
        </w:tc>
        <w:tc>
          <w:tcPr>
            <w:tcW w:w="3568" w:type="dxa"/>
          </w:tcPr>
          <w:p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p>
        </w:tc>
        <w:tc>
          <w:tcPr>
            <w:tcW w:w="1106"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1, 178</w:t>
            </w:r>
          </w:p>
        </w:tc>
        <w:tc>
          <w:tcPr>
            <w:tcW w:w="7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263.91</w:t>
            </w:r>
          </w:p>
        </w:tc>
        <w:tc>
          <w:tcPr>
            <w:tcW w:w="25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59.72</w:t>
            </w:r>
          </w:p>
        </w:tc>
      </w:tr>
      <w:tr w:rsidR="00EF1B66" w:rsidRPr="008669E0" w:rsidTr="000C1CFB">
        <w:trPr>
          <w:jc w:val="center"/>
        </w:trPr>
        <w:tc>
          <w:tcPr>
            <w:tcW w:w="1093"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w:t>
            </w:r>
          </w:p>
        </w:tc>
        <w:tc>
          <w:tcPr>
            <w:tcW w:w="3568" w:type="dxa"/>
          </w:tcPr>
          <w:p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19</w:t>
            </w:r>
          </w:p>
        </w:tc>
        <w:tc>
          <w:tcPr>
            <w:tcW w:w="1106"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2, 177</w:t>
            </w:r>
          </w:p>
        </w:tc>
        <w:tc>
          <w:tcPr>
            <w:tcW w:w="7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22.51</w:t>
            </w:r>
          </w:p>
        </w:tc>
        <w:tc>
          <w:tcPr>
            <w:tcW w:w="25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64.26</w:t>
            </w:r>
          </w:p>
        </w:tc>
      </w:tr>
      <w:tr w:rsidR="00EF1B66" w:rsidRPr="008669E0" w:rsidTr="000C1CFB">
        <w:trPr>
          <w:jc w:val="center"/>
        </w:trPr>
        <w:tc>
          <w:tcPr>
            <w:tcW w:w="1093"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3</w:t>
            </w:r>
          </w:p>
        </w:tc>
        <w:tc>
          <w:tcPr>
            <w:tcW w:w="3568" w:type="dxa"/>
          </w:tcPr>
          <w:p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p>
        </w:tc>
        <w:tc>
          <w:tcPr>
            <w:tcW w:w="1106"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3,176</w:t>
            </w:r>
          </w:p>
        </w:tc>
        <w:tc>
          <w:tcPr>
            <w:tcW w:w="7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16.54</w:t>
            </w:r>
          </w:p>
        </w:tc>
        <w:tc>
          <w:tcPr>
            <w:tcW w:w="25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67.33</w:t>
            </w:r>
          </w:p>
        </w:tc>
      </w:tr>
      <w:tr w:rsidR="00EF1B66" w:rsidRPr="008669E0" w:rsidTr="000C1CFB">
        <w:trPr>
          <w:jc w:val="center"/>
        </w:trPr>
        <w:tc>
          <w:tcPr>
            <w:tcW w:w="1093"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4</w:t>
            </w:r>
          </w:p>
        </w:tc>
        <w:tc>
          <w:tcPr>
            <w:tcW w:w="3568" w:type="dxa"/>
          </w:tcPr>
          <w:p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16</w:t>
            </w:r>
          </w:p>
        </w:tc>
        <w:tc>
          <w:tcPr>
            <w:tcW w:w="1106"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4,175</w:t>
            </w:r>
          </w:p>
        </w:tc>
        <w:tc>
          <w:tcPr>
            <w:tcW w:w="7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5.45</w:t>
            </w:r>
          </w:p>
        </w:tc>
        <w:tc>
          <w:tcPr>
            <w:tcW w:w="25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68.32</w:t>
            </w:r>
          </w:p>
        </w:tc>
      </w:tr>
      <w:tr w:rsidR="00EF1B66" w:rsidRPr="008669E0" w:rsidTr="000C1CFB">
        <w:trPr>
          <w:jc w:val="center"/>
        </w:trPr>
        <w:tc>
          <w:tcPr>
            <w:tcW w:w="1093"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5</w:t>
            </w:r>
          </w:p>
        </w:tc>
        <w:tc>
          <w:tcPr>
            <w:tcW w:w="3568" w:type="dxa"/>
          </w:tcPr>
          <w:p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16</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12</w:t>
            </w:r>
          </w:p>
        </w:tc>
        <w:tc>
          <w:tcPr>
            <w:tcW w:w="1106"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5,174</w:t>
            </w:r>
          </w:p>
        </w:tc>
        <w:tc>
          <w:tcPr>
            <w:tcW w:w="7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5.50</w:t>
            </w:r>
          </w:p>
        </w:tc>
        <w:tc>
          <w:tcPr>
            <w:tcW w:w="25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69.29</w:t>
            </w:r>
          </w:p>
        </w:tc>
      </w:tr>
      <w:tr w:rsidR="00EF1B66" w:rsidRPr="008669E0" w:rsidTr="000C1CFB">
        <w:trPr>
          <w:jc w:val="center"/>
        </w:trPr>
        <w:tc>
          <w:tcPr>
            <w:tcW w:w="1093"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w:t>
            </w:r>
          </w:p>
        </w:tc>
        <w:tc>
          <w:tcPr>
            <w:tcW w:w="3568" w:type="dxa"/>
          </w:tcPr>
          <w:p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16</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12</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5</w:t>
            </w:r>
          </w:p>
        </w:tc>
        <w:tc>
          <w:tcPr>
            <w:tcW w:w="1106"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6,173</w:t>
            </w:r>
          </w:p>
        </w:tc>
        <w:tc>
          <w:tcPr>
            <w:tcW w:w="7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4.26</w:t>
            </w:r>
          </w:p>
        </w:tc>
        <w:tc>
          <w:tcPr>
            <w:tcW w:w="25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70.03</w:t>
            </w:r>
          </w:p>
        </w:tc>
      </w:tr>
      <w:tr w:rsidR="00EF1B66" w:rsidRPr="008669E0" w:rsidTr="000C1CFB">
        <w:trPr>
          <w:jc w:val="center"/>
        </w:trPr>
        <w:tc>
          <w:tcPr>
            <w:tcW w:w="1093"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7</w:t>
            </w:r>
          </w:p>
        </w:tc>
        <w:tc>
          <w:tcPr>
            <w:tcW w:w="3568" w:type="dxa"/>
          </w:tcPr>
          <w:p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16</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12</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5</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15</w:t>
            </w:r>
          </w:p>
        </w:tc>
        <w:tc>
          <w:tcPr>
            <w:tcW w:w="1106"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7,172</w:t>
            </w:r>
          </w:p>
        </w:tc>
        <w:tc>
          <w:tcPr>
            <w:tcW w:w="7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3.84</w:t>
            </w:r>
          </w:p>
        </w:tc>
        <w:tc>
          <w:tcPr>
            <w:tcW w:w="25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70.68</w:t>
            </w:r>
          </w:p>
        </w:tc>
      </w:tr>
      <w:tr w:rsidR="00EF1B66" w:rsidRPr="008669E0" w:rsidTr="000C1CFB">
        <w:trPr>
          <w:jc w:val="center"/>
        </w:trPr>
        <w:tc>
          <w:tcPr>
            <w:tcW w:w="1093"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8</w:t>
            </w:r>
          </w:p>
        </w:tc>
        <w:tc>
          <w:tcPr>
            <w:tcW w:w="3568" w:type="dxa"/>
          </w:tcPr>
          <w:p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17</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19</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4</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16</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12</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5</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15</w:t>
            </w:r>
            <w:r w:rsidRPr="008669E0">
              <w:rPr>
                <w:rFonts w:ascii="Times New Roman" w:hAnsi="Times New Roman" w:cs="Times New Roman"/>
                <w:lang w:val="en-IN" w:eastAsia="en-IN"/>
              </w:rPr>
              <w:t>,X</w:t>
            </w:r>
            <w:r w:rsidRPr="008669E0">
              <w:rPr>
                <w:rFonts w:ascii="Times New Roman" w:hAnsi="Times New Roman" w:cs="Times New Roman"/>
                <w:vertAlign w:val="subscript"/>
                <w:lang w:val="en-IN" w:eastAsia="en-IN"/>
              </w:rPr>
              <w:t>14</w:t>
            </w:r>
          </w:p>
        </w:tc>
        <w:tc>
          <w:tcPr>
            <w:tcW w:w="1106"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8,171</w:t>
            </w:r>
          </w:p>
        </w:tc>
        <w:tc>
          <w:tcPr>
            <w:tcW w:w="7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2.95</w:t>
            </w:r>
          </w:p>
        </w:tc>
        <w:tc>
          <w:tcPr>
            <w:tcW w:w="25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71.18</w:t>
            </w:r>
          </w:p>
        </w:tc>
      </w:tr>
    </w:tbl>
    <w:p w:rsidR="00C850EA" w:rsidRPr="008669E0" w:rsidRDefault="00C850EA" w:rsidP="00EF1B66">
      <w:pPr>
        <w:spacing w:line="360" w:lineRule="auto"/>
        <w:ind w:left="1260" w:hanging="1260"/>
        <w:jc w:val="both"/>
        <w:rPr>
          <w:rFonts w:ascii="Times New Roman" w:hAnsi="Times New Roman" w:cs="Times New Roman"/>
          <w:b/>
          <w:lang w:val="en-IN" w:eastAsia="en-IN"/>
        </w:rPr>
      </w:pPr>
    </w:p>
    <w:p w:rsidR="00EF1B66" w:rsidRPr="008669E0" w:rsidRDefault="008D3494" w:rsidP="00DD270A">
      <w:pPr>
        <w:spacing w:after="0" w:line="240" w:lineRule="auto"/>
        <w:ind w:left="1259" w:hanging="1259"/>
        <w:jc w:val="both"/>
        <w:rPr>
          <w:rFonts w:ascii="Times New Roman" w:hAnsi="Times New Roman" w:cs="Times New Roman"/>
          <w:lang w:val="en-IN" w:eastAsia="en-IN"/>
        </w:rPr>
      </w:pPr>
      <w:r w:rsidRPr="008669E0">
        <w:rPr>
          <w:rFonts w:ascii="Times New Roman" w:hAnsi="Times New Roman" w:cs="Times New Roman"/>
          <w:b/>
          <w:lang w:val="en-IN" w:eastAsia="en-IN"/>
        </w:rPr>
        <w:t>Table-2</w:t>
      </w:r>
      <w:r w:rsidR="00EF1B66" w:rsidRPr="008669E0">
        <w:rPr>
          <w:rFonts w:ascii="Times New Roman" w:hAnsi="Times New Roman" w:cs="Times New Roman"/>
          <w:b/>
          <w:lang w:val="en-IN" w:eastAsia="en-IN"/>
        </w:rPr>
        <w:t>:</w:t>
      </w:r>
      <w:r w:rsidR="00EF1B66" w:rsidRPr="008669E0">
        <w:rPr>
          <w:rFonts w:ascii="Times New Roman" w:hAnsi="Times New Roman" w:cs="Times New Roman"/>
          <w:b/>
          <w:lang w:val="en-IN" w:eastAsia="en-IN"/>
        </w:rPr>
        <w:tab/>
      </w:r>
      <w:r w:rsidR="008669E0" w:rsidRPr="008669E0">
        <w:rPr>
          <w:rFonts w:ascii="Times New Roman" w:hAnsi="Times New Roman" w:cs="Times New Roman"/>
          <w:b/>
          <w:lang w:val="en-IN" w:eastAsia="en-IN"/>
        </w:rPr>
        <w:t>F</w:t>
      </w:r>
      <w:r w:rsidR="00EF1B66" w:rsidRPr="008669E0">
        <w:rPr>
          <w:rFonts w:ascii="Times New Roman" w:hAnsi="Times New Roman" w:cs="Times New Roman"/>
          <w:b/>
          <w:lang w:val="en-IN" w:eastAsia="en-IN"/>
        </w:rPr>
        <w:t xml:space="preserve">inal </w:t>
      </w:r>
      <w:r w:rsidR="008669E0" w:rsidRPr="008669E0">
        <w:rPr>
          <w:rFonts w:ascii="Times New Roman" w:hAnsi="Times New Roman" w:cs="Times New Roman"/>
          <w:b/>
          <w:lang w:val="en-IN" w:eastAsia="en-IN"/>
        </w:rPr>
        <w:t xml:space="preserve">regression model of </w:t>
      </w:r>
      <w:r w:rsidR="00EF1B66" w:rsidRPr="008669E0">
        <w:rPr>
          <w:rFonts w:ascii="Times New Roman" w:hAnsi="Times New Roman" w:cs="Times New Roman"/>
          <w:b/>
          <w:lang w:val="en-IN" w:eastAsia="en-IN"/>
        </w:rPr>
        <w:t xml:space="preserve">significant variables </w:t>
      </w:r>
      <w:r w:rsidR="008669E0" w:rsidRPr="008669E0">
        <w:rPr>
          <w:rFonts w:ascii="Times New Roman" w:hAnsi="Times New Roman" w:cs="Times New Roman"/>
          <w:b/>
          <w:lang w:val="en-IN" w:eastAsia="en-IN"/>
        </w:rPr>
        <w:t>of</w:t>
      </w:r>
      <w:r w:rsidR="00EF1B66" w:rsidRPr="008669E0">
        <w:rPr>
          <w:rFonts w:ascii="Times New Roman" w:hAnsi="Times New Roman" w:cs="Times New Roman"/>
          <w:b/>
          <w:lang w:val="en-IN" w:eastAsia="en-IN"/>
        </w:rPr>
        <w:t xml:space="preserve"> farm women empowerment</w:t>
      </w:r>
      <w:r w:rsidR="008669E0" w:rsidRPr="008669E0">
        <w:rPr>
          <w:rFonts w:ascii="Times New Roman" w:hAnsi="Times New Roman" w:cs="Times New Roman"/>
          <w:b/>
          <w:lang w:val="en-IN" w:eastAsia="en-IN"/>
        </w:rPr>
        <w:t xml:space="preserve"> in the study region                                           </w:t>
      </w:r>
      <w:r w:rsidR="00EF1B66" w:rsidRPr="008669E0">
        <w:rPr>
          <w:rFonts w:ascii="Times New Roman" w:hAnsi="Times New Roman" w:cs="Times New Roman"/>
          <w:lang w:val="en-IN" w:eastAsia="en-IN"/>
        </w:rPr>
        <w:t>(n=180)</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2871"/>
        <w:gridCol w:w="1580"/>
        <w:gridCol w:w="2060"/>
        <w:gridCol w:w="1096"/>
      </w:tblGrid>
      <w:tr w:rsidR="00EF1B66" w:rsidRPr="008669E0" w:rsidTr="002000D6">
        <w:trPr>
          <w:cantSplit/>
          <w:jc w:val="center"/>
        </w:trPr>
        <w:tc>
          <w:tcPr>
            <w:tcW w:w="1230" w:type="dxa"/>
          </w:tcPr>
          <w:p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Variable number</w:t>
            </w:r>
          </w:p>
        </w:tc>
        <w:tc>
          <w:tcPr>
            <w:tcW w:w="2871" w:type="dxa"/>
          </w:tcPr>
          <w:p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 xml:space="preserve">Factor </w:t>
            </w:r>
          </w:p>
        </w:tc>
        <w:tc>
          <w:tcPr>
            <w:tcW w:w="1580" w:type="dxa"/>
          </w:tcPr>
          <w:p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Regression coefficient</w:t>
            </w:r>
          </w:p>
        </w:tc>
        <w:tc>
          <w:tcPr>
            <w:tcW w:w="2060" w:type="dxa"/>
          </w:tcPr>
          <w:p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Standard error of Regression coefficient</w:t>
            </w:r>
          </w:p>
        </w:tc>
        <w:tc>
          <w:tcPr>
            <w:tcW w:w="1096" w:type="dxa"/>
          </w:tcPr>
          <w:p w:rsidR="00EF1B66" w:rsidRPr="008669E0" w:rsidRDefault="00EF1B66" w:rsidP="002000D6">
            <w:pPr>
              <w:spacing w:before="120" w:after="120"/>
              <w:jc w:val="center"/>
              <w:rPr>
                <w:rFonts w:ascii="Times New Roman" w:hAnsi="Times New Roman" w:cs="Times New Roman"/>
                <w:b/>
                <w:lang w:val="en-IN" w:eastAsia="en-IN"/>
              </w:rPr>
            </w:pPr>
            <w:r w:rsidRPr="008669E0">
              <w:rPr>
                <w:rFonts w:ascii="Times New Roman" w:hAnsi="Times New Roman" w:cs="Times New Roman"/>
                <w:b/>
                <w:lang w:val="en-IN" w:eastAsia="en-IN"/>
              </w:rPr>
              <w:t>‘t’ value</w:t>
            </w:r>
          </w:p>
        </w:tc>
      </w:tr>
      <w:tr w:rsidR="00EF1B66" w:rsidRPr="008669E0" w:rsidTr="002000D6">
        <w:trPr>
          <w:cantSplit/>
          <w:jc w:val="center"/>
        </w:trPr>
        <w:tc>
          <w:tcPr>
            <w:tcW w:w="123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X17</w:t>
            </w:r>
          </w:p>
        </w:tc>
        <w:tc>
          <w:tcPr>
            <w:tcW w:w="2871" w:type="dxa"/>
          </w:tcPr>
          <w:p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Participation in trainings</w:t>
            </w:r>
          </w:p>
        </w:tc>
        <w:tc>
          <w:tcPr>
            <w:tcW w:w="15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2.4440</w:t>
            </w:r>
          </w:p>
        </w:tc>
        <w:tc>
          <w:tcPr>
            <w:tcW w:w="206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0.1504</w:t>
            </w:r>
          </w:p>
        </w:tc>
        <w:tc>
          <w:tcPr>
            <w:tcW w:w="1096"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16.25</w:t>
            </w:r>
          </w:p>
        </w:tc>
      </w:tr>
      <w:tr w:rsidR="00EF1B66" w:rsidRPr="008669E0" w:rsidTr="002000D6">
        <w:trPr>
          <w:cantSplit/>
          <w:jc w:val="center"/>
        </w:trPr>
        <w:tc>
          <w:tcPr>
            <w:tcW w:w="123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X19</w:t>
            </w:r>
          </w:p>
        </w:tc>
        <w:tc>
          <w:tcPr>
            <w:tcW w:w="2871" w:type="dxa"/>
          </w:tcPr>
          <w:p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Contact with extension agency</w:t>
            </w:r>
          </w:p>
        </w:tc>
        <w:tc>
          <w:tcPr>
            <w:tcW w:w="15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0.4463</w:t>
            </w:r>
          </w:p>
        </w:tc>
        <w:tc>
          <w:tcPr>
            <w:tcW w:w="206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0.0940</w:t>
            </w:r>
          </w:p>
        </w:tc>
        <w:tc>
          <w:tcPr>
            <w:tcW w:w="1096"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4.7478</w:t>
            </w:r>
          </w:p>
        </w:tc>
      </w:tr>
      <w:tr w:rsidR="00EF1B66" w:rsidRPr="008669E0" w:rsidTr="002000D6">
        <w:trPr>
          <w:cantSplit/>
          <w:jc w:val="center"/>
        </w:trPr>
        <w:tc>
          <w:tcPr>
            <w:tcW w:w="123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X4</w:t>
            </w:r>
          </w:p>
        </w:tc>
        <w:tc>
          <w:tcPr>
            <w:tcW w:w="2871" w:type="dxa"/>
          </w:tcPr>
          <w:p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Size of land holding</w:t>
            </w:r>
          </w:p>
        </w:tc>
        <w:tc>
          <w:tcPr>
            <w:tcW w:w="15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0.2555</w:t>
            </w:r>
          </w:p>
        </w:tc>
        <w:tc>
          <w:tcPr>
            <w:tcW w:w="206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0.0628</w:t>
            </w:r>
          </w:p>
        </w:tc>
        <w:tc>
          <w:tcPr>
            <w:tcW w:w="1096"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4.0684</w:t>
            </w:r>
          </w:p>
        </w:tc>
      </w:tr>
      <w:tr w:rsidR="00EF1B66" w:rsidRPr="008669E0" w:rsidTr="002000D6">
        <w:trPr>
          <w:cantSplit/>
          <w:jc w:val="center"/>
        </w:trPr>
        <w:tc>
          <w:tcPr>
            <w:tcW w:w="123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X16</w:t>
            </w:r>
          </w:p>
        </w:tc>
        <w:tc>
          <w:tcPr>
            <w:tcW w:w="2871" w:type="dxa"/>
          </w:tcPr>
          <w:p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Extension participation</w:t>
            </w:r>
          </w:p>
        </w:tc>
        <w:tc>
          <w:tcPr>
            <w:tcW w:w="15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0.2370</w:t>
            </w:r>
          </w:p>
        </w:tc>
        <w:tc>
          <w:tcPr>
            <w:tcW w:w="206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0.1015</w:t>
            </w:r>
          </w:p>
        </w:tc>
        <w:tc>
          <w:tcPr>
            <w:tcW w:w="1096"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2.3349</w:t>
            </w:r>
          </w:p>
        </w:tc>
      </w:tr>
      <w:tr w:rsidR="00EF1B66" w:rsidRPr="008669E0" w:rsidTr="002000D6">
        <w:trPr>
          <w:cantSplit/>
          <w:jc w:val="center"/>
        </w:trPr>
        <w:tc>
          <w:tcPr>
            <w:tcW w:w="123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X12</w:t>
            </w:r>
          </w:p>
        </w:tc>
        <w:tc>
          <w:tcPr>
            <w:tcW w:w="2871" w:type="dxa"/>
          </w:tcPr>
          <w:p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Economic motivation</w:t>
            </w:r>
          </w:p>
        </w:tc>
        <w:tc>
          <w:tcPr>
            <w:tcW w:w="15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1.3447</w:t>
            </w:r>
          </w:p>
        </w:tc>
        <w:tc>
          <w:tcPr>
            <w:tcW w:w="206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0.5731</w:t>
            </w:r>
          </w:p>
        </w:tc>
        <w:tc>
          <w:tcPr>
            <w:tcW w:w="1096"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2.3463</w:t>
            </w:r>
          </w:p>
        </w:tc>
      </w:tr>
      <w:tr w:rsidR="00EF1B66" w:rsidRPr="008669E0" w:rsidTr="002000D6">
        <w:trPr>
          <w:cantSplit/>
          <w:jc w:val="center"/>
        </w:trPr>
        <w:tc>
          <w:tcPr>
            <w:tcW w:w="123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X5</w:t>
            </w:r>
          </w:p>
        </w:tc>
        <w:tc>
          <w:tcPr>
            <w:tcW w:w="2871" w:type="dxa"/>
          </w:tcPr>
          <w:p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Family type</w:t>
            </w:r>
          </w:p>
        </w:tc>
        <w:tc>
          <w:tcPr>
            <w:tcW w:w="15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1.8648</w:t>
            </w:r>
          </w:p>
        </w:tc>
        <w:tc>
          <w:tcPr>
            <w:tcW w:w="206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0.9038</w:t>
            </w:r>
          </w:p>
        </w:tc>
        <w:tc>
          <w:tcPr>
            <w:tcW w:w="1096"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2.0632</w:t>
            </w:r>
          </w:p>
        </w:tc>
      </w:tr>
      <w:tr w:rsidR="00EF1B66" w:rsidRPr="008669E0" w:rsidTr="002000D6">
        <w:trPr>
          <w:cantSplit/>
          <w:jc w:val="center"/>
        </w:trPr>
        <w:tc>
          <w:tcPr>
            <w:tcW w:w="123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X15</w:t>
            </w:r>
          </w:p>
        </w:tc>
        <w:tc>
          <w:tcPr>
            <w:tcW w:w="2871" w:type="dxa"/>
          </w:tcPr>
          <w:p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Self reliance</w:t>
            </w:r>
          </w:p>
        </w:tc>
        <w:tc>
          <w:tcPr>
            <w:tcW w:w="15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0.0503</w:t>
            </w:r>
          </w:p>
        </w:tc>
        <w:tc>
          <w:tcPr>
            <w:tcW w:w="206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0.0256</w:t>
            </w:r>
          </w:p>
        </w:tc>
        <w:tc>
          <w:tcPr>
            <w:tcW w:w="1096"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1.9648</w:t>
            </w:r>
          </w:p>
        </w:tc>
      </w:tr>
      <w:tr w:rsidR="00EF1B66" w:rsidRPr="008669E0" w:rsidTr="002000D6">
        <w:trPr>
          <w:cantSplit/>
          <w:jc w:val="center"/>
        </w:trPr>
        <w:tc>
          <w:tcPr>
            <w:tcW w:w="123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X14</w:t>
            </w:r>
          </w:p>
        </w:tc>
        <w:tc>
          <w:tcPr>
            <w:tcW w:w="2871" w:type="dxa"/>
          </w:tcPr>
          <w:p w:rsidR="00EF1B66" w:rsidRPr="008669E0" w:rsidRDefault="00EF1B66" w:rsidP="002000D6">
            <w:pPr>
              <w:spacing w:before="120" w:after="120"/>
              <w:rPr>
                <w:rFonts w:ascii="Times New Roman" w:hAnsi="Times New Roman" w:cs="Times New Roman"/>
                <w:lang w:val="en-IN" w:eastAsia="en-IN"/>
              </w:rPr>
            </w:pPr>
            <w:r w:rsidRPr="008669E0">
              <w:rPr>
                <w:rFonts w:ascii="Times New Roman" w:hAnsi="Times New Roman" w:cs="Times New Roman"/>
                <w:lang w:val="en-IN" w:eastAsia="en-IN"/>
              </w:rPr>
              <w:t>Self confidence</w:t>
            </w:r>
          </w:p>
        </w:tc>
        <w:tc>
          <w:tcPr>
            <w:tcW w:w="158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0.3181</w:t>
            </w:r>
          </w:p>
        </w:tc>
        <w:tc>
          <w:tcPr>
            <w:tcW w:w="2060"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0.1851</w:t>
            </w:r>
          </w:p>
        </w:tc>
        <w:tc>
          <w:tcPr>
            <w:tcW w:w="1096" w:type="dxa"/>
          </w:tcPr>
          <w:p w:rsidR="00EF1B66" w:rsidRPr="008669E0" w:rsidRDefault="00EF1B66" w:rsidP="002000D6">
            <w:pPr>
              <w:spacing w:before="120" w:after="120"/>
              <w:jc w:val="center"/>
              <w:rPr>
                <w:rFonts w:ascii="Times New Roman" w:hAnsi="Times New Roman" w:cs="Times New Roman"/>
                <w:lang w:val="en-IN" w:eastAsia="en-IN"/>
              </w:rPr>
            </w:pPr>
            <w:r w:rsidRPr="008669E0">
              <w:rPr>
                <w:rFonts w:ascii="Times New Roman" w:hAnsi="Times New Roman" w:cs="Times New Roman"/>
                <w:lang w:val="en-IN" w:eastAsia="en-IN"/>
              </w:rPr>
              <w:t>1.7185</w:t>
            </w:r>
          </w:p>
        </w:tc>
      </w:tr>
    </w:tbl>
    <w:p w:rsidR="00EF1B66" w:rsidRPr="008669E0" w:rsidRDefault="00EF1B66" w:rsidP="00EF1B66">
      <w:pPr>
        <w:spacing w:line="360" w:lineRule="auto"/>
        <w:rPr>
          <w:rFonts w:ascii="Times New Roman" w:hAnsi="Times New Roman" w:cs="Times New Roman"/>
          <w:lang w:val="en-IN" w:eastAsia="en-IN"/>
        </w:rPr>
      </w:pPr>
      <w:r w:rsidRPr="008669E0">
        <w:rPr>
          <w:rFonts w:ascii="Times New Roman" w:hAnsi="Times New Roman" w:cs="Times New Roman"/>
          <w:lang w:val="en-IN" w:eastAsia="en-IN"/>
        </w:rPr>
        <w:t>R</w:t>
      </w:r>
      <w:r w:rsidRPr="008669E0">
        <w:rPr>
          <w:rFonts w:ascii="Times New Roman" w:hAnsi="Times New Roman" w:cs="Times New Roman"/>
          <w:vertAlign w:val="superscript"/>
          <w:lang w:val="en-IN" w:eastAsia="en-IN"/>
        </w:rPr>
        <w:t>2</w:t>
      </w:r>
      <w:r w:rsidRPr="008669E0">
        <w:rPr>
          <w:rFonts w:ascii="Times New Roman" w:hAnsi="Times New Roman" w:cs="Times New Roman"/>
          <w:lang w:val="en-IN" w:eastAsia="en-IN"/>
        </w:rPr>
        <w:t xml:space="preserve"> = 0.7118       F (8,171) = 52.80</w:t>
      </w:r>
      <w:r w:rsidRPr="008669E0">
        <w:rPr>
          <w:rFonts w:ascii="Times New Roman" w:hAnsi="Times New Roman" w:cs="Times New Roman"/>
          <w:vertAlign w:val="superscript"/>
          <w:lang w:val="en-IN" w:eastAsia="en-IN"/>
        </w:rPr>
        <w:t>**</w:t>
      </w:r>
      <w:r w:rsidR="001A3E28" w:rsidRPr="008669E0">
        <w:rPr>
          <w:rFonts w:ascii="Times New Roman" w:hAnsi="Times New Roman" w:cs="Times New Roman"/>
          <w:vertAlign w:val="superscript"/>
          <w:lang w:val="en-IN" w:eastAsia="en-IN"/>
        </w:rPr>
        <w:t xml:space="preserve">, </w:t>
      </w:r>
      <w:r w:rsidRPr="008669E0">
        <w:rPr>
          <w:rFonts w:ascii="Times New Roman" w:hAnsi="Times New Roman" w:cs="Times New Roman"/>
          <w:lang w:val="en-IN" w:eastAsia="en-IN"/>
        </w:rPr>
        <w:t>**= significant at 1 per cent level</w:t>
      </w:r>
    </w:p>
    <w:p w:rsidR="00EF1B66" w:rsidRPr="008669E0" w:rsidRDefault="00EF1B66" w:rsidP="00EF1B66">
      <w:pPr>
        <w:spacing w:before="280" w:line="360" w:lineRule="auto"/>
        <w:jc w:val="both"/>
        <w:rPr>
          <w:rFonts w:ascii="Times New Roman" w:hAnsi="Times New Roman" w:cs="Times New Roman"/>
          <w:b/>
          <w:sz w:val="24"/>
          <w:szCs w:val="24"/>
        </w:rPr>
      </w:pPr>
      <w:r w:rsidRPr="008669E0">
        <w:rPr>
          <w:rFonts w:ascii="Times New Roman" w:hAnsi="Times New Roman" w:cs="Times New Roman"/>
          <w:b/>
          <w:sz w:val="24"/>
          <w:szCs w:val="24"/>
        </w:rPr>
        <w:lastRenderedPageBreak/>
        <w:t>Conclusion</w:t>
      </w:r>
    </w:p>
    <w:p w:rsidR="00C850EA" w:rsidRDefault="00C850EA" w:rsidP="00C850EA">
      <w:pPr>
        <w:pStyle w:val="NormalWeb"/>
        <w:spacing w:line="360" w:lineRule="auto"/>
        <w:ind w:firstLine="709"/>
        <w:jc w:val="both"/>
        <w:rPr>
          <w:rFonts w:eastAsiaTheme="minorEastAsia"/>
          <w:sz w:val="22"/>
          <w:szCs w:val="22"/>
          <w:lang w:val="en-IN" w:eastAsia="en-IN"/>
        </w:rPr>
      </w:pPr>
      <w:r w:rsidRPr="008669E0">
        <w:rPr>
          <w:rFonts w:eastAsiaTheme="minorEastAsia"/>
          <w:sz w:val="22"/>
          <w:szCs w:val="22"/>
          <w:lang w:val="en-IN" w:eastAsia="en-IN"/>
        </w:rPr>
        <w:t xml:space="preserve">Overall, the model demonstrates that farm women empower was shaped by a combination of structural conditions (landholding, family composition), institutional engagement (trainings, extension contact) and behavioural dispositions (motivation, confidence). This multidimensional pattern aligns with contemporary livelihood and human-capital theories which emphasise the interplay of resource access, institutional support and agency in shaping rural development outcomes (Scoones, 2015; Bebbington, 1999). The results highlight the need for policy interventions that simultaneously strengthen extension systems, expand targeted training programmes and foster behavioural and motivational enhancement among farm women in rural areas. </w:t>
      </w:r>
    </w:p>
    <w:p w:rsidR="008C14D7" w:rsidRDefault="008C14D7" w:rsidP="00C850EA">
      <w:pPr>
        <w:pStyle w:val="NormalWeb"/>
        <w:spacing w:line="360" w:lineRule="auto"/>
        <w:ind w:firstLine="709"/>
        <w:jc w:val="both"/>
        <w:rPr>
          <w:rFonts w:eastAsiaTheme="minorEastAsia"/>
          <w:sz w:val="22"/>
          <w:szCs w:val="22"/>
          <w:lang w:val="en-IN" w:eastAsia="en-IN"/>
        </w:rPr>
      </w:pPr>
    </w:p>
    <w:p w:rsidR="008C14D7" w:rsidRPr="003A29C6" w:rsidRDefault="008C14D7" w:rsidP="008C14D7">
      <w:pPr>
        <w:jc w:val="both"/>
        <w:outlineLvl w:val="0"/>
        <w:rPr>
          <w:rFonts w:ascii="Arial" w:hAnsi="Arial" w:cs="Arial"/>
        </w:rPr>
      </w:pPr>
      <w:r w:rsidRPr="003A29C6">
        <w:rPr>
          <w:rFonts w:ascii="Arial" w:hAnsi="Arial" w:cs="Arial"/>
          <w:b/>
          <w:bCs/>
        </w:rPr>
        <w:t>COMPETING INTERESTS DISCLAIMER:</w:t>
      </w:r>
    </w:p>
    <w:p w:rsidR="008C14D7" w:rsidRDefault="008C14D7" w:rsidP="008C14D7">
      <w:r w:rsidRPr="00A10EDE">
        <w:t>Authors have declared that they have no known competing financial interests OR non-financial interests OR personal relationships that could have appeared to influence the work reported in this paper.</w:t>
      </w:r>
    </w:p>
    <w:p w:rsidR="0052354D" w:rsidRPr="00740879" w:rsidRDefault="0052354D" w:rsidP="0052354D">
      <w:pPr>
        <w:rPr>
          <w:highlight w:val="yellow"/>
        </w:rPr>
      </w:pPr>
      <w:r w:rsidRPr="00740879">
        <w:rPr>
          <w:highlight w:val="yellow"/>
        </w:rPr>
        <w:t>Disclaimer (Artificial intelligence)</w:t>
      </w:r>
    </w:p>
    <w:p w:rsidR="0052354D" w:rsidRPr="00740879" w:rsidRDefault="0052354D" w:rsidP="0052354D">
      <w:pPr>
        <w:rPr>
          <w:highlight w:val="yellow"/>
        </w:rPr>
      </w:pPr>
      <w:r w:rsidRPr="00740879">
        <w:rPr>
          <w:highlight w:val="yellow"/>
        </w:rPr>
        <w:t xml:space="preserve">Option 1: </w:t>
      </w:r>
    </w:p>
    <w:p w:rsidR="0052354D" w:rsidRPr="00740879" w:rsidRDefault="0052354D" w:rsidP="0052354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52354D" w:rsidRPr="00740879" w:rsidRDefault="0052354D" w:rsidP="0052354D">
      <w:pPr>
        <w:rPr>
          <w:highlight w:val="yellow"/>
        </w:rPr>
      </w:pPr>
      <w:r w:rsidRPr="00740879">
        <w:rPr>
          <w:highlight w:val="yellow"/>
        </w:rPr>
        <w:t xml:space="preserve">Option 2: </w:t>
      </w:r>
    </w:p>
    <w:p w:rsidR="0052354D" w:rsidRPr="00740879" w:rsidRDefault="0052354D" w:rsidP="0052354D">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2354D" w:rsidRPr="00740879" w:rsidRDefault="0052354D" w:rsidP="0052354D">
      <w:pPr>
        <w:rPr>
          <w:highlight w:val="yellow"/>
        </w:rPr>
      </w:pPr>
      <w:r w:rsidRPr="00740879">
        <w:rPr>
          <w:highlight w:val="yellow"/>
        </w:rPr>
        <w:t>Details of the AI usage are given below:</w:t>
      </w:r>
      <w:r w:rsidR="007C52E9">
        <w:rPr>
          <w:highlight w:val="yellow"/>
        </w:rPr>
        <w:t xml:space="preserve">  </w:t>
      </w:r>
    </w:p>
    <w:p w:rsidR="0052354D" w:rsidRPr="00740879" w:rsidRDefault="0052354D" w:rsidP="0052354D">
      <w:pPr>
        <w:rPr>
          <w:highlight w:val="yellow"/>
        </w:rPr>
      </w:pPr>
      <w:r w:rsidRPr="00740879">
        <w:rPr>
          <w:highlight w:val="yellow"/>
        </w:rPr>
        <w:t>1.</w:t>
      </w:r>
    </w:p>
    <w:p w:rsidR="0052354D" w:rsidRPr="00740879" w:rsidRDefault="0052354D" w:rsidP="0052354D">
      <w:pPr>
        <w:rPr>
          <w:highlight w:val="yellow"/>
        </w:rPr>
      </w:pPr>
      <w:r w:rsidRPr="00740879">
        <w:rPr>
          <w:highlight w:val="yellow"/>
        </w:rPr>
        <w:t>2.</w:t>
      </w:r>
    </w:p>
    <w:p w:rsidR="0052354D" w:rsidRPr="00D047BB" w:rsidRDefault="0052354D" w:rsidP="0052354D">
      <w:r w:rsidRPr="00740879">
        <w:rPr>
          <w:highlight w:val="yellow"/>
        </w:rPr>
        <w:t>3.</w:t>
      </w:r>
    </w:p>
    <w:p w:rsidR="008C14D7" w:rsidRPr="008669E0" w:rsidRDefault="008C14D7" w:rsidP="00C850EA">
      <w:pPr>
        <w:pStyle w:val="NormalWeb"/>
        <w:spacing w:line="360" w:lineRule="auto"/>
        <w:ind w:firstLine="709"/>
        <w:jc w:val="both"/>
        <w:rPr>
          <w:rFonts w:eastAsiaTheme="minorEastAsia"/>
          <w:sz w:val="22"/>
          <w:szCs w:val="22"/>
          <w:lang w:val="en-IN" w:eastAsia="en-IN"/>
        </w:rPr>
      </w:pPr>
      <w:bookmarkStart w:id="0" w:name="_GoBack"/>
      <w:bookmarkEnd w:id="0"/>
    </w:p>
    <w:p w:rsidR="00EF1B66" w:rsidRPr="00997CE7" w:rsidRDefault="00EF1B66" w:rsidP="00EF1B66">
      <w:pPr>
        <w:spacing w:line="360" w:lineRule="auto"/>
        <w:rPr>
          <w:rFonts w:ascii="Times New Roman" w:hAnsi="Times New Roman" w:cs="Times New Roman"/>
          <w:b/>
          <w:lang w:val="en-IN" w:eastAsia="en-IN"/>
        </w:rPr>
      </w:pPr>
      <w:r w:rsidRPr="00997CE7">
        <w:rPr>
          <w:rFonts w:ascii="Times New Roman" w:hAnsi="Times New Roman" w:cs="Times New Roman"/>
          <w:b/>
          <w:lang w:val="en-IN" w:eastAsia="en-IN"/>
        </w:rPr>
        <w:t>References:</w:t>
      </w:r>
    </w:p>
    <w:p w:rsidR="00997CE7" w:rsidRPr="00997CE7" w:rsidRDefault="00997CE7" w:rsidP="00997CE7">
      <w:pPr>
        <w:pStyle w:val="NormalWeb"/>
        <w:spacing w:line="360" w:lineRule="auto"/>
        <w:ind w:left="567" w:hanging="567"/>
      </w:pPr>
      <w:r>
        <w:lastRenderedPageBreak/>
        <w:t>Anderson, J. R., and</w:t>
      </w:r>
      <w:r w:rsidRPr="00997CE7">
        <w:t xml:space="preserve"> Feder, G. (2007). </w:t>
      </w:r>
      <w:r w:rsidRPr="00997CE7">
        <w:rPr>
          <w:rStyle w:val="Emphasis"/>
        </w:rPr>
        <w:t>Agricultural extension</w:t>
      </w:r>
      <w:r w:rsidRPr="00997CE7">
        <w:t xml:space="preserve">. In R. Evenson &amp; P. Pingali (Eds.), </w:t>
      </w:r>
      <w:r w:rsidRPr="00997CE7">
        <w:rPr>
          <w:rStyle w:val="Strong"/>
          <w:b w:val="0"/>
        </w:rPr>
        <w:t>Handbook of Agricultural Economics</w:t>
      </w:r>
      <w:r w:rsidRPr="00997CE7">
        <w:t xml:space="preserve"> (Vol. 3, pp. 2343–2378). Elsevier.</w:t>
      </w:r>
    </w:p>
    <w:p w:rsidR="00997CE7" w:rsidRPr="00997CE7" w:rsidRDefault="00997CE7" w:rsidP="00997CE7">
      <w:pPr>
        <w:keepLines/>
        <w:spacing w:before="280" w:line="360" w:lineRule="auto"/>
        <w:ind w:left="567" w:hanging="567"/>
        <w:jc w:val="both"/>
        <w:rPr>
          <w:rFonts w:ascii="Times New Roman" w:hAnsi="Times New Roman" w:cs="Times New Roman"/>
        </w:rPr>
      </w:pPr>
      <w:r>
        <w:rPr>
          <w:rFonts w:ascii="Times New Roman" w:hAnsi="Times New Roman" w:cs="Times New Roman"/>
        </w:rPr>
        <w:t>Anita Kumari a</w:t>
      </w:r>
      <w:r w:rsidRPr="00997CE7">
        <w:rPr>
          <w:rFonts w:ascii="Times New Roman" w:hAnsi="Times New Roman" w:cs="Times New Roman"/>
        </w:rPr>
        <w:t xml:space="preserve">nd Madan Singh, </w:t>
      </w:r>
      <w:r>
        <w:rPr>
          <w:rFonts w:ascii="Times New Roman" w:hAnsi="Times New Roman" w:cs="Times New Roman"/>
        </w:rPr>
        <w:t>(</w:t>
      </w:r>
      <w:r w:rsidRPr="00997CE7">
        <w:rPr>
          <w:rFonts w:ascii="Times New Roman" w:hAnsi="Times New Roman" w:cs="Times New Roman"/>
        </w:rPr>
        <w:t>2002</w:t>
      </w:r>
      <w:r>
        <w:rPr>
          <w:rFonts w:ascii="Times New Roman" w:hAnsi="Times New Roman" w:cs="Times New Roman"/>
        </w:rPr>
        <w:t>)</w:t>
      </w:r>
      <w:r w:rsidRPr="00997CE7">
        <w:rPr>
          <w:rFonts w:ascii="Times New Roman" w:hAnsi="Times New Roman" w:cs="Times New Roman"/>
        </w:rPr>
        <w:t>, Decision making pattern of rural</w:t>
      </w:r>
      <w:r>
        <w:rPr>
          <w:rFonts w:ascii="Times New Roman" w:hAnsi="Times New Roman" w:cs="Times New Roman"/>
        </w:rPr>
        <w:t xml:space="preserve"> women in Patna district, Bihar, </w:t>
      </w:r>
      <w:r w:rsidRPr="00997CE7">
        <w:rPr>
          <w:rFonts w:ascii="Times New Roman" w:hAnsi="Times New Roman" w:cs="Times New Roman"/>
        </w:rPr>
        <w:t>Indian</w:t>
      </w:r>
      <w:r w:rsidRPr="00997CE7">
        <w:rPr>
          <w:rFonts w:ascii="Times New Roman" w:hAnsi="Times New Roman" w:cs="Times New Roman"/>
          <w:i/>
        </w:rPr>
        <w:t xml:space="preserve">journal of Extension Education, </w:t>
      </w:r>
      <w:r w:rsidRPr="00997CE7">
        <w:rPr>
          <w:rFonts w:ascii="Times New Roman" w:hAnsi="Times New Roman" w:cs="Times New Roman"/>
        </w:rPr>
        <w:t>38 (3&amp;4):207-208.</w:t>
      </w:r>
    </w:p>
    <w:p w:rsidR="00997CE7" w:rsidRPr="00997CE7" w:rsidRDefault="00997CE7" w:rsidP="00997CE7">
      <w:pPr>
        <w:keepLines/>
        <w:spacing w:before="280" w:line="360" w:lineRule="auto"/>
        <w:ind w:left="567" w:hanging="567"/>
        <w:jc w:val="both"/>
        <w:rPr>
          <w:rFonts w:ascii="Times New Roman" w:hAnsi="Times New Roman" w:cs="Times New Roman"/>
        </w:rPr>
      </w:pPr>
      <w:r w:rsidRPr="00997CE7">
        <w:rPr>
          <w:rFonts w:ascii="Times New Roman" w:hAnsi="Times New Roman" w:cs="Times New Roman"/>
        </w:rPr>
        <w:t xml:space="preserve">Antony, V., </w:t>
      </w:r>
      <w:r>
        <w:rPr>
          <w:rFonts w:ascii="Times New Roman" w:hAnsi="Times New Roman" w:cs="Times New Roman"/>
        </w:rPr>
        <w:t>(</w:t>
      </w:r>
      <w:r w:rsidRPr="00997CE7">
        <w:rPr>
          <w:rFonts w:ascii="Times New Roman" w:hAnsi="Times New Roman" w:cs="Times New Roman"/>
        </w:rPr>
        <w:t>2006</w:t>
      </w:r>
      <w:r>
        <w:rPr>
          <w:rFonts w:ascii="Times New Roman" w:hAnsi="Times New Roman" w:cs="Times New Roman"/>
        </w:rPr>
        <w:t>)</w:t>
      </w:r>
      <w:r w:rsidRPr="00997CE7">
        <w:rPr>
          <w:rFonts w:ascii="Times New Roman" w:hAnsi="Times New Roman" w:cs="Times New Roman"/>
        </w:rPr>
        <w:t xml:space="preserve">, Education and employment. The key to women empowerment, </w:t>
      </w:r>
      <w:r w:rsidRPr="00997CE7">
        <w:rPr>
          <w:rFonts w:ascii="Times New Roman" w:hAnsi="Times New Roman" w:cs="Times New Roman"/>
          <w:i/>
        </w:rPr>
        <w:t>Kurukshetra:</w:t>
      </w:r>
      <w:r w:rsidRPr="00997CE7">
        <w:rPr>
          <w:rFonts w:ascii="Times New Roman" w:hAnsi="Times New Roman" w:cs="Times New Roman"/>
        </w:rPr>
        <w:t xml:space="preserve"> 27-29.</w:t>
      </w:r>
    </w:p>
    <w:p w:rsidR="00997CE7" w:rsidRPr="00997CE7" w:rsidRDefault="00997CE7" w:rsidP="00997CE7">
      <w:pPr>
        <w:pStyle w:val="NormalWeb"/>
        <w:spacing w:line="360" w:lineRule="auto"/>
        <w:ind w:left="567" w:hanging="567"/>
      </w:pPr>
      <w:r w:rsidRPr="00997CE7">
        <w:t xml:space="preserve">Bebbington, A. (1999). Capitals and capabilities: A framework for analyzing peasant viability, rural livelihoods and poverty. </w:t>
      </w:r>
      <w:r w:rsidRPr="00997CE7">
        <w:rPr>
          <w:rStyle w:val="Emphasis"/>
        </w:rPr>
        <w:t xml:space="preserve">World Development, </w:t>
      </w:r>
      <w:r w:rsidRPr="00000141">
        <w:rPr>
          <w:rStyle w:val="Emphasis"/>
          <w:i w:val="0"/>
        </w:rPr>
        <w:t>27</w:t>
      </w:r>
      <w:r w:rsidRPr="00997CE7">
        <w:t>(12), 2021–2044.</w:t>
      </w:r>
    </w:p>
    <w:p w:rsidR="00000141" w:rsidRPr="00000141" w:rsidRDefault="00000141" w:rsidP="00997CE7">
      <w:pPr>
        <w:keepLines/>
        <w:spacing w:before="280" w:line="360" w:lineRule="auto"/>
        <w:ind w:left="567" w:hanging="567"/>
        <w:jc w:val="both"/>
        <w:rPr>
          <w:rFonts w:ascii="Times New Roman" w:eastAsia="Times New Roman" w:hAnsi="Times New Roman" w:cs="Times New Roman"/>
          <w:sz w:val="24"/>
          <w:szCs w:val="24"/>
        </w:rPr>
      </w:pPr>
      <w:r w:rsidRPr="00000141">
        <w:rPr>
          <w:rFonts w:ascii="Times New Roman" w:eastAsia="Times New Roman" w:hAnsi="Times New Roman" w:cs="Times New Roman"/>
          <w:sz w:val="24"/>
          <w:szCs w:val="24"/>
        </w:rPr>
        <w:t xml:space="preserve">Bernard, T., and Taffesse, A. S. (2014). Aspirations: An Approach to Measurement with Validation Using Ethiopian Data. </w:t>
      </w:r>
      <w:r w:rsidRPr="00000141">
        <w:rPr>
          <w:rFonts w:ascii="Times New Roman" w:eastAsia="Times New Roman" w:hAnsi="Times New Roman" w:cs="Times New Roman"/>
          <w:i/>
          <w:sz w:val="24"/>
          <w:szCs w:val="24"/>
        </w:rPr>
        <w:t>Journal of African Economies</w:t>
      </w:r>
      <w:r w:rsidRPr="00000141">
        <w:rPr>
          <w:rFonts w:ascii="Times New Roman" w:eastAsia="Times New Roman" w:hAnsi="Times New Roman" w:cs="Times New Roman"/>
          <w:sz w:val="24"/>
          <w:szCs w:val="24"/>
        </w:rPr>
        <w:t>, 23(2):189-224</w:t>
      </w:r>
    </w:p>
    <w:p w:rsidR="00997CE7" w:rsidRPr="00997CE7" w:rsidRDefault="00997CE7" w:rsidP="00997CE7">
      <w:pPr>
        <w:keepLines/>
        <w:spacing w:before="280" w:line="360" w:lineRule="auto"/>
        <w:ind w:left="567" w:hanging="567"/>
        <w:jc w:val="both"/>
        <w:rPr>
          <w:rFonts w:ascii="Times New Roman" w:hAnsi="Times New Roman" w:cs="Times New Roman"/>
          <w:bCs/>
        </w:rPr>
      </w:pPr>
      <w:r w:rsidRPr="00997CE7">
        <w:rPr>
          <w:rFonts w:ascii="Times New Roman" w:hAnsi="Times New Roman" w:cs="Times New Roman"/>
        </w:rPr>
        <w:t>Bharathamma,</w:t>
      </w:r>
      <w:r>
        <w:rPr>
          <w:rFonts w:ascii="Times New Roman" w:hAnsi="Times New Roman" w:cs="Times New Roman"/>
        </w:rPr>
        <w:t xml:space="preserve"> G. </w:t>
      </w:r>
      <w:r w:rsidRPr="00997CE7">
        <w:rPr>
          <w:rFonts w:ascii="Times New Roman" w:hAnsi="Times New Roman" w:cs="Times New Roman"/>
        </w:rPr>
        <w:t>U.,</w:t>
      </w:r>
      <w:r>
        <w:rPr>
          <w:rFonts w:ascii="Times New Roman" w:hAnsi="Times New Roman" w:cs="Times New Roman"/>
        </w:rPr>
        <w:t xml:space="preserve"> (</w:t>
      </w:r>
      <w:r w:rsidRPr="00997CE7">
        <w:rPr>
          <w:rFonts w:ascii="Times New Roman" w:hAnsi="Times New Roman" w:cs="Times New Roman"/>
        </w:rPr>
        <w:t>2005</w:t>
      </w:r>
      <w:r>
        <w:rPr>
          <w:rFonts w:ascii="Times New Roman" w:hAnsi="Times New Roman" w:cs="Times New Roman"/>
        </w:rPr>
        <w:t>)</w:t>
      </w:r>
      <w:r w:rsidRPr="00997CE7">
        <w:rPr>
          <w:rFonts w:ascii="Times New Roman" w:hAnsi="Times New Roman" w:cs="Times New Roman"/>
        </w:rPr>
        <w:t xml:space="preserve">,Empowerment of rural women through income generating activities in Gadag district of   North Karnataka, </w:t>
      </w:r>
      <w:r w:rsidRPr="00997CE7">
        <w:rPr>
          <w:rFonts w:ascii="Times New Roman" w:hAnsi="Times New Roman" w:cs="Times New Roman"/>
          <w:bCs/>
        </w:rPr>
        <w:t>M.Sc. (Agri) thesis, (Unpubl.), Univ. Agrl. Sci., Dharwad.</w:t>
      </w:r>
    </w:p>
    <w:p w:rsidR="00997CE7" w:rsidRDefault="00997CE7" w:rsidP="00997CE7">
      <w:pPr>
        <w:pStyle w:val="NormalWeb"/>
        <w:spacing w:line="360" w:lineRule="auto"/>
        <w:ind w:left="567" w:hanging="567"/>
      </w:pPr>
      <w:r w:rsidRPr="00997CE7">
        <w:t xml:space="preserve">Chambers, R. (2014). </w:t>
      </w:r>
      <w:r w:rsidRPr="00997CE7">
        <w:rPr>
          <w:rStyle w:val="Emphasis"/>
        </w:rPr>
        <w:t>Rural development: Putting the last first</w:t>
      </w:r>
      <w:r w:rsidRPr="00997CE7">
        <w:t>. Practical Action Publishing.</w:t>
      </w:r>
    </w:p>
    <w:p w:rsidR="00B05C14" w:rsidRPr="00B05C14" w:rsidRDefault="00B05C14" w:rsidP="00B05C14">
      <w:pPr>
        <w:pStyle w:val="NormalWeb"/>
        <w:spacing w:line="360" w:lineRule="auto"/>
        <w:ind w:left="567" w:hanging="567"/>
      </w:pPr>
      <w:r w:rsidRPr="00B05C14">
        <w:t xml:space="preserve">Chengappa P. G., Karl M Rich, Arun Muniyappa, C. G. Yadava, M. K. Ganashruthi, B. Pradeepa, Y. C. Shubha, Magda Rich, (2014), Sustainability Coffee Certification in India: Perceptions and Practices, NUPI, </w:t>
      </w:r>
      <w:hyperlink r:id="rId7" w:history="1">
        <w:r w:rsidRPr="00B05C14">
          <w:t>http://hdl.handle.net/11250/278864</w:t>
        </w:r>
      </w:hyperlink>
      <w:r>
        <w:t xml:space="preserve"> </w:t>
      </w:r>
    </w:p>
    <w:p w:rsidR="00997CE7" w:rsidRPr="00997CE7" w:rsidRDefault="00997CE7" w:rsidP="00997CE7">
      <w:pPr>
        <w:pStyle w:val="NormalWeb"/>
        <w:spacing w:line="360" w:lineRule="auto"/>
        <w:ind w:left="567" w:hanging="567"/>
      </w:pPr>
      <w:r w:rsidRPr="00997CE7">
        <w:t xml:space="preserve">Dessart, F. J., Barreiro-Hurlé, J., </w:t>
      </w:r>
      <w:r>
        <w:t>and</w:t>
      </w:r>
      <w:r w:rsidRPr="00997CE7">
        <w:t xml:space="preserve"> van Bavel, R. (2019). Behavioural factors affecting the adoption of sustainable farming practices: A policy-oriented review. </w:t>
      </w:r>
      <w:r w:rsidRPr="00997CE7">
        <w:rPr>
          <w:rStyle w:val="Emphasis"/>
        </w:rPr>
        <w:t>European Review of Agricultural Economics, 46</w:t>
      </w:r>
      <w:r w:rsidRPr="00997CE7">
        <w:t>(3), 417–471.</w:t>
      </w:r>
    </w:p>
    <w:p w:rsidR="00997CE7" w:rsidRPr="00997CE7" w:rsidRDefault="00997CE7" w:rsidP="00997CE7">
      <w:pPr>
        <w:pStyle w:val="NormalWeb"/>
        <w:spacing w:line="360" w:lineRule="auto"/>
        <w:ind w:left="567" w:hanging="567"/>
      </w:pPr>
      <w:r w:rsidRPr="00997CE7">
        <w:t xml:space="preserve">Hazell, P., Poulton, C., Wiggins, S., </w:t>
      </w:r>
      <w:r>
        <w:t>and</w:t>
      </w:r>
      <w:r w:rsidRPr="00997CE7">
        <w:t xml:space="preserve"> Dorward, A. (2010). The future of small farms: Trajectories and policy priorities. </w:t>
      </w:r>
      <w:r w:rsidRPr="00997CE7">
        <w:rPr>
          <w:rStyle w:val="Emphasis"/>
        </w:rPr>
        <w:t>World Development, 38</w:t>
      </w:r>
      <w:r w:rsidRPr="00997CE7">
        <w:t>(10), 1341–1348.</w:t>
      </w:r>
    </w:p>
    <w:p w:rsidR="00997CE7" w:rsidRPr="00997CE7" w:rsidRDefault="00997CE7" w:rsidP="00997CE7">
      <w:pPr>
        <w:pStyle w:val="NormalWeb"/>
        <w:spacing w:line="360" w:lineRule="auto"/>
        <w:ind w:left="567" w:hanging="567"/>
      </w:pPr>
      <w:r w:rsidRPr="00997CE7">
        <w:t>Luthans,</w:t>
      </w:r>
      <w:r>
        <w:t xml:space="preserve"> F., Avolio, B. J., Avey, J. B.and</w:t>
      </w:r>
      <w:r w:rsidRPr="00997CE7">
        <w:t xml:space="preserve"> Norman, S. M. (2007). Positive psychological capital: Measurement and relationship with performance and satisfaction. </w:t>
      </w:r>
      <w:r w:rsidRPr="00997CE7">
        <w:rPr>
          <w:rStyle w:val="Emphasis"/>
        </w:rPr>
        <w:t>Personnel Psychology, 60</w:t>
      </w:r>
      <w:r w:rsidRPr="00997CE7">
        <w:t>(3), 541–572.</w:t>
      </w:r>
    </w:p>
    <w:p w:rsidR="00997CE7" w:rsidRPr="00997CE7" w:rsidRDefault="00997CE7" w:rsidP="00997CE7">
      <w:pPr>
        <w:keepLines/>
        <w:spacing w:before="280" w:line="360" w:lineRule="auto"/>
        <w:ind w:left="567" w:hanging="567"/>
        <w:jc w:val="both"/>
        <w:rPr>
          <w:rFonts w:ascii="Times New Roman" w:hAnsi="Times New Roman" w:cs="Times New Roman"/>
        </w:rPr>
      </w:pPr>
      <w:r w:rsidRPr="00997CE7">
        <w:rPr>
          <w:rFonts w:ascii="Times New Roman" w:hAnsi="Times New Roman" w:cs="Times New Roman"/>
        </w:rPr>
        <w:t xml:space="preserve">Prasad, R., </w:t>
      </w:r>
      <w:r>
        <w:rPr>
          <w:rFonts w:ascii="Times New Roman" w:hAnsi="Times New Roman" w:cs="Times New Roman"/>
        </w:rPr>
        <w:t>(</w:t>
      </w:r>
      <w:r w:rsidRPr="00997CE7">
        <w:rPr>
          <w:rFonts w:ascii="Times New Roman" w:hAnsi="Times New Roman" w:cs="Times New Roman"/>
        </w:rPr>
        <w:t>2007</w:t>
      </w:r>
      <w:r>
        <w:rPr>
          <w:rFonts w:ascii="Times New Roman" w:hAnsi="Times New Roman" w:cs="Times New Roman"/>
        </w:rPr>
        <w:t>)</w:t>
      </w:r>
      <w:r w:rsidRPr="00997CE7">
        <w:rPr>
          <w:rFonts w:ascii="Times New Roman" w:hAnsi="Times New Roman" w:cs="Times New Roman"/>
        </w:rPr>
        <w:t xml:space="preserve">, Information support for empowerment of women in India, </w:t>
      </w:r>
      <w:r w:rsidRPr="00997CE7">
        <w:rPr>
          <w:rFonts w:ascii="Times New Roman" w:hAnsi="Times New Roman" w:cs="Times New Roman"/>
          <w:i/>
        </w:rPr>
        <w:t>Social welfare</w:t>
      </w:r>
      <w:r w:rsidRPr="00997CE7">
        <w:rPr>
          <w:rFonts w:ascii="Times New Roman" w:hAnsi="Times New Roman" w:cs="Times New Roman"/>
        </w:rPr>
        <w:t>: 54(1)26-27.</w:t>
      </w:r>
    </w:p>
    <w:p w:rsidR="00997CE7" w:rsidRPr="00997CE7" w:rsidRDefault="000E3D5A" w:rsidP="00997CE7">
      <w:pPr>
        <w:pStyle w:val="NormalWeb"/>
        <w:spacing w:line="360" w:lineRule="auto"/>
        <w:ind w:left="567" w:hanging="567"/>
      </w:pPr>
      <w:r>
        <w:lastRenderedPageBreak/>
        <w:t>Pretty, J. (2007</w:t>
      </w:r>
      <w:r w:rsidR="00997CE7" w:rsidRPr="00997CE7">
        <w:t xml:space="preserve">). </w:t>
      </w:r>
      <w:r w:rsidR="00997CE7" w:rsidRPr="00997CE7">
        <w:rPr>
          <w:rStyle w:val="Emphasis"/>
        </w:rPr>
        <w:t>Sustainable agriculture and food</w:t>
      </w:r>
      <w:r w:rsidR="00997CE7" w:rsidRPr="00997CE7">
        <w:t>. Routledge.</w:t>
      </w:r>
    </w:p>
    <w:p w:rsidR="00997CE7" w:rsidRPr="00997CE7" w:rsidRDefault="00997CE7" w:rsidP="00997CE7">
      <w:pPr>
        <w:keepLines/>
        <w:spacing w:before="280" w:line="360" w:lineRule="auto"/>
        <w:ind w:left="567" w:hanging="567"/>
        <w:jc w:val="both"/>
        <w:rPr>
          <w:rFonts w:ascii="Times New Roman" w:hAnsi="Times New Roman" w:cs="Times New Roman"/>
        </w:rPr>
      </w:pPr>
      <w:r w:rsidRPr="00997CE7">
        <w:rPr>
          <w:rFonts w:ascii="Times New Roman" w:hAnsi="Times New Roman" w:cs="Times New Roman"/>
        </w:rPr>
        <w:t xml:space="preserve">Pushpa P, Pawar Jayalaxmi B, Reddy Lakshman BS, Chandan K, Yadava CG. 2021, A study on extent of farm women participation in income generating activities. </w:t>
      </w:r>
      <w:r w:rsidRPr="00DC7202">
        <w:rPr>
          <w:rFonts w:ascii="Times New Roman" w:hAnsi="Times New Roman" w:cs="Times New Roman"/>
          <w:i/>
        </w:rPr>
        <w:t xml:space="preserve">Journal of Community Mobilization and Sustainable Development, </w:t>
      </w:r>
      <w:r w:rsidRPr="00997CE7">
        <w:rPr>
          <w:rFonts w:ascii="Times New Roman" w:hAnsi="Times New Roman" w:cs="Times New Roman"/>
        </w:rPr>
        <w:t>16(1):</w:t>
      </w:r>
      <w:r w:rsidR="005F3CE6">
        <w:rPr>
          <w:rFonts w:ascii="Times New Roman" w:hAnsi="Times New Roman" w:cs="Times New Roman"/>
        </w:rPr>
        <w:t xml:space="preserve"> </w:t>
      </w:r>
      <w:r w:rsidRPr="00997CE7">
        <w:rPr>
          <w:rFonts w:ascii="Times New Roman" w:hAnsi="Times New Roman" w:cs="Times New Roman"/>
        </w:rPr>
        <w:t xml:space="preserve">January-April, 2021:584-586. </w:t>
      </w:r>
    </w:p>
    <w:p w:rsidR="00997CE7" w:rsidRPr="00997CE7" w:rsidRDefault="00997CE7" w:rsidP="00997CE7">
      <w:pPr>
        <w:pStyle w:val="NormalWeb"/>
        <w:spacing w:line="360" w:lineRule="auto"/>
        <w:ind w:left="567" w:hanging="567"/>
      </w:pPr>
      <w:r w:rsidRPr="00997CE7">
        <w:t xml:space="preserve">Rivera, W., </w:t>
      </w:r>
      <w:r>
        <w:t>and</w:t>
      </w:r>
      <w:r w:rsidRPr="00997CE7">
        <w:t xml:space="preserve"> Qamar, M. K. (2003). </w:t>
      </w:r>
      <w:r w:rsidRPr="00997CE7">
        <w:rPr>
          <w:rStyle w:val="Emphasis"/>
        </w:rPr>
        <w:t>Agricultural extension, rural development and the food security challenge</w:t>
      </w:r>
      <w:r w:rsidRPr="00997CE7">
        <w:t>. FAO.</w:t>
      </w:r>
    </w:p>
    <w:p w:rsidR="00997CE7" w:rsidRPr="00997CE7" w:rsidRDefault="00997CE7" w:rsidP="00997CE7">
      <w:pPr>
        <w:keepLines/>
        <w:spacing w:before="280" w:line="360" w:lineRule="auto"/>
        <w:ind w:left="567" w:hanging="567"/>
        <w:jc w:val="both"/>
        <w:rPr>
          <w:rFonts w:ascii="Times New Roman" w:hAnsi="Times New Roman" w:cs="Times New Roman"/>
        </w:rPr>
      </w:pPr>
      <w:r>
        <w:rPr>
          <w:rFonts w:ascii="Times New Roman" w:hAnsi="Times New Roman" w:cs="Times New Roman"/>
        </w:rPr>
        <w:t>Sarada, O</w:t>
      </w:r>
      <w:r w:rsidRPr="00997CE7">
        <w:rPr>
          <w:rFonts w:ascii="Times New Roman" w:hAnsi="Times New Roman" w:cs="Times New Roman"/>
        </w:rPr>
        <w:t>., Shivamurthy, M</w:t>
      </w:r>
      <w:r>
        <w:rPr>
          <w:rFonts w:ascii="Times New Roman" w:hAnsi="Times New Roman" w:cs="Times New Roman"/>
        </w:rPr>
        <w:t>. and S</w:t>
      </w:r>
      <w:r w:rsidRPr="00997CE7">
        <w:rPr>
          <w:rFonts w:ascii="Times New Roman" w:hAnsi="Times New Roman" w:cs="Times New Roman"/>
        </w:rPr>
        <w:t xml:space="preserve">uresha, V., 2007, Response analysis of the process empowerment of rural women in self help groups, </w:t>
      </w:r>
      <w:r w:rsidRPr="00997CE7">
        <w:rPr>
          <w:rFonts w:ascii="Times New Roman" w:hAnsi="Times New Roman" w:cs="Times New Roman"/>
          <w:i/>
        </w:rPr>
        <w:t>Mysore J. Agric. Sci</w:t>
      </w:r>
      <w:r w:rsidRPr="00997CE7">
        <w:rPr>
          <w:rFonts w:ascii="Times New Roman" w:hAnsi="Times New Roman" w:cs="Times New Roman"/>
        </w:rPr>
        <w:t>., 41(2): 261-266.</w:t>
      </w:r>
    </w:p>
    <w:p w:rsidR="00997CE7" w:rsidRPr="00997CE7" w:rsidRDefault="00997CE7" w:rsidP="00997CE7">
      <w:pPr>
        <w:pStyle w:val="NormalWeb"/>
        <w:spacing w:line="360" w:lineRule="auto"/>
        <w:ind w:left="567" w:hanging="567"/>
      </w:pPr>
      <w:r w:rsidRPr="00997CE7">
        <w:t xml:space="preserve">Scoones, I. (2015). </w:t>
      </w:r>
      <w:r w:rsidRPr="00997CE7">
        <w:rPr>
          <w:rStyle w:val="Emphasis"/>
        </w:rPr>
        <w:t>Sustainable livelihoods and rural development</w:t>
      </w:r>
      <w:r w:rsidRPr="00997CE7">
        <w:t>. Practical Action Publishing.</w:t>
      </w:r>
    </w:p>
    <w:p w:rsidR="00997CE7" w:rsidRDefault="00997CE7" w:rsidP="00997CE7">
      <w:pPr>
        <w:pStyle w:val="NormalWeb"/>
        <w:spacing w:line="360" w:lineRule="auto"/>
        <w:ind w:left="567" w:hanging="567"/>
      </w:pPr>
      <w:r w:rsidRPr="00997CE7">
        <w:t xml:space="preserve">Swanson, B. E., </w:t>
      </w:r>
      <w:r>
        <w:t>and</w:t>
      </w:r>
      <w:r w:rsidR="005F3CE6">
        <w:t xml:space="preserve"> </w:t>
      </w:r>
      <w:r w:rsidRPr="00997CE7">
        <w:t xml:space="preserve">Rajalahti, R. (2010). </w:t>
      </w:r>
      <w:r w:rsidRPr="00997CE7">
        <w:rPr>
          <w:rStyle w:val="Emphasis"/>
        </w:rPr>
        <w:t>Strengthening agricultural extension and advisory systems: Procedures for assessing, transforming, and evaluating extension systems</w:t>
      </w:r>
      <w:r w:rsidRPr="00997CE7">
        <w:t>. World Bank.</w:t>
      </w:r>
    </w:p>
    <w:p w:rsidR="00DC7202" w:rsidRPr="00DC7202" w:rsidRDefault="00DC7202" w:rsidP="00DC7202">
      <w:pPr>
        <w:pStyle w:val="NormalWeb"/>
        <w:spacing w:line="360" w:lineRule="auto"/>
        <w:ind w:left="567" w:hanging="567"/>
        <w:jc w:val="both"/>
        <w:rPr>
          <w:rFonts w:eastAsiaTheme="minorEastAsia"/>
          <w:sz w:val="22"/>
          <w:szCs w:val="22"/>
        </w:rPr>
      </w:pPr>
      <w:r>
        <w:t xml:space="preserve">Yadava, C. G. Chandrarekha C., K. M. Santhosha, M. D. Gagana and P. Pushpa, (2022), </w:t>
      </w:r>
      <w:r w:rsidRPr="00DC7202">
        <w:t>Economic Assessment of Black Pepper under Hilly Zone Multi-storyed Ecosystem of Karnataka, India,</w:t>
      </w:r>
      <w:r w:rsidRPr="00DC7202">
        <w:rPr>
          <w:rFonts w:eastAsiaTheme="minorEastAsia"/>
          <w:sz w:val="22"/>
          <w:szCs w:val="22"/>
        </w:rPr>
        <w:t xml:space="preserve"> </w:t>
      </w:r>
      <w:r w:rsidRPr="00DC7202">
        <w:rPr>
          <w:i/>
        </w:rPr>
        <w:t>International Journal of Environment and Climate Change</w:t>
      </w:r>
      <w:r>
        <w:rPr>
          <w:i/>
        </w:rPr>
        <w:t xml:space="preserve">, </w:t>
      </w:r>
      <w:r>
        <w:t>12(12), 849-855</w:t>
      </w:r>
    </w:p>
    <w:p w:rsidR="009D16B2" w:rsidRPr="00997CE7" w:rsidRDefault="009D16B2" w:rsidP="009D16B2">
      <w:pPr>
        <w:keepLines/>
        <w:spacing w:before="280" w:line="360" w:lineRule="auto"/>
        <w:ind w:left="567" w:hanging="567"/>
        <w:jc w:val="both"/>
        <w:rPr>
          <w:rFonts w:ascii="Times New Roman" w:hAnsi="Times New Roman" w:cs="Times New Roman"/>
        </w:rPr>
      </w:pPr>
      <w:r w:rsidRPr="00081DEE">
        <w:rPr>
          <w:rFonts w:ascii="Times New Roman" w:hAnsi="Times New Roman" w:cs="Times New Roman"/>
        </w:rPr>
        <w:t>Yadava, C. G.</w:t>
      </w:r>
      <w:r>
        <w:rPr>
          <w:rFonts w:ascii="Times New Roman" w:hAnsi="Times New Roman" w:cs="Times New Roman"/>
        </w:rPr>
        <w:t>, Moulasab,</w:t>
      </w:r>
      <w:r w:rsidRPr="00081DEE">
        <w:rPr>
          <w:rFonts w:ascii="Times New Roman" w:hAnsi="Times New Roman" w:cs="Times New Roman"/>
        </w:rPr>
        <w:t xml:space="preserve"> G. </w:t>
      </w:r>
      <w:r>
        <w:rPr>
          <w:rFonts w:ascii="Times New Roman" w:hAnsi="Times New Roman" w:cs="Times New Roman"/>
        </w:rPr>
        <w:t xml:space="preserve">B. </w:t>
      </w:r>
      <w:r w:rsidRPr="00081DEE">
        <w:rPr>
          <w:rFonts w:ascii="Times New Roman" w:hAnsi="Times New Roman" w:cs="Times New Roman"/>
        </w:rPr>
        <w:t>Srinivasulu</w:t>
      </w:r>
      <w:r>
        <w:rPr>
          <w:rFonts w:ascii="Times New Roman" w:hAnsi="Times New Roman" w:cs="Times New Roman"/>
        </w:rPr>
        <w:t>,</w:t>
      </w:r>
      <w:r w:rsidRPr="00081DEE">
        <w:rPr>
          <w:rFonts w:ascii="Times New Roman" w:hAnsi="Times New Roman" w:cs="Times New Roman"/>
        </w:rPr>
        <w:t> Raghavendra </w:t>
      </w:r>
      <w:r>
        <w:rPr>
          <w:rFonts w:ascii="Times New Roman" w:hAnsi="Times New Roman" w:cs="Times New Roman"/>
        </w:rPr>
        <w:t xml:space="preserve">Achari, </w:t>
      </w:r>
      <w:r w:rsidRPr="00081DEE">
        <w:rPr>
          <w:rFonts w:ascii="Times New Roman" w:hAnsi="Times New Roman" w:cs="Times New Roman"/>
        </w:rPr>
        <w:t>K., Chandan</w:t>
      </w:r>
      <w:r>
        <w:rPr>
          <w:rFonts w:ascii="Times New Roman" w:hAnsi="Times New Roman" w:cs="Times New Roman"/>
        </w:rPr>
        <w:t>,</w:t>
      </w:r>
      <w:r w:rsidRPr="00081DEE">
        <w:rPr>
          <w:rFonts w:ascii="Times New Roman" w:hAnsi="Times New Roman" w:cs="Times New Roman"/>
        </w:rPr>
        <w:t> </w:t>
      </w:r>
      <w:r>
        <w:rPr>
          <w:rFonts w:ascii="Times New Roman" w:hAnsi="Times New Roman" w:cs="Times New Roman"/>
        </w:rPr>
        <w:t xml:space="preserve">K. M. </w:t>
      </w:r>
      <w:r w:rsidRPr="00081DEE">
        <w:rPr>
          <w:rFonts w:ascii="Times New Roman" w:hAnsi="Times New Roman" w:cs="Times New Roman"/>
        </w:rPr>
        <w:t>Santhosh and </w:t>
      </w:r>
      <w:r>
        <w:rPr>
          <w:rFonts w:ascii="Times New Roman" w:hAnsi="Times New Roman" w:cs="Times New Roman"/>
        </w:rPr>
        <w:t xml:space="preserve">Raghavendra, </w:t>
      </w:r>
      <w:r w:rsidRPr="00081DEE">
        <w:rPr>
          <w:rFonts w:ascii="Times New Roman" w:hAnsi="Times New Roman" w:cs="Times New Roman"/>
        </w:rPr>
        <w:t>(2024)</w:t>
      </w:r>
      <w:r>
        <w:rPr>
          <w:rFonts w:ascii="Times New Roman" w:hAnsi="Times New Roman" w:cs="Times New Roman"/>
        </w:rPr>
        <w:t>,</w:t>
      </w:r>
      <w:r w:rsidRPr="00081DEE">
        <w:rPr>
          <w:rFonts w:ascii="Times New Roman" w:hAnsi="Times New Roman" w:cs="Times New Roman"/>
        </w:rPr>
        <w:t> </w:t>
      </w:r>
      <w:r w:rsidRPr="00081DEE">
        <w:rPr>
          <w:rFonts w:ascii="Times New Roman" w:hAnsi="Times New Roman" w:cs="Times New Roman"/>
          <w:i/>
          <w:iCs/>
        </w:rPr>
        <w:t>Livelihood Restoration Options for Mining Affected Areas in the Kalyana Karnataka Region, India.</w:t>
      </w:r>
      <w:r w:rsidRPr="00081DEE">
        <w:rPr>
          <w:rFonts w:ascii="Times New Roman" w:hAnsi="Times New Roman" w:cs="Times New Roman"/>
        </w:rPr>
        <w:t> Journal of Experimental Agriculture International, 46 (4). pp. 89-94. ISSN 2457-0591</w:t>
      </w:r>
    </w:p>
    <w:p w:rsidR="00997CE7" w:rsidRDefault="00997CE7" w:rsidP="00997CE7">
      <w:pPr>
        <w:keepLines/>
        <w:spacing w:before="280" w:line="360" w:lineRule="auto"/>
        <w:ind w:left="567" w:hanging="567"/>
        <w:jc w:val="both"/>
        <w:rPr>
          <w:rFonts w:ascii="Times New Roman" w:hAnsi="Times New Roman" w:cs="Times New Roman"/>
        </w:rPr>
      </w:pPr>
      <w:r w:rsidRPr="00997CE7">
        <w:rPr>
          <w:rFonts w:ascii="Times New Roman" w:hAnsi="Times New Roman" w:cs="Times New Roman"/>
        </w:rPr>
        <w:t xml:space="preserve">Yadava, C. G., G. N. Kulkarni, B. K. Naik, S. S. Guledagudda, Vasudeva R., and R. V. Hegde. </w:t>
      </w:r>
      <w:r w:rsidR="009D16B2">
        <w:rPr>
          <w:rFonts w:ascii="Times New Roman" w:hAnsi="Times New Roman" w:cs="Times New Roman"/>
        </w:rPr>
        <w:t>(</w:t>
      </w:r>
      <w:r w:rsidRPr="00997CE7">
        <w:rPr>
          <w:rFonts w:ascii="Times New Roman" w:hAnsi="Times New Roman" w:cs="Times New Roman"/>
        </w:rPr>
        <w:t>2025</w:t>
      </w:r>
      <w:r w:rsidR="009D16B2">
        <w:rPr>
          <w:rFonts w:ascii="Times New Roman" w:hAnsi="Times New Roman" w:cs="Times New Roman"/>
        </w:rPr>
        <w:t>)</w:t>
      </w:r>
      <w:r w:rsidRPr="00997CE7">
        <w:rPr>
          <w:rFonts w:ascii="Times New Roman" w:hAnsi="Times New Roman" w:cs="Times New Roman"/>
        </w:rPr>
        <w:t xml:space="preserve">. “Roots and Routes to Income: Unveiling Socio-Economic Drivers Among Gouli and Siddi Communities of Central Western Ghats, Karnataka, India”. Journal of Scientific Research and Reports 31 (8):128-36. </w:t>
      </w:r>
      <w:hyperlink r:id="rId8" w:history="1">
        <w:r w:rsidRPr="00997CE7">
          <w:rPr>
            <w:rStyle w:val="Hyperlink"/>
            <w:rFonts w:ascii="Times New Roman" w:hAnsi="Times New Roman" w:cs="Times New Roman"/>
          </w:rPr>
          <w:t>https://doi.org/10.9734/jsrr/2025/v31i83357</w:t>
        </w:r>
      </w:hyperlink>
      <w:r w:rsidRPr="00997CE7">
        <w:rPr>
          <w:rFonts w:ascii="Times New Roman" w:hAnsi="Times New Roman" w:cs="Times New Roman"/>
        </w:rPr>
        <w:t xml:space="preserve">. </w:t>
      </w:r>
    </w:p>
    <w:sectPr w:rsidR="00997CE7" w:rsidSect="000C1CF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EEB" w:rsidRDefault="00EB7EEB" w:rsidP="00163888">
      <w:pPr>
        <w:spacing w:after="0" w:line="240" w:lineRule="auto"/>
      </w:pPr>
      <w:r>
        <w:separator/>
      </w:r>
    </w:p>
  </w:endnote>
  <w:endnote w:type="continuationSeparator" w:id="1">
    <w:p w:rsidR="00EB7EEB" w:rsidRDefault="00EB7EEB" w:rsidP="001638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E5" w:rsidRDefault="00FF2D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354985"/>
      <w:docPartObj>
        <w:docPartGallery w:val="Page Numbers (Bottom of Page)"/>
        <w:docPartUnique/>
      </w:docPartObj>
    </w:sdtPr>
    <w:sdtContent>
      <w:p w:rsidR="00163888" w:rsidRDefault="00541E35">
        <w:pPr>
          <w:pStyle w:val="Footer"/>
          <w:jc w:val="right"/>
        </w:pPr>
        <w:r>
          <w:fldChar w:fldCharType="begin"/>
        </w:r>
        <w:r w:rsidR="00BA1B13">
          <w:instrText xml:space="preserve"> PAGE   \* MERGEFORMAT </w:instrText>
        </w:r>
        <w:r>
          <w:fldChar w:fldCharType="separate"/>
        </w:r>
        <w:r w:rsidR="0012761B">
          <w:rPr>
            <w:noProof/>
          </w:rPr>
          <w:t>3</w:t>
        </w:r>
        <w:r>
          <w:rPr>
            <w:noProof/>
          </w:rPr>
          <w:fldChar w:fldCharType="end"/>
        </w:r>
      </w:p>
    </w:sdtContent>
  </w:sdt>
  <w:p w:rsidR="00163888" w:rsidRDefault="001638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E5" w:rsidRDefault="00FF2D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EEB" w:rsidRDefault="00EB7EEB" w:rsidP="00163888">
      <w:pPr>
        <w:spacing w:after="0" w:line="240" w:lineRule="auto"/>
      </w:pPr>
      <w:r>
        <w:separator/>
      </w:r>
    </w:p>
  </w:footnote>
  <w:footnote w:type="continuationSeparator" w:id="1">
    <w:p w:rsidR="00EB7EEB" w:rsidRDefault="00EB7EEB" w:rsidP="001638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E5" w:rsidRDefault="00541E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07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E5" w:rsidRDefault="00541E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07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E5" w:rsidRDefault="00541E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07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D7565"/>
    <w:multiLevelType w:val="multilevel"/>
    <w:tmpl w:val="43B49DC2"/>
    <w:lvl w:ilvl="0">
      <w:start w:val="3"/>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99A5373"/>
    <w:multiLevelType w:val="hybridMultilevel"/>
    <w:tmpl w:val="11845866"/>
    <w:lvl w:ilvl="0" w:tplc="20D61E9E">
      <w:start w:val="1"/>
      <w:numFmt w:val="decimal"/>
      <w:lvlText w:val="%1."/>
      <w:lvlJc w:val="left"/>
      <w:pPr>
        <w:tabs>
          <w:tab w:val="num" w:pos="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555329"/>
    <w:multiLevelType w:val="hybridMultilevel"/>
    <w:tmpl w:val="56F0A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FD6A7C"/>
    <w:multiLevelType w:val="hybridMultilevel"/>
    <w:tmpl w:val="8E804DAE"/>
    <w:lvl w:ilvl="0" w:tplc="72C8D53A">
      <w:start w:val="1"/>
      <w:numFmt w:val="decimal"/>
      <w:lvlText w:val="%1."/>
      <w:lvlJc w:val="left"/>
      <w:pPr>
        <w:ind w:left="720" w:hanging="360"/>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E1C5C42"/>
    <w:multiLevelType w:val="hybridMultilevel"/>
    <w:tmpl w:val="11845866"/>
    <w:lvl w:ilvl="0" w:tplc="20D61E9E">
      <w:start w:val="1"/>
      <w:numFmt w:val="decimal"/>
      <w:lvlText w:val="%1."/>
      <w:lvlJc w:val="left"/>
      <w:pPr>
        <w:tabs>
          <w:tab w:val="num" w:pos="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EF1B66"/>
    <w:rsid w:val="00000141"/>
    <w:rsid w:val="00081DEE"/>
    <w:rsid w:val="00082041"/>
    <w:rsid w:val="000C1CFB"/>
    <w:rsid w:val="000E3D5A"/>
    <w:rsid w:val="000E49B6"/>
    <w:rsid w:val="000F05AD"/>
    <w:rsid w:val="001060D9"/>
    <w:rsid w:val="0012761B"/>
    <w:rsid w:val="00163888"/>
    <w:rsid w:val="00197227"/>
    <w:rsid w:val="001A3E28"/>
    <w:rsid w:val="002135E6"/>
    <w:rsid w:val="0022357D"/>
    <w:rsid w:val="002611A7"/>
    <w:rsid w:val="003467F1"/>
    <w:rsid w:val="00351897"/>
    <w:rsid w:val="00365C30"/>
    <w:rsid w:val="00376DC5"/>
    <w:rsid w:val="00390ED9"/>
    <w:rsid w:val="003A3843"/>
    <w:rsid w:val="003B5724"/>
    <w:rsid w:val="003D6944"/>
    <w:rsid w:val="00407238"/>
    <w:rsid w:val="0045578F"/>
    <w:rsid w:val="004F5BF3"/>
    <w:rsid w:val="004F6D32"/>
    <w:rsid w:val="00503837"/>
    <w:rsid w:val="00512FF4"/>
    <w:rsid w:val="0052354D"/>
    <w:rsid w:val="00541E35"/>
    <w:rsid w:val="00566BCC"/>
    <w:rsid w:val="005A46EF"/>
    <w:rsid w:val="005D6789"/>
    <w:rsid w:val="005F3CE6"/>
    <w:rsid w:val="006555FC"/>
    <w:rsid w:val="006F2BA8"/>
    <w:rsid w:val="00712A96"/>
    <w:rsid w:val="0072652D"/>
    <w:rsid w:val="00730197"/>
    <w:rsid w:val="007A63BD"/>
    <w:rsid w:val="007C52E9"/>
    <w:rsid w:val="008669E0"/>
    <w:rsid w:val="008C14D7"/>
    <w:rsid w:val="008D3494"/>
    <w:rsid w:val="00997CE7"/>
    <w:rsid w:val="009D16B2"/>
    <w:rsid w:val="00A44FD3"/>
    <w:rsid w:val="00AC6052"/>
    <w:rsid w:val="00AE18AB"/>
    <w:rsid w:val="00B05C14"/>
    <w:rsid w:val="00B85728"/>
    <w:rsid w:val="00BA1B13"/>
    <w:rsid w:val="00BE3FF9"/>
    <w:rsid w:val="00C77947"/>
    <w:rsid w:val="00C850EA"/>
    <w:rsid w:val="00D00941"/>
    <w:rsid w:val="00D73F8B"/>
    <w:rsid w:val="00D772C0"/>
    <w:rsid w:val="00DA6B32"/>
    <w:rsid w:val="00DC00CB"/>
    <w:rsid w:val="00DC7202"/>
    <w:rsid w:val="00DD270A"/>
    <w:rsid w:val="00E87051"/>
    <w:rsid w:val="00EA651B"/>
    <w:rsid w:val="00EB7EEB"/>
    <w:rsid w:val="00EF1B66"/>
    <w:rsid w:val="00F6192B"/>
    <w:rsid w:val="00FA42AE"/>
    <w:rsid w:val="00FE1453"/>
    <w:rsid w:val="00FE6BE4"/>
    <w:rsid w:val="00FE7CEE"/>
    <w:rsid w:val="00FF2D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32"/>
  </w:style>
  <w:style w:type="paragraph" w:styleId="Heading1">
    <w:name w:val="heading 1"/>
    <w:basedOn w:val="Normal"/>
    <w:link w:val="Heading1Char"/>
    <w:uiPriority w:val="9"/>
    <w:qFormat/>
    <w:rsid w:val="00B05C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F1B66"/>
    <w:pPr>
      <w:spacing w:after="0" w:line="360" w:lineRule="auto"/>
      <w:jc w:val="both"/>
    </w:pPr>
    <w:rPr>
      <w:rFonts w:ascii="Bookman Old Style" w:eastAsia="Times New Roman" w:hAnsi="Bookman Old Style" w:cs="Times New Roman"/>
      <w:sz w:val="24"/>
      <w:szCs w:val="24"/>
    </w:rPr>
  </w:style>
  <w:style w:type="character" w:customStyle="1" w:styleId="BodyTextChar">
    <w:name w:val="Body Text Char"/>
    <w:basedOn w:val="DefaultParagraphFont"/>
    <w:link w:val="BodyText"/>
    <w:semiHidden/>
    <w:rsid w:val="00EF1B66"/>
    <w:rPr>
      <w:rFonts w:ascii="Bookman Old Style" w:eastAsia="Times New Roman" w:hAnsi="Bookman Old Style" w:cs="Times New Roman"/>
      <w:sz w:val="24"/>
      <w:szCs w:val="24"/>
    </w:rPr>
  </w:style>
  <w:style w:type="paragraph" w:styleId="ListParagraph">
    <w:name w:val="List Paragraph"/>
    <w:basedOn w:val="Normal"/>
    <w:uiPriority w:val="34"/>
    <w:qFormat/>
    <w:rsid w:val="00EF1B66"/>
    <w:pPr>
      <w:ind w:left="720"/>
      <w:contextualSpacing/>
    </w:pPr>
  </w:style>
  <w:style w:type="paragraph" w:styleId="BalloonText">
    <w:name w:val="Balloon Text"/>
    <w:basedOn w:val="Normal"/>
    <w:link w:val="BalloonTextChar"/>
    <w:uiPriority w:val="99"/>
    <w:semiHidden/>
    <w:unhideWhenUsed/>
    <w:rsid w:val="00EF1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B66"/>
    <w:rPr>
      <w:rFonts w:ascii="Tahoma" w:hAnsi="Tahoma" w:cs="Tahoma"/>
      <w:sz w:val="16"/>
      <w:szCs w:val="16"/>
    </w:rPr>
  </w:style>
  <w:style w:type="paragraph" w:styleId="NormalWeb">
    <w:name w:val="Normal (Web)"/>
    <w:basedOn w:val="Normal"/>
    <w:uiPriority w:val="99"/>
    <w:unhideWhenUsed/>
    <w:rsid w:val="003A38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3843"/>
    <w:rPr>
      <w:b/>
      <w:bCs/>
    </w:rPr>
  </w:style>
  <w:style w:type="paragraph" w:styleId="Header">
    <w:name w:val="header"/>
    <w:basedOn w:val="Normal"/>
    <w:link w:val="HeaderChar"/>
    <w:uiPriority w:val="99"/>
    <w:unhideWhenUsed/>
    <w:rsid w:val="00163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888"/>
  </w:style>
  <w:style w:type="paragraph" w:styleId="Footer">
    <w:name w:val="footer"/>
    <w:basedOn w:val="Normal"/>
    <w:link w:val="FooterChar"/>
    <w:uiPriority w:val="99"/>
    <w:unhideWhenUsed/>
    <w:rsid w:val="00163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888"/>
  </w:style>
  <w:style w:type="character" w:styleId="Hyperlink">
    <w:name w:val="Hyperlink"/>
    <w:basedOn w:val="DefaultParagraphFont"/>
    <w:uiPriority w:val="99"/>
    <w:unhideWhenUsed/>
    <w:rsid w:val="001060D9"/>
    <w:rPr>
      <w:color w:val="0000FF" w:themeColor="hyperlink"/>
      <w:u w:val="single"/>
    </w:rPr>
  </w:style>
  <w:style w:type="character" w:styleId="Emphasis">
    <w:name w:val="Emphasis"/>
    <w:basedOn w:val="DefaultParagraphFont"/>
    <w:uiPriority w:val="20"/>
    <w:qFormat/>
    <w:rsid w:val="002611A7"/>
    <w:rPr>
      <w:i/>
      <w:iCs/>
    </w:rPr>
  </w:style>
  <w:style w:type="character" w:customStyle="1" w:styleId="personname">
    <w:name w:val="person_name"/>
    <w:basedOn w:val="DefaultParagraphFont"/>
    <w:rsid w:val="00081DEE"/>
  </w:style>
  <w:style w:type="character" w:customStyle="1" w:styleId="UnresolvedMention">
    <w:name w:val="Unresolved Mention"/>
    <w:basedOn w:val="DefaultParagraphFont"/>
    <w:uiPriority w:val="99"/>
    <w:semiHidden/>
    <w:unhideWhenUsed/>
    <w:rsid w:val="00BE3FF9"/>
    <w:rPr>
      <w:color w:val="605E5C"/>
      <w:shd w:val="clear" w:color="auto" w:fill="E1DFDD"/>
    </w:rPr>
  </w:style>
  <w:style w:type="character" w:customStyle="1" w:styleId="Heading1Char">
    <w:name w:val="Heading 1 Char"/>
    <w:basedOn w:val="DefaultParagraphFont"/>
    <w:link w:val="Heading1"/>
    <w:uiPriority w:val="9"/>
    <w:rsid w:val="00B05C14"/>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84350198">
      <w:bodyDiv w:val="1"/>
      <w:marLeft w:val="0"/>
      <w:marRight w:val="0"/>
      <w:marTop w:val="0"/>
      <w:marBottom w:val="0"/>
      <w:divBdr>
        <w:top w:val="none" w:sz="0" w:space="0" w:color="auto"/>
        <w:left w:val="none" w:sz="0" w:space="0" w:color="auto"/>
        <w:bottom w:val="none" w:sz="0" w:space="0" w:color="auto"/>
        <w:right w:val="none" w:sz="0" w:space="0" w:color="auto"/>
      </w:divBdr>
    </w:div>
    <w:div w:id="143935925">
      <w:bodyDiv w:val="1"/>
      <w:marLeft w:val="0"/>
      <w:marRight w:val="0"/>
      <w:marTop w:val="0"/>
      <w:marBottom w:val="0"/>
      <w:divBdr>
        <w:top w:val="none" w:sz="0" w:space="0" w:color="auto"/>
        <w:left w:val="none" w:sz="0" w:space="0" w:color="auto"/>
        <w:bottom w:val="none" w:sz="0" w:space="0" w:color="auto"/>
        <w:right w:val="none" w:sz="0" w:space="0" w:color="auto"/>
      </w:divBdr>
    </w:div>
    <w:div w:id="286662976">
      <w:bodyDiv w:val="1"/>
      <w:marLeft w:val="0"/>
      <w:marRight w:val="0"/>
      <w:marTop w:val="0"/>
      <w:marBottom w:val="0"/>
      <w:divBdr>
        <w:top w:val="none" w:sz="0" w:space="0" w:color="auto"/>
        <w:left w:val="none" w:sz="0" w:space="0" w:color="auto"/>
        <w:bottom w:val="none" w:sz="0" w:space="0" w:color="auto"/>
        <w:right w:val="none" w:sz="0" w:space="0" w:color="auto"/>
      </w:divBdr>
    </w:div>
    <w:div w:id="377434792">
      <w:bodyDiv w:val="1"/>
      <w:marLeft w:val="0"/>
      <w:marRight w:val="0"/>
      <w:marTop w:val="0"/>
      <w:marBottom w:val="0"/>
      <w:divBdr>
        <w:top w:val="none" w:sz="0" w:space="0" w:color="auto"/>
        <w:left w:val="none" w:sz="0" w:space="0" w:color="auto"/>
        <w:bottom w:val="none" w:sz="0" w:space="0" w:color="auto"/>
        <w:right w:val="none" w:sz="0" w:space="0" w:color="auto"/>
      </w:divBdr>
    </w:div>
    <w:div w:id="568343141">
      <w:bodyDiv w:val="1"/>
      <w:marLeft w:val="0"/>
      <w:marRight w:val="0"/>
      <w:marTop w:val="0"/>
      <w:marBottom w:val="0"/>
      <w:divBdr>
        <w:top w:val="none" w:sz="0" w:space="0" w:color="auto"/>
        <w:left w:val="none" w:sz="0" w:space="0" w:color="auto"/>
        <w:bottom w:val="none" w:sz="0" w:space="0" w:color="auto"/>
        <w:right w:val="none" w:sz="0" w:space="0" w:color="auto"/>
      </w:divBdr>
    </w:div>
    <w:div w:id="1328635798">
      <w:bodyDiv w:val="1"/>
      <w:marLeft w:val="0"/>
      <w:marRight w:val="0"/>
      <w:marTop w:val="0"/>
      <w:marBottom w:val="0"/>
      <w:divBdr>
        <w:top w:val="none" w:sz="0" w:space="0" w:color="auto"/>
        <w:left w:val="none" w:sz="0" w:space="0" w:color="auto"/>
        <w:bottom w:val="none" w:sz="0" w:space="0" w:color="auto"/>
        <w:right w:val="none" w:sz="0" w:space="0" w:color="auto"/>
      </w:divBdr>
    </w:div>
    <w:div w:id="1424954112">
      <w:bodyDiv w:val="1"/>
      <w:marLeft w:val="0"/>
      <w:marRight w:val="0"/>
      <w:marTop w:val="0"/>
      <w:marBottom w:val="0"/>
      <w:divBdr>
        <w:top w:val="none" w:sz="0" w:space="0" w:color="auto"/>
        <w:left w:val="none" w:sz="0" w:space="0" w:color="auto"/>
        <w:bottom w:val="none" w:sz="0" w:space="0" w:color="auto"/>
        <w:right w:val="none" w:sz="0" w:space="0" w:color="auto"/>
      </w:divBdr>
    </w:div>
    <w:div w:id="19754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srr/2025/v31i8335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hdl.handle.net/11250/27886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9</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cp:revision>
  <dcterms:created xsi:type="dcterms:W3CDTF">2025-11-17T05:43:00Z</dcterms:created>
  <dcterms:modified xsi:type="dcterms:W3CDTF">2025-11-25T12:08:00Z</dcterms:modified>
</cp:coreProperties>
</file>