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451AB" w14:textId="77777777" w:rsidR="00754C9A" w:rsidRDefault="00754C9A" w:rsidP="00441B6F">
      <w:pPr>
        <w:pStyle w:val="Title"/>
        <w:spacing w:after="0"/>
        <w:jc w:val="both"/>
        <w:rPr>
          <w:rFonts w:ascii="Arial" w:hAnsi="Arial" w:cs="Arial"/>
        </w:rPr>
      </w:pPr>
    </w:p>
    <w:p w14:paraId="2705486C" w14:textId="52C2F31C" w:rsidR="00A258C3" w:rsidRDefault="00A6179A" w:rsidP="00441B6F">
      <w:pPr>
        <w:pStyle w:val="Author"/>
        <w:spacing w:line="240" w:lineRule="auto"/>
        <w:jc w:val="both"/>
        <w:rPr>
          <w:rFonts w:ascii="Arial" w:hAnsi="Arial" w:cs="Arial"/>
          <w:bCs/>
          <w:iCs/>
          <w:kern w:val="28"/>
          <w:sz w:val="36"/>
        </w:rPr>
      </w:pPr>
      <w:r w:rsidRPr="00A6179A">
        <w:rPr>
          <w:rFonts w:ascii="Arial" w:hAnsi="Arial" w:cs="Arial"/>
          <w:bCs/>
          <w:iCs/>
          <w:kern w:val="28"/>
          <w:sz w:val="36"/>
        </w:rPr>
        <w:t>Physicochemical Characteristics of High-Temperature Daqu with Different Colors and Their Influence on Ferme</w:t>
      </w:r>
      <w:bookmarkStart w:id="0" w:name="_GoBack"/>
      <w:bookmarkEnd w:id="0"/>
      <w:r w:rsidRPr="00A6179A">
        <w:rPr>
          <w:rFonts w:ascii="Arial" w:hAnsi="Arial" w:cs="Arial"/>
          <w:bCs/>
          <w:iCs/>
          <w:kern w:val="28"/>
          <w:sz w:val="36"/>
        </w:rPr>
        <w:t>ntation Quality</w:t>
      </w:r>
    </w:p>
    <w:p w14:paraId="04C22134" w14:textId="77777777" w:rsidR="00E50A5A" w:rsidRPr="00790ADA" w:rsidRDefault="00E50A5A" w:rsidP="00441B6F">
      <w:pPr>
        <w:pStyle w:val="Author"/>
        <w:spacing w:line="240" w:lineRule="auto"/>
        <w:jc w:val="both"/>
        <w:rPr>
          <w:rFonts w:ascii="Arial" w:hAnsi="Arial" w:cs="Arial"/>
          <w:sz w:val="36"/>
        </w:rPr>
      </w:pPr>
    </w:p>
    <w:p w14:paraId="575F77F9" w14:textId="77777777" w:rsidR="005A4A77" w:rsidRPr="004E1A9C" w:rsidRDefault="005A4A77" w:rsidP="00A82B2D">
      <w:pPr>
        <w:rPr>
          <w:rFonts w:ascii="Times New Roman" w:hAnsi="Times New Roman"/>
        </w:rPr>
      </w:pPr>
    </w:p>
    <w:p w14:paraId="6B0910A6" w14:textId="2CF4AC1A" w:rsidR="00790ADA" w:rsidRDefault="00790ADA" w:rsidP="00A6179A">
      <w:pPr>
        <w:pStyle w:val="Affiliation"/>
        <w:spacing w:after="0" w:line="240" w:lineRule="auto"/>
        <w:rPr>
          <w:rFonts w:ascii="Arial" w:hAnsi="Arial" w:cs="Arial"/>
        </w:rPr>
      </w:pPr>
    </w:p>
    <w:p w14:paraId="55D0936F" w14:textId="77777777" w:rsidR="002C57D2" w:rsidRPr="00FB3A86" w:rsidRDefault="002C57D2" w:rsidP="00441B6F">
      <w:pPr>
        <w:pStyle w:val="Affiliation"/>
        <w:spacing w:after="0" w:line="240" w:lineRule="auto"/>
        <w:jc w:val="both"/>
        <w:rPr>
          <w:rFonts w:ascii="Arial" w:hAnsi="Arial" w:cs="Arial"/>
        </w:rPr>
      </w:pPr>
    </w:p>
    <w:p w14:paraId="3DB4EF27" w14:textId="77777777" w:rsidR="00B01FCD" w:rsidRPr="00FB3A86" w:rsidRDefault="00DB4705" w:rsidP="00441B6F">
      <w:pPr>
        <w:pStyle w:val="Copyright"/>
        <w:spacing w:after="0" w:line="240" w:lineRule="auto"/>
        <w:jc w:val="both"/>
        <w:rPr>
          <w:rFonts w:ascii="Arial" w:hAnsi="Arial" w:cs="Arial"/>
        </w:rPr>
        <w:sectPr w:rsidR="00B01FCD" w:rsidRPr="00FB3A86" w:rsidSect="00EB340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A72EDB2">
          <v:shapetype id="_x0000_t32" coordsize="21600,21600" o:spt="32" o:oned="t" path="m,l21600,21600e" filled="f">
            <v:path arrowok="t" fillok="f" o:connecttype="none"/>
            <o:lock v:ext="edit" shapetype="t"/>
          </v:shapetype>
          <v:shape id="_x0000_s103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1477F3C" w14:textId="3697BAA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EE9195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B195640" w14:textId="77777777" w:rsidTr="001E44FE">
        <w:tc>
          <w:tcPr>
            <w:tcW w:w="9576" w:type="dxa"/>
            <w:shd w:val="clear" w:color="auto" w:fill="F2F2F2"/>
          </w:tcPr>
          <w:p w14:paraId="74ACD98B" w14:textId="77777777" w:rsidR="00E3114E" w:rsidRDefault="00E3114E" w:rsidP="00441B6F">
            <w:pPr>
              <w:pStyle w:val="Body"/>
              <w:spacing w:after="0"/>
              <w:rPr>
                <w:rFonts w:ascii="Arial" w:eastAsia="Calibri" w:hAnsi="Arial" w:cs="Arial"/>
                <w:b/>
                <w:szCs w:val="22"/>
              </w:rPr>
            </w:pPr>
          </w:p>
          <w:p w14:paraId="2622B17E" w14:textId="08BCCD3F" w:rsid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E50A5A" w:rsidRPr="00E50A5A">
              <w:rPr>
                <w:rFonts w:ascii="Arial" w:eastAsia="Calibri" w:hAnsi="Arial" w:cs="Arial"/>
                <w:szCs w:val="22"/>
              </w:rPr>
              <w:t>This study aimed to compare the physicochemical characteristics of white, black, and yellow high-temperature Daqu to determine how moisture, acidity, starch composition, amino acid nitrogen, saccharification power, and liquefaction activity relate to functional performance during Baijiu fermentation.</w:t>
            </w:r>
          </w:p>
          <w:p w14:paraId="3AEAF2D6" w14:textId="77777777" w:rsidR="00E50A5A" w:rsidRPr="00BA1B01" w:rsidRDefault="00E50A5A" w:rsidP="00441B6F">
            <w:pPr>
              <w:pStyle w:val="Body"/>
              <w:spacing w:after="0"/>
              <w:rPr>
                <w:rFonts w:ascii="Arial" w:eastAsia="Calibri" w:hAnsi="Arial" w:cs="Arial"/>
                <w:szCs w:val="22"/>
              </w:rPr>
            </w:pPr>
          </w:p>
          <w:p w14:paraId="1BFFFC54" w14:textId="482EA3CD" w:rsid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6872DF" w:rsidRPr="006872DF">
              <w:rPr>
                <w:rFonts w:ascii="Arial" w:eastAsia="Calibri" w:hAnsi="Arial" w:cs="Arial"/>
                <w:szCs w:val="22"/>
              </w:rPr>
              <w:t>This was an experimental, laboratory-based comparative analysis of three Daqu types differing in color and fermentation stage.</w:t>
            </w:r>
          </w:p>
          <w:p w14:paraId="1F2E6D83" w14:textId="77777777" w:rsidR="006872DF" w:rsidRPr="00BA1B01" w:rsidRDefault="006872DF" w:rsidP="00441B6F">
            <w:pPr>
              <w:pStyle w:val="Body"/>
              <w:spacing w:after="0"/>
              <w:rPr>
                <w:rFonts w:ascii="Arial" w:eastAsia="Calibri" w:hAnsi="Arial" w:cs="Arial"/>
                <w:szCs w:val="22"/>
              </w:rPr>
            </w:pPr>
          </w:p>
          <w:p w14:paraId="467FD5EB" w14:textId="56C205A5" w:rsid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6872DF" w:rsidRPr="006872DF">
              <w:rPr>
                <w:rFonts w:ascii="Arial" w:eastAsia="Calibri" w:hAnsi="Arial" w:cs="Arial"/>
                <w:szCs w:val="22"/>
              </w:rPr>
              <w:t>The study was conducted 1College of Food Science and Nutritional Engineering, China Agricultural University, Beijing, over a period of three months.</w:t>
            </w:r>
            <w:r w:rsidR="006872DF">
              <w:rPr>
                <w:rFonts w:ascii="Arial" w:eastAsia="Calibri" w:hAnsi="Arial" w:cs="Arial"/>
                <w:szCs w:val="22"/>
              </w:rPr>
              <w:t xml:space="preserve"> Dec. 2024 to Feb. 2025.</w:t>
            </w:r>
          </w:p>
          <w:p w14:paraId="62767C3F" w14:textId="77777777" w:rsidR="00E50A5A" w:rsidRPr="00BA1B01" w:rsidRDefault="00E50A5A" w:rsidP="00441B6F">
            <w:pPr>
              <w:pStyle w:val="Body"/>
              <w:spacing w:after="0"/>
              <w:rPr>
                <w:rFonts w:ascii="Arial" w:eastAsia="Calibri" w:hAnsi="Arial" w:cs="Arial"/>
                <w:szCs w:val="22"/>
              </w:rPr>
            </w:pPr>
          </w:p>
          <w:p w14:paraId="04B66721" w14:textId="24DC77A6" w:rsidR="00E50A5A"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6872DF" w:rsidRPr="006872DF">
              <w:rPr>
                <w:rFonts w:ascii="Arial" w:eastAsia="Calibri" w:hAnsi="Arial" w:cs="Arial"/>
                <w:szCs w:val="22"/>
              </w:rPr>
              <w:t>White, black, and yellow Daqu samples were collected and analyzed for moisture content, total acidity, starch and amylose levels, amino acid nitrogen, saccharification power, and liquefaction activity. Standard physicochemical assays were applied, including oven</w:t>
            </w:r>
            <w:r w:rsidR="006872DF" w:rsidRPr="006872DF">
              <w:rPr>
                <w:rFonts w:ascii="Cambria Math" w:eastAsia="Calibri" w:hAnsi="Cambria Math" w:cs="Cambria Math"/>
                <w:szCs w:val="22"/>
              </w:rPr>
              <w:t>‐</w:t>
            </w:r>
            <w:r w:rsidR="006872DF" w:rsidRPr="006872DF">
              <w:rPr>
                <w:rFonts w:ascii="Arial" w:eastAsia="Calibri" w:hAnsi="Arial" w:cs="Arial"/>
                <w:szCs w:val="22"/>
              </w:rPr>
              <w:t>drying for moisture, titration for acidity, colorimetric and enzymatic assays for starch composition and nitrogen content, and activity-based methods for quantifying saccharification and liquefaction capacity. Data were statistically compared across Daqu types to identify significant physicochemical differences.</w:t>
            </w:r>
          </w:p>
          <w:p w14:paraId="307ACBB2" w14:textId="77777777" w:rsidR="006872DF" w:rsidRPr="00BA1B01" w:rsidRDefault="006872DF" w:rsidP="00441B6F">
            <w:pPr>
              <w:pStyle w:val="Body"/>
              <w:spacing w:after="0"/>
              <w:rPr>
                <w:rFonts w:ascii="Arial" w:eastAsia="Calibri" w:hAnsi="Arial" w:cs="Arial"/>
                <w:szCs w:val="22"/>
              </w:rPr>
            </w:pPr>
          </w:p>
          <w:p w14:paraId="416BAD6A" w14:textId="369ED5DA" w:rsid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6872DF" w:rsidRPr="006872DF">
              <w:rPr>
                <w:rFonts w:ascii="Arial" w:eastAsia="Calibri" w:hAnsi="Arial" w:cs="Arial"/>
                <w:szCs w:val="22"/>
              </w:rPr>
              <w:t>Marked physicochemical variation was observed among the Daqu types. Black Daqu showed the highest moisture content, consistent with enhanced water absorption during storage, while yellow Daqu displayed the highest acidity, indicating more active biochemical and microbial metabolism. Starch, amylose, amino acid nitrogen, and liquefaction activity showed no significant differences across samples (P &gt; 0.05), suggesting comparable substrate availability and baseline enzymatic potential. In contrast, saccharification power differed significantly (P &lt; 0.05), with yellow Daqu presenting the lowest activity, implying reduced amylolytic capacity and potential effects on sugar release and fermentation kinetics.</w:t>
            </w:r>
          </w:p>
          <w:p w14:paraId="5509BCC5" w14:textId="77777777" w:rsidR="006872DF" w:rsidRPr="00BA1B01" w:rsidRDefault="006872DF" w:rsidP="00441B6F">
            <w:pPr>
              <w:pStyle w:val="Body"/>
              <w:spacing w:after="0"/>
              <w:rPr>
                <w:rFonts w:ascii="Arial" w:eastAsia="Calibri" w:hAnsi="Arial" w:cs="Arial"/>
                <w:b/>
                <w:bCs/>
                <w:szCs w:val="22"/>
              </w:rPr>
            </w:pPr>
          </w:p>
          <w:p w14:paraId="25EA5DB3" w14:textId="52F0DDDA"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947EBC" w:rsidRPr="00947EBC">
              <w:rPr>
                <w:rFonts w:ascii="Arial" w:eastAsia="Calibri" w:hAnsi="Arial" w:cs="Arial"/>
                <w:szCs w:val="22"/>
              </w:rPr>
              <w:t>Daqu color is linked to different physicochemical characteristics that affect its fermentation performance. Moisture, acidity, and saccharification ability were the main factors distinguishing the Daqu types and shaping microbial activity and aroma development. These results can guide better Daqu selection for quality control and point to the need for combined microbial and metabolomic research to fully explain how Daqu influences Baijiu aroma and overall product quality</w:t>
            </w:r>
            <w:r w:rsidR="00947EBC">
              <w:rPr>
                <w:rFonts w:ascii="Arial" w:eastAsia="Calibri" w:hAnsi="Arial" w:cs="Arial"/>
                <w:szCs w:val="22"/>
              </w:rPr>
              <w:t>.</w:t>
            </w:r>
          </w:p>
        </w:tc>
      </w:tr>
    </w:tbl>
    <w:p w14:paraId="060E8DE6" w14:textId="77777777" w:rsidR="00636EB2" w:rsidRDefault="00636EB2" w:rsidP="00441B6F">
      <w:pPr>
        <w:pStyle w:val="Body"/>
        <w:spacing w:after="0"/>
        <w:rPr>
          <w:rFonts w:ascii="Arial" w:hAnsi="Arial" w:cs="Arial"/>
          <w:i/>
        </w:rPr>
      </w:pPr>
    </w:p>
    <w:p w14:paraId="77667051" w14:textId="5A184A33" w:rsidR="00A24E7E" w:rsidRDefault="00A24E7E" w:rsidP="00441B6F">
      <w:pPr>
        <w:pStyle w:val="Body"/>
        <w:spacing w:after="0"/>
        <w:rPr>
          <w:rFonts w:ascii="Arial" w:hAnsi="Arial" w:cs="Arial"/>
          <w:i/>
        </w:rPr>
      </w:pPr>
      <w:r>
        <w:rPr>
          <w:rFonts w:ascii="Arial" w:hAnsi="Arial" w:cs="Arial"/>
          <w:i/>
        </w:rPr>
        <w:t xml:space="preserve">Keywords: </w:t>
      </w:r>
      <w:r w:rsidR="006872DF" w:rsidRPr="006872DF">
        <w:rPr>
          <w:rFonts w:ascii="Arial" w:hAnsi="Arial" w:cs="Arial"/>
          <w:i/>
        </w:rPr>
        <w:t>Daqu, physicochemical properties, saccharification, fermentation, Baijiu</w:t>
      </w:r>
    </w:p>
    <w:p w14:paraId="2FEFC35F" w14:textId="77777777" w:rsidR="00790ADA" w:rsidRDefault="00790ADA" w:rsidP="00441B6F">
      <w:pPr>
        <w:pStyle w:val="Body"/>
        <w:spacing w:after="0"/>
        <w:rPr>
          <w:rFonts w:ascii="Arial" w:hAnsi="Arial" w:cs="Arial"/>
          <w:i/>
        </w:rPr>
      </w:pPr>
    </w:p>
    <w:p w14:paraId="0627ED7A" w14:textId="77777777" w:rsidR="0024282C" w:rsidRDefault="0024282C" w:rsidP="00441B6F">
      <w:pPr>
        <w:pStyle w:val="Body"/>
        <w:spacing w:after="0"/>
        <w:rPr>
          <w:rFonts w:ascii="Arial" w:hAnsi="Arial" w:cs="Arial"/>
          <w:i/>
          <w:sz w:val="18"/>
        </w:rPr>
      </w:pPr>
    </w:p>
    <w:p w14:paraId="44CE1519" w14:textId="77777777" w:rsidR="00505F06" w:rsidRPr="00A24E7E" w:rsidRDefault="00505F06" w:rsidP="00441B6F">
      <w:pPr>
        <w:pStyle w:val="Body"/>
        <w:spacing w:after="0"/>
        <w:rPr>
          <w:rFonts w:ascii="Arial" w:hAnsi="Arial" w:cs="Arial"/>
          <w:i/>
        </w:rPr>
      </w:pPr>
    </w:p>
    <w:p w14:paraId="310C2744" w14:textId="0076982D"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3A4B249C" w14:textId="77777777" w:rsidR="00790ADA" w:rsidRPr="00FB3A86" w:rsidRDefault="00790ADA" w:rsidP="00441B6F">
      <w:pPr>
        <w:pStyle w:val="AbstHead"/>
        <w:spacing w:after="0"/>
        <w:jc w:val="both"/>
        <w:rPr>
          <w:rFonts w:ascii="Arial" w:hAnsi="Arial" w:cs="Arial"/>
        </w:rPr>
      </w:pPr>
    </w:p>
    <w:p w14:paraId="05506392" w14:textId="6ED9F36A" w:rsidR="006872DF" w:rsidRPr="006872DF" w:rsidRDefault="006872DF" w:rsidP="006872DF">
      <w:pPr>
        <w:pStyle w:val="Body"/>
        <w:rPr>
          <w:rFonts w:ascii="Arial" w:hAnsi="Arial" w:cs="Arial"/>
        </w:rPr>
      </w:pPr>
      <w:r w:rsidRPr="006872DF">
        <w:rPr>
          <w:rFonts w:ascii="Arial" w:hAnsi="Arial" w:cs="Arial"/>
        </w:rPr>
        <w:t>Baijiu, one of China’s most culturally significant and economically valuable distilled spirits, is widely celebrated for its diverse aromatic styles and complex flavor profiles (Li and Sun, 2023). Central to the production of Baijiu is Daqu, a traditional solid-state fermentation starter that provides the necessary enzymes and microbial consortia to initiate and drive fermentation. The quality, yield, and sensory attributes of Baijiu are profoundly shaped by the characteristics of the Daqu used, making Daqu an indispensable focus of research and industrial optimization (Li et al., 2023). Over the past decade, increasing attention has been directed toward understanding the physicochemical properties and microbial ecology of Daqu, with a growing emphasis on how color variations and temperature regimes affect its fermentation performance (Zhang Z.et al., 2025). Among the different production regimes, high-temperature Daqu, which is often produced under peak temperatures above 60–70°C</w:t>
      </w:r>
      <w:r w:rsidR="00947EBC">
        <w:rPr>
          <w:rFonts w:ascii="Arial" w:hAnsi="Arial" w:cs="Arial"/>
        </w:rPr>
        <w:t>,</w:t>
      </w:r>
      <w:r w:rsidRPr="006872DF">
        <w:rPr>
          <w:rFonts w:ascii="Arial" w:hAnsi="Arial" w:cs="Arial"/>
        </w:rPr>
        <w:t xml:space="preserve"> has become a critical subject due to its unique microbial composition, potent enzymatic activities, and strong contribution to flavor formation.</w:t>
      </w:r>
    </w:p>
    <w:p w14:paraId="780898C6" w14:textId="2D950BE5" w:rsidR="006872DF" w:rsidRPr="006872DF" w:rsidRDefault="006872DF" w:rsidP="006872DF">
      <w:pPr>
        <w:pStyle w:val="Body"/>
        <w:rPr>
          <w:rFonts w:ascii="Arial" w:hAnsi="Arial" w:cs="Arial"/>
        </w:rPr>
      </w:pPr>
      <w:r w:rsidRPr="006872DF">
        <w:rPr>
          <w:rFonts w:ascii="Arial" w:hAnsi="Arial" w:cs="Arial"/>
        </w:rPr>
        <w:t>Daqu is produced from grains such as wheat, barley, or rice through a complex process involving solid-state fermentation, aging, and controlled drying (Jiang et al., 2023). During fermentation, diverse microorganisms</w:t>
      </w:r>
      <w:r w:rsidR="00947EBC">
        <w:rPr>
          <w:rFonts w:ascii="Arial" w:hAnsi="Arial" w:cs="Arial"/>
        </w:rPr>
        <w:t>,</w:t>
      </w:r>
      <w:r w:rsidRPr="006872DF">
        <w:rPr>
          <w:rFonts w:ascii="Arial" w:hAnsi="Arial" w:cs="Arial"/>
        </w:rPr>
        <w:t xml:space="preserve"> including bacteria, fungi, and yeasts</w:t>
      </w:r>
      <w:r w:rsidR="00947EBC">
        <w:rPr>
          <w:rFonts w:ascii="Arial" w:hAnsi="Arial" w:cs="Arial"/>
        </w:rPr>
        <w:t>,</w:t>
      </w:r>
      <w:r w:rsidRPr="006872DF">
        <w:rPr>
          <w:rFonts w:ascii="Arial" w:hAnsi="Arial" w:cs="Arial"/>
        </w:rPr>
        <w:t xml:space="preserve"> colonize the Daqu matrix, synthesizing enzymes that break down starches, proteins, and lipids into fermentable substrates and flavor precursors (Xia et al., 2023). The metabolic interplay among these microorganisms contributes to the desirable aroma compounds in Baijiu while suppressing or transforming undesirable metabolites. As Daqu matures, it develops a range of colors</w:t>
      </w:r>
      <w:r w:rsidR="00947EBC">
        <w:rPr>
          <w:rFonts w:ascii="Arial" w:hAnsi="Arial" w:cs="Arial"/>
        </w:rPr>
        <w:t>,</w:t>
      </w:r>
      <w:r w:rsidRPr="006872DF">
        <w:rPr>
          <w:rFonts w:ascii="Arial" w:hAnsi="Arial" w:cs="Arial"/>
        </w:rPr>
        <w:t xml:space="preserve"> typically white, yellow, brown, or black</w:t>
      </w:r>
      <w:r w:rsidR="00947EBC">
        <w:rPr>
          <w:rFonts w:ascii="Arial" w:hAnsi="Arial" w:cs="Arial"/>
        </w:rPr>
        <w:t>,</w:t>
      </w:r>
      <w:r w:rsidRPr="006872DF">
        <w:rPr>
          <w:rFonts w:ascii="Arial" w:hAnsi="Arial" w:cs="Arial"/>
        </w:rPr>
        <w:t xml:space="preserve"> each of which serves as an indicator of fermentation conditions, microbial succession, substrate utilization, and thermal history (Zong et al., 2024). These color differences also align closely with Daqu quality. For instance, yellow Daqu is widely regarded as having superior fermentation characteristics, followed by white Daqu, while black Daqu is commonly associated with overheating, undesirable microbial activity, or inadequate drying, resulting in reduced quality (Zhang Z., et al., 2025)</w:t>
      </w:r>
    </w:p>
    <w:p w14:paraId="7CD9E1BB" w14:textId="7D7BE87B" w:rsidR="006872DF" w:rsidRPr="006872DF" w:rsidRDefault="006872DF" w:rsidP="006872DF">
      <w:pPr>
        <w:pStyle w:val="Body"/>
        <w:rPr>
          <w:rFonts w:ascii="Arial" w:hAnsi="Arial" w:cs="Arial"/>
        </w:rPr>
      </w:pPr>
      <w:r w:rsidRPr="006872DF">
        <w:rPr>
          <w:rFonts w:ascii="Arial" w:hAnsi="Arial" w:cs="Arial"/>
        </w:rPr>
        <w:t xml:space="preserve">Various production conditions contribute to the formation of these color distinctions. Optimal temperatures during early fermentation and sufficient drying tend to favor yellow Daqu formation, whereas lower temperatures during pre-fermentation or insufficient water removal produce whiter Daqu (Deng et al., 2020). Conversely, excessively rapid temperature increases or poor drying toward the end of fermentation often result in blackened Daqu, signaling excessively high thermal stress or microbial imbalance (Jiang et al., 2023). These visible color variations reflect deeper </w:t>
      </w:r>
      <w:r w:rsidR="00947EBC">
        <w:rPr>
          <w:rFonts w:ascii="Arial" w:hAnsi="Arial" w:cs="Arial"/>
        </w:rPr>
        <w:t>physicochemical</w:t>
      </w:r>
      <w:r w:rsidR="00947EBC" w:rsidRPr="006872DF">
        <w:rPr>
          <w:rFonts w:ascii="Arial" w:hAnsi="Arial" w:cs="Arial"/>
        </w:rPr>
        <w:t xml:space="preserve"> </w:t>
      </w:r>
      <w:r w:rsidRPr="006872DF">
        <w:rPr>
          <w:rFonts w:ascii="Arial" w:hAnsi="Arial" w:cs="Arial"/>
        </w:rPr>
        <w:t xml:space="preserve">and microbiological differences that may exert </w:t>
      </w:r>
      <w:r w:rsidR="00947EBC">
        <w:rPr>
          <w:rFonts w:ascii="Arial" w:hAnsi="Arial" w:cs="Arial"/>
        </w:rPr>
        <w:t xml:space="preserve">a </w:t>
      </w:r>
      <w:r w:rsidRPr="006872DF">
        <w:rPr>
          <w:rFonts w:ascii="Arial" w:hAnsi="Arial" w:cs="Arial"/>
        </w:rPr>
        <w:t xml:space="preserve">significant influence on fermentation efficiency and flavor development. Indeed, recent studies suggest that Daqu color may correlate with distinct flavor-contributing microbial taxa and enzymatic activity profiles, ultimately affecting the sensory traits of Baijiu (Li, Q et al., 2025; Chen et al., 2025). </w:t>
      </w:r>
    </w:p>
    <w:p w14:paraId="4DB5C23C" w14:textId="3CA7ADAE" w:rsidR="006872DF" w:rsidRPr="006872DF" w:rsidRDefault="006872DF" w:rsidP="006872DF">
      <w:pPr>
        <w:pStyle w:val="Body"/>
        <w:rPr>
          <w:rFonts w:ascii="Arial" w:hAnsi="Arial" w:cs="Arial"/>
        </w:rPr>
      </w:pPr>
      <w:r w:rsidRPr="006872DF">
        <w:rPr>
          <w:rFonts w:ascii="Arial" w:hAnsi="Arial" w:cs="Arial"/>
        </w:rPr>
        <w:t xml:space="preserve">Temperature plays a central role in shaping the microbial ecology and physicochemical characteristics of high-temperature Daqu (Deng, 2020). Elevated incubation conditions selectively promote thermophilic and thermotolerant microorganisms such as </w:t>
      </w:r>
      <w:proofErr w:type="spellStart"/>
      <w:r w:rsidRPr="005F4DF1">
        <w:rPr>
          <w:rFonts w:ascii="Arial" w:hAnsi="Arial" w:cs="Arial"/>
          <w:i/>
          <w:iCs/>
        </w:rPr>
        <w:t>Thermomyces</w:t>
      </w:r>
      <w:proofErr w:type="spellEnd"/>
      <w:r w:rsidRPr="006872DF">
        <w:rPr>
          <w:rFonts w:ascii="Arial" w:hAnsi="Arial" w:cs="Arial"/>
        </w:rPr>
        <w:t xml:space="preserve">, </w:t>
      </w:r>
      <w:r w:rsidRPr="005F4DF1">
        <w:rPr>
          <w:rFonts w:ascii="Arial" w:hAnsi="Arial" w:cs="Arial"/>
          <w:i/>
          <w:iCs/>
        </w:rPr>
        <w:t>Aspergillus</w:t>
      </w:r>
      <w:r w:rsidRPr="006872DF">
        <w:rPr>
          <w:rFonts w:ascii="Arial" w:hAnsi="Arial" w:cs="Arial"/>
        </w:rPr>
        <w:t xml:space="preserve">, and </w:t>
      </w:r>
      <w:r w:rsidRPr="005F4DF1">
        <w:rPr>
          <w:rFonts w:ascii="Arial" w:hAnsi="Arial" w:cs="Arial"/>
          <w:i/>
          <w:iCs/>
        </w:rPr>
        <w:t>Bacillus</w:t>
      </w:r>
      <w:r w:rsidR="00947EBC">
        <w:rPr>
          <w:rFonts w:ascii="Arial" w:hAnsi="Arial" w:cs="Arial"/>
        </w:rPr>
        <w:t>,</w:t>
      </w:r>
      <w:r w:rsidRPr="006872DF">
        <w:rPr>
          <w:rFonts w:ascii="Arial" w:hAnsi="Arial" w:cs="Arial"/>
        </w:rPr>
        <w:t xml:space="preserve"> which secrete high levels of amylases, proteases, esterases, and lipases crucial for saccharification, proteolysis, and flavor precursor formation (Jaiswal &amp; Jaiswal, 2024). These temperature-driven shifts suppress mesophilic species and restructure metabolic pathways, ultimately influencing fermentation kinetics and aroma compound development. Advances in molecular tools, including high-throughput sequencing and metagenomics, have deepened understanding of these microbial dynamics, revealing how temperature-induced ecological changes translate into functional variations in Daqu fermentation (Wu et al., 2025).</w:t>
      </w:r>
    </w:p>
    <w:p w14:paraId="1F2AB0BC" w14:textId="1592B34B" w:rsidR="00790ADA" w:rsidRDefault="006872DF" w:rsidP="006872DF">
      <w:pPr>
        <w:pStyle w:val="Body"/>
        <w:spacing w:after="0"/>
        <w:rPr>
          <w:rFonts w:ascii="Arial" w:hAnsi="Arial" w:cs="Arial"/>
        </w:rPr>
      </w:pPr>
      <w:r w:rsidRPr="006872DF">
        <w:rPr>
          <w:rFonts w:ascii="Arial" w:hAnsi="Arial" w:cs="Arial"/>
        </w:rPr>
        <w:t>Alongside microbial impacts, temperature profoundly affects the physicochemical properties and flavor-forming potential of Daqu (Wu et al., 2025). High thermal conditions modify enzyme activity, water availability, and substrate degradation rates, while accelerating Maillard and caramelization reactions that darken color and generate melanoidins (Liu et al., 2022). These biochemical processes contribute to a wide range of volatile compounds</w:t>
      </w:r>
      <w:r w:rsidR="00947EBC">
        <w:rPr>
          <w:rFonts w:ascii="Arial" w:hAnsi="Arial" w:cs="Arial"/>
        </w:rPr>
        <w:t>,</w:t>
      </w:r>
      <w:r w:rsidRPr="006872DF">
        <w:rPr>
          <w:rFonts w:ascii="Arial" w:hAnsi="Arial" w:cs="Arial"/>
        </w:rPr>
        <w:t xml:space="preserve"> including esters, acids, aldehydes, and aromatics, resulting from carbohydrate, protein, and lipid metabolism. Because Daqu color reflects these underlying thermal and microbial interactions, understanding color-associated differences remains essential. Yet, systematic comparisons of white, yellow, and black high-temperature Daqu remain limited. This study</w:t>
      </w:r>
      <w:r w:rsidR="00947EBC">
        <w:rPr>
          <w:rFonts w:ascii="Arial" w:hAnsi="Arial" w:cs="Arial"/>
        </w:rPr>
        <w:t>,</w:t>
      </w:r>
      <w:r w:rsidRPr="006872DF">
        <w:rPr>
          <w:rFonts w:ascii="Arial" w:hAnsi="Arial" w:cs="Arial"/>
        </w:rPr>
        <w:t xml:space="preserve"> therefore</w:t>
      </w:r>
      <w:r w:rsidR="00947EBC">
        <w:rPr>
          <w:rFonts w:ascii="Arial" w:hAnsi="Arial" w:cs="Arial"/>
        </w:rPr>
        <w:t>,</w:t>
      </w:r>
      <w:r w:rsidRPr="006872DF">
        <w:rPr>
          <w:rFonts w:ascii="Arial" w:hAnsi="Arial" w:cs="Arial"/>
        </w:rPr>
        <w:t xml:space="preserve"> addresses this gap by examining their physicochemical traits, microbial communities, and flavor profiles to clarify how color distinctions influence fermentation quality. Through this integrated approach, the study seeks to clarify how color-associated variations in high-temperature Daqu influence fermentation quality</w:t>
      </w:r>
      <w:r w:rsidR="00947EBC">
        <w:rPr>
          <w:rFonts w:ascii="Arial" w:hAnsi="Arial" w:cs="Arial"/>
        </w:rPr>
        <w:t>,</w:t>
      </w:r>
      <w:r w:rsidRPr="006872DF">
        <w:rPr>
          <w:rFonts w:ascii="Arial" w:hAnsi="Arial" w:cs="Arial"/>
        </w:rPr>
        <w:t xml:space="preserve"> ultimately contributing to improved process control, scientific understanding, and product consistency in Baijiu production.</w:t>
      </w:r>
    </w:p>
    <w:p w14:paraId="07746761" w14:textId="77777777" w:rsidR="006872DF" w:rsidRPr="00FB3A86" w:rsidRDefault="006872DF" w:rsidP="006872DF">
      <w:pPr>
        <w:pStyle w:val="Body"/>
        <w:spacing w:after="0"/>
        <w:rPr>
          <w:rFonts w:ascii="Arial" w:hAnsi="Arial" w:cs="Arial"/>
        </w:rPr>
      </w:pPr>
    </w:p>
    <w:p w14:paraId="43CAD3AB" w14:textId="4C37C139"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 experimental </w:t>
      </w:r>
      <w:r w:rsidR="00947EBC">
        <w:rPr>
          <w:rFonts w:ascii="Arial" w:hAnsi="Arial" w:cs="Arial"/>
        </w:rPr>
        <w:t>details/methodology</w:t>
      </w:r>
      <w:r w:rsidR="007F7B32">
        <w:rPr>
          <w:rFonts w:ascii="Arial" w:hAnsi="Arial" w:cs="Arial"/>
        </w:rPr>
        <w:t xml:space="preserve"> (Arial, Bold, 11 </w:t>
      </w:r>
      <w:proofErr w:type="gramStart"/>
      <w:r w:rsidR="007F7B32">
        <w:rPr>
          <w:rFonts w:ascii="Arial" w:hAnsi="Arial" w:cs="Arial"/>
        </w:rPr>
        <w:t>font</w:t>
      </w:r>
      <w:proofErr w:type="gramEnd"/>
      <w:r w:rsidR="007F7B32">
        <w:rPr>
          <w:rFonts w:ascii="Arial" w:hAnsi="Arial" w:cs="Arial"/>
        </w:rPr>
        <w:t>, left aligned, caps)</w:t>
      </w:r>
    </w:p>
    <w:p w14:paraId="572729E0" w14:textId="77777777" w:rsidR="00790ADA" w:rsidRPr="00FB3A86" w:rsidRDefault="00790ADA" w:rsidP="00441B6F">
      <w:pPr>
        <w:pStyle w:val="AbstHead"/>
        <w:spacing w:after="0"/>
        <w:jc w:val="both"/>
        <w:rPr>
          <w:rFonts w:ascii="Arial" w:hAnsi="Arial" w:cs="Arial"/>
        </w:rPr>
      </w:pPr>
    </w:p>
    <w:p w14:paraId="319AB208" w14:textId="77777777" w:rsidR="006872DF" w:rsidRPr="006872DF" w:rsidRDefault="006872DF" w:rsidP="006872DF">
      <w:pPr>
        <w:spacing w:after="160"/>
        <w:rPr>
          <w:rFonts w:ascii="Arial" w:eastAsia="Calibri" w:hAnsi="Arial" w:cs="Arial"/>
          <w:b/>
          <w:bCs/>
          <w:kern w:val="2"/>
        </w:rPr>
      </w:pPr>
      <w:r w:rsidRPr="006872DF">
        <w:rPr>
          <w:rFonts w:ascii="Arial" w:eastAsia="Calibri" w:hAnsi="Arial" w:cs="Arial"/>
          <w:b/>
          <w:bCs/>
          <w:kern w:val="2"/>
        </w:rPr>
        <w:t>2.1 Materials and Reagents</w:t>
      </w:r>
    </w:p>
    <w:p w14:paraId="16ACA91C" w14:textId="77777777" w:rsidR="006872DF" w:rsidRPr="006872DF" w:rsidRDefault="006872DF" w:rsidP="006872DF">
      <w:pPr>
        <w:spacing w:after="160"/>
        <w:jc w:val="both"/>
        <w:rPr>
          <w:rFonts w:ascii="Arial" w:eastAsia="Calibri" w:hAnsi="Arial" w:cs="Arial"/>
          <w:kern w:val="2"/>
        </w:rPr>
      </w:pPr>
      <w:r w:rsidRPr="006872DF">
        <w:rPr>
          <w:rFonts w:ascii="Arial" w:eastAsia="Calibri" w:hAnsi="Arial" w:cs="Arial"/>
          <w:kern w:val="2"/>
        </w:rPr>
        <w:lastRenderedPageBreak/>
        <w:t xml:space="preserve">All chemicals and reagents used in this study were of analytical grade. Key reagents included acetic acid (Macklin, Lot C16225512), anhydrous sodium acetate (Macklin, Lot C16314441), Fehling’s solution (Shanghai </w:t>
      </w:r>
      <w:proofErr w:type="spellStart"/>
      <w:r w:rsidRPr="006872DF">
        <w:rPr>
          <w:rFonts w:ascii="Arial" w:eastAsia="Calibri" w:hAnsi="Arial" w:cs="Arial"/>
          <w:kern w:val="2"/>
        </w:rPr>
        <w:t>Yuanye</w:t>
      </w:r>
      <w:proofErr w:type="spellEnd"/>
      <w:r w:rsidRPr="006872DF">
        <w:rPr>
          <w:rFonts w:ascii="Arial" w:eastAsia="Calibri" w:hAnsi="Arial" w:cs="Arial"/>
          <w:kern w:val="2"/>
        </w:rPr>
        <w:t xml:space="preserve"> Biotechnology, Lot N25HR14126A), glucose standard solution (</w:t>
      </w:r>
      <w:proofErr w:type="spellStart"/>
      <w:r w:rsidRPr="006872DF">
        <w:rPr>
          <w:rFonts w:ascii="Arial" w:eastAsia="Calibri" w:hAnsi="Arial" w:cs="Arial"/>
          <w:kern w:val="2"/>
        </w:rPr>
        <w:t>Solarbio</w:t>
      </w:r>
      <w:proofErr w:type="spellEnd"/>
      <w:r w:rsidRPr="006872DF">
        <w:rPr>
          <w:rFonts w:ascii="Arial" w:eastAsia="Calibri" w:hAnsi="Arial" w:cs="Arial"/>
          <w:kern w:val="2"/>
        </w:rPr>
        <w:t xml:space="preserve"> Life Science, Lot 318X026), hydrochloric acid (Sinopharm Chemical Reagent Co. Ltd, Lot 10011018), soluble starch (General Reagent, Lot P2756404), sodium hydroxide (Macklin, Lot C16007259), and methylene blue indicator (Aladdin, Lot G1520039).</w:t>
      </w:r>
    </w:p>
    <w:p w14:paraId="78E06698" w14:textId="77777777" w:rsidR="006872DF" w:rsidRPr="006872DF" w:rsidRDefault="006872DF" w:rsidP="006872DF">
      <w:pPr>
        <w:spacing w:after="160"/>
        <w:jc w:val="both"/>
        <w:rPr>
          <w:rFonts w:ascii="Arial" w:eastAsia="Calibri" w:hAnsi="Arial" w:cs="Arial"/>
          <w:b/>
          <w:bCs/>
          <w:kern w:val="2"/>
        </w:rPr>
      </w:pPr>
      <w:r w:rsidRPr="006872DF">
        <w:rPr>
          <w:rFonts w:ascii="Arial" w:eastAsia="Calibri" w:hAnsi="Arial" w:cs="Arial"/>
          <w:b/>
          <w:bCs/>
          <w:kern w:val="2"/>
        </w:rPr>
        <w:t>2.2 Physicochemical Analysis</w:t>
      </w:r>
    </w:p>
    <w:p w14:paraId="53CCC3BD" w14:textId="77777777" w:rsidR="006872DF" w:rsidRPr="006872DF" w:rsidRDefault="006872DF" w:rsidP="006872DF">
      <w:pPr>
        <w:spacing w:after="160"/>
        <w:jc w:val="both"/>
        <w:rPr>
          <w:rFonts w:ascii="Arial" w:eastAsia="Calibri" w:hAnsi="Arial" w:cs="Arial"/>
          <w:b/>
          <w:bCs/>
          <w:i/>
          <w:iCs/>
          <w:kern w:val="2"/>
        </w:rPr>
      </w:pPr>
      <w:r w:rsidRPr="006872DF">
        <w:rPr>
          <w:rFonts w:ascii="Arial" w:eastAsia="Calibri" w:hAnsi="Arial" w:cs="Arial"/>
          <w:b/>
          <w:bCs/>
          <w:i/>
          <w:iCs/>
          <w:kern w:val="2"/>
        </w:rPr>
        <w:t>2.2.1 Moisture Content Determination</w:t>
      </w:r>
    </w:p>
    <w:p w14:paraId="717E0080" w14:textId="7276335A" w:rsidR="006872DF" w:rsidRPr="006872DF" w:rsidRDefault="006872DF" w:rsidP="006872DF">
      <w:pPr>
        <w:spacing w:after="160"/>
        <w:jc w:val="both"/>
        <w:rPr>
          <w:rFonts w:ascii="Arial" w:eastAsia="Calibri" w:hAnsi="Arial" w:cs="Arial"/>
          <w:kern w:val="2"/>
        </w:rPr>
      </w:pPr>
      <w:r w:rsidRPr="006872DF">
        <w:rPr>
          <w:rFonts w:ascii="Arial" w:eastAsia="Calibri" w:hAnsi="Arial" w:cs="Arial"/>
          <w:kern w:val="2"/>
        </w:rPr>
        <w:t xml:space="preserve">Moisture content was determined using the constant-weight drying method. A clean weighing bottle was dried at 101–105 °C for 1 h, cooled, and weighed repeatedly until </w:t>
      </w:r>
      <w:r w:rsidR="00947EBC">
        <w:rPr>
          <w:rFonts w:ascii="Arial" w:eastAsia="Calibri" w:hAnsi="Arial" w:cs="Arial"/>
          <w:kern w:val="2"/>
        </w:rPr>
        <w:t xml:space="preserve">a </w:t>
      </w:r>
      <w:r w:rsidRPr="006872DF">
        <w:rPr>
          <w:rFonts w:ascii="Arial" w:eastAsia="Calibri" w:hAnsi="Arial" w:cs="Arial"/>
          <w:kern w:val="2"/>
        </w:rPr>
        <w:t xml:space="preserve">constant mass was achieved. Approximately 4–5 g of Daqu was placed into the pre-dried weighing bottle and dried at 101–105 °C until constant weight. </w:t>
      </w:r>
    </w:p>
    <w:p w14:paraId="09E61C59" w14:textId="77777777" w:rsidR="006872DF" w:rsidRPr="006872DF" w:rsidRDefault="006872DF" w:rsidP="006872DF">
      <w:pPr>
        <w:spacing w:after="160"/>
        <w:jc w:val="both"/>
        <w:rPr>
          <w:rFonts w:ascii="Arial" w:eastAsia="Calibri" w:hAnsi="Arial" w:cs="Arial"/>
          <w:b/>
          <w:bCs/>
          <w:kern w:val="2"/>
        </w:rPr>
      </w:pPr>
      <w:r w:rsidRPr="006872DF">
        <w:rPr>
          <w:rFonts w:ascii="Arial" w:eastAsia="Calibri" w:hAnsi="Arial" w:cs="Arial"/>
          <w:b/>
          <w:bCs/>
          <w:kern w:val="2"/>
        </w:rPr>
        <w:t xml:space="preserve">2.2.2 </w:t>
      </w:r>
      <w:r w:rsidRPr="006872DF">
        <w:rPr>
          <w:rFonts w:ascii="Arial" w:eastAsia="Calibri" w:hAnsi="Arial" w:cs="Arial"/>
          <w:b/>
          <w:bCs/>
          <w:i/>
          <w:iCs/>
          <w:kern w:val="2"/>
        </w:rPr>
        <w:t>Acidity Determination</w:t>
      </w:r>
    </w:p>
    <w:p w14:paraId="5BDA40E5" w14:textId="77777777" w:rsidR="006872DF" w:rsidRPr="006872DF" w:rsidRDefault="006872DF" w:rsidP="006872DF">
      <w:pPr>
        <w:spacing w:after="160"/>
        <w:jc w:val="both"/>
        <w:rPr>
          <w:rFonts w:ascii="Arial" w:eastAsia="Calibri" w:hAnsi="Arial" w:cs="Arial"/>
          <w:kern w:val="2"/>
        </w:rPr>
      </w:pPr>
      <w:r w:rsidRPr="006872DF">
        <w:rPr>
          <w:rFonts w:ascii="Arial" w:eastAsia="Calibri" w:hAnsi="Arial" w:cs="Arial"/>
          <w:kern w:val="2"/>
        </w:rPr>
        <w:t>Acidity was measured using potentiometric titration as adopted by (Feng et al., 2020), with little modifications. A 10 g Daqu sample (±0.01 g) was added to 200 mL CO</w:t>
      </w:r>
      <w:r w:rsidRPr="006872DF">
        <w:rPr>
          <w:rFonts w:ascii="Cambria Math" w:eastAsia="Calibri" w:hAnsi="Cambria Math" w:cs="Cambria Math"/>
          <w:kern w:val="2"/>
        </w:rPr>
        <w:t>₂</w:t>
      </w:r>
      <w:r w:rsidRPr="006872DF">
        <w:rPr>
          <w:rFonts w:ascii="Arial" w:eastAsia="Calibri" w:hAnsi="Arial" w:cs="Arial"/>
          <w:kern w:val="2"/>
        </w:rPr>
        <w:t>-free water, stirred for 0.5 min, soaked for 30 min, filtered, and the filtrate collected. A 20 mL aliquot was titrated with 0.1 mol/L NaOH using a calibrated acidometer.</w:t>
      </w:r>
    </w:p>
    <w:p w14:paraId="5EF884BB" w14:textId="77777777" w:rsidR="006872DF" w:rsidRPr="006872DF" w:rsidRDefault="006872DF" w:rsidP="006872DF">
      <w:pPr>
        <w:spacing w:after="160"/>
        <w:jc w:val="both"/>
        <w:rPr>
          <w:rFonts w:ascii="Arial" w:eastAsia="Calibri" w:hAnsi="Arial" w:cs="Arial"/>
          <w:kern w:val="2"/>
        </w:rPr>
      </w:pPr>
      <w:r w:rsidRPr="006872DF">
        <w:rPr>
          <w:rFonts w:ascii="Arial" w:eastAsia="Calibri" w:hAnsi="Arial" w:cs="Arial"/>
          <w:kern w:val="2"/>
        </w:rPr>
        <w:t>Acidity (X</w:t>
      </w:r>
      <w:r w:rsidRPr="006872DF">
        <w:rPr>
          <w:rFonts w:ascii="Cambria Math" w:eastAsia="Calibri" w:hAnsi="Cambria Math" w:cs="Cambria Math"/>
          <w:kern w:val="2"/>
        </w:rPr>
        <w:t>₂</w:t>
      </w:r>
      <w:r w:rsidRPr="006872DF">
        <w:rPr>
          <w:rFonts w:ascii="Arial" w:eastAsia="Calibri" w:hAnsi="Arial" w:cs="Arial"/>
          <w:kern w:val="2"/>
        </w:rPr>
        <w:t>) was calculated using Equation (1):</w:t>
      </w:r>
    </w:p>
    <w:p w14:paraId="7F08D737" w14:textId="77777777" w:rsidR="006872DF" w:rsidRPr="006872DF" w:rsidRDefault="006872DF" w:rsidP="006872DF">
      <w:pPr>
        <w:tabs>
          <w:tab w:val="left" w:pos="5523"/>
        </w:tabs>
        <w:spacing w:after="160"/>
        <w:jc w:val="both"/>
        <w:rPr>
          <w:rFonts w:ascii="Arial" w:eastAsia="Calibri" w:hAnsi="Arial" w:cs="Arial"/>
          <w:kern w:val="2"/>
        </w:rPr>
      </w:pPr>
      <w:r w:rsidRPr="006872DF">
        <w:rPr>
          <w:rFonts w:ascii="Arial" w:eastAsia="Calibri" w:hAnsi="Arial" w:cs="Arial"/>
          <w:i/>
          <w:kern w:val="2"/>
        </w:rPr>
        <w:t xml:space="preserve"> </w:t>
      </w:r>
      <m:oMath>
        <m:sSub>
          <m:sSubPr>
            <m:ctrlPr>
              <w:rPr>
                <w:rFonts w:ascii="Cambria Math" w:eastAsia="Calibri" w:hAnsi="Cambria Math" w:cs="Arial"/>
                <w:i/>
                <w:kern w:val="2"/>
              </w:rPr>
            </m:ctrlPr>
          </m:sSubPr>
          <m:e>
            <m:r>
              <w:rPr>
                <w:rFonts w:ascii="Cambria Math" w:eastAsia="Calibri" w:hAnsi="Cambria Math" w:cs="Arial"/>
                <w:kern w:val="2"/>
              </w:rPr>
              <m:t>X</m:t>
            </m:r>
          </m:e>
          <m:sub>
            <m:r>
              <w:rPr>
                <w:rFonts w:ascii="Cambria Math" w:eastAsia="Calibri" w:hAnsi="Cambria Math" w:cs="Arial"/>
                <w:kern w:val="2"/>
              </w:rPr>
              <m:t>2</m:t>
            </m:r>
          </m:sub>
        </m:sSub>
        <m:r>
          <w:rPr>
            <w:rFonts w:ascii="Cambria Math" w:eastAsia="Calibri" w:hAnsi="Cambria Math" w:cs="Arial"/>
            <w:kern w:val="2"/>
          </w:rPr>
          <m:t>=</m:t>
        </m:r>
        <m:f>
          <m:fPr>
            <m:ctrlPr>
              <w:rPr>
                <w:rFonts w:ascii="Cambria Math" w:eastAsia="Calibri" w:hAnsi="Cambria Math" w:cs="Arial"/>
                <w:i/>
                <w:kern w:val="2"/>
              </w:rPr>
            </m:ctrlPr>
          </m:fPr>
          <m:num>
            <m:r>
              <w:rPr>
                <w:rFonts w:ascii="Cambria Math" w:eastAsia="Calibri" w:hAnsi="Cambria Math" w:cs="Arial"/>
                <w:kern w:val="2"/>
              </w:rPr>
              <m:t>C(</m:t>
            </m:r>
            <m:sSub>
              <m:sSubPr>
                <m:ctrlPr>
                  <w:rPr>
                    <w:rFonts w:ascii="Cambria Math" w:eastAsia="Calibri" w:hAnsi="Cambria Math" w:cs="Arial"/>
                    <w:i/>
                    <w:kern w:val="2"/>
                  </w:rPr>
                </m:ctrlPr>
              </m:sSubPr>
              <m:e>
                <m:r>
                  <w:rPr>
                    <w:rFonts w:ascii="Cambria Math" w:eastAsia="Calibri" w:hAnsi="Cambria Math" w:cs="Arial"/>
                    <w:kern w:val="2"/>
                  </w:rPr>
                  <m:t>V</m:t>
                </m:r>
              </m:e>
              <m:sub>
                <m:r>
                  <w:rPr>
                    <w:rFonts w:ascii="Cambria Math" w:eastAsia="Calibri" w:hAnsi="Cambria Math" w:cs="Arial"/>
                    <w:kern w:val="2"/>
                  </w:rPr>
                  <m:t>1-</m:t>
                </m:r>
              </m:sub>
            </m:sSub>
            <m:sSub>
              <m:sSubPr>
                <m:ctrlPr>
                  <w:rPr>
                    <w:rFonts w:ascii="Cambria Math" w:eastAsia="Calibri" w:hAnsi="Cambria Math" w:cs="Arial"/>
                    <w:i/>
                    <w:kern w:val="2"/>
                  </w:rPr>
                </m:ctrlPr>
              </m:sSubPr>
              <m:e>
                <m:r>
                  <w:rPr>
                    <w:rFonts w:ascii="Cambria Math" w:eastAsia="Calibri" w:hAnsi="Cambria Math" w:cs="Arial"/>
                    <w:kern w:val="2"/>
                  </w:rPr>
                  <m:t>V</m:t>
                </m:r>
              </m:e>
              <m:sub>
                <m:r>
                  <w:rPr>
                    <w:rFonts w:ascii="Cambria Math" w:eastAsia="Calibri" w:hAnsi="Cambria Math" w:cs="Arial"/>
                    <w:kern w:val="2"/>
                  </w:rPr>
                  <m:t>0</m:t>
                </m:r>
              </m:sub>
            </m:sSub>
            <m:r>
              <w:rPr>
                <w:rFonts w:ascii="Cambria Math" w:eastAsia="Calibri" w:hAnsi="Cambria Math" w:cs="Arial"/>
                <w:kern w:val="2"/>
              </w:rPr>
              <m:t>)</m:t>
            </m:r>
          </m:num>
          <m:den>
            <m:r>
              <w:rPr>
                <w:rFonts w:ascii="Cambria Math" w:eastAsia="Calibri" w:hAnsi="Cambria Math" w:cs="Arial"/>
                <w:kern w:val="2"/>
              </w:rPr>
              <m:t>20</m:t>
            </m:r>
          </m:den>
        </m:f>
        <m:r>
          <w:rPr>
            <w:rFonts w:ascii="Cambria Math" w:eastAsia="Calibri" w:hAnsi="Cambria Math" w:cs="Arial"/>
            <w:kern w:val="2"/>
          </w:rPr>
          <m:t xml:space="preserve"> ×200</m:t>
        </m:r>
      </m:oMath>
      <w:r w:rsidRPr="006872DF">
        <w:rPr>
          <w:rFonts w:ascii="Arial" w:eastAsia="Calibri" w:hAnsi="Arial" w:cs="Arial"/>
          <w:kern w:val="2"/>
        </w:rPr>
        <w:t>(1)</w:t>
      </w:r>
    </w:p>
    <w:p w14:paraId="11355EA8" w14:textId="77777777" w:rsidR="006872DF" w:rsidRPr="006872DF" w:rsidRDefault="006872DF" w:rsidP="006872DF">
      <w:pPr>
        <w:tabs>
          <w:tab w:val="left" w:pos="5523"/>
        </w:tabs>
        <w:spacing w:after="160"/>
        <w:jc w:val="both"/>
        <w:rPr>
          <w:rFonts w:ascii="Arial" w:eastAsia="Calibri" w:hAnsi="Arial" w:cs="Arial"/>
          <w:kern w:val="2"/>
        </w:rPr>
      </w:pPr>
      <w:r w:rsidRPr="006872DF">
        <w:rPr>
          <w:rFonts w:ascii="Arial" w:eastAsia="Calibri" w:hAnsi="Arial" w:cs="Arial"/>
          <w:kern w:val="2"/>
        </w:rPr>
        <w:t>Dry-basis acidity (X</w:t>
      </w:r>
      <w:r w:rsidRPr="006872DF">
        <w:rPr>
          <w:rFonts w:ascii="Cambria Math" w:eastAsia="Calibri" w:hAnsi="Cambria Math" w:cs="Cambria Math"/>
          <w:kern w:val="2"/>
        </w:rPr>
        <w:t>₃</w:t>
      </w:r>
      <w:r w:rsidRPr="006872DF">
        <w:rPr>
          <w:rFonts w:ascii="Arial" w:eastAsia="Calibri" w:hAnsi="Arial" w:cs="Arial"/>
          <w:kern w:val="2"/>
        </w:rPr>
        <w:t>) was calculated using Equation (2):</w:t>
      </w:r>
    </w:p>
    <w:p w14:paraId="477D084E" w14:textId="77777777" w:rsidR="006872DF" w:rsidRPr="006872DF" w:rsidRDefault="00DB4705" w:rsidP="006872DF">
      <w:pPr>
        <w:tabs>
          <w:tab w:val="left" w:pos="5523"/>
        </w:tabs>
        <w:spacing w:after="160"/>
        <w:jc w:val="both"/>
        <w:rPr>
          <w:rFonts w:ascii="Arial" w:eastAsia="Calibri" w:hAnsi="Arial" w:cs="Arial"/>
          <w:kern w:val="2"/>
        </w:rPr>
      </w:pPr>
      <m:oMath>
        <m:sSub>
          <m:sSubPr>
            <m:ctrlPr>
              <w:rPr>
                <w:rFonts w:ascii="Cambria Math" w:eastAsia="Calibri" w:hAnsi="Cambria Math" w:cs="Arial"/>
                <w:i/>
                <w:kern w:val="2"/>
              </w:rPr>
            </m:ctrlPr>
          </m:sSubPr>
          <m:e>
            <m:r>
              <w:rPr>
                <w:rFonts w:ascii="Cambria Math" w:eastAsia="Calibri" w:hAnsi="Cambria Math" w:cs="Arial"/>
                <w:kern w:val="2"/>
              </w:rPr>
              <m:t>X</m:t>
            </m:r>
          </m:e>
          <m:sub>
            <m:r>
              <w:rPr>
                <w:rFonts w:ascii="Cambria Math" w:eastAsia="Calibri" w:hAnsi="Cambria Math" w:cs="Arial"/>
                <w:kern w:val="2"/>
              </w:rPr>
              <m:t>3</m:t>
            </m:r>
          </m:sub>
        </m:sSub>
        <m:r>
          <w:rPr>
            <w:rFonts w:ascii="Cambria Math" w:eastAsia="Calibri" w:hAnsi="Cambria Math" w:cs="Arial"/>
            <w:kern w:val="2"/>
          </w:rPr>
          <m:t>=</m:t>
        </m:r>
        <m:f>
          <m:fPr>
            <m:ctrlPr>
              <w:rPr>
                <w:rFonts w:ascii="Cambria Math" w:eastAsia="Calibri" w:hAnsi="Cambria Math" w:cs="Arial"/>
                <w:i/>
                <w:kern w:val="2"/>
              </w:rPr>
            </m:ctrlPr>
          </m:fPr>
          <m:num>
            <m:sSub>
              <m:sSubPr>
                <m:ctrlPr>
                  <w:rPr>
                    <w:rFonts w:ascii="Cambria Math" w:eastAsia="Calibri" w:hAnsi="Cambria Math" w:cs="Arial"/>
                    <w:i/>
                    <w:kern w:val="2"/>
                  </w:rPr>
                </m:ctrlPr>
              </m:sSubPr>
              <m:e>
                <m:r>
                  <w:rPr>
                    <w:rFonts w:ascii="Cambria Math" w:eastAsia="Calibri" w:hAnsi="Cambria Math" w:cs="Arial"/>
                    <w:kern w:val="2"/>
                  </w:rPr>
                  <m:t>X</m:t>
                </m:r>
              </m:e>
              <m:sub>
                <m:r>
                  <w:rPr>
                    <w:rFonts w:ascii="Cambria Math" w:eastAsia="Calibri" w:hAnsi="Cambria Math" w:cs="Arial"/>
                    <w:kern w:val="2"/>
                  </w:rPr>
                  <m:t>2</m:t>
                </m:r>
              </m:sub>
            </m:sSub>
          </m:num>
          <m:den>
            <m:r>
              <w:rPr>
                <w:rFonts w:ascii="Cambria Math" w:eastAsia="Calibri" w:hAnsi="Cambria Math" w:cs="Arial"/>
                <w:kern w:val="2"/>
              </w:rPr>
              <m:t>(100-</m:t>
            </m:r>
            <m:r>
              <w:rPr>
                <w:rFonts w:ascii="Cambria Math" w:eastAsia="Calibri" w:hAnsi="Cambria Math" w:cs="Arial"/>
                <w:kern w:val="2"/>
              </w:rPr>
              <m:t>H</m:t>
            </m:r>
            <m:r>
              <w:rPr>
                <w:rFonts w:ascii="Cambria Math" w:eastAsia="Calibri" w:hAnsi="Cambria Math" w:cs="Arial"/>
                <w:kern w:val="2"/>
              </w:rPr>
              <m:t>)</m:t>
            </m:r>
          </m:den>
        </m:f>
        <m:r>
          <w:rPr>
            <w:rFonts w:ascii="Cambria Math" w:eastAsia="Calibri" w:hAnsi="Cambria Math" w:cs="Arial"/>
            <w:kern w:val="2"/>
          </w:rPr>
          <m:t xml:space="preserve"> ×100</m:t>
        </m:r>
      </m:oMath>
      <w:r w:rsidR="006872DF" w:rsidRPr="006872DF">
        <w:rPr>
          <w:rFonts w:ascii="Arial" w:hAnsi="Arial" w:cs="Arial"/>
          <w:kern w:val="2"/>
        </w:rPr>
        <w:t>(2)</w:t>
      </w:r>
    </w:p>
    <w:p w14:paraId="22B477CC" w14:textId="3798C226" w:rsidR="006872DF" w:rsidRPr="006872DF" w:rsidRDefault="006872DF" w:rsidP="006872DF">
      <w:pPr>
        <w:tabs>
          <w:tab w:val="left" w:pos="5523"/>
        </w:tabs>
        <w:spacing w:after="160"/>
        <w:jc w:val="both"/>
        <w:rPr>
          <w:rFonts w:ascii="Arial" w:eastAsia="Calibri" w:hAnsi="Arial" w:cs="Arial"/>
          <w:iCs/>
          <w:kern w:val="2"/>
        </w:rPr>
      </w:pPr>
      <w:r w:rsidRPr="006872DF">
        <w:rPr>
          <w:rFonts w:ascii="Arial" w:eastAsia="Calibri" w:hAnsi="Arial" w:cs="Arial"/>
          <w:iCs/>
          <w:kern w:val="2"/>
        </w:rPr>
        <w:t xml:space="preserve">where </w:t>
      </w:r>
      <w:r w:rsidRPr="006872DF">
        <w:rPr>
          <w:rFonts w:ascii="Arial" w:eastAsia="Calibri" w:hAnsi="Arial" w:cs="Arial"/>
          <w:i/>
          <w:iCs/>
          <w:kern w:val="2"/>
        </w:rPr>
        <w:t>c</w:t>
      </w:r>
      <w:r w:rsidRPr="006872DF">
        <w:rPr>
          <w:rFonts w:ascii="Arial" w:eastAsia="Calibri" w:hAnsi="Arial" w:cs="Arial"/>
          <w:iCs/>
          <w:kern w:val="2"/>
        </w:rPr>
        <w:t xml:space="preserve"> is the concentration of NaOH (mol/L), </w:t>
      </w:r>
      <w:r w:rsidRPr="006872DF">
        <w:rPr>
          <w:rFonts w:ascii="Arial" w:eastAsia="Calibri" w:hAnsi="Arial" w:cs="Arial"/>
          <w:i/>
          <w:iCs/>
          <w:kern w:val="2"/>
        </w:rPr>
        <w:t>V</w:t>
      </w:r>
      <w:r w:rsidRPr="006872DF">
        <w:rPr>
          <w:rFonts w:ascii="Cambria Math" w:eastAsia="Calibri" w:hAnsi="Cambria Math" w:cs="Cambria Math"/>
          <w:i/>
          <w:iCs/>
          <w:kern w:val="2"/>
        </w:rPr>
        <w:t>₁</w:t>
      </w:r>
      <w:r w:rsidRPr="006872DF">
        <w:rPr>
          <w:rFonts w:ascii="Arial" w:eastAsia="Calibri" w:hAnsi="Arial" w:cs="Arial"/>
          <w:iCs/>
          <w:kern w:val="2"/>
        </w:rPr>
        <w:t xml:space="preserve"> and </w:t>
      </w:r>
      <w:r w:rsidRPr="006872DF">
        <w:rPr>
          <w:rFonts w:ascii="Arial" w:eastAsia="Calibri" w:hAnsi="Arial" w:cs="Arial"/>
          <w:i/>
          <w:iCs/>
          <w:kern w:val="2"/>
        </w:rPr>
        <w:t>V</w:t>
      </w:r>
      <w:r w:rsidRPr="006872DF">
        <w:rPr>
          <w:rFonts w:ascii="Cambria Math" w:eastAsia="Calibri" w:hAnsi="Cambria Math" w:cs="Cambria Math"/>
          <w:i/>
          <w:iCs/>
          <w:kern w:val="2"/>
        </w:rPr>
        <w:t>₀</w:t>
      </w:r>
      <w:r w:rsidRPr="006872DF">
        <w:rPr>
          <w:rFonts w:ascii="Arial" w:eastAsia="Calibri" w:hAnsi="Arial" w:cs="Arial"/>
          <w:iCs/>
          <w:kern w:val="2"/>
        </w:rPr>
        <w:t xml:space="preserve"> are NaOH volumes (mL) for </w:t>
      </w:r>
      <w:r w:rsidR="00947EBC">
        <w:rPr>
          <w:rFonts w:ascii="Arial" w:eastAsia="Calibri" w:hAnsi="Arial" w:cs="Arial"/>
          <w:iCs/>
          <w:kern w:val="2"/>
        </w:rPr>
        <w:t xml:space="preserve">the </w:t>
      </w:r>
      <w:r w:rsidRPr="006872DF">
        <w:rPr>
          <w:rFonts w:ascii="Arial" w:eastAsia="Calibri" w:hAnsi="Arial" w:cs="Arial"/>
          <w:iCs/>
          <w:kern w:val="2"/>
        </w:rPr>
        <w:t xml:space="preserve">sample and blank, and </w:t>
      </w:r>
      <w:r w:rsidRPr="006872DF">
        <w:rPr>
          <w:rFonts w:ascii="Arial" w:eastAsia="Calibri" w:hAnsi="Arial" w:cs="Arial"/>
          <w:i/>
          <w:iCs/>
          <w:kern w:val="2"/>
        </w:rPr>
        <w:t>H</w:t>
      </w:r>
      <w:r w:rsidRPr="006872DF">
        <w:rPr>
          <w:rFonts w:ascii="Arial" w:eastAsia="Calibri" w:hAnsi="Arial" w:cs="Arial"/>
          <w:iCs/>
          <w:kern w:val="2"/>
        </w:rPr>
        <w:t xml:space="preserve"> is </w:t>
      </w:r>
      <w:r w:rsidR="001437EA">
        <w:rPr>
          <w:rFonts w:ascii="Arial" w:eastAsia="Calibri" w:hAnsi="Arial" w:cs="Arial"/>
          <w:iCs/>
          <w:kern w:val="2"/>
        </w:rPr>
        <w:t xml:space="preserve">the </w:t>
      </w:r>
      <w:r w:rsidRPr="006872DF">
        <w:rPr>
          <w:rFonts w:ascii="Arial" w:eastAsia="Calibri" w:hAnsi="Arial" w:cs="Arial"/>
          <w:iCs/>
          <w:kern w:val="2"/>
        </w:rPr>
        <w:t>moisture content (g/100 g).</w:t>
      </w:r>
    </w:p>
    <w:p w14:paraId="00649053" w14:textId="77777777" w:rsidR="006872DF" w:rsidRPr="006872DF" w:rsidRDefault="006872DF" w:rsidP="006872DF">
      <w:pPr>
        <w:tabs>
          <w:tab w:val="left" w:pos="5523"/>
        </w:tabs>
        <w:spacing w:after="160"/>
        <w:jc w:val="both"/>
        <w:rPr>
          <w:rFonts w:ascii="Arial" w:eastAsia="Calibri" w:hAnsi="Arial" w:cs="Arial"/>
          <w:b/>
          <w:bCs/>
          <w:iCs/>
          <w:kern w:val="2"/>
        </w:rPr>
      </w:pPr>
      <w:r w:rsidRPr="006872DF">
        <w:rPr>
          <w:rFonts w:ascii="Arial" w:eastAsia="Calibri" w:hAnsi="Arial" w:cs="Arial"/>
          <w:b/>
          <w:bCs/>
          <w:iCs/>
          <w:kern w:val="2"/>
        </w:rPr>
        <w:t>2.2.3 Starch Content Determination</w:t>
      </w:r>
    </w:p>
    <w:p w14:paraId="2D017102" w14:textId="11FC8632" w:rsidR="006872DF" w:rsidRPr="006872DF" w:rsidRDefault="006872DF" w:rsidP="006872DF">
      <w:pPr>
        <w:tabs>
          <w:tab w:val="left" w:pos="5523"/>
        </w:tabs>
        <w:spacing w:after="160"/>
        <w:jc w:val="both"/>
        <w:rPr>
          <w:rFonts w:ascii="Arial" w:eastAsia="Calibri" w:hAnsi="Arial" w:cs="Arial"/>
          <w:iCs/>
          <w:kern w:val="2"/>
        </w:rPr>
      </w:pPr>
      <w:r w:rsidRPr="006872DF">
        <w:rPr>
          <w:rFonts w:ascii="Arial" w:eastAsia="Calibri" w:hAnsi="Arial" w:cs="Arial"/>
          <w:iCs/>
          <w:kern w:val="2"/>
        </w:rPr>
        <w:t>Starch content was measured via acid hydrolysis followed by Fehling titration</w:t>
      </w:r>
      <w:r w:rsidR="00947EBC">
        <w:rPr>
          <w:rFonts w:ascii="Arial" w:eastAsia="Calibri" w:hAnsi="Arial" w:cs="Arial"/>
          <w:iCs/>
          <w:kern w:val="2"/>
        </w:rPr>
        <w:t>,</w:t>
      </w:r>
      <w:r w:rsidRPr="006872DF">
        <w:rPr>
          <w:rFonts w:ascii="Arial" w:eastAsia="Calibri" w:hAnsi="Arial" w:cs="Arial"/>
          <w:iCs/>
          <w:kern w:val="2"/>
        </w:rPr>
        <w:t xml:space="preserve"> following the protocol of (Sitio et al., 2024). A 1.5–2.0 g Daqu sample was hydrolyzed in 100 mL </w:t>
      </w:r>
      <w:r w:rsidR="001437EA">
        <w:rPr>
          <w:rFonts w:ascii="Arial" w:eastAsia="Calibri" w:hAnsi="Arial" w:cs="Arial"/>
          <w:iCs/>
          <w:kern w:val="2"/>
        </w:rPr>
        <w:t xml:space="preserve">of </w:t>
      </w:r>
      <w:r w:rsidRPr="006872DF">
        <w:rPr>
          <w:rFonts w:ascii="Arial" w:eastAsia="Calibri" w:hAnsi="Arial" w:cs="Arial"/>
          <w:iCs/>
          <w:kern w:val="2"/>
        </w:rPr>
        <w:t xml:space="preserve">HCl for 2 h. </w:t>
      </w:r>
      <w:r w:rsidR="00947EBC">
        <w:rPr>
          <w:rFonts w:ascii="Arial" w:eastAsia="Calibri" w:hAnsi="Arial" w:cs="Arial"/>
          <w:iCs/>
          <w:kern w:val="2"/>
        </w:rPr>
        <w:t>The reducing</w:t>
      </w:r>
      <w:r w:rsidR="00947EBC" w:rsidRPr="006872DF">
        <w:rPr>
          <w:rFonts w:ascii="Arial" w:eastAsia="Calibri" w:hAnsi="Arial" w:cs="Arial"/>
          <w:iCs/>
          <w:kern w:val="2"/>
        </w:rPr>
        <w:t xml:space="preserve"> </w:t>
      </w:r>
      <w:r w:rsidRPr="006872DF">
        <w:rPr>
          <w:rFonts w:ascii="Arial" w:eastAsia="Calibri" w:hAnsi="Arial" w:cs="Arial"/>
          <w:iCs/>
          <w:kern w:val="2"/>
        </w:rPr>
        <w:t xml:space="preserve">sugars formed were titrated against Fehling’s A and B solutions using methylene blue as </w:t>
      </w:r>
      <w:r w:rsidR="00947EBC">
        <w:rPr>
          <w:rFonts w:ascii="Arial" w:eastAsia="Calibri" w:hAnsi="Arial" w:cs="Arial"/>
          <w:iCs/>
          <w:kern w:val="2"/>
        </w:rPr>
        <w:t xml:space="preserve">an </w:t>
      </w:r>
      <w:r w:rsidRPr="006872DF">
        <w:rPr>
          <w:rFonts w:ascii="Arial" w:eastAsia="Calibri" w:hAnsi="Arial" w:cs="Arial"/>
          <w:iCs/>
          <w:kern w:val="2"/>
        </w:rPr>
        <w:t>indicator. The mass of Fehling’s solution equivalent to glucose (F) was computed using Equation (3):</w:t>
      </w:r>
    </w:p>
    <w:p w14:paraId="2B591DB1" w14:textId="77777777" w:rsidR="006872DF" w:rsidRPr="006872DF" w:rsidRDefault="006872DF" w:rsidP="006872DF">
      <w:pPr>
        <w:tabs>
          <w:tab w:val="left" w:pos="5523"/>
        </w:tabs>
        <w:spacing w:after="160"/>
        <w:jc w:val="both"/>
        <w:rPr>
          <w:rFonts w:ascii="Arial" w:eastAsia="Calibri" w:hAnsi="Arial" w:cs="Arial"/>
          <w:iCs/>
          <w:kern w:val="2"/>
        </w:rPr>
      </w:pPr>
    </w:p>
    <w:p w14:paraId="14D4C780" w14:textId="77777777" w:rsidR="006872DF" w:rsidRPr="006872DF" w:rsidRDefault="006872DF" w:rsidP="006872DF">
      <w:pPr>
        <w:tabs>
          <w:tab w:val="left" w:pos="5523"/>
        </w:tabs>
        <w:spacing w:after="160"/>
        <w:jc w:val="both"/>
        <w:rPr>
          <w:rFonts w:ascii="Arial" w:hAnsi="Arial" w:cs="Arial"/>
          <w:iCs/>
          <w:kern w:val="2"/>
        </w:rPr>
      </w:pPr>
      <m:oMath>
        <m:r>
          <w:rPr>
            <w:rFonts w:ascii="Cambria Math" w:eastAsia="Calibri" w:hAnsi="Cambria Math" w:cs="Arial"/>
            <w:kern w:val="2"/>
          </w:rPr>
          <m:t>F=</m:t>
        </m:r>
        <m:f>
          <m:fPr>
            <m:ctrlPr>
              <w:rPr>
                <w:rFonts w:ascii="Cambria Math" w:eastAsia="Calibri" w:hAnsi="Cambria Math" w:cs="Arial"/>
                <w:i/>
                <w:iCs/>
                <w:kern w:val="2"/>
              </w:rPr>
            </m:ctrlPr>
          </m:fPr>
          <m:num>
            <m:sSub>
              <m:sSubPr>
                <m:ctrlPr>
                  <w:rPr>
                    <w:rFonts w:ascii="Cambria Math" w:eastAsia="Calibri" w:hAnsi="Cambria Math" w:cs="Arial"/>
                    <w:i/>
                    <w:iCs/>
                    <w:kern w:val="2"/>
                  </w:rPr>
                </m:ctrlPr>
              </m:sSubPr>
              <m:e>
                <m:r>
                  <w:rPr>
                    <w:rFonts w:ascii="Cambria Math" w:eastAsia="Calibri" w:hAnsi="Cambria Math" w:cs="Arial"/>
                    <w:kern w:val="2"/>
                  </w:rPr>
                  <m:t>mV</m:t>
                </m:r>
              </m:e>
              <m:sub>
                <m:r>
                  <w:rPr>
                    <w:rFonts w:ascii="Cambria Math" w:eastAsia="Calibri" w:hAnsi="Cambria Math" w:cs="Arial"/>
                    <w:kern w:val="2"/>
                  </w:rPr>
                  <m:t>1</m:t>
                </m:r>
              </m:sub>
            </m:sSub>
          </m:num>
          <m:den>
            <m:r>
              <w:rPr>
                <w:rFonts w:ascii="Cambria Math" w:eastAsia="Calibri" w:hAnsi="Cambria Math" w:cs="Arial"/>
                <w:kern w:val="2"/>
              </w:rPr>
              <m:t>100</m:t>
            </m:r>
          </m:den>
        </m:f>
      </m:oMath>
      <w:r w:rsidRPr="006872DF">
        <w:rPr>
          <w:rFonts w:ascii="Arial" w:hAnsi="Arial" w:cs="Arial"/>
          <w:iCs/>
          <w:kern w:val="2"/>
        </w:rPr>
        <w:t xml:space="preserve">  </w:t>
      </w:r>
      <w:r w:rsidRPr="006872DF">
        <w:rPr>
          <w:rFonts w:ascii="Arial" w:hAnsi="Arial" w:cs="Arial"/>
          <w:iCs/>
          <w:kern w:val="2"/>
        </w:rPr>
        <w:tab/>
      </w:r>
      <w:r w:rsidRPr="006872DF">
        <w:rPr>
          <w:rFonts w:ascii="Arial" w:hAnsi="Arial" w:cs="Arial"/>
          <w:iCs/>
          <w:kern w:val="2"/>
        </w:rPr>
        <w:tab/>
      </w:r>
      <w:r w:rsidRPr="006872DF">
        <w:rPr>
          <w:rFonts w:ascii="Arial" w:hAnsi="Arial" w:cs="Arial"/>
          <w:iCs/>
          <w:kern w:val="2"/>
        </w:rPr>
        <w:tab/>
        <w:t xml:space="preserve">           (3)</w:t>
      </w:r>
    </w:p>
    <w:p w14:paraId="41F635D1" w14:textId="77777777" w:rsidR="006872DF" w:rsidRPr="006872DF" w:rsidRDefault="006872DF" w:rsidP="006872DF">
      <w:pPr>
        <w:tabs>
          <w:tab w:val="left" w:pos="5523"/>
        </w:tabs>
        <w:spacing w:after="160"/>
        <w:jc w:val="both"/>
        <w:rPr>
          <w:rFonts w:ascii="Arial" w:eastAsia="Calibri" w:hAnsi="Arial" w:cs="Arial"/>
          <w:iCs/>
          <w:kern w:val="2"/>
        </w:rPr>
      </w:pPr>
      <w:r w:rsidRPr="006872DF">
        <w:rPr>
          <w:rFonts w:ascii="Arial" w:eastAsia="Calibri" w:hAnsi="Arial" w:cs="Arial"/>
          <w:iCs/>
          <w:kern w:val="2"/>
        </w:rPr>
        <w:t>Starch content (X</w:t>
      </w:r>
      <w:r w:rsidRPr="006872DF">
        <w:rPr>
          <w:rFonts w:ascii="Arial" w:eastAsia="Calibri" w:hAnsi="Arial" w:cs="Arial"/>
          <w:iCs/>
          <w:kern w:val="2"/>
          <w:vertAlign w:val="subscript"/>
        </w:rPr>
        <w:t>4</w:t>
      </w:r>
      <w:r w:rsidRPr="006872DF">
        <w:rPr>
          <w:rFonts w:ascii="Arial" w:eastAsia="Calibri" w:hAnsi="Arial" w:cs="Arial"/>
          <w:iCs/>
          <w:kern w:val="2"/>
        </w:rPr>
        <w:t>) was calculated using Equation (4)</w:t>
      </w:r>
    </w:p>
    <w:p w14:paraId="1D7B753C" w14:textId="77777777" w:rsidR="006872DF" w:rsidRPr="006872DF" w:rsidRDefault="00DB4705" w:rsidP="006872DF">
      <w:pPr>
        <w:tabs>
          <w:tab w:val="left" w:pos="5523"/>
        </w:tabs>
        <w:spacing w:after="160"/>
        <w:jc w:val="both"/>
        <w:rPr>
          <w:rFonts w:ascii="Arial" w:hAnsi="Arial" w:cs="Arial"/>
          <w:iCs/>
          <w:kern w:val="2"/>
        </w:rPr>
      </w:pPr>
      <m:oMath>
        <m:sSub>
          <m:sSubPr>
            <m:ctrlPr>
              <w:rPr>
                <w:rFonts w:ascii="Cambria Math" w:eastAsia="Calibri" w:hAnsi="Cambria Math" w:cs="Arial"/>
                <w:i/>
                <w:iCs/>
                <w:kern w:val="2"/>
              </w:rPr>
            </m:ctrlPr>
          </m:sSubPr>
          <m:e>
            <m:r>
              <w:rPr>
                <w:rFonts w:ascii="Cambria Math" w:eastAsia="Calibri" w:hAnsi="Cambria Math" w:cs="Arial"/>
                <w:kern w:val="2"/>
              </w:rPr>
              <m:t>X</m:t>
            </m:r>
          </m:e>
          <m:sub>
            <m:r>
              <w:rPr>
                <w:rFonts w:ascii="Cambria Math" w:eastAsia="Calibri" w:hAnsi="Cambria Math" w:cs="Arial"/>
                <w:kern w:val="2"/>
              </w:rPr>
              <m:t>4</m:t>
            </m:r>
          </m:sub>
        </m:sSub>
        <m:r>
          <w:rPr>
            <w:rFonts w:ascii="Cambria Math" w:eastAsia="Calibri" w:hAnsi="Cambria Math" w:cs="Arial"/>
            <w:kern w:val="2"/>
          </w:rPr>
          <m:t>=</m:t>
        </m:r>
        <m:f>
          <m:fPr>
            <m:ctrlPr>
              <w:rPr>
                <w:rFonts w:ascii="Cambria Math" w:eastAsia="Calibri" w:hAnsi="Cambria Math" w:cs="Arial"/>
                <w:i/>
                <w:iCs/>
                <w:kern w:val="2"/>
              </w:rPr>
            </m:ctrlPr>
          </m:fPr>
          <m:num>
            <m:r>
              <w:rPr>
                <w:rFonts w:ascii="Cambria Math" w:eastAsia="Calibri" w:hAnsi="Cambria Math" w:cs="Arial"/>
                <w:kern w:val="2"/>
              </w:rPr>
              <m:t>F</m:t>
            </m:r>
            <m:r>
              <w:rPr>
                <w:rFonts w:ascii="Cambria Math" w:eastAsia="Calibri" w:hAnsi="Cambria Math" w:cs="Arial"/>
                <w:kern w:val="2"/>
              </w:rPr>
              <m:t>×500×0.9</m:t>
            </m:r>
          </m:num>
          <m:den>
            <m:sSub>
              <m:sSubPr>
                <m:ctrlPr>
                  <w:rPr>
                    <w:rFonts w:ascii="Cambria Math" w:eastAsia="Calibri" w:hAnsi="Cambria Math" w:cs="Arial"/>
                    <w:i/>
                    <w:iCs/>
                    <w:kern w:val="2"/>
                  </w:rPr>
                </m:ctrlPr>
              </m:sSubPr>
              <m:e>
                <m:r>
                  <w:rPr>
                    <w:rFonts w:ascii="Cambria Math" w:eastAsia="Calibri" w:hAnsi="Cambria Math" w:cs="Arial"/>
                    <w:kern w:val="2"/>
                  </w:rPr>
                  <m:t>mV</m:t>
                </m:r>
              </m:e>
              <m:sub>
                <m:r>
                  <w:rPr>
                    <w:rFonts w:ascii="Cambria Math" w:eastAsia="Calibri" w:hAnsi="Cambria Math" w:cs="Arial"/>
                    <w:kern w:val="2"/>
                  </w:rPr>
                  <m:t>2</m:t>
                </m:r>
              </m:sub>
            </m:sSub>
          </m:den>
        </m:f>
        <m:r>
          <w:rPr>
            <w:rFonts w:ascii="Cambria Math" w:eastAsia="Calibri" w:hAnsi="Cambria Math" w:cs="Arial"/>
            <w:kern w:val="2"/>
          </w:rPr>
          <m:t xml:space="preserve"> ×100</m:t>
        </m:r>
      </m:oMath>
      <w:r w:rsidR="006872DF" w:rsidRPr="006872DF">
        <w:rPr>
          <w:rFonts w:ascii="Arial" w:hAnsi="Arial" w:cs="Arial"/>
          <w:iCs/>
          <w:kern w:val="2"/>
        </w:rPr>
        <w:t xml:space="preserve"> </w:t>
      </w:r>
      <w:r w:rsidR="006872DF" w:rsidRPr="006872DF">
        <w:rPr>
          <w:rFonts w:ascii="Arial" w:hAnsi="Arial" w:cs="Arial"/>
          <w:iCs/>
          <w:kern w:val="2"/>
        </w:rPr>
        <w:tab/>
        <w:t xml:space="preserve">                          (4)</w:t>
      </w:r>
    </w:p>
    <w:p w14:paraId="244D3E43" w14:textId="555A2EFB" w:rsidR="006872DF" w:rsidRPr="006872DF" w:rsidRDefault="006872DF" w:rsidP="006872DF">
      <w:pPr>
        <w:tabs>
          <w:tab w:val="left" w:pos="5523"/>
        </w:tabs>
        <w:spacing w:after="160"/>
        <w:jc w:val="both"/>
        <w:rPr>
          <w:rFonts w:ascii="Arial" w:eastAsia="Calibri" w:hAnsi="Arial" w:cs="Arial"/>
          <w:iCs/>
          <w:kern w:val="2"/>
        </w:rPr>
      </w:pPr>
      <w:r w:rsidRPr="006872DF">
        <w:rPr>
          <w:rFonts w:ascii="Arial" w:eastAsia="Calibri" w:hAnsi="Arial" w:cs="Arial"/>
          <w:iCs/>
          <w:kern w:val="2"/>
        </w:rPr>
        <w:t xml:space="preserve">where </w:t>
      </w:r>
      <w:r w:rsidRPr="006872DF">
        <w:rPr>
          <w:rFonts w:ascii="Arial" w:eastAsia="Calibri" w:hAnsi="Arial" w:cs="Arial"/>
          <w:i/>
          <w:iCs/>
          <w:kern w:val="2"/>
        </w:rPr>
        <w:t>m</w:t>
      </w:r>
      <w:r w:rsidRPr="006872DF">
        <w:rPr>
          <w:rFonts w:ascii="Arial" w:eastAsia="Calibri" w:hAnsi="Arial" w:cs="Arial"/>
          <w:iCs/>
          <w:kern w:val="2"/>
        </w:rPr>
        <w:t xml:space="preserve"> is </w:t>
      </w:r>
      <w:r w:rsidR="00947EBC">
        <w:rPr>
          <w:rFonts w:ascii="Arial" w:eastAsia="Calibri" w:hAnsi="Arial" w:cs="Arial"/>
          <w:iCs/>
          <w:kern w:val="2"/>
        </w:rPr>
        <w:t xml:space="preserve">the </w:t>
      </w:r>
      <w:r w:rsidRPr="006872DF">
        <w:rPr>
          <w:rFonts w:ascii="Arial" w:eastAsia="Calibri" w:hAnsi="Arial" w:cs="Arial"/>
          <w:iCs/>
          <w:kern w:val="2"/>
        </w:rPr>
        <w:t xml:space="preserve">sample mass (g) and </w:t>
      </w:r>
      <w:r w:rsidRPr="006872DF">
        <w:rPr>
          <w:rFonts w:ascii="Arial" w:eastAsia="Calibri" w:hAnsi="Arial" w:cs="Arial"/>
          <w:i/>
          <w:iCs/>
          <w:kern w:val="2"/>
        </w:rPr>
        <w:t>V</w:t>
      </w:r>
      <w:r w:rsidRPr="006872DF">
        <w:rPr>
          <w:rFonts w:ascii="Cambria Math" w:eastAsia="Calibri" w:hAnsi="Cambria Math" w:cs="Cambria Math"/>
          <w:i/>
          <w:iCs/>
          <w:kern w:val="2"/>
        </w:rPr>
        <w:t>₂</w:t>
      </w:r>
      <w:r w:rsidRPr="006872DF">
        <w:rPr>
          <w:rFonts w:ascii="Arial" w:eastAsia="Calibri" w:hAnsi="Arial" w:cs="Arial"/>
          <w:iCs/>
          <w:kern w:val="2"/>
        </w:rPr>
        <w:t xml:space="preserve"> is </w:t>
      </w:r>
      <w:r w:rsidR="00947EBC">
        <w:rPr>
          <w:rFonts w:ascii="Arial" w:eastAsia="Calibri" w:hAnsi="Arial" w:cs="Arial"/>
          <w:iCs/>
          <w:kern w:val="2"/>
        </w:rPr>
        <w:t xml:space="preserve">the </w:t>
      </w:r>
      <w:r w:rsidRPr="006872DF">
        <w:rPr>
          <w:rFonts w:ascii="Arial" w:eastAsia="Calibri" w:hAnsi="Arial" w:cs="Arial"/>
          <w:iCs/>
          <w:kern w:val="2"/>
        </w:rPr>
        <w:t>sample titration volume (mL). Results were rounded to one decimal place.</w:t>
      </w:r>
    </w:p>
    <w:p w14:paraId="425A6469" w14:textId="77777777" w:rsidR="006872DF" w:rsidRPr="006872DF" w:rsidRDefault="006872DF" w:rsidP="006872DF">
      <w:pPr>
        <w:tabs>
          <w:tab w:val="left" w:pos="5523"/>
        </w:tabs>
        <w:spacing w:after="160"/>
        <w:jc w:val="both"/>
        <w:rPr>
          <w:rFonts w:ascii="Arial" w:eastAsia="Calibri" w:hAnsi="Arial" w:cs="Arial"/>
          <w:b/>
          <w:bCs/>
          <w:iCs/>
          <w:kern w:val="2"/>
        </w:rPr>
      </w:pPr>
      <w:r w:rsidRPr="006872DF">
        <w:rPr>
          <w:rFonts w:ascii="Arial" w:eastAsia="Calibri" w:hAnsi="Arial" w:cs="Arial"/>
          <w:b/>
          <w:bCs/>
          <w:iCs/>
          <w:kern w:val="2"/>
        </w:rPr>
        <w:t>2.3.4 Amylose Content Determination</w:t>
      </w:r>
    </w:p>
    <w:p w14:paraId="20CAE258" w14:textId="77777777" w:rsidR="006872DF" w:rsidRPr="006872DF" w:rsidRDefault="006872DF" w:rsidP="006872DF">
      <w:pPr>
        <w:tabs>
          <w:tab w:val="left" w:pos="5523"/>
        </w:tabs>
        <w:spacing w:after="160"/>
        <w:jc w:val="both"/>
        <w:rPr>
          <w:rFonts w:ascii="Arial" w:eastAsia="Calibri" w:hAnsi="Arial" w:cs="Arial"/>
          <w:iCs/>
          <w:kern w:val="2"/>
        </w:rPr>
      </w:pPr>
      <w:r w:rsidRPr="006872DF">
        <w:rPr>
          <w:rFonts w:ascii="Arial" w:eastAsia="Calibri" w:hAnsi="Arial" w:cs="Arial"/>
          <w:iCs/>
          <w:kern w:val="2"/>
        </w:rPr>
        <w:t>Amylose was quantified following a multi-step extraction and colorimetric protocol (Gao et al., 2025). A 0.005 g dried sample was homogenized with 1 mL Reagent I, incubated at 80 °C for 30 min, and centrifuged. The sediment was washed with ether (Reagent II), centrifuged, dissolved in 5 mL Reagent IV, incubated at 90 °C for 10 min, and centrifuged. Supernatants were analyzed using a spectrophotometer at 550 nm and 485 nm. Standard curves were prepared using serially diluted 1 mg/mL amylose standards.</w:t>
      </w:r>
    </w:p>
    <w:p w14:paraId="225A0769" w14:textId="77777777" w:rsidR="006872DF" w:rsidRPr="006872DF" w:rsidRDefault="00DB4705" w:rsidP="006872DF">
      <w:pPr>
        <w:tabs>
          <w:tab w:val="left" w:pos="5523"/>
        </w:tabs>
        <w:spacing w:after="160"/>
        <w:jc w:val="both"/>
        <w:rPr>
          <w:rFonts w:ascii="Arial" w:eastAsia="Calibri" w:hAnsi="Arial" w:cs="Arial"/>
          <w:iCs/>
          <w:kern w:val="2"/>
        </w:rPr>
      </w:pPr>
      <w:r>
        <w:rPr>
          <w:rFonts w:ascii="Arial" w:eastAsia="Calibri" w:hAnsi="Arial" w:cs="Arial"/>
          <w:iCs/>
          <w:kern w:val="2"/>
        </w:rPr>
        <w:pict w14:anchorId="687D7FBF">
          <v:rect id="_x0000_i1026" style="width:0;height:1.5pt" o:hralign="center" o:hrstd="t" o:hr="t" fillcolor="#a0a0a0" stroked="f"/>
        </w:pict>
      </w:r>
    </w:p>
    <w:p w14:paraId="72DB1EE2" w14:textId="77777777" w:rsidR="006872DF" w:rsidRPr="006872DF" w:rsidRDefault="006872DF" w:rsidP="006872DF">
      <w:pPr>
        <w:tabs>
          <w:tab w:val="left" w:pos="5523"/>
        </w:tabs>
        <w:spacing w:after="160"/>
        <w:jc w:val="both"/>
        <w:rPr>
          <w:rFonts w:ascii="Arial" w:eastAsia="Calibri" w:hAnsi="Arial" w:cs="Arial"/>
          <w:b/>
          <w:bCs/>
          <w:iCs/>
          <w:kern w:val="2"/>
        </w:rPr>
      </w:pPr>
      <w:r w:rsidRPr="006872DF">
        <w:rPr>
          <w:rFonts w:ascii="Arial" w:eastAsia="Calibri" w:hAnsi="Arial" w:cs="Arial"/>
          <w:b/>
          <w:bCs/>
          <w:iCs/>
          <w:kern w:val="2"/>
        </w:rPr>
        <w:t>2.3.5 Amino Acid Nitrogen Determination</w:t>
      </w:r>
    </w:p>
    <w:p w14:paraId="5B3CB8D7" w14:textId="77777777" w:rsidR="006872DF" w:rsidRPr="006872DF" w:rsidRDefault="006872DF" w:rsidP="006872DF">
      <w:pPr>
        <w:tabs>
          <w:tab w:val="left" w:pos="5523"/>
        </w:tabs>
        <w:spacing w:after="160"/>
        <w:jc w:val="both"/>
        <w:rPr>
          <w:rFonts w:ascii="Arial" w:eastAsia="Calibri" w:hAnsi="Arial" w:cs="Arial"/>
          <w:iCs/>
          <w:kern w:val="2"/>
        </w:rPr>
      </w:pPr>
      <w:r w:rsidRPr="006872DF">
        <w:rPr>
          <w:rFonts w:ascii="Arial" w:eastAsia="Calibri" w:hAnsi="Arial" w:cs="Arial"/>
          <w:iCs/>
          <w:kern w:val="2"/>
        </w:rPr>
        <w:t>Amino acid nitrogen was determined based on the formaldehyde-consumption principle (Li Y., et al., 2025), with slight modifications. A 20 g Daqu sample was soaked for 30 min, diluted to 100 mL, mixed, and filtered. The filtrate was titrated in two steps:</w:t>
      </w:r>
    </w:p>
    <w:p w14:paraId="438BE9F2" w14:textId="77777777" w:rsidR="006872DF" w:rsidRPr="006872DF" w:rsidRDefault="006872DF" w:rsidP="006872DF">
      <w:pPr>
        <w:numPr>
          <w:ilvl w:val="0"/>
          <w:numId w:val="31"/>
        </w:numPr>
        <w:tabs>
          <w:tab w:val="left" w:pos="5523"/>
        </w:tabs>
        <w:spacing w:after="160"/>
        <w:jc w:val="both"/>
        <w:rPr>
          <w:rFonts w:ascii="Arial" w:eastAsia="Calibri" w:hAnsi="Arial" w:cs="Arial"/>
          <w:iCs/>
          <w:kern w:val="2"/>
        </w:rPr>
      </w:pPr>
      <w:r w:rsidRPr="006872DF">
        <w:rPr>
          <w:rFonts w:ascii="Arial" w:eastAsia="Calibri" w:hAnsi="Arial" w:cs="Arial"/>
          <w:b/>
          <w:bCs/>
          <w:iCs/>
          <w:kern w:val="2"/>
        </w:rPr>
        <w:t>Neutralization of acidity:</w:t>
      </w:r>
      <w:r w:rsidRPr="006872DF">
        <w:rPr>
          <w:rFonts w:ascii="Arial" w:eastAsia="Calibri" w:hAnsi="Arial" w:cs="Arial"/>
          <w:iCs/>
          <w:kern w:val="2"/>
        </w:rPr>
        <w:t xml:space="preserve"> 20 mL sample + 60 mL water was titrated to pH 8.2 with NaOH.</w:t>
      </w:r>
    </w:p>
    <w:p w14:paraId="699ABA95" w14:textId="2DE68F92" w:rsidR="006872DF" w:rsidRPr="006872DF" w:rsidRDefault="006872DF" w:rsidP="006872DF">
      <w:pPr>
        <w:numPr>
          <w:ilvl w:val="0"/>
          <w:numId w:val="31"/>
        </w:numPr>
        <w:tabs>
          <w:tab w:val="left" w:pos="5523"/>
        </w:tabs>
        <w:spacing w:after="160"/>
        <w:jc w:val="both"/>
        <w:rPr>
          <w:rFonts w:ascii="Arial" w:eastAsia="Calibri" w:hAnsi="Arial" w:cs="Arial"/>
          <w:iCs/>
          <w:kern w:val="2"/>
        </w:rPr>
      </w:pPr>
      <w:r w:rsidRPr="006872DF">
        <w:rPr>
          <w:rFonts w:ascii="Arial" w:eastAsia="Calibri" w:hAnsi="Arial" w:cs="Arial"/>
          <w:b/>
          <w:bCs/>
          <w:iCs/>
          <w:kern w:val="2"/>
        </w:rPr>
        <w:lastRenderedPageBreak/>
        <w:t>Formaldehyde reaction:</w:t>
      </w:r>
      <w:r w:rsidRPr="006872DF">
        <w:rPr>
          <w:rFonts w:ascii="Arial" w:eastAsia="Calibri" w:hAnsi="Arial" w:cs="Arial"/>
          <w:iCs/>
          <w:kern w:val="2"/>
        </w:rPr>
        <w:t xml:space="preserve"> 10 mL </w:t>
      </w:r>
      <w:r w:rsidR="00947EBC">
        <w:rPr>
          <w:rFonts w:ascii="Arial" w:eastAsia="Calibri" w:hAnsi="Arial" w:cs="Arial"/>
          <w:iCs/>
          <w:kern w:val="2"/>
        </w:rPr>
        <w:t xml:space="preserve">of </w:t>
      </w:r>
      <w:r w:rsidRPr="006872DF">
        <w:rPr>
          <w:rFonts w:ascii="Arial" w:eastAsia="Calibri" w:hAnsi="Arial" w:cs="Arial"/>
          <w:iCs/>
          <w:kern w:val="2"/>
        </w:rPr>
        <w:t>formaldehyde was added, and titration continued to pH 9.2.</w:t>
      </w:r>
    </w:p>
    <w:p w14:paraId="6FF4E5E1" w14:textId="292382B0" w:rsidR="006872DF" w:rsidRPr="006872DF" w:rsidRDefault="006872DF" w:rsidP="006872DF">
      <w:pPr>
        <w:tabs>
          <w:tab w:val="left" w:pos="5523"/>
        </w:tabs>
        <w:spacing w:after="160"/>
        <w:jc w:val="both"/>
        <w:rPr>
          <w:rFonts w:ascii="Arial" w:eastAsia="Calibri" w:hAnsi="Arial" w:cs="Arial"/>
          <w:iCs/>
          <w:kern w:val="2"/>
        </w:rPr>
      </w:pPr>
      <w:r w:rsidRPr="006872DF">
        <w:rPr>
          <w:rFonts w:ascii="Arial" w:eastAsia="Calibri" w:hAnsi="Arial" w:cs="Arial"/>
          <w:iCs/>
          <w:kern w:val="2"/>
        </w:rPr>
        <w:t>Blank titrations were conducted similarly. Amino acid nitrogen (X</w:t>
      </w:r>
      <w:r w:rsidRPr="006872DF">
        <w:rPr>
          <w:rFonts w:ascii="Arial" w:eastAsia="Calibri" w:hAnsi="Arial" w:cs="Arial"/>
          <w:iCs/>
          <w:kern w:val="2"/>
          <w:vertAlign w:val="subscript"/>
        </w:rPr>
        <w:t>5</w:t>
      </w:r>
      <w:r w:rsidRPr="006872DF">
        <w:rPr>
          <w:rFonts w:ascii="Arial" w:eastAsia="Calibri" w:hAnsi="Arial" w:cs="Arial"/>
          <w:iCs/>
          <w:kern w:val="2"/>
        </w:rPr>
        <w:t>) was calculated using</w:t>
      </w:r>
      <w:r w:rsidR="001437EA">
        <w:rPr>
          <w:rFonts w:ascii="Arial" w:eastAsia="Calibri" w:hAnsi="Arial" w:cs="Arial"/>
          <w:iCs/>
          <w:kern w:val="2"/>
        </w:rPr>
        <w:t>.</w:t>
      </w:r>
    </w:p>
    <w:p w14:paraId="2123DD54" w14:textId="77777777" w:rsidR="006872DF" w:rsidRPr="006872DF" w:rsidRDefault="006872DF" w:rsidP="006872DF">
      <w:pPr>
        <w:tabs>
          <w:tab w:val="left" w:pos="5523"/>
        </w:tabs>
        <w:spacing w:after="160"/>
        <w:jc w:val="both"/>
        <w:rPr>
          <w:rFonts w:ascii="Arial" w:eastAsia="Calibri" w:hAnsi="Arial" w:cs="Arial"/>
          <w:iCs/>
          <w:kern w:val="2"/>
        </w:rPr>
      </w:pPr>
      <w:r w:rsidRPr="006872DF">
        <w:rPr>
          <w:rFonts w:ascii="Arial" w:eastAsia="Calibri" w:hAnsi="Arial" w:cs="Arial"/>
          <w:iCs/>
          <w:kern w:val="2"/>
        </w:rPr>
        <w:t>Equation (5):</w:t>
      </w:r>
    </w:p>
    <w:p w14:paraId="77EEAB44" w14:textId="77777777" w:rsidR="006872DF" w:rsidRPr="006872DF" w:rsidRDefault="00DB4705" w:rsidP="006872DF">
      <w:pPr>
        <w:tabs>
          <w:tab w:val="left" w:pos="5523"/>
        </w:tabs>
        <w:spacing w:after="160"/>
        <w:jc w:val="both"/>
        <w:rPr>
          <w:rFonts w:ascii="Arial" w:hAnsi="Arial" w:cs="Arial"/>
          <w:iCs/>
          <w:kern w:val="2"/>
        </w:rPr>
      </w:pPr>
      <m:oMath>
        <m:sSub>
          <m:sSubPr>
            <m:ctrlPr>
              <w:rPr>
                <w:rFonts w:ascii="Cambria Math" w:eastAsia="Calibri" w:hAnsi="Cambria Math" w:cs="Arial"/>
                <w:i/>
                <w:iCs/>
                <w:kern w:val="2"/>
              </w:rPr>
            </m:ctrlPr>
          </m:sSubPr>
          <m:e>
            <m:r>
              <w:rPr>
                <w:rFonts w:ascii="Cambria Math" w:eastAsia="Calibri" w:hAnsi="Cambria Math" w:cs="Arial"/>
                <w:kern w:val="2"/>
              </w:rPr>
              <m:t>X</m:t>
            </m:r>
          </m:e>
          <m:sub>
            <m:r>
              <w:rPr>
                <w:rFonts w:ascii="Cambria Math" w:eastAsia="Calibri" w:hAnsi="Cambria Math" w:cs="Arial"/>
                <w:kern w:val="2"/>
              </w:rPr>
              <m:t>5</m:t>
            </m:r>
          </m:sub>
        </m:sSub>
        <m:r>
          <w:rPr>
            <w:rFonts w:ascii="Cambria Math" w:eastAsia="Calibri" w:hAnsi="Cambria Math" w:cs="Arial"/>
            <w:kern w:val="2"/>
          </w:rPr>
          <m:t>=</m:t>
        </m:r>
        <m:f>
          <m:fPr>
            <m:ctrlPr>
              <w:rPr>
                <w:rFonts w:ascii="Cambria Math" w:eastAsia="Calibri" w:hAnsi="Cambria Math" w:cs="Arial"/>
                <w:i/>
                <w:iCs/>
                <w:kern w:val="2"/>
              </w:rPr>
            </m:ctrlPr>
          </m:fPr>
          <m:num>
            <m:sSub>
              <m:sSubPr>
                <m:ctrlPr>
                  <w:rPr>
                    <w:rFonts w:ascii="Cambria Math" w:eastAsia="Calibri" w:hAnsi="Cambria Math" w:cs="Arial"/>
                    <w:i/>
                    <w:iCs/>
                    <w:kern w:val="2"/>
                  </w:rPr>
                </m:ctrlPr>
              </m:sSubPr>
              <m:e>
                <m:r>
                  <w:rPr>
                    <w:rFonts w:ascii="Cambria Math" w:eastAsia="Calibri" w:hAnsi="Cambria Math" w:cs="Arial"/>
                    <w:kern w:val="2"/>
                  </w:rPr>
                  <m:t>(</m:t>
                </m:r>
                <m:r>
                  <w:rPr>
                    <w:rFonts w:ascii="Cambria Math" w:eastAsia="Calibri" w:hAnsi="Cambria Math" w:cs="Arial"/>
                    <w:kern w:val="2"/>
                  </w:rPr>
                  <m:t>V</m:t>
                </m:r>
              </m:e>
              <m:sub>
                <m:r>
                  <w:rPr>
                    <w:rFonts w:ascii="Cambria Math" w:eastAsia="Calibri" w:hAnsi="Cambria Math" w:cs="Arial"/>
                    <w:kern w:val="2"/>
                  </w:rPr>
                  <m:t>1</m:t>
                </m:r>
              </m:sub>
            </m:sSub>
            <m:r>
              <w:rPr>
                <w:rFonts w:ascii="Cambria Math" w:eastAsia="Calibri" w:hAnsi="Cambria Math" w:cs="Arial"/>
                <w:kern w:val="2"/>
              </w:rPr>
              <m:t>-</m:t>
            </m:r>
            <m:sSub>
              <m:sSubPr>
                <m:ctrlPr>
                  <w:rPr>
                    <w:rFonts w:ascii="Cambria Math" w:eastAsia="Calibri" w:hAnsi="Cambria Math" w:cs="Arial"/>
                    <w:i/>
                    <w:iCs/>
                    <w:kern w:val="2"/>
                  </w:rPr>
                </m:ctrlPr>
              </m:sSubPr>
              <m:e>
                <m:r>
                  <w:rPr>
                    <w:rFonts w:ascii="Cambria Math" w:eastAsia="Calibri" w:hAnsi="Cambria Math" w:cs="Arial"/>
                    <w:kern w:val="2"/>
                  </w:rPr>
                  <m:t>V</m:t>
                </m:r>
              </m:e>
              <m:sub>
                <m:r>
                  <w:rPr>
                    <w:rFonts w:ascii="Cambria Math" w:eastAsia="Calibri" w:hAnsi="Cambria Math" w:cs="Arial"/>
                    <w:kern w:val="2"/>
                  </w:rPr>
                  <m:t>0</m:t>
                </m:r>
              </m:sub>
            </m:sSub>
            <m:r>
              <w:rPr>
                <w:rFonts w:ascii="Cambria Math" w:eastAsia="Calibri" w:hAnsi="Cambria Math" w:cs="Arial"/>
                <w:kern w:val="2"/>
              </w:rPr>
              <m:t>)</m:t>
            </m:r>
            <m:r>
              <w:rPr>
                <w:rFonts w:ascii="Cambria Math" w:eastAsia="Calibri" w:hAnsi="Cambria Math" w:cs="Arial"/>
                <w:kern w:val="2"/>
              </w:rPr>
              <m:t>C</m:t>
            </m:r>
            <m:r>
              <w:rPr>
                <w:rFonts w:ascii="Cambria Math" w:eastAsia="Calibri" w:hAnsi="Cambria Math" w:cs="Arial"/>
                <w:kern w:val="2"/>
              </w:rPr>
              <m:t xml:space="preserve"> ×0.014</m:t>
            </m:r>
          </m:num>
          <m:den>
            <m:r>
              <w:rPr>
                <w:rFonts w:ascii="Cambria Math" w:eastAsia="Calibri" w:hAnsi="Cambria Math" w:cs="Arial"/>
                <w:kern w:val="2"/>
              </w:rPr>
              <m:t>400</m:t>
            </m:r>
          </m:den>
        </m:f>
        <m:r>
          <w:rPr>
            <w:rFonts w:ascii="Cambria Math" w:eastAsia="Calibri" w:hAnsi="Cambria Math" w:cs="Arial"/>
            <w:kern w:val="2"/>
          </w:rPr>
          <m:t xml:space="preserve"> ×1000</m:t>
        </m:r>
      </m:oMath>
      <w:r w:rsidR="006872DF" w:rsidRPr="006872DF">
        <w:rPr>
          <w:rFonts w:ascii="Arial" w:hAnsi="Arial" w:cs="Arial"/>
          <w:iCs/>
          <w:kern w:val="2"/>
        </w:rPr>
        <w:t xml:space="preserve">    </w:t>
      </w:r>
      <w:r w:rsidR="006872DF" w:rsidRPr="006872DF">
        <w:rPr>
          <w:rFonts w:ascii="Arial" w:hAnsi="Arial" w:cs="Arial"/>
          <w:iCs/>
          <w:kern w:val="2"/>
        </w:rPr>
        <w:tab/>
      </w:r>
      <w:r w:rsidR="006872DF" w:rsidRPr="006872DF">
        <w:rPr>
          <w:rFonts w:ascii="Arial" w:hAnsi="Arial" w:cs="Arial"/>
          <w:iCs/>
          <w:kern w:val="2"/>
        </w:rPr>
        <w:tab/>
      </w:r>
      <w:r w:rsidR="006872DF" w:rsidRPr="006872DF">
        <w:rPr>
          <w:rFonts w:ascii="Arial" w:hAnsi="Arial" w:cs="Arial"/>
          <w:iCs/>
          <w:kern w:val="2"/>
        </w:rPr>
        <w:tab/>
        <w:t xml:space="preserve"> (5)</w:t>
      </w:r>
    </w:p>
    <w:p w14:paraId="1A2D420C" w14:textId="77777777" w:rsidR="006872DF" w:rsidRPr="006872DF" w:rsidRDefault="006872DF" w:rsidP="006872DF">
      <w:pPr>
        <w:tabs>
          <w:tab w:val="left" w:pos="5523"/>
        </w:tabs>
        <w:spacing w:after="160"/>
        <w:jc w:val="both"/>
        <w:rPr>
          <w:rFonts w:ascii="Arial" w:eastAsia="Calibri" w:hAnsi="Arial" w:cs="Arial"/>
          <w:iCs/>
          <w:kern w:val="2"/>
        </w:rPr>
      </w:pPr>
      <w:r w:rsidRPr="006872DF">
        <w:rPr>
          <w:rFonts w:ascii="Arial" w:eastAsia="Calibri" w:hAnsi="Arial" w:cs="Arial"/>
          <w:iCs/>
          <w:kern w:val="2"/>
        </w:rPr>
        <w:t xml:space="preserve">where </w:t>
      </w:r>
      <w:r w:rsidRPr="006872DF">
        <w:rPr>
          <w:rFonts w:ascii="Arial" w:eastAsia="Calibri" w:hAnsi="Arial" w:cs="Arial"/>
          <w:i/>
          <w:iCs/>
          <w:kern w:val="2"/>
        </w:rPr>
        <w:t>V</w:t>
      </w:r>
      <w:r w:rsidRPr="006872DF">
        <w:rPr>
          <w:rFonts w:ascii="Cambria Math" w:eastAsia="Calibri" w:hAnsi="Cambria Math" w:cs="Cambria Math"/>
          <w:i/>
          <w:iCs/>
          <w:kern w:val="2"/>
        </w:rPr>
        <w:t>₁</w:t>
      </w:r>
      <w:r w:rsidRPr="006872DF">
        <w:rPr>
          <w:rFonts w:ascii="Arial" w:eastAsia="Calibri" w:hAnsi="Arial" w:cs="Arial"/>
          <w:iCs/>
          <w:kern w:val="2"/>
        </w:rPr>
        <w:t xml:space="preserve"> and </w:t>
      </w:r>
      <w:r w:rsidRPr="006872DF">
        <w:rPr>
          <w:rFonts w:ascii="Arial" w:eastAsia="Calibri" w:hAnsi="Arial" w:cs="Arial"/>
          <w:i/>
          <w:iCs/>
          <w:kern w:val="2"/>
        </w:rPr>
        <w:t>V</w:t>
      </w:r>
      <w:r w:rsidRPr="006872DF">
        <w:rPr>
          <w:rFonts w:ascii="Cambria Math" w:eastAsia="Calibri" w:hAnsi="Cambria Math" w:cs="Cambria Math"/>
          <w:i/>
          <w:iCs/>
          <w:kern w:val="2"/>
        </w:rPr>
        <w:t>₀</w:t>
      </w:r>
      <w:r w:rsidRPr="006872DF">
        <w:rPr>
          <w:rFonts w:ascii="Arial" w:eastAsia="Calibri" w:hAnsi="Arial" w:cs="Arial"/>
          <w:iCs/>
          <w:kern w:val="2"/>
        </w:rPr>
        <w:t xml:space="preserve"> are NaOH volumes (mL). Results were rounded to two decimal places. Repeatability was maintained within ±5%.</w:t>
      </w:r>
    </w:p>
    <w:p w14:paraId="554B8107" w14:textId="77777777" w:rsidR="006872DF" w:rsidRPr="006872DF" w:rsidRDefault="006872DF" w:rsidP="006872DF">
      <w:pPr>
        <w:tabs>
          <w:tab w:val="left" w:pos="5523"/>
        </w:tabs>
        <w:spacing w:after="160"/>
        <w:jc w:val="both"/>
        <w:rPr>
          <w:rFonts w:ascii="Arial" w:eastAsia="Calibri" w:hAnsi="Arial" w:cs="Arial"/>
          <w:b/>
          <w:bCs/>
          <w:iCs/>
          <w:kern w:val="2"/>
        </w:rPr>
      </w:pPr>
      <w:r w:rsidRPr="006872DF">
        <w:rPr>
          <w:rFonts w:ascii="Arial" w:eastAsia="Calibri" w:hAnsi="Arial" w:cs="Arial"/>
          <w:b/>
          <w:bCs/>
          <w:iCs/>
          <w:kern w:val="2"/>
        </w:rPr>
        <w:t>2.3.6 Saccharification Power</w:t>
      </w:r>
    </w:p>
    <w:p w14:paraId="4CA1CC00" w14:textId="759E77E7" w:rsidR="006872DF" w:rsidRPr="006872DF" w:rsidRDefault="006872DF" w:rsidP="006872DF">
      <w:pPr>
        <w:tabs>
          <w:tab w:val="left" w:pos="5523"/>
        </w:tabs>
        <w:spacing w:after="160"/>
        <w:jc w:val="both"/>
        <w:rPr>
          <w:rFonts w:ascii="Arial" w:eastAsia="Calibri" w:hAnsi="Arial" w:cs="Arial"/>
          <w:iCs/>
          <w:kern w:val="2"/>
        </w:rPr>
      </w:pPr>
      <w:r w:rsidRPr="006872DF">
        <w:rPr>
          <w:rFonts w:ascii="Arial" w:eastAsia="Calibri" w:hAnsi="Arial" w:cs="Arial"/>
          <w:iCs/>
          <w:kern w:val="2"/>
        </w:rPr>
        <w:t>Saccharification power was determined by measuring the enzymatic hydrolysis of soluble starch as used by (</w:t>
      </w:r>
      <w:r w:rsidRPr="006872DF">
        <w:rPr>
          <w:rFonts w:ascii="Arial" w:eastAsia="Calibri" w:hAnsi="Arial" w:cs="Arial"/>
          <w:kern w:val="2"/>
        </w:rPr>
        <w:t>Gou et al., 2024)</w:t>
      </w:r>
      <w:r w:rsidRPr="006872DF">
        <w:rPr>
          <w:rFonts w:ascii="Arial" w:eastAsia="Calibri" w:hAnsi="Arial" w:cs="Arial"/>
          <w:iCs/>
          <w:kern w:val="2"/>
        </w:rPr>
        <w:t xml:space="preserve">. </w:t>
      </w:r>
      <w:r w:rsidR="001437EA">
        <w:rPr>
          <w:rFonts w:ascii="Arial" w:eastAsia="Calibri" w:hAnsi="Arial" w:cs="Arial"/>
          <w:iCs/>
          <w:kern w:val="2"/>
        </w:rPr>
        <w:t xml:space="preserve">The </w:t>
      </w:r>
      <w:r w:rsidRPr="006872DF">
        <w:rPr>
          <w:rFonts w:ascii="Arial" w:eastAsia="Calibri" w:hAnsi="Arial" w:cs="Arial"/>
          <w:iCs/>
          <w:kern w:val="2"/>
        </w:rPr>
        <w:t>Daqu sample solution (equivalent to 1 g dry matter per 100 mL) was prepared in sodium acetate buffer and incubated at 35 °C for 1 h, then filtered.</w:t>
      </w:r>
    </w:p>
    <w:p w14:paraId="761BE966" w14:textId="77777777" w:rsidR="006872DF" w:rsidRPr="006872DF" w:rsidRDefault="006872DF" w:rsidP="006872DF">
      <w:pPr>
        <w:tabs>
          <w:tab w:val="left" w:pos="5523"/>
        </w:tabs>
        <w:spacing w:after="160"/>
        <w:jc w:val="both"/>
        <w:rPr>
          <w:rFonts w:ascii="Arial" w:eastAsia="Calibri" w:hAnsi="Arial" w:cs="Arial"/>
          <w:iCs/>
          <w:kern w:val="2"/>
        </w:rPr>
      </w:pPr>
      <w:r w:rsidRPr="006872DF">
        <w:rPr>
          <w:rFonts w:ascii="Arial" w:eastAsia="Calibri" w:hAnsi="Arial" w:cs="Arial"/>
          <w:iCs/>
          <w:kern w:val="2"/>
        </w:rPr>
        <w:t>Two titrations were performed:</w:t>
      </w:r>
    </w:p>
    <w:p w14:paraId="27D5E03F" w14:textId="77777777" w:rsidR="006872DF" w:rsidRPr="006872DF" w:rsidRDefault="006872DF" w:rsidP="006872DF">
      <w:pPr>
        <w:numPr>
          <w:ilvl w:val="0"/>
          <w:numId w:val="32"/>
        </w:numPr>
        <w:tabs>
          <w:tab w:val="left" w:pos="5523"/>
        </w:tabs>
        <w:spacing w:after="160"/>
        <w:jc w:val="both"/>
        <w:rPr>
          <w:rFonts w:ascii="Arial" w:eastAsia="Calibri" w:hAnsi="Arial" w:cs="Arial"/>
          <w:iCs/>
          <w:kern w:val="2"/>
        </w:rPr>
      </w:pPr>
      <w:r w:rsidRPr="006872DF">
        <w:rPr>
          <w:rFonts w:ascii="Arial" w:eastAsia="Calibri" w:hAnsi="Arial" w:cs="Arial"/>
          <w:b/>
          <w:bCs/>
          <w:iCs/>
          <w:kern w:val="2"/>
        </w:rPr>
        <w:t>Blank test:</w:t>
      </w:r>
      <w:r w:rsidRPr="006872DF">
        <w:rPr>
          <w:rFonts w:ascii="Arial" w:eastAsia="Calibri" w:hAnsi="Arial" w:cs="Arial"/>
          <w:iCs/>
          <w:kern w:val="2"/>
        </w:rPr>
        <w:t xml:space="preserve"> 25 mL starch solution + 5 mL sample solution + NaOH.</w:t>
      </w:r>
    </w:p>
    <w:p w14:paraId="5308A3D5" w14:textId="77777777" w:rsidR="006872DF" w:rsidRPr="006872DF" w:rsidRDefault="006872DF" w:rsidP="006872DF">
      <w:pPr>
        <w:numPr>
          <w:ilvl w:val="0"/>
          <w:numId w:val="32"/>
        </w:numPr>
        <w:tabs>
          <w:tab w:val="left" w:pos="5523"/>
        </w:tabs>
        <w:spacing w:after="160"/>
        <w:jc w:val="both"/>
        <w:rPr>
          <w:rFonts w:ascii="Arial" w:eastAsia="Calibri" w:hAnsi="Arial" w:cs="Arial"/>
          <w:iCs/>
          <w:kern w:val="2"/>
        </w:rPr>
      </w:pPr>
      <w:r w:rsidRPr="006872DF">
        <w:rPr>
          <w:rFonts w:ascii="Arial" w:eastAsia="Calibri" w:hAnsi="Arial" w:cs="Arial"/>
          <w:b/>
          <w:bCs/>
          <w:iCs/>
          <w:kern w:val="2"/>
        </w:rPr>
        <w:t>Sample test:</w:t>
      </w:r>
      <w:r w:rsidRPr="006872DF">
        <w:rPr>
          <w:rFonts w:ascii="Arial" w:eastAsia="Calibri" w:hAnsi="Arial" w:cs="Arial"/>
          <w:iCs/>
          <w:kern w:val="2"/>
        </w:rPr>
        <w:t xml:space="preserve"> Identical mixture, saccharified at 35 °C for 1 h, then titrated with glucose standard solution.</w:t>
      </w:r>
    </w:p>
    <w:p w14:paraId="0D81FF25" w14:textId="77777777" w:rsidR="006872DF" w:rsidRPr="006872DF" w:rsidRDefault="006872DF" w:rsidP="006872DF">
      <w:pPr>
        <w:tabs>
          <w:tab w:val="left" w:pos="5523"/>
        </w:tabs>
        <w:spacing w:after="160"/>
        <w:jc w:val="both"/>
        <w:rPr>
          <w:rFonts w:ascii="Arial" w:eastAsia="Calibri" w:hAnsi="Arial" w:cs="Arial"/>
          <w:iCs/>
          <w:kern w:val="2"/>
        </w:rPr>
      </w:pPr>
      <w:r w:rsidRPr="006872DF">
        <w:rPr>
          <w:rFonts w:ascii="Arial" w:eastAsia="Calibri" w:hAnsi="Arial" w:cs="Arial"/>
          <w:iCs/>
          <w:kern w:val="2"/>
        </w:rPr>
        <w:t>Saccharification power (X</w:t>
      </w:r>
      <w:r w:rsidRPr="006872DF">
        <w:rPr>
          <w:rFonts w:ascii="Cambria Math" w:eastAsia="Calibri" w:hAnsi="Cambria Math" w:cs="Cambria Math"/>
          <w:iCs/>
          <w:kern w:val="2"/>
        </w:rPr>
        <w:t>₆</w:t>
      </w:r>
      <w:r w:rsidRPr="006872DF">
        <w:rPr>
          <w:rFonts w:ascii="Arial" w:eastAsia="Calibri" w:hAnsi="Arial" w:cs="Arial"/>
          <w:iCs/>
          <w:kern w:val="2"/>
        </w:rPr>
        <w:t>) was calculated using Equation (6):</w:t>
      </w:r>
    </w:p>
    <w:p w14:paraId="4F25DCF9" w14:textId="77777777" w:rsidR="006872DF" w:rsidRPr="006872DF" w:rsidRDefault="00DB4705" w:rsidP="006872DF">
      <w:pPr>
        <w:tabs>
          <w:tab w:val="left" w:pos="5523"/>
        </w:tabs>
        <w:spacing w:after="160"/>
        <w:jc w:val="both"/>
        <w:rPr>
          <w:rFonts w:ascii="Arial" w:hAnsi="Arial" w:cs="Arial"/>
          <w:iCs/>
          <w:kern w:val="2"/>
        </w:rPr>
      </w:pPr>
      <m:oMath>
        <m:sSub>
          <m:sSubPr>
            <m:ctrlPr>
              <w:rPr>
                <w:rFonts w:ascii="Cambria Math" w:eastAsia="Calibri" w:hAnsi="Cambria Math" w:cs="Arial"/>
                <w:i/>
                <w:iCs/>
                <w:kern w:val="2"/>
              </w:rPr>
            </m:ctrlPr>
          </m:sSubPr>
          <m:e>
            <m:r>
              <w:rPr>
                <w:rFonts w:ascii="Cambria Math" w:eastAsia="Calibri" w:hAnsi="Cambria Math" w:cs="Arial"/>
                <w:kern w:val="2"/>
              </w:rPr>
              <m:t>X</m:t>
            </m:r>
          </m:e>
          <m:sub>
            <m:r>
              <w:rPr>
                <w:rFonts w:ascii="Cambria Math" w:eastAsia="Calibri" w:hAnsi="Cambria Math" w:cs="Arial"/>
                <w:kern w:val="2"/>
              </w:rPr>
              <m:t>6</m:t>
            </m:r>
          </m:sub>
        </m:sSub>
        <m:r>
          <w:rPr>
            <w:rFonts w:ascii="Cambria Math" w:eastAsia="Calibri" w:hAnsi="Cambria Math" w:cs="Arial"/>
            <w:kern w:val="2"/>
          </w:rPr>
          <m:t>=</m:t>
        </m:r>
        <m:f>
          <m:fPr>
            <m:ctrlPr>
              <w:rPr>
                <w:rFonts w:ascii="Cambria Math" w:eastAsia="Calibri" w:hAnsi="Cambria Math" w:cs="Arial"/>
                <w:i/>
                <w:iCs/>
                <w:kern w:val="2"/>
              </w:rPr>
            </m:ctrlPr>
          </m:fPr>
          <m:num>
            <m:sSub>
              <m:sSubPr>
                <m:ctrlPr>
                  <w:rPr>
                    <w:rFonts w:ascii="Cambria Math" w:eastAsia="Calibri" w:hAnsi="Cambria Math" w:cs="Arial"/>
                    <w:i/>
                    <w:iCs/>
                    <w:kern w:val="2"/>
                  </w:rPr>
                </m:ctrlPr>
              </m:sSubPr>
              <m:e>
                <m:r>
                  <w:rPr>
                    <w:rFonts w:ascii="Cambria Math" w:eastAsia="Calibri" w:hAnsi="Cambria Math" w:cs="Arial"/>
                    <w:kern w:val="2"/>
                  </w:rPr>
                  <m:t>(</m:t>
                </m:r>
                <m:r>
                  <w:rPr>
                    <w:rFonts w:ascii="Cambria Math" w:eastAsia="Calibri" w:hAnsi="Cambria Math" w:cs="Arial"/>
                    <w:kern w:val="2"/>
                  </w:rPr>
                  <m:t>V</m:t>
                </m:r>
              </m:e>
              <m:sub>
                <m:r>
                  <w:rPr>
                    <w:rFonts w:ascii="Cambria Math" w:eastAsia="Calibri" w:hAnsi="Cambria Math" w:cs="Arial"/>
                    <w:kern w:val="2"/>
                  </w:rPr>
                  <m:t>1</m:t>
                </m:r>
              </m:sub>
            </m:sSub>
            <m:r>
              <w:rPr>
                <w:rFonts w:ascii="Cambria Math" w:eastAsia="Calibri" w:hAnsi="Cambria Math" w:cs="Arial"/>
                <w:kern w:val="2"/>
              </w:rPr>
              <m:t>-</m:t>
            </m:r>
            <m:sSub>
              <m:sSubPr>
                <m:ctrlPr>
                  <w:rPr>
                    <w:rFonts w:ascii="Cambria Math" w:eastAsia="Calibri" w:hAnsi="Cambria Math" w:cs="Arial"/>
                    <w:i/>
                    <w:iCs/>
                    <w:kern w:val="2"/>
                  </w:rPr>
                </m:ctrlPr>
              </m:sSubPr>
              <m:e>
                <m:r>
                  <w:rPr>
                    <w:rFonts w:ascii="Cambria Math" w:eastAsia="Calibri" w:hAnsi="Cambria Math" w:cs="Arial"/>
                    <w:kern w:val="2"/>
                  </w:rPr>
                  <m:t>V</m:t>
                </m:r>
              </m:e>
              <m:sub>
                <m:r>
                  <w:rPr>
                    <w:rFonts w:ascii="Cambria Math" w:eastAsia="Calibri" w:hAnsi="Cambria Math" w:cs="Arial"/>
                    <w:kern w:val="2"/>
                  </w:rPr>
                  <m:t>20</m:t>
                </m:r>
              </m:sub>
            </m:sSub>
            <m:r>
              <w:rPr>
                <w:rFonts w:ascii="Cambria Math" w:eastAsia="Calibri" w:hAnsi="Cambria Math" w:cs="Arial"/>
                <w:kern w:val="2"/>
              </w:rPr>
              <m:t>)×2.5  ×30</m:t>
            </m:r>
          </m:num>
          <m:den>
            <m:r>
              <w:rPr>
                <w:rFonts w:ascii="Cambria Math" w:eastAsia="Calibri" w:hAnsi="Cambria Math" w:cs="Arial"/>
                <w:kern w:val="2"/>
              </w:rPr>
              <m:t>0.25 ×5</m:t>
            </m:r>
          </m:den>
        </m:f>
        <m:r>
          <w:rPr>
            <w:rFonts w:ascii="Cambria Math" w:eastAsia="Calibri" w:hAnsi="Cambria Math" w:cs="Arial"/>
            <w:kern w:val="2"/>
          </w:rPr>
          <m:t xml:space="preserve"> ×1000</m:t>
        </m:r>
      </m:oMath>
      <w:r w:rsidR="006872DF" w:rsidRPr="006872DF">
        <w:rPr>
          <w:rFonts w:ascii="Arial" w:hAnsi="Arial" w:cs="Arial"/>
          <w:iCs/>
          <w:kern w:val="2"/>
        </w:rPr>
        <w:t xml:space="preserve">    </w:t>
      </w:r>
      <w:r w:rsidR="006872DF" w:rsidRPr="006872DF">
        <w:rPr>
          <w:rFonts w:ascii="Arial" w:hAnsi="Arial" w:cs="Arial"/>
          <w:iCs/>
          <w:kern w:val="2"/>
        </w:rPr>
        <w:tab/>
      </w:r>
      <w:r w:rsidR="006872DF" w:rsidRPr="006872DF">
        <w:rPr>
          <w:rFonts w:ascii="Arial" w:hAnsi="Arial" w:cs="Arial"/>
          <w:iCs/>
          <w:kern w:val="2"/>
        </w:rPr>
        <w:tab/>
      </w:r>
      <w:r w:rsidR="006872DF" w:rsidRPr="006872DF">
        <w:rPr>
          <w:rFonts w:ascii="Arial" w:hAnsi="Arial" w:cs="Arial"/>
          <w:iCs/>
          <w:kern w:val="2"/>
        </w:rPr>
        <w:tab/>
        <w:t xml:space="preserve"> (6)</w:t>
      </w:r>
    </w:p>
    <w:p w14:paraId="7A9B0E93" w14:textId="77777777" w:rsidR="006872DF" w:rsidRPr="006872DF" w:rsidRDefault="006872DF" w:rsidP="006872DF">
      <w:pPr>
        <w:tabs>
          <w:tab w:val="left" w:pos="5523"/>
        </w:tabs>
        <w:spacing w:after="160"/>
        <w:jc w:val="both"/>
        <w:rPr>
          <w:rFonts w:ascii="Arial" w:eastAsia="Calibri" w:hAnsi="Arial" w:cs="Arial"/>
          <w:b/>
          <w:bCs/>
          <w:iCs/>
          <w:kern w:val="2"/>
        </w:rPr>
      </w:pPr>
      <w:r w:rsidRPr="006872DF">
        <w:rPr>
          <w:rFonts w:ascii="Arial" w:eastAsia="Calibri" w:hAnsi="Arial" w:cs="Arial"/>
          <w:b/>
          <w:bCs/>
          <w:iCs/>
          <w:kern w:val="2"/>
        </w:rPr>
        <w:t>2.3.7 Liquefaction Power</w:t>
      </w:r>
    </w:p>
    <w:p w14:paraId="298B209A" w14:textId="5A3D86D1" w:rsidR="006872DF" w:rsidRPr="006872DF" w:rsidRDefault="006872DF" w:rsidP="006872DF">
      <w:pPr>
        <w:tabs>
          <w:tab w:val="left" w:pos="5523"/>
        </w:tabs>
        <w:spacing w:after="160"/>
        <w:jc w:val="both"/>
        <w:rPr>
          <w:rFonts w:ascii="Arial" w:eastAsia="Calibri" w:hAnsi="Arial" w:cs="Arial"/>
          <w:iCs/>
          <w:kern w:val="2"/>
        </w:rPr>
      </w:pPr>
      <w:r w:rsidRPr="006872DF">
        <w:rPr>
          <w:rFonts w:ascii="Arial" w:eastAsia="Calibri" w:hAnsi="Arial" w:cs="Arial"/>
          <w:iCs/>
          <w:kern w:val="2"/>
        </w:rPr>
        <w:t>Liquefaction power was measured based on the disappearance of blue iodine-starch coloration (</w:t>
      </w:r>
      <w:r w:rsidRPr="006872DF">
        <w:rPr>
          <w:rFonts w:ascii="Arial" w:eastAsia="Calibri" w:hAnsi="Arial" w:cs="Arial"/>
          <w:kern w:val="2"/>
        </w:rPr>
        <w:t>Wang et al., 2025)</w:t>
      </w:r>
      <w:r w:rsidRPr="006872DF">
        <w:rPr>
          <w:rFonts w:ascii="Arial" w:eastAsia="Calibri" w:hAnsi="Arial" w:cs="Arial"/>
          <w:iCs/>
          <w:kern w:val="2"/>
        </w:rPr>
        <w:t xml:space="preserve">. A 5% enzyme extract of Daqu was prepared by incubating Daqu in </w:t>
      </w:r>
      <w:r w:rsidR="001437EA">
        <w:rPr>
          <w:rFonts w:ascii="Arial" w:eastAsia="Calibri" w:hAnsi="Arial" w:cs="Arial"/>
          <w:iCs/>
          <w:kern w:val="2"/>
        </w:rPr>
        <w:t xml:space="preserve">a </w:t>
      </w:r>
      <w:r w:rsidRPr="006872DF">
        <w:rPr>
          <w:rFonts w:ascii="Arial" w:eastAsia="Calibri" w:hAnsi="Arial" w:cs="Arial"/>
          <w:iCs/>
          <w:kern w:val="2"/>
        </w:rPr>
        <w:t>pH 4.6 buffer at 35 °C for 1 h and filtering. A reaction mixture of soluble starch, buffer, and enzyme solution was maintained at 35 °C and monitored periodically by iodine coloration. The reaction endpoint was defined as the absence of blue color. Liquefaction power (X</w:t>
      </w:r>
      <w:r w:rsidRPr="006872DF">
        <w:rPr>
          <w:rFonts w:ascii="Cambria Math" w:eastAsia="Calibri" w:hAnsi="Cambria Math" w:cs="Cambria Math"/>
          <w:iCs/>
          <w:kern w:val="2"/>
        </w:rPr>
        <w:t>₇</w:t>
      </w:r>
      <w:r w:rsidRPr="006872DF">
        <w:rPr>
          <w:rFonts w:ascii="Arial" w:eastAsia="Calibri" w:hAnsi="Arial" w:cs="Arial"/>
          <w:iCs/>
          <w:kern w:val="2"/>
        </w:rPr>
        <w:t>) was calculated using Equation (7):</w:t>
      </w:r>
    </w:p>
    <w:p w14:paraId="596E8FE2" w14:textId="77777777" w:rsidR="006872DF" w:rsidRPr="006872DF" w:rsidRDefault="00DB4705" w:rsidP="006872DF">
      <w:pPr>
        <w:tabs>
          <w:tab w:val="left" w:pos="5523"/>
        </w:tabs>
        <w:spacing w:after="160"/>
        <w:jc w:val="both"/>
        <w:rPr>
          <w:rFonts w:ascii="Arial" w:eastAsia="Calibri" w:hAnsi="Arial" w:cs="Arial"/>
          <w:iCs/>
          <w:kern w:val="2"/>
        </w:rPr>
      </w:pPr>
      <m:oMath>
        <m:sSub>
          <m:sSubPr>
            <m:ctrlPr>
              <w:rPr>
                <w:rFonts w:ascii="Cambria Math" w:eastAsia="Calibri" w:hAnsi="Cambria Math" w:cs="Arial"/>
                <w:i/>
                <w:iCs/>
                <w:kern w:val="2"/>
              </w:rPr>
            </m:ctrlPr>
          </m:sSubPr>
          <m:e>
            <m:r>
              <w:rPr>
                <w:rFonts w:ascii="Cambria Math" w:eastAsia="Calibri" w:hAnsi="Cambria Math" w:cs="Arial"/>
                <w:kern w:val="2"/>
              </w:rPr>
              <m:t>X</m:t>
            </m:r>
          </m:e>
          <m:sub>
            <m:r>
              <w:rPr>
                <w:rFonts w:ascii="Cambria Math" w:eastAsia="Calibri" w:hAnsi="Cambria Math" w:cs="Arial"/>
                <w:kern w:val="2"/>
              </w:rPr>
              <m:t>7</m:t>
            </m:r>
          </m:sub>
        </m:sSub>
        <m:r>
          <w:rPr>
            <w:rFonts w:ascii="Cambria Math" w:eastAsia="Calibri" w:hAnsi="Cambria Math" w:cs="Arial"/>
            <w:kern w:val="2"/>
          </w:rPr>
          <m:t>=</m:t>
        </m:r>
        <m:f>
          <m:fPr>
            <m:ctrlPr>
              <w:rPr>
                <w:rFonts w:ascii="Cambria Math" w:eastAsia="Calibri" w:hAnsi="Cambria Math" w:cs="Arial"/>
                <w:i/>
                <w:iCs/>
                <w:kern w:val="2"/>
              </w:rPr>
            </m:ctrlPr>
          </m:fPr>
          <m:num>
            <m:r>
              <w:rPr>
                <w:rFonts w:ascii="Cambria Math" w:eastAsia="Calibri" w:hAnsi="Cambria Math" w:cs="Arial"/>
                <w:kern w:val="2"/>
              </w:rPr>
              <m:t>0.24</m:t>
            </m:r>
            <m:r>
              <w:rPr>
                <w:rFonts w:ascii="Cambria Math" w:eastAsia="Calibri" w:hAnsi="Cambria Math" w:cs="Arial"/>
                <w:kern w:val="2"/>
              </w:rPr>
              <m:t>V</m:t>
            </m:r>
          </m:num>
          <m:den>
            <m:r>
              <w:rPr>
                <w:rFonts w:ascii="Cambria Math" w:eastAsia="Calibri" w:hAnsi="Cambria Math" w:cs="Arial"/>
                <w:kern w:val="2"/>
              </w:rPr>
              <m:t>t</m:t>
            </m:r>
          </m:den>
        </m:f>
      </m:oMath>
      <w:r w:rsidR="006872DF" w:rsidRPr="006872DF">
        <w:rPr>
          <w:rFonts w:ascii="Arial" w:hAnsi="Arial" w:cs="Arial"/>
          <w:iCs/>
          <w:kern w:val="2"/>
        </w:rPr>
        <w:t xml:space="preserve"> </w:t>
      </w:r>
      <w:r w:rsidR="006872DF" w:rsidRPr="006872DF">
        <w:rPr>
          <w:rFonts w:ascii="Arial" w:hAnsi="Arial" w:cs="Arial"/>
          <w:iCs/>
          <w:kern w:val="2"/>
        </w:rPr>
        <w:tab/>
      </w:r>
      <w:r w:rsidR="006872DF" w:rsidRPr="006872DF">
        <w:rPr>
          <w:rFonts w:ascii="Arial" w:hAnsi="Arial" w:cs="Arial"/>
          <w:iCs/>
          <w:kern w:val="2"/>
        </w:rPr>
        <w:tab/>
      </w:r>
      <w:r w:rsidR="006872DF" w:rsidRPr="006872DF">
        <w:rPr>
          <w:rFonts w:ascii="Arial" w:hAnsi="Arial" w:cs="Arial"/>
          <w:iCs/>
          <w:kern w:val="2"/>
        </w:rPr>
        <w:tab/>
      </w:r>
      <w:r w:rsidR="006872DF" w:rsidRPr="006872DF">
        <w:rPr>
          <w:rFonts w:ascii="Arial" w:hAnsi="Arial" w:cs="Arial"/>
          <w:iCs/>
          <w:kern w:val="2"/>
        </w:rPr>
        <w:tab/>
        <w:t>(7)</w:t>
      </w:r>
    </w:p>
    <w:p w14:paraId="0192A613" w14:textId="77777777" w:rsidR="006872DF" w:rsidRPr="006872DF" w:rsidRDefault="006872DF" w:rsidP="006872DF">
      <w:pPr>
        <w:tabs>
          <w:tab w:val="left" w:pos="5523"/>
        </w:tabs>
        <w:spacing w:after="160"/>
        <w:jc w:val="both"/>
        <w:rPr>
          <w:rFonts w:ascii="Arial" w:eastAsia="Calibri" w:hAnsi="Arial" w:cs="Arial"/>
          <w:iCs/>
          <w:kern w:val="2"/>
        </w:rPr>
      </w:pPr>
      <w:r w:rsidRPr="006872DF">
        <w:rPr>
          <w:rFonts w:ascii="Arial" w:eastAsia="Calibri" w:hAnsi="Arial" w:cs="Arial"/>
          <w:iCs/>
          <w:kern w:val="2"/>
        </w:rPr>
        <w:t xml:space="preserve">where </w:t>
      </w:r>
      <w:r w:rsidRPr="006872DF">
        <w:rPr>
          <w:rFonts w:ascii="Arial" w:eastAsia="Calibri" w:hAnsi="Arial" w:cs="Arial"/>
          <w:i/>
          <w:iCs/>
          <w:kern w:val="2"/>
        </w:rPr>
        <w:t>V</w:t>
      </w:r>
      <w:r w:rsidRPr="006872DF">
        <w:rPr>
          <w:rFonts w:ascii="Cambria Math" w:eastAsia="Calibri" w:hAnsi="Cambria Math" w:cs="Cambria Math"/>
          <w:i/>
          <w:iCs/>
          <w:kern w:val="2"/>
        </w:rPr>
        <w:t>₁</w:t>
      </w:r>
      <w:r w:rsidRPr="006872DF">
        <w:rPr>
          <w:rFonts w:ascii="Arial" w:eastAsia="Calibri" w:hAnsi="Arial" w:cs="Arial"/>
          <w:iCs/>
          <w:kern w:val="2"/>
        </w:rPr>
        <w:t xml:space="preserve"> and </w:t>
      </w:r>
      <w:r w:rsidRPr="006872DF">
        <w:rPr>
          <w:rFonts w:ascii="Arial" w:eastAsia="Calibri" w:hAnsi="Arial" w:cs="Arial"/>
          <w:i/>
          <w:iCs/>
          <w:kern w:val="2"/>
        </w:rPr>
        <w:t>V</w:t>
      </w:r>
      <w:r w:rsidRPr="006872DF">
        <w:rPr>
          <w:rFonts w:ascii="Cambria Math" w:eastAsia="Calibri" w:hAnsi="Cambria Math" w:cs="Cambria Math"/>
          <w:i/>
          <w:iCs/>
          <w:kern w:val="2"/>
        </w:rPr>
        <w:t>₂</w:t>
      </w:r>
      <w:r w:rsidRPr="006872DF">
        <w:rPr>
          <w:rFonts w:ascii="Arial" w:eastAsia="Calibri" w:hAnsi="Arial" w:cs="Arial"/>
          <w:iCs/>
          <w:kern w:val="2"/>
        </w:rPr>
        <w:t xml:space="preserve"> are glucose standard volumes (mL).</w:t>
      </w:r>
    </w:p>
    <w:p w14:paraId="71F9D9A0" w14:textId="77777777" w:rsidR="006872DF" w:rsidRPr="006872DF" w:rsidRDefault="006872DF" w:rsidP="006872DF">
      <w:pPr>
        <w:tabs>
          <w:tab w:val="left" w:pos="5523"/>
        </w:tabs>
        <w:spacing w:after="160"/>
        <w:jc w:val="both"/>
        <w:rPr>
          <w:rFonts w:ascii="Arial" w:eastAsia="Calibri" w:hAnsi="Arial" w:cs="Arial"/>
          <w:b/>
          <w:bCs/>
          <w:iCs/>
          <w:kern w:val="2"/>
        </w:rPr>
      </w:pPr>
    </w:p>
    <w:p w14:paraId="191ECE35" w14:textId="77777777" w:rsidR="006872DF" w:rsidRPr="006872DF" w:rsidRDefault="006872DF" w:rsidP="006872DF">
      <w:pPr>
        <w:tabs>
          <w:tab w:val="left" w:pos="5523"/>
        </w:tabs>
        <w:spacing w:after="160"/>
        <w:jc w:val="both"/>
        <w:rPr>
          <w:rFonts w:ascii="Arial" w:eastAsia="Calibri" w:hAnsi="Arial" w:cs="Arial"/>
          <w:b/>
          <w:bCs/>
          <w:iCs/>
          <w:kern w:val="2"/>
        </w:rPr>
      </w:pPr>
      <w:r w:rsidRPr="006872DF">
        <w:rPr>
          <w:rFonts w:ascii="Arial" w:eastAsia="Calibri" w:hAnsi="Arial" w:cs="Arial"/>
          <w:b/>
          <w:bCs/>
          <w:iCs/>
          <w:kern w:val="2"/>
        </w:rPr>
        <w:t>2.4 Statistical Analysis</w:t>
      </w:r>
    </w:p>
    <w:p w14:paraId="4DD988AA" w14:textId="1A0D8F06" w:rsidR="006872DF" w:rsidRPr="006872DF" w:rsidRDefault="006872DF" w:rsidP="006872DF">
      <w:pPr>
        <w:tabs>
          <w:tab w:val="left" w:pos="5523"/>
        </w:tabs>
        <w:spacing w:after="160"/>
        <w:jc w:val="both"/>
        <w:rPr>
          <w:rFonts w:ascii="Arial" w:eastAsia="Calibri" w:hAnsi="Arial" w:cs="Arial"/>
          <w:iCs/>
          <w:kern w:val="2"/>
        </w:rPr>
      </w:pPr>
      <w:r w:rsidRPr="006872DF">
        <w:rPr>
          <w:rFonts w:ascii="Arial" w:eastAsia="Calibri" w:hAnsi="Arial" w:cs="Arial"/>
          <w:iCs/>
          <w:kern w:val="2"/>
        </w:rPr>
        <w:t xml:space="preserve">All physicochemical measurements were performed in triplicate. Data were processed using Microsoft Excel 2019. Statistical significance was assessed using one-way ANOVA in GraphPad Prism 10.2, followed by Duncan’s multiple range test. Results are expressed as mean ± SD. Differences were considered statistically significant at </w:t>
      </w:r>
      <w:r w:rsidRPr="006872DF">
        <w:rPr>
          <w:rFonts w:ascii="Arial" w:eastAsia="Calibri" w:hAnsi="Arial" w:cs="Arial"/>
          <w:i/>
          <w:iCs/>
          <w:kern w:val="2"/>
        </w:rPr>
        <w:t>P</w:t>
      </w:r>
      <w:r w:rsidRPr="006872DF">
        <w:rPr>
          <w:rFonts w:ascii="Arial" w:eastAsia="Calibri" w:hAnsi="Arial" w:cs="Arial"/>
          <w:iCs/>
          <w:kern w:val="2"/>
        </w:rPr>
        <w:t xml:space="preserve"> ≤ 0.05 (</w:t>
      </w:r>
      <w:r w:rsidRPr="006872DF">
        <w:rPr>
          <w:rFonts w:ascii="Arial" w:eastAsia="Calibri" w:hAnsi="Arial" w:cs="Arial"/>
          <w:i/>
          <w:iCs/>
          <w:kern w:val="2"/>
        </w:rPr>
        <w:t>), highly significant at P &lt; 0.01</w:t>
      </w:r>
      <w:r w:rsidRPr="006872DF">
        <w:rPr>
          <w:rFonts w:ascii="Arial" w:eastAsia="Calibri" w:hAnsi="Arial" w:cs="Arial"/>
          <w:b/>
          <w:bCs/>
          <w:i/>
          <w:iCs/>
          <w:kern w:val="2"/>
        </w:rPr>
        <w:t>, and extremely significant at P &lt; 0.001</w:t>
      </w:r>
      <w:r w:rsidRPr="006872DF">
        <w:rPr>
          <w:rFonts w:ascii="Arial" w:eastAsia="Calibri" w:hAnsi="Arial" w:cs="Arial"/>
          <w:iCs/>
          <w:kern w:val="2"/>
        </w:rPr>
        <w:t>.</w:t>
      </w:r>
    </w:p>
    <w:p w14:paraId="34D18A74" w14:textId="77777777" w:rsidR="00790ADA" w:rsidRPr="00FB3A86" w:rsidRDefault="00790ADA" w:rsidP="00441B6F">
      <w:pPr>
        <w:pStyle w:val="Body"/>
        <w:spacing w:after="0"/>
        <w:rPr>
          <w:rFonts w:ascii="Arial" w:hAnsi="Arial" w:cs="Arial"/>
        </w:rPr>
      </w:pPr>
    </w:p>
    <w:p w14:paraId="65B95F4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38815A9" w14:textId="77777777" w:rsidR="00790ADA" w:rsidRPr="00FB3A86" w:rsidRDefault="00790ADA" w:rsidP="00441B6F">
      <w:pPr>
        <w:pStyle w:val="Head1"/>
        <w:spacing w:after="0"/>
        <w:jc w:val="both"/>
        <w:rPr>
          <w:rFonts w:ascii="Arial" w:hAnsi="Arial" w:cs="Arial"/>
        </w:rPr>
      </w:pPr>
    </w:p>
    <w:p w14:paraId="13C224A9" w14:textId="77777777" w:rsidR="00AC7458" w:rsidRPr="00AC7458" w:rsidRDefault="00AC7458" w:rsidP="00AC7458">
      <w:pPr>
        <w:spacing w:after="160"/>
        <w:rPr>
          <w:rFonts w:ascii="Arial" w:eastAsia="Calibri" w:hAnsi="Arial" w:cs="Arial"/>
          <w:b/>
          <w:bCs/>
          <w:kern w:val="2"/>
        </w:rPr>
      </w:pPr>
      <w:r w:rsidRPr="00AC7458">
        <w:rPr>
          <w:rFonts w:ascii="Arial" w:eastAsia="Calibri" w:hAnsi="Arial" w:cs="Arial"/>
          <w:b/>
          <w:bCs/>
          <w:kern w:val="2"/>
        </w:rPr>
        <w:t>3.1 Moisture Content</w:t>
      </w:r>
    </w:p>
    <w:p w14:paraId="1A0523DE" w14:textId="77777777" w:rsidR="00AC7458" w:rsidRPr="00AC7458" w:rsidRDefault="00AC7458" w:rsidP="00AC7458">
      <w:pPr>
        <w:spacing w:before="100" w:beforeAutospacing="1" w:after="100" w:afterAutospacing="1"/>
        <w:jc w:val="both"/>
        <w:rPr>
          <w:rFonts w:ascii="Arial" w:hAnsi="Arial" w:cs="Arial"/>
        </w:rPr>
      </w:pPr>
      <w:r w:rsidRPr="00AC7458">
        <w:rPr>
          <w:rFonts w:ascii="Arial" w:hAnsi="Arial" w:cs="Arial"/>
        </w:rPr>
        <w:t>Moisture is a fundamental determinant of Daqu quality, influencing microbial proliferation, enzymatic activity, and the overall stability of the starter (Zhong et al., 2024). Excessive moisture promotes microbial spoilage and undesirable metabolite formation, whereas insufficient moisture suppresses the growth and metabolic function of beneficial thermophilic and mesophilic microorganisms essential for fermentation (</w:t>
      </w:r>
      <w:r w:rsidRPr="00AC7458">
        <w:rPr>
          <w:rFonts w:ascii="Arial" w:eastAsia="Calibri" w:hAnsi="Arial" w:cs="Arial"/>
          <w:kern w:val="2"/>
        </w:rPr>
        <w:t>Adhikari, 2024)</w:t>
      </w:r>
      <w:r w:rsidRPr="00AC7458">
        <w:rPr>
          <w:rFonts w:ascii="Arial" w:hAnsi="Arial" w:cs="Arial"/>
        </w:rPr>
        <w:t xml:space="preserve">. As shown in </w:t>
      </w:r>
      <w:r w:rsidRPr="00AC7458">
        <w:rPr>
          <w:rFonts w:ascii="Arial" w:hAnsi="Arial" w:cs="Arial"/>
          <w:b/>
          <w:bCs/>
        </w:rPr>
        <w:t xml:space="preserve">Figure 1, </w:t>
      </w:r>
      <w:r w:rsidRPr="00AC7458">
        <w:rPr>
          <w:rFonts w:ascii="Arial" w:hAnsi="Arial" w:cs="Arial"/>
        </w:rPr>
        <w:t>the black Daqu exhibited significantly higher moisture content compared to both the white and yellow Daqu, while the latter two showed no significant difference. This elevation in moisture for black Daqu may be linked to post-production handling or suboptimal storage conditions that permitted moisture absorption.</w:t>
      </w:r>
    </w:p>
    <w:p w14:paraId="523DAD88" w14:textId="77777777" w:rsidR="00AC7458" w:rsidRPr="00AC7458" w:rsidRDefault="00AC7458" w:rsidP="00AC7458">
      <w:pPr>
        <w:spacing w:before="100" w:beforeAutospacing="1" w:after="100" w:afterAutospacing="1"/>
        <w:jc w:val="both"/>
        <w:rPr>
          <w:rFonts w:ascii="Arial" w:eastAsia="Calibri" w:hAnsi="Arial" w:cs="Arial"/>
          <w:color w:val="000000"/>
          <w:kern w:val="2"/>
        </w:rPr>
      </w:pPr>
      <w:r w:rsidRPr="00AC7458">
        <w:rPr>
          <w:rFonts w:ascii="Arial" w:eastAsia="Calibri" w:hAnsi="Arial" w:cs="Arial"/>
          <w:color w:val="000000"/>
          <w:kern w:val="2"/>
        </w:rPr>
        <w:object w:dxaOrig="4196" w:dyaOrig="5443" w14:anchorId="424ED9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9pt;height:272.1pt" o:ole="">
            <v:imagedata r:id="rId14" o:title=""/>
          </v:shape>
          <o:OLEObject Type="Embed" ProgID="Prism5.Document" ShapeID="_x0000_i1027" DrawAspect="Content" ObjectID="_1825252659" r:id="rId15"/>
        </w:object>
      </w:r>
    </w:p>
    <w:p w14:paraId="23371B0C" w14:textId="77777777" w:rsidR="00AC7458" w:rsidRPr="00AC7458" w:rsidRDefault="00AC7458" w:rsidP="00AC7458">
      <w:pPr>
        <w:spacing w:before="100" w:beforeAutospacing="1" w:after="100" w:afterAutospacing="1"/>
        <w:jc w:val="both"/>
        <w:rPr>
          <w:rFonts w:ascii="Arial" w:eastAsia="Calibri" w:hAnsi="Arial" w:cs="Arial"/>
          <w:b/>
          <w:bCs/>
          <w:kern w:val="2"/>
        </w:rPr>
      </w:pPr>
      <w:r w:rsidRPr="00AC7458">
        <w:rPr>
          <w:rFonts w:ascii="Arial" w:eastAsia="Calibri" w:hAnsi="Arial" w:cs="Arial"/>
          <w:b/>
          <w:bCs/>
          <w:color w:val="000000"/>
          <w:kern w:val="2"/>
        </w:rPr>
        <w:t xml:space="preserve">Figure </w:t>
      </w:r>
      <w:r w:rsidRPr="00AC7458">
        <w:rPr>
          <w:rFonts w:ascii="Arial" w:eastAsia="Calibri" w:hAnsi="Arial" w:cs="Arial"/>
          <w:b/>
          <w:bCs/>
          <w:kern w:val="2"/>
        </w:rPr>
        <w:fldChar w:fldCharType="begin"/>
      </w:r>
      <w:r w:rsidRPr="00AC7458">
        <w:rPr>
          <w:rFonts w:ascii="Arial" w:eastAsia="Calibri" w:hAnsi="Arial" w:cs="Arial"/>
          <w:b/>
          <w:bCs/>
          <w:kern w:val="2"/>
        </w:rPr>
        <w:instrText xml:space="preserve"> SEQ Figure \* ARABIC \s 1 </w:instrText>
      </w:r>
      <w:r w:rsidRPr="00AC7458">
        <w:rPr>
          <w:rFonts w:ascii="Arial" w:eastAsia="Calibri" w:hAnsi="Arial" w:cs="Arial"/>
          <w:b/>
          <w:bCs/>
          <w:kern w:val="2"/>
        </w:rPr>
        <w:fldChar w:fldCharType="separate"/>
      </w:r>
      <w:r w:rsidRPr="00AC7458">
        <w:rPr>
          <w:rFonts w:ascii="Arial" w:eastAsia="Calibri" w:hAnsi="Arial" w:cs="Arial"/>
          <w:b/>
          <w:bCs/>
          <w:noProof/>
          <w:kern w:val="2"/>
        </w:rPr>
        <w:t>1</w:t>
      </w:r>
      <w:r w:rsidRPr="00AC7458">
        <w:rPr>
          <w:rFonts w:ascii="Arial" w:eastAsia="Calibri" w:hAnsi="Arial" w:cs="Arial"/>
          <w:b/>
          <w:bCs/>
          <w:noProof/>
          <w:kern w:val="2"/>
        </w:rPr>
        <w:fldChar w:fldCharType="end"/>
      </w:r>
      <w:r w:rsidRPr="00AC7458">
        <w:rPr>
          <w:rFonts w:ascii="Arial" w:eastAsia="Calibri" w:hAnsi="Arial" w:cs="Arial"/>
          <w:b/>
          <w:bCs/>
          <w:color w:val="000000"/>
          <w:kern w:val="2"/>
        </w:rPr>
        <w:t xml:space="preserve">: </w:t>
      </w:r>
      <w:r w:rsidRPr="00AC7458">
        <w:rPr>
          <w:rFonts w:ascii="Arial" w:eastAsia="Calibri" w:hAnsi="Arial" w:cs="Arial"/>
          <w:b/>
          <w:bCs/>
          <w:kern w:val="2"/>
        </w:rPr>
        <w:t xml:space="preserve">Moisture content of </w:t>
      </w:r>
      <w:r w:rsidRPr="00AC7458">
        <w:rPr>
          <w:rFonts w:ascii="Arial" w:eastAsia="Calibri" w:hAnsi="Arial" w:cs="Arial"/>
          <w:b/>
          <w:bCs/>
          <w:i/>
          <w:kern w:val="2"/>
        </w:rPr>
        <w:t>Daqu</w:t>
      </w:r>
      <w:r w:rsidRPr="00AC7458">
        <w:rPr>
          <w:rFonts w:ascii="Arial" w:eastAsia="Calibri" w:hAnsi="Arial" w:cs="Arial"/>
          <w:b/>
          <w:bCs/>
          <w:kern w:val="2"/>
        </w:rPr>
        <w:t xml:space="preserve"> with different colors</w:t>
      </w:r>
    </w:p>
    <w:p w14:paraId="141562D8" w14:textId="77777777" w:rsidR="00AC7458" w:rsidRPr="00AC7458" w:rsidRDefault="00AC7458" w:rsidP="00AC7458">
      <w:pPr>
        <w:spacing w:after="160"/>
        <w:rPr>
          <w:rFonts w:ascii="Arial" w:eastAsia="Calibri" w:hAnsi="Arial" w:cs="Arial"/>
          <w:kern w:val="2"/>
        </w:rPr>
      </w:pPr>
      <w:r w:rsidRPr="00AC7458">
        <w:rPr>
          <w:rFonts w:ascii="Arial" w:eastAsia="Calibri" w:hAnsi="Arial" w:cs="Arial"/>
          <w:kern w:val="2"/>
        </w:rPr>
        <w:t xml:space="preserve">Where *, 0.01 ≤ p &lt; 0.05; **, 0.001 ≤ p &lt; 0.01; ***, p &lt; 0.001. The concentration level is represented on the Y-axis, while the distinct </w:t>
      </w:r>
      <w:r w:rsidRPr="00AC7458">
        <w:rPr>
          <w:rFonts w:ascii="Arial" w:eastAsia="Calibri" w:hAnsi="Arial" w:cs="Arial"/>
          <w:i/>
          <w:kern w:val="2"/>
        </w:rPr>
        <w:t>Daqu</w:t>
      </w:r>
      <w:r w:rsidRPr="00AC7458">
        <w:rPr>
          <w:rFonts w:ascii="Arial" w:eastAsia="Calibri" w:hAnsi="Arial" w:cs="Arial"/>
          <w:kern w:val="2"/>
        </w:rPr>
        <w:t xml:space="preserve"> samples are displayed on the X-axis.</w:t>
      </w:r>
    </w:p>
    <w:p w14:paraId="137DB6E3" w14:textId="77777777" w:rsidR="00AC7458" w:rsidRPr="00AC7458" w:rsidRDefault="00AC7458" w:rsidP="00AC7458">
      <w:pPr>
        <w:spacing w:before="100" w:beforeAutospacing="1" w:after="100" w:afterAutospacing="1"/>
        <w:jc w:val="both"/>
        <w:rPr>
          <w:rFonts w:ascii="Arial" w:hAnsi="Arial" w:cs="Arial"/>
        </w:rPr>
      </w:pPr>
      <w:r w:rsidRPr="00AC7458">
        <w:rPr>
          <w:rFonts w:ascii="Arial" w:hAnsi="Arial" w:cs="Arial"/>
        </w:rPr>
        <w:t>Moisture content also affects physical characteristics such as porosity and texture, which directly influence heat transfer, water activity, and enzymatic diffusion during the fermentation of Baijiu and other traditional products. The observed differences align partly with previous literature: Cui et al., (2025) reported moisture ranges of 9.5–14.5%, comparable to the white and yellow Daqu in the present study, while Zhang et al., (2025) documented higher values of 16.5–20.5%, similar to those measured in black Daqu. Such discrepancies underscore the influence of raw materials, environmental conditions, and storage practices on moisture dynamics in Daqu production.</w:t>
      </w:r>
    </w:p>
    <w:p w14:paraId="36C9F53A" w14:textId="77777777" w:rsidR="00AC7458" w:rsidRDefault="00AC7458" w:rsidP="00AC7458">
      <w:pPr>
        <w:jc w:val="both"/>
        <w:rPr>
          <w:rFonts w:ascii="Arial" w:hAnsi="Arial" w:cs="Arial"/>
        </w:rPr>
      </w:pPr>
    </w:p>
    <w:p w14:paraId="58DDE1B4" w14:textId="658EEA93" w:rsidR="00AC7458" w:rsidRPr="00AC7458" w:rsidRDefault="00AC7458" w:rsidP="00AC7458">
      <w:pPr>
        <w:jc w:val="both"/>
        <w:rPr>
          <w:rFonts w:ascii="Arial" w:hAnsi="Arial" w:cs="Arial"/>
        </w:rPr>
      </w:pPr>
      <w:r w:rsidRPr="00AC7458">
        <w:rPr>
          <w:rFonts w:ascii="Arial" w:hAnsi="Arial" w:cs="Arial"/>
          <w:b/>
          <w:bCs/>
        </w:rPr>
        <w:t>3.</w:t>
      </w:r>
      <w:r w:rsidRPr="00AC7458">
        <w:rPr>
          <w:rFonts w:ascii="Arial" w:hAnsi="Arial" w:cs="Arial"/>
        </w:rPr>
        <w:t xml:space="preserve"> </w:t>
      </w:r>
      <w:r w:rsidRPr="00AC7458">
        <w:rPr>
          <w:rFonts w:ascii="Arial" w:hAnsi="Arial" w:cs="Arial"/>
          <w:b/>
          <w:bCs/>
        </w:rPr>
        <w:t>2 Acidity</w:t>
      </w:r>
    </w:p>
    <w:p w14:paraId="53289BEB" w14:textId="02418988" w:rsidR="00AC7458" w:rsidRPr="00AC7458" w:rsidRDefault="00AC7458" w:rsidP="00AC7458">
      <w:pPr>
        <w:spacing w:before="100" w:beforeAutospacing="1" w:after="100" w:afterAutospacing="1"/>
        <w:jc w:val="both"/>
        <w:rPr>
          <w:rFonts w:ascii="Arial" w:hAnsi="Arial" w:cs="Arial"/>
        </w:rPr>
      </w:pPr>
      <w:r w:rsidRPr="00AC7458">
        <w:rPr>
          <w:rFonts w:ascii="Arial" w:hAnsi="Arial" w:cs="Arial"/>
        </w:rPr>
        <w:t>Acidity is a critical indicator of Daqu fermentation status and a central factor shaping microbial ecology. Organic acids generated during fermentation</w:t>
      </w:r>
      <w:r w:rsidR="00947EBC">
        <w:rPr>
          <w:rFonts w:ascii="Arial" w:hAnsi="Arial" w:cs="Arial"/>
        </w:rPr>
        <w:t>,</w:t>
      </w:r>
      <w:r w:rsidRPr="00AC7458">
        <w:rPr>
          <w:rFonts w:ascii="Arial" w:hAnsi="Arial" w:cs="Arial"/>
        </w:rPr>
        <w:t xml:space="preserve"> particularly via acidogenic bacteria metabolizing carbohydrates, lipids, and proteins through the TCA cycle, contribute to the characteristic pH range of 3.5–5.5 typically associated with Daqu (</w:t>
      </w:r>
      <w:r w:rsidRPr="00AC7458">
        <w:rPr>
          <w:rFonts w:ascii="Arial" w:eastAsia="Calibri" w:hAnsi="Arial" w:cs="Arial"/>
          <w:kern w:val="2"/>
        </w:rPr>
        <w:t>Zhao et al., 2025)</w:t>
      </w:r>
      <w:r w:rsidRPr="00AC7458">
        <w:rPr>
          <w:rFonts w:ascii="Arial" w:hAnsi="Arial" w:cs="Arial"/>
        </w:rPr>
        <w:t xml:space="preserve">. As shown in </w:t>
      </w:r>
      <w:r w:rsidRPr="00AC7458">
        <w:rPr>
          <w:rFonts w:ascii="Arial" w:hAnsi="Arial" w:cs="Arial"/>
          <w:b/>
          <w:bCs/>
        </w:rPr>
        <w:t>Figure 2</w:t>
      </w:r>
      <w:r w:rsidRPr="00AC7458">
        <w:rPr>
          <w:rFonts w:ascii="Arial" w:hAnsi="Arial" w:cs="Arial"/>
        </w:rPr>
        <w:t>, the yellow Daqu exhibited the highest acidity, followed by black Daqu, while the white Daqu had the lowest value.</w:t>
      </w:r>
    </w:p>
    <w:p w14:paraId="57F264EE" w14:textId="77777777" w:rsidR="00AC7458" w:rsidRPr="00AC7458" w:rsidRDefault="00AC7458" w:rsidP="00AC7458">
      <w:pPr>
        <w:spacing w:before="100" w:beforeAutospacing="1" w:after="100" w:afterAutospacing="1"/>
        <w:jc w:val="both"/>
        <w:rPr>
          <w:rFonts w:ascii="Arial" w:eastAsia="Calibri" w:hAnsi="Arial" w:cs="Arial"/>
          <w:color w:val="000000"/>
          <w:kern w:val="2"/>
        </w:rPr>
      </w:pPr>
      <w:r w:rsidRPr="00AC7458">
        <w:rPr>
          <w:rFonts w:ascii="Arial" w:eastAsia="Calibri" w:hAnsi="Arial" w:cs="Arial"/>
          <w:color w:val="000000"/>
          <w:kern w:val="2"/>
        </w:rPr>
        <w:object w:dxaOrig="3969" w:dyaOrig="5443" w14:anchorId="7A7A9F91">
          <v:shape id="_x0000_i1028" type="#_x0000_t75" style="width:198.25pt;height:231.9pt" o:ole="">
            <v:imagedata r:id="rId16" o:title=""/>
          </v:shape>
          <o:OLEObject Type="Embed" ProgID="Prism5.Document" ShapeID="_x0000_i1028" DrawAspect="Content" ObjectID="_1825252660" r:id="rId17"/>
        </w:object>
      </w:r>
    </w:p>
    <w:p w14:paraId="0916E125" w14:textId="77777777" w:rsidR="00AC7458" w:rsidRPr="00AC7458" w:rsidRDefault="00AC7458" w:rsidP="00AC7458">
      <w:pPr>
        <w:rPr>
          <w:rFonts w:ascii="Arial" w:hAnsi="Arial" w:cs="Arial"/>
          <w:b/>
          <w:iCs/>
        </w:rPr>
      </w:pPr>
      <w:bookmarkStart w:id="1" w:name="_Toc166707449"/>
      <w:r w:rsidRPr="00AC7458">
        <w:rPr>
          <w:rFonts w:ascii="Arial" w:hAnsi="Arial" w:cs="Arial"/>
          <w:b/>
          <w:iCs/>
        </w:rPr>
        <w:t xml:space="preserve">Figure </w:t>
      </w:r>
      <w:r w:rsidRPr="00AC7458">
        <w:rPr>
          <w:rFonts w:ascii="Arial" w:hAnsi="Arial" w:cs="Arial"/>
          <w:b/>
          <w:iCs/>
        </w:rPr>
        <w:fldChar w:fldCharType="begin"/>
      </w:r>
      <w:r w:rsidRPr="00AC7458">
        <w:rPr>
          <w:rFonts w:ascii="Arial" w:hAnsi="Arial" w:cs="Arial"/>
          <w:b/>
          <w:iCs/>
        </w:rPr>
        <w:instrText xml:space="preserve"> SEQ Figure \* ARABIC \s 1 </w:instrText>
      </w:r>
      <w:r w:rsidRPr="00AC7458">
        <w:rPr>
          <w:rFonts w:ascii="Arial" w:hAnsi="Arial" w:cs="Arial"/>
          <w:b/>
          <w:iCs/>
        </w:rPr>
        <w:fldChar w:fldCharType="separate"/>
      </w:r>
      <w:r w:rsidRPr="00AC7458">
        <w:rPr>
          <w:rFonts w:ascii="Arial" w:hAnsi="Arial" w:cs="Arial"/>
          <w:b/>
          <w:iCs/>
          <w:noProof/>
        </w:rPr>
        <w:t>2</w:t>
      </w:r>
      <w:r w:rsidRPr="00AC7458">
        <w:rPr>
          <w:rFonts w:ascii="Arial" w:hAnsi="Arial" w:cs="Arial"/>
          <w:b/>
          <w:iCs/>
          <w:noProof/>
        </w:rPr>
        <w:fldChar w:fldCharType="end"/>
      </w:r>
      <w:r w:rsidRPr="00AC7458">
        <w:rPr>
          <w:rFonts w:ascii="Arial" w:hAnsi="Arial" w:cs="Arial"/>
          <w:b/>
          <w:iCs/>
        </w:rPr>
        <w:t xml:space="preserve">: Acidity of </w:t>
      </w:r>
      <w:r w:rsidRPr="00AC7458">
        <w:rPr>
          <w:rFonts w:ascii="Arial" w:hAnsi="Arial" w:cs="Arial"/>
          <w:b/>
          <w:i/>
          <w:iCs/>
        </w:rPr>
        <w:t>Daqu</w:t>
      </w:r>
      <w:r w:rsidRPr="00AC7458">
        <w:rPr>
          <w:rFonts w:ascii="Arial" w:hAnsi="Arial" w:cs="Arial"/>
          <w:b/>
          <w:iCs/>
        </w:rPr>
        <w:t xml:space="preserve"> with different colors</w:t>
      </w:r>
      <w:bookmarkEnd w:id="1"/>
    </w:p>
    <w:p w14:paraId="4DC80462" w14:textId="77777777" w:rsidR="00AC7458" w:rsidRPr="00AC7458" w:rsidRDefault="00AC7458" w:rsidP="00AC7458">
      <w:pPr>
        <w:spacing w:after="160"/>
        <w:rPr>
          <w:rFonts w:ascii="Arial" w:eastAsia="Calibri" w:hAnsi="Arial" w:cs="Arial"/>
          <w:kern w:val="2"/>
        </w:rPr>
      </w:pPr>
      <w:r w:rsidRPr="00AC7458">
        <w:rPr>
          <w:rFonts w:ascii="Arial" w:eastAsia="Calibri" w:hAnsi="Arial" w:cs="Arial"/>
          <w:kern w:val="2"/>
        </w:rPr>
        <w:t xml:space="preserve">Where *, 0.01 ≤ p &lt; 0.05; **, 0.001 ≤ p &lt; 0.01; ***, p &lt; 0.001. The concentration level is represented on the Y-axis, while the distinct </w:t>
      </w:r>
      <w:r w:rsidRPr="00AC7458">
        <w:rPr>
          <w:rFonts w:ascii="Arial" w:eastAsia="Calibri" w:hAnsi="Arial" w:cs="Arial"/>
          <w:i/>
          <w:kern w:val="2"/>
        </w:rPr>
        <w:t>Daqu</w:t>
      </w:r>
      <w:r w:rsidRPr="00AC7458">
        <w:rPr>
          <w:rFonts w:ascii="Arial" w:eastAsia="Calibri" w:hAnsi="Arial" w:cs="Arial"/>
          <w:kern w:val="2"/>
        </w:rPr>
        <w:t xml:space="preserve"> samples are displayed on the X-axis.</w:t>
      </w:r>
    </w:p>
    <w:p w14:paraId="0D5D096F" w14:textId="77777777" w:rsidR="00AC7458" w:rsidRPr="00AC7458" w:rsidRDefault="00AC7458" w:rsidP="00AC7458">
      <w:pPr>
        <w:spacing w:before="100" w:beforeAutospacing="1" w:after="100" w:afterAutospacing="1"/>
        <w:jc w:val="both"/>
        <w:rPr>
          <w:rFonts w:ascii="Arial" w:hAnsi="Arial" w:cs="Arial"/>
        </w:rPr>
      </w:pPr>
      <w:r w:rsidRPr="00AC7458">
        <w:rPr>
          <w:rFonts w:ascii="Arial" w:hAnsi="Arial" w:cs="Arial"/>
        </w:rPr>
        <w:t>Variations in acidity may be attributed to differences in fermentation duration, raw material composition, microbial succession, and environmental conditions governing organic acid accumulation (He et al., 2024). Storage factors such as humidity and temperature fluctuations can further modulate acid content over time. In functional terms, acidity plays a dual role: promoting the growth of desirable acid-tolerant microorganisms (e.g., lactic acid bacteria) while suppressing spoilage organisms, thereby regulating fermentation kinetics and flavor development.</w:t>
      </w:r>
    </w:p>
    <w:p w14:paraId="453F9508" w14:textId="38BDB2DA" w:rsidR="00AC7458" w:rsidRPr="00AC7458" w:rsidRDefault="00AC7458" w:rsidP="00AC7458">
      <w:pPr>
        <w:jc w:val="both"/>
        <w:rPr>
          <w:rFonts w:ascii="Arial" w:hAnsi="Arial" w:cs="Arial"/>
        </w:rPr>
      </w:pPr>
    </w:p>
    <w:p w14:paraId="3345261B" w14:textId="77777777" w:rsidR="00AC7458" w:rsidRPr="00AC7458" w:rsidRDefault="00AC7458" w:rsidP="00AC7458">
      <w:pPr>
        <w:rPr>
          <w:rFonts w:ascii="Arial" w:hAnsi="Arial" w:cs="Arial"/>
          <w:b/>
          <w:bCs/>
        </w:rPr>
      </w:pPr>
      <w:r w:rsidRPr="00AC7458">
        <w:rPr>
          <w:rFonts w:ascii="Arial" w:hAnsi="Arial" w:cs="Arial"/>
          <w:b/>
          <w:bCs/>
        </w:rPr>
        <w:t>3.3 Starch Content</w:t>
      </w:r>
    </w:p>
    <w:p w14:paraId="7ED3973F" w14:textId="77777777" w:rsidR="00AC7458" w:rsidRPr="00AC7458" w:rsidRDefault="00AC7458" w:rsidP="00AC7458">
      <w:pPr>
        <w:spacing w:before="100" w:beforeAutospacing="1" w:after="100" w:afterAutospacing="1"/>
        <w:jc w:val="both"/>
        <w:rPr>
          <w:rFonts w:ascii="Arial" w:hAnsi="Arial" w:cs="Arial"/>
        </w:rPr>
      </w:pPr>
      <w:r w:rsidRPr="00AC7458">
        <w:rPr>
          <w:rFonts w:ascii="Arial" w:hAnsi="Arial" w:cs="Arial"/>
        </w:rPr>
        <w:t>Starch serves as a vital substrate for microbial metabolism in Daqu, providing the carbohydrates required for enzymatic hydrolysis and subsequent fermentation (Jiang et al., 2025). Amylases produced by fungi and bacteria convert starch into fermentable sugars, which drive microbial growth and flavor precursor formation. In Figure 3, starch content did not differ significantly among the three Daqu types; values ranged from 0.40 g/100 g in white and black Daqu to 0.43 g/100 g in yellow Daqu. These levels correspond closely to the 0.3–0.5% range documented by Zhang et al. (2018).</w:t>
      </w:r>
    </w:p>
    <w:p w14:paraId="165E49FE" w14:textId="77777777" w:rsidR="00AC7458" w:rsidRPr="00AC7458" w:rsidRDefault="00AC7458" w:rsidP="00AC7458">
      <w:pPr>
        <w:spacing w:before="100" w:beforeAutospacing="1" w:after="100" w:afterAutospacing="1"/>
        <w:jc w:val="both"/>
        <w:rPr>
          <w:rFonts w:ascii="Arial" w:eastAsia="Calibri" w:hAnsi="Arial" w:cs="Arial"/>
          <w:b/>
          <w:color w:val="000000"/>
          <w:kern w:val="2"/>
        </w:rPr>
      </w:pPr>
      <w:r w:rsidRPr="00AC7458">
        <w:rPr>
          <w:rFonts w:ascii="Arial" w:eastAsia="Calibri" w:hAnsi="Arial" w:cs="Arial"/>
          <w:b/>
          <w:color w:val="000000"/>
          <w:kern w:val="2"/>
        </w:rPr>
        <w:object w:dxaOrig="3969" w:dyaOrig="5783" w14:anchorId="6FA20309">
          <v:shape id="_x0000_i1029" type="#_x0000_t75" style="width:199.15pt;height:259.95pt" o:ole="">
            <v:imagedata r:id="rId18" o:title=""/>
          </v:shape>
          <o:OLEObject Type="Embed" ProgID="Prism5.Document" ShapeID="_x0000_i1029" DrawAspect="Content" ObjectID="_1825252661" r:id="rId19"/>
        </w:object>
      </w:r>
    </w:p>
    <w:p w14:paraId="3A4963B9" w14:textId="77777777" w:rsidR="00AC7458" w:rsidRPr="00AC7458" w:rsidRDefault="00AC7458" w:rsidP="00AC7458">
      <w:pPr>
        <w:rPr>
          <w:rFonts w:ascii="Arial" w:hAnsi="Arial" w:cs="Arial"/>
          <w:b/>
          <w:iCs/>
        </w:rPr>
      </w:pPr>
      <w:bookmarkStart w:id="2" w:name="_Toc166707450"/>
      <w:r w:rsidRPr="00AC7458">
        <w:rPr>
          <w:rFonts w:ascii="Arial" w:hAnsi="Arial" w:cs="Arial"/>
          <w:b/>
          <w:iCs/>
        </w:rPr>
        <w:t xml:space="preserve">Figure </w:t>
      </w:r>
      <w:r w:rsidRPr="00AC7458">
        <w:rPr>
          <w:rFonts w:ascii="Arial" w:hAnsi="Arial" w:cs="Arial"/>
          <w:b/>
          <w:iCs/>
        </w:rPr>
        <w:fldChar w:fldCharType="begin"/>
      </w:r>
      <w:r w:rsidRPr="00AC7458">
        <w:rPr>
          <w:rFonts w:ascii="Arial" w:hAnsi="Arial" w:cs="Arial"/>
          <w:b/>
          <w:iCs/>
        </w:rPr>
        <w:instrText xml:space="preserve"> SEQ Figure \* ARABIC \s 1 </w:instrText>
      </w:r>
      <w:r w:rsidRPr="00AC7458">
        <w:rPr>
          <w:rFonts w:ascii="Arial" w:hAnsi="Arial" w:cs="Arial"/>
          <w:b/>
          <w:iCs/>
        </w:rPr>
        <w:fldChar w:fldCharType="separate"/>
      </w:r>
      <w:r w:rsidRPr="00AC7458">
        <w:rPr>
          <w:rFonts w:ascii="Arial" w:hAnsi="Arial" w:cs="Arial"/>
          <w:b/>
          <w:iCs/>
          <w:noProof/>
        </w:rPr>
        <w:t>3</w:t>
      </w:r>
      <w:r w:rsidRPr="00AC7458">
        <w:rPr>
          <w:rFonts w:ascii="Arial" w:hAnsi="Arial" w:cs="Arial"/>
          <w:b/>
          <w:iCs/>
          <w:noProof/>
        </w:rPr>
        <w:fldChar w:fldCharType="end"/>
      </w:r>
      <w:r w:rsidRPr="00AC7458">
        <w:rPr>
          <w:rFonts w:ascii="Arial" w:hAnsi="Arial" w:cs="Arial"/>
          <w:b/>
          <w:iCs/>
        </w:rPr>
        <w:t xml:space="preserve">: Starch content of </w:t>
      </w:r>
      <w:r w:rsidRPr="00AC7458">
        <w:rPr>
          <w:rFonts w:ascii="Arial" w:hAnsi="Arial" w:cs="Arial"/>
          <w:b/>
          <w:i/>
          <w:iCs/>
        </w:rPr>
        <w:t>Daqu</w:t>
      </w:r>
      <w:r w:rsidRPr="00AC7458">
        <w:rPr>
          <w:rFonts w:ascii="Arial" w:hAnsi="Arial" w:cs="Arial"/>
          <w:b/>
          <w:iCs/>
        </w:rPr>
        <w:t xml:space="preserve"> samples with different colors</w:t>
      </w:r>
      <w:bookmarkEnd w:id="2"/>
    </w:p>
    <w:p w14:paraId="2C8390DE" w14:textId="77777777" w:rsidR="00AC7458" w:rsidRPr="00AC7458" w:rsidRDefault="00AC7458" w:rsidP="00AC7458">
      <w:pPr>
        <w:spacing w:after="160"/>
        <w:rPr>
          <w:rFonts w:ascii="Arial" w:eastAsia="Calibri" w:hAnsi="Arial" w:cs="Arial"/>
          <w:kern w:val="2"/>
        </w:rPr>
      </w:pPr>
      <w:r w:rsidRPr="00AC7458">
        <w:rPr>
          <w:rFonts w:ascii="Arial" w:eastAsia="Calibri" w:hAnsi="Arial" w:cs="Arial"/>
          <w:kern w:val="2"/>
        </w:rPr>
        <w:t xml:space="preserve">Where *, 0.01 ≤ p &lt; 0.05; **, 0.001 ≤ p &lt; 0.01; ***, p &lt; 0.001. The concentration level is represented on the Y-axis, while the distinct </w:t>
      </w:r>
      <w:r w:rsidRPr="00AC7458">
        <w:rPr>
          <w:rFonts w:ascii="Arial" w:eastAsia="Calibri" w:hAnsi="Arial" w:cs="Arial"/>
          <w:i/>
          <w:kern w:val="2"/>
        </w:rPr>
        <w:t>Daqu</w:t>
      </w:r>
      <w:r w:rsidRPr="00AC7458">
        <w:rPr>
          <w:rFonts w:ascii="Arial" w:eastAsia="Calibri" w:hAnsi="Arial" w:cs="Arial"/>
          <w:kern w:val="2"/>
        </w:rPr>
        <w:t xml:space="preserve"> samples are displayed on the X-axis.</w:t>
      </w:r>
    </w:p>
    <w:p w14:paraId="4E595443" w14:textId="77777777" w:rsidR="00AC7458" w:rsidRPr="00AC7458" w:rsidRDefault="00AC7458" w:rsidP="00AC7458">
      <w:pPr>
        <w:spacing w:before="100" w:beforeAutospacing="1" w:after="100" w:afterAutospacing="1"/>
        <w:jc w:val="both"/>
        <w:rPr>
          <w:rFonts w:ascii="Arial" w:hAnsi="Arial" w:cs="Arial"/>
        </w:rPr>
      </w:pPr>
      <w:r w:rsidRPr="00AC7458">
        <w:rPr>
          <w:rFonts w:ascii="Arial" w:hAnsi="Arial" w:cs="Arial"/>
        </w:rPr>
        <w:t>Other studies have reported broader starch ranges (0.5–0.8%; Li et al., 2019), highlighting how production parameters, raw material variability, and enzymatic activities shape starch retention. Differences among studies are expected given Daqu’s artisanal production, environmental exposure during incubation, and microbial diversity. Starch availability determines fermentable sugar yields, influencing Baijiu aroma formation and fermentation efficiency; thus, understanding starch fluctuations can aid in optimizing Daqu processing strategies.</w:t>
      </w:r>
    </w:p>
    <w:p w14:paraId="54027058" w14:textId="77777777" w:rsidR="00AC7458" w:rsidRPr="00AC7458" w:rsidRDefault="00DB4705" w:rsidP="00AC7458">
      <w:pPr>
        <w:jc w:val="both"/>
        <w:rPr>
          <w:rFonts w:ascii="Arial" w:hAnsi="Arial" w:cs="Arial"/>
        </w:rPr>
      </w:pPr>
      <w:r>
        <w:rPr>
          <w:rFonts w:ascii="Arial" w:hAnsi="Arial" w:cs="Arial"/>
        </w:rPr>
        <w:pict w14:anchorId="355B6D67">
          <v:rect id="_x0000_i1030" style="width:0;height:1.5pt" o:hralign="center" o:hrstd="t" o:hr="t" fillcolor="#a0a0a0" stroked="f"/>
        </w:pict>
      </w:r>
    </w:p>
    <w:p w14:paraId="7C9CD048" w14:textId="77777777" w:rsidR="00AC7458" w:rsidRPr="00AC7458" w:rsidRDefault="00AC7458" w:rsidP="00AC7458">
      <w:pPr>
        <w:spacing w:before="100" w:beforeAutospacing="1" w:after="100" w:afterAutospacing="1"/>
        <w:jc w:val="both"/>
        <w:outlineLvl w:val="2"/>
        <w:rPr>
          <w:rFonts w:ascii="Arial" w:hAnsi="Arial" w:cs="Arial"/>
          <w:b/>
          <w:bCs/>
        </w:rPr>
      </w:pPr>
      <w:r w:rsidRPr="00AC7458">
        <w:rPr>
          <w:rFonts w:ascii="Arial" w:hAnsi="Arial" w:cs="Arial"/>
          <w:b/>
          <w:bCs/>
        </w:rPr>
        <w:t>3.4 Amylose Content</w:t>
      </w:r>
    </w:p>
    <w:p w14:paraId="26EF6513" w14:textId="4261011D" w:rsidR="00AC7458" w:rsidRPr="00AC7458" w:rsidRDefault="00AC7458" w:rsidP="00AC7458">
      <w:pPr>
        <w:spacing w:before="100" w:beforeAutospacing="1" w:after="100" w:afterAutospacing="1"/>
        <w:jc w:val="both"/>
        <w:rPr>
          <w:rFonts w:ascii="Arial" w:hAnsi="Arial" w:cs="Arial"/>
        </w:rPr>
      </w:pPr>
      <w:r w:rsidRPr="00AC7458">
        <w:rPr>
          <w:rFonts w:ascii="Arial" w:hAnsi="Arial" w:cs="Arial"/>
        </w:rPr>
        <w:t>Amylose, a linear polymeric starch fraction, strongly influences starch functionality</w:t>
      </w:r>
      <w:r w:rsidR="00947EBC">
        <w:rPr>
          <w:rFonts w:ascii="Arial" w:hAnsi="Arial" w:cs="Arial"/>
        </w:rPr>
        <w:t>,</w:t>
      </w:r>
      <w:r w:rsidRPr="00AC7458">
        <w:rPr>
          <w:rFonts w:ascii="Arial" w:hAnsi="Arial" w:cs="Arial"/>
        </w:rPr>
        <w:t xml:space="preserve"> particularly gelatinization behavior, viscosity, and retrogradation (Wang L. et al., 2025). As shown in Figure 4, amylose content did not significantly differ among the white, black, and yellow Daqu samples. Stable amylose levels suggest a relative uniformity in raw material quality and starch composition across the three Daqu types.</w:t>
      </w:r>
    </w:p>
    <w:p w14:paraId="49055AC0" w14:textId="77777777" w:rsidR="00AC7458" w:rsidRPr="00AC7458" w:rsidRDefault="00AC7458" w:rsidP="00AC7458">
      <w:pPr>
        <w:spacing w:before="100" w:beforeAutospacing="1" w:after="100" w:afterAutospacing="1"/>
        <w:jc w:val="both"/>
        <w:rPr>
          <w:rFonts w:ascii="Arial" w:eastAsia="Calibri" w:hAnsi="Arial" w:cs="Arial"/>
          <w:color w:val="000000"/>
          <w:kern w:val="2"/>
        </w:rPr>
      </w:pPr>
      <w:r w:rsidRPr="00AC7458">
        <w:rPr>
          <w:rFonts w:ascii="Arial" w:eastAsia="Calibri" w:hAnsi="Arial" w:cs="Arial"/>
          <w:color w:val="000000"/>
          <w:kern w:val="2"/>
        </w:rPr>
        <w:object w:dxaOrig="4139" w:dyaOrig="5443" w14:anchorId="0F80C916">
          <v:shape id="_x0000_i1031" type="#_x0000_t75" style="width:207.1pt;height:272.1pt" o:ole="">
            <v:imagedata r:id="rId20" o:title=""/>
          </v:shape>
          <o:OLEObject Type="Embed" ProgID="Prism5.Document" ShapeID="_x0000_i1031" DrawAspect="Content" ObjectID="_1825252662" r:id="rId21"/>
        </w:object>
      </w:r>
    </w:p>
    <w:p w14:paraId="6D775136" w14:textId="77777777" w:rsidR="00AC7458" w:rsidRPr="00AC7458" w:rsidRDefault="00AC7458" w:rsidP="00AC7458">
      <w:pPr>
        <w:rPr>
          <w:rFonts w:ascii="Arial" w:hAnsi="Arial" w:cs="Arial"/>
          <w:b/>
          <w:iCs/>
        </w:rPr>
      </w:pPr>
      <w:bookmarkStart w:id="3" w:name="_Toc166707451"/>
      <w:r w:rsidRPr="00AC7458">
        <w:rPr>
          <w:rFonts w:ascii="Arial" w:hAnsi="Arial" w:cs="Arial"/>
          <w:b/>
          <w:iCs/>
        </w:rPr>
        <w:t xml:space="preserve">Figure </w:t>
      </w:r>
      <w:r w:rsidRPr="00AC7458">
        <w:rPr>
          <w:rFonts w:ascii="Arial" w:hAnsi="Arial" w:cs="Arial"/>
          <w:b/>
          <w:iCs/>
        </w:rPr>
        <w:fldChar w:fldCharType="begin"/>
      </w:r>
      <w:r w:rsidRPr="00AC7458">
        <w:rPr>
          <w:rFonts w:ascii="Arial" w:hAnsi="Arial" w:cs="Arial"/>
          <w:b/>
          <w:iCs/>
        </w:rPr>
        <w:instrText xml:space="preserve"> SEQ Figure \* ARABIC \s 1 </w:instrText>
      </w:r>
      <w:r w:rsidRPr="00AC7458">
        <w:rPr>
          <w:rFonts w:ascii="Arial" w:hAnsi="Arial" w:cs="Arial"/>
          <w:b/>
          <w:iCs/>
        </w:rPr>
        <w:fldChar w:fldCharType="separate"/>
      </w:r>
      <w:r w:rsidRPr="00AC7458">
        <w:rPr>
          <w:rFonts w:ascii="Arial" w:hAnsi="Arial" w:cs="Arial"/>
          <w:b/>
          <w:iCs/>
          <w:noProof/>
        </w:rPr>
        <w:t>4</w:t>
      </w:r>
      <w:r w:rsidRPr="00AC7458">
        <w:rPr>
          <w:rFonts w:ascii="Arial" w:hAnsi="Arial" w:cs="Arial"/>
          <w:b/>
          <w:iCs/>
          <w:noProof/>
        </w:rPr>
        <w:fldChar w:fldCharType="end"/>
      </w:r>
      <w:r w:rsidRPr="00AC7458">
        <w:rPr>
          <w:rFonts w:ascii="Arial" w:hAnsi="Arial" w:cs="Arial"/>
          <w:b/>
          <w:iCs/>
        </w:rPr>
        <w:t xml:space="preserve">: Amylose content of </w:t>
      </w:r>
      <w:r w:rsidRPr="00AC7458">
        <w:rPr>
          <w:rFonts w:ascii="Arial" w:hAnsi="Arial" w:cs="Arial"/>
          <w:b/>
          <w:i/>
          <w:iCs/>
        </w:rPr>
        <w:t>Daqu</w:t>
      </w:r>
      <w:r w:rsidRPr="00AC7458">
        <w:rPr>
          <w:rFonts w:ascii="Arial" w:hAnsi="Arial" w:cs="Arial"/>
          <w:b/>
          <w:iCs/>
        </w:rPr>
        <w:t xml:space="preserve"> samples with different colors</w:t>
      </w:r>
      <w:bookmarkEnd w:id="3"/>
    </w:p>
    <w:p w14:paraId="1573802D" w14:textId="77777777" w:rsidR="00AC7458" w:rsidRPr="00AC7458" w:rsidRDefault="00AC7458" w:rsidP="00AC7458">
      <w:pPr>
        <w:spacing w:after="160"/>
        <w:rPr>
          <w:rFonts w:ascii="Arial" w:eastAsia="Calibri" w:hAnsi="Arial" w:cs="Arial"/>
          <w:kern w:val="2"/>
        </w:rPr>
      </w:pPr>
      <w:r w:rsidRPr="00AC7458">
        <w:rPr>
          <w:rFonts w:ascii="Arial" w:eastAsia="Calibri" w:hAnsi="Arial" w:cs="Arial"/>
          <w:kern w:val="2"/>
        </w:rPr>
        <w:t xml:space="preserve">Where *, 0.01 ≤ p &lt; 0.05; **, 0.001 ≤ p &lt; 0.01; ***, p &lt; 0.001. The concentration level is represented on the Y-axis, while the distinct </w:t>
      </w:r>
      <w:r w:rsidRPr="00AC7458">
        <w:rPr>
          <w:rFonts w:ascii="Arial" w:eastAsia="Calibri" w:hAnsi="Arial" w:cs="Arial"/>
          <w:i/>
          <w:kern w:val="2"/>
        </w:rPr>
        <w:t>Daqu</w:t>
      </w:r>
      <w:r w:rsidRPr="00AC7458">
        <w:rPr>
          <w:rFonts w:ascii="Arial" w:eastAsia="Calibri" w:hAnsi="Arial" w:cs="Arial"/>
          <w:kern w:val="2"/>
        </w:rPr>
        <w:t xml:space="preserve"> samples are displayed on the X-axis.</w:t>
      </w:r>
    </w:p>
    <w:p w14:paraId="0B09060F" w14:textId="77777777" w:rsidR="00AC7458" w:rsidRPr="00AC7458" w:rsidRDefault="00AC7458" w:rsidP="00AC7458">
      <w:pPr>
        <w:spacing w:before="100" w:beforeAutospacing="1" w:after="100" w:afterAutospacing="1"/>
        <w:jc w:val="both"/>
        <w:rPr>
          <w:rFonts w:ascii="Arial" w:hAnsi="Arial" w:cs="Arial"/>
        </w:rPr>
      </w:pPr>
      <w:r w:rsidRPr="00AC7458">
        <w:rPr>
          <w:rFonts w:ascii="Arial" w:hAnsi="Arial" w:cs="Arial"/>
        </w:rPr>
        <w:t>Although no differences were observed, amylose content remains relevant because it can modulate enzymatic accessibility to starch, influencing saccharification efficiency and microbial utilization (Zhang T. et al, 2025). In downstream fermentation, amylose affects the rheology and structure of the fermentation matrix, potentially shaping texture and metabolic pathways. Literature indicates that higher amylose can reduce starch digestibility and alter water absorption characteristics (Liu et al., 2025). Therefore, even subtle variations in amylose could influence Daqu fermentation behavior, although this was not evident in the present sample set.</w:t>
      </w:r>
    </w:p>
    <w:p w14:paraId="743A1A67" w14:textId="77777777" w:rsidR="00AC7458" w:rsidRPr="00AC7458" w:rsidRDefault="00DB4705" w:rsidP="00AC7458">
      <w:pPr>
        <w:jc w:val="both"/>
        <w:rPr>
          <w:rFonts w:ascii="Arial" w:hAnsi="Arial" w:cs="Arial"/>
        </w:rPr>
      </w:pPr>
      <w:r>
        <w:rPr>
          <w:rFonts w:ascii="Arial" w:hAnsi="Arial" w:cs="Arial"/>
        </w:rPr>
        <w:pict w14:anchorId="5AAEFB1A">
          <v:rect id="_x0000_i1032" style="width:0;height:1.5pt" o:hralign="center" o:hrstd="t" o:hr="t" fillcolor="#a0a0a0" stroked="f"/>
        </w:pict>
      </w:r>
    </w:p>
    <w:p w14:paraId="7413E105" w14:textId="77777777" w:rsidR="00AC7458" w:rsidRPr="00AC7458" w:rsidRDefault="00AC7458" w:rsidP="00AC7458">
      <w:pPr>
        <w:spacing w:before="100" w:beforeAutospacing="1" w:after="100" w:afterAutospacing="1"/>
        <w:jc w:val="both"/>
        <w:outlineLvl w:val="2"/>
        <w:rPr>
          <w:rFonts w:ascii="Arial" w:hAnsi="Arial" w:cs="Arial"/>
          <w:b/>
          <w:bCs/>
        </w:rPr>
      </w:pPr>
      <w:r w:rsidRPr="00AC7458">
        <w:rPr>
          <w:rFonts w:ascii="Arial" w:hAnsi="Arial" w:cs="Arial"/>
          <w:b/>
          <w:bCs/>
        </w:rPr>
        <w:t>3.5 Amino Acid Nitrogen</w:t>
      </w:r>
    </w:p>
    <w:p w14:paraId="39AC638B" w14:textId="77777777" w:rsidR="00AC7458" w:rsidRPr="00AC7458" w:rsidRDefault="00AC7458" w:rsidP="00AC7458">
      <w:pPr>
        <w:spacing w:before="100" w:beforeAutospacing="1" w:after="100" w:afterAutospacing="1"/>
        <w:jc w:val="both"/>
        <w:rPr>
          <w:rFonts w:ascii="Arial" w:hAnsi="Arial" w:cs="Arial"/>
        </w:rPr>
      </w:pPr>
      <w:r w:rsidRPr="00AC7458">
        <w:rPr>
          <w:rFonts w:ascii="Arial" w:hAnsi="Arial" w:cs="Arial"/>
        </w:rPr>
        <w:t>Amino acid nitrogen reflects the degree of protein degradation and the availability of nitrogenous compounds essential for microbial metabolism and enzymatic synthesis (Song et al., 2025). As shown in Figure 5, no significant difference was observed among the Daqu samples. Proteins and peptides serve as precursors for volatile flavor compounds and support microbial growth during the complex solid-state fermentation involved in Baijiu production.</w:t>
      </w:r>
    </w:p>
    <w:p w14:paraId="2573A689" w14:textId="77777777" w:rsidR="00AC7458" w:rsidRPr="00AC7458" w:rsidRDefault="00AC7458" w:rsidP="00AC7458">
      <w:pPr>
        <w:spacing w:before="100" w:beforeAutospacing="1" w:after="100" w:afterAutospacing="1"/>
        <w:jc w:val="both"/>
        <w:rPr>
          <w:rFonts w:ascii="Arial" w:eastAsia="Calibri" w:hAnsi="Arial" w:cs="Arial"/>
          <w:color w:val="000000"/>
          <w:kern w:val="2"/>
        </w:rPr>
      </w:pPr>
      <w:r w:rsidRPr="00AC7458">
        <w:rPr>
          <w:rFonts w:ascii="Arial" w:eastAsia="Calibri" w:hAnsi="Arial" w:cs="Arial"/>
          <w:color w:val="000000"/>
          <w:kern w:val="2"/>
        </w:rPr>
        <w:object w:dxaOrig="3799" w:dyaOrig="5953" w14:anchorId="05E3F16F">
          <v:shape id="_x0000_i1033" type="#_x0000_t75" style="width:188.9pt;height:296.9pt" o:ole="">
            <v:imagedata r:id="rId22" o:title=""/>
          </v:shape>
          <o:OLEObject Type="Embed" ProgID="Prism5.Document" ShapeID="_x0000_i1033" DrawAspect="Content" ObjectID="_1825252663" r:id="rId23"/>
        </w:object>
      </w:r>
    </w:p>
    <w:p w14:paraId="60C8A3D8" w14:textId="55A6FE6A" w:rsidR="00AC7458" w:rsidRPr="00AC7458" w:rsidRDefault="00AC7458" w:rsidP="00AC7458">
      <w:pPr>
        <w:rPr>
          <w:rFonts w:ascii="Arial" w:hAnsi="Arial" w:cs="Arial"/>
          <w:b/>
          <w:iCs/>
        </w:rPr>
      </w:pPr>
      <w:bookmarkStart w:id="4" w:name="_Toc166707452"/>
      <w:r w:rsidRPr="00AC7458">
        <w:rPr>
          <w:rFonts w:ascii="Arial" w:hAnsi="Arial" w:cs="Arial"/>
          <w:b/>
          <w:iCs/>
        </w:rPr>
        <w:t xml:space="preserve">Figure </w:t>
      </w:r>
      <w:r w:rsidRPr="00AC7458">
        <w:rPr>
          <w:rFonts w:ascii="Arial" w:hAnsi="Arial" w:cs="Arial"/>
          <w:b/>
          <w:iCs/>
        </w:rPr>
        <w:fldChar w:fldCharType="begin"/>
      </w:r>
      <w:r w:rsidRPr="00AC7458">
        <w:rPr>
          <w:rFonts w:ascii="Arial" w:hAnsi="Arial" w:cs="Arial"/>
          <w:b/>
          <w:iCs/>
        </w:rPr>
        <w:instrText xml:space="preserve"> SEQ Figure \* ARABIC \s 1 </w:instrText>
      </w:r>
      <w:r w:rsidRPr="00AC7458">
        <w:rPr>
          <w:rFonts w:ascii="Arial" w:hAnsi="Arial" w:cs="Arial"/>
          <w:b/>
          <w:iCs/>
        </w:rPr>
        <w:fldChar w:fldCharType="separate"/>
      </w:r>
      <w:r w:rsidRPr="00AC7458">
        <w:rPr>
          <w:rFonts w:ascii="Arial" w:hAnsi="Arial" w:cs="Arial"/>
          <w:b/>
          <w:iCs/>
          <w:noProof/>
        </w:rPr>
        <w:t>5</w:t>
      </w:r>
      <w:r w:rsidRPr="00AC7458">
        <w:rPr>
          <w:rFonts w:ascii="Arial" w:hAnsi="Arial" w:cs="Arial"/>
          <w:b/>
          <w:iCs/>
          <w:noProof/>
        </w:rPr>
        <w:fldChar w:fldCharType="end"/>
      </w:r>
      <w:r w:rsidRPr="00AC7458">
        <w:rPr>
          <w:rFonts w:ascii="Arial" w:hAnsi="Arial" w:cs="Arial"/>
          <w:b/>
          <w:iCs/>
        </w:rPr>
        <w:t xml:space="preserve">: Amino acid nitrogen content of </w:t>
      </w:r>
      <w:r w:rsidRPr="00AC7458">
        <w:rPr>
          <w:rFonts w:ascii="Arial" w:hAnsi="Arial" w:cs="Arial"/>
          <w:b/>
          <w:i/>
          <w:iCs/>
        </w:rPr>
        <w:t>Daqu</w:t>
      </w:r>
      <w:r w:rsidRPr="00AC7458">
        <w:rPr>
          <w:rFonts w:ascii="Arial" w:hAnsi="Arial" w:cs="Arial"/>
          <w:b/>
          <w:iCs/>
        </w:rPr>
        <w:t xml:space="preserve"> samples with different colors</w:t>
      </w:r>
      <w:bookmarkEnd w:id="4"/>
    </w:p>
    <w:p w14:paraId="0C4279A7" w14:textId="77777777" w:rsidR="00AC7458" w:rsidRPr="00AC7458" w:rsidRDefault="00AC7458" w:rsidP="00AC7458">
      <w:pPr>
        <w:spacing w:after="160"/>
        <w:rPr>
          <w:rFonts w:ascii="Arial" w:eastAsia="Calibri" w:hAnsi="Arial" w:cs="Arial"/>
          <w:kern w:val="2"/>
        </w:rPr>
      </w:pPr>
      <w:r w:rsidRPr="00AC7458">
        <w:rPr>
          <w:rFonts w:ascii="Arial" w:eastAsia="Calibri" w:hAnsi="Arial" w:cs="Arial"/>
          <w:kern w:val="2"/>
        </w:rPr>
        <w:t xml:space="preserve">Where *, 0.01 ≤ p &lt; 0.05; **, 0.001 ≤ p &lt; 0.01; ***, p &lt; 0.001. The concentration level is represented on the Y-axis, while the distinct </w:t>
      </w:r>
      <w:r w:rsidRPr="00AC7458">
        <w:rPr>
          <w:rFonts w:ascii="Arial" w:eastAsia="Calibri" w:hAnsi="Arial" w:cs="Arial"/>
          <w:i/>
          <w:kern w:val="2"/>
        </w:rPr>
        <w:t>Daqu</w:t>
      </w:r>
      <w:r w:rsidRPr="00AC7458">
        <w:rPr>
          <w:rFonts w:ascii="Arial" w:eastAsia="Calibri" w:hAnsi="Arial" w:cs="Arial"/>
          <w:kern w:val="2"/>
        </w:rPr>
        <w:t xml:space="preserve"> samples are displayed on the X-axis.</w:t>
      </w:r>
    </w:p>
    <w:p w14:paraId="6D41A986" w14:textId="77777777" w:rsidR="00AC7458" w:rsidRPr="00AC7458" w:rsidRDefault="00AC7458" w:rsidP="00AC7458">
      <w:pPr>
        <w:spacing w:after="160"/>
        <w:rPr>
          <w:rFonts w:ascii="Arial" w:eastAsia="Calibri" w:hAnsi="Arial" w:cs="Arial"/>
          <w:kern w:val="2"/>
        </w:rPr>
      </w:pPr>
    </w:p>
    <w:p w14:paraId="0B1159D1" w14:textId="77777777" w:rsidR="00AC7458" w:rsidRPr="00AC7458" w:rsidRDefault="00AC7458" w:rsidP="00AC7458">
      <w:pPr>
        <w:spacing w:before="100" w:beforeAutospacing="1" w:after="100" w:afterAutospacing="1"/>
        <w:jc w:val="both"/>
        <w:rPr>
          <w:rFonts w:ascii="Arial" w:hAnsi="Arial" w:cs="Arial"/>
        </w:rPr>
      </w:pPr>
      <w:r w:rsidRPr="00AC7458">
        <w:rPr>
          <w:rFonts w:ascii="Arial" w:hAnsi="Arial" w:cs="Arial"/>
        </w:rPr>
        <w:t>Proteolysis in Daqu releases free amino acids that participate in Maillard reactions and microbial metabolism, influencing the aroma complexity of the final product. Previous studies (Li et al., 2019) highlight the strong relationship between proteolytic microbial communities and flavor generation. Although the Daqu samples demonstrated similar amino acid nitrogen levels, this uniformity does not diminish the role of nitrogenous substrates; rather, it suggests similar degrees of protein hydrolysis or comparable raw material protein content across samples.</w:t>
      </w:r>
    </w:p>
    <w:p w14:paraId="33AF5C33" w14:textId="3E06C9E7" w:rsidR="00AC7458" w:rsidRPr="00AC7458" w:rsidRDefault="00AC7458" w:rsidP="00AC7458">
      <w:pPr>
        <w:jc w:val="both"/>
        <w:rPr>
          <w:rFonts w:ascii="Arial" w:hAnsi="Arial" w:cs="Arial"/>
        </w:rPr>
      </w:pPr>
    </w:p>
    <w:p w14:paraId="6970EFFC" w14:textId="77777777" w:rsidR="00AC7458" w:rsidRPr="00AC7458" w:rsidRDefault="00AC7458" w:rsidP="00AC7458">
      <w:pPr>
        <w:rPr>
          <w:rFonts w:ascii="Arial" w:hAnsi="Arial" w:cs="Arial"/>
          <w:b/>
          <w:bCs/>
        </w:rPr>
      </w:pPr>
      <w:r w:rsidRPr="00AC7458">
        <w:rPr>
          <w:rFonts w:ascii="Arial" w:hAnsi="Arial" w:cs="Arial"/>
          <w:b/>
          <w:bCs/>
        </w:rPr>
        <w:t>3.6 Saccharification</w:t>
      </w:r>
    </w:p>
    <w:p w14:paraId="2CB3801F" w14:textId="77777777" w:rsidR="00AC7458" w:rsidRPr="00AC7458" w:rsidRDefault="00AC7458" w:rsidP="00AC7458">
      <w:pPr>
        <w:spacing w:before="100" w:beforeAutospacing="1" w:after="100" w:afterAutospacing="1"/>
        <w:jc w:val="both"/>
        <w:rPr>
          <w:rFonts w:ascii="Arial" w:hAnsi="Arial" w:cs="Arial"/>
        </w:rPr>
      </w:pPr>
      <w:r w:rsidRPr="00AC7458">
        <w:rPr>
          <w:rFonts w:ascii="Arial" w:hAnsi="Arial" w:cs="Arial"/>
        </w:rPr>
        <w:t>Saccharification power indicates the ability of Daqu enzymes to convert starch into fermentable sugars, a crucial determinant of Baijiu fermentation efficiency (Bai et al., 2025). As illustrated in Figure 6, white and black Daqu exhibited similar saccharification capacities, while the yellow Daqu showed significantly lower values. This reduced saccharification activity in yellow Daqu may stem from differences in microbial composition, enzyme yield, or raw material characteristics.</w:t>
      </w:r>
    </w:p>
    <w:p w14:paraId="7D46FC7A" w14:textId="77777777" w:rsidR="00AC7458" w:rsidRPr="00AC7458" w:rsidRDefault="00AC7458" w:rsidP="00AC7458">
      <w:pPr>
        <w:spacing w:after="160"/>
        <w:ind w:left="-450"/>
        <w:jc w:val="center"/>
        <w:rPr>
          <w:rFonts w:ascii="Arial" w:eastAsia="Calibri" w:hAnsi="Arial" w:cs="Arial"/>
          <w:b/>
          <w:color w:val="000000"/>
          <w:kern w:val="2"/>
        </w:rPr>
      </w:pPr>
      <w:r w:rsidRPr="00AC7458">
        <w:rPr>
          <w:rFonts w:ascii="Arial" w:eastAsia="Calibri" w:hAnsi="Arial" w:cs="Arial"/>
          <w:b/>
          <w:color w:val="000000"/>
          <w:kern w:val="2"/>
        </w:rPr>
        <w:object w:dxaOrig="4026" w:dyaOrig="5443" w14:anchorId="09BAE89A">
          <v:shape id="_x0000_i1034" type="#_x0000_t75" style="width:201.5pt;height:272.1pt" o:ole="">
            <v:imagedata r:id="rId24" o:title=""/>
          </v:shape>
          <o:OLEObject Type="Embed" ProgID="Prism5.Document" ShapeID="_x0000_i1034" DrawAspect="Content" ObjectID="_1825252664" r:id="rId25"/>
        </w:object>
      </w:r>
    </w:p>
    <w:p w14:paraId="2750BEA5" w14:textId="1534A78F" w:rsidR="00AC7458" w:rsidRPr="00AC7458" w:rsidRDefault="00AC7458" w:rsidP="00AC7458">
      <w:pPr>
        <w:jc w:val="center"/>
        <w:rPr>
          <w:rFonts w:ascii="Arial" w:hAnsi="Arial" w:cs="Arial"/>
          <w:b/>
          <w:iCs/>
        </w:rPr>
      </w:pPr>
      <w:bookmarkStart w:id="5" w:name="_Toc166707453"/>
      <w:r w:rsidRPr="00AC7458">
        <w:rPr>
          <w:rFonts w:ascii="Arial" w:hAnsi="Arial" w:cs="Arial"/>
          <w:b/>
          <w:iCs/>
        </w:rPr>
        <w:t xml:space="preserve">Figure </w:t>
      </w:r>
      <w:r w:rsidRPr="00AC7458">
        <w:rPr>
          <w:rFonts w:ascii="Arial" w:hAnsi="Arial" w:cs="Arial"/>
          <w:b/>
          <w:iCs/>
        </w:rPr>
        <w:fldChar w:fldCharType="begin"/>
      </w:r>
      <w:r w:rsidRPr="00AC7458">
        <w:rPr>
          <w:rFonts w:ascii="Arial" w:hAnsi="Arial" w:cs="Arial"/>
          <w:b/>
          <w:iCs/>
        </w:rPr>
        <w:instrText xml:space="preserve"> SEQ Figure \* ARABIC \s 1 </w:instrText>
      </w:r>
      <w:r w:rsidRPr="00AC7458">
        <w:rPr>
          <w:rFonts w:ascii="Arial" w:hAnsi="Arial" w:cs="Arial"/>
          <w:b/>
          <w:iCs/>
        </w:rPr>
        <w:fldChar w:fldCharType="separate"/>
      </w:r>
      <w:r w:rsidRPr="00AC7458">
        <w:rPr>
          <w:rFonts w:ascii="Arial" w:hAnsi="Arial" w:cs="Arial"/>
          <w:b/>
          <w:iCs/>
          <w:noProof/>
        </w:rPr>
        <w:t>6</w:t>
      </w:r>
      <w:r w:rsidRPr="00AC7458">
        <w:rPr>
          <w:rFonts w:ascii="Arial" w:hAnsi="Arial" w:cs="Arial"/>
          <w:b/>
          <w:iCs/>
          <w:noProof/>
        </w:rPr>
        <w:fldChar w:fldCharType="end"/>
      </w:r>
      <w:r w:rsidRPr="00AC7458">
        <w:rPr>
          <w:rFonts w:ascii="Arial" w:hAnsi="Arial" w:cs="Arial"/>
          <w:b/>
          <w:iCs/>
        </w:rPr>
        <w:t xml:space="preserve">: Saccharification Power of </w:t>
      </w:r>
      <w:proofErr w:type="spellStart"/>
      <w:r w:rsidRPr="00AC7458">
        <w:rPr>
          <w:rFonts w:ascii="Arial" w:hAnsi="Arial" w:cs="Arial"/>
          <w:b/>
          <w:i/>
          <w:iCs/>
        </w:rPr>
        <w:t>Daqu</w:t>
      </w:r>
      <w:proofErr w:type="spellEnd"/>
      <w:r w:rsidRPr="00AC7458">
        <w:rPr>
          <w:rFonts w:ascii="Arial" w:hAnsi="Arial" w:cs="Arial"/>
          <w:b/>
          <w:iCs/>
        </w:rPr>
        <w:t xml:space="preserve"> with different colors</w:t>
      </w:r>
      <w:bookmarkEnd w:id="5"/>
    </w:p>
    <w:p w14:paraId="5FAE9030" w14:textId="77777777" w:rsidR="00AC7458" w:rsidRPr="00AC7458" w:rsidRDefault="00AC7458" w:rsidP="00AC7458">
      <w:pPr>
        <w:spacing w:after="160"/>
        <w:rPr>
          <w:rFonts w:ascii="Arial" w:eastAsia="Calibri" w:hAnsi="Arial" w:cs="Arial"/>
          <w:kern w:val="2"/>
        </w:rPr>
      </w:pPr>
      <w:r w:rsidRPr="00AC7458">
        <w:rPr>
          <w:rFonts w:ascii="Arial" w:eastAsia="Calibri" w:hAnsi="Arial" w:cs="Arial"/>
          <w:kern w:val="2"/>
        </w:rPr>
        <w:t xml:space="preserve">Where *, 0.01 ≤ p &lt; 0.05; **, 0.001 ≤ p &lt; 0.01; ***, p &lt; 0.001. The concentration level is represented on the Y-axis, while the distinct </w:t>
      </w:r>
      <w:r w:rsidRPr="00AC7458">
        <w:rPr>
          <w:rFonts w:ascii="Arial" w:eastAsia="Calibri" w:hAnsi="Arial" w:cs="Arial"/>
          <w:i/>
          <w:kern w:val="2"/>
        </w:rPr>
        <w:t>Daqu</w:t>
      </w:r>
      <w:r w:rsidRPr="00AC7458">
        <w:rPr>
          <w:rFonts w:ascii="Arial" w:eastAsia="Calibri" w:hAnsi="Arial" w:cs="Arial"/>
          <w:kern w:val="2"/>
        </w:rPr>
        <w:t xml:space="preserve"> samples are displayed on the X-axis.</w:t>
      </w:r>
    </w:p>
    <w:p w14:paraId="46DE6FE2" w14:textId="77777777" w:rsidR="00AC7458" w:rsidRPr="00AC7458" w:rsidRDefault="00AC7458" w:rsidP="00AC7458">
      <w:pPr>
        <w:spacing w:before="100" w:beforeAutospacing="1" w:after="100" w:afterAutospacing="1"/>
        <w:jc w:val="both"/>
        <w:rPr>
          <w:rFonts w:ascii="Arial" w:hAnsi="Arial" w:cs="Arial"/>
        </w:rPr>
      </w:pPr>
      <w:r w:rsidRPr="00AC7458">
        <w:rPr>
          <w:rFonts w:ascii="Arial" w:hAnsi="Arial" w:cs="Arial"/>
        </w:rPr>
        <w:t>High saccharification efficiency enhances sugar availability, supporting robust microbial metabolism and influencing both fermentation kinetics and flavor development (Wang et al., 2019). Variability among Daqu types is expected given differences in fungal and bacterial communities, processing techniques, and fermentation temperatures. Prior studies (Wang et al., 2020) emphasize that microbial diversity plays a substantial role in determining enzyme production and, by extension, saccharification outcomes.</w:t>
      </w:r>
    </w:p>
    <w:p w14:paraId="5E7700E6" w14:textId="294280F7" w:rsidR="00AC7458" w:rsidRPr="00AC7458" w:rsidRDefault="00AC7458" w:rsidP="00AC7458">
      <w:pPr>
        <w:jc w:val="both"/>
        <w:rPr>
          <w:rFonts w:ascii="Arial" w:hAnsi="Arial" w:cs="Arial"/>
        </w:rPr>
      </w:pPr>
    </w:p>
    <w:p w14:paraId="166A628E" w14:textId="77777777" w:rsidR="00AC7458" w:rsidRPr="00AC7458" w:rsidRDefault="00AC7458" w:rsidP="00AC7458">
      <w:pPr>
        <w:rPr>
          <w:rFonts w:ascii="Arial" w:hAnsi="Arial" w:cs="Arial"/>
          <w:b/>
          <w:bCs/>
        </w:rPr>
      </w:pPr>
      <w:r w:rsidRPr="00AC7458">
        <w:rPr>
          <w:rFonts w:ascii="Arial" w:hAnsi="Arial" w:cs="Arial"/>
          <w:b/>
          <w:bCs/>
        </w:rPr>
        <w:t>3.7 Liquefaction</w:t>
      </w:r>
    </w:p>
    <w:p w14:paraId="0A53A3C0" w14:textId="632AEB6F" w:rsidR="00AC7458" w:rsidRPr="00AC7458" w:rsidRDefault="00AC7458" w:rsidP="00AC7458">
      <w:pPr>
        <w:spacing w:before="100" w:beforeAutospacing="1" w:after="100" w:afterAutospacing="1"/>
        <w:jc w:val="both"/>
        <w:rPr>
          <w:rFonts w:ascii="Arial" w:hAnsi="Arial" w:cs="Arial"/>
        </w:rPr>
      </w:pPr>
      <w:r w:rsidRPr="00AC7458">
        <w:rPr>
          <w:rFonts w:ascii="Arial" w:hAnsi="Arial" w:cs="Arial"/>
        </w:rPr>
        <w:t>Liquefaction reflects the initial enzymatic breakdown of starch granules into dextrin, preparing substrates for downstream saccharification (Zhang et al., 2025). As shown in Figure 7, liquefaction power did not differ significantly among the three Daqu types. This indicates consistent liquefaction-related enzyme activity</w:t>
      </w:r>
      <w:r w:rsidR="001437EA">
        <w:rPr>
          <w:rFonts w:ascii="Arial" w:hAnsi="Arial" w:cs="Arial"/>
        </w:rPr>
        <w:t>,</w:t>
      </w:r>
      <w:r w:rsidRPr="00AC7458">
        <w:rPr>
          <w:rFonts w:ascii="Arial" w:hAnsi="Arial" w:cs="Arial"/>
        </w:rPr>
        <w:t xml:space="preserve"> which is likely α-</w:t>
      </w:r>
      <w:r w:rsidRPr="005F4DF1">
        <w:rPr>
          <w:rFonts w:ascii="Arial" w:hAnsi="Arial" w:cs="Arial"/>
          <w:i/>
          <w:iCs/>
        </w:rPr>
        <w:t>amylases</w:t>
      </w:r>
      <w:r w:rsidRPr="00AC7458">
        <w:rPr>
          <w:rFonts w:ascii="Arial" w:hAnsi="Arial" w:cs="Arial"/>
        </w:rPr>
        <w:t xml:space="preserve"> across the samples. Although not discriminatory in this study, liquefaction remains vital to overall Daqu maturity and functionality.</w:t>
      </w:r>
    </w:p>
    <w:p w14:paraId="45BDBF23" w14:textId="77777777" w:rsidR="00AC7458" w:rsidRPr="00AC7458" w:rsidRDefault="00AC7458" w:rsidP="00AC7458">
      <w:pPr>
        <w:spacing w:after="160"/>
        <w:ind w:left="-450"/>
        <w:jc w:val="center"/>
        <w:rPr>
          <w:rFonts w:ascii="Arial" w:eastAsia="Calibri" w:hAnsi="Arial" w:cs="Arial"/>
          <w:color w:val="000000"/>
          <w:kern w:val="2"/>
        </w:rPr>
      </w:pPr>
      <w:r w:rsidRPr="00AC7458">
        <w:rPr>
          <w:rFonts w:ascii="Arial" w:eastAsia="Calibri" w:hAnsi="Arial" w:cs="Arial"/>
          <w:color w:val="000000"/>
          <w:kern w:val="2"/>
        </w:rPr>
        <w:object w:dxaOrig="4309" w:dyaOrig="5897" w14:anchorId="004C8CCC">
          <v:shape id="_x0000_i1035" type="#_x0000_t75" style="width:215.05pt;height:295.5pt" o:ole="">
            <v:imagedata r:id="rId26" o:title=""/>
          </v:shape>
          <o:OLEObject Type="Embed" ProgID="Prism5.Document" ShapeID="_x0000_i1035" DrawAspect="Content" ObjectID="_1825252665" r:id="rId27"/>
        </w:object>
      </w:r>
    </w:p>
    <w:p w14:paraId="1B5A7902" w14:textId="77777777" w:rsidR="00AC7458" w:rsidRPr="00AC7458" w:rsidRDefault="00AC7458" w:rsidP="00AC7458">
      <w:pPr>
        <w:jc w:val="center"/>
        <w:rPr>
          <w:rFonts w:ascii="Arial" w:hAnsi="Arial" w:cs="Arial"/>
          <w:b/>
          <w:iCs/>
        </w:rPr>
      </w:pPr>
      <w:bookmarkStart w:id="6" w:name="_Toc166707454"/>
      <w:r w:rsidRPr="00AC7458">
        <w:rPr>
          <w:rFonts w:ascii="Arial" w:hAnsi="Arial" w:cs="Arial"/>
          <w:b/>
          <w:iCs/>
        </w:rPr>
        <w:t xml:space="preserve">Figure </w:t>
      </w:r>
      <w:r w:rsidRPr="00AC7458">
        <w:rPr>
          <w:rFonts w:ascii="Arial" w:hAnsi="Arial" w:cs="Arial"/>
          <w:b/>
          <w:iCs/>
        </w:rPr>
        <w:fldChar w:fldCharType="begin"/>
      </w:r>
      <w:r w:rsidRPr="00AC7458">
        <w:rPr>
          <w:rFonts w:ascii="Arial" w:hAnsi="Arial" w:cs="Arial"/>
          <w:b/>
          <w:iCs/>
        </w:rPr>
        <w:instrText xml:space="preserve"> SEQ Figure \* ARABIC \s 1 </w:instrText>
      </w:r>
      <w:r w:rsidRPr="00AC7458">
        <w:rPr>
          <w:rFonts w:ascii="Arial" w:hAnsi="Arial" w:cs="Arial"/>
          <w:b/>
          <w:iCs/>
        </w:rPr>
        <w:fldChar w:fldCharType="separate"/>
      </w:r>
      <w:r w:rsidRPr="00AC7458">
        <w:rPr>
          <w:rFonts w:ascii="Arial" w:hAnsi="Arial" w:cs="Arial"/>
          <w:b/>
          <w:iCs/>
          <w:noProof/>
        </w:rPr>
        <w:t>7</w:t>
      </w:r>
      <w:r w:rsidRPr="00AC7458">
        <w:rPr>
          <w:rFonts w:ascii="Arial" w:hAnsi="Arial" w:cs="Arial"/>
          <w:b/>
          <w:iCs/>
          <w:noProof/>
        </w:rPr>
        <w:fldChar w:fldCharType="end"/>
      </w:r>
      <w:r w:rsidRPr="00AC7458">
        <w:rPr>
          <w:rFonts w:ascii="Arial" w:hAnsi="Arial" w:cs="Arial"/>
          <w:b/>
          <w:iCs/>
        </w:rPr>
        <w:t xml:space="preserve">: Liquefaction Power of </w:t>
      </w:r>
      <w:r w:rsidRPr="00AC7458">
        <w:rPr>
          <w:rFonts w:ascii="Arial" w:hAnsi="Arial" w:cs="Arial"/>
          <w:b/>
          <w:i/>
          <w:iCs/>
        </w:rPr>
        <w:t>Daqu</w:t>
      </w:r>
      <w:r w:rsidRPr="00AC7458">
        <w:rPr>
          <w:rFonts w:ascii="Arial" w:hAnsi="Arial" w:cs="Arial"/>
          <w:b/>
          <w:iCs/>
        </w:rPr>
        <w:t xml:space="preserve"> samples with different colors</w:t>
      </w:r>
      <w:bookmarkEnd w:id="6"/>
    </w:p>
    <w:p w14:paraId="78E10CA7" w14:textId="77777777" w:rsidR="00AC7458" w:rsidRPr="00AC7458" w:rsidRDefault="00AC7458" w:rsidP="00AC7458">
      <w:pPr>
        <w:spacing w:after="160"/>
        <w:rPr>
          <w:rFonts w:ascii="Arial" w:eastAsia="Calibri" w:hAnsi="Arial" w:cs="Arial"/>
          <w:kern w:val="2"/>
        </w:rPr>
      </w:pPr>
      <w:r w:rsidRPr="00AC7458">
        <w:rPr>
          <w:rFonts w:ascii="Arial" w:eastAsia="Calibri" w:hAnsi="Arial" w:cs="Arial"/>
          <w:kern w:val="2"/>
        </w:rPr>
        <w:t xml:space="preserve">Where *, 0.01 ≤ p &lt; 0.05; **, 0.001 ≤ p &lt; 0.01; ***, p &lt; 0.001. The concentration level is represented on the Y-axis, while the distinct </w:t>
      </w:r>
      <w:r w:rsidRPr="00AC7458">
        <w:rPr>
          <w:rFonts w:ascii="Arial" w:eastAsia="Calibri" w:hAnsi="Arial" w:cs="Arial"/>
          <w:i/>
          <w:kern w:val="2"/>
        </w:rPr>
        <w:t>Daqu</w:t>
      </w:r>
      <w:r w:rsidRPr="00AC7458">
        <w:rPr>
          <w:rFonts w:ascii="Arial" w:eastAsia="Calibri" w:hAnsi="Arial" w:cs="Arial"/>
          <w:kern w:val="2"/>
        </w:rPr>
        <w:t xml:space="preserve"> samples are displayed on the X-axis.</w:t>
      </w:r>
    </w:p>
    <w:p w14:paraId="6CAF5515" w14:textId="5FE55FF2" w:rsidR="00AC7458" w:rsidRPr="00AC7458" w:rsidRDefault="00AC7458" w:rsidP="00AC7458">
      <w:pPr>
        <w:spacing w:after="160"/>
        <w:jc w:val="both"/>
        <w:rPr>
          <w:rFonts w:ascii="Arial" w:hAnsi="Arial" w:cs="Arial"/>
        </w:rPr>
      </w:pPr>
      <w:r w:rsidRPr="00AC7458">
        <w:rPr>
          <w:rFonts w:ascii="Arial" w:hAnsi="Arial" w:cs="Arial"/>
        </w:rPr>
        <w:t xml:space="preserve">Wang et al. (2019) emphasize that liquefaction enzyme activity plays a foundational role in shaping microbial succession and modulating the spectrum of flavor compounds generated during fermentation. Although the liquefaction values in the present study did not differ significantly among the Daqu samples, these metrics nonetheless provide an essential baseline for interpreting downstream fermentation behavior. Uniform liquefaction capacity suggests that the initial breakdown of starch into soluble </w:t>
      </w:r>
      <w:r w:rsidR="00027A68" w:rsidRPr="00AC7458">
        <w:rPr>
          <w:rFonts w:ascii="Arial" w:hAnsi="Arial" w:cs="Arial"/>
        </w:rPr>
        <w:t>dextrin</w:t>
      </w:r>
      <w:r w:rsidRPr="00AC7458">
        <w:rPr>
          <w:rFonts w:ascii="Arial" w:hAnsi="Arial" w:cs="Arial"/>
        </w:rPr>
        <w:t xml:space="preserve"> proceeds at a comparable rate across all Daqu types, thereby allowing observed differences in later fermentation stages, such as saccharification efficiency, microbial community shifts, or volatile metabolite formation, to be attributed to other physicochemical or microbial factors rather than disparities in liquefaction performance. In this way, even similarity in liquefaction activity contributes </w:t>
      </w:r>
      <w:r w:rsidR="00F8596E">
        <w:rPr>
          <w:rFonts w:ascii="Arial" w:hAnsi="Arial" w:cs="Arial"/>
        </w:rPr>
        <w:t xml:space="preserve">a </w:t>
      </w:r>
      <w:r w:rsidRPr="00AC7458">
        <w:rPr>
          <w:rFonts w:ascii="Arial" w:hAnsi="Arial" w:cs="Arial"/>
        </w:rPr>
        <w:t>critical context for understanding the mechanistic pathways through which Daqu characteristics influence fermentation quality.</w:t>
      </w:r>
    </w:p>
    <w:p w14:paraId="4ACE93CD" w14:textId="77777777" w:rsidR="00E053D0" w:rsidRDefault="00E053D0" w:rsidP="00441B6F">
      <w:pPr>
        <w:pStyle w:val="Body"/>
        <w:spacing w:after="0"/>
        <w:rPr>
          <w:rFonts w:ascii="Arial" w:hAnsi="Arial" w:cs="Arial"/>
        </w:rPr>
      </w:pPr>
    </w:p>
    <w:p w14:paraId="7208F078" w14:textId="77777777" w:rsidR="00790ADA" w:rsidRPr="00FB3A86" w:rsidRDefault="00790ADA" w:rsidP="00441B6F">
      <w:pPr>
        <w:pStyle w:val="Body"/>
        <w:spacing w:after="0"/>
        <w:rPr>
          <w:rFonts w:ascii="Arial" w:hAnsi="Arial" w:cs="Arial"/>
        </w:rPr>
      </w:pPr>
    </w:p>
    <w:p w14:paraId="5BFE12F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D2B8D97" w14:textId="77777777" w:rsidR="00790ADA" w:rsidRPr="00FB3A86" w:rsidRDefault="00790ADA" w:rsidP="00441B6F">
      <w:pPr>
        <w:pStyle w:val="ConcHead"/>
        <w:spacing w:after="0"/>
        <w:jc w:val="both"/>
        <w:rPr>
          <w:rFonts w:ascii="Arial" w:hAnsi="Arial" w:cs="Arial"/>
        </w:rPr>
      </w:pPr>
    </w:p>
    <w:p w14:paraId="4F8EE0AD" w14:textId="012B938E" w:rsidR="00AC7458" w:rsidRPr="00FB3A86" w:rsidRDefault="00F957AB" w:rsidP="00AC7458">
      <w:pPr>
        <w:pStyle w:val="Body"/>
        <w:spacing w:after="0"/>
        <w:rPr>
          <w:rFonts w:ascii="Arial" w:hAnsi="Arial" w:cs="Arial"/>
        </w:rPr>
      </w:pPr>
      <w:r w:rsidRPr="00F957AB">
        <w:rPr>
          <w:rFonts w:ascii="Arial" w:hAnsi="Arial" w:cs="Arial"/>
        </w:rPr>
        <w:t>This study showed that Daqu color corresponds to meaningful differences in physicochemical properties, with moisture content, acidity level, and saccharification power emerging as the key distinguishing factors among white, black, and yellow Daqu. While other parameters</w:t>
      </w:r>
      <w:r w:rsidR="00F8596E">
        <w:rPr>
          <w:rFonts w:ascii="Arial" w:hAnsi="Arial" w:cs="Arial"/>
        </w:rPr>
        <w:t>,</w:t>
      </w:r>
      <w:r w:rsidRPr="00F957AB">
        <w:rPr>
          <w:rFonts w:ascii="Arial" w:hAnsi="Arial" w:cs="Arial"/>
        </w:rPr>
        <w:t xml:space="preserve"> such as starch composition, amino acid nitrogen, and liquefaction ability</w:t>
      </w:r>
      <w:r w:rsidR="00F8596E">
        <w:rPr>
          <w:rFonts w:ascii="Arial" w:hAnsi="Arial" w:cs="Arial"/>
        </w:rPr>
        <w:t>,</w:t>
      </w:r>
      <w:r w:rsidRPr="00F957AB">
        <w:rPr>
          <w:rFonts w:ascii="Arial" w:hAnsi="Arial" w:cs="Arial"/>
        </w:rPr>
        <w:t xml:space="preserve"> showed no significant variation, the observed differences highlight how Daqu color reflects functional fermentation potential. These findings provide a practical basis for more informed Daqu selection to improve consistency in Baijiu fermentation quality.</w:t>
      </w:r>
    </w:p>
    <w:p w14:paraId="19EDBA88" w14:textId="77777777" w:rsidR="00315186" w:rsidRPr="00315186" w:rsidRDefault="00315186" w:rsidP="00441B6F"/>
    <w:p w14:paraId="5019C620" w14:textId="77777777" w:rsidR="00315186" w:rsidRPr="00315186" w:rsidRDefault="00315186" w:rsidP="00441B6F"/>
    <w:p w14:paraId="4E701A3E" w14:textId="77777777" w:rsidR="007F3EC2" w:rsidRPr="00740879" w:rsidRDefault="007F3EC2" w:rsidP="007F3EC2">
      <w:pPr>
        <w:rPr>
          <w:highlight w:val="yellow"/>
        </w:rPr>
      </w:pPr>
      <w:r w:rsidRPr="00740879">
        <w:rPr>
          <w:highlight w:val="yellow"/>
        </w:rPr>
        <w:t>Disclaimer (Artificial intelligence)</w:t>
      </w:r>
    </w:p>
    <w:p w14:paraId="3DAB95B0" w14:textId="77777777" w:rsidR="007F3EC2" w:rsidRPr="00740879" w:rsidRDefault="007F3EC2" w:rsidP="007F3EC2">
      <w:pPr>
        <w:rPr>
          <w:highlight w:val="yellow"/>
        </w:rPr>
      </w:pPr>
      <w:r w:rsidRPr="00740879">
        <w:rPr>
          <w:highlight w:val="yellow"/>
        </w:rPr>
        <w:t xml:space="preserve">Option 1: </w:t>
      </w:r>
    </w:p>
    <w:p w14:paraId="7A9A609E" w14:textId="77777777" w:rsidR="007F3EC2" w:rsidRPr="00740879" w:rsidRDefault="007F3EC2" w:rsidP="007F3EC2">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0F798BE1" w14:textId="77777777" w:rsidR="007F3EC2" w:rsidRPr="00740879" w:rsidRDefault="007F3EC2" w:rsidP="007F3EC2">
      <w:pPr>
        <w:rPr>
          <w:highlight w:val="yellow"/>
        </w:rPr>
      </w:pPr>
      <w:r w:rsidRPr="00740879">
        <w:rPr>
          <w:highlight w:val="yellow"/>
        </w:rPr>
        <w:t xml:space="preserve">Option 2: </w:t>
      </w:r>
    </w:p>
    <w:p w14:paraId="44F80197" w14:textId="1212853D" w:rsidR="007F3EC2" w:rsidRPr="00740879" w:rsidRDefault="007F3EC2" w:rsidP="007F3EC2">
      <w:pPr>
        <w:rPr>
          <w:highlight w:val="yellow"/>
        </w:rPr>
      </w:pPr>
      <w:r w:rsidRPr="00740879">
        <w:rPr>
          <w:highlight w:val="yellow"/>
        </w:rPr>
        <w:t>Author(s) hereby declare that generative AI technologies such as Large Language Models, etc.</w:t>
      </w:r>
      <w:r w:rsidR="001437EA">
        <w:rPr>
          <w:highlight w:val="yellow"/>
        </w:rPr>
        <w:t>,</w:t>
      </w:r>
      <w:r w:rsidRPr="00740879">
        <w:rPr>
          <w:highlight w:val="yellow"/>
        </w:rPr>
        <w:t xml:space="preserve"> have been used during the writing or editing of manuscripts. This explanation will include the name, version, model, and source of the generative AI technology and as well as all input prompts provided to the generative AI technology</w:t>
      </w:r>
      <w:r w:rsidR="001437EA">
        <w:rPr>
          <w:highlight w:val="yellow"/>
        </w:rPr>
        <w:t>.</w:t>
      </w:r>
    </w:p>
    <w:p w14:paraId="7961E94D" w14:textId="77777777" w:rsidR="007F3EC2" w:rsidRPr="00740879" w:rsidRDefault="007F3EC2" w:rsidP="007F3EC2">
      <w:pPr>
        <w:rPr>
          <w:highlight w:val="yellow"/>
        </w:rPr>
      </w:pPr>
      <w:r w:rsidRPr="00740879">
        <w:rPr>
          <w:highlight w:val="yellow"/>
        </w:rPr>
        <w:t>Details of the AI usage are given below:</w:t>
      </w:r>
    </w:p>
    <w:p w14:paraId="3C401AF2" w14:textId="77777777" w:rsidR="007F3EC2" w:rsidRPr="00740879" w:rsidRDefault="007F3EC2" w:rsidP="007F3EC2">
      <w:pPr>
        <w:rPr>
          <w:highlight w:val="yellow"/>
        </w:rPr>
      </w:pPr>
      <w:r w:rsidRPr="00740879">
        <w:rPr>
          <w:highlight w:val="yellow"/>
        </w:rPr>
        <w:lastRenderedPageBreak/>
        <w:t>1.</w:t>
      </w:r>
    </w:p>
    <w:p w14:paraId="02568604" w14:textId="77777777" w:rsidR="007F3EC2" w:rsidRPr="00740879" w:rsidRDefault="007F3EC2" w:rsidP="007F3EC2">
      <w:pPr>
        <w:rPr>
          <w:highlight w:val="yellow"/>
        </w:rPr>
      </w:pPr>
      <w:r w:rsidRPr="00740879">
        <w:rPr>
          <w:highlight w:val="yellow"/>
        </w:rPr>
        <w:t>2.</w:t>
      </w:r>
    </w:p>
    <w:p w14:paraId="4C600199" w14:textId="77777777" w:rsidR="007F3EC2" w:rsidRPr="00D047BB" w:rsidRDefault="007F3EC2" w:rsidP="007F3EC2">
      <w:r w:rsidRPr="00740879">
        <w:rPr>
          <w:highlight w:val="yellow"/>
        </w:rPr>
        <w:t>3.</w:t>
      </w:r>
    </w:p>
    <w:p w14:paraId="07D2A7D9" w14:textId="77777777" w:rsidR="00315186" w:rsidRPr="00315186" w:rsidRDefault="00315186" w:rsidP="00441B6F"/>
    <w:p w14:paraId="082028D7" w14:textId="77777777" w:rsidR="00860000" w:rsidRDefault="00860000" w:rsidP="00441B6F">
      <w:pPr>
        <w:pStyle w:val="ReferHead"/>
        <w:spacing w:after="0"/>
        <w:jc w:val="both"/>
        <w:rPr>
          <w:rFonts w:ascii="Arial" w:hAnsi="Arial" w:cs="Arial"/>
        </w:rPr>
      </w:pPr>
    </w:p>
    <w:p w14:paraId="54CB7D7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D995BBB" w14:textId="77777777" w:rsidR="00790ADA" w:rsidRPr="00FB3A86" w:rsidRDefault="00790ADA" w:rsidP="00441B6F">
      <w:pPr>
        <w:pStyle w:val="ReferHead"/>
        <w:spacing w:after="0"/>
        <w:jc w:val="both"/>
        <w:rPr>
          <w:rFonts w:ascii="Arial" w:hAnsi="Arial" w:cs="Arial"/>
        </w:rPr>
      </w:pPr>
    </w:p>
    <w:p w14:paraId="1B94352A" w14:textId="7FC85E16" w:rsidR="00EC3CCF" w:rsidRPr="00EC3CCF" w:rsidRDefault="00EC3CCF" w:rsidP="00EC3CCF">
      <w:pPr>
        <w:pStyle w:val="Appendix"/>
        <w:jc w:val="both"/>
        <w:rPr>
          <w:b w:val="0"/>
          <w:caps w:val="0"/>
          <w:sz w:val="20"/>
        </w:rPr>
      </w:pPr>
      <w:r w:rsidRPr="00EC3CCF">
        <w:rPr>
          <w:b w:val="0"/>
          <w:caps w:val="0"/>
          <w:sz w:val="20"/>
        </w:rPr>
        <w:t xml:space="preserve">Adhikari, D. (2024). </w:t>
      </w:r>
      <w:r w:rsidR="001437EA">
        <w:rPr>
          <w:b w:val="0"/>
          <w:caps w:val="0"/>
          <w:sz w:val="20"/>
        </w:rPr>
        <w:t>Chapter 8</w:t>
      </w:r>
      <w:r w:rsidRPr="00EC3CCF">
        <w:rPr>
          <w:b w:val="0"/>
          <w:caps w:val="0"/>
          <w:sz w:val="20"/>
        </w:rPr>
        <w:t xml:space="preserve"> Decoding Food Spoilage: Microbial Culprits and Mechanisms. Biotech Miracles: Harnessing the Power of Microbes, 107.</w:t>
      </w:r>
    </w:p>
    <w:p w14:paraId="1FC85EE8" w14:textId="77777777" w:rsidR="00EC3CCF" w:rsidRPr="00EC3CCF" w:rsidRDefault="00EC3CCF" w:rsidP="00EC3CCF">
      <w:pPr>
        <w:pStyle w:val="Appendix"/>
        <w:jc w:val="both"/>
        <w:rPr>
          <w:b w:val="0"/>
          <w:caps w:val="0"/>
          <w:sz w:val="20"/>
        </w:rPr>
      </w:pPr>
      <w:r w:rsidRPr="00EC3CCF">
        <w:rPr>
          <w:b w:val="0"/>
          <w:caps w:val="0"/>
          <w:sz w:val="20"/>
        </w:rPr>
        <w:t>Bai, Y., Miao, Z., Yan, R., Wang, X., Cheng, Z., Yang, J., ... &amp; Sun, B. (2024). Daqu regulates the balance of saccharification and alcoholic fermentation to promote Chinese baijiu fermentation. Food Bioscience, 61, 104723.</w:t>
      </w:r>
    </w:p>
    <w:p w14:paraId="64EDAB2B" w14:textId="77777777" w:rsidR="00EC3CCF" w:rsidRPr="00EC3CCF" w:rsidRDefault="00EC3CCF" w:rsidP="00EC3CCF">
      <w:pPr>
        <w:pStyle w:val="Appendix"/>
        <w:jc w:val="both"/>
        <w:rPr>
          <w:b w:val="0"/>
          <w:caps w:val="0"/>
          <w:sz w:val="20"/>
        </w:rPr>
      </w:pPr>
      <w:r w:rsidRPr="00EC3CCF">
        <w:rPr>
          <w:b w:val="0"/>
          <w:caps w:val="0"/>
          <w:sz w:val="20"/>
        </w:rPr>
        <w:t>Chen, X., Li, H., Qiu, F., Niu, J., Ali, A., Zhu, L., ... &amp; Sun, B. (2025). Impact of secondary temperature rise on microbial succession and flavor compounds in strong-flavor baijiu fermentation. Food Research International, 116594.</w:t>
      </w:r>
    </w:p>
    <w:p w14:paraId="0CCC7601" w14:textId="77777777" w:rsidR="00EC3CCF" w:rsidRPr="00EC3CCF" w:rsidRDefault="00EC3CCF" w:rsidP="00EC3CCF">
      <w:pPr>
        <w:pStyle w:val="Appendix"/>
        <w:jc w:val="both"/>
        <w:rPr>
          <w:b w:val="0"/>
          <w:caps w:val="0"/>
          <w:sz w:val="20"/>
        </w:rPr>
      </w:pPr>
      <w:r w:rsidRPr="00EC3CCF">
        <w:rPr>
          <w:b w:val="0"/>
          <w:caps w:val="0"/>
          <w:sz w:val="20"/>
        </w:rPr>
        <w:t>Cui, M., Hou, Q., Wang, Y., Zhao, X., Xin, C., Xu, L., &amp; Guo, Z. (2025). High-temperature Daqu of different colors from the Zibo region of China: Analysis of microbial community structure, physicochemical characteristics, and enzymatic activities. World Journal of Microbiology and Biotechnology, 41(10), 382.</w:t>
      </w:r>
    </w:p>
    <w:p w14:paraId="1AD7AEA0" w14:textId="77777777" w:rsidR="00EC3CCF" w:rsidRPr="00EC3CCF" w:rsidRDefault="00EC3CCF" w:rsidP="00EC3CCF">
      <w:pPr>
        <w:pStyle w:val="Appendix"/>
        <w:jc w:val="both"/>
        <w:rPr>
          <w:b w:val="0"/>
          <w:caps w:val="0"/>
          <w:sz w:val="20"/>
        </w:rPr>
      </w:pPr>
      <w:r w:rsidRPr="00EC3CCF">
        <w:rPr>
          <w:b w:val="0"/>
          <w:caps w:val="0"/>
          <w:sz w:val="20"/>
        </w:rPr>
        <w:t>Deng, L., Mao, X., Liu, D., Ning, X. Q., Shen, Y., Chen, B., ... &amp; Luo, H. B. (2020). Comparative analysis of physicochemical properties and microbial composition in high-temperature Daqu with different colors. Frontiers in microbiology, 11, 588117.</w:t>
      </w:r>
    </w:p>
    <w:p w14:paraId="5F52F4AF" w14:textId="77777777" w:rsidR="00EC3CCF" w:rsidRPr="00EC3CCF" w:rsidRDefault="00EC3CCF" w:rsidP="00EC3CCF">
      <w:pPr>
        <w:pStyle w:val="Appendix"/>
        <w:jc w:val="both"/>
        <w:rPr>
          <w:b w:val="0"/>
          <w:caps w:val="0"/>
          <w:sz w:val="20"/>
        </w:rPr>
      </w:pPr>
      <w:r w:rsidRPr="00EC3CCF">
        <w:rPr>
          <w:b w:val="0"/>
          <w:caps w:val="0"/>
          <w:sz w:val="20"/>
        </w:rPr>
        <w:t>Feng, S., Xiang, S., Bian, X., &amp; Li, G. (2020). Quantitative analysis of total acidity in aqueous lactic acid solutions by direct potentiometric titration. Microchemical Journal, 157, 105049.</w:t>
      </w:r>
    </w:p>
    <w:p w14:paraId="0C81BF22" w14:textId="77777777" w:rsidR="00EC3CCF" w:rsidRPr="00EC3CCF" w:rsidRDefault="00EC3CCF" w:rsidP="00EC3CCF">
      <w:pPr>
        <w:pStyle w:val="Appendix"/>
        <w:jc w:val="both"/>
        <w:rPr>
          <w:b w:val="0"/>
          <w:caps w:val="0"/>
          <w:sz w:val="20"/>
        </w:rPr>
      </w:pPr>
      <w:r w:rsidRPr="00EC3CCF">
        <w:rPr>
          <w:b w:val="0"/>
          <w:caps w:val="0"/>
          <w:sz w:val="20"/>
        </w:rPr>
        <w:t>Gao, W., Yang, R., Li, M., Miao, M., &amp; Zhang, T. (2025). A novel thermophilic α-</w:t>
      </w:r>
      <w:r w:rsidRPr="005F4DF1">
        <w:rPr>
          <w:b w:val="0"/>
          <w:i/>
          <w:iCs/>
          <w:caps w:val="0"/>
          <w:sz w:val="20"/>
        </w:rPr>
        <w:t>glucan</w:t>
      </w:r>
      <w:r w:rsidRPr="00EC3CCF">
        <w:rPr>
          <w:b w:val="0"/>
          <w:caps w:val="0"/>
          <w:sz w:val="20"/>
        </w:rPr>
        <w:t xml:space="preserve"> phosphorylase enables molecular weight-tunable amylose biosynthesis from cellobiose via a dual-enzyme cascade system. Food Bioscience, 107772.</w:t>
      </w:r>
    </w:p>
    <w:p w14:paraId="688E41DB" w14:textId="77777777" w:rsidR="00EC3CCF" w:rsidRPr="00EC3CCF" w:rsidRDefault="00EC3CCF" w:rsidP="00EC3CCF">
      <w:pPr>
        <w:pStyle w:val="Appendix"/>
        <w:jc w:val="both"/>
        <w:rPr>
          <w:b w:val="0"/>
          <w:caps w:val="0"/>
          <w:sz w:val="20"/>
        </w:rPr>
      </w:pPr>
      <w:r w:rsidRPr="00EC3CCF">
        <w:rPr>
          <w:b w:val="0"/>
          <w:caps w:val="0"/>
          <w:sz w:val="20"/>
        </w:rPr>
        <w:t>Gou, C., Wang, X., Yu, Y., Huang, J., Wang, X., &amp; Hui, M. (2024). One-step enzymatic hydrolysis of sweet potato residue after gelatinization for bioethanol production by Saccharomyces cerevisiae. Biomass Conversion and Biorefinery, 14(14), 15853-15862.</w:t>
      </w:r>
    </w:p>
    <w:p w14:paraId="34816BD7" w14:textId="77777777" w:rsidR="00EC3CCF" w:rsidRPr="00EC3CCF" w:rsidRDefault="00EC3CCF" w:rsidP="00EC3CCF">
      <w:pPr>
        <w:pStyle w:val="Appendix"/>
        <w:jc w:val="both"/>
        <w:rPr>
          <w:b w:val="0"/>
          <w:caps w:val="0"/>
          <w:sz w:val="20"/>
        </w:rPr>
      </w:pPr>
      <w:r w:rsidRPr="00EC3CCF">
        <w:rPr>
          <w:b w:val="0"/>
          <w:caps w:val="0"/>
          <w:sz w:val="20"/>
        </w:rPr>
        <w:t xml:space="preserve">He, Y. X., Shi, W., Huang, T. C., Mei, J. L., Lu, Z. M., Zhang, X. J., ... &amp; Chai, L. J. (2024). Overproduction of organic acids affects the microbial community succession and flavor metabolism during Baijiu fermentation. </w:t>
      </w:r>
      <w:proofErr w:type="spellStart"/>
      <w:r w:rsidRPr="00EC3CCF">
        <w:rPr>
          <w:b w:val="0"/>
          <w:caps w:val="0"/>
          <w:sz w:val="20"/>
        </w:rPr>
        <w:t>Lwt</w:t>
      </w:r>
      <w:proofErr w:type="spellEnd"/>
      <w:r w:rsidRPr="00EC3CCF">
        <w:rPr>
          <w:b w:val="0"/>
          <w:caps w:val="0"/>
          <w:sz w:val="20"/>
        </w:rPr>
        <w:t>, 213, 117093.</w:t>
      </w:r>
    </w:p>
    <w:p w14:paraId="6412E58E" w14:textId="77777777" w:rsidR="00EC3CCF" w:rsidRPr="00EC3CCF" w:rsidRDefault="00EC3CCF" w:rsidP="00EC3CCF">
      <w:pPr>
        <w:pStyle w:val="Appendix"/>
        <w:jc w:val="both"/>
        <w:rPr>
          <w:b w:val="0"/>
          <w:caps w:val="0"/>
          <w:sz w:val="20"/>
        </w:rPr>
      </w:pPr>
      <w:r w:rsidRPr="00EC3CCF">
        <w:rPr>
          <w:b w:val="0"/>
          <w:caps w:val="0"/>
          <w:sz w:val="20"/>
        </w:rPr>
        <w:t>Jiang, X., Peng, Z., Zhu, Q., Zheng, T., Liu, X., Yang, J., ... &amp; Li, J. (2023). Exploration of seasonal fermentation differences and the possibility of flavor substances as regulatory factors in Daqu. Food Research International, 168, 112686.</w:t>
      </w:r>
    </w:p>
    <w:p w14:paraId="43FD593E" w14:textId="77777777" w:rsidR="00EC3CCF" w:rsidRPr="00EC3CCF" w:rsidRDefault="00EC3CCF" w:rsidP="00EC3CCF">
      <w:pPr>
        <w:pStyle w:val="Appendix"/>
        <w:jc w:val="both"/>
        <w:rPr>
          <w:b w:val="0"/>
          <w:caps w:val="0"/>
          <w:sz w:val="20"/>
        </w:rPr>
      </w:pPr>
      <w:r w:rsidRPr="00EC3CCF">
        <w:rPr>
          <w:b w:val="0"/>
          <w:caps w:val="0"/>
          <w:sz w:val="20"/>
        </w:rPr>
        <w:t>Jaiswal, N., &amp; Jaiswal, P. (2024). Thermostable α-</w:t>
      </w:r>
      <w:r w:rsidRPr="005F4DF1">
        <w:rPr>
          <w:b w:val="0"/>
          <w:i/>
          <w:iCs/>
          <w:caps w:val="0"/>
          <w:sz w:val="20"/>
        </w:rPr>
        <w:t>amylases</w:t>
      </w:r>
      <w:r w:rsidRPr="00EC3CCF">
        <w:rPr>
          <w:b w:val="0"/>
          <w:caps w:val="0"/>
          <w:sz w:val="20"/>
        </w:rPr>
        <w:t xml:space="preserve"> and </w:t>
      </w:r>
      <w:r w:rsidRPr="005F4DF1">
        <w:rPr>
          <w:b w:val="0"/>
          <w:i/>
          <w:iCs/>
          <w:caps w:val="0"/>
          <w:sz w:val="20"/>
        </w:rPr>
        <w:t>laccases</w:t>
      </w:r>
      <w:r w:rsidRPr="00EC3CCF">
        <w:rPr>
          <w:b w:val="0"/>
          <w:caps w:val="0"/>
          <w:sz w:val="20"/>
        </w:rPr>
        <w:t>: paving the way for sustainable industrial applications. Processes, 12(7), 1341.</w:t>
      </w:r>
    </w:p>
    <w:p w14:paraId="69558580" w14:textId="77777777" w:rsidR="00EC3CCF" w:rsidRPr="00EC3CCF" w:rsidRDefault="00EC3CCF" w:rsidP="00EC3CCF">
      <w:pPr>
        <w:pStyle w:val="Appendix"/>
        <w:jc w:val="both"/>
        <w:rPr>
          <w:b w:val="0"/>
          <w:caps w:val="0"/>
          <w:sz w:val="20"/>
        </w:rPr>
      </w:pPr>
      <w:r w:rsidRPr="00EC3CCF">
        <w:rPr>
          <w:b w:val="0"/>
          <w:caps w:val="0"/>
          <w:sz w:val="20"/>
        </w:rPr>
        <w:t>Li, X., Wei, X., Zhu, X., Shen, C., &amp; Yang, C. (2019). Dynamics of microbial community and changes of metabolites during the fermentation process of traditional Chinese liquor using different Daqu as starters. Food Research International, 121, 571-582.</w:t>
      </w:r>
    </w:p>
    <w:p w14:paraId="10EF6182" w14:textId="77777777" w:rsidR="00EC3CCF" w:rsidRPr="00EC3CCF" w:rsidRDefault="00EC3CCF" w:rsidP="00EC3CCF">
      <w:pPr>
        <w:pStyle w:val="Appendix"/>
        <w:jc w:val="both"/>
        <w:rPr>
          <w:b w:val="0"/>
          <w:caps w:val="0"/>
          <w:sz w:val="20"/>
        </w:rPr>
      </w:pPr>
      <w:r w:rsidRPr="00EC3CCF">
        <w:rPr>
          <w:b w:val="0"/>
          <w:caps w:val="0"/>
          <w:sz w:val="20"/>
        </w:rPr>
        <w:t>Li, J., Zhang, Q., &amp; Sun, B. (2023). Chinese Baijiu and Whisky: Research reservoirs for flavor and functional food. Foods, 12(15), 2841.</w:t>
      </w:r>
    </w:p>
    <w:p w14:paraId="4A7C822E" w14:textId="77777777" w:rsidR="00EC3CCF" w:rsidRPr="00EC3CCF" w:rsidRDefault="00EC3CCF" w:rsidP="00EC3CCF">
      <w:pPr>
        <w:pStyle w:val="Appendix"/>
        <w:jc w:val="both"/>
        <w:rPr>
          <w:b w:val="0"/>
          <w:caps w:val="0"/>
          <w:sz w:val="20"/>
        </w:rPr>
      </w:pPr>
      <w:r w:rsidRPr="00EC3CCF">
        <w:rPr>
          <w:b w:val="0"/>
          <w:caps w:val="0"/>
          <w:sz w:val="20"/>
        </w:rPr>
        <w:t>Li, H., Liu, S., Liu, Y., Hui, M., &amp; Pan, C. (2023). Functional microorganisms in Baijiu Daqu: Research progress and fortification strategy for application. Frontiers in Microbiology, 14, 1119675.</w:t>
      </w:r>
    </w:p>
    <w:p w14:paraId="259B0344" w14:textId="77777777" w:rsidR="00EC3CCF" w:rsidRPr="00EC3CCF" w:rsidRDefault="00EC3CCF" w:rsidP="00EC3CCF">
      <w:pPr>
        <w:pStyle w:val="Appendix"/>
        <w:jc w:val="both"/>
        <w:rPr>
          <w:b w:val="0"/>
          <w:caps w:val="0"/>
          <w:sz w:val="20"/>
        </w:rPr>
      </w:pPr>
      <w:r w:rsidRPr="00EC3CCF">
        <w:rPr>
          <w:b w:val="0"/>
          <w:caps w:val="0"/>
          <w:sz w:val="20"/>
        </w:rPr>
        <w:t>Li, Q., Zhang, L., Li, R., Tang, J., Lin, B., Qin, C., ... &amp; Chen, S. (2025). Metagenomics-based analysis of microbial community dynamics and flavor compound correlations during rice-flavor Baijiu brewing. Frontiers in Bioengineering and Biotechnology, 13, 1638716.</w:t>
      </w:r>
    </w:p>
    <w:p w14:paraId="46D91867" w14:textId="77777777" w:rsidR="00EC3CCF" w:rsidRPr="00EC3CCF" w:rsidRDefault="00EC3CCF" w:rsidP="00EC3CCF">
      <w:pPr>
        <w:pStyle w:val="Appendix"/>
        <w:jc w:val="both"/>
        <w:rPr>
          <w:b w:val="0"/>
          <w:caps w:val="0"/>
          <w:sz w:val="20"/>
        </w:rPr>
      </w:pPr>
      <w:r w:rsidRPr="00EC3CCF">
        <w:rPr>
          <w:b w:val="0"/>
          <w:caps w:val="0"/>
          <w:sz w:val="20"/>
        </w:rPr>
        <w:t xml:space="preserve">Li, Y., Liu, Y., Ji, Y., Xu, H., Wang, H., Feng, Y., &amp; Liu, L. (2025). Crystal Structure, Mutations, and Catalytic Properties of 3-Hexulose-6-phosphate Synthase from </w:t>
      </w:r>
      <w:proofErr w:type="spellStart"/>
      <w:r w:rsidRPr="005F4DF1">
        <w:rPr>
          <w:b w:val="0"/>
          <w:i/>
          <w:iCs/>
          <w:caps w:val="0"/>
          <w:sz w:val="20"/>
        </w:rPr>
        <w:t>Pyrococcus</w:t>
      </w:r>
      <w:proofErr w:type="spellEnd"/>
      <w:r w:rsidRPr="005F4DF1">
        <w:rPr>
          <w:b w:val="0"/>
          <w:i/>
          <w:iCs/>
          <w:caps w:val="0"/>
          <w:sz w:val="20"/>
        </w:rPr>
        <w:t xml:space="preserve"> </w:t>
      </w:r>
      <w:proofErr w:type="spellStart"/>
      <w:r w:rsidRPr="005F4DF1">
        <w:rPr>
          <w:b w:val="0"/>
          <w:i/>
          <w:iCs/>
          <w:caps w:val="0"/>
          <w:sz w:val="20"/>
        </w:rPr>
        <w:t>horikoshii</w:t>
      </w:r>
      <w:proofErr w:type="spellEnd"/>
      <w:r w:rsidRPr="00EC3CCF">
        <w:rPr>
          <w:b w:val="0"/>
          <w:caps w:val="0"/>
          <w:sz w:val="20"/>
        </w:rPr>
        <w:t>. Journal of Agricultural and Food Chemistry.</w:t>
      </w:r>
    </w:p>
    <w:p w14:paraId="1189F2F3" w14:textId="77777777" w:rsidR="00EC3CCF" w:rsidRPr="00EC3CCF" w:rsidRDefault="00EC3CCF" w:rsidP="00EC3CCF">
      <w:pPr>
        <w:pStyle w:val="Appendix"/>
        <w:jc w:val="both"/>
        <w:rPr>
          <w:b w:val="0"/>
          <w:caps w:val="0"/>
          <w:sz w:val="20"/>
        </w:rPr>
      </w:pPr>
      <w:r w:rsidRPr="00EC3CCF">
        <w:rPr>
          <w:b w:val="0"/>
          <w:caps w:val="0"/>
          <w:sz w:val="20"/>
        </w:rPr>
        <w:t>Liu, S., Sun, H., Ma, G., Zhang, T., Wang, L., Pei, H., ... &amp; Gao, L. (2022). Insights into flavor and key influencing factors of Maillard reaction products: A recent update. Frontiers in Nutrition, 9, 973677.</w:t>
      </w:r>
    </w:p>
    <w:p w14:paraId="743A0B59" w14:textId="00401174" w:rsidR="00EC3CCF" w:rsidRPr="00EC3CCF" w:rsidRDefault="00EC3CCF" w:rsidP="00EC3CCF">
      <w:pPr>
        <w:pStyle w:val="Appendix"/>
        <w:jc w:val="both"/>
        <w:rPr>
          <w:b w:val="0"/>
          <w:caps w:val="0"/>
          <w:sz w:val="20"/>
        </w:rPr>
      </w:pPr>
      <w:r w:rsidRPr="00EC3CCF">
        <w:rPr>
          <w:b w:val="0"/>
          <w:caps w:val="0"/>
          <w:sz w:val="20"/>
        </w:rPr>
        <w:lastRenderedPageBreak/>
        <w:t xml:space="preserve">Liu, J., </w:t>
      </w:r>
      <w:proofErr w:type="spellStart"/>
      <w:r w:rsidRPr="00EC3CCF">
        <w:rPr>
          <w:b w:val="0"/>
          <w:caps w:val="0"/>
          <w:sz w:val="20"/>
        </w:rPr>
        <w:t>Chitrakar</w:t>
      </w:r>
      <w:proofErr w:type="spellEnd"/>
      <w:r w:rsidRPr="00EC3CCF">
        <w:rPr>
          <w:b w:val="0"/>
          <w:caps w:val="0"/>
          <w:sz w:val="20"/>
        </w:rPr>
        <w:t>, B., Zhang, C., Wei, B., Wang, B., Sun, Q., ... &amp; Xu, B. (2025). Synergistic modification of multi-frequency power ultrasound and rose polyphenols on physicochemical, structural</w:t>
      </w:r>
      <w:r w:rsidR="001437EA">
        <w:rPr>
          <w:b w:val="0"/>
          <w:caps w:val="0"/>
          <w:sz w:val="20"/>
        </w:rPr>
        <w:t>,</w:t>
      </w:r>
      <w:r w:rsidRPr="00EC3CCF">
        <w:rPr>
          <w:b w:val="0"/>
          <w:caps w:val="0"/>
          <w:sz w:val="20"/>
        </w:rPr>
        <w:t xml:space="preserve"> and digestion behavior of high amylose corn starch. International Journal of Biological Macromolecules, 145881.</w:t>
      </w:r>
    </w:p>
    <w:p w14:paraId="71D24293" w14:textId="77777777" w:rsidR="00EC3CCF" w:rsidRPr="00EC3CCF" w:rsidRDefault="00EC3CCF" w:rsidP="00EC3CCF">
      <w:pPr>
        <w:pStyle w:val="Appendix"/>
        <w:jc w:val="both"/>
        <w:rPr>
          <w:b w:val="0"/>
          <w:caps w:val="0"/>
          <w:sz w:val="20"/>
        </w:rPr>
      </w:pPr>
      <w:r w:rsidRPr="00EC3CCF">
        <w:rPr>
          <w:b w:val="0"/>
          <w:caps w:val="0"/>
          <w:sz w:val="20"/>
        </w:rPr>
        <w:t xml:space="preserve">Sitio, S. E., </w:t>
      </w:r>
      <w:proofErr w:type="spellStart"/>
      <w:r w:rsidRPr="00EC3CCF">
        <w:rPr>
          <w:b w:val="0"/>
          <w:caps w:val="0"/>
          <w:sz w:val="20"/>
        </w:rPr>
        <w:t>Nurlaili</w:t>
      </w:r>
      <w:proofErr w:type="spellEnd"/>
      <w:r w:rsidRPr="00EC3CCF">
        <w:rPr>
          <w:b w:val="0"/>
          <w:caps w:val="0"/>
          <w:sz w:val="20"/>
        </w:rPr>
        <w:t xml:space="preserve">, F. D., </w:t>
      </w:r>
      <w:proofErr w:type="spellStart"/>
      <w:r w:rsidRPr="00EC3CCF">
        <w:rPr>
          <w:b w:val="0"/>
          <w:caps w:val="0"/>
          <w:sz w:val="20"/>
        </w:rPr>
        <w:t>Shalihin</w:t>
      </w:r>
      <w:proofErr w:type="spellEnd"/>
      <w:r w:rsidRPr="00EC3CCF">
        <w:rPr>
          <w:b w:val="0"/>
          <w:caps w:val="0"/>
          <w:sz w:val="20"/>
        </w:rPr>
        <w:t xml:space="preserve">, M. Z. R., Amalia, R., &amp; Paramita, V. (2024). Optimization of Sorghum Starch (Sorghum bicolor L.) Partial Hydrolysis using Microwave-Assisted Acetic Acid Catalyst. </w:t>
      </w:r>
      <w:proofErr w:type="spellStart"/>
      <w:r w:rsidRPr="00EC3CCF">
        <w:rPr>
          <w:b w:val="0"/>
          <w:caps w:val="0"/>
          <w:sz w:val="20"/>
        </w:rPr>
        <w:t>AgriTECH</w:t>
      </w:r>
      <w:proofErr w:type="spellEnd"/>
      <w:r w:rsidRPr="00EC3CCF">
        <w:rPr>
          <w:b w:val="0"/>
          <w:caps w:val="0"/>
          <w:sz w:val="20"/>
        </w:rPr>
        <w:t>, 44(2), 173-179.</w:t>
      </w:r>
    </w:p>
    <w:p w14:paraId="2A50FB50" w14:textId="44CE7857" w:rsidR="00EC3CCF" w:rsidRPr="00EC3CCF" w:rsidRDefault="00EC3CCF" w:rsidP="00EC3CCF">
      <w:pPr>
        <w:pStyle w:val="Appendix"/>
        <w:jc w:val="both"/>
        <w:rPr>
          <w:b w:val="0"/>
          <w:caps w:val="0"/>
          <w:sz w:val="20"/>
        </w:rPr>
      </w:pPr>
      <w:r w:rsidRPr="00EC3CCF">
        <w:rPr>
          <w:b w:val="0"/>
          <w:caps w:val="0"/>
          <w:sz w:val="20"/>
        </w:rPr>
        <w:t xml:space="preserve">Song, C., Bi, C., Ma, C., Shi, J., Meng, Q., Li, J., ... &amp; Shan, A. (2025). Lactic acid </w:t>
      </w:r>
      <w:r w:rsidR="001437EA">
        <w:rPr>
          <w:b w:val="0"/>
          <w:caps w:val="0"/>
          <w:sz w:val="20"/>
        </w:rPr>
        <w:t>bacteria's</w:t>
      </w:r>
      <w:r w:rsidR="001437EA" w:rsidRPr="00EC3CCF">
        <w:rPr>
          <w:b w:val="0"/>
          <w:caps w:val="0"/>
          <w:sz w:val="20"/>
        </w:rPr>
        <w:t xml:space="preserve"> </w:t>
      </w:r>
      <w:r w:rsidRPr="00EC3CCF">
        <w:rPr>
          <w:b w:val="0"/>
          <w:caps w:val="0"/>
          <w:sz w:val="20"/>
        </w:rPr>
        <w:t>mechanism of protein degradation in anaerobic co-fermentation of cabbage waste with wheat bran. Chemical Engineering Journal, 507, 160738.</w:t>
      </w:r>
    </w:p>
    <w:p w14:paraId="7FC5F3EA" w14:textId="77777777" w:rsidR="00EC3CCF" w:rsidRPr="00EC3CCF" w:rsidRDefault="00EC3CCF" w:rsidP="00EC3CCF">
      <w:pPr>
        <w:pStyle w:val="Appendix"/>
        <w:jc w:val="both"/>
        <w:rPr>
          <w:b w:val="0"/>
          <w:caps w:val="0"/>
          <w:sz w:val="20"/>
        </w:rPr>
      </w:pPr>
      <w:r w:rsidRPr="00EC3CCF">
        <w:rPr>
          <w:b w:val="0"/>
          <w:caps w:val="0"/>
          <w:sz w:val="20"/>
        </w:rPr>
        <w:t>Wang, H., Zhang, C., Li, X., &amp; Liu, Y. (2019). Effects of different types of Daqu on the characteristics of fermentation microorganisms and flavor compounds of Chinese strong-flavor liquor. Food Research International, 115, 88-97.</w:t>
      </w:r>
    </w:p>
    <w:p w14:paraId="682B5FA0" w14:textId="77777777" w:rsidR="00EC3CCF" w:rsidRPr="00EC3CCF" w:rsidRDefault="00EC3CCF" w:rsidP="00EC3CCF">
      <w:pPr>
        <w:pStyle w:val="Appendix"/>
        <w:jc w:val="both"/>
        <w:rPr>
          <w:b w:val="0"/>
          <w:caps w:val="0"/>
          <w:sz w:val="20"/>
        </w:rPr>
      </w:pPr>
      <w:r w:rsidRPr="00EC3CCF">
        <w:rPr>
          <w:b w:val="0"/>
          <w:caps w:val="0"/>
          <w:sz w:val="20"/>
        </w:rPr>
        <w:t xml:space="preserve">Wang, Y., Cai, W., Wang, W., Shu, N., Zhang, Z., Hou, Q., Shan, C., &amp; Guo, Z. (2020). Analysis of microbial diversity and functional differences in different types of high-temperature Daqu. Food science &amp; nutrition, 9(2), 1003–1016. https://doi.org/10.1002/fsn3.2068 </w:t>
      </w:r>
    </w:p>
    <w:p w14:paraId="630074A2" w14:textId="77777777" w:rsidR="00EC3CCF" w:rsidRPr="00EC3CCF" w:rsidRDefault="00EC3CCF" w:rsidP="00EC3CCF">
      <w:pPr>
        <w:pStyle w:val="Appendix"/>
        <w:jc w:val="both"/>
        <w:rPr>
          <w:b w:val="0"/>
          <w:caps w:val="0"/>
          <w:sz w:val="20"/>
        </w:rPr>
      </w:pPr>
      <w:r w:rsidRPr="00EC3CCF">
        <w:rPr>
          <w:b w:val="0"/>
          <w:caps w:val="0"/>
          <w:sz w:val="20"/>
        </w:rPr>
        <w:t xml:space="preserve">Wang, Y., Cao, W., Zhu, T., Li, J., Nussipov, D., </w:t>
      </w:r>
      <w:proofErr w:type="spellStart"/>
      <w:r w:rsidRPr="00EC3CCF">
        <w:rPr>
          <w:b w:val="0"/>
          <w:caps w:val="0"/>
          <w:sz w:val="20"/>
        </w:rPr>
        <w:t>Tastambek</w:t>
      </w:r>
      <w:proofErr w:type="spellEnd"/>
      <w:r w:rsidRPr="00EC3CCF">
        <w:rPr>
          <w:b w:val="0"/>
          <w:caps w:val="0"/>
          <w:sz w:val="20"/>
        </w:rPr>
        <w:t xml:space="preserve">, K., &amp; Liu, X. (2025). The mechanism underlying lignite biodegradation by </w:t>
      </w:r>
      <w:proofErr w:type="spellStart"/>
      <w:r w:rsidRPr="00EC3CCF">
        <w:rPr>
          <w:b w:val="0"/>
          <w:caps w:val="0"/>
          <w:sz w:val="20"/>
        </w:rPr>
        <w:t>Cupriavidus</w:t>
      </w:r>
      <w:proofErr w:type="spellEnd"/>
      <w:r w:rsidRPr="00EC3CCF">
        <w:rPr>
          <w:b w:val="0"/>
          <w:caps w:val="0"/>
          <w:sz w:val="20"/>
        </w:rPr>
        <w:t xml:space="preserve"> </w:t>
      </w:r>
      <w:proofErr w:type="spellStart"/>
      <w:r w:rsidRPr="00EC3CCF">
        <w:rPr>
          <w:b w:val="0"/>
          <w:caps w:val="0"/>
          <w:sz w:val="20"/>
        </w:rPr>
        <w:t>sp</w:t>
      </w:r>
      <w:proofErr w:type="spellEnd"/>
      <w:r w:rsidRPr="00EC3CCF">
        <w:rPr>
          <w:b w:val="0"/>
          <w:caps w:val="0"/>
          <w:sz w:val="20"/>
        </w:rPr>
        <w:t xml:space="preserve"> isolated from sludge. Biodegradation, 36(5), 1-19.</w:t>
      </w:r>
    </w:p>
    <w:p w14:paraId="23876031" w14:textId="77777777" w:rsidR="00EC3CCF" w:rsidRPr="00EC3CCF" w:rsidRDefault="00EC3CCF" w:rsidP="00EC3CCF">
      <w:pPr>
        <w:pStyle w:val="Appendix"/>
        <w:jc w:val="both"/>
        <w:rPr>
          <w:b w:val="0"/>
          <w:caps w:val="0"/>
          <w:sz w:val="20"/>
        </w:rPr>
      </w:pPr>
      <w:r w:rsidRPr="00EC3CCF">
        <w:rPr>
          <w:b w:val="0"/>
          <w:caps w:val="0"/>
          <w:sz w:val="20"/>
        </w:rPr>
        <w:t>Wang, L., Li, D., Ye, L., Zhi, C., Zhang, T., &amp; Miao, M. (2025). Structure and functionality of micronized maize starch differing in amylose content. Food Chemistry, 145534.</w:t>
      </w:r>
    </w:p>
    <w:p w14:paraId="1B81FC83" w14:textId="77777777" w:rsidR="00EC3CCF" w:rsidRPr="00EC3CCF" w:rsidRDefault="00EC3CCF" w:rsidP="00EC3CCF">
      <w:pPr>
        <w:pStyle w:val="Appendix"/>
        <w:jc w:val="both"/>
        <w:rPr>
          <w:b w:val="0"/>
          <w:caps w:val="0"/>
          <w:sz w:val="20"/>
        </w:rPr>
      </w:pPr>
      <w:r w:rsidRPr="00EC3CCF">
        <w:rPr>
          <w:b w:val="0"/>
          <w:caps w:val="0"/>
          <w:sz w:val="20"/>
        </w:rPr>
        <w:t>Wu, L., Yan, M., Huang, X., Liao, H., Bao, D., Ge, Y., ... &amp; Xia, X. (2025). Temperature-mediated shift from competitive to facilitative interactions between lactic acid bacteria and Bacillus species in Daqu fermentation: insights from metagenomics, dual RNA-seq, and coculture analysis. International Journal of Food Microbiology, 111352.</w:t>
      </w:r>
    </w:p>
    <w:p w14:paraId="64C0F6B8" w14:textId="3FEB7AD8" w:rsidR="00EC3CCF" w:rsidRPr="00EC3CCF" w:rsidRDefault="00EC3CCF" w:rsidP="00EC3CCF">
      <w:pPr>
        <w:pStyle w:val="Appendix"/>
        <w:jc w:val="both"/>
        <w:rPr>
          <w:b w:val="0"/>
          <w:caps w:val="0"/>
          <w:sz w:val="20"/>
        </w:rPr>
      </w:pPr>
      <w:r w:rsidRPr="00EC3CCF">
        <w:rPr>
          <w:b w:val="0"/>
          <w:caps w:val="0"/>
          <w:sz w:val="20"/>
        </w:rPr>
        <w:t xml:space="preserve">Xia, Y., Luo, H., Wu, Z., &amp; Zhang, W. (2023). Microbial diversity in </w:t>
      </w:r>
      <w:proofErr w:type="spellStart"/>
      <w:r w:rsidRPr="00EC3CCF">
        <w:rPr>
          <w:b w:val="0"/>
          <w:caps w:val="0"/>
          <w:sz w:val="20"/>
        </w:rPr>
        <w:t>jiuqu</w:t>
      </w:r>
      <w:proofErr w:type="spellEnd"/>
      <w:r w:rsidRPr="00EC3CCF">
        <w:rPr>
          <w:b w:val="0"/>
          <w:caps w:val="0"/>
          <w:sz w:val="20"/>
        </w:rPr>
        <w:t xml:space="preserve"> and its fermentation features: saccharification, alcohol fermentation</w:t>
      </w:r>
      <w:r w:rsidR="001437EA">
        <w:rPr>
          <w:b w:val="0"/>
          <w:caps w:val="0"/>
          <w:sz w:val="20"/>
        </w:rPr>
        <w:t>,</w:t>
      </w:r>
      <w:r w:rsidRPr="00EC3CCF">
        <w:rPr>
          <w:b w:val="0"/>
          <w:caps w:val="0"/>
          <w:sz w:val="20"/>
        </w:rPr>
        <w:t xml:space="preserve"> and </w:t>
      </w:r>
      <w:r w:rsidR="001437EA">
        <w:rPr>
          <w:b w:val="0"/>
          <w:caps w:val="0"/>
          <w:sz w:val="20"/>
        </w:rPr>
        <w:t>flavor</w:t>
      </w:r>
      <w:r w:rsidR="001437EA" w:rsidRPr="00EC3CCF">
        <w:rPr>
          <w:b w:val="0"/>
          <w:caps w:val="0"/>
          <w:sz w:val="20"/>
        </w:rPr>
        <w:t xml:space="preserve"> </w:t>
      </w:r>
      <w:r w:rsidRPr="00EC3CCF">
        <w:rPr>
          <w:b w:val="0"/>
          <w:caps w:val="0"/>
          <w:sz w:val="20"/>
        </w:rPr>
        <w:t>generation. Applied microbiology and biotechnology, 107(1), 25-41.</w:t>
      </w:r>
    </w:p>
    <w:p w14:paraId="59C5D579" w14:textId="77777777" w:rsidR="00EC3CCF" w:rsidRPr="00EC3CCF" w:rsidRDefault="00EC3CCF" w:rsidP="00EC3CCF">
      <w:pPr>
        <w:pStyle w:val="Appendix"/>
        <w:jc w:val="both"/>
        <w:rPr>
          <w:b w:val="0"/>
          <w:caps w:val="0"/>
          <w:sz w:val="20"/>
        </w:rPr>
      </w:pPr>
      <w:r w:rsidRPr="00EC3CCF">
        <w:rPr>
          <w:b w:val="0"/>
          <w:caps w:val="0"/>
          <w:sz w:val="20"/>
        </w:rPr>
        <w:t>Zhang, C., Li, X., &amp; Xu, X. (2018). High-throughput sequencing reveals microbial community diversity of Tibetan naturally fermented yak milk. Annals of Microbiology, 68(9), 557-566.</w:t>
      </w:r>
    </w:p>
    <w:p w14:paraId="159B5AA0" w14:textId="77777777" w:rsidR="00EC3CCF" w:rsidRPr="00EC3CCF" w:rsidRDefault="00EC3CCF" w:rsidP="00EC3CCF">
      <w:pPr>
        <w:pStyle w:val="Appendix"/>
        <w:jc w:val="both"/>
        <w:rPr>
          <w:b w:val="0"/>
          <w:caps w:val="0"/>
          <w:sz w:val="20"/>
        </w:rPr>
      </w:pPr>
      <w:r w:rsidRPr="00EC3CCF">
        <w:rPr>
          <w:b w:val="0"/>
          <w:caps w:val="0"/>
          <w:sz w:val="20"/>
        </w:rPr>
        <w:t>Zhang, Z., Ran, X., Guo, Z., Hou, Q., Qu, D., Wang, C., ... &amp; Wang, Y. (2025). Microbial diversity, functional properties, and flavor characteristics of high-temperature Daqu with different colors. Food Research International, 116406.</w:t>
      </w:r>
    </w:p>
    <w:p w14:paraId="03F07389" w14:textId="77777777" w:rsidR="00EC3CCF" w:rsidRPr="00EC3CCF" w:rsidRDefault="00EC3CCF" w:rsidP="00EC3CCF">
      <w:pPr>
        <w:pStyle w:val="Appendix"/>
        <w:jc w:val="both"/>
        <w:rPr>
          <w:b w:val="0"/>
          <w:caps w:val="0"/>
          <w:sz w:val="20"/>
        </w:rPr>
      </w:pPr>
      <w:r w:rsidRPr="00EC3CCF">
        <w:rPr>
          <w:b w:val="0"/>
          <w:caps w:val="0"/>
          <w:sz w:val="20"/>
        </w:rPr>
        <w:t>Zhang, T., Tian, D., Song, W. Y., Tan, J., Ning, Y. N., Zhao, Y. H., ... &amp; Zhao, S. (2025). Discovery, Expression, Modification, and Application of Raw Starch-Degrading Enzymes: Current Status and Future Perspectives. Journal of Agricultural and Food Chemistry.</w:t>
      </w:r>
    </w:p>
    <w:p w14:paraId="3A8D0638" w14:textId="77777777" w:rsidR="00EC3CCF" w:rsidRPr="00EC3CCF" w:rsidRDefault="00EC3CCF" w:rsidP="00EC3CCF">
      <w:pPr>
        <w:pStyle w:val="Appendix"/>
        <w:jc w:val="both"/>
        <w:rPr>
          <w:b w:val="0"/>
          <w:caps w:val="0"/>
          <w:sz w:val="20"/>
        </w:rPr>
      </w:pPr>
      <w:r w:rsidRPr="00EC3CCF">
        <w:rPr>
          <w:b w:val="0"/>
          <w:caps w:val="0"/>
          <w:sz w:val="20"/>
        </w:rPr>
        <w:t xml:space="preserve">Zhao, Y., Han, Y., Cao, R., Xu, Y., &amp; Mu, X. (2025). </w:t>
      </w:r>
      <w:proofErr w:type="spellStart"/>
      <w:r w:rsidRPr="00EC3CCF">
        <w:rPr>
          <w:b w:val="0"/>
          <w:caps w:val="0"/>
          <w:sz w:val="20"/>
        </w:rPr>
        <w:t>Multiomics</w:t>
      </w:r>
      <w:proofErr w:type="spellEnd"/>
      <w:r w:rsidRPr="00EC3CCF">
        <w:rPr>
          <w:b w:val="0"/>
          <w:caps w:val="0"/>
          <w:sz w:val="20"/>
        </w:rPr>
        <w:t xml:space="preserve"> Insights into Microbiome Succession throughout Medium-Temperature Daqu Fermentation. ACS Food Science &amp; Technology, 5(3), 1193-1207.</w:t>
      </w:r>
    </w:p>
    <w:p w14:paraId="1C3808B1" w14:textId="47D4971F" w:rsidR="00B01FCD" w:rsidRPr="00FB3A86" w:rsidRDefault="00EC3CCF" w:rsidP="00EC3CCF">
      <w:pPr>
        <w:pStyle w:val="Appendix"/>
        <w:spacing w:after="0"/>
        <w:jc w:val="both"/>
        <w:rPr>
          <w:rFonts w:ascii="Arial" w:hAnsi="Arial" w:cs="Arial"/>
          <w:b w:val="0"/>
        </w:rPr>
      </w:pPr>
      <w:r w:rsidRPr="00EC3CCF">
        <w:rPr>
          <w:b w:val="0"/>
          <w:caps w:val="0"/>
          <w:sz w:val="20"/>
        </w:rPr>
        <w:t xml:space="preserve">Zong, E., Bo, T., Dang, L., Zhang, J., Li, H., </w:t>
      </w:r>
      <w:proofErr w:type="spellStart"/>
      <w:r w:rsidRPr="00EC3CCF">
        <w:rPr>
          <w:b w:val="0"/>
          <w:caps w:val="0"/>
          <w:sz w:val="20"/>
        </w:rPr>
        <w:t>Lv</w:t>
      </w:r>
      <w:proofErr w:type="spellEnd"/>
      <w:r w:rsidRPr="00EC3CCF">
        <w:rPr>
          <w:b w:val="0"/>
          <w:caps w:val="0"/>
          <w:sz w:val="20"/>
        </w:rPr>
        <w:t xml:space="preserve">, N., ... &amp; Fan, S. (2024). Different functions can be provided by </w:t>
      </w:r>
      <w:r w:rsidR="001437EA">
        <w:rPr>
          <w:b w:val="0"/>
          <w:caps w:val="0"/>
          <w:sz w:val="20"/>
        </w:rPr>
        <w:t>low-temperature</w:t>
      </w:r>
      <w:r w:rsidRPr="00EC3CCF">
        <w:rPr>
          <w:b w:val="0"/>
          <w:caps w:val="0"/>
          <w:sz w:val="20"/>
        </w:rPr>
        <w:t xml:space="preserve"> </w:t>
      </w:r>
      <w:proofErr w:type="spellStart"/>
      <w:r w:rsidRPr="00EC3CCF">
        <w:rPr>
          <w:b w:val="0"/>
          <w:caps w:val="0"/>
          <w:sz w:val="20"/>
        </w:rPr>
        <w:t>Daqu</w:t>
      </w:r>
      <w:proofErr w:type="spellEnd"/>
      <w:r w:rsidRPr="00EC3CCF">
        <w:rPr>
          <w:b w:val="0"/>
          <w:caps w:val="0"/>
          <w:sz w:val="20"/>
        </w:rPr>
        <w:t xml:space="preserve"> with different appearance features due to variations in the microbial community structure during fermentation. LWT, 193, 115763.</w:t>
      </w:r>
    </w:p>
    <w:sectPr w:rsidR="00B01FCD" w:rsidRPr="00FB3A86" w:rsidSect="00EB3409">
      <w:headerReference w:type="even" r:id="rId28"/>
      <w:headerReference w:type="default" r:id="rId29"/>
      <w:footerReference w:type="default" r:id="rId30"/>
      <w:headerReference w:type="first" r:id="rId3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5E05C" w14:textId="77777777" w:rsidR="00DB4705" w:rsidRDefault="00DB4705" w:rsidP="00C37E61">
      <w:r>
        <w:separator/>
      </w:r>
    </w:p>
  </w:endnote>
  <w:endnote w:type="continuationSeparator" w:id="0">
    <w:p w14:paraId="06190E07" w14:textId="77777777" w:rsidR="00DB4705" w:rsidRDefault="00DB470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FECCA" w14:textId="77777777" w:rsidR="00EB3409" w:rsidRDefault="00EB34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9FE2C" w14:textId="77777777" w:rsidR="00EB3409" w:rsidRDefault="00EB34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6D373" w14:textId="47774618" w:rsidR="00754C9A" w:rsidRPr="00EB3409" w:rsidRDefault="00754C9A" w:rsidP="00EB34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5454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CE789" w14:textId="77777777" w:rsidR="00DB4705" w:rsidRDefault="00DB4705" w:rsidP="00C37E61">
      <w:r>
        <w:separator/>
      </w:r>
    </w:p>
  </w:footnote>
  <w:footnote w:type="continuationSeparator" w:id="0">
    <w:p w14:paraId="594D764A" w14:textId="77777777" w:rsidR="00DB4705" w:rsidRDefault="00DB470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F9A68" w14:textId="728D89BB" w:rsidR="00EB3409" w:rsidRDefault="00DB4705">
    <w:pPr>
      <w:pStyle w:val="Header"/>
    </w:pPr>
    <w:r>
      <w:rPr>
        <w:noProof/>
      </w:rPr>
      <w:pict w14:anchorId="31B472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214297"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F98EC" w14:textId="28CA3D0A" w:rsidR="00EB3409" w:rsidRDefault="00DB4705">
    <w:pPr>
      <w:pStyle w:val="Header"/>
    </w:pPr>
    <w:r>
      <w:rPr>
        <w:noProof/>
      </w:rPr>
      <w:pict w14:anchorId="3D5960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214298"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4AE6A" w14:textId="2FA90F54" w:rsidR="00296529" w:rsidRPr="00296529" w:rsidRDefault="00DB4705" w:rsidP="00296529">
    <w:pPr>
      <w:ind w:left="2160"/>
      <w:jc w:val="center"/>
      <w:rPr>
        <w:rFonts w:ascii="Times New Roman" w:eastAsia="Calibri" w:hAnsi="Times New Roman"/>
        <w:i/>
        <w:sz w:val="18"/>
        <w:szCs w:val="22"/>
      </w:rPr>
    </w:pPr>
    <w:r>
      <w:rPr>
        <w:noProof/>
      </w:rPr>
      <w:pict w14:anchorId="0DFCA0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214296"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B73BA9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1CA723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E8CE21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DCAE0C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B1E0A4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A7C694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E7EDE" w14:textId="6BBDC6A7" w:rsidR="00EB3409" w:rsidRDefault="00DB4705">
    <w:pPr>
      <w:pStyle w:val="Header"/>
    </w:pPr>
    <w:r>
      <w:rPr>
        <w:noProof/>
      </w:rPr>
      <w:pict w14:anchorId="406E8A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214300"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B5D02" w14:textId="23607BBA" w:rsidR="00EB3409" w:rsidRDefault="00DB4705">
    <w:pPr>
      <w:pStyle w:val="Header"/>
    </w:pPr>
    <w:r>
      <w:rPr>
        <w:noProof/>
      </w:rPr>
      <w:pict w14:anchorId="78F67E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214301"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19A6E" w14:textId="762D7DA5" w:rsidR="00EB3409" w:rsidRDefault="00DB4705">
    <w:pPr>
      <w:pStyle w:val="Header"/>
    </w:pPr>
    <w:r>
      <w:rPr>
        <w:noProof/>
      </w:rPr>
      <w:pict w14:anchorId="7B3688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214299"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2417CB6"/>
    <w:multiLevelType w:val="multilevel"/>
    <w:tmpl w:val="6AA00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F962A03"/>
    <w:multiLevelType w:val="multilevel"/>
    <w:tmpl w:val="050A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7"/>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7A68"/>
    <w:rsid w:val="00030174"/>
    <w:rsid w:val="0004579C"/>
    <w:rsid w:val="00045C79"/>
    <w:rsid w:val="00090637"/>
    <w:rsid w:val="000A47FA"/>
    <w:rsid w:val="000A65D3"/>
    <w:rsid w:val="000B1E33"/>
    <w:rsid w:val="000D689F"/>
    <w:rsid w:val="000E7B7B"/>
    <w:rsid w:val="000E7D62"/>
    <w:rsid w:val="00103357"/>
    <w:rsid w:val="00123C9F"/>
    <w:rsid w:val="00126190"/>
    <w:rsid w:val="00130F17"/>
    <w:rsid w:val="001320BF"/>
    <w:rsid w:val="001437EA"/>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35FD5"/>
    <w:rsid w:val="00554FDA"/>
    <w:rsid w:val="005A28D1"/>
    <w:rsid w:val="005A4A77"/>
    <w:rsid w:val="005C784C"/>
    <w:rsid w:val="005D17F6"/>
    <w:rsid w:val="005E5539"/>
    <w:rsid w:val="005F4DF1"/>
    <w:rsid w:val="00602BF5"/>
    <w:rsid w:val="00617FDD"/>
    <w:rsid w:val="00622335"/>
    <w:rsid w:val="00633614"/>
    <w:rsid w:val="00633F68"/>
    <w:rsid w:val="00636EB2"/>
    <w:rsid w:val="006375B8"/>
    <w:rsid w:val="0066510A"/>
    <w:rsid w:val="00673F9F"/>
    <w:rsid w:val="00686953"/>
    <w:rsid w:val="006872DF"/>
    <w:rsid w:val="00687DEA"/>
    <w:rsid w:val="00687E67"/>
    <w:rsid w:val="006967F7"/>
    <w:rsid w:val="006A250C"/>
    <w:rsid w:val="006B21D3"/>
    <w:rsid w:val="006B57D0"/>
    <w:rsid w:val="006D0E68"/>
    <w:rsid w:val="006D30FF"/>
    <w:rsid w:val="006D6940"/>
    <w:rsid w:val="006F11EC"/>
    <w:rsid w:val="0070082C"/>
    <w:rsid w:val="007369E6"/>
    <w:rsid w:val="00746E59"/>
    <w:rsid w:val="00754C9A"/>
    <w:rsid w:val="0075599A"/>
    <w:rsid w:val="00761D52"/>
    <w:rsid w:val="0077749E"/>
    <w:rsid w:val="00790ADA"/>
    <w:rsid w:val="007D2288"/>
    <w:rsid w:val="007E088F"/>
    <w:rsid w:val="007F3EC2"/>
    <w:rsid w:val="007F7B32"/>
    <w:rsid w:val="00804BC2"/>
    <w:rsid w:val="0081431A"/>
    <w:rsid w:val="0083216F"/>
    <w:rsid w:val="00860000"/>
    <w:rsid w:val="00863BD3"/>
    <w:rsid w:val="008641ED"/>
    <w:rsid w:val="00866D66"/>
    <w:rsid w:val="008671C6"/>
    <w:rsid w:val="00875803"/>
    <w:rsid w:val="00894D28"/>
    <w:rsid w:val="008B459E"/>
    <w:rsid w:val="008E13AE"/>
    <w:rsid w:val="008E1506"/>
    <w:rsid w:val="008E710C"/>
    <w:rsid w:val="008F69D6"/>
    <w:rsid w:val="00902823"/>
    <w:rsid w:val="00915CA6"/>
    <w:rsid w:val="00927834"/>
    <w:rsid w:val="00931E21"/>
    <w:rsid w:val="00947EBC"/>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179A"/>
    <w:rsid w:val="00A82B2D"/>
    <w:rsid w:val="00A94063"/>
    <w:rsid w:val="00AA6219"/>
    <w:rsid w:val="00AA74E0"/>
    <w:rsid w:val="00AB703F"/>
    <w:rsid w:val="00AC6BB8"/>
    <w:rsid w:val="00AC7458"/>
    <w:rsid w:val="00AE008F"/>
    <w:rsid w:val="00B01FCD"/>
    <w:rsid w:val="00B1776C"/>
    <w:rsid w:val="00B52583"/>
    <w:rsid w:val="00B52896"/>
    <w:rsid w:val="00B77FD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B4705"/>
    <w:rsid w:val="00DC2A65"/>
    <w:rsid w:val="00DE15F0"/>
    <w:rsid w:val="00DE5663"/>
    <w:rsid w:val="00DE78AA"/>
    <w:rsid w:val="00E053D0"/>
    <w:rsid w:val="00E15994"/>
    <w:rsid w:val="00E2387A"/>
    <w:rsid w:val="00E3114E"/>
    <w:rsid w:val="00E31A70"/>
    <w:rsid w:val="00E35B02"/>
    <w:rsid w:val="00E50A5A"/>
    <w:rsid w:val="00E66496"/>
    <w:rsid w:val="00E66B35"/>
    <w:rsid w:val="00E66E10"/>
    <w:rsid w:val="00E769F6"/>
    <w:rsid w:val="00E8407C"/>
    <w:rsid w:val="00E84F3C"/>
    <w:rsid w:val="00EA012C"/>
    <w:rsid w:val="00EB3409"/>
    <w:rsid w:val="00EC3CCF"/>
    <w:rsid w:val="00EC6A55"/>
    <w:rsid w:val="00ED0288"/>
    <w:rsid w:val="00EE52CB"/>
    <w:rsid w:val="00EF581D"/>
    <w:rsid w:val="00EF7FD8"/>
    <w:rsid w:val="00F06F59"/>
    <w:rsid w:val="00F17988"/>
    <w:rsid w:val="00F469F0"/>
    <w:rsid w:val="00F53273"/>
    <w:rsid w:val="00F755E4"/>
    <w:rsid w:val="00F77D02"/>
    <w:rsid w:val="00F8596E"/>
    <w:rsid w:val="00F957AB"/>
    <w:rsid w:val="00FA0530"/>
    <w:rsid w:val="00FB3A86"/>
    <w:rsid w:val="00FD36C8"/>
    <w:rsid w:val="00FE6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36"/>
      </o:rules>
    </o:shapelayout>
  </w:shapeDefaults>
  <w:decimalSymbol w:val="."/>
  <w:listSeparator w:val=","/>
  <w14:docId w14:val="1912FF6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Revision">
    <w:name w:val="Revision"/>
    <w:hidden/>
    <w:uiPriority w:val="99"/>
    <w:semiHidden/>
    <w:rsid w:val="00B77FD6"/>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emf"/><Relationship Id="rId26" Type="http://schemas.openxmlformats.org/officeDocument/2006/relationships/image" Target="media/image7.emf"/><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oleObject" Target="embeddings/oleObject3.bin"/><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oleObject" Target="embeddings/oleObject7.bin"/><Relationship Id="rId30" Type="http://schemas.openxmlformats.org/officeDocument/2006/relationships/footer" Target="footer4.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C6408-040E-42A0-A94C-0EABB30EA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122</TotalTime>
  <Pages>14</Pages>
  <Words>4852</Words>
  <Characters>27658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32446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16</cp:revision>
  <cp:lastPrinted>1999-07-06T11:00:00Z</cp:lastPrinted>
  <dcterms:created xsi:type="dcterms:W3CDTF">2014-10-25T14:34:00Z</dcterms:created>
  <dcterms:modified xsi:type="dcterms:W3CDTF">2025-11-21T12:21:00Z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7efaaf2d-897e-4968-a22d-b5a1dc44fa17</vt:lpwstr>
  </property>
</Properties>
</file>