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D1C80" w14:textId="77777777" w:rsidR="00754C9A" w:rsidRDefault="00754C9A" w:rsidP="00441B6F">
      <w:pPr>
        <w:pStyle w:val="Title"/>
        <w:spacing w:after="0"/>
        <w:jc w:val="both"/>
        <w:rPr>
          <w:rFonts w:ascii="Arial" w:hAnsi="Arial" w:cs="Arial"/>
        </w:rPr>
      </w:pPr>
    </w:p>
    <w:p w14:paraId="035B0E94" w14:textId="41805C4D" w:rsidR="00163BC4" w:rsidRPr="00163BC4" w:rsidRDefault="00BB2C41" w:rsidP="00441B6F">
      <w:pPr>
        <w:pStyle w:val="Author"/>
        <w:spacing w:line="240" w:lineRule="auto"/>
        <w:rPr>
          <w:rFonts w:ascii="Arial" w:hAnsi="Arial" w:cs="Arial"/>
          <w:bCs/>
          <w:iCs/>
          <w:kern w:val="28"/>
          <w:sz w:val="36"/>
        </w:rPr>
      </w:pPr>
      <w:r w:rsidRPr="00BB2C41">
        <w:rPr>
          <w:rFonts w:ascii="Arial" w:hAnsi="Arial" w:cs="Arial"/>
          <w:bCs/>
          <w:iCs/>
          <w:kern w:val="28"/>
          <w:sz w:val="36"/>
        </w:rPr>
        <w:t xml:space="preserve">Implementing School Governing Councils in Philippine Basic Education: An Analysis of Challenges and Outcomes in </w:t>
      </w:r>
      <w:proofErr w:type="spellStart"/>
      <w:r w:rsidRPr="00BB2C41">
        <w:rPr>
          <w:rFonts w:ascii="Arial" w:hAnsi="Arial" w:cs="Arial"/>
          <w:bCs/>
          <w:iCs/>
          <w:kern w:val="28"/>
          <w:sz w:val="36"/>
        </w:rPr>
        <w:t>DepEd</w:t>
      </w:r>
      <w:proofErr w:type="spellEnd"/>
      <w:r w:rsidRPr="00BB2C41">
        <w:rPr>
          <w:rFonts w:ascii="Arial" w:hAnsi="Arial" w:cs="Arial"/>
          <w:bCs/>
          <w:iCs/>
          <w:kern w:val="28"/>
          <w:sz w:val="36"/>
        </w:rPr>
        <w:t xml:space="preserve"> Camarines Sur</w:t>
      </w:r>
      <w:r w:rsidR="00231920">
        <w:rPr>
          <w:rFonts w:ascii="Arial" w:hAnsi="Arial" w:cs="Arial"/>
          <w:bCs/>
          <w:iCs/>
          <w:kern w:val="28"/>
          <w:sz w:val="36"/>
        </w:rPr>
        <w:t xml:space="preserve"> </w:t>
      </w:r>
    </w:p>
    <w:p w14:paraId="574B0075" w14:textId="77777777" w:rsidR="00A258C3" w:rsidRPr="00790ADA" w:rsidRDefault="00A258C3" w:rsidP="00441B6F">
      <w:pPr>
        <w:pStyle w:val="Author"/>
        <w:spacing w:line="240" w:lineRule="auto"/>
        <w:jc w:val="both"/>
        <w:rPr>
          <w:rFonts w:ascii="Arial" w:hAnsi="Arial" w:cs="Arial"/>
          <w:sz w:val="36"/>
        </w:rPr>
      </w:pPr>
    </w:p>
    <w:p w14:paraId="26B13DB5" w14:textId="77777777" w:rsidR="002C57D2" w:rsidRPr="00FB3A86" w:rsidRDefault="002C57D2" w:rsidP="00441B6F">
      <w:pPr>
        <w:pStyle w:val="Affiliation"/>
        <w:spacing w:after="0" w:line="240" w:lineRule="auto"/>
        <w:jc w:val="both"/>
        <w:rPr>
          <w:rFonts w:ascii="Arial" w:hAnsi="Arial" w:cs="Arial"/>
        </w:rPr>
      </w:pPr>
    </w:p>
    <w:p w14:paraId="7899104F" w14:textId="77777777" w:rsidR="00B01FCD" w:rsidRPr="00FB3A86" w:rsidRDefault="00B2579B" w:rsidP="00441B6F">
      <w:pPr>
        <w:pStyle w:val="Copyright"/>
        <w:spacing w:after="0" w:line="240" w:lineRule="auto"/>
        <w:jc w:val="both"/>
        <w:rPr>
          <w:rFonts w:ascii="Arial" w:hAnsi="Arial" w:cs="Arial"/>
        </w:rPr>
        <w:sectPr w:rsidR="00B01FCD" w:rsidRPr="00FB3A86" w:rsidSect="001B175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C46151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23139273" w14:textId="471B2928"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40E6010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46F73" w14:paraId="2C96EEBE" w14:textId="77777777" w:rsidTr="00E46F73">
        <w:tc>
          <w:tcPr>
            <w:tcW w:w="9576" w:type="dxa"/>
            <w:shd w:val="clear" w:color="auto" w:fill="F2F2F2"/>
          </w:tcPr>
          <w:p w14:paraId="06918874" w14:textId="77777777" w:rsidR="00AA11CC" w:rsidRPr="00AA11CC" w:rsidRDefault="00AA11CC" w:rsidP="00AA11CC">
            <w:pPr>
              <w:jc w:val="both"/>
              <w:rPr>
                <w:rFonts w:ascii="Arial" w:hAnsi="Arial" w:cs="Arial"/>
              </w:rPr>
            </w:pPr>
            <w:r w:rsidRPr="00AA11CC">
              <w:rPr>
                <w:rFonts w:ascii="Arial" w:hAnsi="Arial" w:cs="Arial"/>
                <w:b/>
                <w:bCs/>
              </w:rPr>
              <w:t xml:space="preserve">Aims: </w:t>
            </w:r>
            <w:r w:rsidRPr="00AA11CC">
              <w:rPr>
                <w:rFonts w:ascii="Arial" w:hAnsi="Arial" w:cs="Arial"/>
              </w:rPr>
              <w:t>The purpose of this study was to determine and evaluate the seasonality and sustainability problems, successes, and shortcomings that schools in the Department of Education (</w:t>
            </w:r>
            <w:proofErr w:type="spellStart"/>
            <w:r w:rsidRPr="00AA11CC">
              <w:rPr>
                <w:rFonts w:ascii="Arial" w:hAnsi="Arial" w:cs="Arial"/>
              </w:rPr>
              <w:t>DepEd</w:t>
            </w:r>
            <w:proofErr w:type="spellEnd"/>
            <w:r w:rsidRPr="00AA11CC">
              <w:rPr>
                <w:rFonts w:ascii="Arial" w:hAnsi="Arial" w:cs="Arial"/>
              </w:rPr>
              <w:t>), Camarines Sur, Philippines, faced when implementing School Governing Council (SGC) programs and initiatives.</w:t>
            </w:r>
          </w:p>
          <w:p w14:paraId="182C7DD8" w14:textId="77777777" w:rsidR="00AA11CC" w:rsidRPr="00AA11CC" w:rsidRDefault="00AA11CC" w:rsidP="00AA11CC">
            <w:pPr>
              <w:jc w:val="both"/>
              <w:rPr>
                <w:rFonts w:ascii="Arial" w:hAnsi="Arial" w:cs="Arial"/>
              </w:rPr>
            </w:pPr>
            <w:r w:rsidRPr="00AA11CC">
              <w:rPr>
                <w:rFonts w:ascii="Arial" w:hAnsi="Arial" w:cs="Arial"/>
                <w:b/>
                <w:bCs/>
              </w:rPr>
              <w:t>Study design:</w:t>
            </w:r>
            <w:r w:rsidRPr="00AA11CC">
              <w:rPr>
                <w:rFonts w:ascii="Arial" w:hAnsi="Arial" w:cs="Arial"/>
              </w:rPr>
              <w:t xml:space="preserve"> Key informant interviews and thematic analysis were used in this study's qualitative descriptive design. To guarantee validity and reliability, member checking and data triangulation were used. </w:t>
            </w:r>
          </w:p>
          <w:p w14:paraId="7DE487AE" w14:textId="77777777" w:rsidR="00AA11CC" w:rsidRPr="00AA11CC" w:rsidRDefault="00AA11CC" w:rsidP="00AA11CC">
            <w:pPr>
              <w:jc w:val="both"/>
              <w:rPr>
                <w:rFonts w:ascii="Arial" w:hAnsi="Arial" w:cs="Arial"/>
              </w:rPr>
            </w:pPr>
            <w:r w:rsidRPr="00AA11CC">
              <w:rPr>
                <w:rFonts w:ascii="Arial" w:hAnsi="Arial" w:cs="Arial"/>
                <w:b/>
                <w:bCs/>
              </w:rPr>
              <w:t>Place and Duration of Study:</w:t>
            </w:r>
            <w:r w:rsidRPr="00AA11CC">
              <w:rPr>
                <w:rFonts w:ascii="Arial" w:hAnsi="Arial" w:cs="Arial"/>
              </w:rPr>
              <w:t xml:space="preserve"> Department of Education, Division of Camarines Sur, Philippines, between August 2022 and May 2023.</w:t>
            </w:r>
          </w:p>
          <w:p w14:paraId="4336119A" w14:textId="77777777" w:rsidR="00AA11CC" w:rsidRPr="00AA11CC" w:rsidRDefault="00AA11CC" w:rsidP="00AA11CC">
            <w:pPr>
              <w:jc w:val="both"/>
              <w:rPr>
                <w:rFonts w:ascii="Arial" w:hAnsi="Arial" w:cs="Arial"/>
              </w:rPr>
            </w:pPr>
            <w:r w:rsidRPr="00AA11CC">
              <w:rPr>
                <w:rFonts w:ascii="Arial" w:hAnsi="Arial" w:cs="Arial"/>
                <w:b/>
                <w:bCs/>
              </w:rPr>
              <w:t>Methodology:</w:t>
            </w:r>
            <w:r w:rsidRPr="00AA11CC">
              <w:rPr>
                <w:rFonts w:ascii="Arial" w:hAnsi="Arial" w:cs="Arial"/>
              </w:rPr>
              <w:t xml:space="preserve"> Key informant interviews and surveys were used to gather information from 176 participants, including teachers, school administrators, SGC members, and community stakeholders from five Camarines Sur congressional districts. To find recurrent themes about seasonality problems, sustainability challenges, gains, and gaps in SGC implementation, thematic analysis with iterative coding was used.</w:t>
            </w:r>
          </w:p>
          <w:p w14:paraId="0C4E104C" w14:textId="77777777" w:rsidR="00AA11CC" w:rsidRPr="00AA11CC" w:rsidRDefault="00AA11CC" w:rsidP="00AA11CC">
            <w:pPr>
              <w:jc w:val="both"/>
              <w:rPr>
                <w:rFonts w:ascii="Arial" w:hAnsi="Arial" w:cs="Arial"/>
              </w:rPr>
            </w:pPr>
            <w:r w:rsidRPr="00AA11CC">
              <w:rPr>
                <w:rFonts w:ascii="Arial" w:hAnsi="Arial" w:cs="Arial"/>
                <w:b/>
                <w:bCs/>
              </w:rPr>
              <w:t>Results:</w:t>
            </w:r>
            <w:r w:rsidRPr="00AA11CC">
              <w:rPr>
                <w:rFonts w:ascii="Arial" w:hAnsi="Arial" w:cs="Arial"/>
              </w:rPr>
              <w:t xml:space="preserve"> The most important factor influencing the sustainability and seasonality of SGC programs was found to be funding availability. Inadequate staff training and scheduling conflicts with schools were found to be major seasonality issues that resulted in sporadic program disruptions. Inadequate member commitment, time constraints, and challenges sustaining fruitful external partnerships all posed challenges to sustainability. Despite these difficulties, the implementation of SGC led to notable improvements in school climate, school-community relations, and shared governance structures. Critical implementation gaps still exist, though, such as low community involvement, insufficient resources, poor role and responsibility understanding, and inadequate training for SGC members.</w:t>
            </w:r>
          </w:p>
          <w:p w14:paraId="28003FA9" w14:textId="4A8FED23" w:rsidR="00505F06" w:rsidRPr="00AA11CC" w:rsidRDefault="00AA11CC" w:rsidP="00AA11CC">
            <w:pPr>
              <w:jc w:val="both"/>
              <w:rPr>
                <w:rFonts w:ascii="Arial" w:hAnsi="Arial" w:cs="Arial"/>
              </w:rPr>
            </w:pPr>
            <w:r w:rsidRPr="00AA11CC">
              <w:rPr>
                <w:rFonts w:ascii="Arial" w:hAnsi="Arial" w:cs="Arial"/>
                <w:b/>
                <w:bCs/>
              </w:rPr>
              <w:t>Conclusion:</w:t>
            </w:r>
            <w:r w:rsidRPr="00AA11CC">
              <w:rPr>
                <w:rFonts w:ascii="Arial" w:hAnsi="Arial" w:cs="Arial"/>
              </w:rPr>
              <w:t xml:space="preserve"> Even though SGC has improved shared governance and school climate, sustainability is threatened by persistent problems with funding, capacity building, and stakeholder engagement. Comprehensive strategies, such as systematic training programs with clear competency frameworks, precise role delineation for all stakeholders, predictable funding mechanisms independent of political cycles, and culturally appropriate community participation frameworks that lower barriers for economically disadvantaged families, are desperately needed to ensure effective and sustainable school governance in basic education in the Philippines. These results offer evidence-based insights that can strengthen participatory governance structures and guide policy reforms in basic education in the Philippines and in other resource-constrained contexts worldwide.</w:t>
            </w:r>
          </w:p>
        </w:tc>
      </w:tr>
    </w:tbl>
    <w:p w14:paraId="3551B947" w14:textId="77777777" w:rsidR="00636EB2" w:rsidRDefault="00636EB2" w:rsidP="00441B6F">
      <w:pPr>
        <w:pStyle w:val="Body"/>
        <w:spacing w:after="0"/>
        <w:rPr>
          <w:rFonts w:ascii="Arial" w:hAnsi="Arial" w:cs="Arial"/>
          <w:i/>
        </w:rPr>
      </w:pPr>
    </w:p>
    <w:p w14:paraId="1B3DB2DC" w14:textId="77777777" w:rsidR="0024282C" w:rsidRPr="00D36EFE" w:rsidRDefault="00A24E7E" w:rsidP="00441B6F">
      <w:pPr>
        <w:pStyle w:val="Body"/>
        <w:spacing w:after="0"/>
        <w:rPr>
          <w:rFonts w:ascii="Arial" w:hAnsi="Arial" w:cs="Arial"/>
          <w:i/>
        </w:rPr>
      </w:pPr>
      <w:r>
        <w:rPr>
          <w:rFonts w:ascii="Arial" w:hAnsi="Arial" w:cs="Arial"/>
          <w:i/>
        </w:rPr>
        <w:t xml:space="preserve">Keywords: </w:t>
      </w:r>
      <w:r w:rsidR="003B71D7" w:rsidRPr="003B71D7">
        <w:rPr>
          <w:rFonts w:ascii="Arial" w:hAnsi="Arial" w:cs="Arial"/>
          <w:i/>
        </w:rPr>
        <w:t>School Governing Council, school governance, basic education, seasonality issues, sustainability challenges, shared governance</w:t>
      </w:r>
    </w:p>
    <w:p w14:paraId="29036223" w14:textId="77777777" w:rsidR="00505F06" w:rsidRDefault="00505F06" w:rsidP="00441B6F">
      <w:pPr>
        <w:pStyle w:val="Body"/>
        <w:spacing w:after="0"/>
        <w:rPr>
          <w:rFonts w:ascii="Arial" w:hAnsi="Arial" w:cs="Arial"/>
          <w:i/>
        </w:rPr>
      </w:pPr>
    </w:p>
    <w:p w14:paraId="01D8A5BF" w14:textId="77777777" w:rsidR="002C4461" w:rsidRPr="00A24E7E" w:rsidRDefault="002C4461" w:rsidP="00441B6F">
      <w:pPr>
        <w:pStyle w:val="Body"/>
        <w:spacing w:after="0"/>
        <w:rPr>
          <w:rFonts w:ascii="Arial" w:hAnsi="Arial" w:cs="Arial"/>
          <w:i/>
        </w:rPr>
      </w:pPr>
    </w:p>
    <w:p w14:paraId="6F5B395F"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19B4D911" w14:textId="77777777" w:rsidR="00790ADA" w:rsidRPr="00FB3A86" w:rsidRDefault="00790ADA" w:rsidP="00441B6F">
      <w:pPr>
        <w:pStyle w:val="AbstHead"/>
        <w:spacing w:after="0"/>
        <w:jc w:val="both"/>
        <w:rPr>
          <w:rFonts w:ascii="Arial" w:hAnsi="Arial" w:cs="Arial"/>
        </w:rPr>
      </w:pPr>
    </w:p>
    <w:p w14:paraId="59209ABC" w14:textId="77777777" w:rsidR="005E0BF1" w:rsidRPr="005E0BF1" w:rsidRDefault="005E0BF1" w:rsidP="005E0BF1">
      <w:pPr>
        <w:pStyle w:val="Body"/>
        <w:spacing w:after="0"/>
        <w:rPr>
          <w:rFonts w:ascii="Arial" w:hAnsi="Arial" w:cs="Arial"/>
        </w:rPr>
      </w:pPr>
      <w:r w:rsidRPr="005E0BF1">
        <w:rPr>
          <w:rFonts w:ascii="Arial" w:hAnsi="Arial" w:cs="Arial"/>
        </w:rPr>
        <w:t xml:space="preserve">School effectiveness relies on diverse stakeholder participation in decision-making. Democratizing school governance has become central to educational reform. </w:t>
      </w:r>
      <w:proofErr w:type="spellStart"/>
      <w:r w:rsidRPr="005E0BF1">
        <w:rPr>
          <w:rFonts w:ascii="Arial" w:hAnsi="Arial" w:cs="Arial"/>
        </w:rPr>
        <w:t>Nantale</w:t>
      </w:r>
      <w:proofErr w:type="spellEnd"/>
      <w:r w:rsidRPr="005E0BF1">
        <w:rPr>
          <w:rFonts w:ascii="Arial" w:hAnsi="Arial" w:cs="Arial"/>
        </w:rPr>
        <w:t xml:space="preserve"> (2024) emphasizes that inclusive and participatory models increase legitimacy and effectiveness. The School Governing Council (SGC), institutionalized by </w:t>
      </w:r>
      <w:proofErr w:type="spellStart"/>
      <w:r w:rsidRPr="005E0BF1">
        <w:rPr>
          <w:rFonts w:ascii="Arial" w:hAnsi="Arial" w:cs="Arial"/>
        </w:rPr>
        <w:t>DepEd</w:t>
      </w:r>
      <w:proofErr w:type="spellEnd"/>
      <w:r w:rsidRPr="005E0BF1">
        <w:rPr>
          <w:rFonts w:ascii="Arial" w:hAnsi="Arial" w:cs="Arial"/>
        </w:rPr>
        <w:t xml:space="preserve"> Order No. 26, s.2022 in the Philippines, provides a forum for key stakeholders—educators, parents, community members, administrators, and local officials—to collaboratively address each school's unique needs.</w:t>
      </w:r>
    </w:p>
    <w:p w14:paraId="6E8E040E" w14:textId="0800798B" w:rsidR="005E0BF1" w:rsidRPr="005E0BF1" w:rsidRDefault="005E0BF1" w:rsidP="005E0BF1">
      <w:pPr>
        <w:pStyle w:val="Body"/>
        <w:spacing w:after="0"/>
        <w:rPr>
          <w:rFonts w:ascii="Arial" w:hAnsi="Arial" w:cs="Arial"/>
        </w:rPr>
      </w:pPr>
    </w:p>
    <w:p w14:paraId="593E7C94" w14:textId="77777777" w:rsidR="005E0BF1" w:rsidRPr="005E0BF1" w:rsidRDefault="005E0BF1" w:rsidP="005E0BF1">
      <w:pPr>
        <w:pStyle w:val="Body"/>
        <w:spacing w:after="0"/>
        <w:rPr>
          <w:rFonts w:ascii="Arial" w:hAnsi="Arial" w:cs="Arial"/>
        </w:rPr>
      </w:pPr>
      <w:r w:rsidRPr="005E0BF1">
        <w:rPr>
          <w:rFonts w:ascii="Arial" w:hAnsi="Arial" w:cs="Arial"/>
        </w:rPr>
        <w:t>School governing councils support, advise, and guide school administration in creating programs that enhance the quality of education. SGCs guarantee responsiveness to local learner needs and community contexts while maintaining alignment with national standards through shared governance structures. Strong collaborative leadership, accountability, openness, and stakeholder involvement are necessary for effective school governance (</w:t>
      </w:r>
      <w:proofErr w:type="spellStart"/>
      <w:r w:rsidRPr="005E0BF1">
        <w:rPr>
          <w:rFonts w:ascii="Arial" w:hAnsi="Arial" w:cs="Arial"/>
        </w:rPr>
        <w:t>Supriadi</w:t>
      </w:r>
      <w:proofErr w:type="spellEnd"/>
      <w:r w:rsidRPr="005E0BF1">
        <w:rPr>
          <w:rFonts w:ascii="Arial" w:hAnsi="Arial" w:cs="Arial"/>
        </w:rPr>
        <w:t xml:space="preserve"> et al., 2021).</w:t>
      </w:r>
    </w:p>
    <w:p w14:paraId="7F4BF0D3" w14:textId="154390FB" w:rsidR="005E0BF1" w:rsidRPr="005E0BF1" w:rsidRDefault="005E0BF1" w:rsidP="005E0BF1">
      <w:pPr>
        <w:pStyle w:val="Body"/>
        <w:spacing w:after="0"/>
        <w:rPr>
          <w:rFonts w:ascii="Arial" w:hAnsi="Arial" w:cs="Arial"/>
        </w:rPr>
      </w:pPr>
    </w:p>
    <w:p w14:paraId="1F62D2D4" w14:textId="77777777" w:rsidR="005E0BF1" w:rsidRPr="005E0BF1" w:rsidRDefault="005E0BF1" w:rsidP="005E0BF1">
      <w:pPr>
        <w:pStyle w:val="Body"/>
        <w:spacing w:after="0"/>
        <w:rPr>
          <w:rFonts w:ascii="Arial" w:hAnsi="Arial" w:cs="Arial"/>
        </w:rPr>
      </w:pPr>
      <w:r w:rsidRPr="005E0BF1">
        <w:rPr>
          <w:rFonts w:ascii="Arial" w:hAnsi="Arial" w:cs="Arial"/>
        </w:rPr>
        <w:t xml:space="preserve">SGCs offer a promising framework, but implementation is challenged by the complex realities of real schools, where factors like resources, policy shifts, seasonal effects, and stakeholder capacities interact. </w:t>
      </w:r>
      <w:proofErr w:type="spellStart"/>
      <w:r w:rsidRPr="005E0BF1">
        <w:rPr>
          <w:rFonts w:ascii="Arial" w:hAnsi="Arial" w:cs="Arial"/>
        </w:rPr>
        <w:t>Enad</w:t>
      </w:r>
      <w:proofErr w:type="spellEnd"/>
      <w:r w:rsidRPr="005E0BF1">
        <w:rPr>
          <w:rFonts w:ascii="Arial" w:hAnsi="Arial" w:cs="Arial"/>
        </w:rPr>
        <w:t xml:space="preserve"> (2025) emphasizes that administrators require systems-informed approaches to address interconnected demands extending beyond instructional supervision, including finance, engagement, and planning. Thus, strengthening governance requires recognition of the specific school-level dynamics that shape SGC effectiveness.</w:t>
      </w:r>
    </w:p>
    <w:p w14:paraId="2D3ED261" w14:textId="77777777" w:rsidR="005E0BF1" w:rsidRPr="005E0BF1" w:rsidRDefault="005E0BF1" w:rsidP="005E0BF1">
      <w:pPr>
        <w:pStyle w:val="Body"/>
        <w:spacing w:after="0"/>
        <w:rPr>
          <w:rFonts w:ascii="Arial" w:hAnsi="Arial" w:cs="Arial"/>
        </w:rPr>
      </w:pPr>
    </w:p>
    <w:p w14:paraId="3165E30C" w14:textId="548827E1" w:rsidR="005E0BF1" w:rsidRPr="005E0BF1" w:rsidRDefault="005E0BF1" w:rsidP="005E0BF1">
      <w:pPr>
        <w:pStyle w:val="Body"/>
        <w:spacing w:after="0"/>
        <w:rPr>
          <w:rFonts w:ascii="Arial" w:hAnsi="Arial" w:cs="Arial"/>
        </w:rPr>
      </w:pPr>
      <w:r w:rsidRPr="005E0BF1">
        <w:rPr>
          <w:rFonts w:ascii="Arial" w:hAnsi="Arial" w:cs="Arial"/>
        </w:rPr>
        <w:t>A global shift toward participatory educational governance is evident. The Democracy Starts in Schools project (2024–2027) in Georgia illustrates efforts to enhance youth involvement in decision-making through democratic school culture (Council of Europe, 2024). Connolly and James (2024) emphasize that transparent procedures, defined roles, and cooperative leadership—promoting shared accountability and institutional legitimacy—are crucial for efficient governance. These patterns demonstrate that participatory governance is widely recognized as fundamental to democratic growth and quality education.</w:t>
      </w:r>
    </w:p>
    <w:p w14:paraId="759F874B" w14:textId="3A784169" w:rsidR="005E0BF1" w:rsidRPr="005E0BF1" w:rsidRDefault="005E0BF1" w:rsidP="005E0BF1">
      <w:pPr>
        <w:pStyle w:val="Body"/>
        <w:spacing w:after="0"/>
        <w:rPr>
          <w:rFonts w:ascii="Arial" w:hAnsi="Arial" w:cs="Arial"/>
        </w:rPr>
      </w:pPr>
    </w:p>
    <w:p w14:paraId="04163785" w14:textId="77777777" w:rsidR="005E0BF1" w:rsidRPr="005E0BF1" w:rsidRDefault="005E0BF1" w:rsidP="005E0BF1">
      <w:pPr>
        <w:pStyle w:val="Body"/>
        <w:spacing w:after="0"/>
        <w:rPr>
          <w:rFonts w:ascii="Arial" w:hAnsi="Arial" w:cs="Arial"/>
        </w:rPr>
      </w:pPr>
      <w:r w:rsidRPr="005E0BF1">
        <w:rPr>
          <w:rFonts w:ascii="Arial" w:hAnsi="Arial" w:cs="Arial"/>
        </w:rPr>
        <w:t>International research on school governance in resource-limited settings highlights recurring challenges, particularly in the Philippines, where equity, stakeholder capacity, and resource constraints significantly shape outcomes. For example, evidence from Indonesia suggests potential gains in equity and local accountability through school-based management, but its varied application persists due to differences in stakeholder capacity and available resources (</w:t>
      </w:r>
      <w:proofErr w:type="spellStart"/>
      <w:r w:rsidRPr="005E0BF1">
        <w:rPr>
          <w:rFonts w:ascii="Arial" w:hAnsi="Arial" w:cs="Arial"/>
        </w:rPr>
        <w:t>Gaus</w:t>
      </w:r>
      <w:proofErr w:type="spellEnd"/>
      <w:r w:rsidRPr="005E0BF1">
        <w:rPr>
          <w:rFonts w:ascii="Arial" w:hAnsi="Arial" w:cs="Arial"/>
        </w:rPr>
        <w:t xml:space="preserve"> and Hall, 2016). Community partnership outcomes differ widely by context, hinging on mutual benefit, role clarity, and sustained commitment (Bray, 2001). Decentralized governance models demand strategic attention to capacity building, resource distribution, and adaptability (De </w:t>
      </w:r>
      <w:proofErr w:type="spellStart"/>
      <w:r w:rsidRPr="005E0BF1">
        <w:rPr>
          <w:rFonts w:ascii="Arial" w:hAnsi="Arial" w:cs="Arial"/>
        </w:rPr>
        <w:t>Grauwe</w:t>
      </w:r>
      <w:proofErr w:type="spellEnd"/>
      <w:r w:rsidRPr="005E0BF1">
        <w:rPr>
          <w:rFonts w:ascii="Arial" w:hAnsi="Arial" w:cs="Arial"/>
        </w:rPr>
        <w:t>, 2005). Critical perspectives from the Global South argue that authentic participation and robust accountability still require further development.</w:t>
      </w:r>
    </w:p>
    <w:p w14:paraId="72E719E9" w14:textId="4FE5ACE5" w:rsidR="005E0BF1" w:rsidRPr="005E0BF1" w:rsidRDefault="005E0BF1" w:rsidP="005E0BF1">
      <w:pPr>
        <w:pStyle w:val="Body"/>
        <w:spacing w:after="0"/>
        <w:rPr>
          <w:rFonts w:ascii="Arial" w:hAnsi="Arial" w:cs="Arial"/>
        </w:rPr>
      </w:pPr>
    </w:p>
    <w:p w14:paraId="26D9E879" w14:textId="77777777" w:rsidR="005E0BF1" w:rsidRPr="005E0BF1" w:rsidRDefault="005E0BF1" w:rsidP="005E0BF1">
      <w:pPr>
        <w:pStyle w:val="Body"/>
        <w:spacing w:after="0"/>
        <w:rPr>
          <w:rFonts w:ascii="Arial" w:hAnsi="Arial" w:cs="Arial"/>
        </w:rPr>
      </w:pPr>
      <w:r w:rsidRPr="005E0BF1">
        <w:rPr>
          <w:rFonts w:ascii="Arial" w:hAnsi="Arial" w:cs="Arial"/>
        </w:rPr>
        <w:t>Research in Southeast Asia reveals persistent challenges in resources and capacity for school governance reform. In the Philippines, SGCs struggle with accountability and limited parental awareness, highlighting the need for stronger roles and improved financing (World Bank, 2016).</w:t>
      </w:r>
    </w:p>
    <w:p w14:paraId="5D706D77" w14:textId="3B754615" w:rsidR="005E0BF1" w:rsidRPr="005E0BF1" w:rsidRDefault="005E0BF1" w:rsidP="005E0BF1">
      <w:pPr>
        <w:pStyle w:val="Body"/>
        <w:spacing w:after="0"/>
        <w:rPr>
          <w:rFonts w:ascii="Arial" w:hAnsi="Arial" w:cs="Arial"/>
        </w:rPr>
      </w:pPr>
    </w:p>
    <w:p w14:paraId="3D2452F0" w14:textId="77777777" w:rsidR="005E0BF1" w:rsidRPr="005E0BF1" w:rsidRDefault="005E0BF1" w:rsidP="005E0BF1">
      <w:pPr>
        <w:pStyle w:val="Body"/>
        <w:spacing w:after="0"/>
        <w:rPr>
          <w:rFonts w:ascii="Arial" w:hAnsi="Arial" w:cs="Arial"/>
        </w:rPr>
      </w:pPr>
      <w:r w:rsidRPr="005E0BF1">
        <w:rPr>
          <w:rFonts w:ascii="Arial" w:hAnsi="Arial" w:cs="Arial"/>
        </w:rPr>
        <w:t xml:space="preserve">Significant implementation challenges are revealed by recent studies conducted in the Philippines. In their evaluation of the implementation of School Governing Councils in Philippine schools, De Lara and </w:t>
      </w:r>
      <w:proofErr w:type="spellStart"/>
      <w:r w:rsidRPr="005E0BF1">
        <w:rPr>
          <w:rFonts w:ascii="Arial" w:hAnsi="Arial" w:cs="Arial"/>
        </w:rPr>
        <w:t>Pañares</w:t>
      </w:r>
      <w:proofErr w:type="spellEnd"/>
      <w:r w:rsidRPr="005E0BF1">
        <w:rPr>
          <w:rFonts w:ascii="Arial" w:hAnsi="Arial" w:cs="Arial"/>
        </w:rPr>
        <w:t xml:space="preserve"> (2023) discovered that the primary obstacle was the availability of officers and members for regular meetings, with a moderately significant </w:t>
      </w:r>
      <w:r w:rsidRPr="005E0BF1">
        <w:rPr>
          <w:rFonts w:ascii="Arial" w:hAnsi="Arial" w:cs="Arial"/>
        </w:rPr>
        <w:lastRenderedPageBreak/>
        <w:t xml:space="preserve">correlation between perceived implementation and actual evaluation outcomes. They also examined how SGC members in </w:t>
      </w:r>
      <w:proofErr w:type="spellStart"/>
      <w:r w:rsidRPr="005E0BF1">
        <w:rPr>
          <w:rFonts w:ascii="Arial" w:hAnsi="Arial" w:cs="Arial"/>
        </w:rPr>
        <w:t>Gingoog</w:t>
      </w:r>
      <w:proofErr w:type="spellEnd"/>
      <w:r w:rsidRPr="005E0BF1">
        <w:rPr>
          <w:rFonts w:ascii="Arial" w:hAnsi="Arial" w:cs="Arial"/>
        </w:rPr>
        <w:t xml:space="preserve"> City perceived the implementation of school-based management and found a moderate correlation between the evaluation results and their perceptions.</w:t>
      </w:r>
    </w:p>
    <w:p w14:paraId="3BB11DC9" w14:textId="046BC868" w:rsidR="005E0BF1" w:rsidRPr="005E0BF1" w:rsidRDefault="005E0BF1" w:rsidP="005E0BF1">
      <w:pPr>
        <w:pStyle w:val="Body"/>
        <w:spacing w:after="0"/>
        <w:rPr>
          <w:rFonts w:ascii="Arial" w:hAnsi="Arial" w:cs="Arial"/>
        </w:rPr>
      </w:pPr>
    </w:p>
    <w:p w14:paraId="14D08E26" w14:textId="77777777" w:rsidR="005E0BF1" w:rsidRPr="005E0BF1" w:rsidRDefault="005E0BF1" w:rsidP="005E0BF1">
      <w:pPr>
        <w:pStyle w:val="Body"/>
        <w:spacing w:after="0"/>
        <w:rPr>
          <w:rFonts w:ascii="Arial" w:hAnsi="Arial" w:cs="Arial"/>
        </w:rPr>
      </w:pPr>
      <w:r w:rsidRPr="005E0BF1">
        <w:rPr>
          <w:rFonts w:ascii="Arial" w:hAnsi="Arial" w:cs="Arial"/>
        </w:rPr>
        <w:t>Participatory governance can improve educational outcomes, but success depends primarily on effective planning, resource allocation, and sustained stakeholder engagement. Lucky (2025) found that schools with strong accountability and transparent governance achieve more lasting reforms than those using top-down, opaque models. In many nations, however, student participation in administration remains minimal, and their decision-making power is seldom acknowledged, presenting persistent challenges to genuine participatory governance (Sousa &amp; Ferreira, 2024).</w:t>
      </w:r>
    </w:p>
    <w:p w14:paraId="18EB0627" w14:textId="25CED4EC" w:rsidR="005E0BF1" w:rsidRPr="005E0BF1" w:rsidRDefault="005E0BF1" w:rsidP="005E0BF1">
      <w:pPr>
        <w:pStyle w:val="Body"/>
        <w:spacing w:after="0"/>
        <w:rPr>
          <w:rFonts w:ascii="Arial" w:hAnsi="Arial" w:cs="Arial"/>
        </w:rPr>
      </w:pPr>
    </w:p>
    <w:p w14:paraId="0B57CFD3" w14:textId="77777777" w:rsidR="005E0BF1" w:rsidRPr="005E0BF1" w:rsidRDefault="005E0BF1" w:rsidP="005E0BF1">
      <w:pPr>
        <w:pStyle w:val="Body"/>
        <w:spacing w:after="0"/>
        <w:rPr>
          <w:rFonts w:ascii="Arial" w:hAnsi="Arial" w:cs="Arial"/>
        </w:rPr>
      </w:pPr>
      <w:r w:rsidRPr="005E0BF1">
        <w:rPr>
          <w:rFonts w:ascii="Arial" w:hAnsi="Arial" w:cs="Arial"/>
        </w:rPr>
        <w:t xml:space="preserve">This study addresses a critical knowledge gap by foregrounding the seasonality and sustainability challenges associated with SGC implementation in </w:t>
      </w:r>
      <w:proofErr w:type="spellStart"/>
      <w:r w:rsidRPr="005E0BF1">
        <w:rPr>
          <w:rFonts w:ascii="Arial" w:hAnsi="Arial" w:cs="Arial"/>
        </w:rPr>
        <w:t>DepEd</w:t>
      </w:r>
      <w:proofErr w:type="spellEnd"/>
      <w:r w:rsidRPr="005E0BF1">
        <w:rPr>
          <w:rFonts w:ascii="Arial" w:hAnsi="Arial" w:cs="Arial"/>
        </w:rPr>
        <w:t xml:space="preserve"> Camarines Sur, along with the related successes and shortcomings. Seasonal factors—such as funding cycles, school calendar conflicts, and weather-related disruptions—drive variations in program delivery, while sustainability concerns—including resource availability, member commitment, and institutional support—affect the continuity of SGC programs. By analyzing achievements and failures, this study offers evidence-based insights to guide policy and practice improvement.</w:t>
      </w:r>
    </w:p>
    <w:p w14:paraId="27287FD8" w14:textId="6008939F" w:rsidR="005E0BF1" w:rsidRPr="005E0BF1" w:rsidRDefault="005E0BF1" w:rsidP="005E0BF1">
      <w:pPr>
        <w:pStyle w:val="Body"/>
        <w:spacing w:after="0"/>
        <w:rPr>
          <w:rFonts w:ascii="Arial" w:hAnsi="Arial" w:cs="Arial"/>
        </w:rPr>
      </w:pPr>
    </w:p>
    <w:p w14:paraId="4CF16714" w14:textId="3967B0DE" w:rsidR="005E0BF1" w:rsidRPr="005E0BF1" w:rsidRDefault="005E0BF1" w:rsidP="005E0BF1">
      <w:pPr>
        <w:pStyle w:val="Body"/>
        <w:spacing w:after="0"/>
        <w:rPr>
          <w:rFonts w:ascii="Arial" w:hAnsi="Arial" w:cs="Arial"/>
        </w:rPr>
      </w:pPr>
      <w:r w:rsidRPr="005E0BF1">
        <w:rPr>
          <w:rFonts w:ascii="Arial" w:hAnsi="Arial" w:cs="Arial"/>
        </w:rPr>
        <w:t xml:space="preserve">The study's conclusions are especially pertinent given the Philippine government's continued focus on school-based management and localized governance as strategies to enhance educational quality and relevance. The revised School-Based Management System, introduced through </w:t>
      </w:r>
      <w:proofErr w:type="spellStart"/>
      <w:r w:rsidRPr="005E0BF1">
        <w:rPr>
          <w:rFonts w:ascii="Arial" w:hAnsi="Arial" w:cs="Arial"/>
        </w:rPr>
        <w:t>DepEd</w:t>
      </w:r>
      <w:proofErr w:type="spellEnd"/>
      <w:r w:rsidRPr="005E0BF1">
        <w:rPr>
          <w:rFonts w:ascii="Arial" w:hAnsi="Arial" w:cs="Arial"/>
        </w:rPr>
        <w:t xml:space="preserve"> Order No. 007, series 2024, highlights this ongoing policy commitment to strengthening school-level governance. For Filipino students to benefit, stakeholders must identify what works, what does not, and why, thereby </w:t>
      </w:r>
      <w:proofErr w:type="gramStart"/>
      <w:r w:rsidRPr="005E0BF1">
        <w:rPr>
          <w:rFonts w:ascii="Arial" w:hAnsi="Arial" w:cs="Arial"/>
        </w:rPr>
        <w:t>enabling</w:t>
      </w:r>
      <w:proofErr w:type="gramEnd"/>
      <w:r w:rsidRPr="005E0BF1">
        <w:rPr>
          <w:rFonts w:ascii="Arial" w:hAnsi="Arial" w:cs="Arial"/>
        </w:rPr>
        <w:t xml:space="preserve"> meaningful improvements in governance structures.</w:t>
      </w:r>
    </w:p>
    <w:p w14:paraId="640C442D" w14:textId="77777777" w:rsidR="005E0BF1" w:rsidRPr="005E0BF1" w:rsidRDefault="005E0BF1" w:rsidP="005E0BF1">
      <w:pPr>
        <w:pStyle w:val="Body"/>
        <w:spacing w:after="0"/>
        <w:rPr>
          <w:rFonts w:ascii="Arial" w:hAnsi="Arial" w:cs="Arial"/>
        </w:rPr>
      </w:pPr>
    </w:p>
    <w:p w14:paraId="75DEBA1F" w14:textId="45A0715A" w:rsidR="00B01FCD" w:rsidRDefault="005E0BF1" w:rsidP="005E0BF1">
      <w:pPr>
        <w:pStyle w:val="Body"/>
        <w:spacing w:after="0"/>
        <w:rPr>
          <w:rFonts w:ascii="Arial" w:hAnsi="Arial" w:cs="Arial"/>
        </w:rPr>
      </w:pPr>
      <w:r w:rsidRPr="005E0BF1">
        <w:rPr>
          <w:rFonts w:ascii="Arial" w:hAnsi="Arial" w:cs="Arial"/>
        </w:rPr>
        <w:t>This study provides empirical data from a Philippine context, addressing the limited literature on SGC implementation challenges and outcomes in developing nations. It supports recent research linking organizational maturity in school governance to strategic, informed decision-making and development (</w:t>
      </w:r>
      <w:proofErr w:type="spellStart"/>
      <w:r w:rsidRPr="005E0BF1">
        <w:rPr>
          <w:rFonts w:ascii="Arial" w:hAnsi="Arial" w:cs="Arial"/>
        </w:rPr>
        <w:t>Clapham</w:t>
      </w:r>
      <w:proofErr w:type="spellEnd"/>
      <w:r w:rsidRPr="005E0BF1">
        <w:rPr>
          <w:rFonts w:ascii="Arial" w:hAnsi="Arial" w:cs="Arial"/>
        </w:rPr>
        <w:t>, 2024). By examining both problems and achievements, the study offers a balanced perspective that can guide context-responsive interventions, ultimately aiming to enhance access, quality, and equity in Philippine basic education.</w:t>
      </w:r>
    </w:p>
    <w:p w14:paraId="7C9720D5" w14:textId="77777777" w:rsidR="00790ADA" w:rsidRPr="00FB3A86" w:rsidRDefault="00790ADA" w:rsidP="00441B6F">
      <w:pPr>
        <w:pStyle w:val="Body"/>
        <w:spacing w:after="0"/>
        <w:rPr>
          <w:rFonts w:ascii="Arial" w:hAnsi="Arial" w:cs="Arial"/>
        </w:rPr>
      </w:pPr>
    </w:p>
    <w:p w14:paraId="4CD38908" w14:textId="77777777" w:rsidR="007F7B32" w:rsidRDefault="00902823" w:rsidP="00441B6F">
      <w:pPr>
        <w:pStyle w:val="AbstHead"/>
        <w:spacing w:after="0"/>
        <w:jc w:val="both"/>
        <w:rPr>
          <w:rFonts w:ascii="Arial" w:hAnsi="Arial" w:cs="Arial"/>
        </w:rPr>
      </w:pPr>
      <w:r>
        <w:rPr>
          <w:rFonts w:ascii="Arial" w:hAnsi="Arial" w:cs="Arial"/>
        </w:rPr>
        <w:t>2. material and method</w:t>
      </w:r>
      <w:r w:rsidR="00156D94">
        <w:rPr>
          <w:rFonts w:ascii="Arial" w:hAnsi="Arial" w:cs="Arial"/>
        </w:rPr>
        <w:t>s</w:t>
      </w:r>
    </w:p>
    <w:p w14:paraId="6A3CE945" w14:textId="77777777" w:rsidR="00790ADA" w:rsidRPr="00FB3A86" w:rsidRDefault="00790ADA" w:rsidP="00441B6F">
      <w:pPr>
        <w:pStyle w:val="AbstHead"/>
        <w:spacing w:after="0"/>
        <w:jc w:val="both"/>
        <w:rPr>
          <w:rFonts w:ascii="Arial" w:hAnsi="Arial" w:cs="Arial"/>
        </w:rPr>
      </w:pPr>
    </w:p>
    <w:p w14:paraId="3DCDF573" w14:textId="77777777" w:rsidR="00AA74E0" w:rsidRDefault="00AA74E0" w:rsidP="00441B6F">
      <w:pPr>
        <w:pStyle w:val="Body"/>
        <w:spacing w:after="0"/>
        <w:rPr>
          <w:rFonts w:ascii="Arial" w:hAnsi="Arial" w:cs="Arial"/>
        </w:rPr>
      </w:pPr>
      <w:r w:rsidRPr="00C30A0F">
        <w:rPr>
          <w:rFonts w:ascii="Arial" w:hAnsi="Arial" w:cs="Arial"/>
          <w:b/>
          <w:caps/>
          <w:sz w:val="22"/>
        </w:rPr>
        <w:t xml:space="preserve">2.1 </w:t>
      </w:r>
      <w:r w:rsidR="00965F7B" w:rsidRPr="00965F7B">
        <w:rPr>
          <w:rFonts w:ascii="Arial" w:hAnsi="Arial" w:cs="Arial"/>
          <w:b/>
          <w:sz w:val="22"/>
        </w:rPr>
        <w:t>Research Design</w:t>
      </w:r>
      <w:r w:rsidR="00C30A0F" w:rsidRPr="00C30A0F">
        <w:rPr>
          <w:rFonts w:ascii="Arial" w:hAnsi="Arial" w:cs="Arial"/>
          <w:b/>
          <w:sz w:val="22"/>
        </w:rPr>
        <w:t xml:space="preserve"> </w:t>
      </w:r>
      <w:r w:rsidRPr="00FB3A86">
        <w:rPr>
          <w:rFonts w:ascii="Arial" w:hAnsi="Arial" w:cs="Arial"/>
        </w:rPr>
        <w:t xml:space="preserve">  </w:t>
      </w:r>
    </w:p>
    <w:p w14:paraId="214E2082" w14:textId="77777777" w:rsidR="00505F06" w:rsidRDefault="00505F06" w:rsidP="00441B6F">
      <w:pPr>
        <w:pStyle w:val="Body"/>
        <w:spacing w:after="0"/>
        <w:rPr>
          <w:rFonts w:ascii="Arial" w:hAnsi="Arial" w:cs="Arial"/>
        </w:rPr>
      </w:pPr>
    </w:p>
    <w:p w14:paraId="4D41EC00" w14:textId="77777777" w:rsidR="005A2BA6" w:rsidRDefault="00A25D52" w:rsidP="00441B6F">
      <w:pPr>
        <w:pStyle w:val="Body"/>
        <w:spacing w:after="0"/>
        <w:rPr>
          <w:rFonts w:ascii="Arial" w:hAnsi="Arial" w:cs="Arial"/>
        </w:rPr>
      </w:pPr>
      <w:r w:rsidRPr="00A25D52">
        <w:rPr>
          <w:rFonts w:ascii="Arial" w:hAnsi="Arial" w:cs="Arial"/>
        </w:rPr>
        <w:t>This study employed a qualitative descriptive research design to explore and analyze the seasonality and sustainability issues, gains, and gaps in the implementation of School Governing Council programs and initiatives in DepEd Camarines Sur. Because it can capture the complex experiences, viewpoints, and contextual elements that affect SGC implementation in real school settings, the qualitative approach was selected. The main analytical framework was thematic analysis, which enabled systematic identification of patterns and themes emerging from participant responses.</w:t>
      </w:r>
    </w:p>
    <w:p w14:paraId="75078E7E" w14:textId="77777777" w:rsidR="00F1195A" w:rsidRDefault="00F1195A" w:rsidP="00441B6F">
      <w:pPr>
        <w:pStyle w:val="Body"/>
        <w:spacing w:after="0"/>
        <w:rPr>
          <w:rFonts w:ascii="Arial" w:hAnsi="Arial" w:cs="Arial"/>
        </w:rPr>
      </w:pPr>
    </w:p>
    <w:p w14:paraId="3DF27774" w14:textId="77777777" w:rsidR="00E02CF0" w:rsidRDefault="00E02CF0" w:rsidP="00E02CF0">
      <w:pPr>
        <w:pStyle w:val="Body"/>
        <w:spacing w:after="0"/>
        <w:rPr>
          <w:rFonts w:ascii="Arial" w:hAnsi="Arial" w:cs="Arial"/>
        </w:rPr>
      </w:pPr>
      <w:r w:rsidRPr="00E02CF0">
        <w:rPr>
          <w:rFonts w:ascii="Arial" w:hAnsi="Arial" w:cs="Arial"/>
          <w:b/>
          <w:caps/>
          <w:sz w:val="22"/>
        </w:rPr>
        <w:t xml:space="preserve">2.2 </w:t>
      </w:r>
      <w:r w:rsidR="00994605" w:rsidRPr="00E02CF0">
        <w:rPr>
          <w:rFonts w:ascii="Arial" w:hAnsi="Arial" w:cs="Arial"/>
          <w:b/>
          <w:sz w:val="22"/>
        </w:rPr>
        <w:t>Research Locale</w:t>
      </w:r>
      <w:r w:rsidR="00994605" w:rsidRPr="00C30A0F">
        <w:rPr>
          <w:rFonts w:ascii="Arial" w:hAnsi="Arial" w:cs="Arial"/>
          <w:b/>
          <w:sz w:val="22"/>
        </w:rPr>
        <w:t xml:space="preserve"> </w:t>
      </w:r>
      <w:r w:rsidR="00994605" w:rsidRPr="00FB3A86">
        <w:rPr>
          <w:rFonts w:ascii="Arial" w:hAnsi="Arial" w:cs="Arial"/>
        </w:rPr>
        <w:t xml:space="preserve">  </w:t>
      </w:r>
    </w:p>
    <w:p w14:paraId="19DD6466" w14:textId="77777777" w:rsidR="00E02CF0" w:rsidRDefault="00E02CF0" w:rsidP="00E02CF0">
      <w:pPr>
        <w:pStyle w:val="Body"/>
        <w:spacing w:after="0"/>
        <w:rPr>
          <w:rFonts w:ascii="Arial" w:hAnsi="Arial" w:cs="Arial"/>
        </w:rPr>
      </w:pPr>
    </w:p>
    <w:p w14:paraId="5D616CED" w14:textId="06A3914B" w:rsidR="00F1195A" w:rsidRPr="006F437B" w:rsidRDefault="001801EA" w:rsidP="00E02CF0">
      <w:pPr>
        <w:pStyle w:val="Body"/>
        <w:spacing w:after="0"/>
        <w:rPr>
          <w:rFonts w:ascii="Arial" w:hAnsi="Arial" w:cs="Arial"/>
        </w:rPr>
      </w:pPr>
      <w:r w:rsidRPr="006F437B">
        <w:rPr>
          <w:rFonts w:ascii="Arial" w:hAnsi="Arial" w:cs="Arial"/>
        </w:rPr>
        <w:t xml:space="preserve">The study was carried out in public schools run by the Philippine Department of Education's Division of Camarines Sur. Camarines Sur offers a representative sample for examining the </w:t>
      </w:r>
      <w:r w:rsidRPr="006F437B">
        <w:rPr>
          <w:rFonts w:ascii="Arial" w:hAnsi="Arial" w:cs="Arial"/>
        </w:rPr>
        <w:lastRenderedPageBreak/>
        <w:t>difficulties and results of SGC implementation because it is a typical Philippine educational division with a variety of school contexts, from urban to rural.</w:t>
      </w:r>
    </w:p>
    <w:p w14:paraId="7D9CB20F" w14:textId="77777777" w:rsidR="00994605" w:rsidRDefault="00994605" w:rsidP="00E02CF0">
      <w:pPr>
        <w:pStyle w:val="Body"/>
        <w:spacing w:after="0"/>
        <w:rPr>
          <w:rFonts w:ascii="Arial" w:hAnsi="Arial" w:cs="Arial"/>
        </w:rPr>
      </w:pPr>
    </w:p>
    <w:p w14:paraId="7F67F436" w14:textId="77777777" w:rsidR="00460089" w:rsidRPr="006F437B" w:rsidRDefault="00F06E63" w:rsidP="00460089">
      <w:pPr>
        <w:pStyle w:val="Body"/>
        <w:spacing w:after="0"/>
        <w:rPr>
          <w:rFonts w:ascii="Arial" w:hAnsi="Arial" w:cs="Arial"/>
        </w:rPr>
      </w:pPr>
      <w:r w:rsidRPr="006F437B">
        <w:rPr>
          <w:rFonts w:ascii="Arial" w:hAnsi="Arial" w:cs="Arial"/>
          <w:b/>
          <w:caps/>
          <w:sz w:val="22"/>
        </w:rPr>
        <w:t xml:space="preserve">2.3 </w:t>
      </w:r>
      <w:r w:rsidRPr="006F437B">
        <w:rPr>
          <w:rFonts w:ascii="Arial" w:hAnsi="Arial" w:cs="Arial"/>
          <w:b/>
          <w:sz w:val="22"/>
        </w:rPr>
        <w:t>Participants and Sampling</w:t>
      </w:r>
      <w:r w:rsidRPr="006F437B">
        <w:rPr>
          <w:rFonts w:ascii="Arial" w:hAnsi="Arial" w:cs="Arial"/>
        </w:rPr>
        <w:t xml:space="preserve">  </w:t>
      </w:r>
    </w:p>
    <w:p w14:paraId="5210CB1B" w14:textId="77777777" w:rsidR="00460089" w:rsidRPr="006F437B" w:rsidRDefault="00460089" w:rsidP="00460089">
      <w:pPr>
        <w:pStyle w:val="Body"/>
        <w:spacing w:after="0"/>
        <w:rPr>
          <w:rFonts w:ascii="Arial" w:hAnsi="Arial" w:cs="Arial"/>
        </w:rPr>
      </w:pPr>
    </w:p>
    <w:p w14:paraId="694C9EA7" w14:textId="70B6E80F" w:rsidR="00460089" w:rsidRPr="006F437B" w:rsidRDefault="006F437B" w:rsidP="00460089">
      <w:pPr>
        <w:pStyle w:val="Body"/>
        <w:spacing w:after="0"/>
        <w:rPr>
          <w:rFonts w:ascii="Arial" w:hAnsi="Arial" w:cs="Arial"/>
        </w:rPr>
      </w:pPr>
      <w:r w:rsidRPr="006F437B">
        <w:rPr>
          <w:rFonts w:ascii="Arial" w:hAnsi="Arial" w:cs="Arial"/>
        </w:rPr>
        <w:t>To guarantee representation from all stakeholder groups involved in SGC operations, participants were chosen through quota sampling. School principals, SGC chairpersons, teacher representatives, parent representatives, community members, and representatives of local government units from five Camarines Sur congressional districts made up the sample of 176 participants. Participation in SGC activities for at least six months and willingness to take part in the study were among the selection criteria.</w:t>
      </w:r>
    </w:p>
    <w:p w14:paraId="3B6F5053" w14:textId="77777777" w:rsidR="00D00E91" w:rsidRPr="006F437B" w:rsidRDefault="00D00E91" w:rsidP="00460089">
      <w:pPr>
        <w:pStyle w:val="Body"/>
        <w:spacing w:after="0"/>
        <w:rPr>
          <w:rFonts w:ascii="Arial" w:hAnsi="Arial" w:cs="Arial"/>
        </w:rPr>
      </w:pPr>
    </w:p>
    <w:p w14:paraId="386949F5" w14:textId="77777777" w:rsidR="00CD2803" w:rsidRDefault="0095153E" w:rsidP="00CD2803">
      <w:pPr>
        <w:pStyle w:val="Body"/>
        <w:spacing w:after="0"/>
        <w:rPr>
          <w:rFonts w:ascii="Arial" w:hAnsi="Arial" w:cs="Arial"/>
        </w:rPr>
      </w:pPr>
      <w:r w:rsidRPr="0095153E">
        <w:rPr>
          <w:rFonts w:ascii="Arial" w:hAnsi="Arial" w:cs="Arial"/>
          <w:b/>
          <w:caps/>
          <w:sz w:val="22"/>
        </w:rPr>
        <w:t xml:space="preserve">2.4 </w:t>
      </w:r>
      <w:r w:rsidRPr="0095153E">
        <w:rPr>
          <w:rFonts w:ascii="Arial" w:hAnsi="Arial" w:cs="Arial"/>
          <w:b/>
          <w:sz w:val="22"/>
        </w:rPr>
        <w:t>Data Collection</w:t>
      </w:r>
    </w:p>
    <w:p w14:paraId="3A47129F" w14:textId="77777777" w:rsidR="00CD2803" w:rsidRDefault="00CD2803" w:rsidP="00CD2803">
      <w:pPr>
        <w:pStyle w:val="Body"/>
        <w:spacing w:after="0"/>
        <w:rPr>
          <w:rFonts w:ascii="Arial" w:hAnsi="Arial" w:cs="Arial"/>
        </w:rPr>
      </w:pPr>
    </w:p>
    <w:p w14:paraId="53A236B3" w14:textId="205F7900" w:rsidR="00CA0513" w:rsidRPr="006F437B" w:rsidRDefault="00E2268D" w:rsidP="00CA0513">
      <w:pPr>
        <w:pStyle w:val="Body"/>
        <w:spacing w:after="0"/>
        <w:rPr>
          <w:rFonts w:ascii="Arial" w:hAnsi="Arial" w:cs="Arial"/>
        </w:rPr>
      </w:pPr>
      <w:r w:rsidRPr="006F437B">
        <w:rPr>
          <w:rFonts w:ascii="Arial" w:hAnsi="Arial" w:cs="Arial"/>
        </w:rPr>
        <w:t xml:space="preserve">Data </w:t>
      </w:r>
      <w:r w:rsidR="00C30A6B" w:rsidRPr="006F437B">
        <w:rPr>
          <w:rFonts w:ascii="Arial" w:hAnsi="Arial" w:cs="Arial"/>
        </w:rPr>
        <w:t>was</w:t>
      </w:r>
      <w:r w:rsidRPr="006F437B">
        <w:rPr>
          <w:rFonts w:ascii="Arial" w:hAnsi="Arial" w:cs="Arial"/>
        </w:rPr>
        <w:t xml:space="preserve"> collected through key informant interviews and a survey conducted between August 2022 and May 2023. The survey was conducted among school administrators, teachers, and members of School governing councils to gather their perceptions and experiences on the operationalization of School governing councils. The key informant interview was conducted with school administrators, teachers, and members of SGCs who have knowledge and expertise in operationalizing SGCs in their schools. </w:t>
      </w:r>
      <w:r w:rsidR="006F437B" w:rsidRPr="006F437B">
        <w:rPr>
          <w:rFonts w:ascii="Arial" w:hAnsi="Arial" w:cs="Arial"/>
        </w:rPr>
        <w:t>In-person, semi-structured interviews with participants took place at their schools for 45 to 60 minutes. Four primary topics were covered in the interview questions: (1) temporal difficulties impacting SGC operations; (2) elements affecting long-term program sustainability; (3) favorable results from SGC implementation; and (4) enduring implementation obstacles. With consent, audio recordings of the interviews were made and verbatim transcriptions were made. By obtaining quantitative opinions on SGC operationalization from a wider range of stakeholders, survey instruments supplemented interviews.</w:t>
      </w:r>
    </w:p>
    <w:p w14:paraId="1119622C" w14:textId="77777777" w:rsidR="00BE503E" w:rsidRDefault="00BE503E" w:rsidP="00BE503E">
      <w:pPr>
        <w:pStyle w:val="Body"/>
        <w:spacing w:after="0"/>
        <w:rPr>
          <w:rFonts w:ascii="Arial" w:hAnsi="Arial" w:cs="Arial"/>
        </w:rPr>
      </w:pPr>
    </w:p>
    <w:p w14:paraId="15D7F01A" w14:textId="77777777" w:rsidR="00B2265D" w:rsidRDefault="00521345" w:rsidP="00B2265D">
      <w:pPr>
        <w:pStyle w:val="Body"/>
        <w:spacing w:after="0"/>
        <w:rPr>
          <w:rFonts w:ascii="Arial" w:hAnsi="Arial" w:cs="Arial"/>
        </w:rPr>
      </w:pPr>
      <w:r w:rsidRPr="00521345">
        <w:rPr>
          <w:rFonts w:ascii="Arial" w:hAnsi="Arial" w:cs="Arial"/>
          <w:b/>
          <w:caps/>
          <w:sz w:val="22"/>
        </w:rPr>
        <w:t xml:space="preserve">2.5 </w:t>
      </w:r>
      <w:r w:rsidRPr="00521345">
        <w:rPr>
          <w:rFonts w:ascii="Arial" w:hAnsi="Arial" w:cs="Arial"/>
          <w:b/>
          <w:sz w:val="22"/>
        </w:rPr>
        <w:t>Data Analysis</w:t>
      </w:r>
      <w:r w:rsidR="00B2265D" w:rsidRPr="00C30A0F">
        <w:rPr>
          <w:rFonts w:ascii="Arial" w:hAnsi="Arial" w:cs="Arial"/>
          <w:b/>
          <w:sz w:val="22"/>
        </w:rPr>
        <w:t xml:space="preserve"> </w:t>
      </w:r>
      <w:r w:rsidR="00B2265D" w:rsidRPr="00FB3A86">
        <w:rPr>
          <w:rFonts w:ascii="Arial" w:hAnsi="Arial" w:cs="Arial"/>
        </w:rPr>
        <w:t xml:space="preserve">  </w:t>
      </w:r>
    </w:p>
    <w:p w14:paraId="1822DF2D" w14:textId="77777777" w:rsidR="00B2265D" w:rsidRDefault="00B2265D" w:rsidP="00B2265D">
      <w:pPr>
        <w:pStyle w:val="Body"/>
        <w:spacing w:after="0"/>
        <w:rPr>
          <w:rFonts w:ascii="Arial" w:hAnsi="Arial" w:cs="Arial"/>
        </w:rPr>
      </w:pPr>
    </w:p>
    <w:p w14:paraId="0CD89100" w14:textId="27B372B6" w:rsidR="002E5B59" w:rsidRDefault="002E5B59" w:rsidP="002E5B59">
      <w:pPr>
        <w:pStyle w:val="Body"/>
        <w:spacing w:after="0"/>
        <w:rPr>
          <w:rFonts w:ascii="Arial" w:hAnsi="Arial" w:cs="Arial"/>
        </w:rPr>
      </w:pPr>
      <w:r w:rsidRPr="002E5B59">
        <w:rPr>
          <w:rFonts w:ascii="Arial" w:hAnsi="Arial" w:cs="Arial"/>
        </w:rPr>
        <w:t>Thematic analysis was conducted following the framework proposed by Braun and Clarke (2006). The analytical process involved six phases: familiarization with data through repeated reading of transcripts; generation of initial codes; searching for themes; reviewing themes; defining and naming themes; and producing the final analysis. Two researchers independently coded the data to enhance reliability, with discrepancies resolved through discussion and consensus.</w:t>
      </w:r>
    </w:p>
    <w:p w14:paraId="2A446DA3" w14:textId="1E2EBE90" w:rsidR="003F2355" w:rsidRDefault="003F2355" w:rsidP="002E5B59">
      <w:pPr>
        <w:pStyle w:val="Body"/>
        <w:spacing w:after="0"/>
        <w:rPr>
          <w:rFonts w:ascii="Arial" w:hAnsi="Arial" w:cs="Arial"/>
        </w:rPr>
      </w:pPr>
    </w:p>
    <w:p w14:paraId="5FDF5334" w14:textId="3119AAC2" w:rsidR="00A62BB2" w:rsidRPr="0073319D" w:rsidRDefault="00A62BB2" w:rsidP="00A62BB2">
      <w:pPr>
        <w:pStyle w:val="Body"/>
        <w:spacing w:after="0"/>
        <w:rPr>
          <w:rFonts w:ascii="Arial" w:hAnsi="Arial" w:cs="Arial"/>
          <w:i/>
        </w:rPr>
      </w:pPr>
      <w:r w:rsidRPr="0073319D">
        <w:rPr>
          <w:rFonts w:ascii="Arial" w:hAnsi="Arial" w:cs="Arial"/>
          <w:i/>
        </w:rPr>
        <w:t>2.5.1 Detailed Analytical Procedures</w:t>
      </w:r>
    </w:p>
    <w:p w14:paraId="40B89358" w14:textId="77777777" w:rsidR="00A62BB2" w:rsidRPr="0073319D" w:rsidRDefault="00A62BB2" w:rsidP="00A62BB2">
      <w:pPr>
        <w:pStyle w:val="Body"/>
        <w:spacing w:after="0"/>
        <w:rPr>
          <w:rFonts w:ascii="Arial" w:hAnsi="Arial" w:cs="Arial"/>
        </w:rPr>
      </w:pPr>
    </w:p>
    <w:p w14:paraId="116FCCDE" w14:textId="4D6EE42C" w:rsidR="0073319D" w:rsidRPr="0073319D" w:rsidRDefault="002866A4" w:rsidP="0073319D">
      <w:pPr>
        <w:pStyle w:val="Body"/>
        <w:spacing w:after="0"/>
        <w:rPr>
          <w:rFonts w:ascii="Arial" w:hAnsi="Arial" w:cs="Arial"/>
        </w:rPr>
      </w:pPr>
      <w:r w:rsidRPr="002866A4">
        <w:rPr>
          <w:rFonts w:ascii="Arial" w:hAnsi="Arial" w:cs="Arial"/>
        </w:rPr>
        <w:t>To guarantee rigor and transparency, the thematic analysis process was carried out methodically. Following transcription, each interview transcript was independently examined by two researchers, who then repeatedly read the material to become acquainted with it. Both deductive codes derived from the research questions were used to generate the initial codes.</w:t>
      </w:r>
    </w:p>
    <w:p w14:paraId="09130D76" w14:textId="77777777" w:rsidR="0073319D" w:rsidRPr="0073319D" w:rsidRDefault="0073319D" w:rsidP="0073319D">
      <w:pPr>
        <w:pStyle w:val="Body"/>
        <w:spacing w:after="0"/>
        <w:rPr>
          <w:rFonts w:ascii="Arial" w:hAnsi="Arial" w:cs="Arial"/>
        </w:rPr>
      </w:pPr>
    </w:p>
    <w:p w14:paraId="3AF823CF" w14:textId="60797107" w:rsidR="0073319D" w:rsidRPr="0073319D" w:rsidRDefault="002866A4" w:rsidP="0073319D">
      <w:pPr>
        <w:pStyle w:val="Body"/>
        <w:spacing w:after="0"/>
        <w:rPr>
          <w:rFonts w:ascii="Arial" w:hAnsi="Arial" w:cs="Arial"/>
        </w:rPr>
      </w:pPr>
      <w:r w:rsidRPr="002866A4">
        <w:rPr>
          <w:rFonts w:ascii="Arial" w:hAnsi="Arial" w:cs="Arial"/>
        </w:rPr>
        <w:t>Transcripts were analyzed line by line during the coding process, with researchers marking pertinent passages and assigning appropriate codes. After coding separately, the two researchers met to compare their code applications and discuss any differences until they reached an agreement. The coding framework's dependability was improved by this cooperative approach.</w:t>
      </w:r>
    </w:p>
    <w:p w14:paraId="1A8EBA9D" w14:textId="68A618C9" w:rsidR="0073319D" w:rsidRPr="0073319D" w:rsidRDefault="0073319D" w:rsidP="0073319D">
      <w:pPr>
        <w:pStyle w:val="Body"/>
        <w:spacing w:after="0"/>
        <w:rPr>
          <w:rFonts w:ascii="Arial" w:hAnsi="Arial" w:cs="Arial"/>
        </w:rPr>
      </w:pPr>
    </w:p>
    <w:p w14:paraId="7099EB3B" w14:textId="4711B6C7" w:rsidR="0073319D" w:rsidRDefault="002866A4" w:rsidP="0073319D">
      <w:pPr>
        <w:pStyle w:val="Body"/>
        <w:spacing w:after="0"/>
        <w:rPr>
          <w:rFonts w:ascii="Arial" w:hAnsi="Arial" w:cs="Arial"/>
        </w:rPr>
      </w:pPr>
      <w:r w:rsidRPr="002866A4">
        <w:rPr>
          <w:rFonts w:ascii="Arial" w:hAnsi="Arial" w:cs="Arial"/>
        </w:rPr>
        <w:t xml:space="preserve">After that, related codes were grouped to identify possible themes. For instance, codes such as "budget delays," "insufficient funds," and "resource scarcity" were grouped under the </w:t>
      </w:r>
      <w:r w:rsidRPr="002866A4">
        <w:rPr>
          <w:rFonts w:ascii="Arial" w:hAnsi="Arial" w:cs="Arial"/>
        </w:rPr>
        <w:lastRenderedPageBreak/>
        <w:t>more general heading of "Funding Availability". To make sure they appropriately reflected participant responses, the research team compared these initial themes to the coded data extracts and the full dataset.</w:t>
      </w:r>
    </w:p>
    <w:p w14:paraId="0D9DCF61" w14:textId="77777777" w:rsidR="002866A4" w:rsidRPr="0073319D" w:rsidRDefault="002866A4" w:rsidP="0073319D">
      <w:pPr>
        <w:pStyle w:val="Body"/>
        <w:spacing w:after="0"/>
        <w:rPr>
          <w:rFonts w:ascii="Arial" w:hAnsi="Arial" w:cs="Arial"/>
        </w:rPr>
      </w:pPr>
    </w:p>
    <w:p w14:paraId="5BE21A3D" w14:textId="2056A687" w:rsidR="0073319D" w:rsidRPr="0073319D" w:rsidRDefault="002866A4" w:rsidP="0073319D">
      <w:pPr>
        <w:pStyle w:val="Body"/>
        <w:spacing w:after="0"/>
        <w:rPr>
          <w:rFonts w:ascii="Arial" w:hAnsi="Arial" w:cs="Arial"/>
        </w:rPr>
      </w:pPr>
      <w:r w:rsidRPr="002866A4">
        <w:rPr>
          <w:rFonts w:ascii="Arial" w:hAnsi="Arial" w:cs="Arial"/>
        </w:rPr>
        <w:t>Frequency Derivation and Ranking Clarification: Following theme finalization, we reviewed all coded segments in order to perform a systematic frequency count. Each participant's explicit mention of a theme was counted once. For instance, a participant's statement, "We lack funding for our programs," was considered one instance of the "Funding Availability" theme. To prevent overrepresentation of individual viewpoints, a participant's repeated mention of funding issues across questions was counted as a single instance. On the other hand, each participant's mention added to the overall frequency count if more than one person mentioned the same theme.</w:t>
      </w:r>
    </w:p>
    <w:p w14:paraId="0C156DE8" w14:textId="77777777" w:rsidR="0073319D" w:rsidRPr="0073319D" w:rsidRDefault="0073319D" w:rsidP="0073319D">
      <w:pPr>
        <w:pStyle w:val="Body"/>
        <w:spacing w:after="0"/>
        <w:rPr>
          <w:rFonts w:ascii="Arial" w:hAnsi="Arial" w:cs="Arial"/>
        </w:rPr>
      </w:pPr>
    </w:p>
    <w:p w14:paraId="79E0946E" w14:textId="2A640AD2" w:rsidR="00BE503E" w:rsidRPr="0073319D" w:rsidRDefault="002866A4" w:rsidP="0073319D">
      <w:pPr>
        <w:pStyle w:val="Body"/>
        <w:spacing w:after="0"/>
        <w:rPr>
          <w:rFonts w:ascii="Arial" w:hAnsi="Arial" w:cs="Arial"/>
        </w:rPr>
      </w:pPr>
      <w:r w:rsidRPr="002866A4">
        <w:rPr>
          <w:rFonts w:ascii="Arial" w:hAnsi="Arial" w:cs="Arial"/>
        </w:rPr>
        <w:t>Based on frequency counts, themes were then ranked in descending order, with rank 1 going to the theme with the highest frequency. Multiple themes received tied rankings when their frequencies were the same (e.g., each of the three themes received a rank of two if they each occurred eight times). We were able to determine which issues were most frequently raised across various stakeholder groups and educational settings using this ranking method, yielding a data-driven prioritization of implementation factors to address.</w:t>
      </w:r>
    </w:p>
    <w:p w14:paraId="37AB280A" w14:textId="77777777" w:rsidR="00AC74AB" w:rsidRPr="00D00E91" w:rsidRDefault="00AC74AB" w:rsidP="00C40C71">
      <w:pPr>
        <w:pStyle w:val="Body"/>
        <w:spacing w:after="0"/>
        <w:rPr>
          <w:rFonts w:ascii="Arial" w:hAnsi="Arial" w:cs="Arial"/>
          <w:color w:val="FF0000"/>
        </w:rPr>
      </w:pPr>
    </w:p>
    <w:p w14:paraId="3C2BC6A6" w14:textId="77777777" w:rsidR="000D027E" w:rsidRDefault="006A2F43" w:rsidP="000D027E">
      <w:pPr>
        <w:pStyle w:val="Body"/>
        <w:spacing w:after="0"/>
        <w:rPr>
          <w:rFonts w:ascii="Arial" w:hAnsi="Arial" w:cs="Arial"/>
        </w:rPr>
      </w:pPr>
      <w:r w:rsidRPr="006A2F43">
        <w:rPr>
          <w:rFonts w:ascii="Arial" w:hAnsi="Arial" w:cs="Arial"/>
          <w:b/>
          <w:caps/>
          <w:sz w:val="22"/>
        </w:rPr>
        <w:t xml:space="preserve">2.6 </w:t>
      </w:r>
      <w:r w:rsidR="00EB5E61" w:rsidRPr="006A2F43">
        <w:rPr>
          <w:rFonts w:ascii="Arial" w:hAnsi="Arial" w:cs="Arial"/>
          <w:b/>
          <w:sz w:val="22"/>
        </w:rPr>
        <w:t>Ethical Considerations</w:t>
      </w:r>
      <w:r w:rsidR="00EB5E61" w:rsidRPr="00C30A0F">
        <w:rPr>
          <w:rFonts w:ascii="Arial" w:hAnsi="Arial" w:cs="Arial"/>
          <w:b/>
          <w:sz w:val="22"/>
        </w:rPr>
        <w:t xml:space="preserve"> </w:t>
      </w:r>
      <w:r w:rsidR="00EB5E61" w:rsidRPr="00FB3A86">
        <w:rPr>
          <w:rFonts w:ascii="Arial" w:hAnsi="Arial" w:cs="Arial"/>
        </w:rPr>
        <w:t xml:space="preserve">  </w:t>
      </w:r>
    </w:p>
    <w:p w14:paraId="76709EED" w14:textId="77777777" w:rsidR="00222F74" w:rsidRPr="00222F74" w:rsidRDefault="00222F74" w:rsidP="00222F74">
      <w:pPr>
        <w:pStyle w:val="Body"/>
        <w:spacing w:after="0"/>
        <w:rPr>
          <w:rFonts w:ascii="Arial" w:hAnsi="Arial" w:cs="Arial"/>
        </w:rPr>
      </w:pPr>
    </w:p>
    <w:p w14:paraId="598DD505" w14:textId="77777777" w:rsidR="002E5B59" w:rsidRDefault="002E5B59" w:rsidP="002E5B59">
      <w:pPr>
        <w:pStyle w:val="Body"/>
        <w:spacing w:after="0"/>
        <w:rPr>
          <w:rFonts w:ascii="Arial" w:hAnsi="Arial" w:cs="Arial"/>
        </w:rPr>
      </w:pPr>
      <w:r w:rsidRPr="002E5B59">
        <w:rPr>
          <w:rFonts w:ascii="Arial" w:hAnsi="Arial" w:cs="Arial"/>
        </w:rPr>
        <w:t>Ethical approval for this study was obtained from the CBSUA Institutional Review Committee for Graduate Studies. Written informed consent was secured from all participants after providing detailed information about the study's purpose, procedures, potential risks, and benefits. Participants were assured of confidentiality and anonymity, with all identifying information removed from transcripts and reports. Participants were informed of their right to withdraw from the stu</w:t>
      </w:r>
      <w:r>
        <w:rPr>
          <w:rFonts w:ascii="Arial" w:hAnsi="Arial" w:cs="Arial"/>
        </w:rPr>
        <w:t>dy at any time without penalty.</w:t>
      </w:r>
    </w:p>
    <w:p w14:paraId="31320273" w14:textId="77777777" w:rsidR="002E5B59" w:rsidRPr="002E5B59" w:rsidRDefault="002E5B59" w:rsidP="002E5B59">
      <w:pPr>
        <w:pStyle w:val="Body"/>
        <w:spacing w:after="0"/>
        <w:rPr>
          <w:rFonts w:ascii="Arial" w:hAnsi="Arial" w:cs="Arial"/>
        </w:rPr>
      </w:pPr>
    </w:p>
    <w:p w14:paraId="6694C340" w14:textId="3C9BD62B" w:rsidR="00994605" w:rsidRDefault="00E112CD" w:rsidP="002E5B59">
      <w:pPr>
        <w:pStyle w:val="Body"/>
        <w:spacing w:after="0"/>
        <w:rPr>
          <w:rFonts w:ascii="Arial" w:hAnsi="Arial" w:cs="Arial"/>
        </w:rPr>
      </w:pPr>
      <w:r w:rsidRPr="00E112CD">
        <w:rPr>
          <w:rFonts w:ascii="Arial" w:hAnsi="Arial" w:cs="Arial"/>
        </w:rPr>
        <w:t xml:space="preserve">The Camarines Sur Schools Division Superintendent granted permission to conduct research in </w:t>
      </w:r>
      <w:proofErr w:type="spellStart"/>
      <w:r w:rsidRPr="00E112CD">
        <w:rPr>
          <w:rFonts w:ascii="Arial" w:hAnsi="Arial" w:cs="Arial"/>
        </w:rPr>
        <w:t>DepEd</w:t>
      </w:r>
      <w:proofErr w:type="spellEnd"/>
      <w:r w:rsidRPr="00E112CD">
        <w:rPr>
          <w:rFonts w:ascii="Arial" w:hAnsi="Arial" w:cs="Arial"/>
        </w:rPr>
        <w:t xml:space="preserve"> schools via the appropriate channels. School principals granted additional permission to conduct research in their respective establishments.</w:t>
      </w:r>
    </w:p>
    <w:p w14:paraId="74136768" w14:textId="77777777" w:rsidR="00D509BD" w:rsidRDefault="00D509BD" w:rsidP="00222F74">
      <w:pPr>
        <w:pStyle w:val="Body"/>
        <w:spacing w:after="0"/>
        <w:rPr>
          <w:rFonts w:ascii="Arial" w:hAnsi="Arial" w:cs="Arial"/>
        </w:rPr>
      </w:pPr>
    </w:p>
    <w:p w14:paraId="2772F5F9" w14:textId="77777777" w:rsidR="00932841" w:rsidRDefault="00A869F8" w:rsidP="00932841">
      <w:pPr>
        <w:pStyle w:val="Body"/>
        <w:spacing w:after="0"/>
        <w:rPr>
          <w:rFonts w:ascii="Arial" w:hAnsi="Arial" w:cs="Arial"/>
        </w:rPr>
      </w:pPr>
      <w:r w:rsidRPr="00A869F8">
        <w:rPr>
          <w:rFonts w:ascii="Arial" w:hAnsi="Arial" w:cs="Arial"/>
          <w:b/>
          <w:caps/>
          <w:sz w:val="22"/>
        </w:rPr>
        <w:t xml:space="preserve">2.7 </w:t>
      </w:r>
      <w:r>
        <w:rPr>
          <w:rFonts w:ascii="Arial" w:hAnsi="Arial" w:cs="Arial"/>
          <w:b/>
          <w:sz w:val="22"/>
        </w:rPr>
        <w:t>Validity a</w:t>
      </w:r>
      <w:r w:rsidRPr="00A869F8">
        <w:rPr>
          <w:rFonts w:ascii="Arial" w:hAnsi="Arial" w:cs="Arial"/>
          <w:b/>
          <w:sz w:val="22"/>
        </w:rPr>
        <w:t>nd Reliability</w:t>
      </w:r>
      <w:r w:rsidRPr="00C30A0F">
        <w:rPr>
          <w:rFonts w:ascii="Arial" w:hAnsi="Arial" w:cs="Arial"/>
          <w:b/>
          <w:sz w:val="22"/>
        </w:rPr>
        <w:t xml:space="preserve"> </w:t>
      </w:r>
      <w:r w:rsidRPr="00FB3A86">
        <w:rPr>
          <w:rFonts w:ascii="Arial" w:hAnsi="Arial" w:cs="Arial"/>
        </w:rPr>
        <w:t xml:space="preserve">  </w:t>
      </w:r>
    </w:p>
    <w:p w14:paraId="0053083C" w14:textId="77777777" w:rsidR="00932841" w:rsidRDefault="00932841" w:rsidP="00932841">
      <w:pPr>
        <w:pStyle w:val="Body"/>
        <w:spacing w:after="0"/>
        <w:rPr>
          <w:rFonts w:ascii="Arial" w:hAnsi="Arial" w:cs="Arial"/>
        </w:rPr>
      </w:pPr>
    </w:p>
    <w:p w14:paraId="0C6F90CF" w14:textId="1799488F" w:rsidR="00D509BD" w:rsidRPr="0061665D" w:rsidRDefault="0061665D" w:rsidP="00932841">
      <w:pPr>
        <w:pStyle w:val="Body"/>
        <w:spacing w:after="0"/>
        <w:rPr>
          <w:rFonts w:ascii="Arial" w:hAnsi="Arial" w:cs="Arial"/>
        </w:rPr>
      </w:pPr>
      <w:r w:rsidRPr="0061665D">
        <w:rPr>
          <w:rFonts w:ascii="Arial" w:hAnsi="Arial" w:cs="Arial"/>
        </w:rPr>
        <w:t>A number of rigorous methods improved the reliability of the results. 15 chosen participants (representing all stakeholder groups) were given access to preliminary themes and interpretations as part of the member checking process. They verified the accuracy of our analysis and offered more context. In order to find convergent viewpoints and identify divergent viewpoints, triangulation was achieved by methodically comparing data from various stakeholder groups (administrators, teachers, parents, and community members). Three education researchers who were not directly involved in the study participated in peer debriefing sessions that challenged researcher assumptions and offered external validation of analytical interpretations. All analytical choices, including coding justifications and theme development procedures, were recorded in audit trails.</w:t>
      </w:r>
    </w:p>
    <w:p w14:paraId="2F1312B8" w14:textId="78E41A0A" w:rsidR="00790ADA" w:rsidRDefault="00790ADA" w:rsidP="00441B6F">
      <w:pPr>
        <w:pStyle w:val="Body"/>
        <w:spacing w:after="0"/>
        <w:rPr>
          <w:rFonts w:ascii="Arial" w:hAnsi="Arial" w:cs="Arial"/>
        </w:rPr>
      </w:pPr>
    </w:p>
    <w:p w14:paraId="51E1E142" w14:textId="768B3DD6" w:rsidR="00B56A01" w:rsidRDefault="00B56A01" w:rsidP="00B56A01">
      <w:pPr>
        <w:pStyle w:val="Body"/>
        <w:spacing w:after="0"/>
        <w:rPr>
          <w:rFonts w:ascii="Arial" w:hAnsi="Arial" w:cs="Arial"/>
        </w:rPr>
      </w:pPr>
      <w:r w:rsidRPr="00A869F8">
        <w:rPr>
          <w:rFonts w:ascii="Arial" w:hAnsi="Arial" w:cs="Arial"/>
          <w:b/>
          <w:caps/>
          <w:sz w:val="22"/>
        </w:rPr>
        <w:t xml:space="preserve">2.7 </w:t>
      </w:r>
      <w:r w:rsidR="00A109D1" w:rsidRPr="00A109D1">
        <w:rPr>
          <w:rFonts w:ascii="Arial" w:hAnsi="Arial" w:cs="Arial"/>
          <w:b/>
          <w:sz w:val="22"/>
        </w:rPr>
        <w:t>Study Limitations</w:t>
      </w:r>
      <w:r w:rsidRPr="00C30A0F">
        <w:rPr>
          <w:rFonts w:ascii="Arial" w:hAnsi="Arial" w:cs="Arial"/>
          <w:b/>
          <w:sz w:val="22"/>
        </w:rPr>
        <w:t xml:space="preserve"> </w:t>
      </w:r>
      <w:r w:rsidRPr="00FB3A86">
        <w:rPr>
          <w:rFonts w:ascii="Arial" w:hAnsi="Arial" w:cs="Arial"/>
        </w:rPr>
        <w:t xml:space="preserve">  </w:t>
      </w:r>
    </w:p>
    <w:p w14:paraId="618B8C46" w14:textId="77777777" w:rsidR="00B56A01" w:rsidRDefault="00B56A01" w:rsidP="00B56A01">
      <w:pPr>
        <w:pStyle w:val="Body"/>
        <w:spacing w:after="0"/>
        <w:rPr>
          <w:rFonts w:ascii="Arial" w:hAnsi="Arial" w:cs="Arial"/>
        </w:rPr>
      </w:pPr>
    </w:p>
    <w:p w14:paraId="1AE82429" w14:textId="452D3BA7" w:rsidR="00FD516E" w:rsidRPr="00FD516E" w:rsidRDefault="00FD516E" w:rsidP="00FD516E">
      <w:pPr>
        <w:pStyle w:val="Body"/>
        <w:spacing w:after="0"/>
        <w:rPr>
          <w:rFonts w:ascii="Arial" w:hAnsi="Arial" w:cs="Arial"/>
        </w:rPr>
      </w:pPr>
      <w:r w:rsidRPr="00FD516E">
        <w:rPr>
          <w:rFonts w:ascii="Arial" w:hAnsi="Arial" w:cs="Arial"/>
        </w:rPr>
        <w:t xml:space="preserve">When interpreting the results, it is important to take into account the various limitations of this study. First, because the study was limited to </w:t>
      </w:r>
      <w:proofErr w:type="spellStart"/>
      <w:r w:rsidRPr="00FD516E">
        <w:rPr>
          <w:rFonts w:ascii="Arial" w:hAnsi="Arial" w:cs="Arial"/>
        </w:rPr>
        <w:t>DepEd</w:t>
      </w:r>
      <w:proofErr w:type="spellEnd"/>
      <w:r w:rsidRPr="00FD516E">
        <w:rPr>
          <w:rFonts w:ascii="Arial" w:hAnsi="Arial" w:cs="Arial"/>
        </w:rPr>
        <w:t xml:space="preserve"> Camarines Sur, the results may not be as applicable to other Philippine divisions with different administrative capacities, socioeconomic conditions, or geographic features. Regional differences in SGC </w:t>
      </w:r>
      <w:r w:rsidRPr="00FD516E">
        <w:rPr>
          <w:rFonts w:ascii="Arial" w:hAnsi="Arial" w:cs="Arial"/>
        </w:rPr>
        <w:lastRenderedPageBreak/>
        <w:t>implementation might exist, even though Camarines Sur is a typical Philippine educational division with a variety of urban and rural contexts.</w:t>
      </w:r>
    </w:p>
    <w:p w14:paraId="56BFF01E" w14:textId="77777777" w:rsidR="00FD516E" w:rsidRPr="00FD516E" w:rsidRDefault="00FD516E" w:rsidP="00FD516E">
      <w:pPr>
        <w:pStyle w:val="Body"/>
        <w:spacing w:after="0"/>
        <w:rPr>
          <w:rFonts w:ascii="Arial" w:hAnsi="Arial" w:cs="Arial"/>
        </w:rPr>
      </w:pPr>
    </w:p>
    <w:p w14:paraId="1C6B83B8" w14:textId="41AA73F9" w:rsidR="00FD516E" w:rsidRPr="00FD516E" w:rsidRDefault="00FD516E" w:rsidP="00FD516E">
      <w:pPr>
        <w:pStyle w:val="Body"/>
        <w:spacing w:after="0"/>
        <w:rPr>
          <w:rFonts w:ascii="Arial" w:hAnsi="Arial" w:cs="Arial"/>
        </w:rPr>
      </w:pPr>
      <w:r w:rsidRPr="00FD516E">
        <w:rPr>
          <w:rFonts w:ascii="Arial" w:hAnsi="Arial" w:cs="Arial"/>
        </w:rPr>
        <w:t>Second, the study mostly used self-reported information from surveys and key informant interviews. Social desirability bias may have affected participants' answers, especially when talking about delicate subjects like personal commitment levels or resistance to change. It's possible that some participants gave more positive accounts of their involvement in SGC than what is actually practiced. We used member checking to confirm interpretations and triangulation across several stakeholder groups to lessen this restriction.</w:t>
      </w:r>
    </w:p>
    <w:p w14:paraId="63A8F4FF" w14:textId="77777777" w:rsidR="00FD516E" w:rsidRPr="00FD516E" w:rsidRDefault="00FD516E" w:rsidP="00FD516E">
      <w:pPr>
        <w:pStyle w:val="Body"/>
        <w:spacing w:after="0"/>
        <w:rPr>
          <w:rFonts w:ascii="Arial" w:hAnsi="Arial" w:cs="Arial"/>
        </w:rPr>
      </w:pPr>
    </w:p>
    <w:p w14:paraId="63CBBB98" w14:textId="425BE870" w:rsidR="00FD516E" w:rsidRPr="00FD516E" w:rsidRDefault="00FD516E" w:rsidP="00FD516E">
      <w:pPr>
        <w:pStyle w:val="Body"/>
        <w:spacing w:after="0"/>
        <w:rPr>
          <w:rFonts w:ascii="Arial" w:hAnsi="Arial" w:cs="Arial"/>
        </w:rPr>
      </w:pPr>
      <w:r w:rsidRPr="00FD516E">
        <w:rPr>
          <w:rFonts w:ascii="Arial" w:hAnsi="Arial" w:cs="Arial"/>
        </w:rPr>
        <w:t>Third, the cross-sectional design recorded SGC implementation between August 2022 and May 2023, which might not accurately represent the dynamic character of governance processes that change over time. Deeper understanding of how SGC efficacy varies throughout implementation stages and how schools adjust to new difficulties would be possible through longitudinal research.</w:t>
      </w:r>
    </w:p>
    <w:p w14:paraId="19E891B5" w14:textId="77777777" w:rsidR="00FD516E" w:rsidRPr="00FD516E" w:rsidRDefault="00FD516E" w:rsidP="00FD516E">
      <w:pPr>
        <w:pStyle w:val="Body"/>
        <w:spacing w:after="0"/>
        <w:rPr>
          <w:rFonts w:ascii="Arial" w:hAnsi="Arial" w:cs="Arial"/>
        </w:rPr>
      </w:pPr>
    </w:p>
    <w:p w14:paraId="0A2A9E48" w14:textId="457E765A" w:rsidR="00FD516E" w:rsidRPr="00FD516E" w:rsidRDefault="00FD516E" w:rsidP="00FD516E">
      <w:pPr>
        <w:pStyle w:val="Body"/>
        <w:spacing w:after="0"/>
        <w:rPr>
          <w:rFonts w:ascii="Arial" w:hAnsi="Arial" w:cs="Arial"/>
        </w:rPr>
      </w:pPr>
      <w:r w:rsidRPr="00FD516E">
        <w:rPr>
          <w:rFonts w:ascii="Arial" w:hAnsi="Arial" w:cs="Arial"/>
        </w:rPr>
        <w:t>Fourth, the quota sampling technique might not have fully captured the diversity of experiences across all school types, sizes, and community contexts within Camarines Sur, even though the sample of 176 participants produced rich qualitative data. Furthermore, the selection of participants was predicated on active participation in SGC for a minimum of six months, which may have excluded viewpoints from schools that were beginning or had difficulty implementing SGC.</w:t>
      </w:r>
    </w:p>
    <w:p w14:paraId="2006D53F" w14:textId="77777777" w:rsidR="00FD516E" w:rsidRPr="00FD516E" w:rsidRDefault="00FD516E" w:rsidP="00FD516E">
      <w:pPr>
        <w:pStyle w:val="Body"/>
        <w:spacing w:after="0"/>
        <w:rPr>
          <w:rFonts w:ascii="Arial" w:hAnsi="Arial" w:cs="Arial"/>
        </w:rPr>
      </w:pPr>
    </w:p>
    <w:p w14:paraId="412FA85B" w14:textId="7489C339" w:rsidR="00FD516E" w:rsidRPr="00FD516E" w:rsidRDefault="00FD516E" w:rsidP="00FD516E">
      <w:pPr>
        <w:pStyle w:val="Body"/>
        <w:spacing w:after="0"/>
        <w:rPr>
          <w:rFonts w:ascii="Arial" w:hAnsi="Arial" w:cs="Arial"/>
        </w:rPr>
      </w:pPr>
      <w:r w:rsidRPr="00FD516E">
        <w:rPr>
          <w:rFonts w:ascii="Arial" w:hAnsi="Arial" w:cs="Arial"/>
        </w:rPr>
        <w:t xml:space="preserve"> Lastly, rather than measuring objective outcomes like student achievement data or measurable improvements in school operations, the study concentrated on perceived challenges, gains, and gaps. Future studies that combine quantitative performance metrics with qualitative viewpoints would offer a more thorough evaluation of SGC impact.</w:t>
      </w:r>
    </w:p>
    <w:p w14:paraId="5C5A760F" w14:textId="77777777" w:rsidR="00FD516E" w:rsidRPr="00FD516E" w:rsidRDefault="00FD516E" w:rsidP="00FD516E">
      <w:pPr>
        <w:pStyle w:val="Body"/>
        <w:spacing w:after="0"/>
        <w:rPr>
          <w:rFonts w:ascii="Arial" w:hAnsi="Arial" w:cs="Arial"/>
        </w:rPr>
      </w:pPr>
    </w:p>
    <w:p w14:paraId="61C7E88B" w14:textId="08694B5A" w:rsidR="00E95BAB" w:rsidRPr="00FD516E" w:rsidRDefault="00FD516E" w:rsidP="00FD516E">
      <w:pPr>
        <w:pStyle w:val="Body"/>
        <w:spacing w:after="0"/>
        <w:rPr>
          <w:rFonts w:ascii="Arial" w:hAnsi="Arial" w:cs="Arial"/>
        </w:rPr>
      </w:pPr>
      <w:r w:rsidRPr="00FD516E">
        <w:rPr>
          <w:rFonts w:ascii="Arial" w:hAnsi="Arial" w:cs="Arial"/>
        </w:rPr>
        <w:t>Notwithstanding these limitations, the study offers insightful empirical information about SGC implementation in the Philippine setting as well as evidence-based suggestions for enhancing participatory school governance.</w:t>
      </w:r>
    </w:p>
    <w:p w14:paraId="09C1E392" w14:textId="77777777" w:rsidR="00105590" w:rsidRPr="00FB3A86" w:rsidRDefault="00105590" w:rsidP="00441B6F">
      <w:pPr>
        <w:pStyle w:val="Body"/>
        <w:spacing w:after="0"/>
        <w:rPr>
          <w:rFonts w:ascii="Arial" w:hAnsi="Arial" w:cs="Arial"/>
        </w:rPr>
      </w:pPr>
    </w:p>
    <w:p w14:paraId="6E440E3F" w14:textId="77777777" w:rsidR="00902823" w:rsidRDefault="00000F8F" w:rsidP="00441B6F">
      <w:pPr>
        <w:pStyle w:val="Head1"/>
        <w:spacing w:after="0"/>
        <w:jc w:val="both"/>
        <w:rPr>
          <w:rFonts w:ascii="Arial" w:hAnsi="Arial" w:cs="Arial"/>
        </w:rPr>
      </w:pPr>
      <w:r w:rsidRPr="00B362EE">
        <w:rPr>
          <w:rFonts w:ascii="Arial" w:hAnsi="Arial" w:cs="Arial"/>
        </w:rPr>
        <w:t>3</w:t>
      </w:r>
      <w:r w:rsidR="00902823" w:rsidRPr="00B362EE">
        <w:rPr>
          <w:rFonts w:ascii="Arial" w:hAnsi="Arial" w:cs="Arial"/>
        </w:rPr>
        <w:t xml:space="preserve">. </w:t>
      </w:r>
      <w:r w:rsidRPr="00B362EE">
        <w:rPr>
          <w:rFonts w:ascii="Arial" w:hAnsi="Arial" w:cs="Arial"/>
        </w:rPr>
        <w:t>results and discussion</w:t>
      </w:r>
    </w:p>
    <w:p w14:paraId="43E383E8" w14:textId="0A9B9AD7" w:rsidR="00863BD3" w:rsidRDefault="00863BD3" w:rsidP="00441B6F">
      <w:pPr>
        <w:pStyle w:val="Body"/>
        <w:spacing w:after="0"/>
        <w:rPr>
          <w:rFonts w:ascii="Arial" w:hAnsi="Arial" w:cs="Arial"/>
        </w:rPr>
      </w:pPr>
    </w:p>
    <w:p w14:paraId="0E8FE23B" w14:textId="184D48F7" w:rsidR="00524A5D" w:rsidRPr="007A716D" w:rsidRDefault="00D51DEF" w:rsidP="00441B6F">
      <w:pPr>
        <w:pStyle w:val="Body"/>
        <w:spacing w:after="0"/>
        <w:rPr>
          <w:rFonts w:ascii="Arial" w:hAnsi="Arial" w:cs="Arial"/>
          <w:b/>
          <w:sz w:val="22"/>
        </w:rPr>
      </w:pPr>
      <w:r w:rsidRPr="007A716D">
        <w:rPr>
          <w:rFonts w:ascii="Arial" w:hAnsi="Arial" w:cs="Arial"/>
          <w:b/>
          <w:sz w:val="22"/>
        </w:rPr>
        <w:t xml:space="preserve">3.0   </w:t>
      </w:r>
      <w:r w:rsidR="00524A5D" w:rsidRPr="007A716D">
        <w:rPr>
          <w:rFonts w:ascii="Arial" w:hAnsi="Arial" w:cs="Arial"/>
          <w:b/>
          <w:sz w:val="22"/>
        </w:rPr>
        <w:t>Conceptual Framework of Findings</w:t>
      </w:r>
    </w:p>
    <w:p w14:paraId="6B992D15" w14:textId="2242AB9B" w:rsidR="00524A5D" w:rsidRDefault="00524A5D" w:rsidP="00441B6F">
      <w:pPr>
        <w:pStyle w:val="Body"/>
        <w:spacing w:after="0"/>
        <w:rPr>
          <w:rFonts w:ascii="Arial" w:hAnsi="Arial" w:cs="Arial"/>
        </w:rPr>
      </w:pPr>
    </w:p>
    <w:p w14:paraId="72BE2D9A" w14:textId="79A3D25B" w:rsidR="007A716D" w:rsidRDefault="004530B2" w:rsidP="004530B2">
      <w:pPr>
        <w:pStyle w:val="Body"/>
        <w:spacing w:after="0"/>
        <w:jc w:val="center"/>
        <w:rPr>
          <w:rFonts w:ascii="Arial" w:hAnsi="Arial" w:cs="Arial"/>
        </w:rPr>
      </w:pPr>
      <w:r w:rsidRPr="004530B2">
        <w:rPr>
          <w:rFonts w:ascii="Arial" w:hAnsi="Arial" w:cs="Arial"/>
          <w:noProof/>
        </w:rPr>
        <w:lastRenderedPageBreak/>
        <w:drawing>
          <wp:inline distT="0" distB="0" distL="0" distR="0" wp14:anchorId="75BF0A87" wp14:editId="066F6751">
            <wp:extent cx="3087990" cy="60432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08729" cy="6083833"/>
                    </a:xfrm>
                    <a:prstGeom prst="rect">
                      <a:avLst/>
                    </a:prstGeom>
                  </pic:spPr>
                </pic:pic>
              </a:graphicData>
            </a:graphic>
          </wp:inline>
        </w:drawing>
      </w:r>
    </w:p>
    <w:p w14:paraId="5FED27CD" w14:textId="1B654FD9" w:rsidR="007A716D" w:rsidRDefault="00776886" w:rsidP="00E60057">
      <w:pPr>
        <w:pStyle w:val="Body"/>
        <w:spacing w:after="0"/>
        <w:jc w:val="center"/>
        <w:rPr>
          <w:rFonts w:ascii="Arial" w:hAnsi="Arial" w:cs="Arial"/>
        </w:rPr>
      </w:pPr>
      <w:r w:rsidRPr="00776886">
        <w:rPr>
          <w:rFonts w:ascii="Arial" w:hAnsi="Arial" w:cs="Arial"/>
        </w:rPr>
        <w:t>Figure 1. Conceptual model showing interconnections between seasonality issues, sustainability challenges, implementation gains, and persistent gaps in SGC programs. Funding availability (shaded) appears as a critical factor across multiple domains, demonstrating its systemic importance.</w:t>
      </w:r>
    </w:p>
    <w:p w14:paraId="18B4FB32" w14:textId="77777777" w:rsidR="00550D38" w:rsidRPr="00FB3A86" w:rsidRDefault="00550D38" w:rsidP="00E60057">
      <w:pPr>
        <w:pStyle w:val="Body"/>
        <w:spacing w:after="0"/>
        <w:jc w:val="center"/>
        <w:rPr>
          <w:rFonts w:ascii="Arial" w:hAnsi="Arial" w:cs="Arial"/>
        </w:rPr>
      </w:pPr>
    </w:p>
    <w:p w14:paraId="0A4824A4" w14:textId="77777777" w:rsidR="00A71B97"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8701EB" w:rsidRPr="008701EB">
        <w:rPr>
          <w:rFonts w:ascii="Arial" w:hAnsi="Arial" w:cs="Arial"/>
          <w:b/>
          <w:sz w:val="22"/>
        </w:rPr>
        <w:t>Seasonality Issues Encountered by Schools in the Implementation of School Governing Council Programs and Initiatives</w:t>
      </w:r>
      <w:r w:rsidRPr="00FB3A86">
        <w:rPr>
          <w:rFonts w:ascii="Arial" w:hAnsi="Arial" w:cs="Arial"/>
        </w:rPr>
        <w:t xml:space="preserve"> </w:t>
      </w:r>
    </w:p>
    <w:p w14:paraId="0CB25464" w14:textId="77777777" w:rsidR="00A71B97" w:rsidRDefault="00A71B97" w:rsidP="00441B6F">
      <w:pPr>
        <w:pStyle w:val="Body"/>
        <w:spacing w:after="0"/>
        <w:rPr>
          <w:rFonts w:ascii="Arial" w:hAnsi="Arial" w:cs="Arial"/>
        </w:rPr>
      </w:pPr>
    </w:p>
    <w:p w14:paraId="7BCE10D3" w14:textId="5D753F61" w:rsidR="00C30A0F" w:rsidRPr="00DB03ED" w:rsidRDefault="00AB214A" w:rsidP="00B635D2">
      <w:pPr>
        <w:pStyle w:val="Body"/>
        <w:spacing w:after="0"/>
        <w:rPr>
          <w:rFonts w:ascii="Arial" w:hAnsi="Arial" w:cs="Arial"/>
        </w:rPr>
      </w:pPr>
      <w:r w:rsidRPr="00DB03ED">
        <w:rPr>
          <w:rFonts w:ascii="Arial" w:hAnsi="Arial" w:cs="Arial"/>
        </w:rPr>
        <w:t xml:space="preserve">School Governing Council programs in </w:t>
      </w:r>
      <w:proofErr w:type="spellStart"/>
      <w:r w:rsidRPr="00DB03ED">
        <w:rPr>
          <w:rFonts w:ascii="Arial" w:hAnsi="Arial" w:cs="Arial"/>
        </w:rPr>
        <w:t>DepEd</w:t>
      </w:r>
      <w:proofErr w:type="spellEnd"/>
      <w:r w:rsidRPr="00DB03ED">
        <w:rPr>
          <w:rFonts w:ascii="Arial" w:hAnsi="Arial" w:cs="Arial"/>
        </w:rPr>
        <w:t xml:space="preserve"> Camarines Sur face numerous seasonality factors causing temporal disruptions and variations in effectiveness. </w:t>
      </w:r>
      <w:r w:rsidR="00B635D2" w:rsidRPr="00DB03ED">
        <w:rPr>
          <w:rFonts w:ascii="Arial" w:hAnsi="Arial" w:cs="Arial"/>
        </w:rPr>
        <w:t>Schools face multiple time-sensitive challenges that disrupt consistent SGC operations. Analysis revealed six primary seasonality themes with varying impact levels</w:t>
      </w:r>
      <w:r w:rsidR="00D222A4" w:rsidRPr="00DB03ED">
        <w:rPr>
          <w:rFonts w:ascii="Arial" w:hAnsi="Arial" w:cs="Arial"/>
        </w:rPr>
        <w:t xml:space="preserve"> (Table 1)</w:t>
      </w:r>
      <w:r w:rsidR="00B635D2" w:rsidRPr="00DB03ED">
        <w:rPr>
          <w:rFonts w:ascii="Arial" w:hAnsi="Arial" w:cs="Arial"/>
        </w:rPr>
        <w:t>.</w:t>
      </w:r>
    </w:p>
    <w:p w14:paraId="2B68674A" w14:textId="77777777" w:rsidR="00B1576D" w:rsidRDefault="00B1576D" w:rsidP="00B1576D">
      <w:pPr>
        <w:pStyle w:val="Body"/>
        <w:spacing w:after="0"/>
        <w:rPr>
          <w:rFonts w:ascii="Arial" w:hAnsi="Arial" w:cs="Arial"/>
        </w:rPr>
      </w:pPr>
    </w:p>
    <w:p w14:paraId="5F4F4671" w14:textId="77777777" w:rsidR="009A68A6" w:rsidRDefault="009A68A6" w:rsidP="00B1576D">
      <w:pPr>
        <w:pStyle w:val="Body"/>
        <w:spacing w:after="0"/>
        <w:rPr>
          <w:rFonts w:ascii="Arial" w:hAnsi="Arial" w:cs="Arial"/>
        </w:rPr>
      </w:pPr>
    </w:p>
    <w:p w14:paraId="7F4E3E9B" w14:textId="77777777" w:rsidR="007C5F97" w:rsidRPr="007C5F97" w:rsidRDefault="007C5F97" w:rsidP="007C5F97">
      <w:pPr>
        <w:jc w:val="both"/>
        <w:rPr>
          <w:rFonts w:ascii="Arial" w:hAnsi="Arial" w:cs="Arial"/>
        </w:rPr>
      </w:pPr>
      <w:r w:rsidRPr="007C5F97">
        <w:rPr>
          <w:rFonts w:ascii="Arial" w:hAnsi="Arial" w:cs="Arial"/>
          <w:b/>
          <w:bCs/>
        </w:rPr>
        <w:t>Table 1.</w:t>
      </w:r>
      <w:r w:rsidRPr="007C5F97">
        <w:rPr>
          <w:rFonts w:ascii="Arial" w:hAnsi="Arial" w:cs="Arial"/>
        </w:rPr>
        <w:t xml:space="preserve"> </w:t>
      </w:r>
      <w:r w:rsidRPr="007C5F97">
        <w:rPr>
          <w:rFonts w:ascii="Arial" w:hAnsi="Arial" w:cs="Arial"/>
          <w:i/>
          <w:iCs/>
        </w:rPr>
        <w:t>Seasonality Issues Encountered by Schools in the Implementation of School Governing Council Programs and Initiatives</w:t>
      </w:r>
    </w:p>
    <w:tbl>
      <w:tblPr>
        <w:tblStyle w:val="TableGrid"/>
        <w:tblW w:w="81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2206"/>
        <w:gridCol w:w="1268"/>
      </w:tblGrid>
      <w:tr w:rsidR="007C5F97" w:rsidRPr="007C5F97" w14:paraId="4EC4CB9B" w14:textId="77777777" w:rsidTr="00F3618F">
        <w:trPr>
          <w:trHeight w:val="272"/>
          <w:jc w:val="center"/>
        </w:trPr>
        <w:tc>
          <w:tcPr>
            <w:tcW w:w="4637" w:type="dxa"/>
            <w:tcBorders>
              <w:top w:val="single" w:sz="4" w:space="0" w:color="auto"/>
              <w:bottom w:val="single" w:sz="4" w:space="0" w:color="auto"/>
            </w:tcBorders>
            <w:vAlign w:val="center"/>
            <w:hideMark/>
          </w:tcPr>
          <w:p w14:paraId="77C4AD2D" w14:textId="77777777" w:rsidR="007C5F97" w:rsidRPr="007C5F97" w:rsidRDefault="007C5F97" w:rsidP="00E44EF8">
            <w:pPr>
              <w:jc w:val="center"/>
              <w:rPr>
                <w:rFonts w:ascii="Arial" w:eastAsia="Times New Roman" w:hAnsi="Arial" w:cs="Arial"/>
                <w:b/>
                <w:bCs/>
                <w:sz w:val="20"/>
                <w:szCs w:val="20"/>
              </w:rPr>
            </w:pPr>
            <w:r w:rsidRPr="007C5F97">
              <w:rPr>
                <w:rFonts w:ascii="Arial" w:eastAsia="Times New Roman" w:hAnsi="Arial" w:cs="Arial"/>
                <w:b/>
                <w:bCs/>
                <w:sz w:val="20"/>
                <w:szCs w:val="20"/>
              </w:rPr>
              <w:t>Themes</w:t>
            </w:r>
          </w:p>
        </w:tc>
        <w:tc>
          <w:tcPr>
            <w:tcW w:w="0" w:type="auto"/>
            <w:tcBorders>
              <w:top w:val="single" w:sz="4" w:space="0" w:color="auto"/>
              <w:bottom w:val="single" w:sz="4" w:space="0" w:color="auto"/>
            </w:tcBorders>
            <w:vAlign w:val="center"/>
            <w:hideMark/>
          </w:tcPr>
          <w:p w14:paraId="4F3494B4" w14:textId="77777777" w:rsidR="007C5F97" w:rsidRPr="007C5F97" w:rsidRDefault="007C5F97" w:rsidP="00E44EF8">
            <w:pPr>
              <w:jc w:val="center"/>
              <w:rPr>
                <w:rFonts w:ascii="Arial" w:eastAsia="Times New Roman" w:hAnsi="Arial" w:cs="Arial"/>
                <w:b/>
                <w:bCs/>
                <w:sz w:val="20"/>
                <w:szCs w:val="20"/>
              </w:rPr>
            </w:pPr>
            <w:r w:rsidRPr="007C5F97">
              <w:rPr>
                <w:rFonts w:ascii="Arial" w:eastAsia="Times New Roman" w:hAnsi="Arial" w:cs="Arial"/>
                <w:b/>
                <w:bCs/>
                <w:sz w:val="20"/>
                <w:szCs w:val="20"/>
              </w:rPr>
              <w:t>Frequency</w:t>
            </w:r>
          </w:p>
        </w:tc>
        <w:tc>
          <w:tcPr>
            <w:tcW w:w="0" w:type="auto"/>
            <w:tcBorders>
              <w:top w:val="single" w:sz="4" w:space="0" w:color="auto"/>
              <w:bottom w:val="single" w:sz="4" w:space="0" w:color="auto"/>
            </w:tcBorders>
            <w:vAlign w:val="center"/>
            <w:hideMark/>
          </w:tcPr>
          <w:p w14:paraId="2F3992E3" w14:textId="77777777" w:rsidR="007C5F97" w:rsidRPr="007C5F97" w:rsidRDefault="007C5F97" w:rsidP="00E44EF8">
            <w:pPr>
              <w:jc w:val="center"/>
              <w:rPr>
                <w:rFonts w:ascii="Arial" w:eastAsia="Times New Roman" w:hAnsi="Arial" w:cs="Arial"/>
                <w:b/>
                <w:bCs/>
                <w:sz w:val="20"/>
                <w:szCs w:val="20"/>
              </w:rPr>
            </w:pPr>
            <w:r w:rsidRPr="007C5F97">
              <w:rPr>
                <w:rFonts w:ascii="Arial" w:eastAsia="Times New Roman" w:hAnsi="Arial" w:cs="Arial"/>
                <w:b/>
                <w:bCs/>
                <w:sz w:val="20"/>
                <w:szCs w:val="20"/>
              </w:rPr>
              <w:t>Rank</w:t>
            </w:r>
          </w:p>
        </w:tc>
      </w:tr>
      <w:tr w:rsidR="007C5F97" w:rsidRPr="007C5F97" w14:paraId="3EB0E1DE" w14:textId="77777777" w:rsidTr="00F3618F">
        <w:trPr>
          <w:trHeight w:val="272"/>
          <w:jc w:val="center"/>
        </w:trPr>
        <w:tc>
          <w:tcPr>
            <w:tcW w:w="4637" w:type="dxa"/>
            <w:tcBorders>
              <w:top w:val="single" w:sz="4" w:space="0" w:color="auto"/>
            </w:tcBorders>
            <w:vAlign w:val="center"/>
            <w:hideMark/>
          </w:tcPr>
          <w:p w14:paraId="6EC3DB89"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Funding Availability</w:t>
            </w:r>
          </w:p>
        </w:tc>
        <w:tc>
          <w:tcPr>
            <w:tcW w:w="0" w:type="auto"/>
            <w:tcBorders>
              <w:top w:val="single" w:sz="4" w:space="0" w:color="auto"/>
            </w:tcBorders>
            <w:vAlign w:val="center"/>
            <w:hideMark/>
          </w:tcPr>
          <w:p w14:paraId="6ACA1BFD"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8</w:t>
            </w:r>
          </w:p>
        </w:tc>
        <w:tc>
          <w:tcPr>
            <w:tcW w:w="0" w:type="auto"/>
            <w:tcBorders>
              <w:top w:val="single" w:sz="4" w:space="0" w:color="auto"/>
            </w:tcBorders>
            <w:vAlign w:val="center"/>
            <w:hideMark/>
          </w:tcPr>
          <w:p w14:paraId="66A0B79D"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1</w:t>
            </w:r>
          </w:p>
        </w:tc>
      </w:tr>
      <w:tr w:rsidR="007C5F97" w:rsidRPr="007C5F97" w14:paraId="75723E18" w14:textId="77777777" w:rsidTr="00F3618F">
        <w:trPr>
          <w:trHeight w:val="260"/>
          <w:jc w:val="center"/>
        </w:trPr>
        <w:tc>
          <w:tcPr>
            <w:tcW w:w="4637" w:type="dxa"/>
            <w:vAlign w:val="center"/>
            <w:hideMark/>
          </w:tcPr>
          <w:p w14:paraId="22D5E7B4"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Staff Training and Development</w:t>
            </w:r>
          </w:p>
        </w:tc>
        <w:tc>
          <w:tcPr>
            <w:tcW w:w="0" w:type="auto"/>
            <w:vAlign w:val="center"/>
            <w:hideMark/>
          </w:tcPr>
          <w:p w14:paraId="0326A702"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7</w:t>
            </w:r>
          </w:p>
        </w:tc>
        <w:tc>
          <w:tcPr>
            <w:tcW w:w="0" w:type="auto"/>
            <w:vAlign w:val="center"/>
            <w:hideMark/>
          </w:tcPr>
          <w:p w14:paraId="7CE19731"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2</w:t>
            </w:r>
          </w:p>
        </w:tc>
      </w:tr>
      <w:tr w:rsidR="007C5F97" w:rsidRPr="007C5F97" w14:paraId="257C7444" w14:textId="77777777" w:rsidTr="00F3618F">
        <w:trPr>
          <w:trHeight w:val="272"/>
          <w:jc w:val="center"/>
        </w:trPr>
        <w:tc>
          <w:tcPr>
            <w:tcW w:w="4637" w:type="dxa"/>
            <w:vAlign w:val="center"/>
            <w:hideMark/>
          </w:tcPr>
          <w:p w14:paraId="3AC502E6"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Conflict with School Calendar</w:t>
            </w:r>
          </w:p>
        </w:tc>
        <w:tc>
          <w:tcPr>
            <w:tcW w:w="0" w:type="auto"/>
            <w:vAlign w:val="center"/>
            <w:hideMark/>
          </w:tcPr>
          <w:p w14:paraId="330D05DA"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6</w:t>
            </w:r>
          </w:p>
        </w:tc>
        <w:tc>
          <w:tcPr>
            <w:tcW w:w="0" w:type="auto"/>
            <w:vAlign w:val="center"/>
            <w:hideMark/>
          </w:tcPr>
          <w:p w14:paraId="15A63CF0"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3.5</w:t>
            </w:r>
          </w:p>
        </w:tc>
      </w:tr>
      <w:tr w:rsidR="007C5F97" w:rsidRPr="007C5F97" w14:paraId="14D4A9AF" w14:textId="77777777" w:rsidTr="00F3618F">
        <w:trPr>
          <w:trHeight w:val="272"/>
          <w:jc w:val="center"/>
        </w:trPr>
        <w:tc>
          <w:tcPr>
            <w:tcW w:w="4637" w:type="dxa"/>
            <w:vAlign w:val="center"/>
            <w:hideMark/>
          </w:tcPr>
          <w:p w14:paraId="32852D92"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Changes in Government Policies</w:t>
            </w:r>
          </w:p>
        </w:tc>
        <w:tc>
          <w:tcPr>
            <w:tcW w:w="0" w:type="auto"/>
            <w:vAlign w:val="center"/>
            <w:hideMark/>
          </w:tcPr>
          <w:p w14:paraId="3A31FDDA"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6</w:t>
            </w:r>
          </w:p>
        </w:tc>
        <w:tc>
          <w:tcPr>
            <w:tcW w:w="0" w:type="auto"/>
            <w:vAlign w:val="center"/>
            <w:hideMark/>
          </w:tcPr>
          <w:p w14:paraId="2AE4566F"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3.5</w:t>
            </w:r>
          </w:p>
        </w:tc>
      </w:tr>
      <w:tr w:rsidR="007C5F97" w:rsidRPr="007C5F97" w14:paraId="50EE1BCF" w14:textId="77777777" w:rsidTr="00F3618F">
        <w:trPr>
          <w:trHeight w:val="272"/>
          <w:jc w:val="center"/>
        </w:trPr>
        <w:tc>
          <w:tcPr>
            <w:tcW w:w="4637" w:type="dxa"/>
            <w:vAlign w:val="center"/>
            <w:hideMark/>
          </w:tcPr>
          <w:p w14:paraId="3D7E4B62"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Weather Conditions</w:t>
            </w:r>
          </w:p>
        </w:tc>
        <w:tc>
          <w:tcPr>
            <w:tcW w:w="0" w:type="auto"/>
            <w:vAlign w:val="center"/>
            <w:hideMark/>
          </w:tcPr>
          <w:p w14:paraId="311EB9E8"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5</w:t>
            </w:r>
          </w:p>
        </w:tc>
        <w:tc>
          <w:tcPr>
            <w:tcW w:w="0" w:type="auto"/>
            <w:vAlign w:val="center"/>
            <w:hideMark/>
          </w:tcPr>
          <w:p w14:paraId="02CEC1D1"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5</w:t>
            </w:r>
          </w:p>
        </w:tc>
      </w:tr>
      <w:tr w:rsidR="007C5F97" w:rsidRPr="007C5F97" w14:paraId="221CC9D4" w14:textId="77777777" w:rsidTr="00F3618F">
        <w:trPr>
          <w:trHeight w:val="272"/>
          <w:jc w:val="center"/>
        </w:trPr>
        <w:tc>
          <w:tcPr>
            <w:tcW w:w="4637" w:type="dxa"/>
            <w:tcBorders>
              <w:bottom w:val="single" w:sz="4" w:space="0" w:color="auto"/>
            </w:tcBorders>
            <w:vAlign w:val="center"/>
            <w:hideMark/>
          </w:tcPr>
          <w:p w14:paraId="59ADA679"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Availability of Technology</w:t>
            </w:r>
          </w:p>
        </w:tc>
        <w:tc>
          <w:tcPr>
            <w:tcW w:w="0" w:type="auto"/>
            <w:tcBorders>
              <w:bottom w:val="single" w:sz="4" w:space="0" w:color="auto"/>
            </w:tcBorders>
            <w:vAlign w:val="center"/>
            <w:hideMark/>
          </w:tcPr>
          <w:p w14:paraId="75D84B5E"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3</w:t>
            </w:r>
          </w:p>
        </w:tc>
        <w:tc>
          <w:tcPr>
            <w:tcW w:w="0" w:type="auto"/>
            <w:tcBorders>
              <w:bottom w:val="single" w:sz="4" w:space="0" w:color="auto"/>
            </w:tcBorders>
            <w:vAlign w:val="center"/>
            <w:hideMark/>
          </w:tcPr>
          <w:p w14:paraId="05D04612"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6</w:t>
            </w:r>
          </w:p>
        </w:tc>
      </w:tr>
    </w:tbl>
    <w:p w14:paraId="457780B7" w14:textId="77777777" w:rsidR="00B1576D" w:rsidRDefault="00B1576D" w:rsidP="00B1576D">
      <w:pPr>
        <w:pStyle w:val="Body"/>
        <w:spacing w:after="0"/>
        <w:rPr>
          <w:rFonts w:ascii="Arial" w:hAnsi="Arial" w:cs="Arial"/>
        </w:rPr>
      </w:pPr>
    </w:p>
    <w:p w14:paraId="1491B6E3" w14:textId="1F0D85F6" w:rsidR="00B46E43" w:rsidRPr="00B46E43" w:rsidRDefault="003F3CE7" w:rsidP="00B46E43">
      <w:pPr>
        <w:pStyle w:val="Body"/>
        <w:spacing w:after="0"/>
        <w:rPr>
          <w:rFonts w:ascii="Arial" w:hAnsi="Arial" w:cs="Arial"/>
        </w:rPr>
      </w:pPr>
      <w:r w:rsidRPr="003F3CE7">
        <w:rPr>
          <w:rFonts w:ascii="Arial" w:hAnsi="Arial" w:cs="Arial"/>
          <w:b/>
        </w:rPr>
        <w:t>Funding Availability</w:t>
      </w:r>
      <w:r w:rsidRPr="003F3CE7">
        <w:rPr>
          <w:rFonts w:ascii="Arial" w:hAnsi="Arial" w:cs="Arial"/>
        </w:rPr>
        <w:t xml:space="preserve"> emerged as the most critical seasonality factor, ranking first in frequency (n = 8). The significant influence of financial resources on the temporal patterns of SGC program implementation is highlighted by this finding. Schools' ability to carry out planned initiatives is directly impacted by the cyclical nature of budget allocations and disbursements, which produces predictable periods of resource abundance and scarcity. Schools are forced to postpone or reduce activities when funding is delayed or insufficient, which results in implementation gaps and decreased program effectiveness. This observation is consistent with Colonia et al. (2024) showing how budgetary limitations cause delays and force educational programs to be rescheduled, which ultimately reduces their impact.</w:t>
      </w:r>
    </w:p>
    <w:p w14:paraId="3521E41A" w14:textId="77777777" w:rsidR="00B46E43" w:rsidRPr="00B46E43" w:rsidRDefault="00B46E43" w:rsidP="00B46E43">
      <w:pPr>
        <w:pStyle w:val="Body"/>
        <w:spacing w:after="0"/>
        <w:rPr>
          <w:rFonts w:ascii="Arial" w:hAnsi="Arial" w:cs="Arial"/>
        </w:rPr>
      </w:pPr>
    </w:p>
    <w:p w14:paraId="703897C7" w14:textId="2A1B7FE2" w:rsidR="00B46E43" w:rsidRPr="00B46E43" w:rsidRDefault="00F105C5" w:rsidP="00B46E43">
      <w:pPr>
        <w:pStyle w:val="Body"/>
        <w:spacing w:after="0"/>
        <w:rPr>
          <w:rFonts w:ascii="Arial" w:hAnsi="Arial" w:cs="Arial"/>
        </w:rPr>
      </w:pPr>
      <w:r w:rsidRPr="002A29F4">
        <w:rPr>
          <w:rFonts w:ascii="Arial" w:hAnsi="Arial" w:cs="Arial"/>
          <w:b/>
        </w:rPr>
        <w:t>Staff Training and Development</w:t>
      </w:r>
      <w:r w:rsidRPr="00F105C5">
        <w:rPr>
          <w:rFonts w:ascii="Arial" w:hAnsi="Arial" w:cs="Arial"/>
        </w:rPr>
        <w:t xml:space="preserve"> ranked second (frequency = 7, rank = 2), indicating its substantial influence on SGC seasonality. Seasonal patterns govern the availability of training opportunities for SGC members and school personnel, which are frequently concentrated during particular times, like summer vacations or the start of the school year. SGC members may not have the skills needed to carry out programs successfully if training is unavailable or scheduled improperly, which could result in delays and poor quality. This result is supported by </w:t>
      </w:r>
      <w:proofErr w:type="spellStart"/>
      <w:r w:rsidRPr="00F105C5">
        <w:rPr>
          <w:rFonts w:ascii="Arial" w:hAnsi="Arial" w:cs="Arial"/>
        </w:rPr>
        <w:t>Clapham</w:t>
      </w:r>
      <w:proofErr w:type="spellEnd"/>
      <w:r w:rsidRPr="00F105C5">
        <w:rPr>
          <w:rFonts w:ascii="Arial" w:hAnsi="Arial" w:cs="Arial"/>
        </w:rPr>
        <w:t xml:space="preserve"> (2024), who highlighted how poor planning and capacity building lead to program implementation bottlenecks and lower governance quality.</w:t>
      </w:r>
    </w:p>
    <w:p w14:paraId="4623A16F" w14:textId="77777777" w:rsidR="00B46E43" w:rsidRPr="00B46E43" w:rsidRDefault="00B46E43" w:rsidP="00B46E43">
      <w:pPr>
        <w:pStyle w:val="Body"/>
        <w:spacing w:after="0"/>
        <w:rPr>
          <w:rFonts w:ascii="Arial" w:hAnsi="Arial" w:cs="Arial"/>
        </w:rPr>
      </w:pPr>
    </w:p>
    <w:p w14:paraId="5FF4E7C7" w14:textId="7174B95B" w:rsidR="00B46E43" w:rsidRPr="00B46E43" w:rsidRDefault="00957BAA" w:rsidP="00B46E43">
      <w:pPr>
        <w:pStyle w:val="Body"/>
        <w:spacing w:after="0"/>
        <w:rPr>
          <w:rFonts w:ascii="Arial" w:hAnsi="Arial" w:cs="Arial"/>
        </w:rPr>
      </w:pPr>
      <w:r w:rsidRPr="00957BAA">
        <w:rPr>
          <w:rFonts w:ascii="Arial" w:hAnsi="Arial" w:cs="Arial"/>
        </w:rPr>
        <w:t xml:space="preserve">Conflicts with School Calendar and Changes in Government Policies were tied for third place (frequency = 6, rank = 3.5), both representing significant seasonal challenges. When SGC activities must contend with the rigorous schedule of academic requirements, exams, school events, and administrative deadlines, school calendar conflicts occur. There is little time for SGC meetings and program execution during certain times, especially during exam weeks or significant school events. In a similar vein, policy changes frequently coincide with election cycles or fiscal year transitions, resulting in uncertain times and necessitating modifications to established policies and practices. Hadley et al. (2024) documented similar phenomena, pointing out that as schools adjust to new regulations and requirements, policy changes require program modifications </w:t>
      </w:r>
      <w:r w:rsidR="00457DB8">
        <w:rPr>
          <w:rFonts w:ascii="Arial" w:hAnsi="Arial" w:cs="Arial"/>
        </w:rPr>
        <w:t>and cause implementation delays</w:t>
      </w:r>
      <w:r w:rsidRPr="00957BAA">
        <w:rPr>
          <w:rFonts w:ascii="Arial" w:hAnsi="Arial" w:cs="Arial"/>
        </w:rPr>
        <w:t>.</w:t>
      </w:r>
    </w:p>
    <w:p w14:paraId="516CAFEF" w14:textId="77777777" w:rsidR="00B46E43" w:rsidRPr="00B46E43" w:rsidRDefault="00B46E43" w:rsidP="00B46E43">
      <w:pPr>
        <w:pStyle w:val="Body"/>
        <w:spacing w:after="0"/>
        <w:rPr>
          <w:rFonts w:ascii="Arial" w:hAnsi="Arial" w:cs="Arial"/>
        </w:rPr>
      </w:pPr>
    </w:p>
    <w:p w14:paraId="51A63A37" w14:textId="24C2FC49" w:rsidR="00B46E43" w:rsidRPr="00B46E43" w:rsidRDefault="00F51BFC" w:rsidP="00B46E43">
      <w:pPr>
        <w:pStyle w:val="Body"/>
        <w:spacing w:after="0"/>
        <w:rPr>
          <w:rFonts w:ascii="Arial" w:hAnsi="Arial" w:cs="Arial"/>
        </w:rPr>
      </w:pPr>
      <w:r w:rsidRPr="00712B42">
        <w:rPr>
          <w:rFonts w:ascii="Arial" w:hAnsi="Arial" w:cs="Arial"/>
          <w:b/>
        </w:rPr>
        <w:t>Weather Conditions</w:t>
      </w:r>
      <w:r w:rsidRPr="00F51BFC">
        <w:rPr>
          <w:rFonts w:ascii="Arial" w:hAnsi="Arial" w:cs="Arial"/>
        </w:rPr>
        <w:t xml:space="preserve"> ranked fifth (frequency = 5, rank = 5), reflecting the Philippines' tropical climate characterized by distinct wet and dry seasons, as well as vulnerability to typhoons and other weather disturbances. Unpredictable disruptions in SGC activities can result from severe weather that damages facilities, cancels meetings, and interferes with school operations. Its lower ranking, however, indicates that schools have created flexible ways to deal with weather-related difficulties. As Estrada and Mori (2025) note, although program planning is impacted by environmental factors, schools can manage weather-related difficulties by incorporating contingency planning into their schedules.</w:t>
      </w:r>
    </w:p>
    <w:p w14:paraId="71143A60" w14:textId="77777777" w:rsidR="00B46E43" w:rsidRPr="00B46E43" w:rsidRDefault="00B46E43" w:rsidP="00B46E43">
      <w:pPr>
        <w:pStyle w:val="Body"/>
        <w:spacing w:after="0"/>
        <w:rPr>
          <w:rFonts w:ascii="Arial" w:hAnsi="Arial" w:cs="Arial"/>
        </w:rPr>
      </w:pPr>
    </w:p>
    <w:p w14:paraId="30107262" w14:textId="77777777" w:rsidR="00B46E43" w:rsidRPr="00B46E43" w:rsidRDefault="00B46E43" w:rsidP="00B46E43">
      <w:pPr>
        <w:pStyle w:val="Body"/>
        <w:spacing w:after="0"/>
        <w:rPr>
          <w:rFonts w:ascii="Arial" w:hAnsi="Arial" w:cs="Arial"/>
        </w:rPr>
      </w:pPr>
      <w:r w:rsidRPr="009F282D">
        <w:rPr>
          <w:rFonts w:ascii="Arial" w:hAnsi="Arial" w:cs="Arial"/>
          <w:b/>
        </w:rPr>
        <w:lastRenderedPageBreak/>
        <w:t>Availability of Technology</w:t>
      </w:r>
      <w:r w:rsidRPr="00B46E43">
        <w:rPr>
          <w:rFonts w:ascii="Arial" w:hAnsi="Arial" w:cs="Arial"/>
        </w:rPr>
        <w:t xml:space="preserve"> was the least influential seasonality factor (frequency = 3, rank = 6), suggesting that technological constraints, while present, do not create significant temporal variations in SGC implementation within the study context. This may reflect either limited reliance on technology for SGC operations or relatively stable patterns of technology access throughout the year.</w:t>
      </w:r>
    </w:p>
    <w:p w14:paraId="0200D6AC" w14:textId="77777777" w:rsidR="00B46E43" w:rsidRPr="00B46E43" w:rsidRDefault="00B46E43" w:rsidP="00B46E43">
      <w:pPr>
        <w:pStyle w:val="Body"/>
        <w:spacing w:after="0"/>
        <w:rPr>
          <w:rFonts w:ascii="Arial" w:hAnsi="Arial" w:cs="Arial"/>
        </w:rPr>
      </w:pPr>
    </w:p>
    <w:p w14:paraId="75383961" w14:textId="2BCDEE8D" w:rsidR="00B46E43" w:rsidRPr="00B46E43" w:rsidRDefault="00EE6646" w:rsidP="00B46E43">
      <w:pPr>
        <w:pStyle w:val="Body"/>
        <w:spacing w:after="0"/>
        <w:rPr>
          <w:rFonts w:ascii="Arial" w:hAnsi="Arial" w:cs="Arial"/>
        </w:rPr>
      </w:pPr>
      <w:r w:rsidRPr="00EE6646">
        <w:rPr>
          <w:rFonts w:ascii="Arial" w:hAnsi="Arial" w:cs="Arial"/>
        </w:rPr>
        <w:t>These results are in line with earlier studies on school-based initiatives. Even well-designed programs find it difficult to sustain momentum in the absence of steady financial support, according to research on school-based programs in resource-constrained settings that identified funding availability and administrative support as critical determinants of program success and sustainability (Guzman, 2022).</w:t>
      </w:r>
    </w:p>
    <w:p w14:paraId="08FE4796" w14:textId="77777777" w:rsidR="00B46E43" w:rsidRPr="00B46E43" w:rsidRDefault="00B46E43" w:rsidP="00B46E43">
      <w:pPr>
        <w:pStyle w:val="Body"/>
        <w:spacing w:after="0"/>
        <w:rPr>
          <w:rFonts w:ascii="Arial" w:hAnsi="Arial" w:cs="Arial"/>
        </w:rPr>
      </w:pPr>
    </w:p>
    <w:p w14:paraId="1E0D0DF3" w14:textId="37A8DA2E" w:rsidR="00B46E43" w:rsidRPr="00B46E43" w:rsidRDefault="000E15C7" w:rsidP="00B46E43">
      <w:pPr>
        <w:pStyle w:val="Body"/>
        <w:spacing w:after="0"/>
        <w:rPr>
          <w:rFonts w:ascii="Arial" w:hAnsi="Arial" w:cs="Arial"/>
        </w:rPr>
      </w:pPr>
      <w:r w:rsidRPr="000E15C7">
        <w:rPr>
          <w:rFonts w:ascii="Arial" w:hAnsi="Arial" w:cs="Arial"/>
        </w:rPr>
        <w:t>Research on stakeholder participation initiatives identified professional development and capacity building as key success factors, highlighting the necessity of continual training for program efficacy (</w:t>
      </w:r>
      <w:proofErr w:type="spellStart"/>
      <w:r w:rsidRPr="000E15C7">
        <w:rPr>
          <w:rFonts w:ascii="Arial" w:hAnsi="Arial" w:cs="Arial"/>
        </w:rPr>
        <w:t>Jaso</w:t>
      </w:r>
      <w:proofErr w:type="spellEnd"/>
      <w:r w:rsidRPr="000E15C7">
        <w:rPr>
          <w:rFonts w:ascii="Arial" w:hAnsi="Arial" w:cs="Arial"/>
        </w:rPr>
        <w:t xml:space="preserve"> &amp; </w:t>
      </w:r>
      <w:proofErr w:type="spellStart"/>
      <w:r w:rsidRPr="000E15C7">
        <w:rPr>
          <w:rFonts w:ascii="Arial" w:hAnsi="Arial" w:cs="Arial"/>
        </w:rPr>
        <w:t>Moleño</w:t>
      </w:r>
      <w:proofErr w:type="spellEnd"/>
      <w:r w:rsidRPr="000E15C7">
        <w:rPr>
          <w:rFonts w:ascii="Arial" w:hAnsi="Arial" w:cs="Arial"/>
        </w:rPr>
        <w:t>, 2023). The importance of training as a seasonality issue in the current study is directly supported by their research, which highlighted the necessity of continuous capacity building for program effectiveness.</w:t>
      </w:r>
    </w:p>
    <w:p w14:paraId="75DCEF8D" w14:textId="77777777" w:rsidR="00B46E43" w:rsidRPr="00B46E43" w:rsidRDefault="00B46E43" w:rsidP="00B46E43">
      <w:pPr>
        <w:pStyle w:val="Body"/>
        <w:spacing w:after="0"/>
        <w:rPr>
          <w:rFonts w:ascii="Arial" w:hAnsi="Arial" w:cs="Arial"/>
        </w:rPr>
      </w:pPr>
    </w:p>
    <w:p w14:paraId="37DEF0FB" w14:textId="77777777" w:rsidR="00B46E43" w:rsidRPr="00B46E43" w:rsidRDefault="00B46E43" w:rsidP="00B46E43">
      <w:pPr>
        <w:pStyle w:val="Body"/>
        <w:spacing w:after="0"/>
        <w:rPr>
          <w:rFonts w:ascii="Arial" w:hAnsi="Arial" w:cs="Arial"/>
        </w:rPr>
      </w:pPr>
      <w:r w:rsidRPr="00B46E43">
        <w:rPr>
          <w:rFonts w:ascii="Arial" w:hAnsi="Arial" w:cs="Arial"/>
        </w:rPr>
        <w:t>Research on educational program sustainability found that policy adoption and stakeholder engagement played significant roles in enhancing program continuity, underscoring how governance frameworks can create both opportunities and challenges for school programs (Peng et al., 2024). Their work underscores how policy changes can create both opportunities and challenges for school programs, supporting this study's identification of policy changes as a primary seasonality concern.</w:t>
      </w:r>
    </w:p>
    <w:p w14:paraId="7ECF914A" w14:textId="77777777" w:rsidR="00B46E43" w:rsidRPr="00B46E43" w:rsidRDefault="00B46E43" w:rsidP="00B46E43">
      <w:pPr>
        <w:pStyle w:val="Body"/>
        <w:spacing w:after="0"/>
        <w:rPr>
          <w:rFonts w:ascii="Arial" w:hAnsi="Arial" w:cs="Arial"/>
        </w:rPr>
      </w:pPr>
    </w:p>
    <w:p w14:paraId="7C05C85A" w14:textId="01720C18" w:rsidR="007C5F97" w:rsidRDefault="00B46E43" w:rsidP="00B46E43">
      <w:pPr>
        <w:pStyle w:val="Body"/>
        <w:spacing w:after="0"/>
        <w:rPr>
          <w:rFonts w:ascii="Arial" w:hAnsi="Arial" w:cs="Arial"/>
        </w:rPr>
      </w:pPr>
      <w:r w:rsidRPr="00B46E43">
        <w:rPr>
          <w:rFonts w:ascii="Arial" w:hAnsi="Arial" w:cs="Arial"/>
        </w:rPr>
        <w:t>The convergence of findings across these studies and the current research suggests that seasonality issues in SGC implementation are not isolated phenomena but reflect broader patterns in educational program management. Schools must develop strategies that account for these predictable seasonal variations, including establishing contingency funds, scheduling training during optimal periods, aligning SGC activities with the school calendar, maintaining policy awareness and adaptability, and building resilience to weather-related disruptions.</w:t>
      </w:r>
    </w:p>
    <w:p w14:paraId="0F46B6CF" w14:textId="26DFDE9F" w:rsidR="00680748" w:rsidRDefault="00680748" w:rsidP="00B46E43">
      <w:pPr>
        <w:pStyle w:val="Body"/>
        <w:spacing w:after="0"/>
        <w:rPr>
          <w:rFonts w:ascii="Arial" w:hAnsi="Arial" w:cs="Arial"/>
        </w:rPr>
      </w:pPr>
    </w:p>
    <w:p w14:paraId="1B28AB87" w14:textId="4AAB3CF6" w:rsidR="00712C04" w:rsidRPr="00820689" w:rsidRDefault="00712C04" w:rsidP="00297644">
      <w:pPr>
        <w:pStyle w:val="Body"/>
        <w:spacing w:after="0"/>
        <w:rPr>
          <w:rFonts w:ascii="Arial" w:hAnsi="Arial" w:cs="Arial"/>
          <w:i/>
        </w:rPr>
      </w:pPr>
      <w:r w:rsidRPr="00820689">
        <w:rPr>
          <w:rFonts w:ascii="Arial" w:hAnsi="Arial" w:cs="Arial"/>
          <w:i/>
        </w:rPr>
        <w:t>3.1.1 Interconnections Among Seasonality Factors</w:t>
      </w:r>
    </w:p>
    <w:p w14:paraId="264E86E1" w14:textId="77777777" w:rsidR="005D704F" w:rsidRPr="005D704F" w:rsidRDefault="005D704F" w:rsidP="00297644">
      <w:pPr>
        <w:pStyle w:val="Body"/>
        <w:spacing w:after="0"/>
        <w:rPr>
          <w:rFonts w:ascii="Arial" w:hAnsi="Arial" w:cs="Arial"/>
          <w:color w:val="FF0000"/>
        </w:rPr>
      </w:pPr>
    </w:p>
    <w:p w14:paraId="24699661" w14:textId="54DFCB53" w:rsidR="00820689" w:rsidRDefault="00710AF8" w:rsidP="00820689">
      <w:pPr>
        <w:pStyle w:val="Body"/>
        <w:spacing w:after="0"/>
        <w:rPr>
          <w:rFonts w:ascii="Arial" w:hAnsi="Arial" w:cs="Arial"/>
        </w:rPr>
      </w:pPr>
      <w:r w:rsidRPr="00710AF8">
        <w:rPr>
          <w:rFonts w:ascii="Arial" w:hAnsi="Arial" w:cs="Arial"/>
        </w:rPr>
        <w:t>The identified seasonality problems create a networked system in which problems exacerbate one another's effects. The availability of funding (rank 1) has a domino effect on other variables. Scheduled training sessions are prevented by budget disbursement delays (rank 2), necessitating postponement to times that clash with school calendars (rank 3.5). As one principal pointed out, training that was supposed to take place in July was postponed until October, but by then, division activities and exam periods necessitated a total cancellation.</w:t>
      </w:r>
    </w:p>
    <w:p w14:paraId="4A47FFE5" w14:textId="77777777" w:rsidR="00820689" w:rsidRPr="00820689" w:rsidRDefault="00820689" w:rsidP="00820689">
      <w:pPr>
        <w:pStyle w:val="Body"/>
        <w:spacing w:after="0"/>
        <w:rPr>
          <w:rFonts w:ascii="Arial" w:hAnsi="Arial" w:cs="Arial"/>
        </w:rPr>
      </w:pPr>
    </w:p>
    <w:p w14:paraId="01BAD099" w14:textId="79B12FAD" w:rsidR="00820689" w:rsidRDefault="00710AF8" w:rsidP="00820689">
      <w:pPr>
        <w:pStyle w:val="Body"/>
        <w:spacing w:after="0"/>
        <w:rPr>
          <w:rFonts w:ascii="Arial" w:hAnsi="Arial" w:cs="Arial"/>
        </w:rPr>
      </w:pPr>
      <w:r w:rsidRPr="00710AF8">
        <w:rPr>
          <w:rFonts w:ascii="Arial" w:hAnsi="Arial" w:cs="Arial"/>
        </w:rPr>
        <w:t>This interconnection illustrates how temporal disruptions in funding create compounding challenges across multiple domains. Schools face impossible choices between academic priorities and governance capacity building. Policy changes (rank 3.5) interact with funding by introducing new requirements without corresponding resources, creating additional seasonal stress points.</w:t>
      </w:r>
    </w:p>
    <w:p w14:paraId="35B62214" w14:textId="77777777" w:rsidR="00820689" w:rsidRPr="00820689" w:rsidRDefault="00820689" w:rsidP="00820689">
      <w:pPr>
        <w:pStyle w:val="Body"/>
        <w:spacing w:after="0"/>
        <w:rPr>
          <w:rFonts w:ascii="Arial" w:hAnsi="Arial" w:cs="Arial"/>
        </w:rPr>
      </w:pPr>
    </w:p>
    <w:p w14:paraId="76E12A63" w14:textId="4CE812B2" w:rsidR="00820689" w:rsidRDefault="00710AF8" w:rsidP="00820689">
      <w:pPr>
        <w:pStyle w:val="Body"/>
        <w:spacing w:after="0"/>
        <w:rPr>
          <w:rFonts w:ascii="Arial" w:hAnsi="Arial" w:cs="Arial"/>
        </w:rPr>
      </w:pPr>
      <w:r w:rsidRPr="00710AF8">
        <w:rPr>
          <w:rFonts w:ascii="Arial" w:hAnsi="Arial" w:cs="Arial"/>
        </w:rPr>
        <w:t xml:space="preserve">Despite being ranked lower, weather conditions (rank 5) have the potential to interfere with all planned activities. In several schools, typhoons forced the cancellation of consecutive monthly meetings, which resulted in a loss of momentum and the need to restart initiatives. These connections imply that holistic interventions, as opposed to discrete ones, are </w:t>
      </w:r>
      <w:r w:rsidRPr="00710AF8">
        <w:rPr>
          <w:rFonts w:ascii="Arial" w:hAnsi="Arial" w:cs="Arial"/>
        </w:rPr>
        <w:lastRenderedPageBreak/>
        <w:t>necessary to address seasonality. If training schedules continue to be out of sync with school calendars or if weather contingencies are not taken into account, increasing funding predictability on its own is insufficient.</w:t>
      </w:r>
    </w:p>
    <w:p w14:paraId="4C6555FF" w14:textId="77777777" w:rsidR="00820689" w:rsidRPr="00820689" w:rsidRDefault="00820689" w:rsidP="00820689">
      <w:pPr>
        <w:pStyle w:val="Body"/>
        <w:spacing w:after="0"/>
        <w:rPr>
          <w:rFonts w:ascii="Arial" w:hAnsi="Arial" w:cs="Arial"/>
        </w:rPr>
      </w:pPr>
    </w:p>
    <w:p w14:paraId="756C3A4F" w14:textId="7A8A1083" w:rsidR="00680748" w:rsidRPr="00820689" w:rsidRDefault="00710AF8" w:rsidP="00820689">
      <w:pPr>
        <w:pStyle w:val="Body"/>
        <w:spacing w:after="0"/>
        <w:rPr>
          <w:rFonts w:ascii="Arial" w:hAnsi="Arial" w:cs="Arial"/>
        </w:rPr>
      </w:pPr>
      <w:r w:rsidRPr="00710AF8">
        <w:rPr>
          <w:rFonts w:ascii="Arial" w:hAnsi="Arial" w:cs="Arial"/>
        </w:rPr>
        <w:t>As a result, schools need to create all-encompassing plans that take into consideration a variety of interrelated elements, such as flexible scheduling, backup funding sources, and program designs that are flexible enough to keep going even in the face of unforeseen disruptions.</w:t>
      </w:r>
    </w:p>
    <w:p w14:paraId="04E42A4C" w14:textId="77777777" w:rsidR="00505F06" w:rsidRDefault="00505F06" w:rsidP="00441B6F">
      <w:pPr>
        <w:pStyle w:val="Body"/>
        <w:spacing w:after="0"/>
        <w:rPr>
          <w:rFonts w:ascii="Arial" w:hAnsi="Arial" w:cs="Arial"/>
        </w:rPr>
      </w:pPr>
    </w:p>
    <w:p w14:paraId="403753FE" w14:textId="77777777" w:rsidR="0022272A" w:rsidRDefault="0022272A" w:rsidP="0022272A">
      <w:pPr>
        <w:pStyle w:val="Body"/>
        <w:spacing w:after="0"/>
        <w:rPr>
          <w:rFonts w:ascii="Arial" w:hAnsi="Arial" w:cs="Arial"/>
        </w:rPr>
      </w:pPr>
      <w:r w:rsidRPr="00B553A8">
        <w:rPr>
          <w:rFonts w:ascii="Arial" w:hAnsi="Arial" w:cs="Arial"/>
          <w:b/>
          <w:caps/>
          <w:sz w:val="22"/>
        </w:rPr>
        <w:t>3</w:t>
      </w:r>
      <w:r w:rsidR="00ED5478" w:rsidRPr="00B553A8">
        <w:rPr>
          <w:rFonts w:ascii="Arial" w:hAnsi="Arial" w:cs="Arial"/>
          <w:b/>
          <w:caps/>
          <w:sz w:val="22"/>
        </w:rPr>
        <w:t>.2</w:t>
      </w:r>
      <w:r w:rsidRPr="00B553A8">
        <w:rPr>
          <w:rFonts w:ascii="Arial" w:hAnsi="Arial" w:cs="Arial"/>
          <w:b/>
          <w:caps/>
          <w:sz w:val="22"/>
        </w:rPr>
        <w:t xml:space="preserve"> </w:t>
      </w:r>
      <w:r w:rsidR="00DF1040" w:rsidRPr="00B553A8">
        <w:rPr>
          <w:rFonts w:ascii="Arial" w:hAnsi="Arial" w:cs="Arial"/>
          <w:b/>
          <w:sz w:val="22"/>
        </w:rPr>
        <w:t>Sustainability Issues Encountered by Schools in the Implementation of School Governing Council Programs and Initiatives</w:t>
      </w:r>
      <w:r w:rsidRPr="00FB3A86">
        <w:rPr>
          <w:rFonts w:ascii="Arial" w:hAnsi="Arial" w:cs="Arial"/>
        </w:rPr>
        <w:t xml:space="preserve"> </w:t>
      </w:r>
    </w:p>
    <w:p w14:paraId="259DFB76" w14:textId="77777777" w:rsidR="0022272A" w:rsidRDefault="0022272A" w:rsidP="0022272A">
      <w:pPr>
        <w:pStyle w:val="Body"/>
        <w:spacing w:after="0"/>
        <w:rPr>
          <w:rFonts w:ascii="Arial" w:hAnsi="Arial" w:cs="Arial"/>
        </w:rPr>
      </w:pPr>
    </w:p>
    <w:p w14:paraId="38C49C95" w14:textId="6858DD05" w:rsidR="0022272A" w:rsidRPr="00CD74BD" w:rsidRDefault="00FA19B1" w:rsidP="0073180E">
      <w:pPr>
        <w:pStyle w:val="Body"/>
        <w:spacing w:after="0"/>
        <w:rPr>
          <w:rFonts w:ascii="Arial" w:hAnsi="Arial" w:cs="Arial"/>
        </w:rPr>
      </w:pPr>
      <w:r w:rsidRPr="00CD74BD">
        <w:rPr>
          <w:rFonts w:ascii="Arial" w:hAnsi="Arial" w:cs="Arial"/>
        </w:rPr>
        <w:t>While seasonality issues cause temporal disruptions, sustainability issues threaten the long-term continuity of SGC programs. Understanding these factors is essential for developing strategies that ensure lasting improvements in school quality and student outcomes.</w:t>
      </w:r>
    </w:p>
    <w:p w14:paraId="69B7DB3D" w14:textId="77777777" w:rsidR="00FB05C5" w:rsidRPr="00CD74BD" w:rsidRDefault="00FB05C5" w:rsidP="0073180E">
      <w:pPr>
        <w:pStyle w:val="Body"/>
        <w:spacing w:after="0"/>
        <w:rPr>
          <w:rFonts w:ascii="Arial" w:hAnsi="Arial" w:cs="Arial"/>
        </w:rPr>
      </w:pPr>
    </w:p>
    <w:p w14:paraId="4D62AE91" w14:textId="77777777" w:rsidR="00DA6D62" w:rsidRPr="00DA6D62" w:rsidRDefault="00DA6D62" w:rsidP="00DA6D62">
      <w:pPr>
        <w:jc w:val="both"/>
        <w:rPr>
          <w:rFonts w:ascii="Arial" w:hAnsi="Arial" w:cs="Arial"/>
        </w:rPr>
      </w:pPr>
      <w:r w:rsidRPr="00DA6D62">
        <w:rPr>
          <w:rFonts w:ascii="Arial" w:hAnsi="Arial" w:cs="Arial"/>
          <w:b/>
          <w:bCs/>
        </w:rPr>
        <w:t>Table 2.</w:t>
      </w:r>
      <w:r w:rsidRPr="00DA6D62">
        <w:rPr>
          <w:rFonts w:ascii="Arial" w:hAnsi="Arial" w:cs="Arial"/>
        </w:rPr>
        <w:t xml:space="preserve"> </w:t>
      </w:r>
      <w:r w:rsidRPr="00DA6D62">
        <w:rPr>
          <w:rFonts w:ascii="Arial" w:hAnsi="Arial" w:cs="Arial"/>
          <w:i/>
          <w:iCs/>
        </w:rPr>
        <w:t>Sustainability Issues Encountered by Schools in the Implementation of School Governing Council Programs and Initiatives</w:t>
      </w:r>
    </w:p>
    <w:tbl>
      <w:tblPr>
        <w:tblStyle w:val="TableGrid"/>
        <w:tblW w:w="81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2"/>
        <w:gridCol w:w="1624"/>
        <w:gridCol w:w="934"/>
      </w:tblGrid>
      <w:tr w:rsidR="00DA6D62" w:rsidRPr="00DA6D62" w14:paraId="2DFD5102" w14:textId="77777777" w:rsidTr="00856739">
        <w:trPr>
          <w:trHeight w:val="254"/>
          <w:jc w:val="center"/>
        </w:trPr>
        <w:tc>
          <w:tcPr>
            <w:tcW w:w="5572" w:type="dxa"/>
            <w:tcBorders>
              <w:top w:val="single" w:sz="4" w:space="0" w:color="auto"/>
              <w:bottom w:val="single" w:sz="4" w:space="0" w:color="auto"/>
            </w:tcBorders>
            <w:vAlign w:val="center"/>
            <w:hideMark/>
          </w:tcPr>
          <w:p w14:paraId="5DCFD0BB" w14:textId="77777777" w:rsidR="00DA6D62" w:rsidRPr="00DA6D62" w:rsidRDefault="00DA6D62" w:rsidP="00DA6D62">
            <w:pPr>
              <w:jc w:val="center"/>
              <w:rPr>
                <w:rFonts w:ascii="Arial" w:eastAsia="Times New Roman" w:hAnsi="Arial" w:cs="Arial"/>
                <w:b/>
                <w:bCs/>
                <w:sz w:val="20"/>
                <w:szCs w:val="20"/>
              </w:rPr>
            </w:pPr>
            <w:r w:rsidRPr="00DA6D62">
              <w:rPr>
                <w:rFonts w:ascii="Arial" w:eastAsia="Times New Roman" w:hAnsi="Arial" w:cs="Arial"/>
                <w:b/>
                <w:bCs/>
                <w:sz w:val="20"/>
                <w:szCs w:val="20"/>
              </w:rPr>
              <w:t>Themes</w:t>
            </w:r>
          </w:p>
        </w:tc>
        <w:tc>
          <w:tcPr>
            <w:tcW w:w="0" w:type="auto"/>
            <w:tcBorders>
              <w:top w:val="single" w:sz="4" w:space="0" w:color="auto"/>
              <w:bottom w:val="single" w:sz="4" w:space="0" w:color="auto"/>
            </w:tcBorders>
            <w:vAlign w:val="center"/>
            <w:hideMark/>
          </w:tcPr>
          <w:p w14:paraId="088790E5" w14:textId="77777777" w:rsidR="00DA6D62" w:rsidRPr="00DA6D62" w:rsidRDefault="00DA6D62" w:rsidP="00DA6D62">
            <w:pPr>
              <w:jc w:val="center"/>
              <w:rPr>
                <w:rFonts w:ascii="Arial" w:eastAsia="Times New Roman" w:hAnsi="Arial" w:cs="Arial"/>
                <w:b/>
                <w:bCs/>
                <w:sz w:val="20"/>
                <w:szCs w:val="20"/>
              </w:rPr>
            </w:pPr>
            <w:r w:rsidRPr="00DA6D62">
              <w:rPr>
                <w:rFonts w:ascii="Arial" w:eastAsia="Times New Roman" w:hAnsi="Arial" w:cs="Arial"/>
                <w:b/>
                <w:bCs/>
                <w:sz w:val="20"/>
                <w:szCs w:val="20"/>
              </w:rPr>
              <w:t>Frequency</w:t>
            </w:r>
          </w:p>
        </w:tc>
        <w:tc>
          <w:tcPr>
            <w:tcW w:w="0" w:type="auto"/>
            <w:tcBorders>
              <w:top w:val="single" w:sz="4" w:space="0" w:color="auto"/>
              <w:bottom w:val="single" w:sz="4" w:space="0" w:color="auto"/>
            </w:tcBorders>
            <w:vAlign w:val="center"/>
            <w:hideMark/>
          </w:tcPr>
          <w:p w14:paraId="53CE5770" w14:textId="77777777" w:rsidR="00DA6D62" w:rsidRPr="00DA6D62" w:rsidRDefault="00DA6D62" w:rsidP="00DA6D62">
            <w:pPr>
              <w:jc w:val="center"/>
              <w:rPr>
                <w:rFonts w:ascii="Arial" w:eastAsia="Times New Roman" w:hAnsi="Arial" w:cs="Arial"/>
                <w:b/>
                <w:bCs/>
                <w:sz w:val="20"/>
                <w:szCs w:val="20"/>
              </w:rPr>
            </w:pPr>
            <w:r w:rsidRPr="00DA6D62">
              <w:rPr>
                <w:rFonts w:ascii="Arial" w:eastAsia="Times New Roman" w:hAnsi="Arial" w:cs="Arial"/>
                <w:b/>
                <w:bCs/>
                <w:sz w:val="20"/>
                <w:szCs w:val="20"/>
              </w:rPr>
              <w:t>Rank</w:t>
            </w:r>
          </w:p>
        </w:tc>
      </w:tr>
      <w:tr w:rsidR="00DA6D62" w:rsidRPr="00DA6D62" w14:paraId="678F96D9" w14:textId="77777777" w:rsidTr="00856739">
        <w:trPr>
          <w:trHeight w:val="254"/>
          <w:jc w:val="center"/>
        </w:trPr>
        <w:tc>
          <w:tcPr>
            <w:tcW w:w="5572" w:type="dxa"/>
            <w:tcBorders>
              <w:top w:val="single" w:sz="4" w:space="0" w:color="auto"/>
            </w:tcBorders>
            <w:vAlign w:val="center"/>
            <w:hideMark/>
          </w:tcPr>
          <w:p w14:paraId="6A199416"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Funding Availability</w:t>
            </w:r>
          </w:p>
        </w:tc>
        <w:tc>
          <w:tcPr>
            <w:tcW w:w="0" w:type="auto"/>
            <w:tcBorders>
              <w:top w:val="single" w:sz="4" w:space="0" w:color="auto"/>
            </w:tcBorders>
            <w:vAlign w:val="center"/>
            <w:hideMark/>
          </w:tcPr>
          <w:p w14:paraId="72531271"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8</w:t>
            </w:r>
          </w:p>
        </w:tc>
        <w:tc>
          <w:tcPr>
            <w:tcW w:w="0" w:type="auto"/>
            <w:tcBorders>
              <w:top w:val="single" w:sz="4" w:space="0" w:color="auto"/>
            </w:tcBorders>
            <w:vAlign w:val="center"/>
            <w:hideMark/>
          </w:tcPr>
          <w:p w14:paraId="77F75BF4"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1</w:t>
            </w:r>
          </w:p>
        </w:tc>
      </w:tr>
      <w:tr w:rsidR="00DA6D62" w:rsidRPr="00DA6D62" w14:paraId="04CD120B" w14:textId="77777777" w:rsidTr="00856739">
        <w:trPr>
          <w:trHeight w:val="243"/>
          <w:jc w:val="center"/>
        </w:trPr>
        <w:tc>
          <w:tcPr>
            <w:tcW w:w="5572" w:type="dxa"/>
            <w:vAlign w:val="center"/>
            <w:hideMark/>
          </w:tcPr>
          <w:p w14:paraId="0A9B02BD"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Lack of Dedicated Time/Commitment of SGC Members</w:t>
            </w:r>
          </w:p>
        </w:tc>
        <w:tc>
          <w:tcPr>
            <w:tcW w:w="0" w:type="auto"/>
            <w:vAlign w:val="center"/>
            <w:hideMark/>
          </w:tcPr>
          <w:p w14:paraId="77C4C275"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7</w:t>
            </w:r>
          </w:p>
        </w:tc>
        <w:tc>
          <w:tcPr>
            <w:tcW w:w="0" w:type="auto"/>
            <w:vAlign w:val="center"/>
            <w:hideMark/>
          </w:tcPr>
          <w:p w14:paraId="5264EC60"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2</w:t>
            </w:r>
          </w:p>
        </w:tc>
      </w:tr>
      <w:tr w:rsidR="00DA6D62" w:rsidRPr="00DA6D62" w14:paraId="5E7957D2" w14:textId="77777777" w:rsidTr="00856739">
        <w:trPr>
          <w:trHeight w:val="254"/>
          <w:jc w:val="center"/>
        </w:trPr>
        <w:tc>
          <w:tcPr>
            <w:tcW w:w="5572" w:type="dxa"/>
            <w:vAlign w:val="center"/>
            <w:hideMark/>
          </w:tcPr>
          <w:p w14:paraId="4A39EA71"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Partnership Sustainability</w:t>
            </w:r>
          </w:p>
        </w:tc>
        <w:tc>
          <w:tcPr>
            <w:tcW w:w="0" w:type="auto"/>
            <w:vAlign w:val="center"/>
            <w:hideMark/>
          </w:tcPr>
          <w:p w14:paraId="2AE3BE9A"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6</w:t>
            </w:r>
          </w:p>
        </w:tc>
        <w:tc>
          <w:tcPr>
            <w:tcW w:w="0" w:type="auto"/>
            <w:vAlign w:val="center"/>
            <w:hideMark/>
          </w:tcPr>
          <w:p w14:paraId="7E13F3B5"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3</w:t>
            </w:r>
          </w:p>
        </w:tc>
      </w:tr>
      <w:tr w:rsidR="00DA6D62" w:rsidRPr="00DA6D62" w14:paraId="33604F62" w14:textId="77777777" w:rsidTr="00856739">
        <w:trPr>
          <w:trHeight w:val="254"/>
          <w:jc w:val="center"/>
        </w:trPr>
        <w:tc>
          <w:tcPr>
            <w:tcW w:w="5572" w:type="dxa"/>
            <w:vAlign w:val="center"/>
            <w:hideMark/>
          </w:tcPr>
          <w:p w14:paraId="702AF0DF"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Resistance to Change</w:t>
            </w:r>
          </w:p>
        </w:tc>
        <w:tc>
          <w:tcPr>
            <w:tcW w:w="0" w:type="auto"/>
            <w:vAlign w:val="center"/>
            <w:hideMark/>
          </w:tcPr>
          <w:p w14:paraId="3A679632"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5</w:t>
            </w:r>
          </w:p>
        </w:tc>
        <w:tc>
          <w:tcPr>
            <w:tcW w:w="0" w:type="auto"/>
            <w:vAlign w:val="center"/>
            <w:hideMark/>
          </w:tcPr>
          <w:p w14:paraId="32F9C751"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4</w:t>
            </w:r>
          </w:p>
        </w:tc>
      </w:tr>
      <w:tr w:rsidR="00DA6D62" w:rsidRPr="00DA6D62" w14:paraId="4F329658" w14:textId="77777777" w:rsidTr="00856739">
        <w:trPr>
          <w:trHeight w:val="254"/>
          <w:jc w:val="center"/>
        </w:trPr>
        <w:tc>
          <w:tcPr>
            <w:tcW w:w="5572" w:type="dxa"/>
            <w:vAlign w:val="center"/>
            <w:hideMark/>
          </w:tcPr>
          <w:p w14:paraId="10D23E18"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Monitoring and Evaluation</w:t>
            </w:r>
          </w:p>
        </w:tc>
        <w:tc>
          <w:tcPr>
            <w:tcW w:w="0" w:type="auto"/>
            <w:vAlign w:val="center"/>
            <w:hideMark/>
          </w:tcPr>
          <w:p w14:paraId="6CA4C9E0"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4</w:t>
            </w:r>
          </w:p>
        </w:tc>
        <w:tc>
          <w:tcPr>
            <w:tcW w:w="0" w:type="auto"/>
            <w:vAlign w:val="center"/>
            <w:hideMark/>
          </w:tcPr>
          <w:p w14:paraId="08E18832"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5</w:t>
            </w:r>
          </w:p>
        </w:tc>
      </w:tr>
      <w:tr w:rsidR="00DA6D62" w:rsidRPr="00DA6D62" w14:paraId="674FB55A" w14:textId="77777777" w:rsidTr="00856739">
        <w:trPr>
          <w:trHeight w:val="254"/>
          <w:jc w:val="center"/>
        </w:trPr>
        <w:tc>
          <w:tcPr>
            <w:tcW w:w="5572" w:type="dxa"/>
            <w:tcBorders>
              <w:bottom w:val="single" w:sz="4" w:space="0" w:color="auto"/>
            </w:tcBorders>
            <w:vAlign w:val="center"/>
            <w:hideMark/>
          </w:tcPr>
          <w:p w14:paraId="62BE7FF0"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Curriculum Alignment</w:t>
            </w:r>
          </w:p>
        </w:tc>
        <w:tc>
          <w:tcPr>
            <w:tcW w:w="0" w:type="auto"/>
            <w:tcBorders>
              <w:bottom w:val="single" w:sz="4" w:space="0" w:color="auto"/>
            </w:tcBorders>
            <w:vAlign w:val="center"/>
            <w:hideMark/>
          </w:tcPr>
          <w:p w14:paraId="413F0F73"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3</w:t>
            </w:r>
          </w:p>
        </w:tc>
        <w:tc>
          <w:tcPr>
            <w:tcW w:w="0" w:type="auto"/>
            <w:tcBorders>
              <w:bottom w:val="single" w:sz="4" w:space="0" w:color="auto"/>
            </w:tcBorders>
            <w:vAlign w:val="center"/>
            <w:hideMark/>
          </w:tcPr>
          <w:p w14:paraId="2B4092E2"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6</w:t>
            </w:r>
          </w:p>
        </w:tc>
      </w:tr>
    </w:tbl>
    <w:p w14:paraId="77ED21F2" w14:textId="77777777" w:rsidR="00FB05C5" w:rsidRDefault="00FB05C5" w:rsidP="0073180E">
      <w:pPr>
        <w:pStyle w:val="Body"/>
        <w:spacing w:after="0"/>
        <w:rPr>
          <w:rFonts w:ascii="Arial" w:hAnsi="Arial" w:cs="Arial"/>
        </w:rPr>
      </w:pPr>
    </w:p>
    <w:p w14:paraId="5F3C4277" w14:textId="77777777" w:rsidR="00B553A8" w:rsidRDefault="00B553A8" w:rsidP="00B553A8">
      <w:pPr>
        <w:pStyle w:val="Body"/>
        <w:spacing w:after="0"/>
        <w:rPr>
          <w:rFonts w:ascii="Arial" w:hAnsi="Arial" w:cs="Arial"/>
        </w:rPr>
      </w:pPr>
      <w:r w:rsidRPr="00B553A8">
        <w:rPr>
          <w:rFonts w:ascii="Arial" w:hAnsi="Arial" w:cs="Arial"/>
        </w:rPr>
        <w:t xml:space="preserve">In both the seasonality and sustainability categories, </w:t>
      </w:r>
      <w:r w:rsidRPr="00D10B9E">
        <w:rPr>
          <w:rFonts w:ascii="Arial" w:hAnsi="Arial" w:cs="Arial"/>
          <w:b/>
        </w:rPr>
        <w:t>funding availability</w:t>
      </w:r>
      <w:r w:rsidRPr="00B553A8">
        <w:rPr>
          <w:rFonts w:ascii="Arial" w:hAnsi="Arial" w:cs="Arial"/>
        </w:rPr>
        <w:t xml:space="preserve"> remained the most important sustainability concern (frequency = 8, rank = 1). This dual prominence highlights how important financial resources are to the long-term sustainability and temporal trends of SGC programs. Regardless of other advantageous circumstances, schools cannot sustain their initiatives without consistent and reliable funding. Similar results are found in studies, which show that long-term program viability and the success of school governance initiatives depend on financial sustainability (</w:t>
      </w:r>
      <w:proofErr w:type="spellStart"/>
      <w:r w:rsidRPr="00B553A8">
        <w:rPr>
          <w:rFonts w:ascii="Arial" w:hAnsi="Arial" w:cs="Arial"/>
        </w:rPr>
        <w:t>Shybalkina</w:t>
      </w:r>
      <w:proofErr w:type="spellEnd"/>
      <w:r w:rsidRPr="00B553A8">
        <w:rPr>
          <w:rFonts w:ascii="Arial" w:hAnsi="Arial" w:cs="Arial"/>
        </w:rPr>
        <w:t xml:space="preserve"> and </w:t>
      </w:r>
      <w:proofErr w:type="spellStart"/>
      <w:r w:rsidRPr="00B553A8">
        <w:rPr>
          <w:rFonts w:ascii="Arial" w:hAnsi="Arial" w:cs="Arial"/>
        </w:rPr>
        <w:t>Nabatchi</w:t>
      </w:r>
      <w:proofErr w:type="spellEnd"/>
      <w:r w:rsidRPr="00B553A8">
        <w:rPr>
          <w:rFonts w:ascii="Arial" w:hAnsi="Arial" w:cs="Arial"/>
        </w:rPr>
        <w:t>, 2024).</w:t>
      </w:r>
    </w:p>
    <w:p w14:paraId="25CEAB52" w14:textId="77777777" w:rsidR="00B553A8" w:rsidRPr="00B553A8" w:rsidRDefault="00B553A8" w:rsidP="00B553A8">
      <w:pPr>
        <w:pStyle w:val="Body"/>
        <w:spacing w:after="0"/>
        <w:rPr>
          <w:rFonts w:ascii="Arial" w:hAnsi="Arial" w:cs="Arial"/>
        </w:rPr>
      </w:pPr>
    </w:p>
    <w:p w14:paraId="048F2556" w14:textId="34E2E293" w:rsidR="00B553A8" w:rsidRPr="00B553A8" w:rsidRDefault="00B553A8" w:rsidP="00B553A8">
      <w:pPr>
        <w:pStyle w:val="Body"/>
        <w:spacing w:after="0"/>
        <w:rPr>
          <w:rFonts w:ascii="Arial" w:hAnsi="Arial" w:cs="Arial"/>
        </w:rPr>
      </w:pPr>
      <w:r w:rsidRPr="00B553A8">
        <w:rPr>
          <w:rFonts w:ascii="Arial" w:hAnsi="Arial" w:cs="Arial"/>
        </w:rPr>
        <w:t>The second-highest ranking</w:t>
      </w:r>
      <w:r w:rsidR="00D10B9E">
        <w:rPr>
          <w:rFonts w:ascii="Arial" w:hAnsi="Arial" w:cs="Arial"/>
        </w:rPr>
        <w:t xml:space="preserve"> (frequency = 7, rank = 2) was </w:t>
      </w:r>
      <w:r w:rsidR="00D10B9E" w:rsidRPr="00D10B9E">
        <w:rPr>
          <w:rFonts w:ascii="Arial" w:hAnsi="Arial" w:cs="Arial"/>
          <w:b/>
        </w:rPr>
        <w:t>lack of dedi</w:t>
      </w:r>
      <w:r w:rsidR="00D10B9E">
        <w:rPr>
          <w:rFonts w:ascii="Arial" w:hAnsi="Arial" w:cs="Arial"/>
          <w:b/>
        </w:rPr>
        <w:t>cated time and commitment of SGC</w:t>
      </w:r>
      <w:r w:rsidR="00D10B9E" w:rsidRPr="00D10B9E">
        <w:rPr>
          <w:rFonts w:ascii="Arial" w:hAnsi="Arial" w:cs="Arial"/>
          <w:b/>
        </w:rPr>
        <w:t xml:space="preserve"> members</w:t>
      </w:r>
      <w:r w:rsidRPr="00B553A8">
        <w:rPr>
          <w:rFonts w:ascii="Arial" w:hAnsi="Arial" w:cs="Arial"/>
        </w:rPr>
        <w:t xml:space="preserve">," underscoring a serious human resource issue. In addition to their demanding personal and professional obligations, SGC members—especially parents and community representatives—frequently volunteer their time. Even well-funded programs suffer from uneven leadership, insufficient follow-through, and waning momentum in the absence of sincere dedication and sufficient time allocation. According to </w:t>
      </w:r>
      <w:r w:rsidR="00363B44">
        <w:rPr>
          <w:rFonts w:ascii="Arial" w:hAnsi="Arial" w:cs="Arial"/>
        </w:rPr>
        <w:t>Gillen (2024)</w:t>
      </w:r>
      <w:r w:rsidRPr="00B553A8">
        <w:rPr>
          <w:rFonts w:ascii="Arial" w:hAnsi="Arial" w:cs="Arial"/>
        </w:rPr>
        <w:t>, stakeholder commitment and engagement are important factors that determine how effective governing bodies are, and time and resource constraints are major obsta</w:t>
      </w:r>
      <w:r w:rsidR="004100EC">
        <w:rPr>
          <w:rFonts w:ascii="Arial" w:hAnsi="Arial" w:cs="Arial"/>
        </w:rPr>
        <w:t>cles to continued participation</w:t>
      </w:r>
      <w:r w:rsidRPr="00B553A8">
        <w:rPr>
          <w:rFonts w:ascii="Arial" w:hAnsi="Arial" w:cs="Arial"/>
        </w:rPr>
        <w:t>.</w:t>
      </w:r>
    </w:p>
    <w:p w14:paraId="0297FEBB" w14:textId="77777777" w:rsidR="00B553A8" w:rsidRPr="00B553A8" w:rsidRDefault="00B553A8" w:rsidP="00B553A8">
      <w:pPr>
        <w:pStyle w:val="Body"/>
        <w:spacing w:after="0"/>
        <w:rPr>
          <w:rFonts w:ascii="Arial" w:hAnsi="Arial" w:cs="Arial"/>
        </w:rPr>
      </w:pPr>
    </w:p>
    <w:p w14:paraId="1C13FF0A" w14:textId="77777777" w:rsidR="00B553A8" w:rsidRPr="00B553A8" w:rsidRDefault="00B553A8" w:rsidP="00B553A8">
      <w:pPr>
        <w:pStyle w:val="Body"/>
        <w:spacing w:after="0"/>
        <w:rPr>
          <w:rFonts w:ascii="Arial" w:hAnsi="Arial" w:cs="Arial"/>
        </w:rPr>
      </w:pPr>
      <w:r w:rsidRPr="00B553A8">
        <w:rPr>
          <w:rFonts w:ascii="Arial" w:hAnsi="Arial" w:cs="Arial"/>
        </w:rPr>
        <w:t xml:space="preserve">Third place went to </w:t>
      </w:r>
      <w:r w:rsidR="009B1E2F" w:rsidRPr="009B1E2F">
        <w:rPr>
          <w:rFonts w:ascii="Arial" w:hAnsi="Arial" w:cs="Arial"/>
          <w:b/>
        </w:rPr>
        <w:t>partnership sustainability</w:t>
      </w:r>
      <w:r w:rsidRPr="00B553A8">
        <w:rPr>
          <w:rFonts w:ascii="Arial" w:hAnsi="Arial" w:cs="Arial"/>
        </w:rPr>
        <w:t xml:space="preserve"> (frequency = 6, rank = 3), which reflects the difficulties schools have in sustaining fruitful relationships with outside organizations, local government agencies, non-governmental organizations, and community groups. Establishing initial partnerships may be rather simple, but maintaining them over time calls for constant communication, shared commitment, and mutual gain. Research has shown that establishing solid, trusting relationships, guaranteeing reciprocal advantages, and considering partnerships as dynamic resources rather than transactional agreements are all necessary for partnership sustainability (Ngobeni, 2024).</w:t>
      </w:r>
    </w:p>
    <w:p w14:paraId="462BD177" w14:textId="77777777" w:rsidR="00B553A8" w:rsidRPr="00B553A8" w:rsidRDefault="00B553A8" w:rsidP="00B553A8">
      <w:pPr>
        <w:pStyle w:val="Body"/>
        <w:spacing w:after="0"/>
        <w:rPr>
          <w:rFonts w:ascii="Arial" w:hAnsi="Arial" w:cs="Arial"/>
        </w:rPr>
      </w:pPr>
    </w:p>
    <w:p w14:paraId="1A0FA0DE" w14:textId="77777777" w:rsidR="00B553A8" w:rsidRPr="00B553A8" w:rsidRDefault="009B1E2F" w:rsidP="00B553A8">
      <w:pPr>
        <w:pStyle w:val="Body"/>
        <w:spacing w:after="0"/>
        <w:rPr>
          <w:rFonts w:ascii="Arial" w:hAnsi="Arial" w:cs="Arial"/>
        </w:rPr>
      </w:pPr>
      <w:r>
        <w:rPr>
          <w:rFonts w:ascii="Arial" w:hAnsi="Arial" w:cs="Arial"/>
          <w:b/>
        </w:rPr>
        <w:t>Resistance to c</w:t>
      </w:r>
      <w:r w:rsidR="00B553A8" w:rsidRPr="009B1E2F">
        <w:rPr>
          <w:rFonts w:ascii="Arial" w:hAnsi="Arial" w:cs="Arial"/>
          <w:b/>
        </w:rPr>
        <w:t>hange</w:t>
      </w:r>
      <w:r w:rsidR="00B553A8" w:rsidRPr="00B553A8">
        <w:rPr>
          <w:rFonts w:ascii="Arial" w:hAnsi="Arial" w:cs="Arial"/>
        </w:rPr>
        <w:t xml:space="preserve"> came in at number four (frequency = 5, rank = 4), suggesting that some stakeholders might be against or resistant to new initiatives that SGCs introduce. A number of factors, such as comfort with current procedures, skepticism about novel ideas, worries about an increase in workload, or disagreements with SGC priorities, may contribute to this resistance. According to research, stakeholder participation in decision-making processes, strategic change management, and proven benefits are necessary to overcome resistance to change, which is a recurring problem in educational settings (Verger et al. 2024).</w:t>
      </w:r>
    </w:p>
    <w:p w14:paraId="649B27EF" w14:textId="77777777" w:rsidR="00B553A8" w:rsidRPr="00B553A8" w:rsidRDefault="00B553A8" w:rsidP="00B553A8">
      <w:pPr>
        <w:pStyle w:val="Body"/>
        <w:spacing w:after="0"/>
        <w:rPr>
          <w:rFonts w:ascii="Arial" w:hAnsi="Arial" w:cs="Arial"/>
        </w:rPr>
      </w:pPr>
    </w:p>
    <w:p w14:paraId="2F57DA03" w14:textId="77777777" w:rsidR="00B553A8" w:rsidRPr="00B553A8" w:rsidRDefault="00B553A8" w:rsidP="00B553A8">
      <w:pPr>
        <w:pStyle w:val="Body"/>
        <w:spacing w:after="0"/>
        <w:rPr>
          <w:rFonts w:ascii="Arial" w:hAnsi="Arial" w:cs="Arial"/>
        </w:rPr>
      </w:pPr>
      <w:r w:rsidRPr="00B44DB6">
        <w:rPr>
          <w:rFonts w:ascii="Arial" w:hAnsi="Arial" w:cs="Arial"/>
          <w:b/>
        </w:rPr>
        <w:t>Monitoring and evaluation</w:t>
      </w:r>
      <w:r w:rsidRPr="00B553A8">
        <w:rPr>
          <w:rFonts w:ascii="Arial" w:hAnsi="Arial" w:cs="Arial"/>
        </w:rPr>
        <w:t xml:space="preserve"> came in fifth place (frequency = 4, rank = 5), indicating that the sustainability of SGC initiatives is jeopardized by insufficient assessment mechanisms. Schools cannot ascertain whether programs are producing the desired results, pinpoint areas for improvement, or show stakeholders that they are accountable without systematic monitoring and evaluation. Effective evaluation methods are crucial for program optimization and long-term impact, according to studies, and they serve as the foundation for ongoing funding and program improvement (Chacha et al. 2023).</w:t>
      </w:r>
    </w:p>
    <w:p w14:paraId="585364ED" w14:textId="77777777" w:rsidR="00B553A8" w:rsidRPr="00B553A8" w:rsidRDefault="00B553A8" w:rsidP="00B553A8">
      <w:pPr>
        <w:pStyle w:val="Body"/>
        <w:spacing w:after="0"/>
        <w:rPr>
          <w:rFonts w:ascii="Arial" w:hAnsi="Arial" w:cs="Arial"/>
        </w:rPr>
      </w:pPr>
    </w:p>
    <w:p w14:paraId="1253CF03" w14:textId="63DB1D41" w:rsidR="00B553A8" w:rsidRPr="00B553A8" w:rsidRDefault="00B553A8" w:rsidP="00B553A8">
      <w:pPr>
        <w:pStyle w:val="Body"/>
        <w:spacing w:after="0"/>
        <w:rPr>
          <w:rFonts w:ascii="Arial" w:hAnsi="Arial" w:cs="Arial"/>
        </w:rPr>
      </w:pPr>
      <w:r w:rsidRPr="00B553A8">
        <w:rPr>
          <w:rFonts w:ascii="Arial" w:hAnsi="Arial" w:cs="Arial"/>
        </w:rPr>
        <w:t xml:space="preserve">Although still important, </w:t>
      </w:r>
      <w:r w:rsidRPr="00B44DB6">
        <w:rPr>
          <w:rFonts w:ascii="Arial" w:hAnsi="Arial" w:cs="Arial"/>
          <w:b/>
        </w:rPr>
        <w:t>curriculum alignment</w:t>
      </w:r>
      <w:r w:rsidRPr="00B553A8">
        <w:rPr>
          <w:rFonts w:ascii="Arial" w:hAnsi="Arial" w:cs="Arial"/>
        </w:rPr>
        <w:t xml:space="preserve"> was the least common sustainability concern (frequency = 3, rank = 6). SGC initiatives must complement rather than conflict with the school's academic mission in order to be sustained. </w:t>
      </w:r>
      <w:r w:rsidR="004A502F" w:rsidRPr="008979A7">
        <w:rPr>
          <w:rFonts w:ascii="Arial" w:hAnsi="Arial" w:cs="Arial"/>
        </w:rPr>
        <w:t>Curriculum-aligned initiatives integrate more readily into regular operations and sustain administrative support (</w:t>
      </w:r>
      <w:proofErr w:type="spellStart"/>
      <w:r w:rsidR="004A502F" w:rsidRPr="008979A7">
        <w:rPr>
          <w:rFonts w:ascii="Arial" w:hAnsi="Arial" w:cs="Arial"/>
        </w:rPr>
        <w:t>Pepugal</w:t>
      </w:r>
      <w:proofErr w:type="spellEnd"/>
      <w:r w:rsidR="004A502F" w:rsidRPr="008979A7">
        <w:rPr>
          <w:rFonts w:ascii="Arial" w:hAnsi="Arial" w:cs="Arial"/>
        </w:rPr>
        <w:t>, 2022).</w:t>
      </w:r>
    </w:p>
    <w:p w14:paraId="343963AF" w14:textId="77777777" w:rsidR="00B553A8" w:rsidRPr="00B553A8" w:rsidRDefault="00B553A8" w:rsidP="00B553A8">
      <w:pPr>
        <w:pStyle w:val="Body"/>
        <w:spacing w:after="0"/>
        <w:rPr>
          <w:rFonts w:ascii="Arial" w:hAnsi="Arial" w:cs="Arial"/>
        </w:rPr>
      </w:pPr>
    </w:p>
    <w:p w14:paraId="18B1EFE4" w14:textId="77777777" w:rsidR="00B553A8" w:rsidRPr="00B553A8" w:rsidRDefault="00B553A8" w:rsidP="00B553A8">
      <w:pPr>
        <w:pStyle w:val="Body"/>
        <w:spacing w:after="0"/>
        <w:rPr>
          <w:rFonts w:ascii="Arial" w:hAnsi="Arial" w:cs="Arial"/>
        </w:rPr>
      </w:pPr>
      <w:r w:rsidRPr="00B553A8">
        <w:rPr>
          <w:rFonts w:ascii="Arial" w:hAnsi="Arial" w:cs="Arial"/>
        </w:rPr>
        <w:t>These results are consistent with global studies on the sustainability of school programs. Monitoring and evaluation were found to be essential for long-term success in research on school program sustainability, showing that programs with strong assessment systems were more likely to endure and successfully adapt over time (Sattar et al. 2022). Funding availability, curriculum alignment, and monitoring systems were found to be important sustainability factors in research on educational program sustainability, highlighting the complexity of sustainability issues (</w:t>
      </w:r>
      <w:proofErr w:type="spellStart"/>
      <w:r w:rsidRPr="00B553A8">
        <w:rPr>
          <w:rFonts w:ascii="Arial" w:hAnsi="Arial" w:cs="Arial"/>
        </w:rPr>
        <w:t>Murugi</w:t>
      </w:r>
      <w:proofErr w:type="spellEnd"/>
      <w:r w:rsidRPr="00B553A8">
        <w:rPr>
          <w:rFonts w:ascii="Arial" w:hAnsi="Arial" w:cs="Arial"/>
        </w:rPr>
        <w:t xml:space="preserve"> and </w:t>
      </w:r>
      <w:proofErr w:type="spellStart"/>
      <w:r w:rsidRPr="00B553A8">
        <w:rPr>
          <w:rFonts w:ascii="Arial" w:hAnsi="Arial" w:cs="Arial"/>
        </w:rPr>
        <w:t>Mugwe</w:t>
      </w:r>
      <w:proofErr w:type="spellEnd"/>
      <w:r w:rsidRPr="00B553A8">
        <w:rPr>
          <w:rFonts w:ascii="Arial" w:hAnsi="Arial" w:cs="Arial"/>
        </w:rPr>
        <w:t>, 2023). Their study highlights how complex sustainability issues are, necessitating consideration of the financial, educational, and evaluation aspects.</w:t>
      </w:r>
    </w:p>
    <w:p w14:paraId="7D4CC3F5" w14:textId="77777777" w:rsidR="00B553A8" w:rsidRPr="00B553A8" w:rsidRDefault="00B553A8" w:rsidP="00B553A8">
      <w:pPr>
        <w:pStyle w:val="Body"/>
        <w:spacing w:after="0"/>
        <w:rPr>
          <w:rFonts w:ascii="Arial" w:hAnsi="Arial" w:cs="Arial"/>
        </w:rPr>
      </w:pPr>
    </w:p>
    <w:p w14:paraId="05068ECF" w14:textId="77777777" w:rsidR="00B553A8" w:rsidRPr="00B553A8" w:rsidRDefault="00B553A8" w:rsidP="00B553A8">
      <w:pPr>
        <w:pStyle w:val="Body"/>
        <w:spacing w:after="0"/>
        <w:rPr>
          <w:rFonts w:ascii="Arial" w:hAnsi="Arial" w:cs="Arial"/>
        </w:rPr>
      </w:pPr>
      <w:r w:rsidRPr="00B553A8">
        <w:rPr>
          <w:rFonts w:ascii="Arial" w:hAnsi="Arial" w:cs="Arial"/>
        </w:rPr>
        <w:t>These sustainability issues are made more complex by the Philippine setting. Funding limitations are a recurring barrier to decentralization efforts, according to the Philippine Institute for Development Studies, which notes that insufficient and erratic funding restricts local governance bodies' ability to carry out programs successfully. Stakeholder engagement deficiencies are also highlighted in World Bank reports on basic education in the Philippines as obstacles to successful program implementation, highlighting the necessity of ongoing community involvement. Resistance to change was identified as a common obstacle in the implementation of educational reform in the Philippines by an Asian Development Bank study. The study suggested tactics that involve stakeholders at every stage of the reform process and uphold open lines of communication. The significance of established monitoring was emphasized in the United Nations Development Program's study on education sector planning in the Philippines.</w:t>
      </w:r>
    </w:p>
    <w:p w14:paraId="67A157F7" w14:textId="77777777" w:rsidR="00B553A8" w:rsidRPr="00B553A8" w:rsidRDefault="00B553A8" w:rsidP="00B553A8">
      <w:pPr>
        <w:pStyle w:val="Body"/>
        <w:spacing w:after="0"/>
        <w:rPr>
          <w:rFonts w:ascii="Arial" w:hAnsi="Arial" w:cs="Arial"/>
        </w:rPr>
      </w:pPr>
    </w:p>
    <w:p w14:paraId="33B8847C" w14:textId="3E21EEDB" w:rsidR="0022272A" w:rsidRDefault="00B553A8" w:rsidP="00B553A8">
      <w:pPr>
        <w:pStyle w:val="Body"/>
        <w:spacing w:after="0"/>
        <w:rPr>
          <w:rFonts w:ascii="Arial" w:hAnsi="Arial" w:cs="Arial"/>
        </w:rPr>
      </w:pPr>
      <w:r w:rsidRPr="00B553A8">
        <w:rPr>
          <w:rFonts w:ascii="Arial" w:hAnsi="Arial" w:cs="Arial"/>
        </w:rPr>
        <w:t>These results imply that a comprehensive, cooperative strategy involving all stakeholders is necessary for sustainability. Local contexts must be taken into account, programs must be modified appropriately, and strong systems for funding, monitoring, evaluation, member engagement, partnership management, and change facilitation must be established. SGC programs can only have a long-lasting positive impact by giving these interrelated factors careful consideration.</w:t>
      </w:r>
    </w:p>
    <w:p w14:paraId="36D513C3" w14:textId="2763EF44" w:rsidR="00E403DF" w:rsidRDefault="00E403DF" w:rsidP="00B553A8">
      <w:pPr>
        <w:pStyle w:val="Body"/>
        <w:spacing w:after="0"/>
        <w:rPr>
          <w:rFonts w:ascii="Arial" w:hAnsi="Arial" w:cs="Arial"/>
        </w:rPr>
      </w:pPr>
    </w:p>
    <w:p w14:paraId="145FF0C1" w14:textId="77777777" w:rsidR="00D25302" w:rsidRPr="00A96F7D" w:rsidRDefault="00D25302" w:rsidP="00D25302">
      <w:pPr>
        <w:pStyle w:val="Body"/>
        <w:spacing w:after="0"/>
        <w:rPr>
          <w:rFonts w:ascii="Arial" w:hAnsi="Arial" w:cs="Arial"/>
          <w:i/>
        </w:rPr>
      </w:pPr>
      <w:r w:rsidRPr="00A96F7D">
        <w:rPr>
          <w:rFonts w:ascii="Arial" w:hAnsi="Arial" w:cs="Arial"/>
          <w:i/>
        </w:rPr>
        <w:lastRenderedPageBreak/>
        <w:t>3.2.1 Interconnections Among Sustainability Factors</w:t>
      </w:r>
    </w:p>
    <w:p w14:paraId="54133B71" w14:textId="77777777" w:rsidR="00D25302" w:rsidRPr="00A96F7D" w:rsidRDefault="00D25302" w:rsidP="00D25302">
      <w:pPr>
        <w:pStyle w:val="Body"/>
        <w:spacing w:after="0"/>
        <w:rPr>
          <w:rFonts w:ascii="Arial" w:hAnsi="Arial" w:cs="Arial"/>
        </w:rPr>
      </w:pPr>
    </w:p>
    <w:p w14:paraId="723CD7AF" w14:textId="77777777" w:rsidR="00A96F7D" w:rsidRPr="00A96F7D" w:rsidRDefault="00A96F7D" w:rsidP="00A96F7D">
      <w:pPr>
        <w:pStyle w:val="Body"/>
        <w:spacing w:after="0"/>
        <w:rPr>
          <w:rFonts w:ascii="Arial" w:hAnsi="Arial" w:cs="Arial"/>
        </w:rPr>
      </w:pPr>
      <w:r w:rsidRPr="00A96F7D">
        <w:rPr>
          <w:rFonts w:ascii="Arial" w:hAnsi="Arial" w:cs="Arial"/>
        </w:rPr>
        <w:t>The interconnectedness of sustainability challenges is even more profound than that of seasonality issues. It is challenging to deal with each issue separately because of the intricate web of barriers created by this network, which reinforce one another. The three top-ranked factors—funding availability, lack of dedicated time and commitment, and partnership sustainability—operate as interdependent constraints that collectively threaten program continuity.</w:t>
      </w:r>
    </w:p>
    <w:p w14:paraId="232B3845" w14:textId="77777777" w:rsidR="00A96F7D" w:rsidRPr="00A96F7D" w:rsidRDefault="00A96F7D" w:rsidP="00A96F7D">
      <w:pPr>
        <w:pStyle w:val="Body"/>
        <w:spacing w:after="0"/>
        <w:rPr>
          <w:rFonts w:ascii="Arial" w:hAnsi="Arial" w:cs="Arial"/>
        </w:rPr>
      </w:pPr>
    </w:p>
    <w:p w14:paraId="4C1A6949" w14:textId="77777777" w:rsidR="00A96F7D" w:rsidRPr="00A96F7D" w:rsidRDefault="00A96F7D" w:rsidP="00A96F7D">
      <w:pPr>
        <w:pStyle w:val="Body"/>
        <w:spacing w:after="0"/>
        <w:rPr>
          <w:rFonts w:ascii="Arial" w:hAnsi="Arial" w:cs="Arial"/>
        </w:rPr>
      </w:pPr>
      <w:r w:rsidRPr="00A96F7D">
        <w:rPr>
          <w:rFonts w:ascii="Arial" w:hAnsi="Arial" w:cs="Arial"/>
        </w:rPr>
        <w:t>Funding limitations (rank 1) directly impact member commitment (rank 2) by creating volunteer fatigue when SGC members must invest personal time without adequate support systems. A parent representative explained:</w:t>
      </w:r>
    </w:p>
    <w:p w14:paraId="2C45F488" w14:textId="77777777" w:rsidR="00A96F7D" w:rsidRPr="00A96F7D" w:rsidRDefault="00A96F7D" w:rsidP="00A96F7D">
      <w:pPr>
        <w:pStyle w:val="Body"/>
        <w:spacing w:after="0"/>
        <w:rPr>
          <w:rFonts w:ascii="Arial" w:hAnsi="Arial" w:cs="Arial"/>
        </w:rPr>
      </w:pPr>
    </w:p>
    <w:p w14:paraId="12C2C52C" w14:textId="3E2CD37A" w:rsidR="00A96F7D" w:rsidRPr="00A96F7D" w:rsidRDefault="003F5567" w:rsidP="00A96F7D">
      <w:pPr>
        <w:pStyle w:val="Body"/>
        <w:spacing w:after="0"/>
        <w:rPr>
          <w:rFonts w:ascii="Arial" w:hAnsi="Arial" w:cs="Arial"/>
        </w:rPr>
      </w:pPr>
      <w:r w:rsidRPr="00DF73F3">
        <w:rPr>
          <w:rFonts w:ascii="Arial" w:hAnsi="Arial" w:cs="Arial"/>
          <w:i/>
        </w:rPr>
        <w:t>“</w:t>
      </w:r>
      <w:r w:rsidR="00CF0CAB" w:rsidRPr="00DF73F3">
        <w:rPr>
          <w:rFonts w:ascii="Arial" w:hAnsi="Arial" w:cs="Arial"/>
          <w:i/>
        </w:rPr>
        <w:t xml:space="preserve">Gusto </w:t>
      </w:r>
      <w:proofErr w:type="spellStart"/>
      <w:r w:rsidR="00CF0CAB" w:rsidRPr="00DF73F3">
        <w:rPr>
          <w:rFonts w:ascii="Arial" w:hAnsi="Arial" w:cs="Arial"/>
          <w:i/>
        </w:rPr>
        <w:t>ko</w:t>
      </w:r>
      <w:proofErr w:type="spellEnd"/>
      <w:r w:rsidR="00CF0CAB" w:rsidRPr="00DF73F3">
        <w:rPr>
          <w:rFonts w:ascii="Arial" w:hAnsi="Arial" w:cs="Arial"/>
          <w:i/>
        </w:rPr>
        <w:t xml:space="preserve"> man </w:t>
      </w:r>
      <w:proofErr w:type="spellStart"/>
      <w:r w:rsidR="00CF0CAB" w:rsidRPr="00DF73F3">
        <w:rPr>
          <w:rFonts w:ascii="Arial" w:hAnsi="Arial" w:cs="Arial"/>
          <w:i/>
        </w:rPr>
        <w:t>kutang</w:t>
      </w:r>
      <w:proofErr w:type="spellEnd"/>
      <w:r w:rsidR="00CF0CAB" w:rsidRPr="00DF73F3">
        <w:rPr>
          <w:rFonts w:ascii="Arial" w:hAnsi="Arial" w:cs="Arial"/>
          <w:i/>
        </w:rPr>
        <w:t xml:space="preserve"> </w:t>
      </w:r>
      <w:proofErr w:type="spellStart"/>
      <w:r w:rsidR="00CF0CAB" w:rsidRPr="00DF73F3">
        <w:rPr>
          <w:rFonts w:ascii="Arial" w:hAnsi="Arial" w:cs="Arial"/>
          <w:i/>
        </w:rPr>
        <w:t>magtabang</w:t>
      </w:r>
      <w:proofErr w:type="spellEnd"/>
      <w:r w:rsidR="00CF0CAB" w:rsidRPr="00DF73F3">
        <w:rPr>
          <w:rFonts w:ascii="Arial" w:hAnsi="Arial" w:cs="Arial"/>
          <w:i/>
        </w:rPr>
        <w:t xml:space="preserve"> </w:t>
      </w:r>
      <w:proofErr w:type="spellStart"/>
      <w:r w:rsidR="00CF0CAB" w:rsidRPr="00DF73F3">
        <w:rPr>
          <w:rFonts w:ascii="Arial" w:hAnsi="Arial" w:cs="Arial"/>
          <w:i/>
        </w:rPr>
        <w:t>sa</w:t>
      </w:r>
      <w:proofErr w:type="spellEnd"/>
      <w:r w:rsidR="00CF0CAB" w:rsidRPr="00DF73F3">
        <w:rPr>
          <w:rFonts w:ascii="Arial" w:hAnsi="Arial" w:cs="Arial"/>
          <w:i/>
        </w:rPr>
        <w:t xml:space="preserve"> </w:t>
      </w:r>
      <w:proofErr w:type="spellStart"/>
      <w:r w:rsidR="00CF0CAB" w:rsidRPr="00DF73F3">
        <w:rPr>
          <w:rFonts w:ascii="Arial" w:hAnsi="Arial" w:cs="Arial"/>
          <w:i/>
        </w:rPr>
        <w:t>es</w:t>
      </w:r>
      <w:r w:rsidR="009B5B11">
        <w:rPr>
          <w:rFonts w:ascii="Arial" w:hAnsi="Arial" w:cs="Arial"/>
          <w:i/>
        </w:rPr>
        <w:t>kwe</w:t>
      </w:r>
      <w:r w:rsidR="00CF0CAB" w:rsidRPr="00DF73F3">
        <w:rPr>
          <w:rFonts w:ascii="Arial" w:hAnsi="Arial" w:cs="Arial"/>
          <w:i/>
        </w:rPr>
        <w:t>lahan</w:t>
      </w:r>
      <w:proofErr w:type="spellEnd"/>
      <w:r w:rsidR="00CF0CAB" w:rsidRPr="00DF73F3">
        <w:rPr>
          <w:rFonts w:ascii="Arial" w:hAnsi="Arial" w:cs="Arial"/>
          <w:i/>
        </w:rPr>
        <w:t xml:space="preserve">, </w:t>
      </w:r>
      <w:proofErr w:type="spellStart"/>
      <w:r w:rsidR="00CF0CAB" w:rsidRPr="00DF73F3">
        <w:rPr>
          <w:rFonts w:ascii="Arial" w:hAnsi="Arial" w:cs="Arial"/>
          <w:i/>
        </w:rPr>
        <w:t>kaso</w:t>
      </w:r>
      <w:proofErr w:type="spellEnd"/>
      <w:r w:rsidR="00CF0CAB" w:rsidRPr="00DF73F3">
        <w:rPr>
          <w:rFonts w:ascii="Arial" w:hAnsi="Arial" w:cs="Arial"/>
          <w:i/>
        </w:rPr>
        <w:t xml:space="preserve"> an </w:t>
      </w:r>
      <w:proofErr w:type="spellStart"/>
      <w:r w:rsidR="00CF0CAB" w:rsidRPr="00DF73F3">
        <w:rPr>
          <w:rFonts w:ascii="Arial" w:hAnsi="Arial" w:cs="Arial"/>
          <w:i/>
        </w:rPr>
        <w:t>pagduman</w:t>
      </w:r>
      <w:proofErr w:type="spellEnd"/>
      <w:r w:rsidR="00CF0CAB" w:rsidRPr="00DF73F3">
        <w:rPr>
          <w:rFonts w:ascii="Arial" w:hAnsi="Arial" w:cs="Arial"/>
          <w:i/>
        </w:rPr>
        <w:t xml:space="preserve"> </w:t>
      </w:r>
      <w:proofErr w:type="spellStart"/>
      <w:r w:rsidR="00CF0CAB" w:rsidRPr="00DF73F3">
        <w:rPr>
          <w:rFonts w:ascii="Arial" w:hAnsi="Arial" w:cs="Arial"/>
          <w:i/>
        </w:rPr>
        <w:t>sa</w:t>
      </w:r>
      <w:proofErr w:type="spellEnd"/>
      <w:r w:rsidR="00CF0CAB" w:rsidRPr="00DF73F3">
        <w:rPr>
          <w:rFonts w:ascii="Arial" w:hAnsi="Arial" w:cs="Arial"/>
          <w:i/>
        </w:rPr>
        <w:t xml:space="preserve"> </w:t>
      </w:r>
      <w:proofErr w:type="spellStart"/>
      <w:r w:rsidR="00CF0CAB" w:rsidRPr="00DF73F3">
        <w:rPr>
          <w:rFonts w:ascii="Arial" w:hAnsi="Arial" w:cs="Arial"/>
          <w:i/>
        </w:rPr>
        <w:t>mga</w:t>
      </w:r>
      <w:proofErr w:type="spellEnd"/>
      <w:r w:rsidR="00CF0CAB" w:rsidRPr="00DF73F3">
        <w:rPr>
          <w:rFonts w:ascii="Arial" w:hAnsi="Arial" w:cs="Arial"/>
          <w:i/>
        </w:rPr>
        <w:t xml:space="preserve"> meeting </w:t>
      </w:r>
      <w:proofErr w:type="spellStart"/>
      <w:r w:rsidR="00CF0CAB" w:rsidRPr="00DF73F3">
        <w:rPr>
          <w:rFonts w:ascii="Arial" w:hAnsi="Arial" w:cs="Arial"/>
          <w:i/>
        </w:rPr>
        <w:t>nagkakahulugan</w:t>
      </w:r>
      <w:proofErr w:type="spellEnd"/>
      <w:r w:rsidR="00CF0CAB" w:rsidRPr="00DF73F3">
        <w:rPr>
          <w:rFonts w:ascii="Arial" w:hAnsi="Arial" w:cs="Arial"/>
          <w:i/>
        </w:rPr>
        <w:t xml:space="preserve"> </w:t>
      </w:r>
      <w:proofErr w:type="spellStart"/>
      <w:r w:rsidR="00CF0CAB" w:rsidRPr="00DF73F3">
        <w:rPr>
          <w:rFonts w:ascii="Arial" w:hAnsi="Arial" w:cs="Arial"/>
          <w:i/>
        </w:rPr>
        <w:t>na</w:t>
      </w:r>
      <w:proofErr w:type="spellEnd"/>
      <w:r w:rsidR="00CF0CAB" w:rsidRPr="00DF73F3">
        <w:rPr>
          <w:rFonts w:ascii="Arial" w:hAnsi="Arial" w:cs="Arial"/>
          <w:i/>
        </w:rPr>
        <w:t xml:space="preserve"> </w:t>
      </w:r>
      <w:proofErr w:type="spellStart"/>
      <w:r w:rsidR="00CF0CAB" w:rsidRPr="00DF73F3">
        <w:rPr>
          <w:rFonts w:ascii="Arial" w:hAnsi="Arial" w:cs="Arial"/>
          <w:i/>
        </w:rPr>
        <w:t>mayong</w:t>
      </w:r>
      <w:proofErr w:type="spellEnd"/>
      <w:r w:rsidR="00CF0CAB" w:rsidRPr="00DF73F3">
        <w:rPr>
          <w:rFonts w:ascii="Arial" w:hAnsi="Arial" w:cs="Arial"/>
          <w:i/>
        </w:rPr>
        <w:t xml:space="preserve"> </w:t>
      </w:r>
      <w:proofErr w:type="spellStart"/>
      <w:r w:rsidR="00CF0CAB" w:rsidRPr="00DF73F3">
        <w:rPr>
          <w:rFonts w:ascii="Arial" w:hAnsi="Arial" w:cs="Arial"/>
          <w:i/>
        </w:rPr>
        <w:t>kita</w:t>
      </w:r>
      <w:proofErr w:type="spellEnd"/>
      <w:r w:rsidR="00CF0CAB" w:rsidRPr="00DF73F3">
        <w:rPr>
          <w:rFonts w:ascii="Arial" w:hAnsi="Arial" w:cs="Arial"/>
          <w:i/>
        </w:rPr>
        <w:t xml:space="preserve"> </w:t>
      </w:r>
      <w:proofErr w:type="spellStart"/>
      <w:r w:rsidR="00CF0CAB" w:rsidRPr="00DF73F3">
        <w:rPr>
          <w:rFonts w:ascii="Arial" w:hAnsi="Arial" w:cs="Arial"/>
          <w:i/>
        </w:rPr>
        <w:t>sa</w:t>
      </w:r>
      <w:proofErr w:type="spellEnd"/>
      <w:r w:rsidR="00CF0CAB" w:rsidRPr="00DF73F3">
        <w:rPr>
          <w:rFonts w:ascii="Arial" w:hAnsi="Arial" w:cs="Arial"/>
          <w:i/>
        </w:rPr>
        <w:t xml:space="preserve"> </w:t>
      </w:r>
      <w:proofErr w:type="spellStart"/>
      <w:r w:rsidR="00CF0CAB" w:rsidRPr="00DF73F3">
        <w:rPr>
          <w:rFonts w:ascii="Arial" w:hAnsi="Arial" w:cs="Arial"/>
          <w:i/>
        </w:rPr>
        <w:t>aldaw</w:t>
      </w:r>
      <w:proofErr w:type="spellEnd"/>
      <w:r w:rsidR="00CF0CAB" w:rsidRPr="00DF73F3">
        <w:rPr>
          <w:rFonts w:ascii="Arial" w:hAnsi="Arial" w:cs="Arial"/>
          <w:i/>
        </w:rPr>
        <w:t xml:space="preserve"> </w:t>
      </w:r>
      <w:proofErr w:type="spellStart"/>
      <w:r w:rsidR="00CF0CAB" w:rsidRPr="00DF73F3">
        <w:rPr>
          <w:rFonts w:ascii="Arial" w:hAnsi="Arial" w:cs="Arial"/>
          <w:i/>
        </w:rPr>
        <w:t>na</w:t>
      </w:r>
      <w:proofErr w:type="spellEnd"/>
      <w:r w:rsidR="00CF0CAB" w:rsidRPr="00DF73F3">
        <w:rPr>
          <w:rFonts w:ascii="Arial" w:hAnsi="Arial" w:cs="Arial"/>
          <w:i/>
        </w:rPr>
        <w:t xml:space="preserve"> </w:t>
      </w:r>
      <w:proofErr w:type="spellStart"/>
      <w:r w:rsidR="00CF0CAB" w:rsidRPr="00DF73F3">
        <w:rPr>
          <w:rFonts w:ascii="Arial" w:hAnsi="Arial" w:cs="Arial"/>
          <w:i/>
        </w:rPr>
        <w:t>idto</w:t>
      </w:r>
      <w:proofErr w:type="spellEnd"/>
      <w:r w:rsidR="00CF0CAB" w:rsidRPr="00DF73F3">
        <w:rPr>
          <w:rFonts w:ascii="Arial" w:hAnsi="Arial" w:cs="Arial"/>
          <w:i/>
        </w:rPr>
        <w:t xml:space="preserve">. Kun an SGC </w:t>
      </w:r>
      <w:proofErr w:type="spellStart"/>
      <w:r w:rsidR="00CF0CAB" w:rsidRPr="00DF73F3">
        <w:rPr>
          <w:rFonts w:ascii="Arial" w:hAnsi="Arial" w:cs="Arial"/>
          <w:i/>
        </w:rPr>
        <w:t>dai</w:t>
      </w:r>
      <w:proofErr w:type="spellEnd"/>
      <w:r w:rsidR="00CF0CAB" w:rsidRPr="00DF73F3">
        <w:rPr>
          <w:rFonts w:ascii="Arial" w:hAnsi="Arial" w:cs="Arial"/>
          <w:i/>
        </w:rPr>
        <w:t xml:space="preserve"> man </w:t>
      </w:r>
      <w:proofErr w:type="spellStart"/>
      <w:r w:rsidR="00CF0CAB" w:rsidRPr="00DF73F3">
        <w:rPr>
          <w:rFonts w:ascii="Arial" w:hAnsi="Arial" w:cs="Arial"/>
          <w:i/>
        </w:rPr>
        <w:t>sana</w:t>
      </w:r>
      <w:proofErr w:type="spellEnd"/>
      <w:r w:rsidR="00CF0CAB" w:rsidRPr="00DF73F3">
        <w:rPr>
          <w:rFonts w:ascii="Arial" w:hAnsi="Arial" w:cs="Arial"/>
          <w:i/>
        </w:rPr>
        <w:t xml:space="preserve"> </w:t>
      </w:r>
      <w:proofErr w:type="spellStart"/>
      <w:r w:rsidR="00CF0CAB" w:rsidRPr="00DF73F3">
        <w:rPr>
          <w:rFonts w:ascii="Arial" w:hAnsi="Arial" w:cs="Arial"/>
          <w:i/>
        </w:rPr>
        <w:t>makatao</w:t>
      </w:r>
      <w:proofErr w:type="spellEnd"/>
      <w:r w:rsidR="00CF0CAB" w:rsidRPr="00DF73F3">
        <w:rPr>
          <w:rFonts w:ascii="Arial" w:hAnsi="Arial" w:cs="Arial"/>
          <w:i/>
        </w:rPr>
        <w:t xml:space="preserve"> </w:t>
      </w:r>
      <w:proofErr w:type="spellStart"/>
      <w:r w:rsidR="00CF0CAB" w:rsidRPr="00DF73F3">
        <w:rPr>
          <w:rFonts w:ascii="Arial" w:hAnsi="Arial" w:cs="Arial"/>
          <w:i/>
        </w:rPr>
        <w:t>nin</w:t>
      </w:r>
      <w:proofErr w:type="spellEnd"/>
      <w:r w:rsidR="00CF0CAB" w:rsidRPr="00DF73F3">
        <w:rPr>
          <w:rFonts w:ascii="Arial" w:hAnsi="Arial" w:cs="Arial"/>
          <w:i/>
        </w:rPr>
        <w:t xml:space="preserve"> allowance para </w:t>
      </w:r>
      <w:proofErr w:type="spellStart"/>
      <w:r w:rsidR="00CF0CAB" w:rsidRPr="00DF73F3">
        <w:rPr>
          <w:rFonts w:ascii="Arial" w:hAnsi="Arial" w:cs="Arial"/>
          <w:i/>
        </w:rPr>
        <w:t>sa</w:t>
      </w:r>
      <w:proofErr w:type="spellEnd"/>
      <w:r w:rsidR="00CF0CAB" w:rsidRPr="00DF73F3">
        <w:rPr>
          <w:rFonts w:ascii="Arial" w:hAnsi="Arial" w:cs="Arial"/>
          <w:i/>
        </w:rPr>
        <w:t xml:space="preserve"> </w:t>
      </w:r>
      <w:proofErr w:type="spellStart"/>
      <w:r w:rsidR="00CF0CAB" w:rsidRPr="00DF73F3">
        <w:rPr>
          <w:rFonts w:ascii="Arial" w:hAnsi="Arial" w:cs="Arial"/>
          <w:i/>
        </w:rPr>
        <w:t>pamasahe</w:t>
      </w:r>
      <w:proofErr w:type="spellEnd"/>
      <w:r w:rsidR="00CF0CAB" w:rsidRPr="00DF73F3">
        <w:rPr>
          <w:rFonts w:ascii="Arial" w:hAnsi="Arial" w:cs="Arial"/>
          <w:i/>
        </w:rPr>
        <w:t xml:space="preserve">, </w:t>
      </w:r>
      <w:proofErr w:type="spellStart"/>
      <w:r w:rsidR="00CF0CAB" w:rsidRPr="00DF73F3">
        <w:rPr>
          <w:rFonts w:ascii="Arial" w:hAnsi="Arial" w:cs="Arial"/>
          <w:i/>
        </w:rPr>
        <w:t>nagigin</w:t>
      </w:r>
      <w:proofErr w:type="spellEnd"/>
      <w:r w:rsidR="00CF0CAB" w:rsidRPr="00DF73F3">
        <w:rPr>
          <w:rFonts w:ascii="Arial" w:hAnsi="Arial" w:cs="Arial"/>
          <w:i/>
        </w:rPr>
        <w:t xml:space="preserve"> </w:t>
      </w:r>
      <w:proofErr w:type="spellStart"/>
      <w:r w:rsidR="00CF0CAB" w:rsidRPr="00DF73F3">
        <w:rPr>
          <w:rFonts w:ascii="Arial" w:hAnsi="Arial" w:cs="Arial"/>
          <w:i/>
        </w:rPr>
        <w:t>dai</w:t>
      </w:r>
      <w:proofErr w:type="spellEnd"/>
      <w:r w:rsidR="00CF0CAB" w:rsidRPr="00DF73F3">
        <w:rPr>
          <w:rFonts w:ascii="Arial" w:hAnsi="Arial" w:cs="Arial"/>
          <w:i/>
        </w:rPr>
        <w:t xml:space="preserve"> </w:t>
      </w:r>
      <w:proofErr w:type="spellStart"/>
      <w:r w:rsidR="00CF0CAB" w:rsidRPr="00DF73F3">
        <w:rPr>
          <w:rFonts w:ascii="Arial" w:hAnsi="Arial" w:cs="Arial"/>
          <w:i/>
        </w:rPr>
        <w:t>na</w:t>
      </w:r>
      <w:proofErr w:type="spellEnd"/>
      <w:r w:rsidR="00CF0CAB" w:rsidRPr="00DF73F3">
        <w:rPr>
          <w:rFonts w:ascii="Arial" w:hAnsi="Arial" w:cs="Arial"/>
          <w:i/>
        </w:rPr>
        <w:t xml:space="preserve"> kaya para </w:t>
      </w:r>
      <w:proofErr w:type="spellStart"/>
      <w:r w:rsidR="00CF0CAB" w:rsidRPr="00DF73F3">
        <w:rPr>
          <w:rFonts w:ascii="Arial" w:hAnsi="Arial" w:cs="Arial"/>
          <w:i/>
        </w:rPr>
        <w:t>sa</w:t>
      </w:r>
      <w:proofErr w:type="spellEnd"/>
      <w:r w:rsidR="00CF0CAB" w:rsidRPr="00DF73F3">
        <w:rPr>
          <w:rFonts w:ascii="Arial" w:hAnsi="Arial" w:cs="Arial"/>
          <w:i/>
        </w:rPr>
        <w:t xml:space="preserve"> </w:t>
      </w:r>
      <w:proofErr w:type="spellStart"/>
      <w:r w:rsidR="00CF0CAB" w:rsidRPr="00DF73F3">
        <w:rPr>
          <w:rFonts w:ascii="Arial" w:hAnsi="Arial" w:cs="Arial"/>
          <w:i/>
        </w:rPr>
        <w:t>mga</w:t>
      </w:r>
      <w:proofErr w:type="spellEnd"/>
      <w:r w:rsidR="00CF0CAB" w:rsidRPr="00DF73F3">
        <w:rPr>
          <w:rFonts w:ascii="Arial" w:hAnsi="Arial" w:cs="Arial"/>
          <w:i/>
        </w:rPr>
        <w:t xml:space="preserve"> </w:t>
      </w:r>
      <w:proofErr w:type="spellStart"/>
      <w:r w:rsidR="00CF0CAB" w:rsidRPr="00DF73F3">
        <w:rPr>
          <w:rFonts w:ascii="Arial" w:hAnsi="Arial" w:cs="Arial"/>
          <w:i/>
        </w:rPr>
        <w:t>magurang</w:t>
      </w:r>
      <w:proofErr w:type="spellEnd"/>
      <w:r w:rsidR="00CF0CAB" w:rsidRPr="00DF73F3">
        <w:rPr>
          <w:rFonts w:ascii="Arial" w:hAnsi="Arial" w:cs="Arial"/>
          <w:i/>
        </w:rPr>
        <w:t xml:space="preserve"> </w:t>
      </w:r>
      <w:proofErr w:type="spellStart"/>
      <w:r w:rsidR="00CF0CAB" w:rsidRPr="00DF73F3">
        <w:rPr>
          <w:rFonts w:ascii="Arial" w:hAnsi="Arial" w:cs="Arial"/>
          <w:i/>
        </w:rPr>
        <w:t>na</w:t>
      </w:r>
      <w:proofErr w:type="spellEnd"/>
      <w:r w:rsidR="00CF0CAB" w:rsidRPr="00DF73F3">
        <w:rPr>
          <w:rFonts w:ascii="Arial" w:hAnsi="Arial" w:cs="Arial"/>
          <w:i/>
        </w:rPr>
        <w:t xml:space="preserve"> </w:t>
      </w:r>
      <w:proofErr w:type="spellStart"/>
      <w:r w:rsidR="00CF0CAB" w:rsidRPr="00DF73F3">
        <w:rPr>
          <w:rFonts w:ascii="Arial" w:hAnsi="Arial" w:cs="Arial"/>
          <w:i/>
        </w:rPr>
        <w:t>nagsasahod</w:t>
      </w:r>
      <w:proofErr w:type="spellEnd"/>
      <w:r w:rsidR="00CF0CAB" w:rsidRPr="00DF73F3">
        <w:rPr>
          <w:rFonts w:ascii="Arial" w:hAnsi="Arial" w:cs="Arial"/>
          <w:i/>
        </w:rPr>
        <w:t xml:space="preserve"> </w:t>
      </w:r>
      <w:proofErr w:type="spellStart"/>
      <w:r w:rsidR="00CF0CAB" w:rsidRPr="00DF73F3">
        <w:rPr>
          <w:rFonts w:ascii="Arial" w:hAnsi="Arial" w:cs="Arial"/>
          <w:i/>
        </w:rPr>
        <w:t>sana</w:t>
      </w:r>
      <w:proofErr w:type="spellEnd"/>
      <w:r w:rsidR="00CF0CAB" w:rsidRPr="00DF73F3">
        <w:rPr>
          <w:rFonts w:ascii="Arial" w:hAnsi="Arial" w:cs="Arial"/>
          <w:i/>
        </w:rPr>
        <w:t xml:space="preserve"> man </w:t>
      </w:r>
      <w:proofErr w:type="spellStart"/>
      <w:r w:rsidR="00CF0CAB" w:rsidRPr="00DF73F3">
        <w:rPr>
          <w:rFonts w:ascii="Arial" w:hAnsi="Arial" w:cs="Arial"/>
          <w:i/>
        </w:rPr>
        <w:t>nin</w:t>
      </w:r>
      <w:proofErr w:type="spellEnd"/>
      <w:r w:rsidR="00CF0CAB" w:rsidRPr="00DF73F3">
        <w:rPr>
          <w:rFonts w:ascii="Arial" w:hAnsi="Arial" w:cs="Arial"/>
          <w:i/>
        </w:rPr>
        <w:t xml:space="preserve"> </w:t>
      </w:r>
      <w:proofErr w:type="spellStart"/>
      <w:r w:rsidR="00CF0CAB" w:rsidRPr="00DF73F3">
        <w:rPr>
          <w:rFonts w:ascii="Arial" w:hAnsi="Arial" w:cs="Arial"/>
          <w:i/>
        </w:rPr>
        <w:t>aldawan</w:t>
      </w:r>
      <w:proofErr w:type="spellEnd"/>
      <w:r w:rsidR="00CF0CAB" w:rsidRPr="00DF73F3">
        <w:rPr>
          <w:rFonts w:ascii="Arial" w:hAnsi="Arial" w:cs="Arial"/>
          <w:i/>
        </w:rPr>
        <w:t>.</w:t>
      </w:r>
      <w:r w:rsidRPr="00DF73F3">
        <w:rPr>
          <w:rFonts w:ascii="Arial" w:hAnsi="Arial" w:cs="Arial"/>
          <w:i/>
        </w:rPr>
        <w:t>”</w:t>
      </w:r>
      <w:r>
        <w:rPr>
          <w:rFonts w:ascii="Arial" w:hAnsi="Arial" w:cs="Arial"/>
        </w:rPr>
        <w:t xml:space="preserve"> (</w:t>
      </w:r>
      <w:r w:rsidR="00A96F7D" w:rsidRPr="00A96F7D">
        <w:rPr>
          <w:rFonts w:ascii="Arial" w:hAnsi="Arial" w:cs="Arial"/>
        </w:rPr>
        <w:t>I want to help our school, but attending meetings means losing a day's income. When the SGC cannot even provide transportation allowance, it becomes unsustainable for parents like</w:t>
      </w:r>
      <w:r>
        <w:rPr>
          <w:rFonts w:ascii="Arial" w:hAnsi="Arial" w:cs="Arial"/>
        </w:rPr>
        <w:t xml:space="preserve"> me who are daily wage earners.)</w:t>
      </w:r>
    </w:p>
    <w:p w14:paraId="5512F290" w14:textId="77777777" w:rsidR="00A96F7D" w:rsidRPr="00A96F7D" w:rsidRDefault="00A96F7D" w:rsidP="00A96F7D">
      <w:pPr>
        <w:pStyle w:val="Body"/>
        <w:spacing w:after="0"/>
        <w:rPr>
          <w:rFonts w:ascii="Arial" w:hAnsi="Arial" w:cs="Arial"/>
        </w:rPr>
      </w:pPr>
    </w:p>
    <w:p w14:paraId="52F06663" w14:textId="77777777" w:rsidR="00A96F7D" w:rsidRPr="00A96F7D" w:rsidRDefault="00A96F7D" w:rsidP="00A96F7D">
      <w:pPr>
        <w:pStyle w:val="Body"/>
        <w:spacing w:after="0"/>
        <w:rPr>
          <w:rFonts w:ascii="Arial" w:hAnsi="Arial" w:cs="Arial"/>
        </w:rPr>
      </w:pPr>
      <w:r w:rsidRPr="00A96F7D">
        <w:rPr>
          <w:rFonts w:ascii="Arial" w:hAnsi="Arial" w:cs="Arial"/>
        </w:rPr>
        <w:t>This statement demonstrates how a lack of resources can create obstacles to participation, especially for members of the community who are economically disadvantaged, potentially skewing SGC representation in favor of more wealthy stakeholders.</w:t>
      </w:r>
    </w:p>
    <w:p w14:paraId="6B94C944" w14:textId="77777777" w:rsidR="00A96F7D" w:rsidRPr="00A96F7D" w:rsidRDefault="00A96F7D" w:rsidP="00A96F7D">
      <w:pPr>
        <w:pStyle w:val="Body"/>
        <w:spacing w:after="0"/>
        <w:rPr>
          <w:rFonts w:ascii="Arial" w:hAnsi="Arial" w:cs="Arial"/>
        </w:rPr>
      </w:pPr>
    </w:p>
    <w:p w14:paraId="45FA25B9" w14:textId="333BC75B" w:rsidR="00A96F7D" w:rsidRPr="00A96F7D" w:rsidRDefault="00783D92" w:rsidP="00A96F7D">
      <w:pPr>
        <w:pStyle w:val="Body"/>
        <w:spacing w:after="0"/>
        <w:rPr>
          <w:rFonts w:ascii="Arial" w:hAnsi="Arial" w:cs="Arial"/>
        </w:rPr>
      </w:pPr>
      <w:r w:rsidRPr="00783D92">
        <w:rPr>
          <w:rFonts w:ascii="Arial" w:hAnsi="Arial" w:cs="Arial"/>
        </w:rPr>
        <w:t>When schools are unreliable partners due to funding unpredictability, partnership sustainability (rank 3) suffers. Schools cannot commit to collaborative projects when resources are subject to unpredictable fluctuations, but external partners demand constant engagement. An NGO representative who works with schools made the following observation.</w:t>
      </w:r>
    </w:p>
    <w:p w14:paraId="2885F2F7" w14:textId="77777777" w:rsidR="00A96F7D" w:rsidRPr="00C51424" w:rsidRDefault="00A96F7D" w:rsidP="00A96F7D">
      <w:pPr>
        <w:pStyle w:val="Body"/>
        <w:spacing w:after="0"/>
        <w:rPr>
          <w:rFonts w:ascii="Arial" w:hAnsi="Arial" w:cs="Arial"/>
          <w:i/>
        </w:rPr>
      </w:pPr>
    </w:p>
    <w:p w14:paraId="35C6AF85" w14:textId="789B204E" w:rsidR="00A96F7D" w:rsidRPr="00A96F7D" w:rsidRDefault="002D17DD" w:rsidP="00A96F7D">
      <w:pPr>
        <w:pStyle w:val="Body"/>
        <w:spacing w:after="0"/>
        <w:rPr>
          <w:rFonts w:ascii="Arial" w:hAnsi="Arial" w:cs="Arial"/>
        </w:rPr>
      </w:pPr>
      <w:r w:rsidRPr="00C51424">
        <w:rPr>
          <w:rFonts w:ascii="Arial" w:hAnsi="Arial" w:cs="Arial"/>
          <w:i/>
        </w:rPr>
        <w:t>“Nag-</w:t>
      </w:r>
      <w:proofErr w:type="spellStart"/>
      <w:r w:rsidRPr="00C51424">
        <w:rPr>
          <w:rFonts w:ascii="Arial" w:hAnsi="Arial" w:cs="Arial"/>
          <w:i/>
        </w:rPr>
        <w:t>ofer</w:t>
      </w:r>
      <w:proofErr w:type="spellEnd"/>
      <w:r w:rsidRPr="00C51424">
        <w:rPr>
          <w:rFonts w:ascii="Arial" w:hAnsi="Arial" w:cs="Arial"/>
          <w:i/>
        </w:rPr>
        <w:t xml:space="preserve"> man kami </w:t>
      </w:r>
      <w:proofErr w:type="spellStart"/>
      <w:r w:rsidRPr="00C51424">
        <w:rPr>
          <w:rFonts w:ascii="Arial" w:hAnsi="Arial" w:cs="Arial"/>
          <w:i/>
        </w:rPr>
        <w:t>na</w:t>
      </w:r>
      <w:proofErr w:type="spellEnd"/>
      <w:r w:rsidRPr="00C51424">
        <w:rPr>
          <w:rFonts w:ascii="Arial" w:hAnsi="Arial" w:cs="Arial"/>
          <w:i/>
        </w:rPr>
        <w:t xml:space="preserve"> </w:t>
      </w:r>
      <w:proofErr w:type="spellStart"/>
      <w:r w:rsidRPr="00C51424">
        <w:rPr>
          <w:rFonts w:ascii="Arial" w:hAnsi="Arial" w:cs="Arial"/>
          <w:i/>
        </w:rPr>
        <w:t>suportahan</w:t>
      </w:r>
      <w:proofErr w:type="spellEnd"/>
      <w:r w:rsidRPr="00C51424">
        <w:rPr>
          <w:rFonts w:ascii="Arial" w:hAnsi="Arial" w:cs="Arial"/>
          <w:i/>
        </w:rPr>
        <w:t xml:space="preserve"> an </w:t>
      </w:r>
      <w:proofErr w:type="spellStart"/>
      <w:r w:rsidRPr="00C51424">
        <w:rPr>
          <w:rFonts w:ascii="Arial" w:hAnsi="Arial" w:cs="Arial"/>
          <w:i/>
        </w:rPr>
        <w:t>mga</w:t>
      </w:r>
      <w:proofErr w:type="spellEnd"/>
      <w:r w:rsidRPr="00C51424">
        <w:rPr>
          <w:rFonts w:ascii="Arial" w:hAnsi="Arial" w:cs="Arial"/>
          <w:i/>
        </w:rPr>
        <w:t xml:space="preserve"> </w:t>
      </w:r>
      <w:proofErr w:type="spellStart"/>
      <w:r w:rsidRPr="00C51424">
        <w:rPr>
          <w:rFonts w:ascii="Arial" w:hAnsi="Arial" w:cs="Arial"/>
          <w:i/>
        </w:rPr>
        <w:t>es</w:t>
      </w:r>
      <w:r w:rsidR="00897FBC">
        <w:rPr>
          <w:rFonts w:ascii="Arial" w:hAnsi="Arial" w:cs="Arial"/>
          <w:i/>
        </w:rPr>
        <w:t>kwe</w:t>
      </w:r>
      <w:r w:rsidRPr="00C51424">
        <w:rPr>
          <w:rFonts w:ascii="Arial" w:hAnsi="Arial" w:cs="Arial"/>
          <w:i/>
        </w:rPr>
        <w:t>lahan</w:t>
      </w:r>
      <w:proofErr w:type="spellEnd"/>
      <w:r w:rsidRPr="00C51424">
        <w:rPr>
          <w:rFonts w:ascii="Arial" w:hAnsi="Arial" w:cs="Arial"/>
          <w:i/>
        </w:rPr>
        <w:t xml:space="preserve">, </w:t>
      </w:r>
      <w:proofErr w:type="spellStart"/>
      <w:r w:rsidRPr="00C51424">
        <w:rPr>
          <w:rFonts w:ascii="Arial" w:hAnsi="Arial" w:cs="Arial"/>
          <w:i/>
        </w:rPr>
        <w:t>pero</w:t>
      </w:r>
      <w:proofErr w:type="spellEnd"/>
      <w:r w:rsidRPr="00C51424">
        <w:rPr>
          <w:rFonts w:ascii="Arial" w:hAnsi="Arial" w:cs="Arial"/>
          <w:i/>
        </w:rPr>
        <w:t xml:space="preserve"> </w:t>
      </w:r>
      <w:proofErr w:type="spellStart"/>
      <w:r w:rsidRPr="00C51424">
        <w:rPr>
          <w:rFonts w:ascii="Arial" w:hAnsi="Arial" w:cs="Arial"/>
          <w:i/>
        </w:rPr>
        <w:t>dahil</w:t>
      </w:r>
      <w:proofErr w:type="spellEnd"/>
      <w:r w:rsidRPr="00C51424">
        <w:rPr>
          <w:rFonts w:ascii="Arial" w:hAnsi="Arial" w:cs="Arial"/>
          <w:i/>
        </w:rPr>
        <w:t xml:space="preserve"> </w:t>
      </w:r>
      <w:proofErr w:type="spellStart"/>
      <w:r w:rsidRPr="00C51424">
        <w:rPr>
          <w:rFonts w:ascii="Arial" w:hAnsi="Arial" w:cs="Arial"/>
          <w:i/>
        </w:rPr>
        <w:t>sa</w:t>
      </w:r>
      <w:proofErr w:type="spellEnd"/>
      <w:r w:rsidRPr="00C51424">
        <w:rPr>
          <w:rFonts w:ascii="Arial" w:hAnsi="Arial" w:cs="Arial"/>
          <w:i/>
        </w:rPr>
        <w:t xml:space="preserve"> </w:t>
      </w:r>
      <w:proofErr w:type="spellStart"/>
      <w:r w:rsidRPr="00C51424">
        <w:rPr>
          <w:rFonts w:ascii="Arial" w:hAnsi="Arial" w:cs="Arial"/>
          <w:i/>
        </w:rPr>
        <w:t>dai</w:t>
      </w:r>
      <w:proofErr w:type="spellEnd"/>
      <w:r w:rsidRPr="00C51424">
        <w:rPr>
          <w:rFonts w:ascii="Arial" w:hAnsi="Arial" w:cs="Arial"/>
          <w:i/>
        </w:rPr>
        <w:t xml:space="preserve"> </w:t>
      </w:r>
      <w:proofErr w:type="spellStart"/>
      <w:r w:rsidRPr="00C51424">
        <w:rPr>
          <w:rFonts w:ascii="Arial" w:hAnsi="Arial" w:cs="Arial"/>
          <w:i/>
        </w:rPr>
        <w:t>ninda</w:t>
      </w:r>
      <w:proofErr w:type="spellEnd"/>
      <w:r w:rsidRPr="00C51424">
        <w:rPr>
          <w:rFonts w:ascii="Arial" w:hAnsi="Arial" w:cs="Arial"/>
          <w:i/>
        </w:rPr>
        <w:t xml:space="preserve"> </w:t>
      </w:r>
      <w:proofErr w:type="spellStart"/>
      <w:r w:rsidRPr="00C51424">
        <w:rPr>
          <w:rFonts w:ascii="Arial" w:hAnsi="Arial" w:cs="Arial"/>
          <w:i/>
        </w:rPr>
        <w:t>konsistenten</w:t>
      </w:r>
      <w:r w:rsidR="00C51424">
        <w:rPr>
          <w:rFonts w:ascii="Arial" w:hAnsi="Arial" w:cs="Arial"/>
          <w:i/>
        </w:rPr>
        <w:t>g</w:t>
      </w:r>
      <w:proofErr w:type="spellEnd"/>
      <w:r w:rsidR="00C51424">
        <w:rPr>
          <w:rFonts w:ascii="Arial" w:hAnsi="Arial" w:cs="Arial"/>
          <w:i/>
        </w:rPr>
        <w:t xml:space="preserve"> </w:t>
      </w:r>
      <w:proofErr w:type="spellStart"/>
      <w:r w:rsidR="00C51424">
        <w:rPr>
          <w:rFonts w:ascii="Arial" w:hAnsi="Arial" w:cs="Arial"/>
          <w:i/>
        </w:rPr>
        <w:t>partisipasyon</w:t>
      </w:r>
      <w:proofErr w:type="spellEnd"/>
      <w:r w:rsidR="00C51424">
        <w:rPr>
          <w:rFonts w:ascii="Arial" w:hAnsi="Arial" w:cs="Arial"/>
          <w:i/>
        </w:rPr>
        <w:t xml:space="preserve">. </w:t>
      </w:r>
      <w:proofErr w:type="spellStart"/>
      <w:r w:rsidR="00C51424">
        <w:rPr>
          <w:rFonts w:ascii="Arial" w:hAnsi="Arial" w:cs="Arial"/>
          <w:i/>
        </w:rPr>
        <w:t>N</w:t>
      </w:r>
      <w:r w:rsidRPr="00C51424">
        <w:rPr>
          <w:rFonts w:ascii="Arial" w:hAnsi="Arial" w:cs="Arial"/>
          <w:i/>
        </w:rPr>
        <w:t>agbabago</w:t>
      </w:r>
      <w:proofErr w:type="spellEnd"/>
      <w:r w:rsidRPr="00C51424">
        <w:rPr>
          <w:rFonts w:ascii="Arial" w:hAnsi="Arial" w:cs="Arial"/>
          <w:i/>
        </w:rPr>
        <w:t xml:space="preserve"> </w:t>
      </w:r>
      <w:r w:rsidR="00C51424">
        <w:rPr>
          <w:rFonts w:ascii="Arial" w:hAnsi="Arial" w:cs="Arial"/>
          <w:i/>
        </w:rPr>
        <w:t>kaya</w:t>
      </w:r>
      <w:r w:rsidRPr="00C51424">
        <w:rPr>
          <w:rFonts w:ascii="Arial" w:hAnsi="Arial" w:cs="Arial"/>
          <w:i/>
        </w:rPr>
        <w:t xml:space="preserve"> an </w:t>
      </w:r>
      <w:proofErr w:type="spellStart"/>
      <w:r w:rsidRPr="00C51424">
        <w:rPr>
          <w:rFonts w:ascii="Arial" w:hAnsi="Arial" w:cs="Arial"/>
          <w:i/>
        </w:rPr>
        <w:t>saindang</w:t>
      </w:r>
      <w:proofErr w:type="spellEnd"/>
      <w:r w:rsidRPr="00C51424">
        <w:rPr>
          <w:rFonts w:ascii="Arial" w:hAnsi="Arial" w:cs="Arial"/>
          <w:i/>
        </w:rPr>
        <w:t xml:space="preserve"> </w:t>
      </w:r>
      <w:proofErr w:type="spellStart"/>
      <w:r w:rsidRPr="00C51424">
        <w:rPr>
          <w:rFonts w:ascii="Arial" w:hAnsi="Arial" w:cs="Arial"/>
          <w:i/>
        </w:rPr>
        <w:t>mga</w:t>
      </w:r>
      <w:proofErr w:type="spellEnd"/>
      <w:r w:rsidRPr="00C51424">
        <w:rPr>
          <w:rFonts w:ascii="Arial" w:hAnsi="Arial" w:cs="Arial"/>
          <w:i/>
        </w:rPr>
        <w:t xml:space="preserve"> </w:t>
      </w:r>
      <w:proofErr w:type="spellStart"/>
      <w:r w:rsidRPr="00C51424">
        <w:rPr>
          <w:rFonts w:ascii="Arial" w:hAnsi="Arial" w:cs="Arial"/>
          <w:i/>
        </w:rPr>
        <w:t>pri</w:t>
      </w:r>
      <w:r w:rsidR="00C21CB9">
        <w:rPr>
          <w:rFonts w:ascii="Arial" w:hAnsi="Arial" w:cs="Arial"/>
          <w:i/>
        </w:rPr>
        <w:t>oridad</w:t>
      </w:r>
      <w:proofErr w:type="spellEnd"/>
      <w:r w:rsidR="00C21CB9">
        <w:rPr>
          <w:rFonts w:ascii="Arial" w:hAnsi="Arial" w:cs="Arial"/>
          <w:i/>
        </w:rPr>
        <w:t xml:space="preserve"> </w:t>
      </w:r>
      <w:proofErr w:type="spellStart"/>
      <w:r w:rsidR="00C21CB9">
        <w:rPr>
          <w:rFonts w:ascii="Arial" w:hAnsi="Arial" w:cs="Arial"/>
          <w:i/>
        </w:rPr>
        <w:t>asin</w:t>
      </w:r>
      <w:proofErr w:type="spellEnd"/>
      <w:r w:rsidR="00C21CB9">
        <w:rPr>
          <w:rFonts w:ascii="Arial" w:hAnsi="Arial" w:cs="Arial"/>
          <w:i/>
        </w:rPr>
        <w:t xml:space="preserve"> </w:t>
      </w:r>
      <w:proofErr w:type="spellStart"/>
      <w:r w:rsidR="00C21CB9">
        <w:rPr>
          <w:rFonts w:ascii="Arial" w:hAnsi="Arial" w:cs="Arial"/>
          <w:i/>
        </w:rPr>
        <w:t>kulang</w:t>
      </w:r>
      <w:proofErr w:type="spellEnd"/>
      <w:r w:rsidR="00C21CB9">
        <w:rPr>
          <w:rFonts w:ascii="Arial" w:hAnsi="Arial" w:cs="Arial"/>
          <w:i/>
        </w:rPr>
        <w:t xml:space="preserve"> </w:t>
      </w:r>
      <w:proofErr w:type="spellStart"/>
      <w:r w:rsidR="00C21CB9">
        <w:rPr>
          <w:rFonts w:ascii="Arial" w:hAnsi="Arial" w:cs="Arial"/>
          <w:i/>
        </w:rPr>
        <w:t>sa</w:t>
      </w:r>
      <w:proofErr w:type="spellEnd"/>
      <w:r w:rsidR="00C21CB9">
        <w:rPr>
          <w:rFonts w:ascii="Arial" w:hAnsi="Arial" w:cs="Arial"/>
          <w:i/>
        </w:rPr>
        <w:t xml:space="preserve"> resources. </w:t>
      </w:r>
      <w:proofErr w:type="spellStart"/>
      <w:r w:rsidR="00C21CB9">
        <w:rPr>
          <w:rFonts w:ascii="Arial" w:hAnsi="Arial" w:cs="Arial"/>
          <w:i/>
        </w:rPr>
        <w:t>N</w:t>
      </w:r>
      <w:r w:rsidRPr="00C51424">
        <w:rPr>
          <w:rFonts w:ascii="Arial" w:hAnsi="Arial" w:cs="Arial"/>
          <w:i/>
        </w:rPr>
        <w:t>agigin</w:t>
      </w:r>
      <w:proofErr w:type="spellEnd"/>
      <w:r w:rsidRPr="00C51424">
        <w:rPr>
          <w:rFonts w:ascii="Arial" w:hAnsi="Arial" w:cs="Arial"/>
          <w:i/>
        </w:rPr>
        <w:t xml:space="preserve"> </w:t>
      </w:r>
      <w:proofErr w:type="spellStart"/>
      <w:r w:rsidRPr="00C51424">
        <w:rPr>
          <w:rFonts w:ascii="Arial" w:hAnsi="Arial" w:cs="Arial"/>
          <w:i/>
        </w:rPr>
        <w:t>haros</w:t>
      </w:r>
      <w:proofErr w:type="spellEnd"/>
      <w:r w:rsidRPr="00C51424">
        <w:rPr>
          <w:rFonts w:ascii="Arial" w:hAnsi="Arial" w:cs="Arial"/>
          <w:i/>
        </w:rPr>
        <w:t xml:space="preserve"> </w:t>
      </w:r>
      <w:proofErr w:type="spellStart"/>
      <w:r w:rsidRPr="00C51424">
        <w:rPr>
          <w:rFonts w:ascii="Arial" w:hAnsi="Arial" w:cs="Arial"/>
          <w:i/>
        </w:rPr>
        <w:t>imposible</w:t>
      </w:r>
      <w:proofErr w:type="spellEnd"/>
      <w:r w:rsidRPr="00C51424">
        <w:rPr>
          <w:rFonts w:ascii="Arial" w:hAnsi="Arial" w:cs="Arial"/>
          <w:i/>
        </w:rPr>
        <w:t xml:space="preserve"> an </w:t>
      </w:r>
      <w:proofErr w:type="spellStart"/>
      <w:r w:rsidRPr="00C51424">
        <w:rPr>
          <w:rFonts w:ascii="Arial" w:hAnsi="Arial" w:cs="Arial"/>
          <w:i/>
        </w:rPr>
        <w:t>pagplano</w:t>
      </w:r>
      <w:proofErr w:type="spellEnd"/>
      <w:r w:rsidRPr="00C51424">
        <w:rPr>
          <w:rFonts w:ascii="Arial" w:hAnsi="Arial" w:cs="Arial"/>
          <w:i/>
        </w:rPr>
        <w:t xml:space="preserve"> </w:t>
      </w:r>
      <w:proofErr w:type="spellStart"/>
      <w:r w:rsidRPr="00C51424">
        <w:rPr>
          <w:rFonts w:ascii="Arial" w:hAnsi="Arial" w:cs="Arial"/>
          <w:i/>
        </w:rPr>
        <w:t>nin</w:t>
      </w:r>
      <w:proofErr w:type="spellEnd"/>
      <w:r w:rsidRPr="00C51424">
        <w:rPr>
          <w:rFonts w:ascii="Arial" w:hAnsi="Arial" w:cs="Arial"/>
          <w:i/>
        </w:rPr>
        <w:t xml:space="preserve"> long-term </w:t>
      </w:r>
      <w:proofErr w:type="spellStart"/>
      <w:r w:rsidRPr="00C51424">
        <w:rPr>
          <w:rFonts w:ascii="Arial" w:hAnsi="Arial" w:cs="Arial"/>
          <w:i/>
        </w:rPr>
        <w:t>na</w:t>
      </w:r>
      <w:proofErr w:type="spellEnd"/>
      <w:r w:rsidRPr="00C51424">
        <w:rPr>
          <w:rFonts w:ascii="Arial" w:hAnsi="Arial" w:cs="Arial"/>
          <w:i/>
        </w:rPr>
        <w:t xml:space="preserve"> partnership.”</w:t>
      </w:r>
      <w:r>
        <w:rPr>
          <w:rFonts w:ascii="Arial" w:hAnsi="Arial" w:cs="Arial"/>
        </w:rPr>
        <w:t xml:space="preserve"> (</w:t>
      </w:r>
      <w:r w:rsidR="00A96F7D" w:rsidRPr="00A96F7D">
        <w:rPr>
          <w:rFonts w:ascii="Arial" w:hAnsi="Arial" w:cs="Arial"/>
        </w:rPr>
        <w:t>We've offered to support several schools, but their inability to maintain consistent participation due to changing priorities and resource constraints makes long-term partners</w:t>
      </w:r>
      <w:r>
        <w:rPr>
          <w:rFonts w:ascii="Arial" w:hAnsi="Arial" w:cs="Arial"/>
        </w:rPr>
        <w:t>hip planning nearly impossible.)</w:t>
      </w:r>
    </w:p>
    <w:p w14:paraId="2248473A" w14:textId="77777777" w:rsidR="00A96F7D" w:rsidRPr="00A96F7D" w:rsidRDefault="00A96F7D" w:rsidP="00A96F7D">
      <w:pPr>
        <w:pStyle w:val="Body"/>
        <w:spacing w:after="0"/>
        <w:rPr>
          <w:rFonts w:ascii="Arial" w:hAnsi="Arial" w:cs="Arial"/>
        </w:rPr>
      </w:pPr>
    </w:p>
    <w:p w14:paraId="49E1419A" w14:textId="77777777" w:rsidR="00A96F7D" w:rsidRPr="00A96F7D" w:rsidRDefault="00A96F7D" w:rsidP="00A96F7D">
      <w:pPr>
        <w:pStyle w:val="Body"/>
        <w:spacing w:after="0"/>
        <w:rPr>
          <w:rFonts w:ascii="Arial" w:hAnsi="Arial" w:cs="Arial"/>
        </w:rPr>
      </w:pPr>
      <w:r w:rsidRPr="00A96F7D">
        <w:rPr>
          <w:rFonts w:ascii="Arial" w:hAnsi="Arial" w:cs="Arial"/>
        </w:rPr>
        <w:t>When program benefits cannot be demonstrated due to resource constraints, resistance to change (rank 4) increases. Skeptical stakeholders have little reason to support SGC reforms in the absence of clear successes made possible by sufficient funding and dedicated involvement. Weaknesses in monitoring and evaluation (rank 5) are partially caused by financial limitations that hinder investment in assessment systems, resulting in a vicious cycle where programs are unable to prove their effectiveness, making ongoing funding more difficult to defend.</w:t>
      </w:r>
    </w:p>
    <w:p w14:paraId="619EA05D" w14:textId="77777777" w:rsidR="00A96F7D" w:rsidRPr="00A96F7D" w:rsidRDefault="00A96F7D" w:rsidP="00A96F7D">
      <w:pPr>
        <w:pStyle w:val="Body"/>
        <w:spacing w:after="0"/>
        <w:rPr>
          <w:rFonts w:ascii="Arial" w:hAnsi="Arial" w:cs="Arial"/>
        </w:rPr>
      </w:pPr>
    </w:p>
    <w:p w14:paraId="3FDECBDC" w14:textId="1D7AED73" w:rsidR="00E403DF" w:rsidRPr="00A96F7D" w:rsidRDefault="00A96F7D" w:rsidP="00A96F7D">
      <w:pPr>
        <w:pStyle w:val="Body"/>
        <w:spacing w:after="0"/>
        <w:rPr>
          <w:rFonts w:ascii="Arial" w:hAnsi="Arial" w:cs="Arial"/>
        </w:rPr>
      </w:pPr>
      <w:r w:rsidRPr="00A96F7D">
        <w:rPr>
          <w:rFonts w:ascii="Arial" w:hAnsi="Arial" w:cs="Arial"/>
        </w:rPr>
        <w:t>These connections show that multiple factors must be addressed simultaneously for sustainability. Increasing funding might not guarantee continued participation if member commitment mechanisms are not addressed. On the other hand, developing commitment in the absence of resource support results in an unmanageable volunteer workload. Therefore, effective sustainability strategies must use integrated interventions to address the systemic nature of these issues.</w:t>
      </w:r>
    </w:p>
    <w:p w14:paraId="48BF5626" w14:textId="77777777" w:rsidR="00981420" w:rsidRPr="00A96F7D" w:rsidRDefault="00981420" w:rsidP="00DB6287">
      <w:pPr>
        <w:pStyle w:val="Body"/>
        <w:spacing w:after="0"/>
        <w:rPr>
          <w:rFonts w:ascii="Arial" w:hAnsi="Arial" w:cs="Arial"/>
        </w:rPr>
      </w:pPr>
    </w:p>
    <w:p w14:paraId="6F58C61F" w14:textId="77777777" w:rsidR="00B3723A" w:rsidRDefault="00B3723A" w:rsidP="00B3723A">
      <w:pPr>
        <w:pStyle w:val="Body"/>
        <w:spacing w:after="0"/>
        <w:rPr>
          <w:rFonts w:ascii="Arial" w:hAnsi="Arial" w:cs="Arial"/>
        </w:rPr>
      </w:pPr>
      <w:r w:rsidRPr="00A96F7D">
        <w:rPr>
          <w:rFonts w:ascii="Arial" w:hAnsi="Arial" w:cs="Arial"/>
          <w:b/>
          <w:caps/>
          <w:sz w:val="22"/>
        </w:rPr>
        <w:lastRenderedPageBreak/>
        <w:t>3</w:t>
      </w:r>
      <w:r w:rsidRPr="00827E2E">
        <w:rPr>
          <w:rFonts w:ascii="Arial" w:hAnsi="Arial" w:cs="Arial"/>
          <w:b/>
          <w:caps/>
          <w:sz w:val="22"/>
        </w:rPr>
        <w:t>.</w:t>
      </w:r>
      <w:r w:rsidR="00222A47" w:rsidRPr="00827E2E">
        <w:rPr>
          <w:rFonts w:ascii="Arial" w:hAnsi="Arial" w:cs="Arial"/>
          <w:b/>
          <w:caps/>
          <w:sz w:val="22"/>
        </w:rPr>
        <w:t>3</w:t>
      </w:r>
      <w:r w:rsidRPr="00827E2E">
        <w:rPr>
          <w:rFonts w:ascii="Arial" w:hAnsi="Arial" w:cs="Arial"/>
          <w:b/>
          <w:caps/>
          <w:sz w:val="22"/>
        </w:rPr>
        <w:t xml:space="preserve"> </w:t>
      </w:r>
      <w:r w:rsidR="00222A47" w:rsidRPr="00827E2E">
        <w:rPr>
          <w:rFonts w:ascii="Arial" w:hAnsi="Arial" w:cs="Arial"/>
          <w:b/>
          <w:sz w:val="22"/>
        </w:rPr>
        <w:t>Gains in the Implementation of School Governing Council Programs and Initiatives</w:t>
      </w:r>
      <w:r w:rsidRPr="00FB3A86">
        <w:rPr>
          <w:rFonts w:ascii="Arial" w:hAnsi="Arial" w:cs="Arial"/>
        </w:rPr>
        <w:t xml:space="preserve"> </w:t>
      </w:r>
    </w:p>
    <w:p w14:paraId="3BB576B1" w14:textId="77777777" w:rsidR="00B3723A" w:rsidRDefault="00B3723A" w:rsidP="00B3723A">
      <w:pPr>
        <w:pStyle w:val="Body"/>
        <w:spacing w:after="0"/>
        <w:rPr>
          <w:rFonts w:ascii="Arial" w:hAnsi="Arial" w:cs="Arial"/>
        </w:rPr>
      </w:pPr>
    </w:p>
    <w:p w14:paraId="3B973FA4" w14:textId="77777777" w:rsidR="00981420" w:rsidRDefault="00BD5B7A" w:rsidP="008C7527">
      <w:pPr>
        <w:pStyle w:val="Body"/>
        <w:spacing w:after="0"/>
        <w:rPr>
          <w:rFonts w:ascii="Arial" w:hAnsi="Arial" w:cs="Arial"/>
        </w:rPr>
      </w:pPr>
      <w:r w:rsidRPr="00BD5B7A">
        <w:rPr>
          <w:rFonts w:ascii="Arial" w:hAnsi="Arial" w:cs="Arial"/>
        </w:rPr>
        <w:t>Schools in DepEd Camarines Sur have benefited greatly from the implementation of SGC programs and initiatives, despite the major obstacles mentioned in the preceding sections. These benefits show the worth and potential of shared governance structures when they are put into practice successfully, which justifies ongoing funding for SGC support and development. Eight noteworthy benefits of SGC implementation were found by analysis. The frequency and ranking of these advantages are shown in Table 3.</w:t>
      </w:r>
    </w:p>
    <w:p w14:paraId="34713A2A" w14:textId="77777777" w:rsidR="00E77ACC" w:rsidRDefault="00E77ACC" w:rsidP="008C7527">
      <w:pPr>
        <w:pStyle w:val="Body"/>
        <w:spacing w:after="0"/>
        <w:rPr>
          <w:rFonts w:ascii="Arial" w:hAnsi="Arial" w:cs="Arial"/>
        </w:rPr>
      </w:pPr>
    </w:p>
    <w:p w14:paraId="76D130F3" w14:textId="77777777" w:rsidR="001C6649" w:rsidRPr="001C6649" w:rsidRDefault="001C6649" w:rsidP="001C6649">
      <w:pPr>
        <w:jc w:val="both"/>
        <w:rPr>
          <w:rFonts w:ascii="Arial" w:hAnsi="Arial" w:cs="Arial"/>
        </w:rPr>
      </w:pPr>
      <w:r w:rsidRPr="001C6649">
        <w:rPr>
          <w:rFonts w:ascii="Arial" w:hAnsi="Arial" w:cs="Arial"/>
          <w:b/>
          <w:bCs/>
        </w:rPr>
        <w:t>Table 3. Gains in the Implementation of SGC Programs and Initiatives</w:t>
      </w:r>
    </w:p>
    <w:tbl>
      <w:tblPr>
        <w:tblStyle w:val="TableGrid"/>
        <w:tblW w:w="81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1874"/>
        <w:gridCol w:w="1078"/>
      </w:tblGrid>
      <w:tr w:rsidR="001C6649" w:rsidRPr="001C6649" w14:paraId="76685CD9" w14:textId="77777777" w:rsidTr="002F0425">
        <w:trPr>
          <w:trHeight w:val="274"/>
          <w:jc w:val="center"/>
        </w:trPr>
        <w:tc>
          <w:tcPr>
            <w:tcW w:w="5239" w:type="dxa"/>
            <w:tcBorders>
              <w:top w:val="single" w:sz="4" w:space="0" w:color="auto"/>
              <w:bottom w:val="single" w:sz="4" w:space="0" w:color="auto"/>
            </w:tcBorders>
            <w:hideMark/>
          </w:tcPr>
          <w:p w14:paraId="524FD65C" w14:textId="77777777" w:rsidR="001C6649" w:rsidRPr="001C6649" w:rsidRDefault="001C6649" w:rsidP="002F0425">
            <w:pPr>
              <w:jc w:val="center"/>
              <w:rPr>
                <w:rFonts w:ascii="Arial" w:eastAsia="Times New Roman" w:hAnsi="Arial" w:cs="Arial"/>
                <w:b/>
                <w:bCs/>
                <w:sz w:val="20"/>
                <w:szCs w:val="20"/>
              </w:rPr>
            </w:pPr>
            <w:r w:rsidRPr="001C6649">
              <w:rPr>
                <w:rFonts w:ascii="Arial" w:eastAsia="Times New Roman" w:hAnsi="Arial" w:cs="Arial"/>
                <w:b/>
                <w:bCs/>
                <w:sz w:val="20"/>
                <w:szCs w:val="20"/>
              </w:rPr>
              <w:t>Themes</w:t>
            </w:r>
          </w:p>
        </w:tc>
        <w:tc>
          <w:tcPr>
            <w:tcW w:w="0" w:type="auto"/>
            <w:tcBorders>
              <w:top w:val="single" w:sz="4" w:space="0" w:color="auto"/>
              <w:bottom w:val="single" w:sz="4" w:space="0" w:color="auto"/>
            </w:tcBorders>
            <w:hideMark/>
          </w:tcPr>
          <w:p w14:paraId="5BDF5978" w14:textId="77777777" w:rsidR="001C6649" w:rsidRPr="001C6649" w:rsidRDefault="001C6649" w:rsidP="002F0425">
            <w:pPr>
              <w:jc w:val="center"/>
              <w:rPr>
                <w:rFonts w:ascii="Arial" w:eastAsia="Times New Roman" w:hAnsi="Arial" w:cs="Arial"/>
                <w:b/>
                <w:bCs/>
                <w:sz w:val="20"/>
                <w:szCs w:val="20"/>
              </w:rPr>
            </w:pPr>
            <w:r w:rsidRPr="001C6649">
              <w:rPr>
                <w:rFonts w:ascii="Arial" w:eastAsia="Times New Roman" w:hAnsi="Arial" w:cs="Arial"/>
                <w:b/>
                <w:bCs/>
                <w:sz w:val="20"/>
                <w:szCs w:val="20"/>
              </w:rPr>
              <w:t>Frequency</w:t>
            </w:r>
          </w:p>
        </w:tc>
        <w:tc>
          <w:tcPr>
            <w:tcW w:w="0" w:type="auto"/>
            <w:tcBorders>
              <w:top w:val="single" w:sz="4" w:space="0" w:color="auto"/>
              <w:bottom w:val="single" w:sz="4" w:space="0" w:color="auto"/>
            </w:tcBorders>
            <w:hideMark/>
          </w:tcPr>
          <w:p w14:paraId="22782677" w14:textId="77777777" w:rsidR="001C6649" w:rsidRPr="001C6649" w:rsidRDefault="001C6649" w:rsidP="002F0425">
            <w:pPr>
              <w:jc w:val="center"/>
              <w:rPr>
                <w:rFonts w:ascii="Arial" w:eastAsia="Times New Roman" w:hAnsi="Arial" w:cs="Arial"/>
                <w:b/>
                <w:bCs/>
                <w:sz w:val="20"/>
                <w:szCs w:val="20"/>
              </w:rPr>
            </w:pPr>
            <w:r w:rsidRPr="001C6649">
              <w:rPr>
                <w:rFonts w:ascii="Arial" w:eastAsia="Times New Roman" w:hAnsi="Arial" w:cs="Arial"/>
                <w:b/>
                <w:bCs/>
                <w:sz w:val="20"/>
                <w:szCs w:val="20"/>
              </w:rPr>
              <w:t>Rank</w:t>
            </w:r>
          </w:p>
        </w:tc>
      </w:tr>
      <w:tr w:rsidR="001C6649" w:rsidRPr="001C6649" w14:paraId="0F0AE7BA" w14:textId="77777777" w:rsidTr="002F0425">
        <w:trPr>
          <w:trHeight w:val="274"/>
          <w:jc w:val="center"/>
        </w:trPr>
        <w:tc>
          <w:tcPr>
            <w:tcW w:w="5239" w:type="dxa"/>
            <w:tcBorders>
              <w:top w:val="single" w:sz="4" w:space="0" w:color="auto"/>
            </w:tcBorders>
            <w:hideMark/>
          </w:tcPr>
          <w:p w14:paraId="1CBEE4D3"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Shared Governance</w:t>
            </w:r>
          </w:p>
        </w:tc>
        <w:tc>
          <w:tcPr>
            <w:tcW w:w="0" w:type="auto"/>
            <w:tcBorders>
              <w:top w:val="single" w:sz="4" w:space="0" w:color="auto"/>
            </w:tcBorders>
            <w:hideMark/>
          </w:tcPr>
          <w:p w14:paraId="625D2D05"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8</w:t>
            </w:r>
          </w:p>
        </w:tc>
        <w:tc>
          <w:tcPr>
            <w:tcW w:w="0" w:type="auto"/>
            <w:tcBorders>
              <w:top w:val="single" w:sz="4" w:space="0" w:color="auto"/>
            </w:tcBorders>
            <w:hideMark/>
          </w:tcPr>
          <w:p w14:paraId="2B9505C4"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1</w:t>
            </w:r>
          </w:p>
        </w:tc>
      </w:tr>
      <w:tr w:rsidR="001C6649" w:rsidRPr="001C6649" w14:paraId="4C809FAE" w14:textId="77777777" w:rsidTr="002F0425">
        <w:trPr>
          <w:trHeight w:val="262"/>
          <w:jc w:val="center"/>
        </w:trPr>
        <w:tc>
          <w:tcPr>
            <w:tcW w:w="5239" w:type="dxa"/>
            <w:hideMark/>
          </w:tcPr>
          <w:p w14:paraId="306894E7"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Improved School Climate</w:t>
            </w:r>
          </w:p>
        </w:tc>
        <w:tc>
          <w:tcPr>
            <w:tcW w:w="0" w:type="auto"/>
            <w:hideMark/>
          </w:tcPr>
          <w:p w14:paraId="37251C96"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7</w:t>
            </w:r>
          </w:p>
        </w:tc>
        <w:tc>
          <w:tcPr>
            <w:tcW w:w="0" w:type="auto"/>
            <w:hideMark/>
          </w:tcPr>
          <w:p w14:paraId="25C688F3"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2.5</w:t>
            </w:r>
          </w:p>
        </w:tc>
      </w:tr>
      <w:tr w:rsidR="001C6649" w:rsidRPr="001C6649" w14:paraId="71181DCE" w14:textId="77777777" w:rsidTr="002F0425">
        <w:trPr>
          <w:trHeight w:val="274"/>
          <w:jc w:val="center"/>
        </w:trPr>
        <w:tc>
          <w:tcPr>
            <w:tcW w:w="5239" w:type="dxa"/>
            <w:hideMark/>
          </w:tcPr>
          <w:p w14:paraId="7D7AA209"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Enhanced School and Community Relations</w:t>
            </w:r>
          </w:p>
        </w:tc>
        <w:tc>
          <w:tcPr>
            <w:tcW w:w="0" w:type="auto"/>
            <w:hideMark/>
          </w:tcPr>
          <w:p w14:paraId="64A72C94"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7</w:t>
            </w:r>
          </w:p>
        </w:tc>
        <w:tc>
          <w:tcPr>
            <w:tcW w:w="0" w:type="auto"/>
            <w:hideMark/>
          </w:tcPr>
          <w:p w14:paraId="7C660699"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2.5</w:t>
            </w:r>
          </w:p>
        </w:tc>
      </w:tr>
      <w:tr w:rsidR="001C6649" w:rsidRPr="001C6649" w14:paraId="05A69E0F" w14:textId="77777777" w:rsidTr="002F0425">
        <w:trPr>
          <w:trHeight w:val="274"/>
          <w:jc w:val="center"/>
        </w:trPr>
        <w:tc>
          <w:tcPr>
            <w:tcW w:w="5239" w:type="dxa"/>
            <w:hideMark/>
          </w:tcPr>
          <w:p w14:paraId="453C5C59"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Enhanced Transparency</w:t>
            </w:r>
          </w:p>
        </w:tc>
        <w:tc>
          <w:tcPr>
            <w:tcW w:w="0" w:type="auto"/>
            <w:hideMark/>
          </w:tcPr>
          <w:p w14:paraId="37AFAD8E"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6</w:t>
            </w:r>
          </w:p>
        </w:tc>
        <w:tc>
          <w:tcPr>
            <w:tcW w:w="0" w:type="auto"/>
            <w:hideMark/>
          </w:tcPr>
          <w:p w14:paraId="69A1F7A7"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4</w:t>
            </w:r>
          </w:p>
        </w:tc>
      </w:tr>
      <w:tr w:rsidR="001C6649" w:rsidRPr="001C6649" w14:paraId="08872C88" w14:textId="77777777" w:rsidTr="002F0425">
        <w:trPr>
          <w:trHeight w:val="274"/>
          <w:jc w:val="center"/>
        </w:trPr>
        <w:tc>
          <w:tcPr>
            <w:tcW w:w="5239" w:type="dxa"/>
            <w:hideMark/>
          </w:tcPr>
          <w:p w14:paraId="640A5780"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Increased Stakeholder Involvement</w:t>
            </w:r>
          </w:p>
        </w:tc>
        <w:tc>
          <w:tcPr>
            <w:tcW w:w="0" w:type="auto"/>
            <w:hideMark/>
          </w:tcPr>
          <w:p w14:paraId="7BCBB039"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5</w:t>
            </w:r>
          </w:p>
        </w:tc>
        <w:tc>
          <w:tcPr>
            <w:tcW w:w="0" w:type="auto"/>
            <w:hideMark/>
          </w:tcPr>
          <w:p w14:paraId="50347C08"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5</w:t>
            </w:r>
          </w:p>
        </w:tc>
      </w:tr>
      <w:tr w:rsidR="001C6649" w:rsidRPr="001C6649" w14:paraId="26D2750C" w14:textId="77777777" w:rsidTr="002F0425">
        <w:trPr>
          <w:trHeight w:val="274"/>
          <w:jc w:val="center"/>
        </w:trPr>
        <w:tc>
          <w:tcPr>
            <w:tcW w:w="5239" w:type="dxa"/>
            <w:hideMark/>
          </w:tcPr>
          <w:p w14:paraId="44C406EB"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Increased Accountability</w:t>
            </w:r>
          </w:p>
        </w:tc>
        <w:tc>
          <w:tcPr>
            <w:tcW w:w="0" w:type="auto"/>
            <w:hideMark/>
          </w:tcPr>
          <w:p w14:paraId="2F4A30FA"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4</w:t>
            </w:r>
          </w:p>
        </w:tc>
        <w:tc>
          <w:tcPr>
            <w:tcW w:w="0" w:type="auto"/>
            <w:hideMark/>
          </w:tcPr>
          <w:p w14:paraId="4C45A4DC"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6</w:t>
            </w:r>
          </w:p>
        </w:tc>
      </w:tr>
      <w:tr w:rsidR="001C6649" w:rsidRPr="001C6649" w14:paraId="2319570B" w14:textId="77777777" w:rsidTr="00F079E1">
        <w:trPr>
          <w:trHeight w:val="274"/>
          <w:jc w:val="center"/>
        </w:trPr>
        <w:tc>
          <w:tcPr>
            <w:tcW w:w="5239" w:type="dxa"/>
            <w:hideMark/>
          </w:tcPr>
          <w:p w14:paraId="72E12120"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Improved Academic Performance</w:t>
            </w:r>
          </w:p>
        </w:tc>
        <w:tc>
          <w:tcPr>
            <w:tcW w:w="0" w:type="auto"/>
            <w:hideMark/>
          </w:tcPr>
          <w:p w14:paraId="41C0CBAD"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3</w:t>
            </w:r>
          </w:p>
        </w:tc>
        <w:tc>
          <w:tcPr>
            <w:tcW w:w="0" w:type="auto"/>
            <w:hideMark/>
          </w:tcPr>
          <w:p w14:paraId="1C5279DA"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7</w:t>
            </w:r>
          </w:p>
        </w:tc>
      </w:tr>
      <w:tr w:rsidR="001C6649" w:rsidRPr="001C6649" w14:paraId="0E71ADBA" w14:textId="77777777" w:rsidTr="00F079E1">
        <w:trPr>
          <w:trHeight w:val="262"/>
          <w:jc w:val="center"/>
        </w:trPr>
        <w:tc>
          <w:tcPr>
            <w:tcW w:w="5239" w:type="dxa"/>
            <w:tcBorders>
              <w:bottom w:val="single" w:sz="4" w:space="0" w:color="auto"/>
            </w:tcBorders>
            <w:hideMark/>
          </w:tcPr>
          <w:p w14:paraId="1E2D1957"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Increased Funding Opportunities</w:t>
            </w:r>
          </w:p>
        </w:tc>
        <w:tc>
          <w:tcPr>
            <w:tcW w:w="0" w:type="auto"/>
            <w:tcBorders>
              <w:bottom w:val="single" w:sz="4" w:space="0" w:color="auto"/>
            </w:tcBorders>
            <w:hideMark/>
          </w:tcPr>
          <w:p w14:paraId="4331D800"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2</w:t>
            </w:r>
          </w:p>
        </w:tc>
        <w:tc>
          <w:tcPr>
            <w:tcW w:w="0" w:type="auto"/>
            <w:tcBorders>
              <w:bottom w:val="single" w:sz="4" w:space="0" w:color="auto"/>
            </w:tcBorders>
            <w:hideMark/>
          </w:tcPr>
          <w:p w14:paraId="6A385715"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8</w:t>
            </w:r>
          </w:p>
        </w:tc>
      </w:tr>
    </w:tbl>
    <w:p w14:paraId="3A227E08" w14:textId="77777777" w:rsidR="00E77ACC" w:rsidRDefault="00E77ACC" w:rsidP="008C7527">
      <w:pPr>
        <w:pStyle w:val="Body"/>
        <w:spacing w:after="0"/>
        <w:rPr>
          <w:rFonts w:ascii="Arial" w:hAnsi="Arial" w:cs="Arial"/>
        </w:rPr>
      </w:pPr>
    </w:p>
    <w:p w14:paraId="5849BAFE" w14:textId="77777777" w:rsidR="00827E2E" w:rsidRPr="00827E2E" w:rsidRDefault="00827E2E" w:rsidP="00827E2E">
      <w:pPr>
        <w:pStyle w:val="Body"/>
        <w:spacing w:after="0"/>
        <w:rPr>
          <w:rFonts w:ascii="Arial" w:hAnsi="Arial" w:cs="Arial"/>
        </w:rPr>
      </w:pPr>
      <w:r w:rsidRPr="00827E2E">
        <w:rPr>
          <w:rFonts w:ascii="Arial" w:hAnsi="Arial" w:cs="Arial"/>
        </w:rPr>
        <w:t xml:space="preserve">The most notable improvement (frequency = 8, rank = 1) was </w:t>
      </w:r>
      <w:r w:rsidRPr="00827E2E">
        <w:rPr>
          <w:rFonts w:ascii="Arial" w:hAnsi="Arial" w:cs="Arial"/>
          <w:b/>
        </w:rPr>
        <w:t>shared governance</w:t>
      </w:r>
      <w:r w:rsidRPr="00827E2E">
        <w:rPr>
          <w:rFonts w:ascii="Arial" w:hAnsi="Arial" w:cs="Arial"/>
        </w:rPr>
        <w:t>, suggesting that SGC implementation has effectively created more participatory decision-making structures in schools. This discovery signifies a fundamental change from conventional hierarchical governance models to more inclusive and democratic ones where a variety of stakeholders influence school policies and direction. The high shared governance ranking indicates that schools have made great strides in allocating power and incorporating a range of perspectives in decisions that impact the school community. According to research by Adams and Kirst (1999), shared governance organizational structures are associated with better decision-making and organizational performance because they allow for a wider range of viewpoints and specialties to be applied to challenging educational issues.</w:t>
      </w:r>
    </w:p>
    <w:p w14:paraId="1F97840F" w14:textId="77777777" w:rsidR="00827E2E" w:rsidRPr="00827E2E" w:rsidRDefault="00827E2E" w:rsidP="00827E2E">
      <w:pPr>
        <w:pStyle w:val="Body"/>
        <w:spacing w:after="0"/>
        <w:rPr>
          <w:rFonts w:ascii="Arial" w:hAnsi="Arial" w:cs="Arial"/>
        </w:rPr>
      </w:pPr>
    </w:p>
    <w:p w14:paraId="12B1E880" w14:textId="67E531E4" w:rsidR="00827E2E" w:rsidRPr="00111741" w:rsidRDefault="00827E2E" w:rsidP="00827E2E">
      <w:pPr>
        <w:pStyle w:val="Body"/>
        <w:spacing w:after="0"/>
        <w:rPr>
          <w:rFonts w:ascii="Arial" w:hAnsi="Arial" w:cs="Arial"/>
        </w:rPr>
      </w:pPr>
      <w:r w:rsidRPr="00111741">
        <w:rPr>
          <w:rFonts w:ascii="Arial" w:hAnsi="Arial" w:cs="Arial"/>
          <w:b/>
        </w:rPr>
        <w:t>Improved school climate</w:t>
      </w:r>
      <w:r w:rsidRPr="00111741">
        <w:rPr>
          <w:rFonts w:ascii="Arial" w:hAnsi="Arial" w:cs="Arial"/>
        </w:rPr>
        <w:t xml:space="preserve"> tied for second place (frequency = 7, rank = 2.5), indicating that SGC programs have had a positive impact on schools' social and emotional environments. </w:t>
      </w:r>
      <w:r w:rsidR="00111741" w:rsidRPr="00111741">
        <w:rPr>
          <w:rFonts w:ascii="Arial" w:hAnsi="Arial" w:cs="Arial"/>
        </w:rPr>
        <w:t>SGC programs had a positive effect on the social and emotional environments of schools, as evidenced by the improved school climate (rank 2.5). Academic performance and stakeholder satisfaction were highly correlated with implementation's creation of supportive teaching and learning environments, enhanced sense of belonging, and more positive stakeholder interactions (Cohen et al., 2009).</w:t>
      </w:r>
    </w:p>
    <w:p w14:paraId="4E31410E" w14:textId="77777777" w:rsidR="00827E2E" w:rsidRPr="00827E2E" w:rsidRDefault="00827E2E" w:rsidP="00827E2E">
      <w:pPr>
        <w:pStyle w:val="Body"/>
        <w:spacing w:after="0"/>
        <w:rPr>
          <w:rFonts w:ascii="Arial" w:hAnsi="Arial" w:cs="Arial"/>
        </w:rPr>
      </w:pPr>
    </w:p>
    <w:p w14:paraId="529985A9" w14:textId="77777777" w:rsidR="00827E2E" w:rsidRPr="00827E2E" w:rsidRDefault="00827E2E" w:rsidP="00827E2E">
      <w:pPr>
        <w:pStyle w:val="Body"/>
        <w:spacing w:after="0"/>
        <w:rPr>
          <w:rFonts w:ascii="Arial" w:hAnsi="Arial" w:cs="Arial"/>
        </w:rPr>
      </w:pPr>
      <w:r w:rsidRPr="00827E2E">
        <w:rPr>
          <w:rFonts w:ascii="Arial" w:hAnsi="Arial" w:cs="Arial"/>
        </w:rPr>
        <w:t xml:space="preserve">Additionally, </w:t>
      </w:r>
      <w:r w:rsidR="00B234A9" w:rsidRPr="00B234A9">
        <w:rPr>
          <w:rFonts w:ascii="Arial" w:hAnsi="Arial" w:cs="Arial"/>
          <w:b/>
        </w:rPr>
        <w:t>enhanced school and community relations</w:t>
      </w:r>
      <w:r w:rsidR="00B234A9" w:rsidRPr="00827E2E">
        <w:rPr>
          <w:rFonts w:ascii="Arial" w:hAnsi="Arial" w:cs="Arial"/>
        </w:rPr>
        <w:t xml:space="preserve"> </w:t>
      </w:r>
      <w:r w:rsidRPr="00827E2E">
        <w:rPr>
          <w:rFonts w:ascii="Arial" w:hAnsi="Arial" w:cs="Arial"/>
        </w:rPr>
        <w:t>scored 2.5 (frequency = 7, tied for second place), suggesting that SGC initiatives have effectively improved ties between local communities and schools. This increase is a result of better communication channels, stronger collaborations between schools and community organizations, increased community awareness of school activities, and increased community involvement in school affairs. Communities gain more ownership and investment in their local schools, and schools gain access to community resources and support as a result of these improved relationships.</w:t>
      </w:r>
    </w:p>
    <w:p w14:paraId="66A97A7C" w14:textId="77777777" w:rsidR="00827E2E" w:rsidRPr="00827E2E" w:rsidRDefault="00827E2E" w:rsidP="00827E2E">
      <w:pPr>
        <w:pStyle w:val="Body"/>
        <w:spacing w:after="0"/>
        <w:rPr>
          <w:rFonts w:ascii="Arial" w:hAnsi="Arial" w:cs="Arial"/>
        </w:rPr>
      </w:pPr>
    </w:p>
    <w:p w14:paraId="0ECCDBF0" w14:textId="77777777" w:rsidR="00827E2E" w:rsidRPr="00827E2E" w:rsidRDefault="00D41CA0" w:rsidP="00827E2E">
      <w:pPr>
        <w:pStyle w:val="Body"/>
        <w:spacing w:after="0"/>
        <w:rPr>
          <w:rFonts w:ascii="Arial" w:hAnsi="Arial" w:cs="Arial"/>
        </w:rPr>
      </w:pPr>
      <w:r w:rsidRPr="00BD6AC3">
        <w:rPr>
          <w:rFonts w:ascii="Arial" w:hAnsi="Arial" w:cs="Arial"/>
          <w:b/>
        </w:rPr>
        <w:t>Enhanced t</w:t>
      </w:r>
      <w:r w:rsidR="00827E2E" w:rsidRPr="00BD6AC3">
        <w:rPr>
          <w:rFonts w:ascii="Arial" w:hAnsi="Arial" w:cs="Arial"/>
          <w:b/>
        </w:rPr>
        <w:t>ransparency</w:t>
      </w:r>
      <w:r w:rsidR="00827E2E" w:rsidRPr="00827E2E">
        <w:rPr>
          <w:rFonts w:ascii="Arial" w:hAnsi="Arial" w:cs="Arial"/>
        </w:rPr>
        <w:t xml:space="preserve"> came in at number four (frequency = 6, rank = 4), indicating that the implementation of SGC has increased the transparency and visibility of school </w:t>
      </w:r>
      <w:r w:rsidR="00827E2E" w:rsidRPr="00827E2E">
        <w:rPr>
          <w:rFonts w:ascii="Arial" w:hAnsi="Arial" w:cs="Arial"/>
        </w:rPr>
        <w:lastRenderedPageBreak/>
        <w:t xml:space="preserve">governance procedures for stakeholders. Greater stakeholder access to school data and reports, clearer communication of policies and procedures, easier access to information about school decisions, and more candid discussion of opportunities and challenges are all examples of increased transparency. According to </w:t>
      </w:r>
      <w:proofErr w:type="spellStart"/>
      <w:r w:rsidR="00827E2E" w:rsidRPr="00827E2E">
        <w:rPr>
          <w:rFonts w:ascii="Arial" w:hAnsi="Arial" w:cs="Arial"/>
        </w:rPr>
        <w:t>Leithwood</w:t>
      </w:r>
      <w:proofErr w:type="spellEnd"/>
      <w:r w:rsidR="00827E2E" w:rsidRPr="00827E2E">
        <w:rPr>
          <w:rFonts w:ascii="Arial" w:hAnsi="Arial" w:cs="Arial"/>
        </w:rPr>
        <w:t xml:space="preserve"> and Menzies (1998), by decreasing information asymmetries and boosting accountability, transparency in school governance increases stakeholder trust and improves institutional effectiveness.</w:t>
      </w:r>
    </w:p>
    <w:p w14:paraId="641E4773" w14:textId="77777777" w:rsidR="00827E2E" w:rsidRPr="00827E2E" w:rsidRDefault="00827E2E" w:rsidP="00827E2E">
      <w:pPr>
        <w:pStyle w:val="Body"/>
        <w:spacing w:after="0"/>
        <w:rPr>
          <w:rFonts w:ascii="Arial" w:hAnsi="Arial" w:cs="Arial"/>
        </w:rPr>
      </w:pPr>
    </w:p>
    <w:p w14:paraId="78A7E8A1" w14:textId="77777777" w:rsidR="00827E2E" w:rsidRPr="00827E2E" w:rsidRDefault="00BD6AC3" w:rsidP="00827E2E">
      <w:pPr>
        <w:pStyle w:val="Body"/>
        <w:spacing w:after="0"/>
        <w:rPr>
          <w:rFonts w:ascii="Arial" w:hAnsi="Arial" w:cs="Arial"/>
        </w:rPr>
      </w:pPr>
      <w:r w:rsidRPr="005B2435">
        <w:rPr>
          <w:rFonts w:ascii="Arial" w:hAnsi="Arial" w:cs="Arial"/>
          <w:b/>
        </w:rPr>
        <w:t>Increased stakeholder i</w:t>
      </w:r>
      <w:r w:rsidR="00827E2E" w:rsidRPr="005B2435">
        <w:rPr>
          <w:rFonts w:ascii="Arial" w:hAnsi="Arial" w:cs="Arial"/>
          <w:b/>
        </w:rPr>
        <w:t>nvolvement</w:t>
      </w:r>
      <w:r w:rsidR="00827E2E" w:rsidRPr="00827E2E">
        <w:rPr>
          <w:rFonts w:ascii="Arial" w:hAnsi="Arial" w:cs="Arial"/>
        </w:rPr>
        <w:t xml:space="preserve"> came in at number five (frequency = 5, rank = 5), suggesting that SGC initiatives have been successful in encouraging greater involvement in school affairs outside of conventional governance frameworks. This gain reflects observable increases in student voice in appropriate contexts, parent involvement, community member engagement, and local government interest in school development. Because diverse participation guarantees that decisions reflect a thorough understanding of community needs and resources, Epstein </w:t>
      </w:r>
      <w:r w:rsidR="00F256CD">
        <w:rPr>
          <w:rFonts w:ascii="Arial" w:hAnsi="Arial" w:cs="Arial"/>
        </w:rPr>
        <w:t>et al.</w:t>
      </w:r>
      <w:r w:rsidR="00827E2E" w:rsidRPr="00827E2E">
        <w:rPr>
          <w:rFonts w:ascii="Arial" w:hAnsi="Arial" w:cs="Arial"/>
        </w:rPr>
        <w:t xml:space="preserve"> (2019) showed that meaningful stakeholder involvement in school governance correlates with better educational outcomes.</w:t>
      </w:r>
    </w:p>
    <w:p w14:paraId="5C94713B" w14:textId="77777777" w:rsidR="00827E2E" w:rsidRPr="00827E2E" w:rsidRDefault="00827E2E" w:rsidP="00827E2E">
      <w:pPr>
        <w:pStyle w:val="Body"/>
        <w:spacing w:after="0"/>
        <w:rPr>
          <w:rFonts w:ascii="Arial" w:hAnsi="Arial" w:cs="Arial"/>
        </w:rPr>
      </w:pPr>
    </w:p>
    <w:p w14:paraId="45C8D14E" w14:textId="77777777" w:rsidR="00827E2E" w:rsidRPr="00827E2E" w:rsidRDefault="00827E2E" w:rsidP="00827E2E">
      <w:pPr>
        <w:pStyle w:val="Body"/>
        <w:spacing w:after="0"/>
        <w:rPr>
          <w:rFonts w:ascii="Arial" w:hAnsi="Arial" w:cs="Arial"/>
        </w:rPr>
      </w:pPr>
      <w:r w:rsidRPr="00827E2E">
        <w:rPr>
          <w:rFonts w:ascii="Arial" w:hAnsi="Arial" w:cs="Arial"/>
        </w:rPr>
        <w:t xml:space="preserve">Even though it appears less frequently, </w:t>
      </w:r>
      <w:r w:rsidRPr="002F15D3">
        <w:rPr>
          <w:rFonts w:ascii="Arial" w:hAnsi="Arial" w:cs="Arial"/>
          <w:b/>
        </w:rPr>
        <w:t>increased accountability</w:t>
      </w:r>
      <w:r w:rsidRPr="00827E2E">
        <w:rPr>
          <w:rFonts w:ascii="Arial" w:hAnsi="Arial" w:cs="Arial"/>
        </w:rPr>
        <w:t>—ranked sixth (frequency = 4, rank = 6)—represents a significant benefit of SGC implementation. Clearer performance standards, more organized reporting systems, improved oversight of resource use, and closer ties between choices and results have all strengthened accountability mechanisms.</w:t>
      </w:r>
    </w:p>
    <w:p w14:paraId="44127441" w14:textId="77777777" w:rsidR="00827E2E" w:rsidRPr="00827E2E" w:rsidRDefault="00827E2E" w:rsidP="00827E2E">
      <w:pPr>
        <w:pStyle w:val="Body"/>
        <w:spacing w:after="0"/>
        <w:rPr>
          <w:rFonts w:ascii="Arial" w:hAnsi="Arial" w:cs="Arial"/>
        </w:rPr>
      </w:pPr>
    </w:p>
    <w:p w14:paraId="1302B011" w14:textId="77777777" w:rsidR="00827E2E" w:rsidRPr="00827E2E" w:rsidRDefault="003664A2" w:rsidP="00827E2E">
      <w:pPr>
        <w:pStyle w:val="Body"/>
        <w:spacing w:after="0"/>
        <w:rPr>
          <w:rFonts w:ascii="Arial" w:hAnsi="Arial" w:cs="Arial"/>
        </w:rPr>
      </w:pPr>
      <w:r w:rsidRPr="00382124">
        <w:rPr>
          <w:rFonts w:ascii="Arial" w:hAnsi="Arial" w:cs="Arial"/>
          <w:b/>
        </w:rPr>
        <w:t>Improved academic p</w:t>
      </w:r>
      <w:r w:rsidR="00827E2E" w:rsidRPr="00382124">
        <w:rPr>
          <w:rFonts w:ascii="Arial" w:hAnsi="Arial" w:cs="Arial"/>
          <w:b/>
        </w:rPr>
        <w:t>erformance</w:t>
      </w:r>
      <w:r w:rsidR="00827E2E" w:rsidRPr="00827E2E">
        <w:rPr>
          <w:rFonts w:ascii="Arial" w:hAnsi="Arial" w:cs="Arial"/>
        </w:rPr>
        <w:t xml:space="preserve"> came in at number seven (frequency = 3, rank = 7) with a lower frequency, indicating that although some schools have seen improvements in academic performance, this gain is not as widely reported as benefits related to governance and the climate. This result is consistent with Hill and Lake's (2002) observation that improvements in academic performance frequently take longer to manifest than changes in governance because improved governance must first have an impact on instructional strategies and school operations before it can affect student achievement. The comparatively low ranking reflects the longer time horizons usually needed for governance reforms to translate into quantifiable academic outcomes, rather than downplaying the significance of this gain.</w:t>
      </w:r>
    </w:p>
    <w:p w14:paraId="69293678" w14:textId="77777777" w:rsidR="00827E2E" w:rsidRPr="00827E2E" w:rsidRDefault="00827E2E" w:rsidP="00827E2E">
      <w:pPr>
        <w:pStyle w:val="Body"/>
        <w:spacing w:after="0"/>
        <w:rPr>
          <w:rFonts w:ascii="Arial" w:hAnsi="Arial" w:cs="Arial"/>
        </w:rPr>
      </w:pPr>
    </w:p>
    <w:p w14:paraId="6D1B7F92" w14:textId="77777777" w:rsidR="00827E2E" w:rsidRPr="00827E2E" w:rsidRDefault="009B25E9" w:rsidP="00827E2E">
      <w:pPr>
        <w:pStyle w:val="Body"/>
        <w:spacing w:after="0"/>
        <w:rPr>
          <w:rFonts w:ascii="Arial" w:hAnsi="Arial" w:cs="Arial"/>
        </w:rPr>
      </w:pPr>
      <w:r w:rsidRPr="0036278A">
        <w:rPr>
          <w:rFonts w:ascii="Arial" w:hAnsi="Arial" w:cs="Arial"/>
          <w:b/>
        </w:rPr>
        <w:t>Increased funding o</w:t>
      </w:r>
      <w:r w:rsidR="00827E2E" w:rsidRPr="0036278A">
        <w:rPr>
          <w:rFonts w:ascii="Arial" w:hAnsi="Arial" w:cs="Arial"/>
          <w:b/>
        </w:rPr>
        <w:t>pportunities</w:t>
      </w:r>
      <w:r w:rsidR="00827E2E" w:rsidRPr="00827E2E">
        <w:rPr>
          <w:rFonts w:ascii="Arial" w:hAnsi="Arial" w:cs="Arial"/>
        </w:rPr>
        <w:t xml:space="preserve"> was ranked lowest (frequency = 2, rank = 8), suggesting that although some schools have benefited from new funding sources made possible by SGC initiatives, this advantage is not shared by all. Although these opportunities seem to materialize less frequently than other gains, improved community relationships and partnerships may open doors to additional resources from local government, the private sector, or community organizations.</w:t>
      </w:r>
    </w:p>
    <w:p w14:paraId="52F9E60B" w14:textId="77777777" w:rsidR="00827E2E" w:rsidRPr="00827E2E" w:rsidRDefault="00827E2E" w:rsidP="00827E2E">
      <w:pPr>
        <w:pStyle w:val="Body"/>
        <w:spacing w:after="0"/>
        <w:rPr>
          <w:rFonts w:ascii="Arial" w:hAnsi="Arial" w:cs="Arial"/>
        </w:rPr>
      </w:pPr>
    </w:p>
    <w:p w14:paraId="57FB2450" w14:textId="432AB138" w:rsidR="00827E2E" w:rsidRPr="00827E2E" w:rsidRDefault="000E2BCB" w:rsidP="00827E2E">
      <w:pPr>
        <w:pStyle w:val="Body"/>
        <w:spacing w:after="0"/>
        <w:rPr>
          <w:rFonts w:ascii="Arial" w:hAnsi="Arial" w:cs="Arial"/>
        </w:rPr>
      </w:pPr>
      <w:r w:rsidRPr="000E2BCB">
        <w:rPr>
          <w:rFonts w:ascii="Arial" w:hAnsi="Arial" w:cs="Arial"/>
        </w:rPr>
        <w:t>These findings align with international research on school governing councils, demonstrating consistent patterns across diverse contexts.</w:t>
      </w:r>
      <w:r w:rsidR="00827E2E" w:rsidRPr="00827E2E">
        <w:rPr>
          <w:rFonts w:ascii="Arial" w:hAnsi="Arial" w:cs="Arial"/>
        </w:rPr>
        <w:t xml:space="preserve"> According to research, School Governing Councils can improve school governance and boost stakeholder involvement, especially when school leaders show a high level of commitment and when all stakeholders' roles and responsibilities are clearly defined (Villarreal and Rodríguez, 2011). Additionally, their study demonstrated that SGCs can improve student outcomes, particularly when they concentrate on enhancing instructional strategies. Research has shown that school governance structures can enhance school climate and school-community relations, especially when trust, collaboration, and shared accountability among stakeholders are prioritized (Brenton &amp; Slawinski, 2023). Additionally, their research showed that SGCs improve student outcomes and resource management by fostering greater accountability and transparency in decision-making processes.</w:t>
      </w:r>
    </w:p>
    <w:p w14:paraId="58ACF59D" w14:textId="77777777" w:rsidR="00827E2E" w:rsidRPr="00827E2E" w:rsidRDefault="00827E2E" w:rsidP="00827E2E">
      <w:pPr>
        <w:pStyle w:val="Body"/>
        <w:spacing w:after="0"/>
        <w:rPr>
          <w:rFonts w:ascii="Arial" w:hAnsi="Arial" w:cs="Arial"/>
        </w:rPr>
      </w:pPr>
    </w:p>
    <w:p w14:paraId="7E577F18" w14:textId="0295F2BB" w:rsidR="00D25C2A" w:rsidRDefault="00827E2E" w:rsidP="00827E2E">
      <w:pPr>
        <w:pStyle w:val="Body"/>
        <w:spacing w:after="0"/>
        <w:rPr>
          <w:rFonts w:ascii="Arial" w:hAnsi="Arial" w:cs="Arial"/>
        </w:rPr>
      </w:pPr>
      <w:r w:rsidRPr="00827E2E">
        <w:rPr>
          <w:rFonts w:ascii="Arial" w:hAnsi="Arial" w:cs="Arial"/>
        </w:rPr>
        <w:lastRenderedPageBreak/>
        <w:t>The results of this study show that, in spite of its difficulties, SGC implementation yields significant advantages that support ongoing funding and improvement. The fundamental promise of participatory governance appears to be being fulfilled in DepEd Camarines Sur schools, as evidenced by the prominence of shared governance, improved school climate, and improved community relations. The lower rankings for funding gains and academic performance, however, point to areas that require more assistance and development in order to reach SGC's full potential.</w:t>
      </w:r>
    </w:p>
    <w:p w14:paraId="4D8DA79B" w14:textId="4E63BD93" w:rsidR="007F133B" w:rsidRDefault="007F133B" w:rsidP="00827E2E">
      <w:pPr>
        <w:pStyle w:val="Body"/>
        <w:spacing w:after="0"/>
        <w:rPr>
          <w:rFonts w:ascii="Arial" w:hAnsi="Arial" w:cs="Arial"/>
        </w:rPr>
      </w:pPr>
    </w:p>
    <w:p w14:paraId="55E27EF8" w14:textId="155803FE" w:rsidR="007F133B" w:rsidRPr="00C42354" w:rsidRDefault="007F133B" w:rsidP="007F133B">
      <w:pPr>
        <w:pStyle w:val="Body"/>
        <w:spacing w:after="0"/>
        <w:rPr>
          <w:rFonts w:ascii="Arial" w:hAnsi="Arial" w:cs="Arial"/>
          <w:i/>
        </w:rPr>
      </w:pPr>
      <w:r w:rsidRPr="00C42354">
        <w:rPr>
          <w:rFonts w:ascii="Arial" w:hAnsi="Arial" w:cs="Arial"/>
          <w:i/>
        </w:rPr>
        <w:t>3.3.1 Interconnections Among Implementation Gains</w:t>
      </w:r>
    </w:p>
    <w:p w14:paraId="6C9DE86C" w14:textId="77777777" w:rsidR="007F133B" w:rsidRPr="007F133B" w:rsidRDefault="007F133B" w:rsidP="007F133B">
      <w:pPr>
        <w:pStyle w:val="Body"/>
        <w:spacing w:after="0"/>
        <w:rPr>
          <w:rFonts w:ascii="Arial" w:hAnsi="Arial" w:cs="Arial"/>
          <w:color w:val="FF0000"/>
        </w:rPr>
      </w:pPr>
    </w:p>
    <w:p w14:paraId="47CD511A" w14:textId="2C424749" w:rsidR="00C42354" w:rsidRPr="00C42354" w:rsidRDefault="00C42354" w:rsidP="00C42354">
      <w:pPr>
        <w:pStyle w:val="Body"/>
        <w:spacing w:after="0"/>
        <w:rPr>
          <w:rFonts w:ascii="Arial" w:hAnsi="Arial" w:cs="Arial"/>
        </w:rPr>
      </w:pPr>
      <w:r w:rsidRPr="00C42354">
        <w:rPr>
          <w:rFonts w:ascii="Arial" w:hAnsi="Arial" w:cs="Arial"/>
        </w:rPr>
        <w:t>Positive reinforcement dynamics, in which advancements in one area promote advancements in others, are demonstrated by the gains attained through SGC implementation. The three benefits of shared governance (rank 1), better school climate (rank 2.5), and improved school-community relations (rank 2.5) reinforce each other.</w:t>
      </w:r>
    </w:p>
    <w:p w14:paraId="2AAD2FBC" w14:textId="77777777" w:rsidR="00C42354" w:rsidRPr="00C42354" w:rsidRDefault="00C42354" w:rsidP="00C42354">
      <w:pPr>
        <w:pStyle w:val="Body"/>
        <w:spacing w:after="0"/>
        <w:rPr>
          <w:rFonts w:ascii="Arial" w:hAnsi="Arial" w:cs="Arial"/>
        </w:rPr>
      </w:pPr>
    </w:p>
    <w:p w14:paraId="510CF83E" w14:textId="1C55FA27" w:rsidR="00C42354" w:rsidRPr="00C42354" w:rsidRDefault="00C42354" w:rsidP="00C42354">
      <w:pPr>
        <w:pStyle w:val="Body"/>
        <w:spacing w:after="0"/>
        <w:rPr>
          <w:rFonts w:ascii="Arial" w:hAnsi="Arial" w:cs="Arial"/>
        </w:rPr>
      </w:pPr>
      <w:r w:rsidRPr="00C42354">
        <w:rPr>
          <w:rFonts w:ascii="Arial" w:hAnsi="Arial" w:cs="Arial"/>
        </w:rPr>
        <w:t>By encouraging inclusivity and lowering hierarchical tensions, shared governance structures provide forums for the opinions of various stakeholders, which inevitably enhance school climate. This dynamic was explained by a teacher participant.</w:t>
      </w:r>
    </w:p>
    <w:p w14:paraId="799C3E28" w14:textId="77777777" w:rsidR="00C42354" w:rsidRPr="00C42354" w:rsidRDefault="00C42354" w:rsidP="00C42354">
      <w:pPr>
        <w:pStyle w:val="Body"/>
        <w:spacing w:after="0"/>
        <w:rPr>
          <w:rFonts w:ascii="Arial" w:hAnsi="Arial" w:cs="Arial"/>
        </w:rPr>
      </w:pPr>
    </w:p>
    <w:p w14:paraId="7A098A5A" w14:textId="68325B38" w:rsidR="00C42354" w:rsidRPr="00C42354" w:rsidRDefault="00FF3C93" w:rsidP="00C42354">
      <w:pPr>
        <w:pStyle w:val="Body"/>
        <w:spacing w:after="0"/>
        <w:rPr>
          <w:rFonts w:ascii="Arial" w:hAnsi="Arial" w:cs="Arial"/>
        </w:rPr>
      </w:pPr>
      <w:r w:rsidRPr="00FF3C93">
        <w:rPr>
          <w:rFonts w:ascii="Arial" w:hAnsi="Arial" w:cs="Arial"/>
          <w:i/>
        </w:rPr>
        <w:t>“</w:t>
      </w:r>
      <w:proofErr w:type="spellStart"/>
      <w:r w:rsidR="000F319A" w:rsidRPr="00FF3C93">
        <w:rPr>
          <w:rFonts w:ascii="Arial" w:hAnsi="Arial" w:cs="Arial"/>
          <w:i/>
        </w:rPr>
        <w:t>Pag</w:t>
      </w:r>
      <w:proofErr w:type="spellEnd"/>
      <w:r w:rsidR="000F319A" w:rsidRPr="00FF3C93">
        <w:rPr>
          <w:rFonts w:ascii="Arial" w:hAnsi="Arial" w:cs="Arial"/>
          <w:i/>
        </w:rPr>
        <w:t xml:space="preserve"> </w:t>
      </w:r>
      <w:proofErr w:type="spellStart"/>
      <w:r w:rsidR="000F319A" w:rsidRPr="00FF3C93">
        <w:rPr>
          <w:rFonts w:ascii="Arial" w:hAnsi="Arial" w:cs="Arial"/>
          <w:i/>
        </w:rPr>
        <w:t>nadadangog</w:t>
      </w:r>
      <w:proofErr w:type="spellEnd"/>
      <w:r w:rsidR="000F319A" w:rsidRPr="00FF3C93">
        <w:rPr>
          <w:rFonts w:ascii="Arial" w:hAnsi="Arial" w:cs="Arial"/>
          <w:i/>
        </w:rPr>
        <w:t xml:space="preserve"> </w:t>
      </w:r>
      <w:proofErr w:type="spellStart"/>
      <w:r w:rsidR="000F319A" w:rsidRPr="00FF3C93">
        <w:rPr>
          <w:rFonts w:ascii="Arial" w:hAnsi="Arial" w:cs="Arial"/>
          <w:i/>
        </w:rPr>
        <w:t>talaga</w:t>
      </w:r>
      <w:proofErr w:type="spellEnd"/>
      <w:r w:rsidR="000F319A" w:rsidRPr="00FF3C93">
        <w:rPr>
          <w:rFonts w:ascii="Arial" w:hAnsi="Arial" w:cs="Arial"/>
          <w:i/>
        </w:rPr>
        <w:t xml:space="preserve"> an </w:t>
      </w:r>
      <w:proofErr w:type="spellStart"/>
      <w:r w:rsidR="000F319A" w:rsidRPr="00FF3C93">
        <w:rPr>
          <w:rFonts w:ascii="Arial" w:hAnsi="Arial" w:cs="Arial"/>
          <w:i/>
        </w:rPr>
        <w:t>boses</w:t>
      </w:r>
      <w:proofErr w:type="spellEnd"/>
      <w:r w:rsidR="000F319A" w:rsidRPr="00FF3C93">
        <w:rPr>
          <w:rFonts w:ascii="Arial" w:hAnsi="Arial" w:cs="Arial"/>
          <w:i/>
        </w:rPr>
        <w:t xml:space="preserve"> mi </w:t>
      </w:r>
      <w:proofErr w:type="spellStart"/>
      <w:r w:rsidR="000F319A" w:rsidRPr="00FF3C93">
        <w:rPr>
          <w:rFonts w:ascii="Arial" w:hAnsi="Arial" w:cs="Arial"/>
          <w:i/>
        </w:rPr>
        <w:t>asin</w:t>
      </w:r>
      <w:proofErr w:type="spellEnd"/>
      <w:r w:rsidR="000F319A" w:rsidRPr="00FF3C93">
        <w:rPr>
          <w:rFonts w:ascii="Arial" w:hAnsi="Arial" w:cs="Arial"/>
          <w:i/>
        </w:rPr>
        <w:t xml:space="preserve"> </w:t>
      </w:r>
      <w:proofErr w:type="spellStart"/>
      <w:r w:rsidR="000F319A" w:rsidRPr="00FF3C93">
        <w:rPr>
          <w:rFonts w:ascii="Arial" w:hAnsi="Arial" w:cs="Arial"/>
          <w:i/>
        </w:rPr>
        <w:t>kinokonsiderar</w:t>
      </w:r>
      <w:proofErr w:type="spellEnd"/>
      <w:r w:rsidR="000F319A" w:rsidRPr="00FF3C93">
        <w:rPr>
          <w:rFonts w:ascii="Arial" w:hAnsi="Arial" w:cs="Arial"/>
          <w:i/>
        </w:rPr>
        <w:t xml:space="preserve"> an </w:t>
      </w:r>
      <w:proofErr w:type="spellStart"/>
      <w:r w:rsidR="000F319A" w:rsidRPr="00FF3C93">
        <w:rPr>
          <w:rFonts w:ascii="Arial" w:hAnsi="Arial" w:cs="Arial"/>
          <w:i/>
        </w:rPr>
        <w:t>mga</w:t>
      </w:r>
      <w:proofErr w:type="spellEnd"/>
      <w:r w:rsidR="000F319A" w:rsidRPr="00FF3C93">
        <w:rPr>
          <w:rFonts w:ascii="Arial" w:hAnsi="Arial" w:cs="Arial"/>
          <w:i/>
        </w:rPr>
        <w:t xml:space="preserve"> </w:t>
      </w:r>
      <w:proofErr w:type="spellStart"/>
      <w:r w:rsidR="000F319A" w:rsidRPr="00FF3C93">
        <w:rPr>
          <w:rFonts w:ascii="Arial" w:hAnsi="Arial" w:cs="Arial"/>
          <w:i/>
        </w:rPr>
        <w:t>opinyon</w:t>
      </w:r>
      <w:proofErr w:type="spellEnd"/>
      <w:r w:rsidR="000F319A" w:rsidRPr="00FF3C93">
        <w:rPr>
          <w:rFonts w:ascii="Arial" w:hAnsi="Arial" w:cs="Arial"/>
          <w:i/>
        </w:rPr>
        <w:t xml:space="preserve"> mi </w:t>
      </w:r>
      <w:proofErr w:type="spellStart"/>
      <w:r w:rsidR="000F319A" w:rsidRPr="00FF3C93">
        <w:rPr>
          <w:rFonts w:ascii="Arial" w:hAnsi="Arial" w:cs="Arial"/>
          <w:i/>
        </w:rPr>
        <w:t>sa</w:t>
      </w:r>
      <w:proofErr w:type="spellEnd"/>
      <w:r w:rsidR="000F319A" w:rsidRPr="00FF3C93">
        <w:rPr>
          <w:rFonts w:ascii="Arial" w:hAnsi="Arial" w:cs="Arial"/>
          <w:i/>
        </w:rPr>
        <w:t xml:space="preserve"> SGC meetings, </w:t>
      </w:r>
      <w:proofErr w:type="spellStart"/>
      <w:r w:rsidR="00007700">
        <w:rPr>
          <w:rFonts w:ascii="Arial" w:hAnsi="Arial" w:cs="Arial"/>
          <w:i/>
        </w:rPr>
        <w:t>nakaka</w:t>
      </w:r>
      <w:proofErr w:type="spellEnd"/>
      <w:r w:rsidR="00007700">
        <w:rPr>
          <w:rFonts w:ascii="Arial" w:hAnsi="Arial" w:cs="Arial"/>
          <w:i/>
        </w:rPr>
        <w:t xml:space="preserve">-feel kami </w:t>
      </w:r>
      <w:proofErr w:type="spellStart"/>
      <w:r w:rsidR="00007700">
        <w:rPr>
          <w:rFonts w:ascii="Arial" w:hAnsi="Arial" w:cs="Arial"/>
          <w:i/>
        </w:rPr>
        <w:t>na</w:t>
      </w:r>
      <w:proofErr w:type="spellEnd"/>
      <w:r w:rsidR="00007700">
        <w:rPr>
          <w:rFonts w:ascii="Arial" w:hAnsi="Arial" w:cs="Arial"/>
          <w:i/>
        </w:rPr>
        <w:t xml:space="preserve"> </w:t>
      </w:r>
      <w:proofErr w:type="spellStart"/>
      <w:r w:rsidR="00007700">
        <w:rPr>
          <w:rFonts w:ascii="Arial" w:hAnsi="Arial" w:cs="Arial"/>
          <w:i/>
        </w:rPr>
        <w:t>tigtatawan</w:t>
      </w:r>
      <w:proofErr w:type="spellEnd"/>
      <w:r w:rsidR="00007700">
        <w:rPr>
          <w:rFonts w:ascii="Arial" w:hAnsi="Arial" w:cs="Arial"/>
          <w:i/>
        </w:rPr>
        <w:t xml:space="preserve"> kami </w:t>
      </w:r>
      <w:proofErr w:type="spellStart"/>
      <w:r w:rsidR="00007700">
        <w:rPr>
          <w:rFonts w:ascii="Arial" w:hAnsi="Arial" w:cs="Arial"/>
          <w:i/>
        </w:rPr>
        <w:t>nin</w:t>
      </w:r>
      <w:proofErr w:type="spellEnd"/>
      <w:r w:rsidR="00007700">
        <w:rPr>
          <w:rFonts w:ascii="Arial" w:hAnsi="Arial" w:cs="Arial"/>
          <w:i/>
        </w:rPr>
        <w:t xml:space="preserve"> value</w:t>
      </w:r>
      <w:r w:rsidR="000F319A" w:rsidRPr="00FF3C93">
        <w:rPr>
          <w:rFonts w:ascii="Arial" w:hAnsi="Arial" w:cs="Arial"/>
          <w:i/>
        </w:rPr>
        <w:t xml:space="preserve">. An </w:t>
      </w:r>
      <w:proofErr w:type="spellStart"/>
      <w:r w:rsidR="00DC4631">
        <w:rPr>
          <w:rFonts w:ascii="Arial" w:hAnsi="Arial" w:cs="Arial"/>
          <w:i/>
        </w:rPr>
        <w:t>respeto</w:t>
      </w:r>
      <w:proofErr w:type="spellEnd"/>
      <w:r w:rsidR="00DC4631">
        <w:rPr>
          <w:rFonts w:ascii="Arial" w:hAnsi="Arial" w:cs="Arial"/>
          <w:i/>
        </w:rPr>
        <w:t xml:space="preserve"> </w:t>
      </w:r>
      <w:proofErr w:type="spellStart"/>
      <w:r w:rsidR="00DC4631">
        <w:rPr>
          <w:rFonts w:ascii="Arial" w:hAnsi="Arial" w:cs="Arial"/>
          <w:i/>
        </w:rPr>
        <w:t>na</w:t>
      </w:r>
      <w:proofErr w:type="spellEnd"/>
      <w:r w:rsidR="00DC4631">
        <w:rPr>
          <w:rFonts w:ascii="Arial" w:hAnsi="Arial" w:cs="Arial"/>
          <w:i/>
        </w:rPr>
        <w:t xml:space="preserve"> </w:t>
      </w:r>
      <w:proofErr w:type="spellStart"/>
      <w:r w:rsidR="00DC4631">
        <w:rPr>
          <w:rFonts w:ascii="Arial" w:hAnsi="Arial" w:cs="Arial"/>
          <w:i/>
        </w:rPr>
        <w:t>ini</w:t>
      </w:r>
      <w:proofErr w:type="spellEnd"/>
      <w:r w:rsidR="00DC4631">
        <w:rPr>
          <w:rFonts w:ascii="Arial" w:hAnsi="Arial" w:cs="Arial"/>
          <w:i/>
        </w:rPr>
        <w:t xml:space="preserve">, </w:t>
      </w:r>
      <w:proofErr w:type="spellStart"/>
      <w:r w:rsidR="00DC4631">
        <w:rPr>
          <w:rFonts w:ascii="Arial" w:hAnsi="Arial" w:cs="Arial"/>
          <w:i/>
        </w:rPr>
        <w:t>grabe</w:t>
      </w:r>
      <w:proofErr w:type="spellEnd"/>
      <w:r w:rsidR="00DC4631">
        <w:rPr>
          <w:rFonts w:ascii="Arial" w:hAnsi="Arial" w:cs="Arial"/>
          <w:i/>
        </w:rPr>
        <w:t xml:space="preserve"> an </w:t>
      </w:r>
      <w:proofErr w:type="spellStart"/>
      <w:r w:rsidR="00DC4631">
        <w:rPr>
          <w:rFonts w:ascii="Arial" w:hAnsi="Arial" w:cs="Arial"/>
          <w:i/>
        </w:rPr>
        <w:t>epekto</w:t>
      </w:r>
      <w:proofErr w:type="spellEnd"/>
      <w:r w:rsidR="00DC4631">
        <w:rPr>
          <w:rFonts w:ascii="Arial" w:hAnsi="Arial" w:cs="Arial"/>
          <w:i/>
        </w:rPr>
        <w:t xml:space="preserve"> </w:t>
      </w:r>
      <w:proofErr w:type="spellStart"/>
      <w:r w:rsidR="00DC4631">
        <w:rPr>
          <w:rFonts w:ascii="Arial" w:hAnsi="Arial" w:cs="Arial"/>
          <w:i/>
        </w:rPr>
        <w:t>sa</w:t>
      </w:r>
      <w:proofErr w:type="spellEnd"/>
      <w:r w:rsidR="00DC4631">
        <w:rPr>
          <w:rFonts w:ascii="Arial" w:hAnsi="Arial" w:cs="Arial"/>
          <w:i/>
        </w:rPr>
        <w:t xml:space="preserve"> </w:t>
      </w:r>
      <w:proofErr w:type="spellStart"/>
      <w:r w:rsidR="00DC4631">
        <w:rPr>
          <w:rFonts w:ascii="Arial" w:hAnsi="Arial" w:cs="Arial"/>
          <w:i/>
        </w:rPr>
        <w:t>samuya</w:t>
      </w:r>
      <w:proofErr w:type="spellEnd"/>
      <w:r w:rsidR="00DC4631">
        <w:rPr>
          <w:rFonts w:ascii="Arial" w:hAnsi="Arial" w:cs="Arial"/>
          <w:i/>
        </w:rPr>
        <w:t xml:space="preserve"> </w:t>
      </w:r>
      <w:proofErr w:type="spellStart"/>
      <w:r w:rsidR="00DC4631">
        <w:rPr>
          <w:rFonts w:ascii="Arial" w:hAnsi="Arial" w:cs="Arial"/>
          <w:i/>
        </w:rPr>
        <w:t>lalo</w:t>
      </w:r>
      <w:proofErr w:type="spellEnd"/>
      <w:r w:rsidR="00DC4631">
        <w:rPr>
          <w:rFonts w:ascii="Arial" w:hAnsi="Arial" w:cs="Arial"/>
          <w:i/>
        </w:rPr>
        <w:t xml:space="preserve"> </w:t>
      </w:r>
      <w:proofErr w:type="spellStart"/>
      <w:r w:rsidR="00DC4631">
        <w:rPr>
          <w:rFonts w:ascii="Arial" w:hAnsi="Arial" w:cs="Arial"/>
          <w:i/>
        </w:rPr>
        <w:t>na</w:t>
      </w:r>
      <w:proofErr w:type="spellEnd"/>
      <w:r w:rsidR="00DC4631">
        <w:rPr>
          <w:rFonts w:ascii="Arial" w:hAnsi="Arial" w:cs="Arial"/>
          <w:i/>
        </w:rPr>
        <w:t xml:space="preserve"> </w:t>
      </w:r>
      <w:proofErr w:type="spellStart"/>
      <w:r w:rsidR="00DC4631">
        <w:rPr>
          <w:rFonts w:ascii="Arial" w:hAnsi="Arial" w:cs="Arial"/>
          <w:i/>
        </w:rPr>
        <w:t>sa</w:t>
      </w:r>
      <w:proofErr w:type="spellEnd"/>
      <w:r w:rsidR="00DC4631">
        <w:rPr>
          <w:rFonts w:ascii="Arial" w:hAnsi="Arial" w:cs="Arial"/>
          <w:i/>
        </w:rPr>
        <w:t xml:space="preserve"> </w:t>
      </w:r>
      <w:proofErr w:type="spellStart"/>
      <w:r w:rsidR="00DC4631">
        <w:rPr>
          <w:rFonts w:ascii="Arial" w:hAnsi="Arial" w:cs="Arial"/>
          <w:i/>
        </w:rPr>
        <w:t>samuyang</w:t>
      </w:r>
      <w:proofErr w:type="spellEnd"/>
      <w:r w:rsidR="000F319A" w:rsidRPr="00FF3C93">
        <w:rPr>
          <w:rFonts w:ascii="Arial" w:hAnsi="Arial" w:cs="Arial"/>
          <w:i/>
        </w:rPr>
        <w:t xml:space="preserve"> morale </w:t>
      </w:r>
      <w:proofErr w:type="spellStart"/>
      <w:r w:rsidR="000F319A" w:rsidRPr="00FF3C93">
        <w:rPr>
          <w:rFonts w:ascii="Arial" w:hAnsi="Arial" w:cs="Arial"/>
          <w:i/>
        </w:rPr>
        <w:t>bilang</w:t>
      </w:r>
      <w:proofErr w:type="spellEnd"/>
      <w:r w:rsidR="000F319A" w:rsidRPr="00FF3C93">
        <w:rPr>
          <w:rFonts w:ascii="Arial" w:hAnsi="Arial" w:cs="Arial"/>
          <w:i/>
        </w:rPr>
        <w:t xml:space="preserve"> </w:t>
      </w:r>
      <w:proofErr w:type="spellStart"/>
      <w:r w:rsidR="0091207E">
        <w:rPr>
          <w:rFonts w:ascii="Arial" w:hAnsi="Arial" w:cs="Arial"/>
          <w:i/>
        </w:rPr>
        <w:t>maestra</w:t>
      </w:r>
      <w:proofErr w:type="spellEnd"/>
      <w:r w:rsidR="000F319A" w:rsidRPr="00FF3C93">
        <w:rPr>
          <w:rFonts w:ascii="Arial" w:hAnsi="Arial" w:cs="Arial"/>
          <w:i/>
        </w:rPr>
        <w:t xml:space="preserve">, </w:t>
      </w:r>
      <w:proofErr w:type="spellStart"/>
      <w:r w:rsidR="000F319A" w:rsidRPr="00FF3C93">
        <w:rPr>
          <w:rFonts w:ascii="Arial" w:hAnsi="Arial" w:cs="Arial"/>
          <w:i/>
        </w:rPr>
        <w:t>asin</w:t>
      </w:r>
      <w:proofErr w:type="spellEnd"/>
      <w:r w:rsidR="000F319A" w:rsidRPr="00FF3C93">
        <w:rPr>
          <w:rFonts w:ascii="Arial" w:hAnsi="Arial" w:cs="Arial"/>
          <w:i/>
        </w:rPr>
        <w:t xml:space="preserve"> </w:t>
      </w:r>
      <w:proofErr w:type="spellStart"/>
      <w:r w:rsidR="000F319A" w:rsidRPr="00FF3C93">
        <w:rPr>
          <w:rFonts w:ascii="Arial" w:hAnsi="Arial" w:cs="Arial"/>
          <w:i/>
        </w:rPr>
        <w:t>nagmarhay</w:t>
      </w:r>
      <w:proofErr w:type="spellEnd"/>
      <w:r w:rsidR="000F319A" w:rsidRPr="00FF3C93">
        <w:rPr>
          <w:rFonts w:ascii="Arial" w:hAnsi="Arial" w:cs="Arial"/>
          <w:i/>
        </w:rPr>
        <w:t xml:space="preserve"> an </w:t>
      </w:r>
      <w:proofErr w:type="spellStart"/>
      <w:r w:rsidR="000F319A" w:rsidRPr="00FF3C93">
        <w:rPr>
          <w:rFonts w:ascii="Arial" w:hAnsi="Arial" w:cs="Arial"/>
          <w:i/>
        </w:rPr>
        <w:t>relasyon</w:t>
      </w:r>
      <w:proofErr w:type="spellEnd"/>
      <w:r w:rsidR="000F319A" w:rsidRPr="00FF3C93">
        <w:rPr>
          <w:rFonts w:ascii="Arial" w:hAnsi="Arial" w:cs="Arial"/>
          <w:i/>
        </w:rPr>
        <w:t xml:space="preserve"> mi </w:t>
      </w:r>
      <w:proofErr w:type="spellStart"/>
      <w:r w:rsidR="000F319A" w:rsidRPr="00FF3C93">
        <w:rPr>
          <w:rFonts w:ascii="Arial" w:hAnsi="Arial" w:cs="Arial"/>
          <w:i/>
        </w:rPr>
        <w:t>sa</w:t>
      </w:r>
      <w:proofErr w:type="spellEnd"/>
      <w:r w:rsidR="000F319A" w:rsidRPr="00FF3C93">
        <w:rPr>
          <w:rFonts w:ascii="Arial" w:hAnsi="Arial" w:cs="Arial"/>
          <w:i/>
        </w:rPr>
        <w:t xml:space="preserve"> </w:t>
      </w:r>
      <w:proofErr w:type="spellStart"/>
      <w:r w:rsidR="000F319A" w:rsidRPr="00FF3C93">
        <w:rPr>
          <w:rFonts w:ascii="Arial" w:hAnsi="Arial" w:cs="Arial"/>
          <w:i/>
        </w:rPr>
        <w:t>mga</w:t>
      </w:r>
      <w:proofErr w:type="spellEnd"/>
      <w:r w:rsidR="000F319A" w:rsidRPr="00FF3C93">
        <w:rPr>
          <w:rFonts w:ascii="Arial" w:hAnsi="Arial" w:cs="Arial"/>
          <w:i/>
        </w:rPr>
        <w:t xml:space="preserve"> </w:t>
      </w:r>
      <w:r w:rsidR="00D04276">
        <w:rPr>
          <w:rFonts w:ascii="Arial" w:hAnsi="Arial" w:cs="Arial"/>
          <w:i/>
        </w:rPr>
        <w:t xml:space="preserve">school </w:t>
      </w:r>
      <w:r w:rsidR="000F319A" w:rsidRPr="00FF3C93">
        <w:rPr>
          <w:rFonts w:ascii="Arial" w:hAnsi="Arial" w:cs="Arial"/>
          <w:i/>
        </w:rPr>
        <w:t>administrators.”</w:t>
      </w:r>
      <w:r w:rsidR="000F319A">
        <w:rPr>
          <w:rFonts w:ascii="Arial" w:hAnsi="Arial" w:cs="Arial"/>
        </w:rPr>
        <w:t xml:space="preserve"> (</w:t>
      </w:r>
      <w:r w:rsidR="00C42354" w:rsidRPr="00C42354">
        <w:rPr>
          <w:rFonts w:ascii="Arial" w:hAnsi="Arial" w:cs="Arial"/>
        </w:rPr>
        <w:t>When our opinions are actually heard and considered in SGC meetings, we feel more valued. This respect has transformed staff morale and our rel</w:t>
      </w:r>
      <w:r w:rsidR="000F319A">
        <w:rPr>
          <w:rFonts w:ascii="Arial" w:hAnsi="Arial" w:cs="Arial"/>
        </w:rPr>
        <w:t xml:space="preserve">ationships with </w:t>
      </w:r>
      <w:r w:rsidR="008D75F3">
        <w:rPr>
          <w:rFonts w:ascii="Arial" w:hAnsi="Arial" w:cs="Arial"/>
        </w:rPr>
        <w:t xml:space="preserve">school </w:t>
      </w:r>
      <w:r w:rsidR="000F319A">
        <w:rPr>
          <w:rFonts w:ascii="Arial" w:hAnsi="Arial" w:cs="Arial"/>
        </w:rPr>
        <w:t>administrators.)</w:t>
      </w:r>
    </w:p>
    <w:p w14:paraId="5B0D886B" w14:textId="77777777" w:rsidR="00C42354" w:rsidRPr="00C42354" w:rsidRDefault="00C42354" w:rsidP="00C42354">
      <w:pPr>
        <w:pStyle w:val="Body"/>
        <w:spacing w:after="0"/>
        <w:rPr>
          <w:rFonts w:ascii="Arial" w:hAnsi="Arial" w:cs="Arial"/>
        </w:rPr>
      </w:pPr>
    </w:p>
    <w:p w14:paraId="3137561A" w14:textId="18095306" w:rsidR="00C42354" w:rsidRPr="00C42354" w:rsidRDefault="00C42354" w:rsidP="00C42354">
      <w:pPr>
        <w:pStyle w:val="Body"/>
        <w:spacing w:after="0"/>
        <w:rPr>
          <w:rFonts w:ascii="Arial" w:hAnsi="Arial" w:cs="Arial"/>
        </w:rPr>
      </w:pPr>
      <w:r w:rsidRPr="00C42354">
        <w:rPr>
          <w:rFonts w:ascii="Arial" w:hAnsi="Arial" w:cs="Arial"/>
        </w:rPr>
        <w:t>Increased transparency (rank 4) appears as a result of shared governance as well as a facilitator of it. Transparency inevitably rises as decision-making becomes more participatory because more information needs to be disseminated. In turn, this openness fosters trust, which improves ties between the community and the school. A community member observed:</w:t>
      </w:r>
    </w:p>
    <w:p w14:paraId="32EEE622" w14:textId="77777777" w:rsidR="00C42354" w:rsidRPr="00C42354" w:rsidRDefault="00C42354" w:rsidP="00C42354">
      <w:pPr>
        <w:pStyle w:val="Body"/>
        <w:spacing w:after="0"/>
        <w:rPr>
          <w:rFonts w:ascii="Arial" w:hAnsi="Arial" w:cs="Arial"/>
        </w:rPr>
      </w:pPr>
    </w:p>
    <w:p w14:paraId="11FF7328" w14:textId="1981428E" w:rsidR="00C42354" w:rsidRPr="00C42354" w:rsidRDefault="00805132" w:rsidP="00C42354">
      <w:pPr>
        <w:pStyle w:val="Body"/>
        <w:spacing w:after="0"/>
        <w:rPr>
          <w:rFonts w:ascii="Arial" w:hAnsi="Arial" w:cs="Arial"/>
        </w:rPr>
      </w:pPr>
      <w:r w:rsidRPr="00805132">
        <w:rPr>
          <w:rFonts w:ascii="Arial" w:hAnsi="Arial" w:cs="Arial"/>
          <w:i/>
        </w:rPr>
        <w:t>“</w:t>
      </w:r>
      <w:proofErr w:type="spellStart"/>
      <w:r w:rsidRPr="00805132">
        <w:rPr>
          <w:rFonts w:ascii="Arial" w:hAnsi="Arial" w:cs="Arial"/>
          <w:i/>
        </w:rPr>
        <w:t>Ngunyan</w:t>
      </w:r>
      <w:proofErr w:type="spellEnd"/>
      <w:r w:rsidRPr="00805132">
        <w:rPr>
          <w:rFonts w:ascii="Arial" w:hAnsi="Arial" w:cs="Arial"/>
          <w:i/>
        </w:rPr>
        <w:t xml:space="preserve"> </w:t>
      </w:r>
      <w:proofErr w:type="spellStart"/>
      <w:r w:rsidRPr="00805132">
        <w:rPr>
          <w:rFonts w:ascii="Arial" w:hAnsi="Arial" w:cs="Arial"/>
          <w:i/>
        </w:rPr>
        <w:t>aram</w:t>
      </w:r>
      <w:proofErr w:type="spellEnd"/>
      <w:r w:rsidRPr="00805132">
        <w:rPr>
          <w:rFonts w:ascii="Arial" w:hAnsi="Arial" w:cs="Arial"/>
          <w:i/>
        </w:rPr>
        <w:t xml:space="preserve"> </w:t>
      </w:r>
      <w:proofErr w:type="spellStart"/>
      <w:r w:rsidRPr="00805132">
        <w:rPr>
          <w:rFonts w:ascii="Arial" w:hAnsi="Arial" w:cs="Arial"/>
          <w:i/>
        </w:rPr>
        <w:t>na</w:t>
      </w:r>
      <w:proofErr w:type="spellEnd"/>
      <w:r w:rsidRPr="00805132">
        <w:rPr>
          <w:rFonts w:ascii="Arial" w:hAnsi="Arial" w:cs="Arial"/>
          <w:i/>
        </w:rPr>
        <w:t xml:space="preserve"> mi kun </w:t>
      </w:r>
      <w:proofErr w:type="spellStart"/>
      <w:r w:rsidRPr="00805132">
        <w:rPr>
          <w:rFonts w:ascii="Arial" w:hAnsi="Arial" w:cs="Arial"/>
          <w:i/>
        </w:rPr>
        <w:t>sain</w:t>
      </w:r>
      <w:proofErr w:type="spellEnd"/>
      <w:r w:rsidRPr="00805132">
        <w:rPr>
          <w:rFonts w:ascii="Arial" w:hAnsi="Arial" w:cs="Arial"/>
          <w:i/>
        </w:rPr>
        <w:t xml:space="preserve"> </w:t>
      </w:r>
      <w:proofErr w:type="spellStart"/>
      <w:r w:rsidR="00C20676">
        <w:rPr>
          <w:rFonts w:ascii="Arial" w:hAnsi="Arial" w:cs="Arial"/>
          <w:i/>
        </w:rPr>
        <w:t>napapaduman</w:t>
      </w:r>
      <w:proofErr w:type="spellEnd"/>
      <w:r w:rsidRPr="00805132">
        <w:rPr>
          <w:rFonts w:ascii="Arial" w:hAnsi="Arial" w:cs="Arial"/>
          <w:i/>
        </w:rPr>
        <w:t xml:space="preserve"> </w:t>
      </w:r>
      <w:proofErr w:type="gramStart"/>
      <w:r w:rsidRPr="00805132">
        <w:rPr>
          <w:rFonts w:ascii="Arial" w:hAnsi="Arial" w:cs="Arial"/>
          <w:i/>
        </w:rPr>
        <w:t>an</w:t>
      </w:r>
      <w:proofErr w:type="gramEnd"/>
      <w:r w:rsidRPr="00805132">
        <w:rPr>
          <w:rFonts w:ascii="Arial" w:hAnsi="Arial" w:cs="Arial"/>
          <w:i/>
        </w:rPr>
        <w:t xml:space="preserve"> budget, </w:t>
      </w:r>
      <w:proofErr w:type="spellStart"/>
      <w:r w:rsidRPr="00805132">
        <w:rPr>
          <w:rFonts w:ascii="Arial" w:hAnsi="Arial" w:cs="Arial"/>
          <w:i/>
        </w:rPr>
        <w:t>anong</w:t>
      </w:r>
      <w:proofErr w:type="spellEnd"/>
      <w:r w:rsidRPr="00805132">
        <w:rPr>
          <w:rFonts w:ascii="Arial" w:hAnsi="Arial" w:cs="Arial"/>
          <w:i/>
        </w:rPr>
        <w:t xml:space="preserve"> </w:t>
      </w:r>
      <w:proofErr w:type="spellStart"/>
      <w:r w:rsidRPr="00805132">
        <w:rPr>
          <w:rFonts w:ascii="Arial" w:hAnsi="Arial" w:cs="Arial"/>
          <w:i/>
        </w:rPr>
        <w:t>mga</w:t>
      </w:r>
      <w:proofErr w:type="spellEnd"/>
      <w:r w:rsidRPr="00805132">
        <w:rPr>
          <w:rFonts w:ascii="Arial" w:hAnsi="Arial" w:cs="Arial"/>
          <w:i/>
        </w:rPr>
        <w:t xml:space="preserve"> </w:t>
      </w:r>
      <w:proofErr w:type="spellStart"/>
      <w:r w:rsidRPr="00805132">
        <w:rPr>
          <w:rFonts w:ascii="Arial" w:hAnsi="Arial" w:cs="Arial"/>
          <w:i/>
        </w:rPr>
        <w:t>desisyon</w:t>
      </w:r>
      <w:proofErr w:type="spellEnd"/>
      <w:r w:rsidRPr="00805132">
        <w:rPr>
          <w:rFonts w:ascii="Arial" w:hAnsi="Arial" w:cs="Arial"/>
          <w:i/>
        </w:rPr>
        <w:t xml:space="preserve"> an </w:t>
      </w:r>
      <w:proofErr w:type="spellStart"/>
      <w:r w:rsidRPr="00805132">
        <w:rPr>
          <w:rFonts w:ascii="Arial" w:hAnsi="Arial" w:cs="Arial"/>
          <w:i/>
        </w:rPr>
        <w:t>ginigibo</w:t>
      </w:r>
      <w:proofErr w:type="spellEnd"/>
      <w:r w:rsidRPr="00805132">
        <w:rPr>
          <w:rFonts w:ascii="Arial" w:hAnsi="Arial" w:cs="Arial"/>
          <w:i/>
        </w:rPr>
        <w:t xml:space="preserve">, </w:t>
      </w:r>
      <w:proofErr w:type="spellStart"/>
      <w:r w:rsidRPr="00805132">
        <w:rPr>
          <w:rFonts w:ascii="Arial" w:hAnsi="Arial" w:cs="Arial"/>
          <w:i/>
        </w:rPr>
        <w:t>asin</w:t>
      </w:r>
      <w:proofErr w:type="spellEnd"/>
      <w:r w:rsidRPr="00805132">
        <w:rPr>
          <w:rFonts w:ascii="Arial" w:hAnsi="Arial" w:cs="Arial"/>
          <w:i/>
        </w:rPr>
        <w:t xml:space="preserve"> </w:t>
      </w:r>
      <w:proofErr w:type="spellStart"/>
      <w:r w:rsidRPr="00805132">
        <w:rPr>
          <w:rFonts w:ascii="Arial" w:hAnsi="Arial" w:cs="Arial"/>
          <w:i/>
        </w:rPr>
        <w:t>tano</w:t>
      </w:r>
      <w:proofErr w:type="spellEnd"/>
      <w:r w:rsidRPr="00805132">
        <w:rPr>
          <w:rFonts w:ascii="Arial" w:hAnsi="Arial" w:cs="Arial"/>
          <w:i/>
        </w:rPr>
        <w:t xml:space="preserve">. </w:t>
      </w:r>
      <w:proofErr w:type="gramStart"/>
      <w:r w:rsidRPr="00805132">
        <w:rPr>
          <w:rFonts w:ascii="Arial" w:hAnsi="Arial" w:cs="Arial"/>
          <w:i/>
        </w:rPr>
        <w:t>An</w:t>
      </w:r>
      <w:proofErr w:type="gramEnd"/>
      <w:r w:rsidRPr="00805132">
        <w:rPr>
          <w:rFonts w:ascii="Arial" w:hAnsi="Arial" w:cs="Arial"/>
          <w:i/>
        </w:rPr>
        <w:t xml:space="preserve"> transparency </w:t>
      </w:r>
      <w:proofErr w:type="spellStart"/>
      <w:r w:rsidRPr="00805132">
        <w:rPr>
          <w:rFonts w:ascii="Arial" w:hAnsi="Arial" w:cs="Arial"/>
          <w:i/>
        </w:rPr>
        <w:t>na</w:t>
      </w:r>
      <w:proofErr w:type="spellEnd"/>
      <w:r w:rsidRPr="00805132">
        <w:rPr>
          <w:rFonts w:ascii="Arial" w:hAnsi="Arial" w:cs="Arial"/>
          <w:i/>
        </w:rPr>
        <w:t xml:space="preserve"> </w:t>
      </w:r>
      <w:proofErr w:type="spellStart"/>
      <w:r w:rsidRPr="00805132">
        <w:rPr>
          <w:rFonts w:ascii="Arial" w:hAnsi="Arial" w:cs="Arial"/>
          <w:i/>
        </w:rPr>
        <w:t>ini</w:t>
      </w:r>
      <w:proofErr w:type="spellEnd"/>
      <w:r w:rsidRPr="00805132">
        <w:rPr>
          <w:rFonts w:ascii="Arial" w:hAnsi="Arial" w:cs="Arial"/>
          <w:i/>
        </w:rPr>
        <w:t xml:space="preserve"> </w:t>
      </w:r>
      <w:proofErr w:type="spellStart"/>
      <w:r w:rsidRPr="00805132">
        <w:rPr>
          <w:rFonts w:ascii="Arial" w:hAnsi="Arial" w:cs="Arial"/>
          <w:i/>
        </w:rPr>
        <w:t>naghimo</w:t>
      </w:r>
      <w:proofErr w:type="spellEnd"/>
      <w:r w:rsidRPr="00805132">
        <w:rPr>
          <w:rFonts w:ascii="Arial" w:hAnsi="Arial" w:cs="Arial"/>
          <w:i/>
        </w:rPr>
        <w:t xml:space="preserve"> </w:t>
      </w:r>
      <w:proofErr w:type="spellStart"/>
      <w:r w:rsidRPr="00805132">
        <w:rPr>
          <w:rFonts w:ascii="Arial" w:hAnsi="Arial" w:cs="Arial"/>
          <w:i/>
        </w:rPr>
        <w:t>na</w:t>
      </w:r>
      <w:proofErr w:type="spellEnd"/>
      <w:r w:rsidRPr="00805132">
        <w:rPr>
          <w:rFonts w:ascii="Arial" w:hAnsi="Arial" w:cs="Arial"/>
          <w:i/>
        </w:rPr>
        <w:t xml:space="preserve"> mas willin</w:t>
      </w:r>
      <w:r w:rsidR="00B06A67">
        <w:rPr>
          <w:rFonts w:ascii="Arial" w:hAnsi="Arial" w:cs="Arial"/>
          <w:i/>
        </w:rPr>
        <w:t xml:space="preserve">g </w:t>
      </w:r>
      <w:proofErr w:type="spellStart"/>
      <w:r w:rsidR="00B06A67">
        <w:rPr>
          <w:rFonts w:ascii="Arial" w:hAnsi="Arial" w:cs="Arial"/>
          <w:i/>
        </w:rPr>
        <w:t>na</w:t>
      </w:r>
      <w:proofErr w:type="spellEnd"/>
      <w:r w:rsidR="00B06A67">
        <w:rPr>
          <w:rFonts w:ascii="Arial" w:hAnsi="Arial" w:cs="Arial"/>
          <w:i/>
        </w:rPr>
        <w:t xml:space="preserve"> kami </w:t>
      </w:r>
      <w:proofErr w:type="spellStart"/>
      <w:r w:rsidR="00B06A67">
        <w:rPr>
          <w:rFonts w:ascii="Arial" w:hAnsi="Arial" w:cs="Arial"/>
          <w:i/>
        </w:rPr>
        <w:t>na</w:t>
      </w:r>
      <w:proofErr w:type="spellEnd"/>
      <w:r w:rsidR="00B06A67">
        <w:rPr>
          <w:rFonts w:ascii="Arial" w:hAnsi="Arial" w:cs="Arial"/>
          <w:i/>
        </w:rPr>
        <w:t xml:space="preserve"> </w:t>
      </w:r>
      <w:proofErr w:type="spellStart"/>
      <w:r w:rsidR="00B06A67">
        <w:rPr>
          <w:rFonts w:ascii="Arial" w:hAnsi="Arial" w:cs="Arial"/>
          <w:i/>
        </w:rPr>
        <w:t>suportahan</w:t>
      </w:r>
      <w:proofErr w:type="spellEnd"/>
      <w:r w:rsidR="00B06A67">
        <w:rPr>
          <w:rFonts w:ascii="Arial" w:hAnsi="Arial" w:cs="Arial"/>
          <w:i/>
        </w:rPr>
        <w:t xml:space="preserve"> an </w:t>
      </w:r>
      <w:proofErr w:type="spellStart"/>
      <w:r w:rsidR="00B06A67">
        <w:rPr>
          <w:rFonts w:ascii="Arial" w:hAnsi="Arial" w:cs="Arial"/>
          <w:i/>
        </w:rPr>
        <w:t>eskwe</w:t>
      </w:r>
      <w:r w:rsidRPr="00805132">
        <w:rPr>
          <w:rFonts w:ascii="Arial" w:hAnsi="Arial" w:cs="Arial"/>
          <w:i/>
        </w:rPr>
        <w:t>lahan</w:t>
      </w:r>
      <w:proofErr w:type="spellEnd"/>
      <w:r w:rsidRPr="00805132">
        <w:rPr>
          <w:rFonts w:ascii="Arial" w:hAnsi="Arial" w:cs="Arial"/>
          <w:i/>
        </w:rPr>
        <w:t xml:space="preserve"> </w:t>
      </w:r>
      <w:proofErr w:type="spellStart"/>
      <w:r w:rsidRPr="00805132">
        <w:rPr>
          <w:rFonts w:ascii="Arial" w:hAnsi="Arial" w:cs="Arial"/>
          <w:i/>
        </w:rPr>
        <w:t>dahil</w:t>
      </w:r>
      <w:proofErr w:type="spellEnd"/>
      <w:r w:rsidRPr="00805132">
        <w:rPr>
          <w:rFonts w:ascii="Arial" w:hAnsi="Arial" w:cs="Arial"/>
          <w:i/>
        </w:rPr>
        <w:t xml:space="preserve"> </w:t>
      </w:r>
      <w:proofErr w:type="spellStart"/>
      <w:r w:rsidRPr="00805132">
        <w:rPr>
          <w:rFonts w:ascii="Arial" w:hAnsi="Arial" w:cs="Arial"/>
          <w:i/>
        </w:rPr>
        <w:t>nagtitiwala</w:t>
      </w:r>
      <w:proofErr w:type="spellEnd"/>
      <w:r w:rsidRPr="00805132">
        <w:rPr>
          <w:rFonts w:ascii="Arial" w:hAnsi="Arial" w:cs="Arial"/>
          <w:i/>
        </w:rPr>
        <w:t xml:space="preserve"> </w:t>
      </w:r>
      <w:proofErr w:type="spellStart"/>
      <w:r w:rsidRPr="00805132">
        <w:rPr>
          <w:rFonts w:ascii="Arial" w:hAnsi="Arial" w:cs="Arial"/>
          <w:i/>
        </w:rPr>
        <w:t>na</w:t>
      </w:r>
      <w:proofErr w:type="spellEnd"/>
      <w:r w:rsidRPr="00805132">
        <w:rPr>
          <w:rFonts w:ascii="Arial" w:hAnsi="Arial" w:cs="Arial"/>
          <w:i/>
        </w:rPr>
        <w:t xml:space="preserve"> kami </w:t>
      </w:r>
      <w:proofErr w:type="spellStart"/>
      <w:r w:rsidRPr="00805132">
        <w:rPr>
          <w:rFonts w:ascii="Arial" w:hAnsi="Arial" w:cs="Arial"/>
          <w:i/>
        </w:rPr>
        <w:t>sa</w:t>
      </w:r>
      <w:proofErr w:type="spellEnd"/>
      <w:r w:rsidRPr="00805132">
        <w:rPr>
          <w:rFonts w:ascii="Arial" w:hAnsi="Arial" w:cs="Arial"/>
          <w:i/>
        </w:rPr>
        <w:t xml:space="preserve"> </w:t>
      </w:r>
      <w:proofErr w:type="spellStart"/>
      <w:r w:rsidRPr="00805132">
        <w:rPr>
          <w:rFonts w:ascii="Arial" w:hAnsi="Arial" w:cs="Arial"/>
          <w:i/>
        </w:rPr>
        <w:t>proseso</w:t>
      </w:r>
      <w:proofErr w:type="spellEnd"/>
      <w:r w:rsidRPr="00805132">
        <w:rPr>
          <w:rFonts w:ascii="Arial" w:hAnsi="Arial" w:cs="Arial"/>
          <w:i/>
        </w:rPr>
        <w:t>.”</w:t>
      </w:r>
      <w:r>
        <w:rPr>
          <w:rFonts w:ascii="Arial" w:hAnsi="Arial" w:cs="Arial"/>
        </w:rPr>
        <w:t xml:space="preserve"> (</w:t>
      </w:r>
      <w:r w:rsidR="00C42354" w:rsidRPr="00C42354">
        <w:rPr>
          <w:rFonts w:ascii="Arial" w:hAnsi="Arial" w:cs="Arial"/>
        </w:rPr>
        <w:t>Now we know where the budget goes, what decisions are being made, and why. This openness has made us more willing to support the schoo</w:t>
      </w:r>
      <w:r>
        <w:rPr>
          <w:rFonts w:ascii="Arial" w:hAnsi="Arial" w:cs="Arial"/>
        </w:rPr>
        <w:t>l because we trust the process.)</w:t>
      </w:r>
    </w:p>
    <w:p w14:paraId="0FF17FFB" w14:textId="77777777" w:rsidR="00C42354" w:rsidRPr="00C42354" w:rsidRDefault="00C42354" w:rsidP="00C42354">
      <w:pPr>
        <w:pStyle w:val="Body"/>
        <w:spacing w:after="0"/>
        <w:rPr>
          <w:rFonts w:ascii="Arial" w:hAnsi="Arial" w:cs="Arial"/>
        </w:rPr>
      </w:pPr>
    </w:p>
    <w:p w14:paraId="3EC7675F" w14:textId="638A4824" w:rsidR="00C42354" w:rsidRPr="00C42354" w:rsidRDefault="00C42354" w:rsidP="00C42354">
      <w:pPr>
        <w:pStyle w:val="Body"/>
        <w:spacing w:after="0"/>
        <w:rPr>
          <w:rFonts w:ascii="Arial" w:hAnsi="Arial" w:cs="Arial"/>
        </w:rPr>
      </w:pPr>
      <w:r w:rsidRPr="00C42354">
        <w:rPr>
          <w:rFonts w:ascii="Arial" w:hAnsi="Arial" w:cs="Arial"/>
        </w:rPr>
        <w:t>Improved school-community relations facilitate increased stakeholder involvement (rank 5), creating a positive feedback loop where engagement begets further engagement. As relationships strengthen, more community members become interested in participating, and their participation further strengthens relationships.</w:t>
      </w:r>
    </w:p>
    <w:p w14:paraId="02D58148" w14:textId="77777777" w:rsidR="00C42354" w:rsidRPr="00C42354" w:rsidRDefault="00C42354" w:rsidP="00C42354">
      <w:pPr>
        <w:pStyle w:val="Body"/>
        <w:spacing w:after="0"/>
        <w:rPr>
          <w:rFonts w:ascii="Arial" w:hAnsi="Arial" w:cs="Arial"/>
        </w:rPr>
      </w:pPr>
    </w:p>
    <w:p w14:paraId="636CA032" w14:textId="086B9641" w:rsidR="007F133B" w:rsidRPr="00C42354" w:rsidRDefault="00C42354" w:rsidP="00C42354">
      <w:pPr>
        <w:pStyle w:val="Body"/>
        <w:spacing w:after="0"/>
        <w:rPr>
          <w:rFonts w:ascii="Arial" w:hAnsi="Arial" w:cs="Arial"/>
        </w:rPr>
      </w:pPr>
      <w:r w:rsidRPr="00C42354">
        <w:rPr>
          <w:rFonts w:ascii="Arial" w:hAnsi="Arial" w:cs="Arial"/>
        </w:rPr>
        <w:t>The lower rankings for improved academic performance (rank 7) and increased funding opportunities (rank 8) likely reflect the time lag between governance improvements and measurable educational outcomes. Before these fundamental advancements result in academic success and resource mobilization, governance reforms must first establish procedures, increase capacity, and fortify relationships. This temporal pattern indicates that schools should continue to be patient and persistent because it might take several years for the full advantages of SGC implementation to become apparent.</w:t>
      </w:r>
    </w:p>
    <w:p w14:paraId="7DB3AD9B" w14:textId="77777777" w:rsidR="00B37BF4" w:rsidRPr="00C42354" w:rsidRDefault="00B37BF4" w:rsidP="009C55D1">
      <w:pPr>
        <w:pStyle w:val="Body"/>
        <w:spacing w:after="0"/>
        <w:rPr>
          <w:rFonts w:ascii="Arial" w:hAnsi="Arial" w:cs="Arial"/>
        </w:rPr>
      </w:pPr>
    </w:p>
    <w:p w14:paraId="7118171B" w14:textId="77777777" w:rsidR="00D275EB" w:rsidRDefault="00D275EB" w:rsidP="00D275EB">
      <w:pPr>
        <w:pStyle w:val="Body"/>
        <w:spacing w:after="0"/>
        <w:rPr>
          <w:rFonts w:ascii="Arial" w:hAnsi="Arial" w:cs="Arial"/>
        </w:rPr>
      </w:pPr>
      <w:r w:rsidRPr="00A86873">
        <w:rPr>
          <w:rFonts w:ascii="Arial" w:hAnsi="Arial" w:cs="Arial"/>
          <w:b/>
          <w:caps/>
          <w:sz w:val="22"/>
        </w:rPr>
        <w:t>3.</w:t>
      </w:r>
      <w:r w:rsidR="001D2D57" w:rsidRPr="00A86873">
        <w:rPr>
          <w:rFonts w:ascii="Arial" w:hAnsi="Arial" w:cs="Arial"/>
          <w:b/>
          <w:caps/>
          <w:sz w:val="22"/>
        </w:rPr>
        <w:t>4</w:t>
      </w:r>
      <w:r w:rsidRPr="00A86873">
        <w:rPr>
          <w:rFonts w:ascii="Arial" w:hAnsi="Arial" w:cs="Arial"/>
          <w:b/>
          <w:caps/>
          <w:sz w:val="22"/>
        </w:rPr>
        <w:t xml:space="preserve"> </w:t>
      </w:r>
      <w:r w:rsidR="002222FF" w:rsidRPr="00A86873">
        <w:rPr>
          <w:rFonts w:ascii="Arial" w:hAnsi="Arial" w:cs="Arial"/>
          <w:b/>
          <w:sz w:val="22"/>
        </w:rPr>
        <w:t>Gaps in the Implementation of School Governing Council Programs and Initiatives</w:t>
      </w:r>
      <w:r w:rsidRPr="00FB3A86">
        <w:rPr>
          <w:rFonts w:ascii="Arial" w:hAnsi="Arial" w:cs="Arial"/>
        </w:rPr>
        <w:t xml:space="preserve"> </w:t>
      </w:r>
    </w:p>
    <w:p w14:paraId="443B5421" w14:textId="77777777" w:rsidR="00D275EB" w:rsidRDefault="00D275EB" w:rsidP="00D275EB">
      <w:pPr>
        <w:pStyle w:val="Body"/>
        <w:spacing w:after="0"/>
        <w:rPr>
          <w:rFonts w:ascii="Arial" w:hAnsi="Arial" w:cs="Arial"/>
        </w:rPr>
      </w:pPr>
    </w:p>
    <w:p w14:paraId="3317506E" w14:textId="77777777" w:rsidR="00B37BF4" w:rsidRDefault="00A86873" w:rsidP="00AE3279">
      <w:pPr>
        <w:pStyle w:val="Body"/>
        <w:spacing w:after="0"/>
        <w:rPr>
          <w:rFonts w:ascii="Arial" w:hAnsi="Arial" w:cs="Arial"/>
        </w:rPr>
      </w:pPr>
      <w:r w:rsidRPr="00A86873">
        <w:rPr>
          <w:rFonts w:ascii="Arial" w:hAnsi="Arial" w:cs="Arial"/>
        </w:rPr>
        <w:t>Although SGC implementation has produced notable gains, there are still significant gaps that limit the full potential of these governance structures. In order to strengthen SGC effectiveness and guarantee that the benefits of shared governance reach all schools and communities in DepEd Camarines Sur, it is imperative to identify and address these gaps. Analysis revealed eight significant implementation gaps. Table 4 displays the frequency and ranking of these deficiencies.</w:t>
      </w:r>
    </w:p>
    <w:p w14:paraId="207548A8" w14:textId="77777777" w:rsidR="004800C2" w:rsidRDefault="004800C2" w:rsidP="00AE3279">
      <w:pPr>
        <w:pStyle w:val="Body"/>
        <w:spacing w:after="0"/>
        <w:rPr>
          <w:rFonts w:ascii="Arial" w:hAnsi="Arial" w:cs="Arial"/>
        </w:rPr>
      </w:pPr>
    </w:p>
    <w:p w14:paraId="4E710D74" w14:textId="77777777" w:rsidR="00AB562D" w:rsidRPr="00AB562D" w:rsidRDefault="00AB562D" w:rsidP="00AB562D">
      <w:pPr>
        <w:jc w:val="both"/>
        <w:rPr>
          <w:rFonts w:ascii="Arial" w:hAnsi="Arial" w:cs="Arial"/>
        </w:rPr>
      </w:pPr>
      <w:r w:rsidRPr="00AB562D">
        <w:rPr>
          <w:rFonts w:ascii="Arial" w:hAnsi="Arial" w:cs="Arial"/>
          <w:b/>
          <w:bCs/>
        </w:rPr>
        <w:t>Table 4. Gaps in the Implementation of SGC Programs and Initiatives</w:t>
      </w:r>
    </w:p>
    <w:tbl>
      <w:tblPr>
        <w:tblStyle w:val="TableGrid"/>
        <w:tblW w:w="8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0"/>
        <w:gridCol w:w="1514"/>
        <w:gridCol w:w="871"/>
      </w:tblGrid>
      <w:tr w:rsidR="00AB562D" w:rsidRPr="00AB562D" w14:paraId="5BC0152F" w14:textId="77777777" w:rsidTr="00F744BF">
        <w:trPr>
          <w:trHeight w:val="278"/>
          <w:jc w:val="center"/>
        </w:trPr>
        <w:tc>
          <w:tcPr>
            <w:tcW w:w="5870" w:type="dxa"/>
            <w:tcBorders>
              <w:top w:val="single" w:sz="4" w:space="0" w:color="auto"/>
              <w:bottom w:val="single" w:sz="4" w:space="0" w:color="auto"/>
            </w:tcBorders>
            <w:hideMark/>
          </w:tcPr>
          <w:p w14:paraId="621DEC5C" w14:textId="77777777" w:rsidR="00AB562D" w:rsidRPr="00AB562D" w:rsidRDefault="00AB562D" w:rsidP="008E597D">
            <w:pPr>
              <w:jc w:val="center"/>
              <w:rPr>
                <w:rFonts w:ascii="Arial" w:eastAsia="Times New Roman" w:hAnsi="Arial" w:cs="Arial"/>
                <w:b/>
                <w:bCs/>
                <w:sz w:val="20"/>
                <w:szCs w:val="20"/>
              </w:rPr>
            </w:pPr>
            <w:r w:rsidRPr="00AB562D">
              <w:rPr>
                <w:rFonts w:ascii="Arial" w:eastAsia="Times New Roman" w:hAnsi="Arial" w:cs="Arial"/>
                <w:b/>
                <w:bCs/>
                <w:sz w:val="20"/>
                <w:szCs w:val="20"/>
              </w:rPr>
              <w:t>Themes</w:t>
            </w:r>
          </w:p>
        </w:tc>
        <w:tc>
          <w:tcPr>
            <w:tcW w:w="0" w:type="auto"/>
            <w:tcBorders>
              <w:top w:val="single" w:sz="4" w:space="0" w:color="auto"/>
              <w:bottom w:val="single" w:sz="4" w:space="0" w:color="auto"/>
            </w:tcBorders>
            <w:hideMark/>
          </w:tcPr>
          <w:p w14:paraId="310181BB" w14:textId="77777777" w:rsidR="00AB562D" w:rsidRPr="00AB562D" w:rsidRDefault="00AB562D" w:rsidP="008E597D">
            <w:pPr>
              <w:jc w:val="center"/>
              <w:rPr>
                <w:rFonts w:ascii="Arial" w:eastAsia="Times New Roman" w:hAnsi="Arial" w:cs="Arial"/>
                <w:b/>
                <w:bCs/>
                <w:sz w:val="20"/>
                <w:szCs w:val="20"/>
              </w:rPr>
            </w:pPr>
            <w:r w:rsidRPr="00AB562D">
              <w:rPr>
                <w:rFonts w:ascii="Arial" w:eastAsia="Times New Roman" w:hAnsi="Arial" w:cs="Arial"/>
                <w:b/>
                <w:bCs/>
                <w:sz w:val="20"/>
                <w:szCs w:val="20"/>
              </w:rPr>
              <w:t>Frequency</w:t>
            </w:r>
          </w:p>
        </w:tc>
        <w:tc>
          <w:tcPr>
            <w:tcW w:w="0" w:type="auto"/>
            <w:tcBorders>
              <w:top w:val="single" w:sz="4" w:space="0" w:color="auto"/>
              <w:bottom w:val="single" w:sz="4" w:space="0" w:color="auto"/>
            </w:tcBorders>
            <w:hideMark/>
          </w:tcPr>
          <w:p w14:paraId="21DAA386" w14:textId="77777777" w:rsidR="00AB562D" w:rsidRPr="00AB562D" w:rsidRDefault="00AB562D" w:rsidP="008E597D">
            <w:pPr>
              <w:jc w:val="center"/>
              <w:rPr>
                <w:rFonts w:ascii="Arial" w:eastAsia="Times New Roman" w:hAnsi="Arial" w:cs="Arial"/>
                <w:b/>
                <w:bCs/>
                <w:sz w:val="20"/>
                <w:szCs w:val="20"/>
              </w:rPr>
            </w:pPr>
            <w:r w:rsidRPr="00AB562D">
              <w:rPr>
                <w:rFonts w:ascii="Arial" w:eastAsia="Times New Roman" w:hAnsi="Arial" w:cs="Arial"/>
                <w:b/>
                <w:bCs/>
                <w:sz w:val="20"/>
                <w:szCs w:val="20"/>
              </w:rPr>
              <w:t>Rank</w:t>
            </w:r>
          </w:p>
        </w:tc>
      </w:tr>
      <w:tr w:rsidR="00AB562D" w:rsidRPr="00AB562D" w14:paraId="1D76ECB6" w14:textId="77777777" w:rsidTr="00F744BF">
        <w:trPr>
          <w:trHeight w:val="278"/>
          <w:jc w:val="center"/>
        </w:trPr>
        <w:tc>
          <w:tcPr>
            <w:tcW w:w="5870" w:type="dxa"/>
            <w:tcBorders>
              <w:top w:val="single" w:sz="4" w:space="0" w:color="auto"/>
            </w:tcBorders>
            <w:hideMark/>
          </w:tcPr>
          <w:p w14:paraId="72F98D2E"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Lack of Training of SGC Members</w:t>
            </w:r>
          </w:p>
        </w:tc>
        <w:tc>
          <w:tcPr>
            <w:tcW w:w="0" w:type="auto"/>
            <w:tcBorders>
              <w:top w:val="single" w:sz="4" w:space="0" w:color="auto"/>
            </w:tcBorders>
            <w:hideMark/>
          </w:tcPr>
          <w:p w14:paraId="6AAA0722"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8</w:t>
            </w:r>
          </w:p>
        </w:tc>
        <w:tc>
          <w:tcPr>
            <w:tcW w:w="0" w:type="auto"/>
            <w:tcBorders>
              <w:top w:val="single" w:sz="4" w:space="0" w:color="auto"/>
            </w:tcBorders>
            <w:hideMark/>
          </w:tcPr>
          <w:p w14:paraId="17E09313"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2</w:t>
            </w:r>
          </w:p>
        </w:tc>
      </w:tr>
      <w:tr w:rsidR="00AB562D" w:rsidRPr="00AB562D" w14:paraId="7112281F" w14:textId="77777777" w:rsidTr="00F744BF">
        <w:trPr>
          <w:trHeight w:val="266"/>
          <w:jc w:val="center"/>
        </w:trPr>
        <w:tc>
          <w:tcPr>
            <w:tcW w:w="5870" w:type="dxa"/>
            <w:hideMark/>
          </w:tcPr>
          <w:p w14:paraId="7663CD6B"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Limited Capacity/Understanding of Roles and Responsibilities</w:t>
            </w:r>
          </w:p>
        </w:tc>
        <w:tc>
          <w:tcPr>
            <w:tcW w:w="0" w:type="auto"/>
            <w:hideMark/>
          </w:tcPr>
          <w:p w14:paraId="6DCC70C3"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8</w:t>
            </w:r>
          </w:p>
        </w:tc>
        <w:tc>
          <w:tcPr>
            <w:tcW w:w="0" w:type="auto"/>
            <w:hideMark/>
          </w:tcPr>
          <w:p w14:paraId="570EE273"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2</w:t>
            </w:r>
          </w:p>
        </w:tc>
      </w:tr>
      <w:tr w:rsidR="00AB562D" w:rsidRPr="00AB562D" w14:paraId="19CE7393" w14:textId="77777777" w:rsidTr="00F744BF">
        <w:trPr>
          <w:trHeight w:val="278"/>
          <w:jc w:val="center"/>
        </w:trPr>
        <w:tc>
          <w:tcPr>
            <w:tcW w:w="5870" w:type="dxa"/>
            <w:hideMark/>
          </w:tcPr>
          <w:p w14:paraId="609A1F00"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Limited Resources/Lack of Funding</w:t>
            </w:r>
          </w:p>
        </w:tc>
        <w:tc>
          <w:tcPr>
            <w:tcW w:w="0" w:type="auto"/>
            <w:hideMark/>
          </w:tcPr>
          <w:p w14:paraId="13A43904"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8</w:t>
            </w:r>
          </w:p>
        </w:tc>
        <w:tc>
          <w:tcPr>
            <w:tcW w:w="0" w:type="auto"/>
            <w:hideMark/>
          </w:tcPr>
          <w:p w14:paraId="1E2C0527"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2</w:t>
            </w:r>
          </w:p>
        </w:tc>
      </w:tr>
      <w:tr w:rsidR="00AB562D" w:rsidRPr="00AB562D" w14:paraId="0475C352" w14:textId="77777777" w:rsidTr="00F744BF">
        <w:trPr>
          <w:trHeight w:val="278"/>
          <w:jc w:val="center"/>
        </w:trPr>
        <w:tc>
          <w:tcPr>
            <w:tcW w:w="5870" w:type="dxa"/>
            <w:hideMark/>
          </w:tcPr>
          <w:p w14:paraId="2034900B"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Limited Community Involvement</w:t>
            </w:r>
          </w:p>
        </w:tc>
        <w:tc>
          <w:tcPr>
            <w:tcW w:w="0" w:type="auto"/>
            <w:hideMark/>
          </w:tcPr>
          <w:p w14:paraId="1B86ADF8"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7</w:t>
            </w:r>
          </w:p>
        </w:tc>
        <w:tc>
          <w:tcPr>
            <w:tcW w:w="0" w:type="auto"/>
            <w:hideMark/>
          </w:tcPr>
          <w:p w14:paraId="18CCD0DF"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4</w:t>
            </w:r>
          </w:p>
        </w:tc>
      </w:tr>
      <w:tr w:rsidR="00AB562D" w:rsidRPr="00AB562D" w14:paraId="1665EE55" w14:textId="77777777" w:rsidTr="00F744BF">
        <w:trPr>
          <w:trHeight w:val="278"/>
          <w:jc w:val="center"/>
        </w:trPr>
        <w:tc>
          <w:tcPr>
            <w:tcW w:w="5870" w:type="dxa"/>
            <w:hideMark/>
          </w:tcPr>
          <w:p w14:paraId="34D2DF21"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Inadequate Communication</w:t>
            </w:r>
          </w:p>
        </w:tc>
        <w:tc>
          <w:tcPr>
            <w:tcW w:w="0" w:type="auto"/>
            <w:hideMark/>
          </w:tcPr>
          <w:p w14:paraId="18C6D3A0"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6</w:t>
            </w:r>
          </w:p>
        </w:tc>
        <w:tc>
          <w:tcPr>
            <w:tcW w:w="0" w:type="auto"/>
            <w:hideMark/>
          </w:tcPr>
          <w:p w14:paraId="1EB1646A"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5</w:t>
            </w:r>
          </w:p>
        </w:tc>
      </w:tr>
      <w:tr w:rsidR="00AB562D" w:rsidRPr="00AB562D" w14:paraId="489D84D5" w14:textId="77777777" w:rsidTr="00F744BF">
        <w:trPr>
          <w:trHeight w:val="278"/>
          <w:jc w:val="center"/>
        </w:trPr>
        <w:tc>
          <w:tcPr>
            <w:tcW w:w="5870" w:type="dxa"/>
            <w:hideMark/>
          </w:tcPr>
          <w:p w14:paraId="5F74F2B7"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Inadequate Monitoring and Evaluation</w:t>
            </w:r>
          </w:p>
        </w:tc>
        <w:tc>
          <w:tcPr>
            <w:tcW w:w="0" w:type="auto"/>
            <w:hideMark/>
          </w:tcPr>
          <w:p w14:paraId="24904D65"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5</w:t>
            </w:r>
          </w:p>
        </w:tc>
        <w:tc>
          <w:tcPr>
            <w:tcW w:w="0" w:type="auto"/>
            <w:hideMark/>
          </w:tcPr>
          <w:p w14:paraId="4EF5D948"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6</w:t>
            </w:r>
          </w:p>
        </w:tc>
      </w:tr>
      <w:tr w:rsidR="00AB562D" w:rsidRPr="00AB562D" w14:paraId="63379C55" w14:textId="77777777" w:rsidTr="00F744BF">
        <w:trPr>
          <w:trHeight w:val="278"/>
          <w:jc w:val="center"/>
        </w:trPr>
        <w:tc>
          <w:tcPr>
            <w:tcW w:w="5870" w:type="dxa"/>
            <w:hideMark/>
          </w:tcPr>
          <w:p w14:paraId="5DFDCBE0"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Resistance to Change</w:t>
            </w:r>
          </w:p>
        </w:tc>
        <w:tc>
          <w:tcPr>
            <w:tcW w:w="0" w:type="auto"/>
            <w:hideMark/>
          </w:tcPr>
          <w:p w14:paraId="6C832AD0"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2</w:t>
            </w:r>
          </w:p>
        </w:tc>
        <w:tc>
          <w:tcPr>
            <w:tcW w:w="0" w:type="auto"/>
            <w:hideMark/>
          </w:tcPr>
          <w:p w14:paraId="7F0E509D"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7</w:t>
            </w:r>
          </w:p>
        </w:tc>
      </w:tr>
      <w:tr w:rsidR="00AB562D" w:rsidRPr="00AB562D" w14:paraId="02B5D7CC" w14:textId="77777777" w:rsidTr="00F744BF">
        <w:trPr>
          <w:trHeight w:val="266"/>
          <w:jc w:val="center"/>
        </w:trPr>
        <w:tc>
          <w:tcPr>
            <w:tcW w:w="5870" w:type="dxa"/>
            <w:tcBorders>
              <w:bottom w:val="single" w:sz="4" w:space="0" w:color="auto"/>
            </w:tcBorders>
            <w:hideMark/>
          </w:tcPr>
          <w:p w14:paraId="6775481C"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Limited Support for Staff</w:t>
            </w:r>
          </w:p>
        </w:tc>
        <w:tc>
          <w:tcPr>
            <w:tcW w:w="0" w:type="auto"/>
            <w:tcBorders>
              <w:bottom w:val="single" w:sz="4" w:space="0" w:color="auto"/>
            </w:tcBorders>
            <w:hideMark/>
          </w:tcPr>
          <w:p w14:paraId="195C5535"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1</w:t>
            </w:r>
          </w:p>
        </w:tc>
        <w:tc>
          <w:tcPr>
            <w:tcW w:w="0" w:type="auto"/>
            <w:tcBorders>
              <w:bottom w:val="single" w:sz="4" w:space="0" w:color="auto"/>
            </w:tcBorders>
            <w:hideMark/>
          </w:tcPr>
          <w:p w14:paraId="063D8F79"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8</w:t>
            </w:r>
          </w:p>
        </w:tc>
      </w:tr>
    </w:tbl>
    <w:p w14:paraId="1524617D" w14:textId="77777777" w:rsidR="004800C2" w:rsidRDefault="004800C2" w:rsidP="00AE3279">
      <w:pPr>
        <w:pStyle w:val="Body"/>
        <w:spacing w:after="0"/>
        <w:rPr>
          <w:rFonts w:ascii="Arial" w:hAnsi="Arial" w:cs="Arial"/>
        </w:rPr>
      </w:pPr>
    </w:p>
    <w:p w14:paraId="2FBCAA9E" w14:textId="77777777" w:rsidR="004D0E89" w:rsidRPr="004D0E89" w:rsidRDefault="004D0E89" w:rsidP="004D0E89">
      <w:pPr>
        <w:pStyle w:val="Body"/>
        <w:spacing w:after="0"/>
        <w:rPr>
          <w:rFonts w:ascii="Arial" w:hAnsi="Arial" w:cs="Arial"/>
        </w:rPr>
      </w:pPr>
      <w:r w:rsidRPr="008568AB">
        <w:rPr>
          <w:rFonts w:ascii="Arial" w:hAnsi="Arial" w:cs="Arial"/>
          <w:b/>
        </w:rPr>
        <w:t>Lack of training for SGC members</w:t>
      </w:r>
      <w:r w:rsidRPr="004D0E89">
        <w:rPr>
          <w:rFonts w:ascii="Arial" w:hAnsi="Arial" w:cs="Arial"/>
        </w:rPr>
        <w:t xml:space="preserve">, </w:t>
      </w:r>
      <w:r w:rsidRPr="008568AB">
        <w:rPr>
          <w:rFonts w:ascii="Arial" w:hAnsi="Arial" w:cs="Arial"/>
          <w:b/>
        </w:rPr>
        <w:t>limited capacity and understanding of roles and responsibilities</w:t>
      </w:r>
      <w:r w:rsidRPr="004D0E89">
        <w:rPr>
          <w:rFonts w:ascii="Arial" w:hAnsi="Arial" w:cs="Arial"/>
        </w:rPr>
        <w:t xml:space="preserve">, and </w:t>
      </w:r>
      <w:r w:rsidRPr="008568AB">
        <w:rPr>
          <w:rFonts w:ascii="Arial" w:hAnsi="Arial" w:cs="Arial"/>
          <w:b/>
        </w:rPr>
        <w:t>limited resources and lack of funding</w:t>
      </w:r>
      <w:r w:rsidRPr="004D0E89">
        <w:rPr>
          <w:rFonts w:ascii="Arial" w:hAnsi="Arial" w:cs="Arial"/>
        </w:rPr>
        <w:t xml:space="preserve"> are the three gaps that are tied for the most prominent position (frequency = 8, rank = 2 each). These three factors' equal ranking indicates that they are related aspects of a basic capacity deficit in SG</w:t>
      </w:r>
      <w:r w:rsidR="00DD73E2">
        <w:rPr>
          <w:rFonts w:ascii="Arial" w:hAnsi="Arial" w:cs="Arial"/>
        </w:rPr>
        <w:t>C implementation. The lack of tr</w:t>
      </w:r>
      <w:r w:rsidR="00571CCC">
        <w:rPr>
          <w:rFonts w:ascii="Arial" w:hAnsi="Arial" w:cs="Arial"/>
        </w:rPr>
        <w:t xml:space="preserve">aining for SGC </w:t>
      </w:r>
      <w:r w:rsidR="00B60E5C">
        <w:rPr>
          <w:rFonts w:ascii="Arial" w:hAnsi="Arial" w:cs="Arial"/>
        </w:rPr>
        <w:t>m</w:t>
      </w:r>
      <w:r w:rsidRPr="004D0E89">
        <w:rPr>
          <w:rFonts w:ascii="Arial" w:hAnsi="Arial" w:cs="Arial"/>
        </w:rPr>
        <w:t xml:space="preserve">embers shows that many council members are ill-prepared to carry out their duties. Membership in SGC necessitates knowledge of legal and policy frameworks, educational concerns, cooperative decision-making procedures, and governance principles. Members might not have the information and abilities needed to make a significant contribution to school governance in the absence of systematic training. Because of this gap, well-meaning members are unable to participate fully, or councils are unable to function effectively. Malen </w:t>
      </w:r>
      <w:r w:rsidR="00E53F6B">
        <w:rPr>
          <w:rFonts w:ascii="Arial" w:hAnsi="Arial" w:cs="Arial"/>
        </w:rPr>
        <w:t>et al.</w:t>
      </w:r>
      <w:r w:rsidRPr="004D0E89">
        <w:rPr>
          <w:rFonts w:ascii="Arial" w:hAnsi="Arial" w:cs="Arial"/>
        </w:rPr>
        <w:t xml:space="preserve"> (1990) found insufficient preparation.</w:t>
      </w:r>
    </w:p>
    <w:p w14:paraId="73EA2E56" w14:textId="77777777" w:rsidR="004D0E89" w:rsidRPr="004D0E89" w:rsidRDefault="004D0E89" w:rsidP="004D0E89">
      <w:pPr>
        <w:pStyle w:val="Body"/>
        <w:spacing w:after="0"/>
        <w:rPr>
          <w:rFonts w:ascii="Arial" w:hAnsi="Arial" w:cs="Arial"/>
        </w:rPr>
      </w:pPr>
    </w:p>
    <w:p w14:paraId="7A008942" w14:textId="77777777" w:rsidR="004D0E89" w:rsidRPr="004D0E89" w:rsidRDefault="004A781F" w:rsidP="004D0E89">
      <w:pPr>
        <w:pStyle w:val="Body"/>
        <w:spacing w:after="0"/>
        <w:rPr>
          <w:rFonts w:ascii="Arial" w:hAnsi="Arial" w:cs="Arial"/>
        </w:rPr>
      </w:pPr>
      <w:r>
        <w:rPr>
          <w:rFonts w:ascii="Arial" w:hAnsi="Arial" w:cs="Arial"/>
        </w:rPr>
        <w:t xml:space="preserve">A related but different gap is </w:t>
      </w:r>
      <w:r w:rsidRPr="004A781F">
        <w:rPr>
          <w:rFonts w:ascii="Arial" w:hAnsi="Arial" w:cs="Arial"/>
          <w:b/>
        </w:rPr>
        <w:t>limited capacity and understanding of roles and responsibilities</w:t>
      </w:r>
      <w:r w:rsidR="004D0E89" w:rsidRPr="004D0E89">
        <w:rPr>
          <w:rFonts w:ascii="Arial" w:hAnsi="Arial" w:cs="Arial"/>
        </w:rPr>
        <w:t>, which focuses on clarity regarding what SGC members should do and how they should operate within the governance structure. Even with training, councils may be paralyzed or face conflicts with school administration due to unclear expectations for member participation, uncertainty about decision-making authority, ambiguity about reporting relationships and accountability, and ambiguity about the boundaries between administrative and governance roles. For effective governance operations and fruitful stakeholder relationships, role clarity is crucial.</w:t>
      </w:r>
    </w:p>
    <w:p w14:paraId="019E9819" w14:textId="77777777" w:rsidR="004D0E89" w:rsidRPr="004D0E89" w:rsidRDefault="004D0E89" w:rsidP="004D0E89">
      <w:pPr>
        <w:pStyle w:val="Body"/>
        <w:spacing w:after="0"/>
        <w:rPr>
          <w:rFonts w:ascii="Arial" w:hAnsi="Arial" w:cs="Arial"/>
        </w:rPr>
      </w:pPr>
    </w:p>
    <w:p w14:paraId="3C3DB8F2" w14:textId="77777777" w:rsidR="004D0E89" w:rsidRPr="004D0E89" w:rsidRDefault="004D0E89" w:rsidP="004D0E89">
      <w:pPr>
        <w:pStyle w:val="Body"/>
        <w:spacing w:after="0"/>
        <w:rPr>
          <w:rFonts w:ascii="Arial" w:hAnsi="Arial" w:cs="Arial"/>
        </w:rPr>
      </w:pPr>
      <w:r w:rsidRPr="004D0E89">
        <w:rPr>
          <w:rFonts w:ascii="Arial" w:hAnsi="Arial" w:cs="Arial"/>
        </w:rPr>
        <w:t xml:space="preserve">This triad of fundamental gaps is completed by </w:t>
      </w:r>
      <w:r w:rsidR="00AB0966" w:rsidRPr="00AB0966">
        <w:rPr>
          <w:rFonts w:ascii="Arial" w:hAnsi="Arial" w:cs="Arial"/>
          <w:b/>
        </w:rPr>
        <w:t>limited resources and lack of funding</w:t>
      </w:r>
      <w:r w:rsidRPr="004D0E89">
        <w:rPr>
          <w:rFonts w:ascii="Arial" w:hAnsi="Arial" w:cs="Arial"/>
        </w:rPr>
        <w:t>, which stand for the tangible obstacles that keep SGCs from carrying out their mandates and putting their ideas into practice. Meeting conduct, funding approved programs, initiative materials and supplies, and training and capacity building support are all impacted by resource constraints. The prevalence of funding gaps in both the implementation and sustainability analyses highlights resource availability as a widespread issue affecting every aspect of SGC operations.</w:t>
      </w:r>
    </w:p>
    <w:p w14:paraId="26ECE8CB" w14:textId="77777777" w:rsidR="004D0E89" w:rsidRPr="004D0E89" w:rsidRDefault="004D0E89" w:rsidP="004D0E89">
      <w:pPr>
        <w:pStyle w:val="Body"/>
        <w:spacing w:after="0"/>
        <w:rPr>
          <w:rFonts w:ascii="Arial" w:hAnsi="Arial" w:cs="Arial"/>
        </w:rPr>
      </w:pPr>
    </w:p>
    <w:p w14:paraId="69AB809F" w14:textId="77777777" w:rsidR="004D0E89" w:rsidRPr="004D0E89" w:rsidRDefault="004D0E89" w:rsidP="004D0E89">
      <w:pPr>
        <w:pStyle w:val="Body"/>
        <w:spacing w:after="0"/>
        <w:rPr>
          <w:rFonts w:ascii="Arial" w:hAnsi="Arial" w:cs="Arial"/>
        </w:rPr>
      </w:pPr>
      <w:r w:rsidRPr="007B0098">
        <w:rPr>
          <w:rFonts w:ascii="Arial" w:hAnsi="Arial" w:cs="Arial"/>
          <w:b/>
        </w:rPr>
        <w:t xml:space="preserve">Limited </w:t>
      </w:r>
      <w:r w:rsidR="007B0098" w:rsidRPr="007B0098">
        <w:rPr>
          <w:rFonts w:ascii="Arial" w:hAnsi="Arial" w:cs="Arial"/>
          <w:b/>
        </w:rPr>
        <w:t>community involvement</w:t>
      </w:r>
      <w:r w:rsidR="007B0098" w:rsidRPr="004D0E89">
        <w:rPr>
          <w:rFonts w:ascii="Arial" w:hAnsi="Arial" w:cs="Arial"/>
        </w:rPr>
        <w:t xml:space="preserve"> </w:t>
      </w:r>
      <w:r w:rsidRPr="004D0E89">
        <w:rPr>
          <w:rFonts w:ascii="Arial" w:hAnsi="Arial" w:cs="Arial"/>
        </w:rPr>
        <w:t xml:space="preserve">came in fourth place (frequency = 7, rank = 4), suggesting that despite improvements in community relations, a sizable portion of the </w:t>
      </w:r>
      <w:r w:rsidRPr="004D0E89">
        <w:rPr>
          <w:rFonts w:ascii="Arial" w:hAnsi="Arial" w:cs="Arial"/>
        </w:rPr>
        <w:lastRenderedPageBreak/>
        <w:t>community is still not involved in SGC activities. Lack of knowledge about SGC's existence and operations, the belief that participation won't make a difference, time constraints and conflicting priorities, cultural or socioeconomic barriers to participation, or inadequate school outreach to engage diverse community segments are all potential causes of low community participation. According to Henderson and Mapp (2002), schools should adopt more methodical and inclusive approaches to community mobilization since sustained community engagement necessitates deliberate tactics and ongoing relationship-building initiatives.</w:t>
      </w:r>
    </w:p>
    <w:p w14:paraId="73723B89" w14:textId="77777777" w:rsidR="004D0E89" w:rsidRPr="004D0E89" w:rsidRDefault="004D0E89" w:rsidP="004D0E89">
      <w:pPr>
        <w:pStyle w:val="Body"/>
        <w:spacing w:after="0"/>
        <w:rPr>
          <w:rFonts w:ascii="Arial" w:hAnsi="Arial" w:cs="Arial"/>
        </w:rPr>
      </w:pPr>
    </w:p>
    <w:p w14:paraId="0062E691" w14:textId="77777777" w:rsidR="004D0E89" w:rsidRPr="004D0E89" w:rsidRDefault="00622607" w:rsidP="004D0E89">
      <w:pPr>
        <w:pStyle w:val="Body"/>
        <w:spacing w:after="0"/>
        <w:rPr>
          <w:rFonts w:ascii="Arial" w:hAnsi="Arial" w:cs="Arial"/>
        </w:rPr>
      </w:pPr>
      <w:r w:rsidRPr="00300D77">
        <w:rPr>
          <w:rFonts w:ascii="Arial" w:hAnsi="Arial" w:cs="Arial"/>
          <w:b/>
        </w:rPr>
        <w:t>Inadequate c</w:t>
      </w:r>
      <w:r w:rsidR="004D0E89" w:rsidRPr="00300D77">
        <w:rPr>
          <w:rFonts w:ascii="Arial" w:hAnsi="Arial" w:cs="Arial"/>
          <w:b/>
        </w:rPr>
        <w:t>ommunication</w:t>
      </w:r>
      <w:r w:rsidR="004D0E89" w:rsidRPr="004D0E89">
        <w:rPr>
          <w:rFonts w:ascii="Arial" w:hAnsi="Arial" w:cs="Arial"/>
        </w:rPr>
        <w:t xml:space="preserve"> was ranked fifth (frequency = 6, rank = 5), indicating a lack of communication between stakeholders. Inadequate sharing of SGC decisions and activities, a lack of feedback channels for stakeholder input, poor internal communication among SGC members, and a restricted use of various communication channels to reach various audiences are all examples of communication gaps. Bagin </w:t>
      </w:r>
      <w:r w:rsidR="00D073EF">
        <w:rPr>
          <w:rFonts w:ascii="Arial" w:hAnsi="Arial" w:cs="Arial"/>
        </w:rPr>
        <w:t>et al.</w:t>
      </w:r>
      <w:r w:rsidR="004D0E89" w:rsidRPr="004D0E89">
        <w:rPr>
          <w:rFonts w:ascii="Arial" w:hAnsi="Arial" w:cs="Arial"/>
        </w:rPr>
        <w:t xml:space="preserve"> (2008) showed that effective communication systems are necessary for both stakeholder involvement and successful school governance because they foster understanding, trust, and coordinated action.</w:t>
      </w:r>
    </w:p>
    <w:p w14:paraId="6D33FC73" w14:textId="77777777" w:rsidR="004D0E89" w:rsidRPr="004D0E89" w:rsidRDefault="004D0E89" w:rsidP="004D0E89">
      <w:pPr>
        <w:pStyle w:val="Body"/>
        <w:spacing w:after="0"/>
        <w:rPr>
          <w:rFonts w:ascii="Arial" w:hAnsi="Arial" w:cs="Arial"/>
        </w:rPr>
      </w:pPr>
    </w:p>
    <w:p w14:paraId="7E68B552" w14:textId="77777777" w:rsidR="004D0E89" w:rsidRPr="004D0E89" w:rsidRDefault="004D0E89" w:rsidP="004D0E89">
      <w:pPr>
        <w:pStyle w:val="Body"/>
        <w:spacing w:after="0"/>
        <w:rPr>
          <w:rFonts w:ascii="Arial" w:hAnsi="Arial" w:cs="Arial"/>
        </w:rPr>
      </w:pPr>
      <w:r w:rsidRPr="00300D77">
        <w:rPr>
          <w:rFonts w:ascii="Arial" w:hAnsi="Arial" w:cs="Arial"/>
          <w:b/>
        </w:rPr>
        <w:t xml:space="preserve">Inadequate </w:t>
      </w:r>
      <w:r w:rsidR="00300D77" w:rsidRPr="00300D77">
        <w:rPr>
          <w:rFonts w:ascii="Arial" w:hAnsi="Arial" w:cs="Arial"/>
          <w:b/>
        </w:rPr>
        <w:t>monitoring and evaluation</w:t>
      </w:r>
      <w:r w:rsidR="00300D77" w:rsidRPr="004D0E89">
        <w:rPr>
          <w:rFonts w:ascii="Arial" w:hAnsi="Arial" w:cs="Arial"/>
        </w:rPr>
        <w:t xml:space="preserve"> </w:t>
      </w:r>
      <w:r w:rsidRPr="004D0E89">
        <w:rPr>
          <w:rFonts w:ascii="Arial" w:hAnsi="Arial" w:cs="Arial"/>
        </w:rPr>
        <w:t xml:space="preserve">came in at number six (frequency = 5, rank = 6), pointing to flaws in the assessment systems that would allow SGCs to monitor development, show impact, spot issues early, and make evidence-based changes. Councils function partially blindly in the absence of thorough monitoring and evaluation, unable to ascertain whether their efforts yield the desired outcomes or how to enhance their methods. Systematic assessment, which provides the feedback loops required for organizational learning and adaptation, is crucial for program improvement and accountability in education, according to </w:t>
      </w:r>
      <w:proofErr w:type="spellStart"/>
      <w:r w:rsidRPr="004D0E89">
        <w:rPr>
          <w:rFonts w:ascii="Arial" w:hAnsi="Arial" w:cs="Arial"/>
        </w:rPr>
        <w:t>Stufflebeam</w:t>
      </w:r>
      <w:proofErr w:type="spellEnd"/>
      <w:r w:rsidRPr="004D0E89">
        <w:rPr>
          <w:rFonts w:ascii="Arial" w:hAnsi="Arial" w:cs="Arial"/>
        </w:rPr>
        <w:t xml:space="preserve"> and </w:t>
      </w:r>
      <w:proofErr w:type="spellStart"/>
      <w:r w:rsidRPr="004D0E89">
        <w:rPr>
          <w:rFonts w:ascii="Arial" w:hAnsi="Arial" w:cs="Arial"/>
        </w:rPr>
        <w:t>Shinkfield</w:t>
      </w:r>
      <w:proofErr w:type="spellEnd"/>
      <w:r w:rsidRPr="004D0E89">
        <w:rPr>
          <w:rFonts w:ascii="Arial" w:hAnsi="Arial" w:cs="Arial"/>
        </w:rPr>
        <w:t xml:space="preserve"> (2007).</w:t>
      </w:r>
    </w:p>
    <w:p w14:paraId="12010872" w14:textId="77777777" w:rsidR="004D0E89" w:rsidRPr="004D0E89" w:rsidRDefault="004D0E89" w:rsidP="004D0E89">
      <w:pPr>
        <w:pStyle w:val="Body"/>
        <w:spacing w:after="0"/>
        <w:rPr>
          <w:rFonts w:ascii="Arial" w:hAnsi="Arial" w:cs="Arial"/>
        </w:rPr>
      </w:pPr>
    </w:p>
    <w:p w14:paraId="4CADC86B" w14:textId="77777777" w:rsidR="004D0E89" w:rsidRPr="004D0E89" w:rsidRDefault="004D0E89" w:rsidP="004D0E89">
      <w:pPr>
        <w:pStyle w:val="Body"/>
        <w:spacing w:after="0"/>
        <w:rPr>
          <w:rFonts w:ascii="Arial" w:hAnsi="Arial" w:cs="Arial"/>
        </w:rPr>
      </w:pPr>
      <w:r w:rsidRPr="004D0E89">
        <w:rPr>
          <w:rFonts w:ascii="Arial" w:hAnsi="Arial" w:cs="Arial"/>
        </w:rPr>
        <w:t xml:space="preserve">In contrast to capacity and resource gaps, </w:t>
      </w:r>
      <w:r w:rsidRPr="00E74032">
        <w:rPr>
          <w:rFonts w:ascii="Arial" w:hAnsi="Arial" w:cs="Arial"/>
          <w:b/>
        </w:rPr>
        <w:t>resistance to change</w:t>
      </w:r>
      <w:r w:rsidRPr="004D0E89">
        <w:rPr>
          <w:rFonts w:ascii="Arial" w:hAnsi="Arial" w:cs="Arial"/>
        </w:rPr>
        <w:t xml:space="preserve"> emerged as the seventh gap (frequency = 2, rank = 7). Although resistance does exist, its lower ranking implies that it is not a universal barrier or that schools have come up with ways to deal with it. Fullan (2007) pointed out that although resistance to change is a frequent obstacle in educational reform, it can be overcome with inclusive procedures, transparent communication, and proven advantages. The comparatively low frequency might suggest that, in cases where SGCs have been successfully implemented, there has been enough buy-in to reduce active resistance.</w:t>
      </w:r>
    </w:p>
    <w:p w14:paraId="41EE83E4" w14:textId="77777777" w:rsidR="004D0E89" w:rsidRPr="004D0E89" w:rsidRDefault="004D0E89" w:rsidP="004D0E89">
      <w:pPr>
        <w:pStyle w:val="Body"/>
        <w:spacing w:after="0"/>
        <w:rPr>
          <w:rFonts w:ascii="Arial" w:hAnsi="Arial" w:cs="Arial"/>
        </w:rPr>
      </w:pPr>
    </w:p>
    <w:p w14:paraId="7646A58E" w14:textId="77777777" w:rsidR="004D0E89" w:rsidRPr="004D0E89" w:rsidRDefault="004D0E89" w:rsidP="004D0E89">
      <w:pPr>
        <w:pStyle w:val="Body"/>
        <w:spacing w:after="0"/>
        <w:rPr>
          <w:rFonts w:ascii="Arial" w:hAnsi="Arial" w:cs="Arial"/>
        </w:rPr>
      </w:pPr>
      <w:r w:rsidRPr="00E74032">
        <w:rPr>
          <w:rFonts w:ascii="Arial" w:hAnsi="Arial" w:cs="Arial"/>
          <w:b/>
        </w:rPr>
        <w:t xml:space="preserve">Limited </w:t>
      </w:r>
      <w:r w:rsidR="00E74032" w:rsidRPr="00E74032">
        <w:rPr>
          <w:rFonts w:ascii="Arial" w:hAnsi="Arial" w:cs="Arial"/>
          <w:b/>
        </w:rPr>
        <w:t>support for staff</w:t>
      </w:r>
      <w:r w:rsidR="00E74032" w:rsidRPr="004D0E89">
        <w:rPr>
          <w:rFonts w:ascii="Arial" w:hAnsi="Arial" w:cs="Arial"/>
        </w:rPr>
        <w:t xml:space="preserve"> </w:t>
      </w:r>
      <w:r w:rsidRPr="004D0E89">
        <w:rPr>
          <w:rFonts w:ascii="Arial" w:hAnsi="Arial" w:cs="Arial"/>
        </w:rPr>
        <w:t>ranked last (frequency = 1, rank = 8), suggesting that while some staff members may lack adequate support for implementing SGC initiatives, this is not a widespread concern across the study context. This finding may reflect prioritization of SGC member capacity over staff support, or it may indicate that staff generally receive adequate support relative to other implementation challenges. Darling-Hammond et al. (2017) emphasized that educational reforms require substantial staff support for successful implementation, suggesting that even though this gap ranks low, it should not be ignored entirely.</w:t>
      </w:r>
    </w:p>
    <w:p w14:paraId="0F4A2FBA" w14:textId="77777777" w:rsidR="004D0E89" w:rsidRPr="004D0E89" w:rsidRDefault="004D0E89" w:rsidP="004D0E89">
      <w:pPr>
        <w:pStyle w:val="Body"/>
        <w:spacing w:after="0"/>
        <w:rPr>
          <w:rFonts w:ascii="Arial" w:hAnsi="Arial" w:cs="Arial"/>
        </w:rPr>
      </w:pPr>
    </w:p>
    <w:p w14:paraId="2C159EDB" w14:textId="77777777" w:rsidR="004D0E89" w:rsidRPr="004D0E89" w:rsidRDefault="004D0E89" w:rsidP="004D0E89">
      <w:pPr>
        <w:pStyle w:val="Body"/>
        <w:spacing w:after="0"/>
        <w:rPr>
          <w:rFonts w:ascii="Arial" w:hAnsi="Arial" w:cs="Arial"/>
        </w:rPr>
      </w:pPr>
      <w:r w:rsidRPr="004D0E89">
        <w:rPr>
          <w:rFonts w:ascii="Arial" w:hAnsi="Arial" w:cs="Arial"/>
        </w:rPr>
        <w:t xml:space="preserve">These results are consistent with more extensive studies on Philippine educational reform. Funding limitations have been identified by the Philippine Institute for Development Studies as major obstacles to decentralization projects like SGC, pointing out that a lack of resources restricts the ability to purchase supplies, train staff, and carry out programs successfully. Limited stakeholder engagement is confirmed as a critical gap in World Bank reports on basic education in the Philippines, highlighting the importance of meaningful participation from parents, teachers, and community members for program efficacy and responsiveness to local needs. Resistance to change was noted as a major obstacle in an Asian Development Bank study on Philippine educational reform, which suggested tactics </w:t>
      </w:r>
      <w:r w:rsidRPr="004D0E89">
        <w:rPr>
          <w:rFonts w:ascii="Arial" w:hAnsi="Arial" w:cs="Arial"/>
        </w:rPr>
        <w:lastRenderedPageBreak/>
        <w:t>that involve stakeholders in the reform process and uphold efficient communication. Research on education sector planning in the Philippines conducted by the United Nations Development Program emphasized the significance of well-established methods.</w:t>
      </w:r>
    </w:p>
    <w:p w14:paraId="547BF872" w14:textId="77777777" w:rsidR="004D0E89" w:rsidRPr="004D0E89" w:rsidRDefault="004D0E89" w:rsidP="004D0E89">
      <w:pPr>
        <w:pStyle w:val="Body"/>
        <w:spacing w:after="0"/>
        <w:rPr>
          <w:rFonts w:ascii="Arial" w:hAnsi="Arial" w:cs="Arial"/>
        </w:rPr>
      </w:pPr>
    </w:p>
    <w:p w14:paraId="32F712CB" w14:textId="77777777" w:rsidR="004D0E89" w:rsidRPr="004D0E89" w:rsidRDefault="004D0E89" w:rsidP="004D0E89">
      <w:pPr>
        <w:pStyle w:val="Body"/>
        <w:spacing w:after="0"/>
        <w:rPr>
          <w:rFonts w:ascii="Arial" w:hAnsi="Arial" w:cs="Arial"/>
        </w:rPr>
      </w:pPr>
      <w:r w:rsidRPr="004D0E89">
        <w:rPr>
          <w:rFonts w:ascii="Arial" w:hAnsi="Arial" w:cs="Arial"/>
        </w:rPr>
        <w:t>The results of the current study are consistent with both national and international findings, indicating that the gaps found are not specific to Camarines Sur but rather represent more general trends in educational governance reform. Effective SGC implementation necessitates simultaneous attention to human capital development and material support, as evidenced by the prevalence of capacity-building gaps (training, role clarity) and resource constraints. A complex implementation landscape is revealed by the relationship between gains and gaps. Even though schools have made great strides in shared governance, school climate, and community relations, ongoing deficiencies in capacity, resources, and training pose a threat to future advancement or even undermine gains already made. The data suggest that the early stages of SGC implementation may focus successfully on structural and relational changes (establishing councils, building relationships, creating participation mechanisms), but on deeper institutionalization.</w:t>
      </w:r>
    </w:p>
    <w:p w14:paraId="4B98C65E" w14:textId="77777777" w:rsidR="004D0E89" w:rsidRPr="004D0E89" w:rsidRDefault="004D0E89" w:rsidP="004D0E89">
      <w:pPr>
        <w:pStyle w:val="Body"/>
        <w:spacing w:after="0"/>
        <w:rPr>
          <w:rFonts w:ascii="Arial" w:hAnsi="Arial" w:cs="Arial"/>
        </w:rPr>
      </w:pPr>
    </w:p>
    <w:p w14:paraId="3EFEEF12" w14:textId="77777777" w:rsidR="004D0E89" w:rsidRPr="004D0E89" w:rsidRDefault="004D0E89" w:rsidP="004D0E89">
      <w:pPr>
        <w:pStyle w:val="Body"/>
        <w:spacing w:after="0"/>
        <w:rPr>
          <w:rFonts w:ascii="Arial" w:hAnsi="Arial" w:cs="Arial"/>
        </w:rPr>
      </w:pPr>
      <w:r w:rsidRPr="004D0E89">
        <w:rPr>
          <w:rFonts w:ascii="Arial" w:hAnsi="Arial" w:cs="Arial"/>
        </w:rPr>
        <w:t>Comprehensive, cooperative interventions involving numerous stakeholders and addressing interrelated issues are necessary to close these gaps. The development of inclusive community engagement strategies that reach diverse populations and create meaningful participation opportunities; the establishment of sustainable funding mechanisms that provide predictable resources for SGC operations and initiatives; the implementation of robust communication systems using multiple channels and ensuring bidirectional information flow; the development of monitoring and evaluation frameworks that enable councils to assess their effectiveness and demonstrate accountability; and systematic training programs for all SGC members covering governance principles, educational policy, collaborative decision-making, and specific role expectations.</w:t>
      </w:r>
    </w:p>
    <w:p w14:paraId="55266718" w14:textId="77777777" w:rsidR="004D0E89" w:rsidRPr="004D0E89" w:rsidRDefault="004D0E89" w:rsidP="004D0E89">
      <w:pPr>
        <w:pStyle w:val="Body"/>
        <w:spacing w:after="0"/>
        <w:rPr>
          <w:rFonts w:ascii="Arial" w:hAnsi="Arial" w:cs="Arial"/>
        </w:rPr>
      </w:pPr>
    </w:p>
    <w:p w14:paraId="3D4DF097" w14:textId="26515690" w:rsidR="00330715" w:rsidRDefault="004D0E89" w:rsidP="004D0E89">
      <w:pPr>
        <w:pStyle w:val="Body"/>
        <w:spacing w:after="0"/>
        <w:rPr>
          <w:rFonts w:ascii="Arial" w:hAnsi="Arial" w:cs="Arial"/>
        </w:rPr>
      </w:pPr>
      <w:r w:rsidRPr="004D0E89">
        <w:rPr>
          <w:rFonts w:ascii="Arial" w:hAnsi="Arial" w:cs="Arial"/>
        </w:rPr>
        <w:t>The results show that although SGC implementation has made significant progress in creating participatory governance structures and enhancing school climate and community relations, fundamental capacity and resource limitations must be addressed if these reforms are to reach their full potential. SGCs can only achieve their goal of revolutionizing school governance in Philippine basic education by paying consistent attention to these gaps and providing sufficient funding, policy frameworks, and investments in capacity-building.</w:t>
      </w:r>
    </w:p>
    <w:p w14:paraId="7E27A74D" w14:textId="77777777" w:rsidR="005A346C" w:rsidRDefault="005A346C" w:rsidP="004952B2">
      <w:pPr>
        <w:pStyle w:val="Body"/>
        <w:spacing w:after="0"/>
        <w:rPr>
          <w:rFonts w:ascii="Arial" w:hAnsi="Arial" w:cs="Arial"/>
          <w:i/>
          <w:color w:val="FF0000"/>
        </w:rPr>
      </w:pPr>
    </w:p>
    <w:p w14:paraId="6E2D5AE1" w14:textId="41192EDD" w:rsidR="004952B2" w:rsidRPr="00E167BF" w:rsidRDefault="004952B2" w:rsidP="004952B2">
      <w:pPr>
        <w:pStyle w:val="Body"/>
        <w:spacing w:after="0"/>
        <w:rPr>
          <w:rFonts w:ascii="Arial" w:hAnsi="Arial" w:cs="Arial"/>
          <w:i/>
        </w:rPr>
      </w:pPr>
      <w:r w:rsidRPr="00E167BF">
        <w:rPr>
          <w:rFonts w:ascii="Arial" w:hAnsi="Arial" w:cs="Arial"/>
          <w:i/>
        </w:rPr>
        <w:t>3.4.1 Interconnections Among Implementation Gaps</w:t>
      </w:r>
    </w:p>
    <w:p w14:paraId="78477FAE" w14:textId="77777777" w:rsidR="004952B2" w:rsidRPr="004952B2" w:rsidRDefault="004952B2" w:rsidP="004952B2">
      <w:pPr>
        <w:pStyle w:val="Body"/>
        <w:spacing w:after="0"/>
        <w:rPr>
          <w:rFonts w:ascii="Arial" w:hAnsi="Arial" w:cs="Arial"/>
          <w:color w:val="FF0000"/>
        </w:rPr>
      </w:pPr>
    </w:p>
    <w:p w14:paraId="09BCE5C6" w14:textId="77777777" w:rsidR="00E167BF" w:rsidRPr="00E167BF" w:rsidRDefault="00E167BF" w:rsidP="00E167BF">
      <w:pPr>
        <w:pStyle w:val="Body"/>
        <w:spacing w:after="0"/>
        <w:rPr>
          <w:rFonts w:ascii="Arial" w:hAnsi="Arial" w:cs="Arial"/>
        </w:rPr>
      </w:pPr>
      <w:r w:rsidRPr="00E167BF">
        <w:rPr>
          <w:rFonts w:ascii="Arial" w:hAnsi="Arial" w:cs="Arial"/>
        </w:rPr>
        <w:t>The implementation gaps show a vicious cycle of capacity deficiencies in which flaws in one area make other issues worse. The three equally high-ranked gaps—limited resources (rank 2), limited comprehension of roles and responsibilities (rank 2), and lack of training (rank 2)—form an interconnected triad of basic capacity limitations. Because members are not given the chance to learn their responsibilities, inadequate training directly contributes to poor role understanding. A newly appointed SGC parent representative shared:</w:t>
      </w:r>
    </w:p>
    <w:p w14:paraId="2EC7920E" w14:textId="77777777" w:rsidR="00E167BF" w:rsidRPr="00E167BF" w:rsidRDefault="00E167BF" w:rsidP="00E167BF">
      <w:pPr>
        <w:pStyle w:val="Body"/>
        <w:spacing w:after="0"/>
        <w:rPr>
          <w:rFonts w:ascii="Arial" w:hAnsi="Arial" w:cs="Arial"/>
        </w:rPr>
      </w:pPr>
    </w:p>
    <w:p w14:paraId="393AF49C" w14:textId="6BC0D10E" w:rsidR="00E167BF" w:rsidRPr="00E167BF" w:rsidRDefault="00D377D0" w:rsidP="00E167BF">
      <w:pPr>
        <w:pStyle w:val="Body"/>
        <w:spacing w:after="0"/>
        <w:rPr>
          <w:rFonts w:ascii="Arial" w:hAnsi="Arial" w:cs="Arial"/>
        </w:rPr>
      </w:pPr>
      <w:r w:rsidRPr="00443D42">
        <w:rPr>
          <w:rFonts w:ascii="Arial" w:hAnsi="Arial" w:cs="Arial"/>
          <w:i/>
        </w:rPr>
        <w:t>“</w:t>
      </w:r>
      <w:proofErr w:type="spellStart"/>
      <w:r w:rsidRPr="00443D42">
        <w:rPr>
          <w:rFonts w:ascii="Arial" w:hAnsi="Arial" w:cs="Arial"/>
          <w:i/>
        </w:rPr>
        <w:t>Sinabi</w:t>
      </w:r>
      <w:r w:rsidR="00E25DD6" w:rsidRPr="00443D42">
        <w:rPr>
          <w:rFonts w:ascii="Arial" w:hAnsi="Arial" w:cs="Arial"/>
          <w:i/>
        </w:rPr>
        <w:t>han</w:t>
      </w:r>
      <w:proofErr w:type="spellEnd"/>
      <w:r w:rsidR="00E25DD6" w:rsidRPr="00443D42">
        <w:rPr>
          <w:rFonts w:ascii="Arial" w:hAnsi="Arial" w:cs="Arial"/>
          <w:i/>
        </w:rPr>
        <w:t xml:space="preserve"> </w:t>
      </w:r>
      <w:proofErr w:type="spellStart"/>
      <w:r w:rsidR="00E25DD6" w:rsidRPr="00443D42">
        <w:rPr>
          <w:rFonts w:ascii="Arial" w:hAnsi="Arial" w:cs="Arial"/>
          <w:i/>
        </w:rPr>
        <w:t>lang</w:t>
      </w:r>
      <w:proofErr w:type="spellEnd"/>
      <w:r w:rsidR="00E25DD6" w:rsidRPr="00443D42">
        <w:rPr>
          <w:rFonts w:ascii="Arial" w:hAnsi="Arial" w:cs="Arial"/>
          <w:i/>
        </w:rPr>
        <w:t xml:space="preserve"> </w:t>
      </w:r>
      <w:proofErr w:type="spellStart"/>
      <w:r w:rsidR="00E25DD6" w:rsidRPr="00443D42">
        <w:rPr>
          <w:rFonts w:ascii="Arial" w:hAnsi="Arial" w:cs="Arial"/>
          <w:i/>
        </w:rPr>
        <w:t>ako</w:t>
      </w:r>
      <w:proofErr w:type="spellEnd"/>
      <w:r w:rsidR="00E25DD6" w:rsidRPr="00443D42">
        <w:rPr>
          <w:rFonts w:ascii="Arial" w:hAnsi="Arial" w:cs="Arial"/>
          <w:i/>
        </w:rPr>
        <w:t xml:space="preserve"> </w:t>
      </w:r>
      <w:proofErr w:type="spellStart"/>
      <w:r w:rsidR="00E25DD6" w:rsidRPr="00443D42">
        <w:rPr>
          <w:rFonts w:ascii="Arial" w:hAnsi="Arial" w:cs="Arial"/>
          <w:i/>
        </w:rPr>
        <w:t>na</w:t>
      </w:r>
      <w:proofErr w:type="spellEnd"/>
      <w:r w:rsidR="00E25DD6" w:rsidRPr="00443D42">
        <w:rPr>
          <w:rFonts w:ascii="Arial" w:hAnsi="Arial" w:cs="Arial"/>
          <w:i/>
        </w:rPr>
        <w:t xml:space="preserve"> </w:t>
      </w:r>
      <w:proofErr w:type="spellStart"/>
      <w:r w:rsidR="00E25DD6" w:rsidRPr="00443D42">
        <w:rPr>
          <w:rFonts w:ascii="Arial" w:hAnsi="Arial" w:cs="Arial"/>
          <w:i/>
        </w:rPr>
        <w:t>miyembro</w:t>
      </w:r>
      <w:proofErr w:type="spellEnd"/>
      <w:r w:rsidR="00E25DD6" w:rsidRPr="00443D42">
        <w:rPr>
          <w:rFonts w:ascii="Arial" w:hAnsi="Arial" w:cs="Arial"/>
          <w:i/>
        </w:rPr>
        <w:t xml:space="preserve"> </w:t>
      </w:r>
      <w:proofErr w:type="spellStart"/>
      <w:r w:rsidR="00E25DD6" w:rsidRPr="00443D42">
        <w:rPr>
          <w:rFonts w:ascii="Arial" w:hAnsi="Arial" w:cs="Arial"/>
          <w:i/>
        </w:rPr>
        <w:t>daa</w:t>
      </w:r>
      <w:proofErr w:type="spellEnd"/>
      <w:r w:rsidRPr="00443D42">
        <w:rPr>
          <w:rFonts w:ascii="Arial" w:hAnsi="Arial" w:cs="Arial"/>
          <w:i/>
        </w:rPr>
        <w:t xml:space="preserve"> </w:t>
      </w:r>
      <w:proofErr w:type="spellStart"/>
      <w:r w:rsidRPr="00443D42">
        <w:rPr>
          <w:rFonts w:ascii="Arial" w:hAnsi="Arial" w:cs="Arial"/>
          <w:i/>
        </w:rPr>
        <w:t>ako</w:t>
      </w:r>
      <w:proofErr w:type="spellEnd"/>
      <w:r w:rsidRPr="00443D42">
        <w:rPr>
          <w:rFonts w:ascii="Arial" w:hAnsi="Arial" w:cs="Arial"/>
          <w:i/>
        </w:rPr>
        <w:t xml:space="preserve"> </w:t>
      </w:r>
      <w:proofErr w:type="spellStart"/>
      <w:r w:rsidRPr="00443D42">
        <w:rPr>
          <w:rFonts w:ascii="Arial" w:hAnsi="Arial" w:cs="Arial"/>
          <w:i/>
        </w:rPr>
        <w:t>kan</w:t>
      </w:r>
      <w:proofErr w:type="spellEnd"/>
      <w:r w:rsidRPr="00443D42">
        <w:rPr>
          <w:rFonts w:ascii="Arial" w:hAnsi="Arial" w:cs="Arial"/>
          <w:i/>
        </w:rPr>
        <w:t xml:space="preserve"> SGC, </w:t>
      </w:r>
      <w:proofErr w:type="spellStart"/>
      <w:r w:rsidRPr="00443D42">
        <w:rPr>
          <w:rFonts w:ascii="Arial" w:hAnsi="Arial" w:cs="Arial"/>
          <w:i/>
        </w:rPr>
        <w:t>pero</w:t>
      </w:r>
      <w:proofErr w:type="spellEnd"/>
      <w:r w:rsidRPr="00443D42">
        <w:rPr>
          <w:rFonts w:ascii="Arial" w:hAnsi="Arial" w:cs="Arial"/>
          <w:i/>
        </w:rPr>
        <w:t xml:space="preserve"> mayo man </w:t>
      </w:r>
      <w:proofErr w:type="spellStart"/>
      <w:r w:rsidRPr="00443D42">
        <w:rPr>
          <w:rFonts w:ascii="Arial" w:hAnsi="Arial" w:cs="Arial"/>
          <w:i/>
        </w:rPr>
        <w:t>na</w:t>
      </w:r>
      <w:r w:rsidR="00885A56" w:rsidRPr="00443D42">
        <w:rPr>
          <w:rFonts w:ascii="Arial" w:hAnsi="Arial" w:cs="Arial"/>
          <w:i/>
        </w:rPr>
        <w:t>gsabi</w:t>
      </w:r>
      <w:proofErr w:type="spellEnd"/>
      <w:r w:rsidR="00885A56" w:rsidRPr="00443D42">
        <w:rPr>
          <w:rFonts w:ascii="Arial" w:hAnsi="Arial" w:cs="Arial"/>
          <w:i/>
        </w:rPr>
        <w:t xml:space="preserve"> </w:t>
      </w:r>
      <w:proofErr w:type="spellStart"/>
      <w:r w:rsidR="00885A56" w:rsidRPr="00443D42">
        <w:rPr>
          <w:rFonts w:ascii="Arial" w:hAnsi="Arial" w:cs="Arial"/>
          <w:i/>
        </w:rPr>
        <w:t>sako</w:t>
      </w:r>
      <w:proofErr w:type="spellEnd"/>
      <w:r w:rsidRPr="00443D42">
        <w:rPr>
          <w:rFonts w:ascii="Arial" w:hAnsi="Arial" w:cs="Arial"/>
          <w:i/>
        </w:rPr>
        <w:t xml:space="preserve"> kun </w:t>
      </w:r>
      <w:proofErr w:type="spellStart"/>
      <w:r w:rsidRPr="00443D42">
        <w:rPr>
          <w:rFonts w:ascii="Arial" w:hAnsi="Arial" w:cs="Arial"/>
          <w:i/>
        </w:rPr>
        <w:t>ano</w:t>
      </w:r>
      <w:proofErr w:type="spellEnd"/>
      <w:r w:rsidRPr="00443D42">
        <w:rPr>
          <w:rFonts w:ascii="Arial" w:hAnsi="Arial" w:cs="Arial"/>
          <w:i/>
        </w:rPr>
        <w:t xml:space="preserve"> an </w:t>
      </w:r>
      <w:proofErr w:type="spellStart"/>
      <w:r w:rsidRPr="00443D42">
        <w:rPr>
          <w:rFonts w:ascii="Arial" w:hAnsi="Arial" w:cs="Arial"/>
          <w:i/>
        </w:rPr>
        <w:t>kahulugan</w:t>
      </w:r>
      <w:proofErr w:type="spellEnd"/>
      <w:r w:rsidRPr="00443D42">
        <w:rPr>
          <w:rFonts w:ascii="Arial" w:hAnsi="Arial" w:cs="Arial"/>
          <w:i/>
        </w:rPr>
        <w:t xml:space="preserve"> </w:t>
      </w:r>
      <w:proofErr w:type="spellStart"/>
      <w:r w:rsidRPr="00443D42">
        <w:rPr>
          <w:rFonts w:ascii="Arial" w:hAnsi="Arial" w:cs="Arial"/>
          <w:i/>
        </w:rPr>
        <w:t>kaini</w:t>
      </w:r>
      <w:proofErr w:type="spellEnd"/>
      <w:r w:rsidRPr="00443D42">
        <w:rPr>
          <w:rFonts w:ascii="Arial" w:hAnsi="Arial" w:cs="Arial"/>
          <w:i/>
        </w:rPr>
        <w:t xml:space="preserve"> o </w:t>
      </w:r>
      <w:proofErr w:type="spellStart"/>
      <w:r w:rsidRPr="00443D42">
        <w:rPr>
          <w:rFonts w:ascii="Arial" w:hAnsi="Arial" w:cs="Arial"/>
          <w:i/>
        </w:rPr>
        <w:t>ano</w:t>
      </w:r>
      <w:proofErr w:type="spellEnd"/>
      <w:r w:rsidRPr="00443D42">
        <w:rPr>
          <w:rFonts w:ascii="Arial" w:hAnsi="Arial" w:cs="Arial"/>
          <w:i/>
        </w:rPr>
        <w:t xml:space="preserve"> an </w:t>
      </w:r>
      <w:proofErr w:type="spellStart"/>
      <w:r w:rsidRPr="00443D42">
        <w:rPr>
          <w:rFonts w:ascii="Arial" w:hAnsi="Arial" w:cs="Arial"/>
          <w:i/>
        </w:rPr>
        <w:t>dapat</w:t>
      </w:r>
      <w:proofErr w:type="spellEnd"/>
      <w:r w:rsidRPr="00443D42">
        <w:rPr>
          <w:rFonts w:ascii="Arial" w:hAnsi="Arial" w:cs="Arial"/>
          <w:i/>
        </w:rPr>
        <w:t xml:space="preserve"> </w:t>
      </w:r>
      <w:proofErr w:type="spellStart"/>
      <w:r w:rsidRPr="00443D42">
        <w:rPr>
          <w:rFonts w:ascii="Arial" w:hAnsi="Arial" w:cs="Arial"/>
          <w:i/>
        </w:rPr>
        <w:t>kong</w:t>
      </w:r>
      <w:proofErr w:type="spellEnd"/>
      <w:r w:rsidRPr="00443D42">
        <w:rPr>
          <w:rFonts w:ascii="Arial" w:hAnsi="Arial" w:cs="Arial"/>
          <w:i/>
        </w:rPr>
        <w:t xml:space="preserve"> </w:t>
      </w:r>
      <w:proofErr w:type="spellStart"/>
      <w:r w:rsidRPr="00443D42">
        <w:rPr>
          <w:rFonts w:ascii="Arial" w:hAnsi="Arial" w:cs="Arial"/>
          <w:i/>
        </w:rPr>
        <w:t>gibuhon</w:t>
      </w:r>
      <w:proofErr w:type="spellEnd"/>
      <w:r w:rsidRPr="00443D42">
        <w:rPr>
          <w:rFonts w:ascii="Arial" w:hAnsi="Arial" w:cs="Arial"/>
          <w:i/>
        </w:rPr>
        <w:t xml:space="preserve">. </w:t>
      </w:r>
      <w:proofErr w:type="spellStart"/>
      <w:r w:rsidRPr="00443D42">
        <w:rPr>
          <w:rFonts w:ascii="Arial" w:hAnsi="Arial" w:cs="Arial"/>
          <w:i/>
        </w:rPr>
        <w:t>Pag</w:t>
      </w:r>
      <w:proofErr w:type="spellEnd"/>
      <w:r w:rsidRPr="00443D42">
        <w:rPr>
          <w:rFonts w:ascii="Arial" w:hAnsi="Arial" w:cs="Arial"/>
          <w:i/>
        </w:rPr>
        <w:t xml:space="preserve"> </w:t>
      </w:r>
      <w:proofErr w:type="spellStart"/>
      <w:r w:rsidRPr="00443D42">
        <w:rPr>
          <w:rFonts w:ascii="Arial" w:hAnsi="Arial" w:cs="Arial"/>
          <w:i/>
        </w:rPr>
        <w:t>du</w:t>
      </w:r>
      <w:r w:rsidR="00730888" w:rsidRPr="00443D42">
        <w:rPr>
          <w:rFonts w:ascii="Arial" w:hAnsi="Arial" w:cs="Arial"/>
          <w:i/>
        </w:rPr>
        <w:t>man</w:t>
      </w:r>
      <w:proofErr w:type="spellEnd"/>
      <w:r w:rsidR="00730888" w:rsidRPr="00443D42">
        <w:rPr>
          <w:rFonts w:ascii="Arial" w:hAnsi="Arial" w:cs="Arial"/>
          <w:i/>
        </w:rPr>
        <w:t xml:space="preserve"> </w:t>
      </w:r>
      <w:proofErr w:type="spellStart"/>
      <w:r w:rsidRPr="00443D42">
        <w:rPr>
          <w:rFonts w:ascii="Arial" w:hAnsi="Arial" w:cs="Arial"/>
          <w:i/>
        </w:rPr>
        <w:t>ko</w:t>
      </w:r>
      <w:proofErr w:type="spellEnd"/>
      <w:r w:rsidRPr="00443D42">
        <w:rPr>
          <w:rFonts w:ascii="Arial" w:hAnsi="Arial" w:cs="Arial"/>
          <w:i/>
        </w:rPr>
        <w:t xml:space="preserve"> </w:t>
      </w:r>
      <w:proofErr w:type="spellStart"/>
      <w:r w:rsidRPr="00443D42">
        <w:rPr>
          <w:rFonts w:ascii="Arial" w:hAnsi="Arial" w:cs="Arial"/>
          <w:i/>
        </w:rPr>
        <w:t>sa</w:t>
      </w:r>
      <w:proofErr w:type="spellEnd"/>
      <w:r w:rsidRPr="00443D42">
        <w:rPr>
          <w:rFonts w:ascii="Arial" w:hAnsi="Arial" w:cs="Arial"/>
          <w:i/>
        </w:rPr>
        <w:t xml:space="preserve"> </w:t>
      </w:r>
      <w:proofErr w:type="spellStart"/>
      <w:r w:rsidR="00946333" w:rsidRPr="00443D42">
        <w:rPr>
          <w:rFonts w:ascii="Arial" w:hAnsi="Arial" w:cs="Arial"/>
          <w:i/>
        </w:rPr>
        <w:t>enot</w:t>
      </w:r>
      <w:proofErr w:type="spellEnd"/>
      <w:r w:rsidR="00946333" w:rsidRPr="00443D42">
        <w:rPr>
          <w:rFonts w:ascii="Arial" w:hAnsi="Arial" w:cs="Arial"/>
          <w:i/>
        </w:rPr>
        <w:t xml:space="preserve"> </w:t>
      </w:r>
      <w:proofErr w:type="spellStart"/>
      <w:r w:rsidR="00946333" w:rsidRPr="00443D42">
        <w:rPr>
          <w:rFonts w:ascii="Arial" w:hAnsi="Arial" w:cs="Arial"/>
          <w:i/>
        </w:rPr>
        <w:t>na</w:t>
      </w:r>
      <w:proofErr w:type="spellEnd"/>
      <w:r w:rsidR="00946333" w:rsidRPr="00443D42">
        <w:rPr>
          <w:rFonts w:ascii="Arial" w:hAnsi="Arial" w:cs="Arial"/>
          <w:i/>
        </w:rPr>
        <w:t xml:space="preserve"> </w:t>
      </w:r>
      <w:r w:rsidRPr="00443D42">
        <w:rPr>
          <w:rFonts w:ascii="Arial" w:hAnsi="Arial" w:cs="Arial"/>
          <w:i/>
        </w:rPr>
        <w:t xml:space="preserve">meeting, </w:t>
      </w:r>
      <w:proofErr w:type="spellStart"/>
      <w:r w:rsidR="000218F9">
        <w:rPr>
          <w:rFonts w:ascii="Arial" w:hAnsi="Arial" w:cs="Arial"/>
          <w:i/>
        </w:rPr>
        <w:t>medyo</w:t>
      </w:r>
      <w:proofErr w:type="spellEnd"/>
      <w:r w:rsidRPr="00443D42">
        <w:rPr>
          <w:rFonts w:ascii="Arial" w:hAnsi="Arial" w:cs="Arial"/>
          <w:i/>
        </w:rPr>
        <w:t xml:space="preserve"> </w:t>
      </w:r>
      <w:proofErr w:type="spellStart"/>
      <w:r w:rsidRPr="00443D42">
        <w:rPr>
          <w:rFonts w:ascii="Arial" w:hAnsi="Arial" w:cs="Arial"/>
          <w:i/>
        </w:rPr>
        <w:t>nalilito</w:t>
      </w:r>
      <w:proofErr w:type="spellEnd"/>
      <w:r w:rsidRPr="00443D42">
        <w:rPr>
          <w:rFonts w:ascii="Arial" w:hAnsi="Arial" w:cs="Arial"/>
          <w:i/>
        </w:rPr>
        <w:t xml:space="preserve"> </w:t>
      </w:r>
      <w:proofErr w:type="spellStart"/>
      <w:r w:rsidR="000218F9">
        <w:rPr>
          <w:rFonts w:ascii="Arial" w:hAnsi="Arial" w:cs="Arial"/>
          <w:i/>
        </w:rPr>
        <w:t>ako</w:t>
      </w:r>
      <w:proofErr w:type="spellEnd"/>
      <w:r w:rsidR="000218F9">
        <w:rPr>
          <w:rFonts w:ascii="Arial" w:hAnsi="Arial" w:cs="Arial"/>
          <w:i/>
        </w:rPr>
        <w:t xml:space="preserve"> </w:t>
      </w:r>
      <w:proofErr w:type="spellStart"/>
      <w:r w:rsidR="000218F9">
        <w:rPr>
          <w:rFonts w:ascii="Arial" w:hAnsi="Arial" w:cs="Arial"/>
          <w:i/>
        </w:rPr>
        <w:t>sa</w:t>
      </w:r>
      <w:proofErr w:type="spellEnd"/>
      <w:r w:rsidR="000218F9">
        <w:rPr>
          <w:rFonts w:ascii="Arial" w:hAnsi="Arial" w:cs="Arial"/>
          <w:i/>
        </w:rPr>
        <w:t xml:space="preserve"> </w:t>
      </w:r>
      <w:proofErr w:type="spellStart"/>
      <w:r w:rsidR="000218F9">
        <w:rPr>
          <w:rFonts w:ascii="Arial" w:hAnsi="Arial" w:cs="Arial"/>
          <w:i/>
        </w:rPr>
        <w:t>sakuyang</w:t>
      </w:r>
      <w:proofErr w:type="spellEnd"/>
      <w:r w:rsidRPr="00443D42">
        <w:rPr>
          <w:rFonts w:ascii="Arial" w:hAnsi="Arial" w:cs="Arial"/>
          <w:i/>
        </w:rPr>
        <w:t xml:space="preserve"> </w:t>
      </w:r>
      <w:proofErr w:type="spellStart"/>
      <w:r w:rsidR="00451262">
        <w:rPr>
          <w:rFonts w:ascii="Arial" w:hAnsi="Arial" w:cs="Arial"/>
          <w:i/>
        </w:rPr>
        <w:t>katungdan</w:t>
      </w:r>
      <w:proofErr w:type="spellEnd"/>
      <w:r w:rsidRPr="00443D42">
        <w:rPr>
          <w:rFonts w:ascii="Arial" w:hAnsi="Arial" w:cs="Arial"/>
          <w:i/>
        </w:rPr>
        <w:t>.”</w:t>
      </w:r>
      <w:r>
        <w:rPr>
          <w:rFonts w:ascii="Arial" w:hAnsi="Arial" w:cs="Arial"/>
        </w:rPr>
        <w:t xml:space="preserve"> (</w:t>
      </w:r>
      <w:r w:rsidR="00E167BF" w:rsidRPr="00E167BF">
        <w:rPr>
          <w:rFonts w:ascii="Arial" w:hAnsi="Arial" w:cs="Arial"/>
        </w:rPr>
        <w:t>I was told I was now an SGC member, but nobody explained what that meant or what I was supposed to do. I attended my first meeting completely confus</w:t>
      </w:r>
      <w:r>
        <w:rPr>
          <w:rFonts w:ascii="Arial" w:hAnsi="Arial" w:cs="Arial"/>
        </w:rPr>
        <w:t>ed about my role.)</w:t>
      </w:r>
    </w:p>
    <w:p w14:paraId="25C6D020" w14:textId="77777777" w:rsidR="00E167BF" w:rsidRPr="00E167BF" w:rsidRDefault="00E167BF" w:rsidP="00E167BF">
      <w:pPr>
        <w:pStyle w:val="Body"/>
        <w:spacing w:after="0"/>
        <w:rPr>
          <w:rFonts w:ascii="Arial" w:hAnsi="Arial" w:cs="Arial"/>
        </w:rPr>
      </w:pPr>
    </w:p>
    <w:p w14:paraId="572B3217" w14:textId="77777777" w:rsidR="00E167BF" w:rsidRPr="00E167BF" w:rsidRDefault="00E167BF" w:rsidP="00E167BF">
      <w:pPr>
        <w:pStyle w:val="Body"/>
        <w:spacing w:after="0"/>
        <w:rPr>
          <w:rFonts w:ascii="Arial" w:hAnsi="Arial" w:cs="Arial"/>
        </w:rPr>
      </w:pPr>
      <w:r w:rsidRPr="00E167BF">
        <w:rPr>
          <w:rFonts w:ascii="Arial" w:hAnsi="Arial" w:cs="Arial"/>
        </w:rPr>
        <w:t xml:space="preserve">Training provision is hampered by a lack of resources, resulting in a cycle of resource and knowledge deficit. Because schools cannot afford thorough training programs, members are unsure of their responsibilities, which results in inefficient SGC operations that find it </w:t>
      </w:r>
      <w:r w:rsidRPr="00E167BF">
        <w:rPr>
          <w:rFonts w:ascii="Arial" w:hAnsi="Arial" w:cs="Arial"/>
        </w:rPr>
        <w:lastRenderedPageBreak/>
        <w:t>difficult to defend resource allocation. Capacity gaps in various implementation contexts are sustained by this cycle.</w:t>
      </w:r>
    </w:p>
    <w:p w14:paraId="2F2D8DB9" w14:textId="77777777" w:rsidR="00E167BF" w:rsidRPr="00E167BF" w:rsidRDefault="00E167BF" w:rsidP="00E167BF">
      <w:pPr>
        <w:pStyle w:val="Body"/>
        <w:spacing w:after="0"/>
        <w:rPr>
          <w:rFonts w:ascii="Arial" w:hAnsi="Arial" w:cs="Arial"/>
        </w:rPr>
      </w:pPr>
    </w:p>
    <w:p w14:paraId="01A2C53B" w14:textId="77777777" w:rsidR="00E167BF" w:rsidRPr="00E167BF" w:rsidRDefault="00E167BF" w:rsidP="00E167BF">
      <w:pPr>
        <w:pStyle w:val="Body"/>
        <w:spacing w:after="0"/>
        <w:rPr>
          <w:rFonts w:ascii="Arial" w:hAnsi="Arial" w:cs="Arial"/>
        </w:rPr>
      </w:pPr>
      <w:r w:rsidRPr="00E167BF">
        <w:rPr>
          <w:rFonts w:ascii="Arial" w:hAnsi="Arial" w:cs="Arial"/>
        </w:rPr>
        <w:t>Poor role clarity (rank 2) contributes to limited community involvement (rank 4) because potential participants cannot understand the value or expectations of membership. Inadequate communication (rank 5) both stems from and contributes to these capacity gaps—undertrained members with unclear roles struggle to communicate effectively about SGC purposes and activities, reducing community awareness and participation.</w:t>
      </w:r>
    </w:p>
    <w:p w14:paraId="5C7525CC" w14:textId="77777777" w:rsidR="00E167BF" w:rsidRPr="00E167BF" w:rsidRDefault="00E167BF" w:rsidP="00E167BF">
      <w:pPr>
        <w:pStyle w:val="Body"/>
        <w:spacing w:after="0"/>
        <w:rPr>
          <w:rFonts w:ascii="Arial" w:hAnsi="Arial" w:cs="Arial"/>
        </w:rPr>
      </w:pPr>
    </w:p>
    <w:p w14:paraId="1537FA40" w14:textId="77777777" w:rsidR="00E167BF" w:rsidRPr="00E167BF" w:rsidRDefault="00E167BF" w:rsidP="00E167BF">
      <w:pPr>
        <w:pStyle w:val="Body"/>
        <w:spacing w:after="0"/>
        <w:rPr>
          <w:rFonts w:ascii="Arial" w:hAnsi="Arial" w:cs="Arial"/>
        </w:rPr>
      </w:pPr>
      <w:r w:rsidRPr="00E167BF">
        <w:rPr>
          <w:rFonts w:ascii="Arial" w:hAnsi="Arial" w:cs="Arial"/>
        </w:rPr>
        <w:t>Part of the reason for inadequate monitoring and evaluation (rank 6) is a lack of training and role clarity. Appropriate accountability mechanisms cannot be established by members who are unsure of their responsibilities. An administrator at the school gave an explanation.</w:t>
      </w:r>
    </w:p>
    <w:p w14:paraId="1F8820D9" w14:textId="77777777" w:rsidR="00E167BF" w:rsidRPr="00E167BF" w:rsidRDefault="00E167BF" w:rsidP="00E167BF">
      <w:pPr>
        <w:pStyle w:val="Body"/>
        <w:spacing w:after="0"/>
        <w:rPr>
          <w:rFonts w:ascii="Arial" w:hAnsi="Arial" w:cs="Arial"/>
        </w:rPr>
      </w:pPr>
    </w:p>
    <w:p w14:paraId="4460F621" w14:textId="4B84042F" w:rsidR="00E167BF" w:rsidRPr="00E167BF" w:rsidRDefault="00BB569C" w:rsidP="00E167BF">
      <w:pPr>
        <w:pStyle w:val="Body"/>
        <w:spacing w:after="0"/>
        <w:rPr>
          <w:rFonts w:ascii="Arial" w:hAnsi="Arial" w:cs="Arial"/>
        </w:rPr>
      </w:pPr>
      <w:r w:rsidRPr="00EB4902">
        <w:rPr>
          <w:rFonts w:ascii="Arial" w:hAnsi="Arial" w:cs="Arial"/>
          <w:i/>
        </w:rPr>
        <w:t xml:space="preserve">“Aram mi </w:t>
      </w:r>
      <w:proofErr w:type="spellStart"/>
      <w:r w:rsidRPr="00EB4902">
        <w:rPr>
          <w:rFonts w:ascii="Arial" w:hAnsi="Arial" w:cs="Arial"/>
          <w:i/>
        </w:rPr>
        <w:t>na</w:t>
      </w:r>
      <w:proofErr w:type="spellEnd"/>
      <w:r w:rsidRPr="00EB4902">
        <w:rPr>
          <w:rFonts w:ascii="Arial" w:hAnsi="Arial" w:cs="Arial"/>
          <w:i/>
        </w:rPr>
        <w:t xml:space="preserve"> </w:t>
      </w:r>
      <w:proofErr w:type="spellStart"/>
      <w:r w:rsidRPr="00EB4902">
        <w:rPr>
          <w:rFonts w:ascii="Arial" w:hAnsi="Arial" w:cs="Arial"/>
          <w:i/>
        </w:rPr>
        <w:t>dapat</w:t>
      </w:r>
      <w:proofErr w:type="spellEnd"/>
      <w:r w:rsidRPr="00EB4902">
        <w:rPr>
          <w:rFonts w:ascii="Arial" w:hAnsi="Arial" w:cs="Arial"/>
          <w:i/>
        </w:rPr>
        <w:t xml:space="preserve"> nag-</w:t>
      </w:r>
      <w:proofErr w:type="spellStart"/>
      <w:r w:rsidRPr="00EB4902">
        <w:rPr>
          <w:rFonts w:ascii="Arial" w:hAnsi="Arial" w:cs="Arial"/>
          <w:i/>
        </w:rPr>
        <w:t>momonitor</w:t>
      </w:r>
      <w:proofErr w:type="spellEnd"/>
      <w:r w:rsidRPr="00EB4902">
        <w:rPr>
          <w:rFonts w:ascii="Arial" w:hAnsi="Arial" w:cs="Arial"/>
          <w:i/>
        </w:rPr>
        <w:t xml:space="preserve"> kami </w:t>
      </w:r>
      <w:proofErr w:type="spellStart"/>
      <w:r w:rsidRPr="00EB4902">
        <w:rPr>
          <w:rFonts w:ascii="Arial" w:hAnsi="Arial" w:cs="Arial"/>
          <w:i/>
        </w:rPr>
        <w:t>ka</w:t>
      </w:r>
      <w:r w:rsidR="00211B7E">
        <w:rPr>
          <w:rFonts w:ascii="Arial" w:hAnsi="Arial" w:cs="Arial"/>
          <w:i/>
        </w:rPr>
        <w:t>n</w:t>
      </w:r>
      <w:proofErr w:type="spellEnd"/>
      <w:r w:rsidR="00211B7E">
        <w:rPr>
          <w:rFonts w:ascii="Arial" w:hAnsi="Arial" w:cs="Arial"/>
          <w:i/>
        </w:rPr>
        <w:t xml:space="preserve"> progress mi, </w:t>
      </w:r>
      <w:proofErr w:type="spellStart"/>
      <w:r w:rsidR="00211B7E">
        <w:rPr>
          <w:rFonts w:ascii="Arial" w:hAnsi="Arial" w:cs="Arial"/>
          <w:i/>
        </w:rPr>
        <w:t>kaso</w:t>
      </w:r>
      <w:proofErr w:type="spellEnd"/>
      <w:r w:rsidR="00211B7E">
        <w:rPr>
          <w:rFonts w:ascii="Arial" w:hAnsi="Arial" w:cs="Arial"/>
          <w:i/>
        </w:rPr>
        <w:t xml:space="preserve"> </w:t>
      </w:r>
      <w:proofErr w:type="spellStart"/>
      <w:r w:rsidR="00211B7E">
        <w:rPr>
          <w:rFonts w:ascii="Arial" w:hAnsi="Arial" w:cs="Arial"/>
          <w:i/>
        </w:rPr>
        <w:t>kulang</w:t>
      </w:r>
      <w:proofErr w:type="spellEnd"/>
      <w:r w:rsidR="00211B7E">
        <w:rPr>
          <w:rFonts w:ascii="Arial" w:hAnsi="Arial" w:cs="Arial"/>
          <w:i/>
        </w:rPr>
        <w:t xml:space="preserve"> kami </w:t>
      </w:r>
      <w:proofErr w:type="spellStart"/>
      <w:r w:rsidRPr="00EB4902">
        <w:rPr>
          <w:rFonts w:ascii="Arial" w:hAnsi="Arial" w:cs="Arial"/>
          <w:i/>
        </w:rPr>
        <w:t>nin</w:t>
      </w:r>
      <w:proofErr w:type="spellEnd"/>
      <w:r w:rsidRPr="00EB4902">
        <w:rPr>
          <w:rFonts w:ascii="Arial" w:hAnsi="Arial" w:cs="Arial"/>
          <w:i/>
        </w:rPr>
        <w:t xml:space="preserve"> technical knowledge para mag-design </w:t>
      </w:r>
      <w:proofErr w:type="spellStart"/>
      <w:r w:rsidRPr="00EB4902">
        <w:rPr>
          <w:rFonts w:ascii="Arial" w:hAnsi="Arial" w:cs="Arial"/>
          <w:i/>
        </w:rPr>
        <w:t>nin</w:t>
      </w:r>
      <w:proofErr w:type="spellEnd"/>
      <w:r w:rsidRPr="00EB4902">
        <w:rPr>
          <w:rFonts w:ascii="Arial" w:hAnsi="Arial" w:cs="Arial"/>
          <w:i/>
        </w:rPr>
        <w:t xml:space="preserve"> </w:t>
      </w:r>
      <w:proofErr w:type="spellStart"/>
      <w:r w:rsidRPr="00EB4902">
        <w:rPr>
          <w:rFonts w:ascii="Arial" w:hAnsi="Arial" w:cs="Arial"/>
          <w:i/>
        </w:rPr>
        <w:t>marahay</w:t>
      </w:r>
      <w:proofErr w:type="spellEnd"/>
      <w:r w:rsidRPr="00EB4902">
        <w:rPr>
          <w:rFonts w:ascii="Arial" w:hAnsi="Arial" w:cs="Arial"/>
          <w:i/>
        </w:rPr>
        <w:t xml:space="preserve"> </w:t>
      </w:r>
      <w:proofErr w:type="spellStart"/>
      <w:r w:rsidRPr="00EB4902">
        <w:rPr>
          <w:rFonts w:ascii="Arial" w:hAnsi="Arial" w:cs="Arial"/>
          <w:i/>
        </w:rPr>
        <w:t>na</w:t>
      </w:r>
      <w:proofErr w:type="spellEnd"/>
      <w:r w:rsidRPr="00EB4902">
        <w:rPr>
          <w:rFonts w:ascii="Arial" w:hAnsi="Arial" w:cs="Arial"/>
          <w:i/>
        </w:rPr>
        <w:t xml:space="preserve"> evaluation system, </w:t>
      </w:r>
      <w:proofErr w:type="spellStart"/>
      <w:r w:rsidRPr="00EB4902">
        <w:rPr>
          <w:rFonts w:ascii="Arial" w:hAnsi="Arial" w:cs="Arial"/>
          <w:i/>
        </w:rPr>
        <w:t>asin</w:t>
      </w:r>
      <w:proofErr w:type="spellEnd"/>
      <w:r w:rsidRPr="00EB4902">
        <w:rPr>
          <w:rFonts w:ascii="Arial" w:hAnsi="Arial" w:cs="Arial"/>
          <w:i/>
        </w:rPr>
        <w:t xml:space="preserve"> </w:t>
      </w:r>
      <w:proofErr w:type="spellStart"/>
      <w:r w:rsidRPr="00EB4902">
        <w:rPr>
          <w:rFonts w:ascii="Arial" w:hAnsi="Arial" w:cs="Arial"/>
          <w:i/>
        </w:rPr>
        <w:t>kulang</w:t>
      </w:r>
      <w:proofErr w:type="spellEnd"/>
      <w:r w:rsidRPr="00EB4902">
        <w:rPr>
          <w:rFonts w:ascii="Arial" w:hAnsi="Arial" w:cs="Arial"/>
          <w:i/>
        </w:rPr>
        <w:t xml:space="preserve"> man </w:t>
      </w:r>
      <w:proofErr w:type="spellStart"/>
      <w:r w:rsidRPr="00EB4902">
        <w:rPr>
          <w:rFonts w:ascii="Arial" w:hAnsi="Arial" w:cs="Arial"/>
          <w:i/>
        </w:rPr>
        <w:t>sa</w:t>
      </w:r>
      <w:proofErr w:type="spellEnd"/>
      <w:r w:rsidRPr="00EB4902">
        <w:rPr>
          <w:rFonts w:ascii="Arial" w:hAnsi="Arial" w:cs="Arial"/>
          <w:i/>
        </w:rPr>
        <w:t xml:space="preserve"> resources para i-implement </w:t>
      </w:r>
      <w:proofErr w:type="spellStart"/>
      <w:r w:rsidRPr="00EB4902">
        <w:rPr>
          <w:rFonts w:ascii="Arial" w:hAnsi="Arial" w:cs="Arial"/>
          <w:i/>
        </w:rPr>
        <w:t>iyan</w:t>
      </w:r>
      <w:proofErr w:type="spellEnd"/>
      <w:r w:rsidRPr="00EB4902">
        <w:rPr>
          <w:rFonts w:ascii="Arial" w:hAnsi="Arial" w:cs="Arial"/>
          <w:i/>
        </w:rPr>
        <w:t xml:space="preserve">. Kaya </w:t>
      </w:r>
      <w:proofErr w:type="spellStart"/>
      <w:r w:rsidRPr="00EB4902">
        <w:rPr>
          <w:rFonts w:ascii="Arial" w:hAnsi="Arial" w:cs="Arial"/>
          <w:i/>
        </w:rPr>
        <w:t>nagpapadagos</w:t>
      </w:r>
      <w:proofErr w:type="spellEnd"/>
      <w:r w:rsidRPr="00EB4902">
        <w:rPr>
          <w:rFonts w:ascii="Arial" w:hAnsi="Arial" w:cs="Arial"/>
          <w:i/>
        </w:rPr>
        <w:t xml:space="preserve"> </w:t>
      </w:r>
      <w:proofErr w:type="spellStart"/>
      <w:r w:rsidRPr="00EB4902">
        <w:rPr>
          <w:rFonts w:ascii="Arial" w:hAnsi="Arial" w:cs="Arial"/>
          <w:i/>
        </w:rPr>
        <w:t>lang</w:t>
      </w:r>
      <w:proofErr w:type="spellEnd"/>
      <w:r w:rsidRPr="00EB4902">
        <w:rPr>
          <w:rFonts w:ascii="Arial" w:hAnsi="Arial" w:cs="Arial"/>
          <w:i/>
        </w:rPr>
        <w:t xml:space="preserve"> kami </w:t>
      </w:r>
      <w:proofErr w:type="spellStart"/>
      <w:r w:rsidRPr="00EB4902">
        <w:rPr>
          <w:rFonts w:ascii="Arial" w:hAnsi="Arial" w:cs="Arial"/>
          <w:i/>
        </w:rPr>
        <w:t>na</w:t>
      </w:r>
      <w:proofErr w:type="spellEnd"/>
      <w:r w:rsidRPr="00EB4902">
        <w:rPr>
          <w:rFonts w:ascii="Arial" w:hAnsi="Arial" w:cs="Arial"/>
          <w:i/>
        </w:rPr>
        <w:t xml:space="preserve"> </w:t>
      </w:r>
      <w:proofErr w:type="spellStart"/>
      <w:r w:rsidRPr="00EB4902">
        <w:rPr>
          <w:rFonts w:ascii="Arial" w:hAnsi="Arial" w:cs="Arial"/>
          <w:i/>
        </w:rPr>
        <w:t>dai</w:t>
      </w:r>
      <w:proofErr w:type="spellEnd"/>
      <w:r w:rsidRPr="00EB4902">
        <w:rPr>
          <w:rFonts w:ascii="Arial" w:hAnsi="Arial" w:cs="Arial"/>
          <w:i/>
        </w:rPr>
        <w:t xml:space="preserve"> </w:t>
      </w:r>
      <w:proofErr w:type="spellStart"/>
      <w:r w:rsidRPr="00EB4902">
        <w:rPr>
          <w:rFonts w:ascii="Arial" w:hAnsi="Arial" w:cs="Arial"/>
          <w:i/>
        </w:rPr>
        <w:t>talaga</w:t>
      </w:r>
      <w:proofErr w:type="spellEnd"/>
      <w:r w:rsidRPr="00EB4902">
        <w:rPr>
          <w:rFonts w:ascii="Arial" w:hAnsi="Arial" w:cs="Arial"/>
          <w:i/>
        </w:rPr>
        <w:t xml:space="preserve"> nag-</w:t>
      </w:r>
      <w:proofErr w:type="spellStart"/>
      <w:r w:rsidRPr="00EB4902">
        <w:rPr>
          <w:rFonts w:ascii="Arial" w:hAnsi="Arial" w:cs="Arial"/>
          <w:i/>
        </w:rPr>
        <w:t>aaram</w:t>
      </w:r>
      <w:proofErr w:type="spellEnd"/>
      <w:r w:rsidRPr="00EB4902">
        <w:rPr>
          <w:rFonts w:ascii="Arial" w:hAnsi="Arial" w:cs="Arial"/>
          <w:i/>
        </w:rPr>
        <w:t xml:space="preserve"> kun may </w:t>
      </w:r>
      <w:proofErr w:type="spellStart"/>
      <w:r w:rsidRPr="00EB4902">
        <w:rPr>
          <w:rFonts w:ascii="Arial" w:hAnsi="Arial" w:cs="Arial"/>
          <w:i/>
        </w:rPr>
        <w:t>ginigibong</w:t>
      </w:r>
      <w:proofErr w:type="spellEnd"/>
      <w:r w:rsidRPr="00EB4902">
        <w:rPr>
          <w:rFonts w:ascii="Arial" w:hAnsi="Arial" w:cs="Arial"/>
          <w:i/>
        </w:rPr>
        <w:t xml:space="preserve"> </w:t>
      </w:r>
      <w:proofErr w:type="spellStart"/>
      <w:r w:rsidRPr="00EB4902">
        <w:rPr>
          <w:rFonts w:ascii="Arial" w:hAnsi="Arial" w:cs="Arial"/>
          <w:i/>
        </w:rPr>
        <w:t>pagkakaiba</w:t>
      </w:r>
      <w:proofErr w:type="spellEnd"/>
      <w:r w:rsidRPr="00EB4902">
        <w:rPr>
          <w:rFonts w:ascii="Arial" w:hAnsi="Arial" w:cs="Arial"/>
          <w:i/>
        </w:rPr>
        <w:t xml:space="preserve"> kami o mayo.”</w:t>
      </w:r>
      <w:r>
        <w:rPr>
          <w:rFonts w:ascii="Arial" w:hAnsi="Arial" w:cs="Arial"/>
        </w:rPr>
        <w:t xml:space="preserve"> (</w:t>
      </w:r>
      <w:r w:rsidR="00E167BF" w:rsidRPr="00E167BF">
        <w:rPr>
          <w:rFonts w:ascii="Arial" w:hAnsi="Arial" w:cs="Arial"/>
        </w:rPr>
        <w:t>We know we should be monitoring our progress, but we lack both the technical knowledge to design good evaluation systems and the resources to implement them. So we just keep going without really knowin</w:t>
      </w:r>
      <w:r>
        <w:rPr>
          <w:rFonts w:ascii="Arial" w:hAnsi="Arial" w:cs="Arial"/>
        </w:rPr>
        <w:t>g if we're making a difference.)</w:t>
      </w:r>
    </w:p>
    <w:p w14:paraId="56CF2CE6" w14:textId="77777777" w:rsidR="00E167BF" w:rsidRPr="00E167BF" w:rsidRDefault="00E167BF" w:rsidP="00E167BF">
      <w:pPr>
        <w:pStyle w:val="Body"/>
        <w:spacing w:after="0"/>
        <w:rPr>
          <w:rFonts w:ascii="Arial" w:hAnsi="Arial" w:cs="Arial"/>
        </w:rPr>
      </w:pPr>
    </w:p>
    <w:p w14:paraId="19728F4F" w14:textId="64FA5662" w:rsidR="0074651C" w:rsidRPr="00E167BF" w:rsidRDefault="00E167BF" w:rsidP="00E167BF">
      <w:pPr>
        <w:pStyle w:val="Body"/>
        <w:spacing w:after="0"/>
        <w:rPr>
          <w:rFonts w:ascii="Arial" w:hAnsi="Arial" w:cs="Arial"/>
        </w:rPr>
      </w:pPr>
      <w:r w:rsidRPr="00E167BF">
        <w:rPr>
          <w:rFonts w:ascii="Arial" w:hAnsi="Arial" w:cs="Arial"/>
        </w:rPr>
        <w:t>These connections imply that comprehensive capacity-building strategies that concurrently address knowledge, resources, and communication are necessary to close implementation gaps. Given the systemic nature of these deficiencies, piecemeal interventions aimed at specific gaps may prove inadequate.</w:t>
      </w:r>
    </w:p>
    <w:p w14:paraId="7213A7C5" w14:textId="11904ACE" w:rsidR="00E053D0" w:rsidRDefault="00E053D0" w:rsidP="00441B6F">
      <w:pPr>
        <w:pStyle w:val="Body"/>
        <w:spacing w:after="0"/>
        <w:rPr>
          <w:rFonts w:ascii="Arial" w:hAnsi="Arial" w:cs="Arial"/>
        </w:rPr>
      </w:pPr>
    </w:p>
    <w:p w14:paraId="4DBC635A" w14:textId="10DEB677" w:rsidR="00322BD8" w:rsidRPr="00036E91" w:rsidRDefault="00322BD8" w:rsidP="00322BD8">
      <w:pPr>
        <w:pStyle w:val="Body"/>
        <w:spacing w:after="0"/>
        <w:rPr>
          <w:rFonts w:ascii="Arial" w:hAnsi="Arial" w:cs="Arial"/>
          <w:b/>
          <w:sz w:val="22"/>
        </w:rPr>
      </w:pPr>
      <w:r w:rsidRPr="00036E91">
        <w:rPr>
          <w:rFonts w:ascii="Arial" w:hAnsi="Arial" w:cs="Arial"/>
          <w:b/>
          <w:sz w:val="22"/>
        </w:rPr>
        <w:t>3.5 Global Context and Comparative Perspectives</w:t>
      </w:r>
    </w:p>
    <w:p w14:paraId="6B463B03" w14:textId="77777777" w:rsidR="00120CD0" w:rsidRPr="00036E91" w:rsidRDefault="00120CD0" w:rsidP="00322BD8">
      <w:pPr>
        <w:pStyle w:val="Body"/>
        <w:spacing w:after="0"/>
        <w:rPr>
          <w:rFonts w:ascii="Arial" w:hAnsi="Arial" w:cs="Arial"/>
        </w:rPr>
      </w:pPr>
    </w:p>
    <w:p w14:paraId="48C2A71E" w14:textId="6B9DDA10" w:rsidR="00FC35A2" w:rsidRPr="00FC35A2" w:rsidRDefault="00FC35A2" w:rsidP="00FC35A2">
      <w:pPr>
        <w:pStyle w:val="Body"/>
        <w:spacing w:after="0"/>
        <w:rPr>
          <w:rFonts w:ascii="Arial" w:hAnsi="Arial" w:cs="Arial"/>
        </w:rPr>
      </w:pPr>
      <w:r w:rsidRPr="00FC35A2">
        <w:rPr>
          <w:rFonts w:ascii="Arial" w:hAnsi="Arial" w:cs="Arial"/>
        </w:rPr>
        <w:t xml:space="preserve">The results from </w:t>
      </w:r>
      <w:proofErr w:type="spellStart"/>
      <w:r w:rsidRPr="00FC35A2">
        <w:rPr>
          <w:rFonts w:ascii="Arial" w:hAnsi="Arial" w:cs="Arial"/>
        </w:rPr>
        <w:t>DepEd</w:t>
      </w:r>
      <w:proofErr w:type="spellEnd"/>
      <w:r w:rsidRPr="00FC35A2">
        <w:rPr>
          <w:rFonts w:ascii="Arial" w:hAnsi="Arial" w:cs="Arial"/>
        </w:rPr>
        <w:t xml:space="preserve"> Camarines Sur are consistent with broader trends in school governance reforms in developing nations, especially in the Global South and Southeast Asia. The difficulties noted are consistent with global research on school-based management in low-resource environments, where structural changes often take precedence over capacity building and resource allocation (De </w:t>
      </w:r>
      <w:proofErr w:type="spellStart"/>
      <w:r w:rsidRPr="00FC35A2">
        <w:rPr>
          <w:rFonts w:ascii="Arial" w:hAnsi="Arial" w:cs="Arial"/>
        </w:rPr>
        <w:t>Grauwe</w:t>
      </w:r>
      <w:proofErr w:type="spellEnd"/>
      <w:r w:rsidRPr="00FC35A2">
        <w:rPr>
          <w:rFonts w:ascii="Arial" w:hAnsi="Arial" w:cs="Arial"/>
        </w:rPr>
        <w:t>, 2005).</w:t>
      </w:r>
    </w:p>
    <w:p w14:paraId="6E91F3B3" w14:textId="77777777" w:rsidR="00FC35A2" w:rsidRPr="00FC35A2" w:rsidRDefault="00FC35A2" w:rsidP="00FC35A2">
      <w:pPr>
        <w:pStyle w:val="Body"/>
        <w:spacing w:after="0"/>
        <w:rPr>
          <w:rFonts w:ascii="Arial" w:hAnsi="Arial" w:cs="Arial"/>
        </w:rPr>
      </w:pPr>
    </w:p>
    <w:p w14:paraId="703F1701" w14:textId="4B8F22AA" w:rsidR="00FC35A2" w:rsidRPr="00FC35A2" w:rsidRDefault="00FC35A2" w:rsidP="00FC35A2">
      <w:pPr>
        <w:pStyle w:val="Body"/>
        <w:spacing w:after="0"/>
        <w:rPr>
          <w:rFonts w:ascii="Arial" w:hAnsi="Arial" w:cs="Arial"/>
        </w:rPr>
      </w:pPr>
      <w:r w:rsidRPr="00FC35A2">
        <w:rPr>
          <w:rFonts w:ascii="Arial" w:hAnsi="Arial" w:cs="Arial"/>
        </w:rPr>
        <w:t>The prevalence of financial limitations is similar to experiences in Indonesian school-based management, where the achievement of equity and accountability objectives is severely hampered by resource constraints (</w:t>
      </w:r>
      <w:proofErr w:type="spellStart"/>
      <w:r w:rsidRPr="00FC35A2">
        <w:rPr>
          <w:rFonts w:ascii="Arial" w:hAnsi="Arial" w:cs="Arial"/>
        </w:rPr>
        <w:t>Gaus</w:t>
      </w:r>
      <w:proofErr w:type="spellEnd"/>
      <w:r w:rsidRPr="00FC35A2">
        <w:rPr>
          <w:rFonts w:ascii="Arial" w:hAnsi="Arial" w:cs="Arial"/>
        </w:rPr>
        <w:t xml:space="preserve"> &amp; Hall, 2016). Similar findings from various contexts where participatory governance structures have been implemented without sufficient stakeholder preparation are consistent with the capacity-building gaps seen in Camarines Sur (Bray, 2001).</w:t>
      </w:r>
    </w:p>
    <w:p w14:paraId="3F6280AB" w14:textId="77777777" w:rsidR="00FC35A2" w:rsidRPr="00FC35A2" w:rsidRDefault="00FC35A2" w:rsidP="00FC35A2">
      <w:pPr>
        <w:pStyle w:val="Body"/>
        <w:spacing w:after="0"/>
        <w:rPr>
          <w:rFonts w:ascii="Arial" w:hAnsi="Arial" w:cs="Arial"/>
        </w:rPr>
      </w:pPr>
    </w:p>
    <w:p w14:paraId="40EEEAFA" w14:textId="623F41CD" w:rsidR="00FC35A2" w:rsidRPr="00FC35A2" w:rsidRDefault="00FC35A2" w:rsidP="00FC35A2">
      <w:pPr>
        <w:pStyle w:val="Body"/>
        <w:spacing w:after="0"/>
        <w:rPr>
          <w:rFonts w:ascii="Arial" w:hAnsi="Arial" w:cs="Arial"/>
        </w:rPr>
      </w:pPr>
      <w:r w:rsidRPr="00FC35A2">
        <w:rPr>
          <w:rFonts w:ascii="Arial" w:hAnsi="Arial" w:cs="Arial"/>
        </w:rPr>
        <w:t>However, the findings demonstrate that when stakeholders adopt cooperative strategies, participatory structures can yield notable improvements even in resource-constrained environments, particularly in shared governance and school-community relations. This finding suggests cautious optimism about the scalability of SGC reforms, provided that implementation strategies adequately address the identified gaps.</w:t>
      </w:r>
    </w:p>
    <w:p w14:paraId="28B93DE8" w14:textId="77777777" w:rsidR="00FC35A2" w:rsidRPr="00FC35A2" w:rsidRDefault="00FC35A2" w:rsidP="00FC35A2">
      <w:pPr>
        <w:pStyle w:val="Body"/>
        <w:spacing w:after="0"/>
        <w:rPr>
          <w:rFonts w:ascii="Arial" w:hAnsi="Arial" w:cs="Arial"/>
        </w:rPr>
      </w:pPr>
    </w:p>
    <w:p w14:paraId="6588B2E3" w14:textId="4A7B5ECB" w:rsidR="00FC35A2" w:rsidRPr="00FC35A2" w:rsidRDefault="00FC35A2" w:rsidP="00FC35A2">
      <w:pPr>
        <w:pStyle w:val="Body"/>
        <w:spacing w:after="0"/>
        <w:rPr>
          <w:rFonts w:ascii="Arial" w:hAnsi="Arial" w:cs="Arial"/>
        </w:rPr>
      </w:pPr>
      <w:r w:rsidRPr="00FC35A2">
        <w:rPr>
          <w:rFonts w:ascii="Arial" w:hAnsi="Arial" w:cs="Arial"/>
        </w:rPr>
        <w:t>Critical perspectives on participatory governance in the Global South raise important questions about equi</w:t>
      </w:r>
      <w:r w:rsidR="004C1ACA">
        <w:rPr>
          <w:rFonts w:ascii="Arial" w:hAnsi="Arial" w:cs="Arial"/>
        </w:rPr>
        <w:t>ty in the implementation of SGC</w:t>
      </w:r>
      <w:r w:rsidRPr="00FC35A2">
        <w:rPr>
          <w:rFonts w:ascii="Arial" w:hAnsi="Arial" w:cs="Arial"/>
        </w:rPr>
        <w:t xml:space="preserve">. The finding that parents from economically disadvantaged backgrounds find it difficult to participate due to income loss raises the possibility that existing SGC structures unintentionally reinforce rather than eliminate existing disparities. Future versions of SGC policy should specifically address these equity issues by implementing strategies that lower barriers for members of the </w:t>
      </w:r>
      <w:r w:rsidRPr="00FC35A2">
        <w:rPr>
          <w:rFonts w:ascii="Arial" w:hAnsi="Arial" w:cs="Arial"/>
        </w:rPr>
        <w:lastRenderedPageBreak/>
        <w:t>marginalized community, such as flexible meeting schedules, participation stipends, or alternative engagement modalities.</w:t>
      </w:r>
    </w:p>
    <w:p w14:paraId="4843A4DA" w14:textId="77777777" w:rsidR="00FC35A2" w:rsidRPr="00FC35A2" w:rsidRDefault="00FC35A2" w:rsidP="00FC35A2">
      <w:pPr>
        <w:pStyle w:val="Body"/>
        <w:spacing w:after="0"/>
        <w:rPr>
          <w:rFonts w:ascii="Arial" w:hAnsi="Arial" w:cs="Arial"/>
        </w:rPr>
      </w:pPr>
    </w:p>
    <w:p w14:paraId="7DD4A787" w14:textId="661818BC" w:rsidR="00647C6F" w:rsidRPr="009542BC" w:rsidRDefault="00FC35A2" w:rsidP="00FC35A2">
      <w:pPr>
        <w:pStyle w:val="Body"/>
        <w:spacing w:after="0"/>
        <w:rPr>
          <w:rFonts w:ascii="Arial" w:hAnsi="Arial" w:cs="Arial"/>
          <w:color w:val="FF0000"/>
        </w:rPr>
      </w:pPr>
      <w:r w:rsidRPr="00FC35A2">
        <w:rPr>
          <w:rFonts w:ascii="Arial" w:hAnsi="Arial" w:cs="Arial"/>
        </w:rPr>
        <w:t xml:space="preserve">The interconnected nature of challenges and gains identified in this study underscores that sustainable school governance reform requires systems-level thinking rather than isolated interventions. Global experiences indicate that coordinated policy frameworks, adequate resource allocation, comprehensive capacity building, and adaptable management strategies that consider local circumstances are necessary for successful implementation (De </w:t>
      </w:r>
      <w:proofErr w:type="spellStart"/>
      <w:r w:rsidRPr="00FC35A2">
        <w:rPr>
          <w:rFonts w:ascii="Arial" w:hAnsi="Arial" w:cs="Arial"/>
        </w:rPr>
        <w:t>Grauwe</w:t>
      </w:r>
      <w:proofErr w:type="spellEnd"/>
      <w:r w:rsidRPr="00FC35A2">
        <w:rPr>
          <w:rFonts w:ascii="Arial" w:hAnsi="Arial" w:cs="Arial"/>
        </w:rPr>
        <w:t>, 2005).</w:t>
      </w:r>
    </w:p>
    <w:p w14:paraId="77182560" w14:textId="77777777" w:rsidR="00790ADA" w:rsidRPr="00FB3A86" w:rsidRDefault="00790ADA" w:rsidP="00441B6F">
      <w:pPr>
        <w:pStyle w:val="Body"/>
        <w:spacing w:after="0"/>
        <w:rPr>
          <w:rFonts w:ascii="Arial" w:hAnsi="Arial" w:cs="Arial"/>
        </w:rPr>
      </w:pPr>
    </w:p>
    <w:p w14:paraId="745EDAF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603491D" w14:textId="77777777" w:rsidR="00790ADA" w:rsidRPr="00FB3A86" w:rsidRDefault="00790ADA" w:rsidP="00441B6F">
      <w:pPr>
        <w:pStyle w:val="ConcHead"/>
        <w:spacing w:after="0"/>
        <w:jc w:val="both"/>
        <w:rPr>
          <w:rFonts w:ascii="Arial" w:hAnsi="Arial" w:cs="Arial"/>
        </w:rPr>
      </w:pPr>
    </w:p>
    <w:p w14:paraId="7718C276" w14:textId="77777777" w:rsidR="00CB2A34" w:rsidRPr="00CB2A34" w:rsidRDefault="00CB2A34" w:rsidP="00CB2A34">
      <w:pPr>
        <w:pStyle w:val="Body"/>
        <w:spacing w:after="0"/>
        <w:rPr>
          <w:rFonts w:ascii="Arial" w:hAnsi="Arial" w:cs="Arial"/>
        </w:rPr>
      </w:pPr>
      <w:r w:rsidRPr="00CB2A34">
        <w:rPr>
          <w:rFonts w:ascii="Arial" w:hAnsi="Arial" w:cs="Arial"/>
        </w:rPr>
        <w:t>The seasonality and sustainability problems, successes, and shortcomings in the execution of School Governing Council programs and initiatives in DepEd Camarines Sur, Philippines, were investigated in this study. The results show a complicated implementation environment with notable successes and ongoing difficulties that jeopardize long-term efficacy and sustainability. The most important factor influencing the sustainability and seasonality of SGC programs was found to be funding availability, which ranked first in both categories. This result emphasizes how crucial sufficient and reliable financial resources are to the success of school governance reform. Other important seasonality issues that cause temporal disruptions in program implementation include policy changes, staff training and development, and conflicts with the school calendar.</w:t>
      </w:r>
    </w:p>
    <w:p w14:paraId="0BE91C7C" w14:textId="77777777" w:rsidR="00CB2A34" w:rsidRPr="00CB2A34" w:rsidRDefault="00CB2A34" w:rsidP="00CB2A34">
      <w:pPr>
        <w:pStyle w:val="Body"/>
        <w:spacing w:after="0"/>
        <w:rPr>
          <w:rFonts w:ascii="Arial" w:hAnsi="Arial" w:cs="Arial"/>
        </w:rPr>
      </w:pPr>
    </w:p>
    <w:p w14:paraId="08F67F04" w14:textId="77777777" w:rsidR="00CB2A34" w:rsidRPr="00CB2A34" w:rsidRDefault="00CB2A34" w:rsidP="00CB2A34">
      <w:pPr>
        <w:pStyle w:val="Body"/>
        <w:spacing w:after="0"/>
        <w:rPr>
          <w:rFonts w:ascii="Arial" w:hAnsi="Arial" w:cs="Arial"/>
        </w:rPr>
      </w:pPr>
      <w:r w:rsidRPr="00CB2A34">
        <w:rPr>
          <w:rFonts w:ascii="Arial" w:hAnsi="Arial" w:cs="Arial"/>
        </w:rPr>
        <w:t>Beyond funding, SGC members' lack of commitment and time, partnership sustainability, resistance to change, insufficient monitoring and evaluation, and problems with curriculum alignment are examples of sustainability challenges. Together, these elements pose a threat to SGC programs' long-term sustainability and necessitate methodical attention to guarantee efficacy and continuity. Notwithstanding these obstacles, SGC implementation has produced significant benefits, chief among them being improved school climate, shared governance, and school-community relations. These accomplishments show that when implemented successfully, participatory governance structures can yield significant advantages, resulting in more democratic, inclusive, and responsive school environments. However, improvements in funding opportunities and academic performance were less commonly reported, indicating that more time and support may be required to fully realize SGC's potential.</w:t>
      </w:r>
    </w:p>
    <w:p w14:paraId="7373783E" w14:textId="77777777" w:rsidR="00CB2A34" w:rsidRPr="00CB2A34" w:rsidRDefault="00CB2A34" w:rsidP="00CB2A34">
      <w:pPr>
        <w:pStyle w:val="Body"/>
        <w:spacing w:after="0"/>
        <w:rPr>
          <w:rFonts w:ascii="Arial" w:hAnsi="Arial" w:cs="Arial"/>
        </w:rPr>
      </w:pPr>
    </w:p>
    <w:p w14:paraId="2FD8E0C7" w14:textId="77777777" w:rsidR="00CB2A34" w:rsidRPr="00CB2A34" w:rsidRDefault="00CB2A34" w:rsidP="00CB2A34">
      <w:pPr>
        <w:pStyle w:val="Body"/>
        <w:spacing w:after="0"/>
        <w:rPr>
          <w:rFonts w:ascii="Arial" w:hAnsi="Arial" w:cs="Arial"/>
        </w:rPr>
      </w:pPr>
      <w:r w:rsidRPr="00CB2A34">
        <w:rPr>
          <w:rFonts w:ascii="Arial" w:hAnsi="Arial" w:cs="Arial"/>
        </w:rPr>
        <w:t>There are still significant implementation gaps, especially with regard to SGC member training, role and responsibility comprehension, resource availability, community involvement, communication systems, and monitoring and evaluation mechanisms. To increase SGC effectiveness and guarantee fair benefits for all schools, these gaps represent significant challenges that must be overcome. A number of important policy and practice priorities are indicated by the convergence of results from analyses of seasonality, sustainability, gains, and gaps. First, the long-term sustainability and temporal consistency of SGC programs depend on the establishment of sustainable funding mechanisms with predictable allocations. Second, for SGC members to operate efficiently, comprehensive capacity-building programs must offer methodical training, precise role definitions, and continuous support. Third, in order to increase participation and strengthen stakeholder investment in school governance, inclusive community engagement strategies are required.</w:t>
      </w:r>
    </w:p>
    <w:p w14:paraId="2E340EAE" w14:textId="77777777" w:rsidR="00CB2A34" w:rsidRPr="00CB2A34" w:rsidRDefault="00CB2A34" w:rsidP="00CB2A34">
      <w:pPr>
        <w:pStyle w:val="Body"/>
        <w:spacing w:after="0"/>
        <w:rPr>
          <w:rFonts w:ascii="Arial" w:hAnsi="Arial" w:cs="Arial"/>
        </w:rPr>
      </w:pPr>
    </w:p>
    <w:p w14:paraId="1E2401A1" w14:textId="77777777" w:rsidR="00CB2A34" w:rsidRPr="00CB2A34" w:rsidRDefault="00CB2A34" w:rsidP="00CB2A34">
      <w:pPr>
        <w:pStyle w:val="Body"/>
        <w:spacing w:after="0"/>
        <w:rPr>
          <w:rFonts w:ascii="Arial" w:hAnsi="Arial" w:cs="Arial"/>
        </w:rPr>
      </w:pPr>
      <w:r w:rsidRPr="00CB2A34">
        <w:rPr>
          <w:rFonts w:ascii="Arial" w:hAnsi="Arial" w:cs="Arial"/>
        </w:rPr>
        <w:t xml:space="preserve">These results have significant ramifications for educational practice and policy in the Philippines and other comparable settings. Adequate resource allocation for SGC operations should be given top priority by policymakers, who should also create supportive policy environments, comprehensive training programs, and clear governance frameworks. Strong partnerships, open communication, inclusive community engagement, and the </w:t>
      </w:r>
      <w:r w:rsidRPr="00CB2A34">
        <w:rPr>
          <w:rFonts w:ascii="Arial" w:hAnsi="Arial" w:cs="Arial"/>
        </w:rPr>
        <w:lastRenderedPageBreak/>
        <w:t>implementation of methodical assessment procedures should be the main priorities for school administrators and SGC members. Future studies should look at the long-term effects of SGC implementation on student outcomes, investigate effective ways to close identified gaps, look into how different contexts affect SGC effectiveness, and evaluate the connection between particular governance practices and educational quality. In order to comprehend how SGC programs change over time and what elements lead to long-term success, longitudinal studies would be especially helpful.</w:t>
      </w:r>
    </w:p>
    <w:p w14:paraId="665F3DDA" w14:textId="77777777" w:rsidR="00CB2A34" w:rsidRPr="00CB2A34" w:rsidRDefault="00CB2A34" w:rsidP="00CB2A34">
      <w:pPr>
        <w:pStyle w:val="Body"/>
        <w:spacing w:after="0"/>
        <w:rPr>
          <w:rFonts w:ascii="Arial" w:hAnsi="Arial" w:cs="Arial"/>
        </w:rPr>
      </w:pPr>
    </w:p>
    <w:p w14:paraId="6ED4AF28" w14:textId="77777777" w:rsidR="00B01FCD" w:rsidRDefault="00CB2A34" w:rsidP="00CB2A34">
      <w:pPr>
        <w:pStyle w:val="Body"/>
        <w:spacing w:after="0"/>
        <w:rPr>
          <w:rFonts w:ascii="Arial" w:hAnsi="Arial" w:cs="Arial"/>
        </w:rPr>
      </w:pPr>
      <w:r w:rsidRPr="00CB2A34">
        <w:rPr>
          <w:rFonts w:ascii="Arial" w:hAnsi="Arial" w:cs="Arial"/>
        </w:rPr>
        <w:t>One promising tool for democratizing school governance and raising the standard of instruction in basic education in the Philippines is the School Governing Council. Even though there are significant implementation challenges, the results show how beneficial participatory governance structures are. Schools can increase the efficacy of SGC and guarantee that all students and communities benefit from shared governance by filling in the gaps through thorough, cooperative, and context-sensitive interventions.</w:t>
      </w:r>
    </w:p>
    <w:p w14:paraId="70507F00" w14:textId="77777777" w:rsidR="00790ADA" w:rsidRPr="00FB3A86" w:rsidRDefault="00790ADA" w:rsidP="00441B6F">
      <w:pPr>
        <w:pStyle w:val="Body"/>
        <w:spacing w:after="0"/>
        <w:rPr>
          <w:rFonts w:ascii="Arial" w:hAnsi="Arial" w:cs="Arial"/>
        </w:rPr>
      </w:pPr>
    </w:p>
    <w:p w14:paraId="1A652CA6" w14:textId="77777777" w:rsidR="002B685A" w:rsidRDefault="002B685A" w:rsidP="00441B6F">
      <w:pPr>
        <w:pStyle w:val="ReferHead"/>
        <w:spacing w:after="0"/>
        <w:jc w:val="both"/>
        <w:rPr>
          <w:rFonts w:ascii="Arial" w:hAnsi="Arial" w:cs="Arial"/>
          <w:b w:val="0"/>
          <w:caps w:val="0"/>
          <w:sz w:val="20"/>
        </w:rPr>
      </w:pPr>
    </w:p>
    <w:p w14:paraId="366EA9DB"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p>
    <w:p w14:paraId="4E771052" w14:textId="77777777" w:rsidR="002B685A" w:rsidRPr="002B685A" w:rsidRDefault="002B685A" w:rsidP="00441B6F">
      <w:pPr>
        <w:pStyle w:val="ReferHead"/>
        <w:spacing w:after="0"/>
        <w:jc w:val="both"/>
        <w:rPr>
          <w:rFonts w:ascii="Arial" w:hAnsi="Arial" w:cs="Arial"/>
          <w:bCs/>
        </w:rPr>
      </w:pPr>
    </w:p>
    <w:p w14:paraId="48BA0ADB" w14:textId="77777777" w:rsidR="001A29D8" w:rsidRPr="000D4093" w:rsidRDefault="004C19EE" w:rsidP="00441B6F">
      <w:pPr>
        <w:pStyle w:val="ReferHead"/>
        <w:spacing w:after="0"/>
        <w:jc w:val="both"/>
        <w:rPr>
          <w:rFonts w:ascii="Arial" w:hAnsi="Arial" w:cs="Arial"/>
          <w:b w:val="0"/>
          <w:caps w:val="0"/>
          <w:sz w:val="20"/>
          <w:u w:val="single"/>
        </w:rPr>
      </w:pPr>
      <w:r w:rsidRPr="004C19EE">
        <w:rPr>
          <w:rFonts w:ascii="Arial" w:hAnsi="Arial" w:cs="Arial"/>
          <w:b w:val="0"/>
          <w:caps w:val="0"/>
          <w:sz w:val="20"/>
        </w:rPr>
        <w:t>All authors declare that written informed consent was obtained from all participants for their participation in this research study. Participants were informed of their right to withdraw at any time without penalty. All identifying information has been removed to protect participant confidentiality.</w:t>
      </w:r>
    </w:p>
    <w:p w14:paraId="243F5112" w14:textId="77777777" w:rsidR="005C784C" w:rsidRDefault="005C784C" w:rsidP="00441B6F">
      <w:pPr>
        <w:pStyle w:val="ReferHead"/>
        <w:spacing w:after="0"/>
        <w:jc w:val="both"/>
        <w:rPr>
          <w:rFonts w:ascii="Arial" w:hAnsi="Arial" w:cs="Arial"/>
          <w:b w:val="0"/>
          <w:caps w:val="0"/>
          <w:sz w:val="20"/>
        </w:rPr>
      </w:pPr>
    </w:p>
    <w:p w14:paraId="2C15ED64"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040E49A" w14:textId="77777777" w:rsidR="005C784C" w:rsidRPr="002B685A" w:rsidRDefault="005C784C" w:rsidP="00441B6F">
      <w:pPr>
        <w:pStyle w:val="ReferHead"/>
        <w:spacing w:after="0"/>
        <w:jc w:val="both"/>
        <w:rPr>
          <w:rFonts w:ascii="Arial" w:hAnsi="Arial" w:cs="Arial"/>
          <w:bCs/>
        </w:rPr>
      </w:pPr>
    </w:p>
    <w:p w14:paraId="348EC887" w14:textId="77777777" w:rsidR="0041027F" w:rsidRDefault="002A22D7" w:rsidP="00441B6F">
      <w:pPr>
        <w:pStyle w:val="ReferHead"/>
        <w:spacing w:after="0"/>
        <w:jc w:val="both"/>
        <w:rPr>
          <w:rFonts w:ascii="Arial" w:hAnsi="Arial" w:cs="Arial"/>
          <w:b w:val="0"/>
          <w:caps w:val="0"/>
          <w:sz w:val="20"/>
        </w:rPr>
      </w:pPr>
      <w:r w:rsidRPr="00A91B2F">
        <w:rPr>
          <w:rFonts w:ascii="Arial" w:hAnsi="Arial" w:cs="Arial"/>
          <w:b w:val="0"/>
          <w:caps w:val="0"/>
          <w:sz w:val="20"/>
        </w:rPr>
        <w:t xml:space="preserve">All authors hereby declare that all research activities have been examined and approved by the </w:t>
      </w:r>
      <w:r w:rsidR="002B7BAF" w:rsidRPr="00A91B2F">
        <w:rPr>
          <w:rFonts w:ascii="Arial" w:hAnsi="Arial" w:cs="Arial"/>
          <w:b w:val="0"/>
          <w:caps w:val="0"/>
          <w:sz w:val="20"/>
        </w:rPr>
        <w:t>CBSUA</w:t>
      </w:r>
      <w:r w:rsidRPr="00A91B2F">
        <w:rPr>
          <w:rFonts w:ascii="Arial" w:hAnsi="Arial" w:cs="Arial"/>
          <w:b w:val="0"/>
          <w:caps w:val="0"/>
          <w:sz w:val="20"/>
        </w:rPr>
        <w:t xml:space="preserve"> Institutional Review </w:t>
      </w:r>
      <w:r w:rsidR="009B301B" w:rsidRPr="00A91B2F">
        <w:rPr>
          <w:rFonts w:ascii="Arial" w:hAnsi="Arial" w:cs="Arial"/>
          <w:b w:val="0"/>
          <w:caps w:val="0"/>
          <w:sz w:val="20"/>
        </w:rPr>
        <w:t>Committee for Graduate Studies</w:t>
      </w:r>
      <w:r w:rsidRPr="00A91B2F">
        <w:rPr>
          <w:rFonts w:ascii="Arial" w:hAnsi="Arial" w:cs="Arial"/>
          <w:b w:val="0"/>
          <w:caps w:val="0"/>
          <w:sz w:val="20"/>
        </w:rPr>
        <w:t>. This study was performed in accordance with the ethical s</w:t>
      </w:r>
      <w:r w:rsidR="00D42F16" w:rsidRPr="00A91B2F">
        <w:rPr>
          <w:rFonts w:ascii="Arial" w:hAnsi="Arial" w:cs="Arial"/>
          <w:b w:val="0"/>
          <w:caps w:val="0"/>
          <w:sz w:val="20"/>
        </w:rPr>
        <w:t xml:space="preserve">tandards. </w:t>
      </w:r>
      <w:r w:rsidRPr="00A91B2F">
        <w:rPr>
          <w:rFonts w:ascii="Arial" w:hAnsi="Arial" w:cs="Arial"/>
          <w:b w:val="0"/>
          <w:caps w:val="0"/>
          <w:sz w:val="20"/>
        </w:rPr>
        <w:t>Informed consent was obtained from all participants included in the study after full explanation of the research purpose and procedures.</w:t>
      </w:r>
    </w:p>
    <w:p w14:paraId="78B1FBC0" w14:textId="77777777" w:rsidR="001E6834" w:rsidRDefault="001E6834" w:rsidP="00441B6F">
      <w:pPr>
        <w:pStyle w:val="ReferHead"/>
        <w:spacing w:after="0"/>
        <w:jc w:val="both"/>
        <w:rPr>
          <w:rFonts w:ascii="Arial" w:hAnsi="Arial" w:cs="Arial"/>
          <w:b w:val="0"/>
          <w:caps w:val="0"/>
          <w:sz w:val="20"/>
        </w:rPr>
      </w:pPr>
    </w:p>
    <w:p w14:paraId="11F6DDB3" w14:textId="77777777" w:rsidR="001E6834" w:rsidRDefault="001E6834" w:rsidP="00441B6F">
      <w:pPr>
        <w:pStyle w:val="ReferHead"/>
        <w:spacing w:after="0"/>
        <w:jc w:val="both"/>
        <w:rPr>
          <w:rFonts w:ascii="Arial" w:hAnsi="Arial" w:cs="Arial"/>
          <w:b w:val="0"/>
          <w:caps w:val="0"/>
          <w:sz w:val="20"/>
        </w:rPr>
      </w:pPr>
    </w:p>
    <w:p w14:paraId="6E6C667F" w14:textId="77777777" w:rsidR="001E6834" w:rsidRPr="001E6834" w:rsidRDefault="001E6834" w:rsidP="0075121C">
      <w:pPr>
        <w:spacing w:line="276" w:lineRule="auto"/>
        <w:jc w:val="both"/>
        <w:outlineLvl w:val="0"/>
        <w:rPr>
          <w:rFonts w:ascii="Arial" w:eastAsiaTheme="minorEastAsia" w:hAnsi="Arial" w:cs="Arial"/>
          <w:sz w:val="22"/>
          <w:szCs w:val="22"/>
          <w:lang w:val="en-GB" w:eastAsia="en-GB"/>
        </w:rPr>
      </w:pPr>
      <w:r w:rsidRPr="001E6834">
        <w:rPr>
          <w:rFonts w:ascii="Arial" w:eastAsiaTheme="minorEastAsia" w:hAnsi="Arial" w:cs="Arial"/>
          <w:b/>
          <w:bCs/>
          <w:sz w:val="22"/>
          <w:szCs w:val="22"/>
          <w:lang w:val="en-GB" w:eastAsia="en-GB"/>
        </w:rPr>
        <w:t>COMPETING INTERESTS DISCLAIMER:</w:t>
      </w:r>
    </w:p>
    <w:p w14:paraId="796C2692" w14:textId="77777777" w:rsidR="001929C7" w:rsidRDefault="001929C7" w:rsidP="002655EB">
      <w:pPr>
        <w:jc w:val="both"/>
        <w:rPr>
          <w:rFonts w:ascii="Arial" w:eastAsiaTheme="minorEastAsia" w:hAnsi="Arial" w:cs="Arial"/>
          <w:szCs w:val="22"/>
          <w:lang w:val="en-GB" w:eastAsia="en-GB"/>
        </w:rPr>
      </w:pPr>
    </w:p>
    <w:p w14:paraId="286DF9E5" w14:textId="53FEC7A7" w:rsidR="001929C7" w:rsidRDefault="001929C7" w:rsidP="005379D0">
      <w:pPr>
        <w:jc w:val="both"/>
        <w:rPr>
          <w:rFonts w:ascii="Arial" w:eastAsiaTheme="minorEastAsia" w:hAnsi="Arial" w:cs="Arial"/>
          <w:szCs w:val="22"/>
          <w:lang w:val="en-GB" w:eastAsia="en-GB"/>
        </w:rPr>
      </w:pPr>
      <w:r w:rsidRPr="001929C7">
        <w:rPr>
          <w:rFonts w:ascii="Arial" w:eastAsiaTheme="minorEastAsia" w:hAnsi="Arial" w:cs="Arial"/>
          <w:szCs w:val="22"/>
          <w:lang w:val="en-GB" w:eastAsia="en-GB"/>
        </w:rPr>
        <w:t>Authors have declared that they have no known compet</w:t>
      </w:r>
      <w:r w:rsidR="005379D0">
        <w:rPr>
          <w:rFonts w:ascii="Arial" w:eastAsiaTheme="minorEastAsia" w:hAnsi="Arial" w:cs="Arial"/>
          <w:szCs w:val="22"/>
          <w:lang w:val="en-GB" w:eastAsia="en-GB"/>
        </w:rPr>
        <w:t>ing financial interests OR non-</w:t>
      </w:r>
      <w:r w:rsidRPr="001929C7">
        <w:rPr>
          <w:rFonts w:ascii="Arial" w:eastAsiaTheme="minorEastAsia" w:hAnsi="Arial" w:cs="Arial"/>
          <w:szCs w:val="22"/>
          <w:lang w:val="en-GB" w:eastAsia="en-GB"/>
        </w:rPr>
        <w:t>financial interests OR personal relationships that could have appeared to influence the</w:t>
      </w:r>
      <w:r w:rsidR="005379D0">
        <w:rPr>
          <w:rFonts w:ascii="Arial" w:eastAsiaTheme="minorEastAsia" w:hAnsi="Arial" w:cs="Arial"/>
          <w:szCs w:val="22"/>
          <w:lang w:val="en-GB" w:eastAsia="en-GB"/>
        </w:rPr>
        <w:t xml:space="preserve"> </w:t>
      </w:r>
      <w:r w:rsidRPr="001929C7">
        <w:rPr>
          <w:rFonts w:ascii="Arial" w:eastAsiaTheme="minorEastAsia" w:hAnsi="Arial" w:cs="Arial"/>
          <w:szCs w:val="22"/>
          <w:lang w:val="en-GB" w:eastAsia="en-GB"/>
        </w:rPr>
        <w:t>work reported in this paper.</w:t>
      </w:r>
    </w:p>
    <w:p w14:paraId="703E2429" w14:textId="25CD26A9" w:rsidR="00855071" w:rsidRDefault="00855071" w:rsidP="005379D0">
      <w:pPr>
        <w:jc w:val="both"/>
        <w:rPr>
          <w:rFonts w:ascii="Arial" w:eastAsiaTheme="minorEastAsia" w:hAnsi="Arial" w:cs="Arial"/>
          <w:szCs w:val="22"/>
          <w:lang w:val="en-GB" w:eastAsia="en-GB"/>
        </w:rPr>
      </w:pPr>
    </w:p>
    <w:p w14:paraId="4A50F145" w14:textId="2F0FE3F2" w:rsidR="00855071" w:rsidRPr="00855071" w:rsidRDefault="00855071" w:rsidP="00855071">
      <w:pPr>
        <w:spacing w:line="276" w:lineRule="auto"/>
        <w:jc w:val="both"/>
        <w:outlineLvl w:val="0"/>
        <w:rPr>
          <w:rFonts w:ascii="Arial" w:eastAsiaTheme="minorEastAsia" w:hAnsi="Arial" w:cs="Arial"/>
          <w:sz w:val="22"/>
          <w:szCs w:val="22"/>
          <w:lang w:val="en-GB" w:eastAsia="en-GB"/>
        </w:rPr>
      </w:pPr>
      <w:r w:rsidRPr="00855071">
        <w:rPr>
          <w:rFonts w:ascii="Arial" w:eastAsiaTheme="minorEastAsia" w:hAnsi="Arial" w:cs="Arial"/>
          <w:b/>
          <w:bCs/>
          <w:sz w:val="22"/>
          <w:szCs w:val="22"/>
          <w:lang w:val="en-GB" w:eastAsia="en-GB"/>
        </w:rPr>
        <w:t>Disclaimer (Artificial intelligence)</w:t>
      </w:r>
    </w:p>
    <w:p w14:paraId="2FFCD8E2" w14:textId="77777777" w:rsidR="001929C7" w:rsidRDefault="001929C7" w:rsidP="002655EB">
      <w:pPr>
        <w:jc w:val="both"/>
        <w:rPr>
          <w:rFonts w:ascii="Arial" w:eastAsiaTheme="minorEastAsia" w:hAnsi="Arial" w:cs="Arial"/>
          <w:szCs w:val="22"/>
          <w:lang w:val="en-GB" w:eastAsia="en-GB"/>
        </w:rPr>
      </w:pPr>
    </w:p>
    <w:p w14:paraId="4FA50089" w14:textId="7B6FFD26" w:rsidR="001E6834" w:rsidRPr="002655EB" w:rsidRDefault="004D5D73" w:rsidP="002655EB">
      <w:pPr>
        <w:jc w:val="both"/>
        <w:rPr>
          <w:rFonts w:ascii="Arial" w:eastAsiaTheme="minorEastAsia" w:hAnsi="Arial" w:cs="Arial"/>
          <w:szCs w:val="22"/>
          <w:lang w:val="en-GB" w:eastAsia="en-GB"/>
        </w:rPr>
      </w:pPr>
      <w:r w:rsidRPr="004D5D73">
        <w:rPr>
          <w:rFonts w:ascii="Arial" w:eastAsiaTheme="minorEastAsia" w:hAnsi="Arial" w:cs="Arial"/>
          <w:szCs w:val="22"/>
          <w:lang w:val="en-GB" w:eastAsia="en-GB"/>
        </w:rPr>
        <w:t>The author (s) hereby declare that generative AI technologies such as Large Language Models have been used during the writing or editing of this manuscript. During the preparation of the manuscript, Claude Sonnet 4.5 (Anthropic) was specifically used to check the grammar, improve the language, and edit the structure. A few paragraphs and sections were submitted for grammar correction, better sentence structure, and clarity while maintaining the original research content and findings. It is important to keep in mind that all important content, research design, data collection, statistical analysis, interpretation of findings, and conclusions retain the authors' original intellectual work. The AI was only utilized as an editorial tool to improve pres</w:t>
      </w:r>
      <w:bookmarkStart w:id="0" w:name="_GoBack"/>
      <w:bookmarkEnd w:id="0"/>
      <w:r w:rsidRPr="004D5D73">
        <w:rPr>
          <w:rFonts w:ascii="Arial" w:eastAsiaTheme="minorEastAsia" w:hAnsi="Arial" w:cs="Arial"/>
          <w:szCs w:val="22"/>
          <w:lang w:val="en-GB" w:eastAsia="en-GB"/>
        </w:rPr>
        <w:t>entation quality and readability.</w:t>
      </w:r>
    </w:p>
    <w:p w14:paraId="64AFC20D" w14:textId="77777777" w:rsidR="00860000" w:rsidRDefault="00860000" w:rsidP="00441B6F">
      <w:pPr>
        <w:pStyle w:val="ReferHead"/>
        <w:spacing w:after="0"/>
        <w:jc w:val="both"/>
        <w:rPr>
          <w:rFonts w:ascii="Arial" w:hAnsi="Arial" w:cs="Arial"/>
        </w:rPr>
      </w:pPr>
    </w:p>
    <w:p w14:paraId="45B452D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1DB3EC7" w14:textId="77777777" w:rsidR="00790ADA" w:rsidRDefault="00790ADA" w:rsidP="00441B6F">
      <w:pPr>
        <w:pStyle w:val="ReferHead"/>
        <w:spacing w:after="0"/>
        <w:jc w:val="both"/>
        <w:rPr>
          <w:rFonts w:ascii="Arial" w:hAnsi="Arial" w:cs="Arial"/>
          <w:sz w:val="20"/>
        </w:rPr>
      </w:pPr>
    </w:p>
    <w:p w14:paraId="43041A01" w14:textId="77777777" w:rsidR="00BE3326" w:rsidRPr="0092759D" w:rsidRDefault="00BE3326" w:rsidP="00AF7C65">
      <w:pPr>
        <w:pStyle w:val="whitespace-normal"/>
        <w:spacing w:before="0" w:beforeAutospacing="0" w:after="0" w:afterAutospacing="0"/>
        <w:jc w:val="both"/>
        <w:rPr>
          <w:rFonts w:ascii="Arial" w:hAnsi="Arial" w:cs="Arial"/>
          <w:sz w:val="20"/>
          <w:szCs w:val="20"/>
        </w:rPr>
      </w:pPr>
      <w:r w:rsidRPr="0092759D">
        <w:rPr>
          <w:rFonts w:ascii="Arial" w:hAnsi="Arial" w:cs="Arial"/>
          <w:sz w:val="20"/>
          <w:szCs w:val="20"/>
        </w:rPr>
        <w:t xml:space="preserve">Adams, J. E., &amp; Kirst, M. W. (1999). New demands and concepts for educational accountability: Striving for results in an era of excellence. In J. Murphy &amp; K. S. Louis (Eds.), </w:t>
      </w:r>
      <w:r w:rsidRPr="0092759D">
        <w:rPr>
          <w:rStyle w:val="Emphasis"/>
          <w:rFonts w:ascii="Arial" w:hAnsi="Arial" w:cs="Arial"/>
          <w:sz w:val="20"/>
          <w:szCs w:val="20"/>
        </w:rPr>
        <w:t>Handbook of research on educational administration</w:t>
      </w:r>
      <w:r w:rsidRPr="0092759D">
        <w:rPr>
          <w:rFonts w:ascii="Arial" w:hAnsi="Arial" w:cs="Arial"/>
          <w:sz w:val="20"/>
          <w:szCs w:val="20"/>
        </w:rPr>
        <w:t xml:space="preserve"> (2nd ed., pp. 463-489). Jossey-Bass.</w:t>
      </w:r>
    </w:p>
    <w:p w14:paraId="0F667DAB" w14:textId="77777777" w:rsidR="00BE3326" w:rsidRPr="0092759D" w:rsidRDefault="00BE3326" w:rsidP="00AF7C65">
      <w:pPr>
        <w:pStyle w:val="whitespace-normal"/>
        <w:spacing w:before="0" w:beforeAutospacing="0" w:after="0" w:afterAutospacing="0"/>
        <w:jc w:val="both"/>
        <w:rPr>
          <w:rFonts w:ascii="Arial" w:hAnsi="Arial" w:cs="Arial"/>
          <w:sz w:val="20"/>
          <w:szCs w:val="20"/>
        </w:rPr>
      </w:pPr>
      <w:r w:rsidRPr="0092759D">
        <w:rPr>
          <w:rFonts w:ascii="Arial" w:hAnsi="Arial" w:cs="Arial"/>
          <w:sz w:val="20"/>
          <w:szCs w:val="20"/>
        </w:rPr>
        <w:t xml:space="preserve">Bagin, D., Gallagher, D. R., &amp; Moore, E. H. (2008). </w:t>
      </w:r>
      <w:r w:rsidRPr="0092759D">
        <w:rPr>
          <w:rStyle w:val="Emphasis"/>
          <w:rFonts w:ascii="Arial" w:hAnsi="Arial" w:cs="Arial"/>
          <w:sz w:val="20"/>
          <w:szCs w:val="20"/>
        </w:rPr>
        <w:t>The school and community relations</w:t>
      </w:r>
      <w:r w:rsidRPr="0092759D">
        <w:rPr>
          <w:rFonts w:ascii="Arial" w:hAnsi="Arial" w:cs="Arial"/>
          <w:sz w:val="20"/>
          <w:szCs w:val="20"/>
        </w:rPr>
        <w:t xml:space="preserve"> (9th ed.). Allyn &amp; Bacon.</w:t>
      </w:r>
    </w:p>
    <w:p w14:paraId="69EFD2C6" w14:textId="77777777" w:rsidR="00BE3326" w:rsidRPr="003A4F0C" w:rsidRDefault="00BE3326" w:rsidP="003A4F0C">
      <w:pPr>
        <w:jc w:val="both"/>
        <w:rPr>
          <w:rFonts w:ascii="Arial" w:hAnsi="Arial" w:cs="Arial"/>
          <w:szCs w:val="24"/>
        </w:rPr>
      </w:pPr>
      <w:r w:rsidRPr="003A4F0C">
        <w:rPr>
          <w:rFonts w:ascii="Arial" w:hAnsi="Arial" w:cs="Arial"/>
          <w:szCs w:val="24"/>
        </w:rPr>
        <w:t xml:space="preserve">Brenton, J., &amp; Slawinski, N. (2023). Collaborating for Community Regeneration: Facilitating Partnerships in, Through, and for Place. </w:t>
      </w:r>
      <w:r w:rsidRPr="003A4F0C">
        <w:rPr>
          <w:rFonts w:ascii="Arial" w:hAnsi="Arial" w:cs="Arial"/>
          <w:i/>
          <w:iCs/>
          <w:szCs w:val="24"/>
        </w:rPr>
        <w:t>Journal of Business Ethics 2023 184:4</w:t>
      </w:r>
      <w:r w:rsidRPr="003A4F0C">
        <w:rPr>
          <w:rFonts w:ascii="Arial" w:hAnsi="Arial" w:cs="Arial"/>
          <w:szCs w:val="24"/>
        </w:rPr>
        <w:t xml:space="preserve">, </w:t>
      </w:r>
      <w:r w:rsidRPr="003A4F0C">
        <w:rPr>
          <w:rFonts w:ascii="Arial" w:hAnsi="Arial" w:cs="Arial"/>
          <w:i/>
          <w:iCs/>
          <w:szCs w:val="24"/>
        </w:rPr>
        <w:t>184</w:t>
      </w:r>
      <w:r w:rsidRPr="003A4F0C">
        <w:rPr>
          <w:rFonts w:ascii="Arial" w:hAnsi="Arial" w:cs="Arial"/>
          <w:szCs w:val="24"/>
        </w:rPr>
        <w:t xml:space="preserve">(4), 815–834. </w:t>
      </w:r>
      <w:hyperlink r:id="rId15" w:history="1">
        <w:r w:rsidRPr="003A4F0C">
          <w:rPr>
            <w:rStyle w:val="Hyperlink"/>
            <w:rFonts w:ascii="Arial" w:hAnsi="Arial" w:cs="Arial"/>
            <w:szCs w:val="24"/>
          </w:rPr>
          <w:t>https://doi.org/10.1007/S10551-023-05365-5</w:t>
        </w:r>
      </w:hyperlink>
    </w:p>
    <w:p w14:paraId="2DE0A2EA" w14:textId="1DD6BF9B" w:rsidR="0054751E" w:rsidRPr="0054751E" w:rsidRDefault="0054751E" w:rsidP="00E169DC">
      <w:pPr>
        <w:jc w:val="both"/>
        <w:rPr>
          <w:rFonts w:ascii="Arial" w:hAnsi="Arial" w:cs="Arial"/>
          <w:szCs w:val="24"/>
        </w:rPr>
      </w:pPr>
      <w:r w:rsidRPr="0054751E">
        <w:rPr>
          <w:rFonts w:ascii="Arial" w:hAnsi="Arial" w:cs="Arial"/>
        </w:rPr>
        <w:t xml:space="preserve">Bray, M. (2001). </w:t>
      </w:r>
      <w:r w:rsidRPr="0054751E">
        <w:rPr>
          <w:rStyle w:val="Emphasis"/>
          <w:rFonts w:ascii="Arial" w:hAnsi="Arial" w:cs="Arial"/>
        </w:rPr>
        <w:t>Community partnerships in education: Dimensions, variations, and implications</w:t>
      </w:r>
      <w:r w:rsidRPr="0054751E">
        <w:rPr>
          <w:rFonts w:ascii="Arial" w:hAnsi="Arial" w:cs="Arial"/>
        </w:rPr>
        <w:t>. UNESCO.</w:t>
      </w:r>
    </w:p>
    <w:p w14:paraId="3075E4FA" w14:textId="175B8A98" w:rsidR="00BE3326" w:rsidRPr="00E169DC" w:rsidRDefault="00BE3326" w:rsidP="00E169DC">
      <w:pPr>
        <w:jc w:val="both"/>
        <w:rPr>
          <w:rFonts w:ascii="Arial" w:hAnsi="Arial" w:cs="Arial"/>
          <w:szCs w:val="24"/>
        </w:rPr>
      </w:pPr>
      <w:proofErr w:type="spellStart"/>
      <w:r w:rsidRPr="005D155B">
        <w:rPr>
          <w:rFonts w:ascii="Arial" w:hAnsi="Arial" w:cs="Arial"/>
          <w:szCs w:val="24"/>
        </w:rPr>
        <w:t>Chacha</w:t>
      </w:r>
      <w:proofErr w:type="spellEnd"/>
      <w:r w:rsidRPr="005D155B">
        <w:rPr>
          <w:rFonts w:ascii="Arial" w:hAnsi="Arial" w:cs="Arial"/>
          <w:szCs w:val="24"/>
        </w:rPr>
        <w:t xml:space="preserve">, M., Tangi, F., &amp; </w:t>
      </w:r>
      <w:proofErr w:type="spellStart"/>
      <w:r w:rsidRPr="005D155B">
        <w:rPr>
          <w:rFonts w:ascii="Arial" w:hAnsi="Arial" w:cs="Arial"/>
          <w:szCs w:val="24"/>
        </w:rPr>
        <w:t>Mhagama</w:t>
      </w:r>
      <w:proofErr w:type="spellEnd"/>
      <w:r w:rsidRPr="005D155B">
        <w:rPr>
          <w:rFonts w:ascii="Arial" w:hAnsi="Arial" w:cs="Arial"/>
          <w:szCs w:val="24"/>
        </w:rPr>
        <w:t xml:space="preserve">, M. (2023). Challenges facing stakeholders’ participation in improving teaching and learning process in public secondary schools in </w:t>
      </w:r>
      <w:proofErr w:type="spellStart"/>
      <w:r w:rsidRPr="005D155B">
        <w:rPr>
          <w:rFonts w:ascii="Arial" w:hAnsi="Arial" w:cs="Arial"/>
          <w:szCs w:val="24"/>
        </w:rPr>
        <w:t>Rorya</w:t>
      </w:r>
      <w:proofErr w:type="spellEnd"/>
      <w:r w:rsidRPr="005D155B">
        <w:rPr>
          <w:rFonts w:ascii="Arial" w:hAnsi="Arial" w:cs="Arial"/>
          <w:szCs w:val="24"/>
        </w:rPr>
        <w:t xml:space="preserve"> District, Mara, Tanzania. </w:t>
      </w:r>
      <w:r w:rsidRPr="005D155B">
        <w:rPr>
          <w:rFonts w:ascii="Arial" w:hAnsi="Arial" w:cs="Arial"/>
          <w:i/>
          <w:iCs/>
          <w:szCs w:val="24"/>
        </w:rPr>
        <w:t>International Journal of Humanities and Education Development (IJHED)</w:t>
      </w:r>
      <w:r w:rsidRPr="005D155B">
        <w:rPr>
          <w:rFonts w:ascii="Arial" w:hAnsi="Arial" w:cs="Arial"/>
          <w:szCs w:val="24"/>
        </w:rPr>
        <w:t xml:space="preserve">, </w:t>
      </w:r>
      <w:r w:rsidRPr="005D155B">
        <w:rPr>
          <w:rFonts w:ascii="Arial" w:hAnsi="Arial" w:cs="Arial"/>
          <w:i/>
          <w:iCs/>
          <w:szCs w:val="24"/>
        </w:rPr>
        <w:t>5</w:t>
      </w:r>
      <w:r w:rsidRPr="005D155B">
        <w:rPr>
          <w:rFonts w:ascii="Arial" w:hAnsi="Arial" w:cs="Arial"/>
          <w:szCs w:val="24"/>
        </w:rPr>
        <w:t xml:space="preserve">(6), 30–36. </w:t>
      </w:r>
      <w:hyperlink r:id="rId16" w:history="1">
        <w:r w:rsidRPr="00E169DC">
          <w:rPr>
            <w:rStyle w:val="Hyperlink"/>
            <w:rFonts w:ascii="Arial" w:hAnsi="Arial" w:cs="Arial"/>
            <w:szCs w:val="24"/>
          </w:rPr>
          <w:t>https://doi.org/10.22161/JHED.5.6.4</w:t>
        </w:r>
      </w:hyperlink>
    </w:p>
    <w:p w14:paraId="35DE05A4" w14:textId="77777777" w:rsidR="00BE3326" w:rsidRPr="00726E70" w:rsidRDefault="00BE3326" w:rsidP="00726E70">
      <w:pPr>
        <w:jc w:val="both"/>
        <w:rPr>
          <w:rFonts w:ascii="Arial" w:hAnsi="Arial" w:cs="Arial"/>
        </w:rPr>
      </w:pPr>
      <w:r w:rsidRPr="00726E70">
        <w:rPr>
          <w:rFonts w:ascii="Arial" w:hAnsi="Arial" w:cs="Arial"/>
        </w:rPr>
        <w:t xml:space="preserve">Clapham, A. (2024). Undiminishing school governance: investigating ‘governance maturity theory’ for school governing bodies. </w:t>
      </w:r>
      <w:r w:rsidRPr="00726E70">
        <w:rPr>
          <w:rFonts w:ascii="Arial" w:hAnsi="Arial" w:cs="Arial"/>
          <w:i/>
          <w:iCs/>
        </w:rPr>
        <w:t>Journal of Education Policy</w:t>
      </w:r>
      <w:r w:rsidRPr="00726E70">
        <w:rPr>
          <w:rFonts w:ascii="Arial" w:hAnsi="Arial" w:cs="Arial"/>
        </w:rPr>
        <w:t xml:space="preserve">, </w:t>
      </w:r>
      <w:r w:rsidRPr="00726E70">
        <w:rPr>
          <w:rFonts w:ascii="Arial" w:hAnsi="Arial" w:cs="Arial"/>
          <w:i/>
          <w:iCs/>
        </w:rPr>
        <w:t>39</w:t>
      </w:r>
      <w:r w:rsidRPr="00726E70">
        <w:rPr>
          <w:rFonts w:ascii="Arial" w:hAnsi="Arial" w:cs="Arial"/>
        </w:rPr>
        <w:t xml:space="preserve">(6), 899–918. </w:t>
      </w:r>
      <w:hyperlink r:id="rId17" w:history="1">
        <w:r w:rsidRPr="00726E70">
          <w:rPr>
            <w:rStyle w:val="Hyperlink"/>
            <w:rFonts w:ascii="Arial" w:hAnsi="Arial" w:cs="Arial"/>
          </w:rPr>
          <w:t>https://doi.org/10.1080/02680939.2024.2337031</w:t>
        </w:r>
      </w:hyperlink>
      <w:r w:rsidRPr="00726E70">
        <w:rPr>
          <w:rFonts w:ascii="Arial" w:hAnsi="Arial" w:cs="Arial"/>
        </w:rPr>
        <w:t xml:space="preserve"> </w:t>
      </w:r>
    </w:p>
    <w:p w14:paraId="218B2E9C" w14:textId="77777777" w:rsidR="00BE3326" w:rsidRPr="003F452D" w:rsidRDefault="00BE3326" w:rsidP="003F452D">
      <w:pPr>
        <w:rPr>
          <w:rFonts w:ascii="Arial" w:hAnsi="Arial" w:cs="Arial"/>
        </w:rPr>
      </w:pPr>
      <w:r w:rsidRPr="003F452D">
        <w:rPr>
          <w:rFonts w:ascii="Arial" w:hAnsi="Arial" w:cs="Arial"/>
        </w:rPr>
        <w:t xml:space="preserve">Cohen, J., </w:t>
      </w:r>
      <w:proofErr w:type="spellStart"/>
      <w:r w:rsidRPr="003F452D">
        <w:rPr>
          <w:rFonts w:ascii="Arial" w:hAnsi="Arial" w:cs="Arial"/>
        </w:rPr>
        <w:t>Mccabe</w:t>
      </w:r>
      <w:proofErr w:type="spellEnd"/>
      <w:r w:rsidRPr="003F452D">
        <w:rPr>
          <w:rFonts w:ascii="Arial" w:hAnsi="Arial" w:cs="Arial"/>
        </w:rPr>
        <w:t xml:space="preserve">, E. M., Michelli, N. M., &amp; Pickeral, T. (2009). School climate: Research, policy, practice, and teacher education. </w:t>
      </w:r>
      <w:r w:rsidRPr="003F452D">
        <w:rPr>
          <w:rFonts w:ascii="Arial" w:hAnsi="Arial" w:cs="Arial"/>
          <w:i/>
          <w:iCs/>
        </w:rPr>
        <w:t>Teachers College Record</w:t>
      </w:r>
      <w:r w:rsidRPr="003F452D">
        <w:rPr>
          <w:rFonts w:ascii="Arial" w:hAnsi="Arial" w:cs="Arial"/>
        </w:rPr>
        <w:t xml:space="preserve">, </w:t>
      </w:r>
      <w:r w:rsidRPr="003F452D">
        <w:rPr>
          <w:rFonts w:ascii="Arial" w:hAnsi="Arial" w:cs="Arial"/>
          <w:i/>
          <w:iCs/>
        </w:rPr>
        <w:t>111</w:t>
      </w:r>
      <w:r w:rsidRPr="003F452D">
        <w:rPr>
          <w:rFonts w:ascii="Arial" w:hAnsi="Arial" w:cs="Arial"/>
        </w:rPr>
        <w:t xml:space="preserve">(1), 180–213. </w:t>
      </w:r>
      <w:hyperlink r:id="rId18" w:history="1">
        <w:r w:rsidRPr="00B24A7E">
          <w:rPr>
            <w:rStyle w:val="Hyperlink"/>
            <w:rFonts w:ascii="Arial" w:hAnsi="Arial" w:cs="Arial"/>
          </w:rPr>
          <w:t>https://doi.org/10.1177/016146810911100108;PAGE:STRING:ARTICLE/CHAPTER</w:t>
        </w:r>
      </w:hyperlink>
      <w:r>
        <w:rPr>
          <w:rFonts w:ascii="Arial" w:hAnsi="Arial" w:cs="Arial"/>
        </w:rPr>
        <w:t xml:space="preserve"> </w:t>
      </w:r>
    </w:p>
    <w:p w14:paraId="7387DBD4" w14:textId="77777777" w:rsidR="00BE3326" w:rsidRDefault="00BE3326" w:rsidP="00655054">
      <w:pPr>
        <w:jc w:val="both"/>
        <w:rPr>
          <w:rFonts w:ascii="Arial" w:hAnsi="Arial" w:cs="Arial"/>
          <w:szCs w:val="24"/>
        </w:rPr>
      </w:pPr>
      <w:r>
        <w:rPr>
          <w:rFonts w:ascii="Arial" w:hAnsi="Arial" w:cs="Arial"/>
          <w:szCs w:val="24"/>
        </w:rPr>
        <w:t>Colonia, R. C.</w:t>
      </w:r>
      <w:r w:rsidRPr="00F7277A">
        <w:rPr>
          <w:rFonts w:ascii="Arial" w:hAnsi="Arial" w:cs="Arial"/>
          <w:szCs w:val="24"/>
        </w:rPr>
        <w:t xml:space="preserve">, Jr., Osias, N. C., &amp; Comon, J. D. (2024). Stakeholders’ Participation on the Implementation of </w:t>
      </w:r>
      <w:proofErr w:type="spellStart"/>
      <w:r w:rsidRPr="00F7277A">
        <w:rPr>
          <w:rFonts w:ascii="Arial" w:hAnsi="Arial" w:cs="Arial"/>
          <w:szCs w:val="24"/>
        </w:rPr>
        <w:t>Brigada</w:t>
      </w:r>
      <w:proofErr w:type="spellEnd"/>
      <w:r w:rsidRPr="00F7277A">
        <w:rPr>
          <w:rFonts w:ascii="Arial" w:hAnsi="Arial" w:cs="Arial"/>
          <w:szCs w:val="24"/>
        </w:rPr>
        <w:t xml:space="preserve"> </w:t>
      </w:r>
      <w:proofErr w:type="spellStart"/>
      <w:r w:rsidRPr="00F7277A">
        <w:rPr>
          <w:rFonts w:ascii="Arial" w:hAnsi="Arial" w:cs="Arial"/>
          <w:szCs w:val="24"/>
        </w:rPr>
        <w:t>Eskwela</w:t>
      </w:r>
      <w:proofErr w:type="spellEnd"/>
      <w:r w:rsidRPr="00F7277A">
        <w:rPr>
          <w:rFonts w:ascii="Arial" w:hAnsi="Arial" w:cs="Arial"/>
          <w:szCs w:val="24"/>
        </w:rPr>
        <w:t xml:space="preserve"> Program: Basis for an Intervention Plan. </w:t>
      </w:r>
      <w:r w:rsidRPr="00F7277A">
        <w:rPr>
          <w:rFonts w:ascii="Arial" w:hAnsi="Arial" w:cs="Arial"/>
          <w:i/>
          <w:iCs/>
          <w:szCs w:val="24"/>
        </w:rPr>
        <w:t>European Modern Studies Journal</w:t>
      </w:r>
      <w:r w:rsidRPr="00F7277A">
        <w:rPr>
          <w:rFonts w:ascii="Arial" w:hAnsi="Arial" w:cs="Arial"/>
          <w:szCs w:val="24"/>
        </w:rPr>
        <w:t xml:space="preserve">, </w:t>
      </w:r>
      <w:r w:rsidRPr="00F7277A">
        <w:rPr>
          <w:rFonts w:ascii="Arial" w:hAnsi="Arial" w:cs="Arial"/>
          <w:i/>
          <w:iCs/>
          <w:szCs w:val="24"/>
        </w:rPr>
        <w:t>8</w:t>
      </w:r>
      <w:r w:rsidRPr="00F7277A">
        <w:rPr>
          <w:rFonts w:ascii="Arial" w:hAnsi="Arial" w:cs="Arial"/>
          <w:szCs w:val="24"/>
        </w:rPr>
        <w:t xml:space="preserve">(3), 659–686. </w:t>
      </w:r>
      <w:hyperlink r:id="rId19" w:history="1">
        <w:r w:rsidRPr="00C04DA8">
          <w:rPr>
            <w:rStyle w:val="Hyperlink"/>
            <w:rFonts w:ascii="Arial" w:hAnsi="Arial" w:cs="Arial"/>
            <w:szCs w:val="24"/>
          </w:rPr>
          <w:t>https://doi.org/10.59573/EMSJ.8(3).2024.41</w:t>
        </w:r>
      </w:hyperlink>
    </w:p>
    <w:p w14:paraId="3E0946F5" w14:textId="77777777" w:rsidR="00BE3326" w:rsidRDefault="00BE3326" w:rsidP="00973524">
      <w:pPr>
        <w:rPr>
          <w:rFonts w:ascii="Arial" w:hAnsi="Arial" w:cs="Arial"/>
        </w:rPr>
      </w:pPr>
      <w:r w:rsidRPr="00973524">
        <w:rPr>
          <w:rFonts w:ascii="Arial" w:hAnsi="Arial" w:cs="Arial"/>
        </w:rPr>
        <w:t xml:space="preserve">Connolly, M., &amp; James, C. (2024). Developing and proposing rational and valid principles for effective school governance in England. </w:t>
      </w:r>
      <w:r w:rsidRPr="00973524">
        <w:rPr>
          <w:rFonts w:ascii="Arial" w:hAnsi="Arial" w:cs="Arial"/>
          <w:i/>
          <w:iCs/>
        </w:rPr>
        <w:t>Educational Management Administration and Leadership</w:t>
      </w:r>
      <w:r w:rsidRPr="00973524">
        <w:rPr>
          <w:rFonts w:ascii="Arial" w:hAnsi="Arial" w:cs="Arial"/>
        </w:rPr>
        <w:t xml:space="preserve">, </w:t>
      </w:r>
      <w:r w:rsidRPr="00973524">
        <w:rPr>
          <w:rFonts w:ascii="Arial" w:hAnsi="Arial" w:cs="Arial"/>
          <w:i/>
          <w:iCs/>
        </w:rPr>
        <w:t>52</w:t>
      </w:r>
      <w:r w:rsidRPr="00973524">
        <w:rPr>
          <w:rFonts w:ascii="Arial" w:hAnsi="Arial" w:cs="Arial"/>
        </w:rPr>
        <w:t xml:space="preserve">(2), 417–434. </w:t>
      </w:r>
      <w:hyperlink r:id="rId20" w:history="1">
        <w:r w:rsidRPr="00973524">
          <w:rPr>
            <w:rStyle w:val="Hyperlink"/>
            <w:rFonts w:ascii="Arial" w:hAnsi="Arial" w:cs="Arial"/>
          </w:rPr>
          <w:t>https://doi.org/10.1177/17411432221077507;WEBSITE:WEBSITE:SAGE;ISSUE:ISSUE:DOI</w:t>
        </w:r>
      </w:hyperlink>
      <w:r w:rsidRPr="00973524">
        <w:rPr>
          <w:rFonts w:ascii="Arial" w:hAnsi="Arial" w:cs="Arial"/>
        </w:rPr>
        <w:t xml:space="preserve"> </w:t>
      </w:r>
    </w:p>
    <w:p w14:paraId="04F3F10F" w14:textId="77777777" w:rsidR="00BE3326" w:rsidRPr="0092759D" w:rsidRDefault="00BE3326" w:rsidP="00AF7C65">
      <w:pPr>
        <w:pStyle w:val="whitespace-normal"/>
        <w:spacing w:before="0" w:beforeAutospacing="0" w:after="0" w:afterAutospacing="0"/>
        <w:jc w:val="both"/>
        <w:rPr>
          <w:rFonts w:ascii="Arial" w:hAnsi="Arial" w:cs="Arial"/>
          <w:sz w:val="20"/>
          <w:szCs w:val="20"/>
        </w:rPr>
      </w:pPr>
      <w:r w:rsidRPr="0092759D">
        <w:rPr>
          <w:rFonts w:ascii="Arial" w:hAnsi="Arial" w:cs="Arial"/>
          <w:sz w:val="20"/>
          <w:szCs w:val="20"/>
        </w:rPr>
        <w:t xml:space="preserve">Council of Europe. (2024). Democracy starts in schools II: Engaging school children in decision making processes in schools and communities in Georgia. Retrieved from </w:t>
      </w:r>
      <w:hyperlink r:id="rId21" w:history="1">
        <w:r w:rsidRPr="0092759D">
          <w:rPr>
            <w:rStyle w:val="Hyperlink"/>
            <w:rFonts w:ascii="Arial" w:hAnsi="Arial" w:cs="Arial"/>
            <w:sz w:val="20"/>
            <w:szCs w:val="20"/>
          </w:rPr>
          <w:t>https://www.coe.int/en/web/education/democracy-starts-in-schools-ii</w:t>
        </w:r>
      </w:hyperlink>
    </w:p>
    <w:p w14:paraId="1D738DF0" w14:textId="1DE5DC25" w:rsidR="00BE3326" w:rsidRDefault="00BE3326" w:rsidP="00AF7C65">
      <w:pPr>
        <w:pStyle w:val="whitespace-normal"/>
        <w:spacing w:before="0" w:beforeAutospacing="0" w:after="0" w:afterAutospacing="0"/>
        <w:jc w:val="both"/>
        <w:rPr>
          <w:rStyle w:val="Hyperlink"/>
          <w:rFonts w:ascii="Arial" w:hAnsi="Arial" w:cs="Arial"/>
          <w:sz w:val="20"/>
          <w:szCs w:val="20"/>
        </w:rPr>
      </w:pPr>
      <w:r w:rsidRPr="0092759D">
        <w:rPr>
          <w:rFonts w:ascii="Arial" w:hAnsi="Arial" w:cs="Arial"/>
          <w:sz w:val="20"/>
          <w:szCs w:val="20"/>
        </w:rPr>
        <w:t xml:space="preserve">De Lara, N. R., &amp; </w:t>
      </w:r>
      <w:proofErr w:type="spellStart"/>
      <w:r w:rsidRPr="0092759D">
        <w:rPr>
          <w:rFonts w:ascii="Arial" w:hAnsi="Arial" w:cs="Arial"/>
          <w:sz w:val="20"/>
          <w:szCs w:val="20"/>
        </w:rPr>
        <w:t>Pañares</w:t>
      </w:r>
      <w:proofErr w:type="spellEnd"/>
      <w:r w:rsidRPr="0092759D">
        <w:rPr>
          <w:rFonts w:ascii="Arial" w:hAnsi="Arial" w:cs="Arial"/>
          <w:sz w:val="20"/>
          <w:szCs w:val="20"/>
        </w:rPr>
        <w:t xml:space="preserve">, N. C. (2023). Implementation of school-based management as perceived by the school governing council. </w:t>
      </w:r>
      <w:r w:rsidRPr="00A6501B">
        <w:rPr>
          <w:rStyle w:val="Emphasis"/>
          <w:rFonts w:ascii="Arial" w:hAnsi="Arial" w:cs="Arial"/>
          <w:i w:val="0"/>
          <w:sz w:val="20"/>
          <w:szCs w:val="20"/>
        </w:rPr>
        <w:t>International Journal of Research Publications</w:t>
      </w:r>
      <w:r w:rsidRPr="00A6501B">
        <w:rPr>
          <w:rFonts w:ascii="Arial" w:hAnsi="Arial" w:cs="Arial"/>
          <w:i/>
          <w:sz w:val="20"/>
          <w:szCs w:val="20"/>
        </w:rPr>
        <w:t>, 129</w:t>
      </w:r>
      <w:r w:rsidRPr="0092759D">
        <w:rPr>
          <w:rFonts w:ascii="Arial" w:hAnsi="Arial" w:cs="Arial"/>
          <w:sz w:val="20"/>
          <w:szCs w:val="20"/>
        </w:rPr>
        <w:t xml:space="preserve">(1), 457-470. </w:t>
      </w:r>
      <w:hyperlink r:id="rId22" w:history="1">
        <w:r w:rsidRPr="0092759D">
          <w:rPr>
            <w:rStyle w:val="Hyperlink"/>
            <w:rFonts w:ascii="Arial" w:hAnsi="Arial" w:cs="Arial"/>
            <w:sz w:val="20"/>
            <w:szCs w:val="20"/>
          </w:rPr>
          <w:t>https://doi.org/10.47119/IJRP1001291720235295</w:t>
        </w:r>
      </w:hyperlink>
    </w:p>
    <w:p w14:paraId="163B2899" w14:textId="76912F0D" w:rsidR="00257582" w:rsidRPr="00257582" w:rsidRDefault="00257582" w:rsidP="00AF7C65">
      <w:pPr>
        <w:pStyle w:val="whitespace-normal"/>
        <w:spacing w:before="0" w:beforeAutospacing="0" w:after="0" w:afterAutospacing="0"/>
        <w:jc w:val="both"/>
        <w:rPr>
          <w:rFonts w:ascii="Arial" w:hAnsi="Arial" w:cs="Arial"/>
          <w:sz w:val="16"/>
          <w:szCs w:val="20"/>
        </w:rPr>
      </w:pPr>
      <w:r w:rsidRPr="00257582">
        <w:rPr>
          <w:rFonts w:ascii="Arial" w:hAnsi="Arial" w:cs="Arial"/>
          <w:sz w:val="20"/>
        </w:rPr>
        <w:t xml:space="preserve">De </w:t>
      </w:r>
      <w:proofErr w:type="spellStart"/>
      <w:r w:rsidRPr="00257582">
        <w:rPr>
          <w:rFonts w:ascii="Arial" w:hAnsi="Arial" w:cs="Arial"/>
          <w:sz w:val="20"/>
        </w:rPr>
        <w:t>Grauwe</w:t>
      </w:r>
      <w:proofErr w:type="spellEnd"/>
      <w:r w:rsidRPr="00257582">
        <w:rPr>
          <w:rFonts w:ascii="Arial" w:hAnsi="Arial" w:cs="Arial"/>
          <w:sz w:val="20"/>
        </w:rPr>
        <w:t xml:space="preserve">, A. (2005). </w:t>
      </w:r>
      <w:r w:rsidRPr="00257582">
        <w:rPr>
          <w:rStyle w:val="Emphasis"/>
          <w:rFonts w:ascii="Arial" w:hAnsi="Arial" w:cs="Arial"/>
          <w:sz w:val="20"/>
        </w:rPr>
        <w:t>Improving the quality of education through school-based management: Learning from international experiences</w:t>
      </w:r>
      <w:r w:rsidRPr="00257582">
        <w:rPr>
          <w:rFonts w:ascii="Arial" w:hAnsi="Arial" w:cs="Arial"/>
          <w:sz w:val="20"/>
        </w:rPr>
        <w:t>. UNESCO International Institute for Educational Planning.</w:t>
      </w:r>
    </w:p>
    <w:p w14:paraId="75190095" w14:textId="77777777" w:rsidR="00BE3326" w:rsidRPr="005B760E" w:rsidRDefault="00BE3326" w:rsidP="005B760E">
      <w:pPr>
        <w:jc w:val="both"/>
        <w:rPr>
          <w:rFonts w:ascii="Arial" w:hAnsi="Arial" w:cs="Arial"/>
          <w:szCs w:val="24"/>
        </w:rPr>
      </w:pPr>
      <w:r w:rsidRPr="005B760E">
        <w:rPr>
          <w:rFonts w:ascii="Arial" w:hAnsi="Arial" w:cs="Arial"/>
          <w:szCs w:val="24"/>
        </w:rPr>
        <w:t xml:space="preserve">Enad, F. (2025). School Governance in Complex Contexts: A Systems-Informed Framework for Public School Leadership. </w:t>
      </w:r>
      <w:r w:rsidRPr="005B760E">
        <w:rPr>
          <w:rFonts w:ascii="Arial" w:hAnsi="Arial" w:cs="Arial"/>
          <w:i/>
          <w:iCs/>
          <w:szCs w:val="24"/>
        </w:rPr>
        <w:t xml:space="preserve">International Journal </w:t>
      </w:r>
      <w:proofErr w:type="gramStart"/>
      <w:r w:rsidRPr="005B760E">
        <w:rPr>
          <w:rFonts w:ascii="Arial" w:hAnsi="Arial" w:cs="Arial"/>
          <w:i/>
          <w:iCs/>
          <w:szCs w:val="24"/>
        </w:rPr>
        <w:t>For</w:t>
      </w:r>
      <w:proofErr w:type="gramEnd"/>
      <w:r w:rsidRPr="005B760E">
        <w:rPr>
          <w:rFonts w:ascii="Arial" w:hAnsi="Arial" w:cs="Arial"/>
          <w:i/>
          <w:iCs/>
          <w:szCs w:val="24"/>
        </w:rPr>
        <w:t xml:space="preserve"> Multidisciplinary Research</w:t>
      </w:r>
      <w:r w:rsidRPr="005B760E">
        <w:rPr>
          <w:rFonts w:ascii="Arial" w:hAnsi="Arial" w:cs="Arial"/>
          <w:szCs w:val="24"/>
        </w:rPr>
        <w:t xml:space="preserve">, </w:t>
      </w:r>
      <w:r w:rsidRPr="005B760E">
        <w:rPr>
          <w:rFonts w:ascii="Arial" w:hAnsi="Arial" w:cs="Arial"/>
          <w:i/>
          <w:iCs/>
          <w:szCs w:val="24"/>
        </w:rPr>
        <w:t>7</w:t>
      </w:r>
      <w:r w:rsidRPr="005B760E">
        <w:rPr>
          <w:rFonts w:ascii="Arial" w:hAnsi="Arial" w:cs="Arial"/>
          <w:szCs w:val="24"/>
        </w:rPr>
        <w:t xml:space="preserve">(4). </w:t>
      </w:r>
      <w:hyperlink r:id="rId23" w:history="1">
        <w:r w:rsidRPr="005B760E">
          <w:rPr>
            <w:rStyle w:val="Hyperlink"/>
            <w:rFonts w:ascii="Arial" w:hAnsi="Arial" w:cs="Arial"/>
            <w:szCs w:val="24"/>
          </w:rPr>
          <w:t>https://doi.org/10.36948/IJFMR.2025.V07I04.52442</w:t>
        </w:r>
      </w:hyperlink>
      <w:r w:rsidRPr="005B760E">
        <w:rPr>
          <w:rFonts w:ascii="Arial" w:hAnsi="Arial" w:cs="Arial"/>
          <w:szCs w:val="24"/>
        </w:rPr>
        <w:t xml:space="preserve"> </w:t>
      </w:r>
    </w:p>
    <w:p w14:paraId="5B385082" w14:textId="77777777" w:rsidR="00BE3326" w:rsidRPr="0092759D" w:rsidRDefault="00BE3326" w:rsidP="00AF7C65">
      <w:pPr>
        <w:pStyle w:val="whitespace-normal"/>
        <w:spacing w:before="0" w:beforeAutospacing="0" w:after="0" w:afterAutospacing="0"/>
        <w:jc w:val="both"/>
        <w:rPr>
          <w:rFonts w:ascii="Arial" w:hAnsi="Arial" w:cs="Arial"/>
          <w:sz w:val="20"/>
          <w:szCs w:val="20"/>
        </w:rPr>
      </w:pPr>
      <w:r w:rsidRPr="0092759D">
        <w:rPr>
          <w:rFonts w:ascii="Arial" w:hAnsi="Arial" w:cs="Arial"/>
          <w:sz w:val="20"/>
          <w:szCs w:val="20"/>
        </w:rPr>
        <w:t xml:space="preserve">Epstein, J. L., </w:t>
      </w:r>
      <w:r w:rsidR="000E1DD5">
        <w:rPr>
          <w:rFonts w:ascii="Arial" w:hAnsi="Arial" w:cs="Arial"/>
          <w:sz w:val="20"/>
          <w:szCs w:val="20"/>
        </w:rPr>
        <w:t>Sanders, M. G.,</w:t>
      </w:r>
      <w:r w:rsidR="000E1DD5" w:rsidRPr="000E1DD5">
        <w:rPr>
          <w:rFonts w:ascii="Arial" w:hAnsi="Arial" w:cs="Arial"/>
          <w:sz w:val="20"/>
          <w:szCs w:val="20"/>
        </w:rPr>
        <w:t xml:space="preserve"> Sheldon, S</w:t>
      </w:r>
      <w:r w:rsidR="007072AA">
        <w:rPr>
          <w:rFonts w:ascii="Arial" w:hAnsi="Arial" w:cs="Arial"/>
          <w:sz w:val="20"/>
          <w:szCs w:val="20"/>
        </w:rPr>
        <w:t>.</w:t>
      </w:r>
      <w:r w:rsidR="00EA6004">
        <w:rPr>
          <w:rFonts w:ascii="Arial" w:hAnsi="Arial" w:cs="Arial"/>
          <w:sz w:val="20"/>
          <w:szCs w:val="20"/>
        </w:rPr>
        <w:t xml:space="preserve"> B.,</w:t>
      </w:r>
      <w:r w:rsidR="000E1DD5" w:rsidRPr="000E1DD5">
        <w:rPr>
          <w:rFonts w:ascii="Arial" w:hAnsi="Arial" w:cs="Arial"/>
          <w:sz w:val="20"/>
          <w:szCs w:val="20"/>
        </w:rPr>
        <w:t xml:space="preserve"> Simon, B</w:t>
      </w:r>
      <w:r w:rsidR="00EA6004">
        <w:rPr>
          <w:rFonts w:ascii="Arial" w:hAnsi="Arial" w:cs="Arial"/>
          <w:sz w:val="20"/>
          <w:szCs w:val="20"/>
        </w:rPr>
        <w:t>. S.,</w:t>
      </w:r>
      <w:r w:rsidR="000E1DD5" w:rsidRPr="000E1DD5">
        <w:rPr>
          <w:rFonts w:ascii="Arial" w:hAnsi="Arial" w:cs="Arial"/>
          <w:sz w:val="20"/>
          <w:szCs w:val="20"/>
        </w:rPr>
        <w:t xml:space="preserve"> Salinas, K</w:t>
      </w:r>
      <w:r w:rsidR="00EA6004">
        <w:rPr>
          <w:rFonts w:ascii="Arial" w:hAnsi="Arial" w:cs="Arial"/>
          <w:sz w:val="20"/>
          <w:szCs w:val="20"/>
        </w:rPr>
        <w:t>.</w:t>
      </w:r>
      <w:r w:rsidR="000E1DD5" w:rsidRPr="000E1DD5">
        <w:rPr>
          <w:rFonts w:ascii="Arial" w:hAnsi="Arial" w:cs="Arial"/>
          <w:sz w:val="20"/>
          <w:szCs w:val="20"/>
        </w:rPr>
        <w:t xml:space="preserve"> C</w:t>
      </w:r>
      <w:r w:rsidR="00EA6004">
        <w:rPr>
          <w:rFonts w:ascii="Arial" w:hAnsi="Arial" w:cs="Arial"/>
          <w:sz w:val="20"/>
          <w:szCs w:val="20"/>
        </w:rPr>
        <w:t>.,</w:t>
      </w:r>
      <w:r w:rsidR="000E1DD5" w:rsidRPr="000E1DD5">
        <w:rPr>
          <w:rFonts w:ascii="Arial" w:hAnsi="Arial" w:cs="Arial"/>
          <w:sz w:val="20"/>
          <w:szCs w:val="20"/>
        </w:rPr>
        <w:t xml:space="preserve"> </w:t>
      </w:r>
      <w:proofErr w:type="spellStart"/>
      <w:r w:rsidR="000E1DD5" w:rsidRPr="000E1DD5">
        <w:rPr>
          <w:rFonts w:ascii="Arial" w:hAnsi="Arial" w:cs="Arial"/>
          <w:sz w:val="20"/>
          <w:szCs w:val="20"/>
        </w:rPr>
        <w:t>Jansorn</w:t>
      </w:r>
      <w:proofErr w:type="spellEnd"/>
      <w:r w:rsidR="000E1DD5" w:rsidRPr="000E1DD5">
        <w:rPr>
          <w:rFonts w:ascii="Arial" w:hAnsi="Arial" w:cs="Arial"/>
          <w:sz w:val="20"/>
          <w:szCs w:val="20"/>
        </w:rPr>
        <w:t>, N</w:t>
      </w:r>
      <w:r w:rsidR="00EA6004">
        <w:rPr>
          <w:rFonts w:ascii="Arial" w:hAnsi="Arial" w:cs="Arial"/>
          <w:sz w:val="20"/>
          <w:szCs w:val="20"/>
        </w:rPr>
        <w:t>.</w:t>
      </w:r>
      <w:r w:rsidR="00F256CD">
        <w:rPr>
          <w:rFonts w:ascii="Arial" w:hAnsi="Arial" w:cs="Arial"/>
          <w:sz w:val="20"/>
          <w:szCs w:val="20"/>
        </w:rPr>
        <w:t>,</w:t>
      </w:r>
      <w:r w:rsidR="000E1DD5" w:rsidRPr="000E1DD5">
        <w:rPr>
          <w:rFonts w:ascii="Arial" w:hAnsi="Arial" w:cs="Arial"/>
          <w:sz w:val="20"/>
          <w:szCs w:val="20"/>
        </w:rPr>
        <w:t xml:space="preserve"> Rodriguez</w:t>
      </w:r>
      <w:r w:rsidR="00F256CD">
        <w:rPr>
          <w:rFonts w:ascii="Arial" w:hAnsi="Arial" w:cs="Arial"/>
          <w:sz w:val="20"/>
          <w:szCs w:val="20"/>
        </w:rPr>
        <w:t>,</w:t>
      </w:r>
      <w:r w:rsidR="000E1DD5" w:rsidRPr="000E1DD5">
        <w:rPr>
          <w:rFonts w:ascii="Arial" w:hAnsi="Arial" w:cs="Arial"/>
          <w:sz w:val="20"/>
          <w:szCs w:val="20"/>
        </w:rPr>
        <w:t xml:space="preserve"> V</w:t>
      </w:r>
      <w:r w:rsidR="00F256CD">
        <w:rPr>
          <w:rFonts w:ascii="Arial" w:hAnsi="Arial" w:cs="Arial"/>
          <w:sz w:val="20"/>
          <w:szCs w:val="20"/>
        </w:rPr>
        <w:t>.,</w:t>
      </w:r>
      <w:r w:rsidR="000E1DD5" w:rsidRPr="000E1DD5">
        <w:rPr>
          <w:rFonts w:ascii="Arial" w:hAnsi="Arial" w:cs="Arial"/>
          <w:sz w:val="20"/>
          <w:szCs w:val="20"/>
        </w:rPr>
        <w:t xml:space="preserve"> Voorhis, F</w:t>
      </w:r>
      <w:r w:rsidR="00F256CD">
        <w:rPr>
          <w:rFonts w:ascii="Arial" w:hAnsi="Arial" w:cs="Arial"/>
          <w:sz w:val="20"/>
          <w:szCs w:val="20"/>
        </w:rPr>
        <w:t>.</w:t>
      </w:r>
      <w:r w:rsidR="000E1DD5" w:rsidRPr="000E1DD5">
        <w:rPr>
          <w:rFonts w:ascii="Arial" w:hAnsi="Arial" w:cs="Arial"/>
          <w:sz w:val="20"/>
          <w:szCs w:val="20"/>
        </w:rPr>
        <w:t xml:space="preserve"> L.</w:t>
      </w:r>
      <w:r w:rsidR="00F256CD">
        <w:rPr>
          <w:rFonts w:ascii="Arial" w:hAnsi="Arial" w:cs="Arial"/>
          <w:sz w:val="20"/>
          <w:szCs w:val="20"/>
        </w:rPr>
        <w:t>,</w:t>
      </w:r>
      <w:r w:rsidR="000E1DD5" w:rsidRPr="000E1DD5">
        <w:rPr>
          <w:rFonts w:ascii="Arial" w:hAnsi="Arial" w:cs="Arial"/>
          <w:sz w:val="20"/>
          <w:szCs w:val="20"/>
        </w:rPr>
        <w:t xml:space="preserve"> Martin, C</w:t>
      </w:r>
      <w:r w:rsidR="00F256CD">
        <w:rPr>
          <w:rFonts w:ascii="Arial" w:hAnsi="Arial" w:cs="Arial"/>
          <w:sz w:val="20"/>
          <w:szCs w:val="20"/>
        </w:rPr>
        <w:t>.</w:t>
      </w:r>
      <w:r w:rsidR="000E1DD5" w:rsidRPr="000E1DD5">
        <w:rPr>
          <w:rFonts w:ascii="Arial" w:hAnsi="Arial" w:cs="Arial"/>
          <w:sz w:val="20"/>
          <w:szCs w:val="20"/>
        </w:rPr>
        <w:t xml:space="preserve"> S.</w:t>
      </w:r>
      <w:r w:rsidR="00F256CD">
        <w:rPr>
          <w:rFonts w:ascii="Arial" w:hAnsi="Arial" w:cs="Arial"/>
          <w:sz w:val="20"/>
          <w:szCs w:val="20"/>
        </w:rPr>
        <w:t>,</w:t>
      </w:r>
      <w:r w:rsidR="000E1DD5" w:rsidRPr="000E1DD5">
        <w:rPr>
          <w:rFonts w:ascii="Arial" w:hAnsi="Arial" w:cs="Arial"/>
          <w:sz w:val="20"/>
          <w:szCs w:val="20"/>
        </w:rPr>
        <w:t xml:space="preserve"> Thomas, B</w:t>
      </w:r>
      <w:r w:rsidR="00F256CD">
        <w:rPr>
          <w:rFonts w:ascii="Arial" w:hAnsi="Arial" w:cs="Arial"/>
          <w:sz w:val="20"/>
          <w:szCs w:val="20"/>
        </w:rPr>
        <w:t>.</w:t>
      </w:r>
      <w:r w:rsidR="000E1DD5" w:rsidRPr="000E1DD5">
        <w:rPr>
          <w:rFonts w:ascii="Arial" w:hAnsi="Arial" w:cs="Arial"/>
          <w:sz w:val="20"/>
          <w:szCs w:val="20"/>
        </w:rPr>
        <w:t xml:space="preserve"> G.</w:t>
      </w:r>
      <w:r w:rsidR="00F256CD">
        <w:rPr>
          <w:rFonts w:ascii="Arial" w:hAnsi="Arial" w:cs="Arial"/>
          <w:sz w:val="20"/>
          <w:szCs w:val="20"/>
        </w:rPr>
        <w:t>,</w:t>
      </w:r>
      <w:r w:rsidR="000E1DD5" w:rsidRPr="000E1DD5">
        <w:rPr>
          <w:rFonts w:ascii="Arial" w:hAnsi="Arial" w:cs="Arial"/>
          <w:sz w:val="20"/>
          <w:szCs w:val="20"/>
        </w:rPr>
        <w:t xml:space="preserve"> Greenfeld, M</w:t>
      </w:r>
      <w:r w:rsidR="00EA6004">
        <w:rPr>
          <w:rFonts w:ascii="Arial" w:hAnsi="Arial" w:cs="Arial"/>
          <w:sz w:val="20"/>
          <w:szCs w:val="20"/>
        </w:rPr>
        <w:t>.</w:t>
      </w:r>
      <w:r w:rsidR="000E1DD5" w:rsidRPr="000E1DD5">
        <w:rPr>
          <w:rFonts w:ascii="Arial" w:hAnsi="Arial" w:cs="Arial"/>
          <w:sz w:val="20"/>
          <w:szCs w:val="20"/>
        </w:rPr>
        <w:t xml:space="preserve"> D.</w:t>
      </w:r>
      <w:r w:rsidR="00EA6004">
        <w:rPr>
          <w:rFonts w:ascii="Arial" w:hAnsi="Arial" w:cs="Arial"/>
          <w:sz w:val="20"/>
          <w:szCs w:val="20"/>
        </w:rPr>
        <w:t>,</w:t>
      </w:r>
      <w:r w:rsidR="000E1DD5" w:rsidRPr="000E1DD5">
        <w:rPr>
          <w:rFonts w:ascii="Arial" w:hAnsi="Arial" w:cs="Arial"/>
          <w:sz w:val="20"/>
          <w:szCs w:val="20"/>
        </w:rPr>
        <w:t xml:space="preserve"> Hutchins, D</w:t>
      </w:r>
      <w:r w:rsidR="00EA6004">
        <w:rPr>
          <w:rFonts w:ascii="Arial" w:hAnsi="Arial" w:cs="Arial"/>
          <w:sz w:val="20"/>
          <w:szCs w:val="20"/>
        </w:rPr>
        <w:t>.</w:t>
      </w:r>
      <w:r w:rsidR="000E1DD5" w:rsidRPr="000E1DD5">
        <w:rPr>
          <w:rFonts w:ascii="Arial" w:hAnsi="Arial" w:cs="Arial"/>
          <w:sz w:val="20"/>
          <w:szCs w:val="20"/>
        </w:rPr>
        <w:t xml:space="preserve"> J.</w:t>
      </w:r>
      <w:r w:rsidR="00EA6004">
        <w:rPr>
          <w:rFonts w:ascii="Arial" w:hAnsi="Arial" w:cs="Arial"/>
          <w:sz w:val="20"/>
          <w:szCs w:val="20"/>
        </w:rPr>
        <w:t>,</w:t>
      </w:r>
      <w:r w:rsidR="000E1DD5" w:rsidRPr="000E1DD5">
        <w:rPr>
          <w:rFonts w:ascii="Arial" w:hAnsi="Arial" w:cs="Arial"/>
          <w:sz w:val="20"/>
          <w:szCs w:val="20"/>
        </w:rPr>
        <w:t xml:space="preserve"> Williams, K</w:t>
      </w:r>
      <w:r w:rsidR="00EA6004">
        <w:rPr>
          <w:rFonts w:ascii="Arial" w:hAnsi="Arial" w:cs="Arial"/>
          <w:sz w:val="20"/>
          <w:szCs w:val="20"/>
        </w:rPr>
        <w:t>. J</w:t>
      </w:r>
      <w:r w:rsidRPr="0092759D">
        <w:rPr>
          <w:rFonts w:ascii="Arial" w:hAnsi="Arial" w:cs="Arial"/>
          <w:sz w:val="20"/>
          <w:szCs w:val="20"/>
        </w:rPr>
        <w:t xml:space="preserve">. (2019). </w:t>
      </w:r>
      <w:r w:rsidRPr="0092759D">
        <w:rPr>
          <w:rStyle w:val="Emphasis"/>
          <w:rFonts w:ascii="Arial" w:hAnsi="Arial" w:cs="Arial"/>
          <w:sz w:val="20"/>
          <w:szCs w:val="20"/>
        </w:rPr>
        <w:t>School, family, and community partnerships: Your handbook for action</w:t>
      </w:r>
      <w:r w:rsidRPr="0092759D">
        <w:rPr>
          <w:rFonts w:ascii="Arial" w:hAnsi="Arial" w:cs="Arial"/>
          <w:sz w:val="20"/>
          <w:szCs w:val="20"/>
        </w:rPr>
        <w:t xml:space="preserve"> (4th ed.). Corwin Press.</w:t>
      </w:r>
    </w:p>
    <w:p w14:paraId="1A757926" w14:textId="77777777" w:rsidR="00BE3326" w:rsidRDefault="00BE3326" w:rsidP="003D0BD2">
      <w:pPr>
        <w:rPr>
          <w:rFonts w:ascii="Arial" w:hAnsi="Arial" w:cs="Arial"/>
        </w:rPr>
      </w:pPr>
      <w:r>
        <w:rPr>
          <w:rFonts w:ascii="Arial" w:hAnsi="Arial" w:cs="Arial"/>
        </w:rPr>
        <w:t>Estrada, F., &amp; Mori, G. (2025</w:t>
      </w:r>
      <w:r w:rsidRPr="002A0DF5">
        <w:rPr>
          <w:rFonts w:ascii="Arial" w:hAnsi="Arial" w:cs="Arial"/>
        </w:rPr>
        <w:t xml:space="preserve">). Stakeholders’ participation and challenges in school activities. </w:t>
      </w:r>
      <w:r w:rsidRPr="002A0DF5">
        <w:rPr>
          <w:rFonts w:ascii="Arial" w:hAnsi="Arial" w:cs="Arial"/>
          <w:i/>
          <w:iCs/>
        </w:rPr>
        <w:t>HO CHI MINH CITY OPEN UNIVERSITY JOURNAL OF SCIENCE - SOCIAL SCIENCES</w:t>
      </w:r>
      <w:r w:rsidRPr="002A0DF5">
        <w:rPr>
          <w:rFonts w:ascii="Arial" w:hAnsi="Arial" w:cs="Arial"/>
        </w:rPr>
        <w:t xml:space="preserve">, </w:t>
      </w:r>
      <w:r w:rsidRPr="002A0DF5">
        <w:rPr>
          <w:rFonts w:ascii="Arial" w:hAnsi="Arial" w:cs="Arial"/>
          <w:i/>
          <w:iCs/>
        </w:rPr>
        <w:t>16</w:t>
      </w:r>
      <w:r w:rsidRPr="002A0DF5">
        <w:rPr>
          <w:rFonts w:ascii="Arial" w:hAnsi="Arial" w:cs="Arial"/>
        </w:rPr>
        <w:t xml:space="preserve">(9). </w:t>
      </w:r>
      <w:hyperlink r:id="rId24" w:history="1">
        <w:r w:rsidRPr="003D6F95">
          <w:rPr>
            <w:rStyle w:val="Hyperlink"/>
            <w:rFonts w:ascii="Arial" w:hAnsi="Arial" w:cs="Arial"/>
          </w:rPr>
          <w:t>https://doi.org/10.46223/HCMCOUJS.SOCI.EN.16.9.4473.2026</w:t>
        </w:r>
      </w:hyperlink>
      <w:r w:rsidRPr="003D6F95">
        <w:rPr>
          <w:rFonts w:ascii="Arial" w:hAnsi="Arial" w:cs="Arial"/>
        </w:rPr>
        <w:t xml:space="preserve"> </w:t>
      </w:r>
    </w:p>
    <w:p w14:paraId="27B56C31" w14:textId="48FD7B62" w:rsidR="00BE3326" w:rsidRDefault="00BE3326" w:rsidP="00AF7C65">
      <w:pPr>
        <w:pStyle w:val="whitespace-normal"/>
        <w:spacing w:before="0" w:beforeAutospacing="0" w:after="0" w:afterAutospacing="0"/>
        <w:jc w:val="both"/>
        <w:rPr>
          <w:rFonts w:ascii="Arial" w:hAnsi="Arial" w:cs="Arial"/>
          <w:sz w:val="20"/>
          <w:szCs w:val="20"/>
        </w:rPr>
      </w:pPr>
      <w:r w:rsidRPr="0092759D">
        <w:rPr>
          <w:rFonts w:ascii="Arial" w:hAnsi="Arial" w:cs="Arial"/>
          <w:sz w:val="20"/>
          <w:szCs w:val="20"/>
        </w:rPr>
        <w:t xml:space="preserve">Fullan, M. (2007). </w:t>
      </w:r>
      <w:r w:rsidRPr="0092759D">
        <w:rPr>
          <w:rStyle w:val="Emphasis"/>
          <w:rFonts w:ascii="Arial" w:hAnsi="Arial" w:cs="Arial"/>
          <w:sz w:val="20"/>
          <w:szCs w:val="20"/>
        </w:rPr>
        <w:t>The new meaning of educational change</w:t>
      </w:r>
      <w:r w:rsidRPr="0092759D">
        <w:rPr>
          <w:rFonts w:ascii="Arial" w:hAnsi="Arial" w:cs="Arial"/>
          <w:sz w:val="20"/>
          <w:szCs w:val="20"/>
        </w:rPr>
        <w:t xml:space="preserve"> (4th ed.). Teachers College Press.</w:t>
      </w:r>
    </w:p>
    <w:p w14:paraId="3F734BB3" w14:textId="7C924AF5" w:rsidR="0052548B" w:rsidRPr="0052548B" w:rsidRDefault="0052548B" w:rsidP="0052548B">
      <w:pPr>
        <w:jc w:val="both"/>
        <w:rPr>
          <w:rFonts w:ascii="Arial" w:hAnsi="Arial" w:cs="Arial"/>
          <w:szCs w:val="24"/>
        </w:rPr>
      </w:pPr>
      <w:proofErr w:type="spellStart"/>
      <w:r w:rsidRPr="0052548B">
        <w:rPr>
          <w:rFonts w:ascii="Arial" w:hAnsi="Arial" w:cs="Arial"/>
          <w:szCs w:val="24"/>
        </w:rPr>
        <w:t>Rini</w:t>
      </w:r>
      <w:proofErr w:type="spellEnd"/>
      <w:r w:rsidRPr="0052548B">
        <w:rPr>
          <w:rFonts w:ascii="Arial" w:hAnsi="Arial" w:cs="Arial"/>
          <w:szCs w:val="24"/>
        </w:rPr>
        <w:t xml:space="preserve">, R., </w:t>
      </w:r>
      <w:proofErr w:type="spellStart"/>
      <w:r w:rsidRPr="0052548B">
        <w:rPr>
          <w:rFonts w:ascii="Arial" w:hAnsi="Arial" w:cs="Arial"/>
          <w:szCs w:val="24"/>
        </w:rPr>
        <w:t>Sukamto</w:t>
      </w:r>
      <w:proofErr w:type="spellEnd"/>
      <w:r w:rsidRPr="0052548B">
        <w:rPr>
          <w:rFonts w:ascii="Arial" w:hAnsi="Arial" w:cs="Arial"/>
          <w:szCs w:val="24"/>
        </w:rPr>
        <w:t xml:space="preserve">, I., </w:t>
      </w:r>
      <w:proofErr w:type="spellStart"/>
      <w:r w:rsidRPr="0052548B">
        <w:rPr>
          <w:rFonts w:ascii="Arial" w:hAnsi="Arial" w:cs="Arial"/>
          <w:szCs w:val="24"/>
        </w:rPr>
        <w:t>Ridwan</w:t>
      </w:r>
      <w:proofErr w:type="spellEnd"/>
      <w:r w:rsidRPr="0052548B">
        <w:rPr>
          <w:rFonts w:ascii="Arial" w:hAnsi="Arial" w:cs="Arial"/>
          <w:szCs w:val="24"/>
        </w:rPr>
        <w:t xml:space="preserve">, R., &amp; Hariri, H. (2020). School-Based Management in Indonesia: Decision-Making, Problems, and Problem-Solving Strategy. </w:t>
      </w:r>
      <w:r w:rsidRPr="0052548B">
        <w:rPr>
          <w:rFonts w:ascii="Arial" w:hAnsi="Arial" w:cs="Arial"/>
          <w:i/>
          <w:iCs/>
          <w:szCs w:val="24"/>
        </w:rPr>
        <w:t xml:space="preserve">International </w:t>
      </w:r>
      <w:r w:rsidRPr="0052548B">
        <w:rPr>
          <w:rFonts w:ascii="Arial" w:hAnsi="Arial" w:cs="Arial"/>
          <w:i/>
          <w:iCs/>
          <w:szCs w:val="24"/>
        </w:rPr>
        <w:lastRenderedPageBreak/>
        <w:t>Conference on Progressive Education (ICOPE 2019)</w:t>
      </w:r>
      <w:r w:rsidRPr="0052548B">
        <w:rPr>
          <w:rFonts w:ascii="Arial" w:hAnsi="Arial" w:cs="Arial"/>
          <w:szCs w:val="24"/>
        </w:rPr>
        <w:t xml:space="preserve">, 229. </w:t>
      </w:r>
      <w:hyperlink r:id="rId25" w:history="1">
        <w:r w:rsidRPr="0052548B">
          <w:rPr>
            <w:rStyle w:val="Hyperlink"/>
            <w:rFonts w:ascii="Arial" w:hAnsi="Arial" w:cs="Arial"/>
            <w:szCs w:val="24"/>
          </w:rPr>
          <w:t>https://doi.org/10.2991/ASSEHR.K.200323.125</w:t>
        </w:r>
      </w:hyperlink>
      <w:r w:rsidRPr="0052548B">
        <w:rPr>
          <w:rFonts w:ascii="Arial" w:hAnsi="Arial" w:cs="Arial"/>
          <w:szCs w:val="24"/>
        </w:rPr>
        <w:t xml:space="preserve"> </w:t>
      </w:r>
    </w:p>
    <w:p w14:paraId="76044EEB" w14:textId="77777777" w:rsidR="00BE3326" w:rsidRPr="00E9697E" w:rsidRDefault="00BE3326" w:rsidP="00E9697E">
      <w:pPr>
        <w:jc w:val="both"/>
        <w:rPr>
          <w:rFonts w:ascii="Arial" w:hAnsi="Arial" w:cs="Arial"/>
          <w:szCs w:val="24"/>
        </w:rPr>
      </w:pPr>
      <w:r w:rsidRPr="00E9697E">
        <w:rPr>
          <w:rFonts w:ascii="Arial" w:hAnsi="Arial" w:cs="Arial"/>
          <w:szCs w:val="24"/>
        </w:rPr>
        <w:t xml:space="preserve">Gillen, S. M. </w:t>
      </w:r>
      <w:r w:rsidRPr="00842F10">
        <w:rPr>
          <w:rFonts w:ascii="Arial" w:hAnsi="Arial" w:cs="Arial"/>
          <w:szCs w:val="24"/>
        </w:rPr>
        <w:t xml:space="preserve">(2024). STAKEHOLDER ENGAGEMENT: CHALLENGES, METRICS, AND TACTICAL SOLUTIONS IN HIGHER EDUCATION STRATEGIC PLANNING. </w:t>
      </w:r>
      <w:r w:rsidRPr="00842F10">
        <w:rPr>
          <w:rFonts w:ascii="Arial" w:hAnsi="Arial" w:cs="Arial"/>
          <w:i/>
          <w:iCs/>
          <w:szCs w:val="24"/>
        </w:rPr>
        <w:t>Murray State Theses and Dissertations</w:t>
      </w:r>
      <w:r w:rsidRPr="00842F10">
        <w:rPr>
          <w:rFonts w:ascii="Arial" w:hAnsi="Arial" w:cs="Arial"/>
          <w:szCs w:val="24"/>
        </w:rPr>
        <w:t xml:space="preserve">. </w:t>
      </w:r>
      <w:hyperlink r:id="rId26" w:history="1">
        <w:r w:rsidRPr="00E9697E">
          <w:rPr>
            <w:rStyle w:val="Hyperlink"/>
            <w:rFonts w:ascii="Arial" w:hAnsi="Arial" w:cs="Arial"/>
            <w:szCs w:val="24"/>
          </w:rPr>
          <w:t>https://digitalcommons.murraystate.edu/etd/362</w:t>
        </w:r>
      </w:hyperlink>
    </w:p>
    <w:p w14:paraId="1E547347" w14:textId="77777777" w:rsidR="00BE3326" w:rsidRDefault="00BE3326" w:rsidP="00653D12">
      <w:pPr>
        <w:jc w:val="both"/>
        <w:rPr>
          <w:rFonts w:ascii="Arial" w:hAnsi="Arial" w:cs="Arial"/>
          <w:szCs w:val="24"/>
        </w:rPr>
      </w:pPr>
      <w:r w:rsidRPr="00DA630B">
        <w:rPr>
          <w:rFonts w:ascii="Arial" w:hAnsi="Arial" w:cs="Arial"/>
          <w:szCs w:val="24"/>
        </w:rPr>
        <w:t>Guzman, J. C. (2022). STAKEHOLDERS’ PARTICIPATION IN SCH</w:t>
      </w:r>
      <w:r>
        <w:rPr>
          <w:rFonts w:ascii="Arial" w:hAnsi="Arial" w:cs="Arial"/>
          <w:szCs w:val="24"/>
        </w:rPr>
        <w:t>OOL IMPROVEMENT PLAN AND SCHOOL</w:t>
      </w:r>
      <w:r w:rsidRPr="00DA630B">
        <w:rPr>
          <w:rFonts w:ascii="Arial" w:hAnsi="Arial" w:cs="Arial"/>
          <w:szCs w:val="24"/>
        </w:rPr>
        <w:t xml:space="preserve"> PERFORMANCE OF SECONDARY SCHOOLS. </w:t>
      </w:r>
      <w:r w:rsidRPr="00DA630B">
        <w:rPr>
          <w:rFonts w:ascii="Arial" w:hAnsi="Arial" w:cs="Arial"/>
          <w:i/>
          <w:iCs/>
          <w:szCs w:val="24"/>
        </w:rPr>
        <w:t>International Journal of Arts, Sciences and Education</w:t>
      </w:r>
      <w:r w:rsidRPr="00DA630B">
        <w:rPr>
          <w:rFonts w:ascii="Arial" w:hAnsi="Arial" w:cs="Arial"/>
          <w:szCs w:val="24"/>
        </w:rPr>
        <w:t xml:space="preserve">, </w:t>
      </w:r>
      <w:r w:rsidRPr="00DA630B">
        <w:rPr>
          <w:rFonts w:ascii="Arial" w:hAnsi="Arial" w:cs="Arial"/>
          <w:i/>
          <w:iCs/>
          <w:szCs w:val="24"/>
        </w:rPr>
        <w:t>3</w:t>
      </w:r>
      <w:r w:rsidRPr="00DA630B">
        <w:rPr>
          <w:rFonts w:ascii="Arial" w:hAnsi="Arial" w:cs="Arial"/>
          <w:szCs w:val="24"/>
        </w:rPr>
        <w:t xml:space="preserve">(July Special Issue), 51–66. </w:t>
      </w:r>
      <w:hyperlink r:id="rId27" w:history="1">
        <w:r w:rsidRPr="00C04DA8">
          <w:rPr>
            <w:rStyle w:val="Hyperlink"/>
            <w:rFonts w:ascii="Arial" w:hAnsi="Arial" w:cs="Arial"/>
            <w:szCs w:val="24"/>
          </w:rPr>
          <w:t>https://ijase.org/index.php/ijase/article/view/159</w:t>
        </w:r>
      </w:hyperlink>
    </w:p>
    <w:p w14:paraId="28D71F78" w14:textId="77777777" w:rsidR="00BE3326" w:rsidRPr="00FE28B0" w:rsidRDefault="00BE3326" w:rsidP="00FE28B0">
      <w:pPr>
        <w:jc w:val="both"/>
        <w:rPr>
          <w:rFonts w:ascii="Arial" w:hAnsi="Arial" w:cs="Arial"/>
          <w:szCs w:val="24"/>
        </w:rPr>
      </w:pPr>
      <w:r w:rsidRPr="003D0BD2">
        <w:rPr>
          <w:rFonts w:ascii="Arial" w:hAnsi="Arial" w:cs="Arial"/>
          <w:szCs w:val="24"/>
        </w:rPr>
        <w:t xml:space="preserve">Hadley, F., Harrison, L. J., Lavina, L., </w:t>
      </w:r>
      <w:proofErr w:type="spellStart"/>
      <w:r w:rsidRPr="003D0BD2">
        <w:rPr>
          <w:rFonts w:ascii="Arial" w:hAnsi="Arial" w:cs="Arial"/>
          <w:szCs w:val="24"/>
        </w:rPr>
        <w:t>Barblett</w:t>
      </w:r>
      <w:proofErr w:type="spellEnd"/>
      <w:r w:rsidRPr="003D0BD2">
        <w:rPr>
          <w:rFonts w:ascii="Arial" w:hAnsi="Arial" w:cs="Arial"/>
          <w:szCs w:val="24"/>
        </w:rPr>
        <w:t xml:space="preserve">, L., Irvine, S., Bobongie-Harris, F., &amp; Cartmel, J. (2023). Engaging stakeholders to inform policy developments in early childhood education and outside school hours care. </w:t>
      </w:r>
      <w:r w:rsidRPr="003D0BD2">
        <w:rPr>
          <w:rFonts w:ascii="Arial" w:hAnsi="Arial" w:cs="Arial"/>
          <w:i/>
          <w:iCs/>
          <w:szCs w:val="24"/>
        </w:rPr>
        <w:t>Frontiers in Education</w:t>
      </w:r>
      <w:r w:rsidRPr="003D0BD2">
        <w:rPr>
          <w:rFonts w:ascii="Arial" w:hAnsi="Arial" w:cs="Arial"/>
          <w:szCs w:val="24"/>
        </w:rPr>
        <w:t xml:space="preserve">, </w:t>
      </w:r>
      <w:r w:rsidRPr="003D0BD2">
        <w:rPr>
          <w:rFonts w:ascii="Arial" w:hAnsi="Arial" w:cs="Arial"/>
          <w:i/>
          <w:iCs/>
          <w:szCs w:val="24"/>
        </w:rPr>
        <w:t>8</w:t>
      </w:r>
      <w:r w:rsidRPr="003D0BD2">
        <w:rPr>
          <w:rFonts w:ascii="Arial" w:hAnsi="Arial" w:cs="Arial"/>
          <w:szCs w:val="24"/>
        </w:rPr>
        <w:t xml:space="preserve">, 1212952. </w:t>
      </w:r>
      <w:hyperlink r:id="rId28" w:history="1">
        <w:r w:rsidRPr="00FE28B0">
          <w:rPr>
            <w:rStyle w:val="Hyperlink"/>
            <w:rFonts w:ascii="Arial" w:hAnsi="Arial" w:cs="Arial"/>
            <w:szCs w:val="24"/>
          </w:rPr>
          <w:t>https://doi.org/10.3389/FEDUC.2023.1212952/BIBTEX</w:t>
        </w:r>
      </w:hyperlink>
    </w:p>
    <w:p w14:paraId="5FDF0CAB" w14:textId="77777777" w:rsidR="00BE3326" w:rsidRPr="0092759D" w:rsidRDefault="00BE3326" w:rsidP="00AF7C65">
      <w:pPr>
        <w:pStyle w:val="whitespace-normal"/>
        <w:spacing w:before="0" w:beforeAutospacing="0" w:after="0" w:afterAutospacing="0"/>
        <w:jc w:val="both"/>
        <w:rPr>
          <w:rFonts w:ascii="Arial" w:hAnsi="Arial" w:cs="Arial"/>
          <w:sz w:val="20"/>
          <w:szCs w:val="20"/>
        </w:rPr>
      </w:pPr>
      <w:r w:rsidRPr="0092759D">
        <w:rPr>
          <w:rFonts w:ascii="Arial" w:hAnsi="Arial" w:cs="Arial"/>
          <w:sz w:val="20"/>
          <w:szCs w:val="20"/>
        </w:rPr>
        <w:t xml:space="preserve">Henderson, A. T., &amp; Mapp, K. L. (2002). </w:t>
      </w:r>
      <w:r w:rsidRPr="0092759D">
        <w:rPr>
          <w:rStyle w:val="Emphasis"/>
          <w:rFonts w:ascii="Arial" w:hAnsi="Arial" w:cs="Arial"/>
          <w:sz w:val="20"/>
          <w:szCs w:val="20"/>
        </w:rPr>
        <w:t>A new wave of evidence: The impact of school, family, and community connections on student achievement</w:t>
      </w:r>
      <w:r w:rsidRPr="0092759D">
        <w:rPr>
          <w:rFonts w:ascii="Arial" w:hAnsi="Arial" w:cs="Arial"/>
          <w:sz w:val="20"/>
          <w:szCs w:val="20"/>
        </w:rPr>
        <w:t>. Southwest Educational Development Laboratory.</w:t>
      </w:r>
    </w:p>
    <w:p w14:paraId="0AF5E04E" w14:textId="77777777" w:rsidR="00BE3326" w:rsidRPr="0092759D" w:rsidRDefault="00BE3326" w:rsidP="00AF7C65">
      <w:pPr>
        <w:pStyle w:val="whitespace-normal"/>
        <w:spacing w:before="0" w:beforeAutospacing="0" w:after="0" w:afterAutospacing="0"/>
        <w:jc w:val="both"/>
        <w:rPr>
          <w:rFonts w:ascii="Arial" w:hAnsi="Arial" w:cs="Arial"/>
          <w:sz w:val="20"/>
          <w:szCs w:val="20"/>
        </w:rPr>
      </w:pPr>
      <w:r w:rsidRPr="0092759D">
        <w:rPr>
          <w:rFonts w:ascii="Arial" w:hAnsi="Arial" w:cs="Arial"/>
          <w:sz w:val="20"/>
          <w:szCs w:val="20"/>
        </w:rPr>
        <w:t xml:space="preserve">Hill, P. T., &amp; Lake, R. J. (2002). Standards and accountability in Washington State. In D. Ravitch (Ed.), </w:t>
      </w:r>
      <w:r w:rsidRPr="0092759D">
        <w:rPr>
          <w:rStyle w:val="Emphasis"/>
          <w:rFonts w:ascii="Arial" w:hAnsi="Arial" w:cs="Arial"/>
          <w:sz w:val="20"/>
          <w:szCs w:val="20"/>
        </w:rPr>
        <w:t>Brookings papers on education policy</w:t>
      </w:r>
      <w:r w:rsidRPr="0092759D">
        <w:rPr>
          <w:rFonts w:ascii="Arial" w:hAnsi="Arial" w:cs="Arial"/>
          <w:sz w:val="20"/>
          <w:szCs w:val="20"/>
        </w:rPr>
        <w:t xml:space="preserve"> (pp. 199-234). Brookings Institution Press.</w:t>
      </w:r>
    </w:p>
    <w:p w14:paraId="15AABE32" w14:textId="77777777" w:rsidR="00BE3326" w:rsidRPr="007131DA" w:rsidRDefault="00BE3326" w:rsidP="007131DA">
      <w:pPr>
        <w:jc w:val="both"/>
        <w:rPr>
          <w:rFonts w:ascii="Arial" w:hAnsi="Arial" w:cs="Arial"/>
          <w:szCs w:val="24"/>
        </w:rPr>
      </w:pPr>
      <w:r w:rsidRPr="00874938">
        <w:rPr>
          <w:rFonts w:ascii="Arial" w:hAnsi="Arial" w:cs="Arial"/>
          <w:szCs w:val="24"/>
        </w:rPr>
        <w:t xml:space="preserve">Jaso, G. G., &amp; </w:t>
      </w:r>
      <w:proofErr w:type="spellStart"/>
      <w:r w:rsidRPr="00874938">
        <w:rPr>
          <w:rFonts w:ascii="Arial" w:hAnsi="Arial" w:cs="Arial"/>
          <w:szCs w:val="24"/>
        </w:rPr>
        <w:t>Moleño</w:t>
      </w:r>
      <w:proofErr w:type="spellEnd"/>
      <w:r w:rsidRPr="00874938">
        <w:rPr>
          <w:rFonts w:ascii="Arial" w:hAnsi="Arial" w:cs="Arial"/>
          <w:szCs w:val="24"/>
        </w:rPr>
        <w:t>, R. B. (2023). Extent of Participation of Schools’ Stakeholders to School-ini</w:t>
      </w:r>
      <w:r>
        <w:rPr>
          <w:rFonts w:ascii="Arial" w:hAnsi="Arial" w:cs="Arial"/>
          <w:szCs w:val="24"/>
        </w:rPr>
        <w:t>tiated Activities: A Convergent</w:t>
      </w:r>
      <w:r w:rsidRPr="00874938">
        <w:rPr>
          <w:rFonts w:ascii="Arial" w:hAnsi="Arial" w:cs="Arial"/>
          <w:szCs w:val="24"/>
        </w:rPr>
        <w:t xml:space="preserve"> Parallel Approach. </w:t>
      </w:r>
      <w:r w:rsidRPr="00874938">
        <w:rPr>
          <w:rFonts w:ascii="Arial" w:hAnsi="Arial" w:cs="Arial"/>
          <w:i/>
          <w:iCs/>
          <w:szCs w:val="24"/>
        </w:rPr>
        <w:t>Asian Journal of Education and Social Studies</w:t>
      </w:r>
      <w:r w:rsidRPr="00874938">
        <w:rPr>
          <w:rFonts w:ascii="Arial" w:hAnsi="Arial" w:cs="Arial"/>
          <w:szCs w:val="24"/>
        </w:rPr>
        <w:t xml:space="preserve">, </w:t>
      </w:r>
      <w:r w:rsidRPr="00874938">
        <w:rPr>
          <w:rFonts w:ascii="Arial" w:hAnsi="Arial" w:cs="Arial"/>
          <w:i/>
          <w:iCs/>
          <w:szCs w:val="24"/>
        </w:rPr>
        <w:t>49</w:t>
      </w:r>
      <w:r w:rsidRPr="00874938">
        <w:rPr>
          <w:rFonts w:ascii="Arial" w:hAnsi="Arial" w:cs="Arial"/>
          <w:szCs w:val="24"/>
        </w:rPr>
        <w:t xml:space="preserve">(4), 278–293. </w:t>
      </w:r>
      <w:hyperlink r:id="rId29" w:history="1">
        <w:r w:rsidRPr="007131DA">
          <w:rPr>
            <w:rStyle w:val="Hyperlink"/>
            <w:rFonts w:ascii="Arial" w:hAnsi="Arial" w:cs="Arial"/>
            <w:szCs w:val="24"/>
          </w:rPr>
          <w:t>https://doi.org/10.9734/AJESS/2023/V49I41207</w:t>
        </w:r>
      </w:hyperlink>
    </w:p>
    <w:p w14:paraId="524F3DEF" w14:textId="77777777" w:rsidR="00BE3326" w:rsidRPr="0092759D" w:rsidRDefault="00BE3326" w:rsidP="00AF7C65">
      <w:pPr>
        <w:pStyle w:val="whitespace-normal"/>
        <w:spacing w:before="0" w:beforeAutospacing="0" w:after="0" w:afterAutospacing="0"/>
        <w:jc w:val="both"/>
        <w:rPr>
          <w:rFonts w:ascii="Arial" w:hAnsi="Arial" w:cs="Arial"/>
          <w:sz w:val="20"/>
          <w:szCs w:val="20"/>
        </w:rPr>
      </w:pPr>
      <w:proofErr w:type="spellStart"/>
      <w:r w:rsidRPr="0092759D">
        <w:rPr>
          <w:rFonts w:ascii="Arial" w:hAnsi="Arial" w:cs="Arial"/>
          <w:sz w:val="20"/>
          <w:szCs w:val="20"/>
        </w:rPr>
        <w:t>Leithwood</w:t>
      </w:r>
      <w:proofErr w:type="spellEnd"/>
      <w:r w:rsidRPr="0092759D">
        <w:rPr>
          <w:rFonts w:ascii="Arial" w:hAnsi="Arial" w:cs="Arial"/>
          <w:sz w:val="20"/>
          <w:szCs w:val="20"/>
        </w:rPr>
        <w:t xml:space="preserve">, K., &amp; Menzies, T. (1998). Forms and effects of school-based management: A review. </w:t>
      </w:r>
      <w:r w:rsidRPr="005D3303">
        <w:rPr>
          <w:rStyle w:val="Emphasis"/>
          <w:rFonts w:ascii="Arial" w:hAnsi="Arial" w:cs="Arial"/>
          <w:i w:val="0"/>
          <w:sz w:val="20"/>
          <w:szCs w:val="20"/>
        </w:rPr>
        <w:t>Educational Policy</w:t>
      </w:r>
      <w:r w:rsidRPr="005D3303">
        <w:rPr>
          <w:rFonts w:ascii="Arial" w:hAnsi="Arial" w:cs="Arial"/>
          <w:i/>
          <w:sz w:val="20"/>
          <w:szCs w:val="20"/>
        </w:rPr>
        <w:t>, 12</w:t>
      </w:r>
      <w:r w:rsidRPr="0092759D">
        <w:rPr>
          <w:rFonts w:ascii="Arial" w:hAnsi="Arial" w:cs="Arial"/>
          <w:sz w:val="20"/>
          <w:szCs w:val="20"/>
        </w:rPr>
        <w:t>(3), 325-346.</w:t>
      </w:r>
    </w:p>
    <w:p w14:paraId="4507D563" w14:textId="77777777" w:rsidR="00BE3326" w:rsidRDefault="00BE3326" w:rsidP="00733348">
      <w:pPr>
        <w:jc w:val="both"/>
        <w:rPr>
          <w:rFonts w:ascii="Arial" w:hAnsi="Arial" w:cs="Arial"/>
        </w:rPr>
      </w:pPr>
      <w:r>
        <w:rPr>
          <w:rFonts w:ascii="Arial" w:hAnsi="Arial" w:cs="Arial"/>
        </w:rPr>
        <w:t>Lucky, A.</w:t>
      </w:r>
      <w:r w:rsidRPr="00D02BCB">
        <w:rPr>
          <w:rFonts w:ascii="Arial" w:hAnsi="Arial" w:cs="Arial"/>
        </w:rPr>
        <w:t xml:space="preserve"> (2025). Transparency and accoun</w:t>
      </w:r>
      <w:r>
        <w:rPr>
          <w:rFonts w:ascii="Arial" w:hAnsi="Arial" w:cs="Arial"/>
        </w:rPr>
        <w:t xml:space="preserve">tability in school governance. </w:t>
      </w:r>
      <w:r w:rsidRPr="00B509D8">
        <w:rPr>
          <w:rFonts w:ascii="Arial" w:hAnsi="Arial" w:cs="Arial"/>
          <w:i/>
        </w:rPr>
        <w:t>IDOSR Journal of Banking Economics and Social Sciences, 10</w:t>
      </w:r>
      <w:r w:rsidRPr="00D02BCB">
        <w:rPr>
          <w:rFonts w:ascii="Arial" w:hAnsi="Arial" w:cs="Arial"/>
        </w:rPr>
        <w:t xml:space="preserve">(1), </w:t>
      </w:r>
      <w:r>
        <w:rPr>
          <w:rFonts w:ascii="Arial" w:hAnsi="Arial" w:cs="Arial"/>
        </w:rPr>
        <w:t xml:space="preserve">8-14. </w:t>
      </w:r>
      <w:hyperlink r:id="rId30" w:history="1">
        <w:r w:rsidRPr="00C04DA8">
          <w:rPr>
            <w:rStyle w:val="Hyperlink"/>
            <w:rFonts w:ascii="Arial" w:hAnsi="Arial" w:cs="Arial"/>
          </w:rPr>
          <w:t>https://doi.org/10.59298/JBESS/2025/101814</w:t>
        </w:r>
      </w:hyperlink>
      <w:r>
        <w:rPr>
          <w:rFonts w:ascii="Arial" w:hAnsi="Arial" w:cs="Arial"/>
        </w:rPr>
        <w:t xml:space="preserve"> </w:t>
      </w:r>
    </w:p>
    <w:p w14:paraId="58920F74" w14:textId="77777777" w:rsidR="00BE3326" w:rsidRPr="0004768F" w:rsidRDefault="00BE3326" w:rsidP="0004768F">
      <w:pPr>
        <w:shd w:val="clear" w:color="auto" w:fill="FFFFFF"/>
        <w:jc w:val="both"/>
        <w:rPr>
          <w:rFonts w:ascii="Arial" w:hAnsi="Arial" w:cs="Arial"/>
        </w:rPr>
      </w:pPr>
      <w:r w:rsidRPr="0004768F">
        <w:rPr>
          <w:rFonts w:ascii="Arial" w:hAnsi="Arial" w:cs="Arial"/>
        </w:rPr>
        <w:t>Malen B., Ogawa R. T., &amp; Kranz J. (1990). What do we know about school based management? A case study of the literature—a call for research. In Clune W. H., &amp; Witte J. F. (Eds.), </w:t>
      </w:r>
      <w:r w:rsidRPr="0004768F">
        <w:rPr>
          <w:rFonts w:ascii="Arial" w:hAnsi="Arial" w:cs="Arial"/>
          <w:i/>
          <w:iCs/>
        </w:rPr>
        <w:t>Choice and control in American education: Vol. 2. The practice of choice, decentralization and school restructuring.</w:t>
      </w:r>
      <w:r w:rsidRPr="0004768F">
        <w:rPr>
          <w:rFonts w:ascii="Arial" w:hAnsi="Arial" w:cs="Arial"/>
        </w:rPr>
        <w:t> London: Falmer.</w:t>
      </w:r>
    </w:p>
    <w:p w14:paraId="7667C2D5" w14:textId="77777777" w:rsidR="00BE3326" w:rsidRPr="00AF3D4D" w:rsidRDefault="00BE3326" w:rsidP="00AF3D4D">
      <w:pPr>
        <w:jc w:val="both"/>
        <w:rPr>
          <w:rFonts w:ascii="Arial" w:hAnsi="Arial" w:cs="Arial"/>
          <w:szCs w:val="24"/>
        </w:rPr>
      </w:pPr>
      <w:r w:rsidRPr="00C450E8">
        <w:rPr>
          <w:rFonts w:ascii="Arial" w:hAnsi="Arial" w:cs="Arial"/>
          <w:szCs w:val="24"/>
        </w:rPr>
        <w:t xml:space="preserve">Murugi, M. R., &amp; </w:t>
      </w:r>
      <w:proofErr w:type="spellStart"/>
      <w:r w:rsidRPr="00C450E8">
        <w:rPr>
          <w:rFonts w:ascii="Arial" w:hAnsi="Arial" w:cs="Arial"/>
          <w:szCs w:val="24"/>
        </w:rPr>
        <w:t>Mugwe</w:t>
      </w:r>
      <w:proofErr w:type="spellEnd"/>
      <w:r w:rsidRPr="00C450E8">
        <w:rPr>
          <w:rFonts w:ascii="Arial" w:hAnsi="Arial" w:cs="Arial"/>
          <w:szCs w:val="24"/>
        </w:rPr>
        <w:t xml:space="preserve">, M. (2023). Stakeholders’ Involvement and School Leadership for Effective Implementation of Strategic Planning. </w:t>
      </w:r>
      <w:r w:rsidRPr="00C450E8">
        <w:rPr>
          <w:rFonts w:ascii="Arial" w:hAnsi="Arial" w:cs="Arial"/>
          <w:i/>
          <w:iCs/>
          <w:szCs w:val="24"/>
        </w:rPr>
        <w:t>Journal of Research Innovation and Implications in Education</w:t>
      </w:r>
      <w:r w:rsidRPr="00C450E8">
        <w:rPr>
          <w:rFonts w:ascii="Arial" w:hAnsi="Arial" w:cs="Arial"/>
          <w:szCs w:val="24"/>
        </w:rPr>
        <w:t xml:space="preserve">, </w:t>
      </w:r>
      <w:r w:rsidRPr="00C450E8">
        <w:rPr>
          <w:rFonts w:ascii="Arial" w:hAnsi="Arial" w:cs="Arial"/>
          <w:i/>
          <w:iCs/>
          <w:szCs w:val="24"/>
        </w:rPr>
        <w:t>7</w:t>
      </w:r>
      <w:r w:rsidRPr="00C450E8">
        <w:rPr>
          <w:rFonts w:ascii="Arial" w:hAnsi="Arial" w:cs="Arial"/>
          <w:szCs w:val="24"/>
        </w:rPr>
        <w:t xml:space="preserve">(2), 277–286. </w:t>
      </w:r>
      <w:hyperlink r:id="rId31" w:history="1">
        <w:r w:rsidRPr="00AF3D4D">
          <w:rPr>
            <w:rStyle w:val="Hyperlink"/>
            <w:rFonts w:ascii="Arial" w:hAnsi="Arial" w:cs="Arial"/>
            <w:szCs w:val="24"/>
          </w:rPr>
          <w:t>https://doi.org/10.59765/fa59zan3</w:t>
        </w:r>
      </w:hyperlink>
    </w:p>
    <w:p w14:paraId="05AA6297" w14:textId="77777777" w:rsidR="00BE3326" w:rsidRDefault="00BE3326" w:rsidP="00AF7C65">
      <w:pPr>
        <w:pStyle w:val="whitespace-normal"/>
        <w:spacing w:before="0" w:beforeAutospacing="0" w:after="0" w:afterAutospacing="0"/>
        <w:jc w:val="both"/>
        <w:rPr>
          <w:rFonts w:ascii="Arial" w:hAnsi="Arial" w:cs="Arial"/>
          <w:sz w:val="20"/>
          <w:szCs w:val="20"/>
        </w:rPr>
      </w:pPr>
      <w:r w:rsidRPr="00A74801">
        <w:rPr>
          <w:rFonts w:ascii="Arial" w:hAnsi="Arial" w:cs="Arial"/>
          <w:sz w:val="20"/>
          <w:szCs w:val="20"/>
        </w:rPr>
        <w:t xml:space="preserve">Nantale, H. (2024). Stakeholder engagement in educational policy development. </w:t>
      </w:r>
      <w:r w:rsidRPr="00AA529D">
        <w:rPr>
          <w:rFonts w:ascii="Arial" w:hAnsi="Arial" w:cs="Arial"/>
          <w:i/>
          <w:sz w:val="20"/>
          <w:szCs w:val="20"/>
        </w:rPr>
        <w:t>Eurasian Experiment Journal of Arts and Management, 6</w:t>
      </w:r>
      <w:r>
        <w:rPr>
          <w:rFonts w:ascii="Arial" w:hAnsi="Arial" w:cs="Arial"/>
          <w:sz w:val="20"/>
          <w:szCs w:val="20"/>
        </w:rPr>
        <w:t>(1</w:t>
      </w:r>
      <w:r w:rsidRPr="00A74801">
        <w:rPr>
          <w:rFonts w:ascii="Arial" w:hAnsi="Arial" w:cs="Arial"/>
          <w:sz w:val="20"/>
          <w:szCs w:val="20"/>
        </w:rPr>
        <w:t xml:space="preserve">), </w:t>
      </w:r>
      <w:r>
        <w:rPr>
          <w:rFonts w:ascii="Arial" w:hAnsi="Arial" w:cs="Arial"/>
          <w:sz w:val="20"/>
          <w:szCs w:val="20"/>
        </w:rPr>
        <w:t>17-20.</w:t>
      </w:r>
    </w:p>
    <w:p w14:paraId="7494DC0C" w14:textId="77777777" w:rsidR="00BE3326" w:rsidRPr="000D380A" w:rsidRDefault="00BE3326" w:rsidP="000D380A">
      <w:pPr>
        <w:jc w:val="both"/>
        <w:rPr>
          <w:rFonts w:ascii="Arial" w:hAnsi="Arial" w:cs="Arial"/>
          <w:szCs w:val="24"/>
        </w:rPr>
      </w:pPr>
      <w:r w:rsidRPr="009674E4">
        <w:rPr>
          <w:rFonts w:ascii="Arial" w:hAnsi="Arial" w:cs="Arial"/>
          <w:szCs w:val="24"/>
        </w:rPr>
        <w:t xml:space="preserve">Ngobeni, S. (2024). Establishing sustainable school-community partnerships: strategies for school management teams. </w:t>
      </w:r>
      <w:r w:rsidRPr="009674E4">
        <w:rPr>
          <w:rFonts w:ascii="Arial" w:hAnsi="Arial" w:cs="Arial"/>
          <w:i/>
          <w:iCs/>
          <w:szCs w:val="24"/>
        </w:rPr>
        <w:t>International Journal of Leadership in Education</w:t>
      </w:r>
      <w:r w:rsidR="00876318">
        <w:rPr>
          <w:rFonts w:ascii="Arial" w:hAnsi="Arial" w:cs="Arial"/>
          <w:i/>
          <w:iCs/>
          <w:szCs w:val="24"/>
        </w:rPr>
        <w:t xml:space="preserve">, </w:t>
      </w:r>
      <w:r w:rsidR="00876318" w:rsidRPr="00872172">
        <w:rPr>
          <w:rFonts w:ascii="Arial" w:hAnsi="Arial" w:cs="Arial"/>
          <w:iCs/>
          <w:szCs w:val="24"/>
        </w:rPr>
        <w:t>1-20</w:t>
      </w:r>
      <w:r w:rsidRPr="009674E4">
        <w:rPr>
          <w:rFonts w:ascii="Arial" w:hAnsi="Arial" w:cs="Arial"/>
          <w:szCs w:val="24"/>
        </w:rPr>
        <w:t xml:space="preserve">. </w:t>
      </w:r>
      <w:hyperlink r:id="rId32" w:history="1">
        <w:r w:rsidRPr="000D380A">
          <w:rPr>
            <w:rStyle w:val="Hyperlink"/>
            <w:rFonts w:ascii="Arial" w:hAnsi="Arial" w:cs="Arial"/>
            <w:szCs w:val="24"/>
          </w:rPr>
          <w:t>https://doi.org/10.1080/13603124.2024.2369987;PAGE:STRING:ARTICLE/CHAPTER</w:t>
        </w:r>
      </w:hyperlink>
    </w:p>
    <w:p w14:paraId="0DCAA41C" w14:textId="77777777" w:rsidR="00BE3326" w:rsidRPr="00793965" w:rsidRDefault="00BE3326" w:rsidP="00793965">
      <w:pPr>
        <w:jc w:val="both"/>
        <w:rPr>
          <w:rFonts w:ascii="Arial" w:hAnsi="Arial" w:cs="Arial"/>
          <w:szCs w:val="24"/>
        </w:rPr>
      </w:pPr>
      <w:r w:rsidRPr="000F5E84">
        <w:rPr>
          <w:rFonts w:ascii="Arial" w:hAnsi="Arial" w:cs="Arial"/>
          <w:szCs w:val="24"/>
        </w:rPr>
        <w:t xml:space="preserve">Peng, Y., Alias, B. S., &amp; Mansor, A. N. (2024). Application of Stakeholder Theory in Education Management: A Comprehensive Systematic Literature Review (SLR). </w:t>
      </w:r>
      <w:r w:rsidRPr="000F5E84">
        <w:rPr>
          <w:rFonts w:ascii="Arial" w:hAnsi="Arial" w:cs="Arial"/>
          <w:i/>
          <w:iCs/>
          <w:szCs w:val="24"/>
        </w:rPr>
        <w:t>International Journal of Learning, Teaching and Educational Research</w:t>
      </w:r>
      <w:r w:rsidRPr="000F5E84">
        <w:rPr>
          <w:rFonts w:ascii="Arial" w:hAnsi="Arial" w:cs="Arial"/>
          <w:szCs w:val="24"/>
        </w:rPr>
        <w:t xml:space="preserve">, </w:t>
      </w:r>
      <w:r w:rsidRPr="000F5E84">
        <w:rPr>
          <w:rFonts w:ascii="Arial" w:hAnsi="Arial" w:cs="Arial"/>
          <w:i/>
          <w:iCs/>
          <w:szCs w:val="24"/>
        </w:rPr>
        <w:t>23</w:t>
      </w:r>
      <w:r w:rsidRPr="000F5E84">
        <w:rPr>
          <w:rFonts w:ascii="Arial" w:hAnsi="Arial" w:cs="Arial"/>
          <w:szCs w:val="24"/>
        </w:rPr>
        <w:t xml:space="preserve">(6), 1–31. </w:t>
      </w:r>
      <w:hyperlink r:id="rId33" w:history="1">
        <w:r w:rsidRPr="00793965">
          <w:rPr>
            <w:rStyle w:val="Hyperlink"/>
            <w:rFonts w:ascii="Arial" w:hAnsi="Arial" w:cs="Arial"/>
            <w:szCs w:val="24"/>
          </w:rPr>
          <w:t>https://doi.org/10.26803/IJLTER.23.6.1</w:t>
        </w:r>
      </w:hyperlink>
    </w:p>
    <w:p w14:paraId="32068171" w14:textId="77777777" w:rsidR="00BE3326" w:rsidRPr="005A23A6" w:rsidRDefault="00BE3326" w:rsidP="005A23A6">
      <w:pPr>
        <w:jc w:val="both"/>
        <w:rPr>
          <w:rFonts w:ascii="Arial" w:hAnsi="Arial" w:cs="Arial"/>
          <w:szCs w:val="24"/>
        </w:rPr>
      </w:pPr>
      <w:proofErr w:type="spellStart"/>
      <w:r w:rsidRPr="00351655">
        <w:rPr>
          <w:rFonts w:ascii="Arial" w:hAnsi="Arial" w:cs="Arial"/>
          <w:szCs w:val="24"/>
        </w:rPr>
        <w:t>Pepugal</w:t>
      </w:r>
      <w:proofErr w:type="spellEnd"/>
      <w:r w:rsidRPr="00351655">
        <w:rPr>
          <w:rFonts w:ascii="Arial" w:hAnsi="Arial" w:cs="Arial"/>
          <w:szCs w:val="24"/>
        </w:rPr>
        <w:t xml:space="preserve">, E. T. (2022). Levels of Perception on School-Based Management Implementation in San Luis National High School, Philippines. </w:t>
      </w:r>
      <w:r w:rsidRPr="00351655">
        <w:rPr>
          <w:rFonts w:ascii="Arial" w:hAnsi="Arial" w:cs="Arial"/>
          <w:i/>
          <w:iCs/>
          <w:szCs w:val="24"/>
        </w:rPr>
        <w:t>American Journal of Multidisciplinary Research and Innovation</w:t>
      </w:r>
      <w:r w:rsidRPr="00351655">
        <w:rPr>
          <w:rFonts w:ascii="Arial" w:hAnsi="Arial" w:cs="Arial"/>
          <w:szCs w:val="24"/>
        </w:rPr>
        <w:t xml:space="preserve">, </w:t>
      </w:r>
      <w:r w:rsidRPr="00351655">
        <w:rPr>
          <w:rFonts w:ascii="Arial" w:hAnsi="Arial" w:cs="Arial"/>
          <w:i/>
          <w:iCs/>
          <w:szCs w:val="24"/>
        </w:rPr>
        <w:t>1</w:t>
      </w:r>
      <w:r w:rsidRPr="00351655">
        <w:rPr>
          <w:rFonts w:ascii="Arial" w:hAnsi="Arial" w:cs="Arial"/>
          <w:szCs w:val="24"/>
        </w:rPr>
        <w:t xml:space="preserve">(4), 26–34. </w:t>
      </w:r>
      <w:hyperlink r:id="rId34" w:history="1">
        <w:r w:rsidRPr="005A23A6">
          <w:rPr>
            <w:rStyle w:val="Hyperlink"/>
            <w:rFonts w:ascii="Arial" w:hAnsi="Arial" w:cs="Arial"/>
            <w:szCs w:val="24"/>
          </w:rPr>
          <w:t>https://doi.org/10.54536/AJMRI.V1I4.516</w:t>
        </w:r>
      </w:hyperlink>
    </w:p>
    <w:p w14:paraId="3EA09987" w14:textId="77777777" w:rsidR="00BE3326" w:rsidRPr="00862A77" w:rsidRDefault="00BE3326" w:rsidP="00862A77">
      <w:pPr>
        <w:jc w:val="both"/>
        <w:rPr>
          <w:rFonts w:ascii="Arial" w:hAnsi="Arial" w:cs="Arial"/>
          <w:szCs w:val="24"/>
        </w:rPr>
      </w:pPr>
      <w:r w:rsidRPr="007E047F">
        <w:rPr>
          <w:rFonts w:ascii="Arial" w:hAnsi="Arial" w:cs="Arial"/>
          <w:szCs w:val="24"/>
        </w:rPr>
        <w:t xml:space="preserve">Sattar, T., Ullah, M. I., &amp; Ahmad, B. (2022). The Role of Stakeholders Participation, Goal Directness and Learning Context in Determining Student Academic Performance: Student Engagement as a Mediator. </w:t>
      </w:r>
      <w:r w:rsidRPr="007E047F">
        <w:rPr>
          <w:rFonts w:ascii="Arial" w:hAnsi="Arial" w:cs="Arial"/>
          <w:i/>
          <w:iCs/>
          <w:szCs w:val="24"/>
        </w:rPr>
        <w:t>Frontiers in Psychology</w:t>
      </w:r>
      <w:r w:rsidRPr="007E047F">
        <w:rPr>
          <w:rFonts w:ascii="Arial" w:hAnsi="Arial" w:cs="Arial"/>
          <w:szCs w:val="24"/>
        </w:rPr>
        <w:t xml:space="preserve">, </w:t>
      </w:r>
      <w:r w:rsidRPr="007E047F">
        <w:rPr>
          <w:rFonts w:ascii="Arial" w:hAnsi="Arial" w:cs="Arial"/>
          <w:i/>
          <w:iCs/>
          <w:szCs w:val="24"/>
        </w:rPr>
        <w:t>13</w:t>
      </w:r>
      <w:r w:rsidRPr="007E047F">
        <w:rPr>
          <w:rFonts w:ascii="Arial" w:hAnsi="Arial" w:cs="Arial"/>
          <w:szCs w:val="24"/>
        </w:rPr>
        <w:t xml:space="preserve">, 875174. </w:t>
      </w:r>
      <w:hyperlink r:id="rId35" w:history="1">
        <w:r w:rsidRPr="00862A77">
          <w:rPr>
            <w:rStyle w:val="Hyperlink"/>
            <w:rFonts w:ascii="Arial" w:hAnsi="Arial" w:cs="Arial"/>
            <w:szCs w:val="24"/>
          </w:rPr>
          <w:t>https://doi.org/10.3389/FPSYG.2022.875174/BIBTEX</w:t>
        </w:r>
      </w:hyperlink>
    </w:p>
    <w:p w14:paraId="322EA2D7" w14:textId="77777777" w:rsidR="00BE3326" w:rsidRDefault="00BE3326" w:rsidP="00F778FF">
      <w:pPr>
        <w:jc w:val="both"/>
        <w:rPr>
          <w:rFonts w:ascii="Arial" w:hAnsi="Arial" w:cs="Arial"/>
        </w:rPr>
      </w:pPr>
      <w:proofErr w:type="spellStart"/>
      <w:r w:rsidRPr="00F778FF">
        <w:rPr>
          <w:rFonts w:ascii="Arial" w:hAnsi="Arial" w:cs="Arial"/>
        </w:rPr>
        <w:t>Shybalkina</w:t>
      </w:r>
      <w:proofErr w:type="spellEnd"/>
      <w:r w:rsidRPr="00F778FF">
        <w:rPr>
          <w:rFonts w:ascii="Arial" w:hAnsi="Arial" w:cs="Arial"/>
        </w:rPr>
        <w:t xml:space="preserve">, I., &amp; </w:t>
      </w:r>
      <w:proofErr w:type="spellStart"/>
      <w:r w:rsidRPr="00F778FF">
        <w:rPr>
          <w:rFonts w:ascii="Arial" w:hAnsi="Arial" w:cs="Arial"/>
        </w:rPr>
        <w:t>Nabatchi</w:t>
      </w:r>
      <w:proofErr w:type="spellEnd"/>
      <w:r w:rsidRPr="00F778FF">
        <w:rPr>
          <w:rFonts w:ascii="Arial" w:hAnsi="Arial" w:cs="Arial"/>
        </w:rPr>
        <w:t xml:space="preserve">, T. (2024). School Participatory Budgeting: An Emerging Governance Tool and Its Managerial Considerations. </w:t>
      </w:r>
      <w:r w:rsidRPr="00F778FF">
        <w:rPr>
          <w:rFonts w:ascii="Arial" w:hAnsi="Arial" w:cs="Arial"/>
          <w:i/>
          <w:iCs/>
        </w:rPr>
        <w:t>Administration and Society</w:t>
      </w:r>
      <w:r w:rsidRPr="00F778FF">
        <w:rPr>
          <w:rFonts w:ascii="Arial" w:hAnsi="Arial" w:cs="Arial"/>
        </w:rPr>
        <w:t xml:space="preserve">, </w:t>
      </w:r>
      <w:r w:rsidRPr="00F778FF">
        <w:rPr>
          <w:rFonts w:ascii="Arial" w:hAnsi="Arial" w:cs="Arial"/>
          <w:i/>
          <w:iCs/>
        </w:rPr>
        <w:t>56</w:t>
      </w:r>
      <w:r w:rsidRPr="00F778FF">
        <w:rPr>
          <w:rFonts w:ascii="Arial" w:hAnsi="Arial" w:cs="Arial"/>
        </w:rPr>
        <w:t xml:space="preserve">(4), </w:t>
      </w:r>
      <w:r w:rsidRPr="00F778FF">
        <w:rPr>
          <w:rFonts w:ascii="Arial" w:hAnsi="Arial" w:cs="Arial"/>
        </w:rPr>
        <w:lastRenderedPageBreak/>
        <w:t xml:space="preserve">419–445. </w:t>
      </w:r>
      <w:hyperlink r:id="rId36" w:history="1">
        <w:r w:rsidRPr="00C04DA8">
          <w:rPr>
            <w:rStyle w:val="Hyperlink"/>
            <w:rFonts w:ascii="Arial" w:hAnsi="Arial" w:cs="Arial"/>
          </w:rPr>
          <w:t>https://doi.org/10.1177/00953997241236940;PAGEGROUP:STRING:PUBLICATION</w:t>
        </w:r>
      </w:hyperlink>
    </w:p>
    <w:p w14:paraId="4229E0EE" w14:textId="77777777" w:rsidR="00BE3326" w:rsidRPr="0092759D" w:rsidRDefault="00BE3326" w:rsidP="00AF7C65">
      <w:pPr>
        <w:pStyle w:val="whitespace-normal"/>
        <w:spacing w:before="0" w:beforeAutospacing="0" w:after="0" w:afterAutospacing="0"/>
        <w:jc w:val="both"/>
        <w:rPr>
          <w:rFonts w:ascii="Arial" w:hAnsi="Arial" w:cs="Arial"/>
          <w:sz w:val="20"/>
          <w:szCs w:val="20"/>
        </w:rPr>
      </w:pPr>
      <w:r w:rsidRPr="0092759D">
        <w:rPr>
          <w:rFonts w:ascii="Arial" w:hAnsi="Arial" w:cs="Arial"/>
          <w:sz w:val="20"/>
          <w:szCs w:val="20"/>
        </w:rPr>
        <w:t xml:space="preserve">Sousa, I., &amp; Ferreira, E. (2024). Students' participation in democratic school management: A systematic literature review. </w:t>
      </w:r>
      <w:r w:rsidRPr="00E50A64">
        <w:rPr>
          <w:rStyle w:val="Emphasis"/>
          <w:rFonts w:ascii="Arial" w:hAnsi="Arial" w:cs="Arial"/>
          <w:i w:val="0"/>
          <w:sz w:val="20"/>
          <w:szCs w:val="20"/>
        </w:rPr>
        <w:t>Journal of Social Science Education</w:t>
      </w:r>
      <w:r w:rsidRPr="00E50A64">
        <w:rPr>
          <w:rFonts w:ascii="Arial" w:hAnsi="Arial" w:cs="Arial"/>
          <w:i/>
          <w:sz w:val="20"/>
          <w:szCs w:val="20"/>
        </w:rPr>
        <w:t>, 23</w:t>
      </w:r>
      <w:r w:rsidRPr="0092759D">
        <w:rPr>
          <w:rFonts w:ascii="Arial" w:hAnsi="Arial" w:cs="Arial"/>
          <w:sz w:val="20"/>
          <w:szCs w:val="20"/>
        </w:rPr>
        <w:t>(1), 4-20.</w:t>
      </w:r>
    </w:p>
    <w:p w14:paraId="5BA6E798" w14:textId="77777777" w:rsidR="00BE3326" w:rsidRPr="0092759D" w:rsidRDefault="00BE3326" w:rsidP="00AF7C65">
      <w:pPr>
        <w:pStyle w:val="whitespace-normal"/>
        <w:spacing w:before="0" w:beforeAutospacing="0" w:after="0" w:afterAutospacing="0"/>
        <w:jc w:val="both"/>
        <w:rPr>
          <w:rFonts w:ascii="Arial" w:hAnsi="Arial" w:cs="Arial"/>
          <w:sz w:val="20"/>
          <w:szCs w:val="20"/>
        </w:rPr>
      </w:pPr>
      <w:r w:rsidRPr="0092759D">
        <w:rPr>
          <w:rFonts w:ascii="Arial" w:hAnsi="Arial" w:cs="Arial"/>
          <w:sz w:val="20"/>
          <w:szCs w:val="20"/>
        </w:rPr>
        <w:t xml:space="preserve">Stufflebeam, D. L., &amp; </w:t>
      </w:r>
      <w:proofErr w:type="spellStart"/>
      <w:r w:rsidRPr="0092759D">
        <w:rPr>
          <w:rFonts w:ascii="Arial" w:hAnsi="Arial" w:cs="Arial"/>
          <w:sz w:val="20"/>
          <w:szCs w:val="20"/>
        </w:rPr>
        <w:t>Shinkfield</w:t>
      </w:r>
      <w:proofErr w:type="spellEnd"/>
      <w:r w:rsidRPr="0092759D">
        <w:rPr>
          <w:rFonts w:ascii="Arial" w:hAnsi="Arial" w:cs="Arial"/>
          <w:sz w:val="20"/>
          <w:szCs w:val="20"/>
        </w:rPr>
        <w:t xml:space="preserve">, A. J. (2007). </w:t>
      </w:r>
      <w:r w:rsidRPr="0092759D">
        <w:rPr>
          <w:rStyle w:val="Emphasis"/>
          <w:rFonts w:ascii="Arial" w:hAnsi="Arial" w:cs="Arial"/>
          <w:sz w:val="20"/>
          <w:szCs w:val="20"/>
        </w:rPr>
        <w:t>Evaluation theory, models, and applications</w:t>
      </w:r>
      <w:r w:rsidRPr="0092759D">
        <w:rPr>
          <w:rFonts w:ascii="Arial" w:hAnsi="Arial" w:cs="Arial"/>
          <w:sz w:val="20"/>
          <w:szCs w:val="20"/>
        </w:rPr>
        <w:t>. Jossey-Bass.</w:t>
      </w:r>
    </w:p>
    <w:p w14:paraId="2D0FA9F5" w14:textId="77777777" w:rsidR="00BE3326" w:rsidRPr="0092759D" w:rsidRDefault="00BE3326" w:rsidP="00AF7C65">
      <w:pPr>
        <w:pStyle w:val="whitespace-normal"/>
        <w:spacing w:before="0" w:beforeAutospacing="0" w:after="0" w:afterAutospacing="0"/>
        <w:jc w:val="both"/>
        <w:rPr>
          <w:rFonts w:ascii="Arial" w:hAnsi="Arial" w:cs="Arial"/>
          <w:sz w:val="20"/>
          <w:szCs w:val="20"/>
        </w:rPr>
      </w:pPr>
      <w:r w:rsidRPr="0092759D">
        <w:rPr>
          <w:rFonts w:ascii="Arial" w:hAnsi="Arial" w:cs="Arial"/>
          <w:sz w:val="20"/>
          <w:szCs w:val="20"/>
        </w:rPr>
        <w:t xml:space="preserve">Supriadi, D., Usman, H., Jabar, A., &amp; </w:t>
      </w:r>
      <w:proofErr w:type="spellStart"/>
      <w:r w:rsidRPr="0092759D">
        <w:rPr>
          <w:rFonts w:ascii="Arial" w:hAnsi="Arial" w:cs="Arial"/>
          <w:sz w:val="20"/>
          <w:szCs w:val="20"/>
        </w:rPr>
        <w:t>Widyastuti</w:t>
      </w:r>
      <w:proofErr w:type="spellEnd"/>
      <w:r w:rsidRPr="0092759D">
        <w:rPr>
          <w:rFonts w:ascii="Arial" w:hAnsi="Arial" w:cs="Arial"/>
          <w:sz w:val="20"/>
          <w:szCs w:val="20"/>
        </w:rPr>
        <w:t xml:space="preserve">, I. (2021). Good school governance: An approach to principal's decision-making quality in Indonesian vocational school. </w:t>
      </w:r>
      <w:r w:rsidRPr="002A64C4">
        <w:rPr>
          <w:rStyle w:val="Emphasis"/>
          <w:rFonts w:ascii="Arial" w:hAnsi="Arial" w:cs="Arial"/>
          <w:i w:val="0"/>
          <w:sz w:val="20"/>
          <w:szCs w:val="20"/>
        </w:rPr>
        <w:t>Research in Educational Administration &amp; Leadership</w:t>
      </w:r>
      <w:r w:rsidRPr="002A64C4">
        <w:rPr>
          <w:rFonts w:ascii="Arial" w:hAnsi="Arial" w:cs="Arial"/>
          <w:i/>
          <w:sz w:val="20"/>
          <w:szCs w:val="20"/>
        </w:rPr>
        <w:t>, 6</w:t>
      </w:r>
      <w:r w:rsidRPr="0092759D">
        <w:rPr>
          <w:rFonts w:ascii="Arial" w:hAnsi="Arial" w:cs="Arial"/>
          <w:sz w:val="20"/>
          <w:szCs w:val="20"/>
        </w:rPr>
        <w:t xml:space="preserve">(4), 796-831. </w:t>
      </w:r>
      <w:hyperlink r:id="rId37" w:history="1">
        <w:r w:rsidRPr="0092759D">
          <w:rPr>
            <w:rStyle w:val="Hyperlink"/>
            <w:rFonts w:ascii="Arial" w:hAnsi="Arial" w:cs="Arial"/>
            <w:sz w:val="20"/>
            <w:szCs w:val="20"/>
          </w:rPr>
          <w:t>https://doi.org/10.30828/real/2021.4.2</w:t>
        </w:r>
      </w:hyperlink>
    </w:p>
    <w:p w14:paraId="4CF7D985" w14:textId="77777777" w:rsidR="00BE3326" w:rsidRPr="00BF798F" w:rsidRDefault="00BE3326" w:rsidP="00BF798F">
      <w:pPr>
        <w:jc w:val="both"/>
        <w:rPr>
          <w:rFonts w:ascii="Arial" w:hAnsi="Arial" w:cs="Arial"/>
          <w:szCs w:val="24"/>
        </w:rPr>
      </w:pPr>
      <w:r w:rsidRPr="004E0E67">
        <w:rPr>
          <w:rFonts w:ascii="Arial" w:hAnsi="Arial" w:cs="Arial"/>
          <w:szCs w:val="24"/>
        </w:rPr>
        <w:t xml:space="preserve">Verger, A., </w:t>
      </w:r>
      <w:proofErr w:type="spellStart"/>
      <w:r w:rsidRPr="004E0E67">
        <w:rPr>
          <w:rFonts w:ascii="Arial" w:hAnsi="Arial" w:cs="Arial"/>
          <w:szCs w:val="24"/>
        </w:rPr>
        <w:t>Parcerisa</w:t>
      </w:r>
      <w:proofErr w:type="spellEnd"/>
      <w:r w:rsidRPr="004E0E67">
        <w:rPr>
          <w:rFonts w:ascii="Arial" w:hAnsi="Arial" w:cs="Arial"/>
          <w:szCs w:val="24"/>
        </w:rPr>
        <w:t xml:space="preserve">, L., </w:t>
      </w:r>
      <w:proofErr w:type="spellStart"/>
      <w:r w:rsidRPr="004E0E67">
        <w:rPr>
          <w:rFonts w:ascii="Arial" w:hAnsi="Arial" w:cs="Arial"/>
          <w:szCs w:val="24"/>
        </w:rPr>
        <w:t>Pagès</w:t>
      </w:r>
      <w:proofErr w:type="spellEnd"/>
      <w:r w:rsidRPr="004E0E67">
        <w:rPr>
          <w:rFonts w:ascii="Arial" w:hAnsi="Arial" w:cs="Arial"/>
          <w:szCs w:val="24"/>
        </w:rPr>
        <w:t xml:space="preserve">, M., &amp; </w:t>
      </w:r>
      <w:proofErr w:type="spellStart"/>
      <w:r w:rsidRPr="004E0E67">
        <w:rPr>
          <w:rFonts w:ascii="Arial" w:hAnsi="Arial" w:cs="Arial"/>
          <w:szCs w:val="24"/>
        </w:rPr>
        <w:t>Camphuijsen</w:t>
      </w:r>
      <w:proofErr w:type="spellEnd"/>
      <w:r w:rsidRPr="004E0E67">
        <w:rPr>
          <w:rFonts w:ascii="Arial" w:hAnsi="Arial" w:cs="Arial"/>
          <w:szCs w:val="24"/>
        </w:rPr>
        <w:t xml:space="preserve">, M. (2024). School autonomy with accountability as a cross-national policy model: diverse adoptions, practices and impacts. </w:t>
      </w:r>
      <w:r w:rsidRPr="004E0E67">
        <w:rPr>
          <w:rFonts w:ascii="Arial" w:hAnsi="Arial" w:cs="Arial"/>
          <w:i/>
          <w:iCs/>
          <w:szCs w:val="24"/>
        </w:rPr>
        <w:t>Nordic Journal of Studies in Educational Policy</w:t>
      </w:r>
      <w:r w:rsidRPr="004E0E67">
        <w:rPr>
          <w:rFonts w:ascii="Arial" w:hAnsi="Arial" w:cs="Arial"/>
          <w:szCs w:val="24"/>
        </w:rPr>
        <w:t xml:space="preserve">, </w:t>
      </w:r>
      <w:r w:rsidRPr="004E0E67">
        <w:rPr>
          <w:rFonts w:ascii="Arial" w:hAnsi="Arial" w:cs="Arial"/>
          <w:i/>
          <w:iCs/>
          <w:szCs w:val="24"/>
        </w:rPr>
        <w:t>10</w:t>
      </w:r>
      <w:r w:rsidRPr="004E0E67">
        <w:rPr>
          <w:rFonts w:ascii="Arial" w:hAnsi="Arial" w:cs="Arial"/>
          <w:szCs w:val="24"/>
        </w:rPr>
        <w:t xml:space="preserve">(3), 167–179. </w:t>
      </w:r>
      <w:hyperlink r:id="rId38" w:history="1">
        <w:r w:rsidRPr="00BF798F">
          <w:rPr>
            <w:rStyle w:val="Hyperlink"/>
            <w:rFonts w:ascii="Arial" w:hAnsi="Arial" w:cs="Arial"/>
            <w:szCs w:val="24"/>
          </w:rPr>
          <w:t>https://doi.org/10.1080/20020317.2024.2430706;JOURNAL:JOURNAL:ZNST19;WGROUP:STRING:PUBLICATION</w:t>
        </w:r>
      </w:hyperlink>
    </w:p>
    <w:p w14:paraId="5B60A206" w14:textId="77777777" w:rsidR="00BE3326" w:rsidRDefault="00BE3326" w:rsidP="004C05BC">
      <w:pPr>
        <w:jc w:val="both"/>
        <w:rPr>
          <w:rFonts w:ascii="Arial" w:hAnsi="Arial" w:cs="Arial"/>
          <w:szCs w:val="24"/>
        </w:rPr>
      </w:pPr>
      <w:r w:rsidRPr="004C05BC">
        <w:rPr>
          <w:rFonts w:ascii="Arial" w:hAnsi="Arial" w:cs="Arial"/>
          <w:szCs w:val="24"/>
        </w:rPr>
        <w:t>Villarrea</w:t>
      </w:r>
      <w:r>
        <w:rPr>
          <w:rFonts w:ascii="Arial" w:hAnsi="Arial" w:cs="Arial"/>
          <w:szCs w:val="24"/>
        </w:rPr>
        <w:t>l, A., &amp; Rodríguez, R. G. (2011</w:t>
      </w:r>
      <w:r w:rsidRPr="004C05BC">
        <w:rPr>
          <w:rFonts w:ascii="Arial" w:hAnsi="Arial" w:cs="Arial"/>
          <w:szCs w:val="24"/>
        </w:rPr>
        <w:t>). Expanding school governance through participatory community engagement: A framew</w:t>
      </w:r>
      <w:r>
        <w:rPr>
          <w:rFonts w:ascii="Arial" w:hAnsi="Arial" w:cs="Arial"/>
          <w:szCs w:val="24"/>
        </w:rPr>
        <w:t xml:space="preserve">ork for equity and excellence. </w:t>
      </w:r>
      <w:r w:rsidRPr="00E80519">
        <w:rPr>
          <w:rFonts w:ascii="Arial" w:hAnsi="Arial" w:cs="Arial"/>
          <w:i/>
          <w:szCs w:val="24"/>
        </w:rPr>
        <w:t>IDRA Newsletter</w:t>
      </w:r>
      <w:r w:rsidRPr="004C05BC">
        <w:rPr>
          <w:rFonts w:ascii="Arial" w:hAnsi="Arial" w:cs="Arial"/>
          <w:szCs w:val="24"/>
        </w:rPr>
        <w:t>.</w:t>
      </w:r>
    </w:p>
    <w:p w14:paraId="2534B0CD" w14:textId="722EF851" w:rsidR="00BE3326" w:rsidRDefault="00BE3326" w:rsidP="00AF7C65">
      <w:pPr>
        <w:pStyle w:val="whitespace-normal"/>
        <w:spacing w:before="0" w:beforeAutospacing="0" w:after="0" w:afterAutospacing="0"/>
        <w:jc w:val="both"/>
        <w:rPr>
          <w:rFonts w:ascii="Arial" w:hAnsi="Arial" w:cs="Arial"/>
          <w:sz w:val="20"/>
          <w:szCs w:val="20"/>
        </w:rPr>
      </w:pPr>
      <w:r w:rsidRPr="0092759D">
        <w:rPr>
          <w:rFonts w:ascii="Arial" w:hAnsi="Arial" w:cs="Arial"/>
          <w:sz w:val="20"/>
          <w:szCs w:val="20"/>
        </w:rPr>
        <w:t>World Bank. (2016). Assessing basic education service delivery in the Philippines: Public education expenditure tracking and quantitative service delivery study. Washington, DC: World Bank Group.</w:t>
      </w:r>
    </w:p>
    <w:p w14:paraId="582FEA8F" w14:textId="2242A7E0" w:rsidR="004D4277" w:rsidRPr="00FB3A86" w:rsidRDefault="004D4277" w:rsidP="00441B6F">
      <w:pPr>
        <w:pStyle w:val="Appendix"/>
        <w:spacing w:after="0"/>
        <w:jc w:val="both"/>
        <w:rPr>
          <w:rFonts w:ascii="Arial" w:hAnsi="Arial" w:cs="Arial"/>
          <w:b w:val="0"/>
        </w:rPr>
        <w:sectPr w:rsidR="004D4277" w:rsidRPr="00FB3A86" w:rsidSect="001B1757">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72"/>
        </w:sectPr>
      </w:pPr>
    </w:p>
    <w:p w14:paraId="7300B30D" w14:textId="7CE1FD5E" w:rsidR="00227667" w:rsidRPr="00FB3A86" w:rsidRDefault="00227667" w:rsidP="00AF7C65">
      <w:pPr>
        <w:pStyle w:val="Body"/>
        <w:spacing w:after="0"/>
        <w:rPr>
          <w:rFonts w:ascii="Arial" w:hAnsi="Arial" w:cs="Arial"/>
          <w:b/>
        </w:rPr>
      </w:pPr>
    </w:p>
    <w:sectPr w:rsidR="00227667" w:rsidRPr="00FB3A86" w:rsidSect="001B175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D92DD" w14:textId="77777777" w:rsidR="009C7F65" w:rsidRDefault="009C7F65" w:rsidP="00C37E61">
      <w:r>
        <w:separator/>
      </w:r>
    </w:p>
  </w:endnote>
  <w:endnote w:type="continuationSeparator" w:id="0">
    <w:p w14:paraId="05C806AD" w14:textId="77777777" w:rsidR="009C7F65" w:rsidRDefault="009C7F6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2BCFE" w14:textId="77777777" w:rsidR="001B1757" w:rsidRDefault="001B175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C6BF" w14:textId="44E5CD55" w:rsidR="00C37E61" w:rsidRPr="00EF508A" w:rsidRDefault="00C31674" w:rsidP="00EF508A">
    <w:pPr>
      <w:pStyle w:val="Footer"/>
    </w:pPr>
    <w:r w:rsidRPr="00EF508A">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1FC0A" w14:textId="6C95FB2E" w:rsidR="00754C9A" w:rsidRPr="0016015D" w:rsidRDefault="00754C9A" w:rsidP="0016015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2504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F13D4" w14:textId="77777777" w:rsidR="009C7F65" w:rsidRDefault="009C7F65" w:rsidP="00C37E61">
      <w:r>
        <w:separator/>
      </w:r>
    </w:p>
  </w:footnote>
  <w:footnote w:type="continuationSeparator" w:id="0">
    <w:p w14:paraId="2BDA875F" w14:textId="77777777" w:rsidR="009C7F65" w:rsidRDefault="009C7F65"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7B3DE" w14:textId="3ABBE8E5" w:rsidR="001B1757" w:rsidRDefault="00B2579B">
    <w:pPr>
      <w:pStyle w:val="Header"/>
    </w:pPr>
    <w:r>
      <w:rPr>
        <w:noProof/>
      </w:rPr>
      <w:pict w14:anchorId="0EFA7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03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72997" w14:textId="0D834317" w:rsidR="001B1757" w:rsidRDefault="00B2579B">
    <w:pPr>
      <w:pStyle w:val="Header"/>
    </w:pPr>
    <w:r>
      <w:rPr>
        <w:noProof/>
      </w:rPr>
      <w:pict w14:anchorId="793BFD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03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8D5D6" w14:textId="30349CD9" w:rsidR="00296529" w:rsidRPr="00296529" w:rsidRDefault="00B2579B" w:rsidP="00296529">
    <w:pPr>
      <w:ind w:left="2160"/>
      <w:jc w:val="center"/>
      <w:rPr>
        <w:rFonts w:ascii="Times New Roman" w:eastAsia="Calibri" w:hAnsi="Times New Roman"/>
        <w:i/>
        <w:sz w:val="18"/>
        <w:szCs w:val="22"/>
      </w:rPr>
    </w:pPr>
    <w:r>
      <w:rPr>
        <w:noProof/>
      </w:rPr>
      <w:pict w14:anchorId="77772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03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E0484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428D2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2E39E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7055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821A5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238484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22C52" w14:textId="7BB2F34B" w:rsidR="001B1757" w:rsidRDefault="00B2579B">
    <w:pPr>
      <w:pStyle w:val="Header"/>
    </w:pPr>
    <w:r>
      <w:rPr>
        <w:noProof/>
      </w:rPr>
      <w:pict w14:anchorId="74084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03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6A327" w14:textId="0D5E56CE" w:rsidR="001B1757" w:rsidRDefault="00B2579B">
    <w:pPr>
      <w:pStyle w:val="Header"/>
    </w:pPr>
    <w:r>
      <w:rPr>
        <w:noProof/>
      </w:rPr>
      <w:pict w14:anchorId="1A822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03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DD04B" w14:textId="11D85FE8" w:rsidR="001B1757" w:rsidRDefault="00B2579B">
    <w:pPr>
      <w:pStyle w:val="Header"/>
    </w:pPr>
    <w:r>
      <w:rPr>
        <w:noProof/>
      </w:rPr>
      <w:pict w14:anchorId="50E23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03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31E8"/>
    <w:rsid w:val="00005892"/>
    <w:rsid w:val="000071CC"/>
    <w:rsid w:val="00007299"/>
    <w:rsid w:val="00007700"/>
    <w:rsid w:val="00016E76"/>
    <w:rsid w:val="00017364"/>
    <w:rsid w:val="000218F9"/>
    <w:rsid w:val="0002573E"/>
    <w:rsid w:val="00026665"/>
    <w:rsid w:val="00030174"/>
    <w:rsid w:val="00036E91"/>
    <w:rsid w:val="00042C72"/>
    <w:rsid w:val="0004579C"/>
    <w:rsid w:val="00045925"/>
    <w:rsid w:val="0004768F"/>
    <w:rsid w:val="000520AB"/>
    <w:rsid w:val="0005654E"/>
    <w:rsid w:val="00057A11"/>
    <w:rsid w:val="00060980"/>
    <w:rsid w:val="0006130B"/>
    <w:rsid w:val="000615B4"/>
    <w:rsid w:val="00063FBC"/>
    <w:rsid w:val="00067062"/>
    <w:rsid w:val="00072367"/>
    <w:rsid w:val="000749AC"/>
    <w:rsid w:val="000802EA"/>
    <w:rsid w:val="000829E1"/>
    <w:rsid w:val="00083B62"/>
    <w:rsid w:val="000941C2"/>
    <w:rsid w:val="00094C3F"/>
    <w:rsid w:val="000A3482"/>
    <w:rsid w:val="000A47FA"/>
    <w:rsid w:val="000A49CC"/>
    <w:rsid w:val="000A567A"/>
    <w:rsid w:val="000A65D3"/>
    <w:rsid w:val="000B1E33"/>
    <w:rsid w:val="000B4DD9"/>
    <w:rsid w:val="000C635C"/>
    <w:rsid w:val="000D027E"/>
    <w:rsid w:val="000D380A"/>
    <w:rsid w:val="000D4093"/>
    <w:rsid w:val="000D689F"/>
    <w:rsid w:val="000D6C75"/>
    <w:rsid w:val="000D715E"/>
    <w:rsid w:val="000D7302"/>
    <w:rsid w:val="000E15C7"/>
    <w:rsid w:val="000E1DD5"/>
    <w:rsid w:val="000E2BCB"/>
    <w:rsid w:val="000E515B"/>
    <w:rsid w:val="000E7B7B"/>
    <w:rsid w:val="000E7D62"/>
    <w:rsid w:val="000F319A"/>
    <w:rsid w:val="000F5E84"/>
    <w:rsid w:val="000F6E02"/>
    <w:rsid w:val="00101997"/>
    <w:rsid w:val="00103357"/>
    <w:rsid w:val="00105590"/>
    <w:rsid w:val="00111741"/>
    <w:rsid w:val="00112D16"/>
    <w:rsid w:val="00120CD0"/>
    <w:rsid w:val="00123C9F"/>
    <w:rsid w:val="00126190"/>
    <w:rsid w:val="00130437"/>
    <w:rsid w:val="00130F17"/>
    <w:rsid w:val="001320BF"/>
    <w:rsid w:val="001338E5"/>
    <w:rsid w:val="00136B76"/>
    <w:rsid w:val="0014633E"/>
    <w:rsid w:val="001472BC"/>
    <w:rsid w:val="00152FD2"/>
    <w:rsid w:val="00156D94"/>
    <w:rsid w:val="0016015D"/>
    <w:rsid w:val="00161C65"/>
    <w:rsid w:val="00163401"/>
    <w:rsid w:val="00163BC4"/>
    <w:rsid w:val="0016757B"/>
    <w:rsid w:val="0017511B"/>
    <w:rsid w:val="001801EA"/>
    <w:rsid w:val="00186051"/>
    <w:rsid w:val="00191062"/>
    <w:rsid w:val="001929C7"/>
    <w:rsid w:val="00192B72"/>
    <w:rsid w:val="001945DF"/>
    <w:rsid w:val="001961E5"/>
    <w:rsid w:val="001A29D8"/>
    <w:rsid w:val="001A3A49"/>
    <w:rsid w:val="001A5CAA"/>
    <w:rsid w:val="001B0427"/>
    <w:rsid w:val="001B1757"/>
    <w:rsid w:val="001B3656"/>
    <w:rsid w:val="001B7E86"/>
    <w:rsid w:val="001C342E"/>
    <w:rsid w:val="001C486D"/>
    <w:rsid w:val="001C6649"/>
    <w:rsid w:val="001D2846"/>
    <w:rsid w:val="001D2D57"/>
    <w:rsid w:val="001D3A51"/>
    <w:rsid w:val="001D6860"/>
    <w:rsid w:val="001E10D2"/>
    <w:rsid w:val="001E1414"/>
    <w:rsid w:val="001E25B4"/>
    <w:rsid w:val="001E4353"/>
    <w:rsid w:val="001E44FE"/>
    <w:rsid w:val="001E6834"/>
    <w:rsid w:val="001F35DD"/>
    <w:rsid w:val="001F44A7"/>
    <w:rsid w:val="00200154"/>
    <w:rsid w:val="00200595"/>
    <w:rsid w:val="00204274"/>
    <w:rsid w:val="00204835"/>
    <w:rsid w:val="0020651C"/>
    <w:rsid w:val="002065AA"/>
    <w:rsid w:val="002068D8"/>
    <w:rsid w:val="00210F0D"/>
    <w:rsid w:val="00211B7E"/>
    <w:rsid w:val="002124B3"/>
    <w:rsid w:val="00215E4E"/>
    <w:rsid w:val="00221829"/>
    <w:rsid w:val="002222FF"/>
    <w:rsid w:val="0022272A"/>
    <w:rsid w:val="00222A47"/>
    <w:rsid w:val="00222F74"/>
    <w:rsid w:val="00227667"/>
    <w:rsid w:val="00231920"/>
    <w:rsid w:val="0023195C"/>
    <w:rsid w:val="00232E78"/>
    <w:rsid w:val="002375A6"/>
    <w:rsid w:val="0024282C"/>
    <w:rsid w:val="00244533"/>
    <w:rsid w:val="002460DC"/>
    <w:rsid w:val="00250985"/>
    <w:rsid w:val="002556F6"/>
    <w:rsid w:val="002562B6"/>
    <w:rsid w:val="0025713C"/>
    <w:rsid w:val="002572F1"/>
    <w:rsid w:val="00257582"/>
    <w:rsid w:val="00261CAC"/>
    <w:rsid w:val="002647F4"/>
    <w:rsid w:val="00265353"/>
    <w:rsid w:val="002655EB"/>
    <w:rsid w:val="0027458C"/>
    <w:rsid w:val="00281AE7"/>
    <w:rsid w:val="00283105"/>
    <w:rsid w:val="00284C4C"/>
    <w:rsid w:val="002866A4"/>
    <w:rsid w:val="00287E68"/>
    <w:rsid w:val="00291A9D"/>
    <w:rsid w:val="00295AB4"/>
    <w:rsid w:val="00296529"/>
    <w:rsid w:val="00297644"/>
    <w:rsid w:val="0029789E"/>
    <w:rsid w:val="002A0DF5"/>
    <w:rsid w:val="002A22D7"/>
    <w:rsid w:val="002A29F4"/>
    <w:rsid w:val="002A49BC"/>
    <w:rsid w:val="002A5F00"/>
    <w:rsid w:val="002A64C4"/>
    <w:rsid w:val="002B21DE"/>
    <w:rsid w:val="002B27FB"/>
    <w:rsid w:val="002B685A"/>
    <w:rsid w:val="002B7BAF"/>
    <w:rsid w:val="002C21C6"/>
    <w:rsid w:val="002C2DAE"/>
    <w:rsid w:val="002C4461"/>
    <w:rsid w:val="002C57D2"/>
    <w:rsid w:val="002D17DD"/>
    <w:rsid w:val="002D2BC5"/>
    <w:rsid w:val="002E0186"/>
    <w:rsid w:val="002E0D56"/>
    <w:rsid w:val="002E3BA4"/>
    <w:rsid w:val="002E4D88"/>
    <w:rsid w:val="002E5B59"/>
    <w:rsid w:val="002F0425"/>
    <w:rsid w:val="002F15D3"/>
    <w:rsid w:val="002F248A"/>
    <w:rsid w:val="002F4225"/>
    <w:rsid w:val="002F51EF"/>
    <w:rsid w:val="003000D0"/>
    <w:rsid w:val="00300994"/>
    <w:rsid w:val="00300D77"/>
    <w:rsid w:val="003014E1"/>
    <w:rsid w:val="00307094"/>
    <w:rsid w:val="00307C66"/>
    <w:rsid w:val="00307DCF"/>
    <w:rsid w:val="00313AAE"/>
    <w:rsid w:val="00315186"/>
    <w:rsid w:val="003164C8"/>
    <w:rsid w:val="00317288"/>
    <w:rsid w:val="00322BD8"/>
    <w:rsid w:val="00322F43"/>
    <w:rsid w:val="0032535C"/>
    <w:rsid w:val="00330715"/>
    <w:rsid w:val="00330AF3"/>
    <w:rsid w:val="0033343E"/>
    <w:rsid w:val="00340074"/>
    <w:rsid w:val="003400E9"/>
    <w:rsid w:val="003437CB"/>
    <w:rsid w:val="00343D1E"/>
    <w:rsid w:val="003455C0"/>
    <w:rsid w:val="00346F37"/>
    <w:rsid w:val="003505E8"/>
    <w:rsid w:val="003512C2"/>
    <w:rsid w:val="00351366"/>
    <w:rsid w:val="00351655"/>
    <w:rsid w:val="00352783"/>
    <w:rsid w:val="0035665F"/>
    <w:rsid w:val="00356C4A"/>
    <w:rsid w:val="0036278A"/>
    <w:rsid w:val="00363644"/>
    <w:rsid w:val="00363B44"/>
    <w:rsid w:val="00365AAD"/>
    <w:rsid w:val="003664A2"/>
    <w:rsid w:val="003711BD"/>
    <w:rsid w:val="00371FB6"/>
    <w:rsid w:val="003743D7"/>
    <w:rsid w:val="003763C1"/>
    <w:rsid w:val="00376BA6"/>
    <w:rsid w:val="00376BBE"/>
    <w:rsid w:val="00377860"/>
    <w:rsid w:val="00380DBA"/>
    <w:rsid w:val="00380F73"/>
    <w:rsid w:val="00381D5E"/>
    <w:rsid w:val="00382124"/>
    <w:rsid w:val="00382D14"/>
    <w:rsid w:val="00382F8E"/>
    <w:rsid w:val="00385165"/>
    <w:rsid w:val="003905D2"/>
    <w:rsid w:val="0039224F"/>
    <w:rsid w:val="00393631"/>
    <w:rsid w:val="00394872"/>
    <w:rsid w:val="003A43A4"/>
    <w:rsid w:val="003A4F0C"/>
    <w:rsid w:val="003A7E18"/>
    <w:rsid w:val="003B4346"/>
    <w:rsid w:val="003B6CE2"/>
    <w:rsid w:val="003B71D7"/>
    <w:rsid w:val="003C08AB"/>
    <w:rsid w:val="003C1D00"/>
    <w:rsid w:val="003C4027"/>
    <w:rsid w:val="003C4C86"/>
    <w:rsid w:val="003C6258"/>
    <w:rsid w:val="003D0BD2"/>
    <w:rsid w:val="003D4F8A"/>
    <w:rsid w:val="003D6AC0"/>
    <w:rsid w:val="003D6F95"/>
    <w:rsid w:val="003E264E"/>
    <w:rsid w:val="003E2904"/>
    <w:rsid w:val="003E49FF"/>
    <w:rsid w:val="003E50DF"/>
    <w:rsid w:val="003E6D34"/>
    <w:rsid w:val="003E7CE1"/>
    <w:rsid w:val="003F2355"/>
    <w:rsid w:val="003F36D7"/>
    <w:rsid w:val="003F3CE7"/>
    <w:rsid w:val="003F434B"/>
    <w:rsid w:val="003F452D"/>
    <w:rsid w:val="003F5567"/>
    <w:rsid w:val="003F7B8C"/>
    <w:rsid w:val="004014B3"/>
    <w:rsid w:val="00401927"/>
    <w:rsid w:val="00402C18"/>
    <w:rsid w:val="00407D80"/>
    <w:rsid w:val="004100EC"/>
    <w:rsid w:val="0041027F"/>
    <w:rsid w:val="004114FF"/>
    <w:rsid w:val="00412475"/>
    <w:rsid w:val="00414140"/>
    <w:rsid w:val="004174AC"/>
    <w:rsid w:val="00421609"/>
    <w:rsid w:val="00423789"/>
    <w:rsid w:val="00424F81"/>
    <w:rsid w:val="00426685"/>
    <w:rsid w:val="00440F43"/>
    <w:rsid w:val="00441B6F"/>
    <w:rsid w:val="004434B3"/>
    <w:rsid w:val="00443D42"/>
    <w:rsid w:val="00444E4D"/>
    <w:rsid w:val="00446221"/>
    <w:rsid w:val="00450E62"/>
    <w:rsid w:val="00451262"/>
    <w:rsid w:val="00451C85"/>
    <w:rsid w:val="004530B2"/>
    <w:rsid w:val="004539DB"/>
    <w:rsid w:val="00457DB8"/>
    <w:rsid w:val="00460089"/>
    <w:rsid w:val="00465464"/>
    <w:rsid w:val="00471824"/>
    <w:rsid w:val="00471A80"/>
    <w:rsid w:val="004800C2"/>
    <w:rsid w:val="004808EA"/>
    <w:rsid w:val="0048440D"/>
    <w:rsid w:val="00486B54"/>
    <w:rsid w:val="004879B8"/>
    <w:rsid w:val="004946E5"/>
    <w:rsid w:val="004952B2"/>
    <w:rsid w:val="004A05E8"/>
    <w:rsid w:val="004A1B46"/>
    <w:rsid w:val="004A502F"/>
    <w:rsid w:val="004A781F"/>
    <w:rsid w:val="004A7B4E"/>
    <w:rsid w:val="004A7F88"/>
    <w:rsid w:val="004B504A"/>
    <w:rsid w:val="004C05BC"/>
    <w:rsid w:val="004C19EE"/>
    <w:rsid w:val="004C1ACA"/>
    <w:rsid w:val="004C434C"/>
    <w:rsid w:val="004C48D0"/>
    <w:rsid w:val="004C5117"/>
    <w:rsid w:val="004D0E89"/>
    <w:rsid w:val="004D305E"/>
    <w:rsid w:val="004D4277"/>
    <w:rsid w:val="004D5B6F"/>
    <w:rsid w:val="004D5D73"/>
    <w:rsid w:val="004D7F84"/>
    <w:rsid w:val="004E04AF"/>
    <w:rsid w:val="004E0E67"/>
    <w:rsid w:val="004F109C"/>
    <w:rsid w:val="004F2F7F"/>
    <w:rsid w:val="004F316C"/>
    <w:rsid w:val="004F415B"/>
    <w:rsid w:val="00502516"/>
    <w:rsid w:val="00505C23"/>
    <w:rsid w:val="00505F06"/>
    <w:rsid w:val="00506828"/>
    <w:rsid w:val="0051001C"/>
    <w:rsid w:val="0051403B"/>
    <w:rsid w:val="005155EF"/>
    <w:rsid w:val="00521345"/>
    <w:rsid w:val="00524A5D"/>
    <w:rsid w:val="0052548B"/>
    <w:rsid w:val="0053056E"/>
    <w:rsid w:val="005362BA"/>
    <w:rsid w:val="00536749"/>
    <w:rsid w:val="005379D0"/>
    <w:rsid w:val="005453B7"/>
    <w:rsid w:val="00546183"/>
    <w:rsid w:val="0054751E"/>
    <w:rsid w:val="00550222"/>
    <w:rsid w:val="00550D38"/>
    <w:rsid w:val="00554FDA"/>
    <w:rsid w:val="0055514B"/>
    <w:rsid w:val="0056442F"/>
    <w:rsid w:val="00566AEE"/>
    <w:rsid w:val="00571CCC"/>
    <w:rsid w:val="005938EF"/>
    <w:rsid w:val="00594EF7"/>
    <w:rsid w:val="00596793"/>
    <w:rsid w:val="005A23A6"/>
    <w:rsid w:val="005A2BA6"/>
    <w:rsid w:val="005A346C"/>
    <w:rsid w:val="005A5844"/>
    <w:rsid w:val="005A5DDB"/>
    <w:rsid w:val="005A6031"/>
    <w:rsid w:val="005A74A8"/>
    <w:rsid w:val="005B0DA1"/>
    <w:rsid w:val="005B12FC"/>
    <w:rsid w:val="005B2435"/>
    <w:rsid w:val="005B2C55"/>
    <w:rsid w:val="005B760E"/>
    <w:rsid w:val="005C0D54"/>
    <w:rsid w:val="005C5F1D"/>
    <w:rsid w:val="005C6018"/>
    <w:rsid w:val="005C784C"/>
    <w:rsid w:val="005D155B"/>
    <w:rsid w:val="005D17F6"/>
    <w:rsid w:val="005D2701"/>
    <w:rsid w:val="005D3303"/>
    <w:rsid w:val="005D388F"/>
    <w:rsid w:val="005D5717"/>
    <w:rsid w:val="005D704F"/>
    <w:rsid w:val="005E0BF1"/>
    <w:rsid w:val="005E4109"/>
    <w:rsid w:val="005E5539"/>
    <w:rsid w:val="005E5AE0"/>
    <w:rsid w:val="005E7659"/>
    <w:rsid w:val="005F2A95"/>
    <w:rsid w:val="005F430C"/>
    <w:rsid w:val="005F6150"/>
    <w:rsid w:val="00600D57"/>
    <w:rsid w:val="00601508"/>
    <w:rsid w:val="00602BF5"/>
    <w:rsid w:val="006077CC"/>
    <w:rsid w:val="00611CFD"/>
    <w:rsid w:val="0061620C"/>
    <w:rsid w:val="0061665D"/>
    <w:rsid w:val="00616A47"/>
    <w:rsid w:val="006172D2"/>
    <w:rsid w:val="00617FDD"/>
    <w:rsid w:val="0062053A"/>
    <w:rsid w:val="006213B6"/>
    <w:rsid w:val="00622607"/>
    <w:rsid w:val="00623AAF"/>
    <w:rsid w:val="00625CB3"/>
    <w:rsid w:val="0062651D"/>
    <w:rsid w:val="006303C4"/>
    <w:rsid w:val="00633614"/>
    <w:rsid w:val="00633F68"/>
    <w:rsid w:val="00636EB2"/>
    <w:rsid w:val="006375B8"/>
    <w:rsid w:val="00647C6F"/>
    <w:rsid w:val="00653D12"/>
    <w:rsid w:val="00655054"/>
    <w:rsid w:val="00661F25"/>
    <w:rsid w:val="0066472C"/>
    <w:rsid w:val="0066510A"/>
    <w:rsid w:val="00667A93"/>
    <w:rsid w:val="00673F9F"/>
    <w:rsid w:val="00674F02"/>
    <w:rsid w:val="0067746F"/>
    <w:rsid w:val="00680748"/>
    <w:rsid w:val="00680880"/>
    <w:rsid w:val="0068165E"/>
    <w:rsid w:val="00681E48"/>
    <w:rsid w:val="00685A02"/>
    <w:rsid w:val="00685AC9"/>
    <w:rsid w:val="006863E8"/>
    <w:rsid w:val="00686953"/>
    <w:rsid w:val="00687DEA"/>
    <w:rsid w:val="00687E67"/>
    <w:rsid w:val="00694CB5"/>
    <w:rsid w:val="006959AA"/>
    <w:rsid w:val="006967F7"/>
    <w:rsid w:val="00697938"/>
    <w:rsid w:val="006A0FF1"/>
    <w:rsid w:val="006A250C"/>
    <w:rsid w:val="006A2F43"/>
    <w:rsid w:val="006A39BB"/>
    <w:rsid w:val="006B21D3"/>
    <w:rsid w:val="006B3391"/>
    <w:rsid w:val="006B4BB2"/>
    <w:rsid w:val="006B57D0"/>
    <w:rsid w:val="006B68AF"/>
    <w:rsid w:val="006B6E24"/>
    <w:rsid w:val="006B7DDE"/>
    <w:rsid w:val="006C47F2"/>
    <w:rsid w:val="006C4E90"/>
    <w:rsid w:val="006C6FD9"/>
    <w:rsid w:val="006D30FF"/>
    <w:rsid w:val="006D5DE2"/>
    <w:rsid w:val="006D6940"/>
    <w:rsid w:val="006D6D77"/>
    <w:rsid w:val="006F11EC"/>
    <w:rsid w:val="006F3697"/>
    <w:rsid w:val="006F437B"/>
    <w:rsid w:val="006F680A"/>
    <w:rsid w:val="0070082C"/>
    <w:rsid w:val="0070341F"/>
    <w:rsid w:val="007072AA"/>
    <w:rsid w:val="00710AF8"/>
    <w:rsid w:val="00712B42"/>
    <w:rsid w:val="00712C04"/>
    <w:rsid w:val="007131DA"/>
    <w:rsid w:val="0072287C"/>
    <w:rsid w:val="00726E70"/>
    <w:rsid w:val="00730888"/>
    <w:rsid w:val="0073178B"/>
    <w:rsid w:val="0073180E"/>
    <w:rsid w:val="00731D32"/>
    <w:rsid w:val="0073319D"/>
    <w:rsid w:val="00733348"/>
    <w:rsid w:val="007357B1"/>
    <w:rsid w:val="007369E6"/>
    <w:rsid w:val="00737B72"/>
    <w:rsid w:val="00740D87"/>
    <w:rsid w:val="0074651C"/>
    <w:rsid w:val="00746E59"/>
    <w:rsid w:val="0075121C"/>
    <w:rsid w:val="00754352"/>
    <w:rsid w:val="00754C9A"/>
    <w:rsid w:val="0075599A"/>
    <w:rsid w:val="00755E8D"/>
    <w:rsid w:val="007569F2"/>
    <w:rsid w:val="00757F78"/>
    <w:rsid w:val="00761D52"/>
    <w:rsid w:val="007626F3"/>
    <w:rsid w:val="007645EB"/>
    <w:rsid w:val="00767567"/>
    <w:rsid w:val="00774BE4"/>
    <w:rsid w:val="00776030"/>
    <w:rsid w:val="00776886"/>
    <w:rsid w:val="00776A75"/>
    <w:rsid w:val="00777016"/>
    <w:rsid w:val="0077749E"/>
    <w:rsid w:val="00777D2E"/>
    <w:rsid w:val="0078098D"/>
    <w:rsid w:val="0078144E"/>
    <w:rsid w:val="007827E6"/>
    <w:rsid w:val="00783D92"/>
    <w:rsid w:val="00790ADA"/>
    <w:rsid w:val="00790FE5"/>
    <w:rsid w:val="00793965"/>
    <w:rsid w:val="00796F78"/>
    <w:rsid w:val="007A4C4E"/>
    <w:rsid w:val="007A716D"/>
    <w:rsid w:val="007B0098"/>
    <w:rsid w:val="007B04C0"/>
    <w:rsid w:val="007B0EC4"/>
    <w:rsid w:val="007B385B"/>
    <w:rsid w:val="007B6DE6"/>
    <w:rsid w:val="007C4EC3"/>
    <w:rsid w:val="007C5F97"/>
    <w:rsid w:val="007C655C"/>
    <w:rsid w:val="007C7675"/>
    <w:rsid w:val="007C7932"/>
    <w:rsid w:val="007D0A89"/>
    <w:rsid w:val="007D2288"/>
    <w:rsid w:val="007D2A41"/>
    <w:rsid w:val="007D2A60"/>
    <w:rsid w:val="007D4B93"/>
    <w:rsid w:val="007E047F"/>
    <w:rsid w:val="007E088F"/>
    <w:rsid w:val="007E17B0"/>
    <w:rsid w:val="007E24BB"/>
    <w:rsid w:val="007F133B"/>
    <w:rsid w:val="007F31DC"/>
    <w:rsid w:val="007F3BF1"/>
    <w:rsid w:val="007F69D4"/>
    <w:rsid w:val="007F7B32"/>
    <w:rsid w:val="00803415"/>
    <w:rsid w:val="00804BC2"/>
    <w:rsid w:val="00805132"/>
    <w:rsid w:val="00811CE0"/>
    <w:rsid w:val="00813B20"/>
    <w:rsid w:val="0081431A"/>
    <w:rsid w:val="008157C4"/>
    <w:rsid w:val="00820689"/>
    <w:rsid w:val="00823C1C"/>
    <w:rsid w:val="008241E5"/>
    <w:rsid w:val="00827E2E"/>
    <w:rsid w:val="0083216F"/>
    <w:rsid w:val="008345EF"/>
    <w:rsid w:val="008368D1"/>
    <w:rsid w:val="008428ED"/>
    <w:rsid w:val="00842F10"/>
    <w:rsid w:val="00843C27"/>
    <w:rsid w:val="00846BAF"/>
    <w:rsid w:val="00852690"/>
    <w:rsid w:val="0085307D"/>
    <w:rsid w:val="008539C4"/>
    <w:rsid w:val="00855071"/>
    <w:rsid w:val="00856739"/>
    <w:rsid w:val="008568AB"/>
    <w:rsid w:val="00857D45"/>
    <w:rsid w:val="00860000"/>
    <w:rsid w:val="0086122A"/>
    <w:rsid w:val="00861A00"/>
    <w:rsid w:val="00861FCE"/>
    <w:rsid w:val="0086248D"/>
    <w:rsid w:val="00862A77"/>
    <w:rsid w:val="00863BD3"/>
    <w:rsid w:val="008641ED"/>
    <w:rsid w:val="008658BA"/>
    <w:rsid w:val="0086595C"/>
    <w:rsid w:val="00866A99"/>
    <w:rsid w:val="00866D66"/>
    <w:rsid w:val="008671C6"/>
    <w:rsid w:val="008701EB"/>
    <w:rsid w:val="00872172"/>
    <w:rsid w:val="008746DF"/>
    <w:rsid w:val="00874938"/>
    <w:rsid w:val="00874AD3"/>
    <w:rsid w:val="00874F72"/>
    <w:rsid w:val="00875803"/>
    <w:rsid w:val="00876318"/>
    <w:rsid w:val="008833EE"/>
    <w:rsid w:val="00885A56"/>
    <w:rsid w:val="00893C4E"/>
    <w:rsid w:val="00894C18"/>
    <w:rsid w:val="008979A7"/>
    <w:rsid w:val="00897FBC"/>
    <w:rsid w:val="008A26BD"/>
    <w:rsid w:val="008B2360"/>
    <w:rsid w:val="008B405B"/>
    <w:rsid w:val="008B40B4"/>
    <w:rsid w:val="008B459E"/>
    <w:rsid w:val="008B55AD"/>
    <w:rsid w:val="008C19A3"/>
    <w:rsid w:val="008C565C"/>
    <w:rsid w:val="008C7527"/>
    <w:rsid w:val="008D5794"/>
    <w:rsid w:val="008D75F3"/>
    <w:rsid w:val="008E13AE"/>
    <w:rsid w:val="008E1506"/>
    <w:rsid w:val="008E3A7F"/>
    <w:rsid w:val="008E507C"/>
    <w:rsid w:val="008E597D"/>
    <w:rsid w:val="008E710C"/>
    <w:rsid w:val="008F635E"/>
    <w:rsid w:val="008F69D6"/>
    <w:rsid w:val="008F7125"/>
    <w:rsid w:val="00902823"/>
    <w:rsid w:val="009042D2"/>
    <w:rsid w:val="00905651"/>
    <w:rsid w:val="00905FE0"/>
    <w:rsid w:val="00910739"/>
    <w:rsid w:val="0091207E"/>
    <w:rsid w:val="009132F2"/>
    <w:rsid w:val="00915CA6"/>
    <w:rsid w:val="00917FE3"/>
    <w:rsid w:val="00923BD4"/>
    <w:rsid w:val="0092759D"/>
    <w:rsid w:val="00927834"/>
    <w:rsid w:val="00932841"/>
    <w:rsid w:val="009354CD"/>
    <w:rsid w:val="00940D86"/>
    <w:rsid w:val="00946333"/>
    <w:rsid w:val="00946387"/>
    <w:rsid w:val="00946428"/>
    <w:rsid w:val="00946D5D"/>
    <w:rsid w:val="009500A6"/>
    <w:rsid w:val="0095153E"/>
    <w:rsid w:val="009522BE"/>
    <w:rsid w:val="00952E18"/>
    <w:rsid w:val="00953C1C"/>
    <w:rsid w:val="009542BC"/>
    <w:rsid w:val="00957BAA"/>
    <w:rsid w:val="00957C18"/>
    <w:rsid w:val="009603CE"/>
    <w:rsid w:val="0096194D"/>
    <w:rsid w:val="009659BA"/>
    <w:rsid w:val="00965F7B"/>
    <w:rsid w:val="009674E4"/>
    <w:rsid w:val="00970C99"/>
    <w:rsid w:val="00973524"/>
    <w:rsid w:val="00981420"/>
    <w:rsid w:val="00982490"/>
    <w:rsid w:val="00983040"/>
    <w:rsid w:val="009863A8"/>
    <w:rsid w:val="00986FB6"/>
    <w:rsid w:val="0098735B"/>
    <w:rsid w:val="00990B6E"/>
    <w:rsid w:val="00993130"/>
    <w:rsid w:val="00994605"/>
    <w:rsid w:val="009975D0"/>
    <w:rsid w:val="009A2F6C"/>
    <w:rsid w:val="009A3EB4"/>
    <w:rsid w:val="009A68A6"/>
    <w:rsid w:val="009B0F87"/>
    <w:rsid w:val="009B1636"/>
    <w:rsid w:val="009B1E2F"/>
    <w:rsid w:val="009B25E9"/>
    <w:rsid w:val="009B301B"/>
    <w:rsid w:val="009B3FB9"/>
    <w:rsid w:val="009B5B11"/>
    <w:rsid w:val="009C2353"/>
    <w:rsid w:val="009C2465"/>
    <w:rsid w:val="009C30F8"/>
    <w:rsid w:val="009C55D1"/>
    <w:rsid w:val="009C7F65"/>
    <w:rsid w:val="009D0D7C"/>
    <w:rsid w:val="009D2EED"/>
    <w:rsid w:val="009D35A0"/>
    <w:rsid w:val="009D3AC6"/>
    <w:rsid w:val="009D7227"/>
    <w:rsid w:val="009D7EB7"/>
    <w:rsid w:val="009E048A"/>
    <w:rsid w:val="009E08E9"/>
    <w:rsid w:val="009E2E25"/>
    <w:rsid w:val="009E3DB9"/>
    <w:rsid w:val="009E6E35"/>
    <w:rsid w:val="009F0EDA"/>
    <w:rsid w:val="009F2812"/>
    <w:rsid w:val="009F282D"/>
    <w:rsid w:val="009F43A6"/>
    <w:rsid w:val="009F7100"/>
    <w:rsid w:val="00A01CC6"/>
    <w:rsid w:val="00A02D98"/>
    <w:rsid w:val="00A03B96"/>
    <w:rsid w:val="00A041ED"/>
    <w:rsid w:val="00A05AB8"/>
    <w:rsid w:val="00A05B19"/>
    <w:rsid w:val="00A06A17"/>
    <w:rsid w:val="00A077C9"/>
    <w:rsid w:val="00A109D1"/>
    <w:rsid w:val="00A1134E"/>
    <w:rsid w:val="00A21DD3"/>
    <w:rsid w:val="00A24E7E"/>
    <w:rsid w:val="00A258C3"/>
    <w:rsid w:val="00A25D52"/>
    <w:rsid w:val="00A347C0"/>
    <w:rsid w:val="00A51431"/>
    <w:rsid w:val="00A539AD"/>
    <w:rsid w:val="00A5586F"/>
    <w:rsid w:val="00A622C4"/>
    <w:rsid w:val="00A62BB2"/>
    <w:rsid w:val="00A646FE"/>
    <w:rsid w:val="00A6501B"/>
    <w:rsid w:val="00A65591"/>
    <w:rsid w:val="00A71B97"/>
    <w:rsid w:val="00A74801"/>
    <w:rsid w:val="00A815A0"/>
    <w:rsid w:val="00A822A2"/>
    <w:rsid w:val="00A83C2F"/>
    <w:rsid w:val="00A86873"/>
    <w:rsid w:val="00A86943"/>
    <w:rsid w:val="00A869F8"/>
    <w:rsid w:val="00A90F19"/>
    <w:rsid w:val="00A91B2F"/>
    <w:rsid w:val="00A92134"/>
    <w:rsid w:val="00A94063"/>
    <w:rsid w:val="00A94904"/>
    <w:rsid w:val="00A96F7D"/>
    <w:rsid w:val="00AA032C"/>
    <w:rsid w:val="00AA11CC"/>
    <w:rsid w:val="00AA2E62"/>
    <w:rsid w:val="00AA3900"/>
    <w:rsid w:val="00AA48F7"/>
    <w:rsid w:val="00AA529D"/>
    <w:rsid w:val="00AA6219"/>
    <w:rsid w:val="00AA74E0"/>
    <w:rsid w:val="00AB0966"/>
    <w:rsid w:val="00AB214A"/>
    <w:rsid w:val="00AB46D0"/>
    <w:rsid w:val="00AB562D"/>
    <w:rsid w:val="00AB703F"/>
    <w:rsid w:val="00AB7659"/>
    <w:rsid w:val="00AC41C4"/>
    <w:rsid w:val="00AC6BB8"/>
    <w:rsid w:val="00AC74AB"/>
    <w:rsid w:val="00AD2E8C"/>
    <w:rsid w:val="00AE008F"/>
    <w:rsid w:val="00AE3279"/>
    <w:rsid w:val="00AE7337"/>
    <w:rsid w:val="00AE7A45"/>
    <w:rsid w:val="00AF1F86"/>
    <w:rsid w:val="00AF20FA"/>
    <w:rsid w:val="00AF2A5C"/>
    <w:rsid w:val="00AF367A"/>
    <w:rsid w:val="00AF3D4D"/>
    <w:rsid w:val="00AF49B6"/>
    <w:rsid w:val="00AF588B"/>
    <w:rsid w:val="00AF7C65"/>
    <w:rsid w:val="00B001E1"/>
    <w:rsid w:val="00B00BAA"/>
    <w:rsid w:val="00B01FCD"/>
    <w:rsid w:val="00B06A67"/>
    <w:rsid w:val="00B06C2B"/>
    <w:rsid w:val="00B1576D"/>
    <w:rsid w:val="00B1776C"/>
    <w:rsid w:val="00B2265D"/>
    <w:rsid w:val="00B234A9"/>
    <w:rsid w:val="00B2579B"/>
    <w:rsid w:val="00B362EE"/>
    <w:rsid w:val="00B3723A"/>
    <w:rsid w:val="00B37BF4"/>
    <w:rsid w:val="00B4211F"/>
    <w:rsid w:val="00B43EA9"/>
    <w:rsid w:val="00B44DB6"/>
    <w:rsid w:val="00B4625A"/>
    <w:rsid w:val="00B46E43"/>
    <w:rsid w:val="00B476F3"/>
    <w:rsid w:val="00B509D8"/>
    <w:rsid w:val="00B52583"/>
    <w:rsid w:val="00B52896"/>
    <w:rsid w:val="00B53D6A"/>
    <w:rsid w:val="00B553A8"/>
    <w:rsid w:val="00B56A01"/>
    <w:rsid w:val="00B60E5C"/>
    <w:rsid w:val="00B635D2"/>
    <w:rsid w:val="00B66A93"/>
    <w:rsid w:val="00B8030F"/>
    <w:rsid w:val="00B90E54"/>
    <w:rsid w:val="00B92464"/>
    <w:rsid w:val="00B950D9"/>
    <w:rsid w:val="00B95236"/>
    <w:rsid w:val="00B96BD9"/>
    <w:rsid w:val="00B97894"/>
    <w:rsid w:val="00BA1B01"/>
    <w:rsid w:val="00BA2641"/>
    <w:rsid w:val="00BA3FD2"/>
    <w:rsid w:val="00BA69F9"/>
    <w:rsid w:val="00BB2C41"/>
    <w:rsid w:val="00BB304F"/>
    <w:rsid w:val="00BB37AA"/>
    <w:rsid w:val="00BB3C10"/>
    <w:rsid w:val="00BB3C51"/>
    <w:rsid w:val="00BB569C"/>
    <w:rsid w:val="00BC1D9E"/>
    <w:rsid w:val="00BC53A0"/>
    <w:rsid w:val="00BC7009"/>
    <w:rsid w:val="00BD34CB"/>
    <w:rsid w:val="00BD35E3"/>
    <w:rsid w:val="00BD369C"/>
    <w:rsid w:val="00BD3D29"/>
    <w:rsid w:val="00BD4A1E"/>
    <w:rsid w:val="00BD5B7A"/>
    <w:rsid w:val="00BD6AC3"/>
    <w:rsid w:val="00BE2271"/>
    <w:rsid w:val="00BE3326"/>
    <w:rsid w:val="00BE503E"/>
    <w:rsid w:val="00BE62AD"/>
    <w:rsid w:val="00BE6633"/>
    <w:rsid w:val="00BF121F"/>
    <w:rsid w:val="00BF1F80"/>
    <w:rsid w:val="00BF798F"/>
    <w:rsid w:val="00C0501C"/>
    <w:rsid w:val="00C054C8"/>
    <w:rsid w:val="00C05E5D"/>
    <w:rsid w:val="00C07B18"/>
    <w:rsid w:val="00C13FD3"/>
    <w:rsid w:val="00C15F9B"/>
    <w:rsid w:val="00C160FB"/>
    <w:rsid w:val="00C166EF"/>
    <w:rsid w:val="00C17EB0"/>
    <w:rsid w:val="00C20676"/>
    <w:rsid w:val="00C20EB5"/>
    <w:rsid w:val="00C21CB9"/>
    <w:rsid w:val="00C2342C"/>
    <w:rsid w:val="00C23B5C"/>
    <w:rsid w:val="00C27CA0"/>
    <w:rsid w:val="00C27F5F"/>
    <w:rsid w:val="00C30A0F"/>
    <w:rsid w:val="00C30A6B"/>
    <w:rsid w:val="00C31674"/>
    <w:rsid w:val="00C32CA1"/>
    <w:rsid w:val="00C346DD"/>
    <w:rsid w:val="00C37E61"/>
    <w:rsid w:val="00C4058A"/>
    <w:rsid w:val="00C40C71"/>
    <w:rsid w:val="00C42354"/>
    <w:rsid w:val="00C4331C"/>
    <w:rsid w:val="00C450E8"/>
    <w:rsid w:val="00C45401"/>
    <w:rsid w:val="00C51424"/>
    <w:rsid w:val="00C519BE"/>
    <w:rsid w:val="00C54054"/>
    <w:rsid w:val="00C55BFE"/>
    <w:rsid w:val="00C55F6D"/>
    <w:rsid w:val="00C676CF"/>
    <w:rsid w:val="00C70020"/>
    <w:rsid w:val="00C70F1B"/>
    <w:rsid w:val="00C71A47"/>
    <w:rsid w:val="00C7464C"/>
    <w:rsid w:val="00C74F94"/>
    <w:rsid w:val="00C76D28"/>
    <w:rsid w:val="00C807A8"/>
    <w:rsid w:val="00C826A4"/>
    <w:rsid w:val="00C82C69"/>
    <w:rsid w:val="00C85588"/>
    <w:rsid w:val="00C86288"/>
    <w:rsid w:val="00C904E5"/>
    <w:rsid w:val="00CA0513"/>
    <w:rsid w:val="00CA7762"/>
    <w:rsid w:val="00CB2A34"/>
    <w:rsid w:val="00CB62C8"/>
    <w:rsid w:val="00CD0E16"/>
    <w:rsid w:val="00CD2803"/>
    <w:rsid w:val="00CD572B"/>
    <w:rsid w:val="00CD6755"/>
    <w:rsid w:val="00CD6856"/>
    <w:rsid w:val="00CD74BD"/>
    <w:rsid w:val="00CD7D80"/>
    <w:rsid w:val="00CE0089"/>
    <w:rsid w:val="00CE0B2F"/>
    <w:rsid w:val="00CE1F4A"/>
    <w:rsid w:val="00CE793C"/>
    <w:rsid w:val="00CF0CAB"/>
    <w:rsid w:val="00CF193C"/>
    <w:rsid w:val="00CF2737"/>
    <w:rsid w:val="00CF60D3"/>
    <w:rsid w:val="00CF7F73"/>
    <w:rsid w:val="00D00E91"/>
    <w:rsid w:val="00D02BCB"/>
    <w:rsid w:val="00D04276"/>
    <w:rsid w:val="00D06813"/>
    <w:rsid w:val="00D073EF"/>
    <w:rsid w:val="00D1043E"/>
    <w:rsid w:val="00D10B9E"/>
    <w:rsid w:val="00D150EE"/>
    <w:rsid w:val="00D173F1"/>
    <w:rsid w:val="00D222A4"/>
    <w:rsid w:val="00D25302"/>
    <w:rsid w:val="00D25C2A"/>
    <w:rsid w:val="00D2632D"/>
    <w:rsid w:val="00D275EB"/>
    <w:rsid w:val="00D304E4"/>
    <w:rsid w:val="00D31865"/>
    <w:rsid w:val="00D320DF"/>
    <w:rsid w:val="00D35137"/>
    <w:rsid w:val="00D361B0"/>
    <w:rsid w:val="00D36EFE"/>
    <w:rsid w:val="00D377D0"/>
    <w:rsid w:val="00D41CA0"/>
    <w:rsid w:val="00D42F16"/>
    <w:rsid w:val="00D45112"/>
    <w:rsid w:val="00D46657"/>
    <w:rsid w:val="00D46D27"/>
    <w:rsid w:val="00D509BD"/>
    <w:rsid w:val="00D51DEF"/>
    <w:rsid w:val="00D53117"/>
    <w:rsid w:val="00D5351B"/>
    <w:rsid w:val="00D57319"/>
    <w:rsid w:val="00D64F19"/>
    <w:rsid w:val="00D74CB0"/>
    <w:rsid w:val="00D76771"/>
    <w:rsid w:val="00D7681F"/>
    <w:rsid w:val="00D81763"/>
    <w:rsid w:val="00D8295D"/>
    <w:rsid w:val="00D929E7"/>
    <w:rsid w:val="00D93A45"/>
    <w:rsid w:val="00DA253E"/>
    <w:rsid w:val="00DA34A1"/>
    <w:rsid w:val="00DA630B"/>
    <w:rsid w:val="00DA6D62"/>
    <w:rsid w:val="00DB03ED"/>
    <w:rsid w:val="00DB1140"/>
    <w:rsid w:val="00DB6287"/>
    <w:rsid w:val="00DC1734"/>
    <w:rsid w:val="00DC29A0"/>
    <w:rsid w:val="00DC2A65"/>
    <w:rsid w:val="00DC4631"/>
    <w:rsid w:val="00DD209C"/>
    <w:rsid w:val="00DD5B20"/>
    <w:rsid w:val="00DD73E2"/>
    <w:rsid w:val="00DE01CD"/>
    <w:rsid w:val="00DE15F0"/>
    <w:rsid w:val="00DE473C"/>
    <w:rsid w:val="00DE5663"/>
    <w:rsid w:val="00DE78AA"/>
    <w:rsid w:val="00DF1040"/>
    <w:rsid w:val="00DF1112"/>
    <w:rsid w:val="00DF4274"/>
    <w:rsid w:val="00DF5252"/>
    <w:rsid w:val="00DF73F3"/>
    <w:rsid w:val="00DF7A07"/>
    <w:rsid w:val="00E019C3"/>
    <w:rsid w:val="00E02CF0"/>
    <w:rsid w:val="00E053D0"/>
    <w:rsid w:val="00E0759B"/>
    <w:rsid w:val="00E112CD"/>
    <w:rsid w:val="00E1341D"/>
    <w:rsid w:val="00E15994"/>
    <w:rsid w:val="00E167BF"/>
    <w:rsid w:val="00E169DC"/>
    <w:rsid w:val="00E2043E"/>
    <w:rsid w:val="00E2268D"/>
    <w:rsid w:val="00E25DD6"/>
    <w:rsid w:val="00E305B5"/>
    <w:rsid w:val="00E3114E"/>
    <w:rsid w:val="00E31A70"/>
    <w:rsid w:val="00E332C0"/>
    <w:rsid w:val="00E35B02"/>
    <w:rsid w:val="00E403DF"/>
    <w:rsid w:val="00E42B3F"/>
    <w:rsid w:val="00E46F73"/>
    <w:rsid w:val="00E50A64"/>
    <w:rsid w:val="00E53F6B"/>
    <w:rsid w:val="00E55787"/>
    <w:rsid w:val="00E60057"/>
    <w:rsid w:val="00E640A4"/>
    <w:rsid w:val="00E66496"/>
    <w:rsid w:val="00E66B35"/>
    <w:rsid w:val="00E66E10"/>
    <w:rsid w:val="00E71515"/>
    <w:rsid w:val="00E72097"/>
    <w:rsid w:val="00E73F0F"/>
    <w:rsid w:val="00E74032"/>
    <w:rsid w:val="00E769F6"/>
    <w:rsid w:val="00E77ACC"/>
    <w:rsid w:val="00E77F48"/>
    <w:rsid w:val="00E80519"/>
    <w:rsid w:val="00E80EAE"/>
    <w:rsid w:val="00E8407C"/>
    <w:rsid w:val="00E84F3C"/>
    <w:rsid w:val="00E95BAB"/>
    <w:rsid w:val="00E9697E"/>
    <w:rsid w:val="00EA012C"/>
    <w:rsid w:val="00EA406A"/>
    <w:rsid w:val="00EA6004"/>
    <w:rsid w:val="00EB1DF3"/>
    <w:rsid w:val="00EB30FB"/>
    <w:rsid w:val="00EB4902"/>
    <w:rsid w:val="00EB555D"/>
    <w:rsid w:val="00EB5E61"/>
    <w:rsid w:val="00EB6AD8"/>
    <w:rsid w:val="00EC00AE"/>
    <w:rsid w:val="00EC68B6"/>
    <w:rsid w:val="00EC6A55"/>
    <w:rsid w:val="00ED0288"/>
    <w:rsid w:val="00ED2341"/>
    <w:rsid w:val="00ED5024"/>
    <w:rsid w:val="00ED5478"/>
    <w:rsid w:val="00EE17FA"/>
    <w:rsid w:val="00EE267C"/>
    <w:rsid w:val="00EE3450"/>
    <w:rsid w:val="00EE4C8B"/>
    <w:rsid w:val="00EE52CB"/>
    <w:rsid w:val="00EE6646"/>
    <w:rsid w:val="00EE7B4A"/>
    <w:rsid w:val="00EF261C"/>
    <w:rsid w:val="00EF508A"/>
    <w:rsid w:val="00EF581D"/>
    <w:rsid w:val="00EF67EA"/>
    <w:rsid w:val="00EF7FD8"/>
    <w:rsid w:val="00F00F69"/>
    <w:rsid w:val="00F0206C"/>
    <w:rsid w:val="00F06E63"/>
    <w:rsid w:val="00F06F59"/>
    <w:rsid w:val="00F079E1"/>
    <w:rsid w:val="00F105C5"/>
    <w:rsid w:val="00F1195A"/>
    <w:rsid w:val="00F131CC"/>
    <w:rsid w:val="00F14A79"/>
    <w:rsid w:val="00F1711E"/>
    <w:rsid w:val="00F17988"/>
    <w:rsid w:val="00F2223C"/>
    <w:rsid w:val="00F256CD"/>
    <w:rsid w:val="00F25E1D"/>
    <w:rsid w:val="00F2702A"/>
    <w:rsid w:val="00F31177"/>
    <w:rsid w:val="00F321B5"/>
    <w:rsid w:val="00F34EF2"/>
    <w:rsid w:val="00F3618F"/>
    <w:rsid w:val="00F3784D"/>
    <w:rsid w:val="00F4101A"/>
    <w:rsid w:val="00F45498"/>
    <w:rsid w:val="00F4621A"/>
    <w:rsid w:val="00F469F0"/>
    <w:rsid w:val="00F47B74"/>
    <w:rsid w:val="00F50A2A"/>
    <w:rsid w:val="00F510C3"/>
    <w:rsid w:val="00F51BFC"/>
    <w:rsid w:val="00F53267"/>
    <w:rsid w:val="00F53273"/>
    <w:rsid w:val="00F56907"/>
    <w:rsid w:val="00F571D9"/>
    <w:rsid w:val="00F57C68"/>
    <w:rsid w:val="00F67EAB"/>
    <w:rsid w:val="00F70841"/>
    <w:rsid w:val="00F70B9C"/>
    <w:rsid w:val="00F7277A"/>
    <w:rsid w:val="00F728F0"/>
    <w:rsid w:val="00F744BF"/>
    <w:rsid w:val="00F755E4"/>
    <w:rsid w:val="00F770D7"/>
    <w:rsid w:val="00F778FF"/>
    <w:rsid w:val="00F77D02"/>
    <w:rsid w:val="00F80329"/>
    <w:rsid w:val="00F81A0E"/>
    <w:rsid w:val="00F81A6C"/>
    <w:rsid w:val="00F939E7"/>
    <w:rsid w:val="00FA19B1"/>
    <w:rsid w:val="00FA5527"/>
    <w:rsid w:val="00FA5CE7"/>
    <w:rsid w:val="00FA75F3"/>
    <w:rsid w:val="00FA7D6D"/>
    <w:rsid w:val="00FB05C5"/>
    <w:rsid w:val="00FB1730"/>
    <w:rsid w:val="00FB3A86"/>
    <w:rsid w:val="00FC01B8"/>
    <w:rsid w:val="00FC35A2"/>
    <w:rsid w:val="00FC733D"/>
    <w:rsid w:val="00FD36C8"/>
    <w:rsid w:val="00FD36F9"/>
    <w:rsid w:val="00FD516E"/>
    <w:rsid w:val="00FE25FA"/>
    <w:rsid w:val="00FE28B0"/>
    <w:rsid w:val="00FF1283"/>
    <w:rsid w:val="00FF3877"/>
    <w:rsid w:val="00FF3C93"/>
    <w:rsid w:val="00FF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621DEEE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whitespace-normal">
    <w:name w:val="whitespace-normal"/>
    <w:basedOn w:val="Normal"/>
    <w:rsid w:val="00AF7C65"/>
    <w:pPr>
      <w:spacing w:before="100" w:beforeAutospacing="1" w:after="100" w:afterAutospacing="1"/>
    </w:pPr>
    <w:rPr>
      <w:rFonts w:ascii="Times New Roman" w:hAnsi="Times New Roman"/>
      <w:sz w:val="24"/>
      <w:szCs w:val="24"/>
    </w:rPr>
  </w:style>
  <w:style w:type="paragraph" w:styleId="NormalWeb">
    <w:name w:val="Normal (Web)"/>
    <w:basedOn w:val="Normal"/>
    <w:uiPriority w:val="99"/>
    <w:unhideWhenUsed/>
    <w:rsid w:val="00E46F73"/>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E46F73"/>
    <w:rPr>
      <w:b/>
      <w:bCs/>
    </w:rPr>
  </w:style>
  <w:style w:type="character" w:customStyle="1" w:styleId="UnresolvedMention">
    <w:name w:val="Unresolved Mention"/>
    <w:basedOn w:val="DefaultParagraphFont"/>
    <w:uiPriority w:val="99"/>
    <w:semiHidden/>
    <w:unhideWhenUsed/>
    <w:rsid w:val="00FA5527"/>
    <w:rPr>
      <w:color w:val="605E5C"/>
      <w:shd w:val="clear" w:color="auto" w:fill="E1DFDD"/>
    </w:rPr>
  </w:style>
  <w:style w:type="paragraph" w:styleId="ListParagraph">
    <w:name w:val="List Paragraph"/>
    <w:basedOn w:val="Normal"/>
    <w:uiPriority w:val="34"/>
    <w:qFormat/>
    <w:rsid w:val="001E6834"/>
    <w:pPr>
      <w:ind w:left="720"/>
      <w:contextualSpacing/>
    </w:pPr>
  </w:style>
  <w:style w:type="paragraph" w:customStyle="1" w:styleId="font-claude-response-body">
    <w:name w:val="font-claude-response-body"/>
    <w:basedOn w:val="Normal"/>
    <w:rsid w:val="0054751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9891397">
      <w:bodyDiv w:val="1"/>
      <w:marLeft w:val="0"/>
      <w:marRight w:val="0"/>
      <w:marTop w:val="0"/>
      <w:marBottom w:val="0"/>
      <w:divBdr>
        <w:top w:val="none" w:sz="0" w:space="0" w:color="auto"/>
        <w:left w:val="none" w:sz="0" w:space="0" w:color="auto"/>
        <w:bottom w:val="none" w:sz="0" w:space="0" w:color="auto"/>
        <w:right w:val="none" w:sz="0" w:space="0" w:color="auto"/>
      </w:divBdr>
      <w:divsChild>
        <w:div w:id="403918904">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0384867">
      <w:bodyDiv w:val="1"/>
      <w:marLeft w:val="0"/>
      <w:marRight w:val="0"/>
      <w:marTop w:val="0"/>
      <w:marBottom w:val="0"/>
      <w:divBdr>
        <w:top w:val="none" w:sz="0" w:space="0" w:color="auto"/>
        <w:left w:val="none" w:sz="0" w:space="0" w:color="auto"/>
        <w:bottom w:val="none" w:sz="0" w:space="0" w:color="auto"/>
        <w:right w:val="none" w:sz="0" w:space="0" w:color="auto"/>
      </w:divBdr>
      <w:divsChild>
        <w:div w:id="402416884">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55685053">
      <w:bodyDiv w:val="1"/>
      <w:marLeft w:val="0"/>
      <w:marRight w:val="0"/>
      <w:marTop w:val="0"/>
      <w:marBottom w:val="0"/>
      <w:divBdr>
        <w:top w:val="none" w:sz="0" w:space="0" w:color="auto"/>
        <w:left w:val="none" w:sz="0" w:space="0" w:color="auto"/>
        <w:bottom w:val="none" w:sz="0" w:space="0" w:color="auto"/>
        <w:right w:val="none" w:sz="0" w:space="0" w:color="auto"/>
      </w:divBdr>
    </w:div>
    <w:div w:id="462698038">
      <w:bodyDiv w:val="1"/>
      <w:marLeft w:val="0"/>
      <w:marRight w:val="0"/>
      <w:marTop w:val="0"/>
      <w:marBottom w:val="0"/>
      <w:divBdr>
        <w:top w:val="none" w:sz="0" w:space="0" w:color="auto"/>
        <w:left w:val="none" w:sz="0" w:space="0" w:color="auto"/>
        <w:bottom w:val="none" w:sz="0" w:space="0" w:color="auto"/>
        <w:right w:val="none" w:sz="0" w:space="0" w:color="auto"/>
      </w:divBdr>
      <w:divsChild>
        <w:div w:id="1995528409">
          <w:marLeft w:val="0"/>
          <w:marRight w:val="0"/>
          <w:marTop w:val="0"/>
          <w:marBottom w:val="0"/>
          <w:divBdr>
            <w:top w:val="none" w:sz="0" w:space="0" w:color="auto"/>
            <w:left w:val="none" w:sz="0" w:space="0" w:color="auto"/>
            <w:bottom w:val="none" w:sz="0" w:space="0" w:color="auto"/>
            <w:right w:val="none" w:sz="0" w:space="0" w:color="auto"/>
          </w:divBdr>
        </w:div>
      </w:divsChild>
    </w:div>
    <w:div w:id="521356851">
      <w:bodyDiv w:val="1"/>
      <w:marLeft w:val="0"/>
      <w:marRight w:val="0"/>
      <w:marTop w:val="0"/>
      <w:marBottom w:val="0"/>
      <w:divBdr>
        <w:top w:val="none" w:sz="0" w:space="0" w:color="auto"/>
        <w:left w:val="none" w:sz="0" w:space="0" w:color="auto"/>
        <w:bottom w:val="none" w:sz="0" w:space="0" w:color="auto"/>
        <w:right w:val="none" w:sz="0" w:space="0" w:color="auto"/>
      </w:divBdr>
    </w:div>
    <w:div w:id="624238619">
      <w:bodyDiv w:val="1"/>
      <w:marLeft w:val="0"/>
      <w:marRight w:val="0"/>
      <w:marTop w:val="0"/>
      <w:marBottom w:val="0"/>
      <w:divBdr>
        <w:top w:val="none" w:sz="0" w:space="0" w:color="auto"/>
        <w:left w:val="none" w:sz="0" w:space="0" w:color="auto"/>
        <w:bottom w:val="none" w:sz="0" w:space="0" w:color="auto"/>
        <w:right w:val="none" w:sz="0" w:space="0" w:color="auto"/>
      </w:divBdr>
      <w:divsChild>
        <w:div w:id="2063821585">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9871451">
      <w:bodyDiv w:val="1"/>
      <w:marLeft w:val="0"/>
      <w:marRight w:val="0"/>
      <w:marTop w:val="0"/>
      <w:marBottom w:val="0"/>
      <w:divBdr>
        <w:top w:val="none" w:sz="0" w:space="0" w:color="auto"/>
        <w:left w:val="none" w:sz="0" w:space="0" w:color="auto"/>
        <w:bottom w:val="none" w:sz="0" w:space="0" w:color="auto"/>
        <w:right w:val="none" w:sz="0" w:space="0" w:color="auto"/>
      </w:divBdr>
      <w:divsChild>
        <w:div w:id="1153570288">
          <w:marLeft w:val="0"/>
          <w:marRight w:val="0"/>
          <w:marTop w:val="0"/>
          <w:marBottom w:val="0"/>
          <w:divBdr>
            <w:top w:val="none" w:sz="0" w:space="0" w:color="auto"/>
            <w:left w:val="none" w:sz="0" w:space="0" w:color="auto"/>
            <w:bottom w:val="none" w:sz="0" w:space="0" w:color="auto"/>
            <w:right w:val="none" w:sz="0" w:space="0" w:color="auto"/>
          </w:divBdr>
        </w:div>
      </w:divsChild>
    </w:div>
    <w:div w:id="716702639">
      <w:bodyDiv w:val="1"/>
      <w:marLeft w:val="0"/>
      <w:marRight w:val="0"/>
      <w:marTop w:val="0"/>
      <w:marBottom w:val="0"/>
      <w:divBdr>
        <w:top w:val="none" w:sz="0" w:space="0" w:color="auto"/>
        <w:left w:val="none" w:sz="0" w:space="0" w:color="auto"/>
        <w:bottom w:val="none" w:sz="0" w:space="0" w:color="auto"/>
        <w:right w:val="none" w:sz="0" w:space="0" w:color="auto"/>
      </w:divBdr>
    </w:div>
    <w:div w:id="764226741">
      <w:bodyDiv w:val="1"/>
      <w:marLeft w:val="0"/>
      <w:marRight w:val="0"/>
      <w:marTop w:val="0"/>
      <w:marBottom w:val="0"/>
      <w:divBdr>
        <w:top w:val="none" w:sz="0" w:space="0" w:color="auto"/>
        <w:left w:val="none" w:sz="0" w:space="0" w:color="auto"/>
        <w:bottom w:val="none" w:sz="0" w:space="0" w:color="auto"/>
        <w:right w:val="none" w:sz="0" w:space="0" w:color="auto"/>
      </w:divBdr>
      <w:divsChild>
        <w:div w:id="1631940530">
          <w:marLeft w:val="0"/>
          <w:marRight w:val="0"/>
          <w:marTop w:val="0"/>
          <w:marBottom w:val="0"/>
          <w:divBdr>
            <w:top w:val="none" w:sz="0" w:space="0" w:color="auto"/>
            <w:left w:val="none" w:sz="0" w:space="0" w:color="auto"/>
            <w:bottom w:val="none" w:sz="0" w:space="0" w:color="auto"/>
            <w:right w:val="none" w:sz="0" w:space="0" w:color="auto"/>
          </w:divBdr>
        </w:div>
      </w:divsChild>
    </w:div>
    <w:div w:id="854079645">
      <w:bodyDiv w:val="1"/>
      <w:marLeft w:val="0"/>
      <w:marRight w:val="0"/>
      <w:marTop w:val="0"/>
      <w:marBottom w:val="0"/>
      <w:divBdr>
        <w:top w:val="none" w:sz="0" w:space="0" w:color="auto"/>
        <w:left w:val="none" w:sz="0" w:space="0" w:color="auto"/>
        <w:bottom w:val="none" w:sz="0" w:space="0" w:color="auto"/>
        <w:right w:val="none" w:sz="0" w:space="0" w:color="auto"/>
      </w:divBdr>
      <w:divsChild>
        <w:div w:id="1709722430">
          <w:marLeft w:val="0"/>
          <w:marRight w:val="0"/>
          <w:marTop w:val="0"/>
          <w:marBottom w:val="0"/>
          <w:divBdr>
            <w:top w:val="none" w:sz="0" w:space="0" w:color="auto"/>
            <w:left w:val="none" w:sz="0" w:space="0" w:color="auto"/>
            <w:bottom w:val="none" w:sz="0" w:space="0" w:color="auto"/>
            <w:right w:val="none" w:sz="0" w:space="0" w:color="auto"/>
          </w:divBdr>
        </w:div>
      </w:divsChild>
    </w:div>
    <w:div w:id="888883501">
      <w:bodyDiv w:val="1"/>
      <w:marLeft w:val="0"/>
      <w:marRight w:val="0"/>
      <w:marTop w:val="0"/>
      <w:marBottom w:val="0"/>
      <w:divBdr>
        <w:top w:val="none" w:sz="0" w:space="0" w:color="auto"/>
        <w:left w:val="none" w:sz="0" w:space="0" w:color="auto"/>
        <w:bottom w:val="none" w:sz="0" w:space="0" w:color="auto"/>
        <w:right w:val="none" w:sz="0" w:space="0" w:color="auto"/>
      </w:divBdr>
      <w:divsChild>
        <w:div w:id="941376605">
          <w:marLeft w:val="0"/>
          <w:marRight w:val="0"/>
          <w:marTop w:val="0"/>
          <w:marBottom w:val="0"/>
          <w:divBdr>
            <w:top w:val="none" w:sz="0" w:space="0" w:color="auto"/>
            <w:left w:val="none" w:sz="0" w:space="0" w:color="auto"/>
            <w:bottom w:val="none" w:sz="0" w:space="0" w:color="auto"/>
            <w:right w:val="none" w:sz="0" w:space="0" w:color="auto"/>
          </w:divBdr>
        </w:div>
      </w:divsChild>
    </w:div>
    <w:div w:id="959919050">
      <w:bodyDiv w:val="1"/>
      <w:marLeft w:val="0"/>
      <w:marRight w:val="0"/>
      <w:marTop w:val="0"/>
      <w:marBottom w:val="0"/>
      <w:divBdr>
        <w:top w:val="none" w:sz="0" w:space="0" w:color="auto"/>
        <w:left w:val="none" w:sz="0" w:space="0" w:color="auto"/>
        <w:bottom w:val="none" w:sz="0" w:space="0" w:color="auto"/>
        <w:right w:val="none" w:sz="0" w:space="0" w:color="auto"/>
      </w:divBdr>
      <w:divsChild>
        <w:div w:id="1826358641">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9963261">
      <w:bodyDiv w:val="1"/>
      <w:marLeft w:val="0"/>
      <w:marRight w:val="0"/>
      <w:marTop w:val="0"/>
      <w:marBottom w:val="0"/>
      <w:divBdr>
        <w:top w:val="none" w:sz="0" w:space="0" w:color="auto"/>
        <w:left w:val="none" w:sz="0" w:space="0" w:color="auto"/>
        <w:bottom w:val="none" w:sz="0" w:space="0" w:color="auto"/>
        <w:right w:val="none" w:sz="0" w:space="0" w:color="auto"/>
      </w:divBdr>
    </w:div>
    <w:div w:id="1057778457">
      <w:bodyDiv w:val="1"/>
      <w:marLeft w:val="0"/>
      <w:marRight w:val="0"/>
      <w:marTop w:val="0"/>
      <w:marBottom w:val="0"/>
      <w:divBdr>
        <w:top w:val="none" w:sz="0" w:space="0" w:color="auto"/>
        <w:left w:val="none" w:sz="0" w:space="0" w:color="auto"/>
        <w:bottom w:val="none" w:sz="0" w:space="0" w:color="auto"/>
        <w:right w:val="none" w:sz="0" w:space="0" w:color="auto"/>
      </w:divBdr>
      <w:divsChild>
        <w:div w:id="1340425259">
          <w:marLeft w:val="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4135020">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65670721">
      <w:bodyDiv w:val="1"/>
      <w:marLeft w:val="0"/>
      <w:marRight w:val="0"/>
      <w:marTop w:val="0"/>
      <w:marBottom w:val="0"/>
      <w:divBdr>
        <w:top w:val="none" w:sz="0" w:space="0" w:color="auto"/>
        <w:left w:val="none" w:sz="0" w:space="0" w:color="auto"/>
        <w:bottom w:val="none" w:sz="0" w:space="0" w:color="auto"/>
        <w:right w:val="none" w:sz="0" w:space="0" w:color="auto"/>
      </w:divBdr>
      <w:divsChild>
        <w:div w:id="1191912908">
          <w:marLeft w:val="0"/>
          <w:marRight w:val="0"/>
          <w:marTop w:val="120"/>
          <w:marBottom w:val="120"/>
          <w:divBdr>
            <w:top w:val="none" w:sz="0" w:space="0" w:color="auto"/>
            <w:left w:val="none" w:sz="0" w:space="0" w:color="auto"/>
            <w:bottom w:val="none" w:sz="0" w:space="0" w:color="auto"/>
            <w:right w:val="none" w:sz="0" w:space="0" w:color="auto"/>
          </w:divBdr>
        </w:div>
        <w:div w:id="461508434">
          <w:marLeft w:val="0"/>
          <w:marRight w:val="0"/>
          <w:marTop w:val="120"/>
          <w:marBottom w:val="120"/>
          <w:divBdr>
            <w:top w:val="none" w:sz="0" w:space="0" w:color="auto"/>
            <w:left w:val="none" w:sz="0" w:space="0" w:color="auto"/>
            <w:bottom w:val="none" w:sz="0" w:space="0" w:color="auto"/>
            <w:right w:val="none" w:sz="0" w:space="0" w:color="auto"/>
          </w:divBdr>
        </w:div>
        <w:div w:id="1423599213">
          <w:marLeft w:val="0"/>
          <w:marRight w:val="0"/>
          <w:marTop w:val="120"/>
          <w:marBottom w:val="120"/>
          <w:divBdr>
            <w:top w:val="none" w:sz="0" w:space="0" w:color="auto"/>
            <w:left w:val="none" w:sz="0" w:space="0" w:color="auto"/>
            <w:bottom w:val="none" w:sz="0" w:space="0" w:color="auto"/>
            <w:right w:val="none" w:sz="0" w:space="0" w:color="auto"/>
          </w:divBdr>
        </w:div>
        <w:div w:id="448012083">
          <w:marLeft w:val="0"/>
          <w:marRight w:val="0"/>
          <w:marTop w:val="120"/>
          <w:marBottom w:val="120"/>
          <w:divBdr>
            <w:top w:val="none" w:sz="0" w:space="0" w:color="auto"/>
            <w:left w:val="none" w:sz="0" w:space="0" w:color="auto"/>
            <w:bottom w:val="none" w:sz="0" w:space="0" w:color="auto"/>
            <w:right w:val="none" w:sz="0" w:space="0" w:color="auto"/>
          </w:divBdr>
        </w:div>
        <w:div w:id="140194890">
          <w:marLeft w:val="0"/>
          <w:marRight w:val="0"/>
          <w:marTop w:val="120"/>
          <w:marBottom w:val="120"/>
          <w:divBdr>
            <w:top w:val="none" w:sz="0" w:space="0" w:color="auto"/>
            <w:left w:val="none" w:sz="0" w:space="0" w:color="auto"/>
            <w:bottom w:val="none" w:sz="0" w:space="0" w:color="auto"/>
            <w:right w:val="none" w:sz="0" w:space="0" w:color="auto"/>
          </w:divBdr>
        </w:div>
        <w:div w:id="192814137">
          <w:marLeft w:val="0"/>
          <w:marRight w:val="0"/>
          <w:marTop w:val="120"/>
          <w:marBottom w:val="120"/>
          <w:divBdr>
            <w:top w:val="none" w:sz="0" w:space="0" w:color="auto"/>
            <w:left w:val="none" w:sz="0" w:space="0" w:color="auto"/>
            <w:bottom w:val="none" w:sz="0" w:space="0" w:color="auto"/>
            <w:right w:val="none" w:sz="0" w:space="0" w:color="auto"/>
          </w:divBdr>
        </w:div>
      </w:divsChild>
    </w:div>
    <w:div w:id="1509640391">
      <w:bodyDiv w:val="1"/>
      <w:marLeft w:val="0"/>
      <w:marRight w:val="0"/>
      <w:marTop w:val="0"/>
      <w:marBottom w:val="0"/>
      <w:divBdr>
        <w:top w:val="none" w:sz="0" w:space="0" w:color="auto"/>
        <w:left w:val="none" w:sz="0" w:space="0" w:color="auto"/>
        <w:bottom w:val="none" w:sz="0" w:space="0" w:color="auto"/>
        <w:right w:val="none" w:sz="0" w:space="0" w:color="auto"/>
      </w:divBdr>
      <w:divsChild>
        <w:div w:id="271405544">
          <w:marLeft w:val="0"/>
          <w:marRight w:val="0"/>
          <w:marTop w:val="0"/>
          <w:marBottom w:val="0"/>
          <w:divBdr>
            <w:top w:val="none" w:sz="0" w:space="0" w:color="auto"/>
            <w:left w:val="none" w:sz="0" w:space="0" w:color="auto"/>
            <w:bottom w:val="none" w:sz="0" w:space="0" w:color="auto"/>
            <w:right w:val="none" w:sz="0" w:space="0" w:color="auto"/>
          </w:divBdr>
        </w:div>
      </w:divsChild>
    </w:div>
    <w:div w:id="1584754352">
      <w:bodyDiv w:val="1"/>
      <w:marLeft w:val="0"/>
      <w:marRight w:val="0"/>
      <w:marTop w:val="0"/>
      <w:marBottom w:val="0"/>
      <w:divBdr>
        <w:top w:val="none" w:sz="0" w:space="0" w:color="auto"/>
        <w:left w:val="none" w:sz="0" w:space="0" w:color="auto"/>
        <w:bottom w:val="none" w:sz="0" w:space="0" w:color="auto"/>
        <w:right w:val="none" w:sz="0" w:space="0" w:color="auto"/>
      </w:divBdr>
      <w:divsChild>
        <w:div w:id="446395272">
          <w:marLeft w:val="0"/>
          <w:marRight w:val="0"/>
          <w:marTop w:val="0"/>
          <w:marBottom w:val="0"/>
          <w:divBdr>
            <w:top w:val="none" w:sz="0" w:space="0" w:color="auto"/>
            <w:left w:val="none" w:sz="0" w:space="0" w:color="auto"/>
            <w:bottom w:val="none" w:sz="0" w:space="0" w:color="auto"/>
            <w:right w:val="none" w:sz="0" w:space="0" w:color="auto"/>
          </w:divBdr>
        </w:div>
      </w:divsChild>
    </w:div>
    <w:div w:id="1723169430">
      <w:bodyDiv w:val="1"/>
      <w:marLeft w:val="0"/>
      <w:marRight w:val="0"/>
      <w:marTop w:val="0"/>
      <w:marBottom w:val="0"/>
      <w:divBdr>
        <w:top w:val="none" w:sz="0" w:space="0" w:color="auto"/>
        <w:left w:val="none" w:sz="0" w:space="0" w:color="auto"/>
        <w:bottom w:val="none" w:sz="0" w:space="0" w:color="auto"/>
        <w:right w:val="none" w:sz="0" w:space="0" w:color="auto"/>
      </w:divBdr>
      <w:divsChild>
        <w:div w:id="194736135">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8325543">
      <w:bodyDiv w:val="1"/>
      <w:marLeft w:val="0"/>
      <w:marRight w:val="0"/>
      <w:marTop w:val="0"/>
      <w:marBottom w:val="0"/>
      <w:divBdr>
        <w:top w:val="none" w:sz="0" w:space="0" w:color="auto"/>
        <w:left w:val="none" w:sz="0" w:space="0" w:color="auto"/>
        <w:bottom w:val="none" w:sz="0" w:space="0" w:color="auto"/>
        <w:right w:val="none" w:sz="0" w:space="0" w:color="auto"/>
      </w:divBdr>
      <w:divsChild>
        <w:div w:id="1708750292">
          <w:marLeft w:val="0"/>
          <w:marRight w:val="0"/>
          <w:marTop w:val="0"/>
          <w:marBottom w:val="0"/>
          <w:divBdr>
            <w:top w:val="none" w:sz="0" w:space="0" w:color="auto"/>
            <w:left w:val="none" w:sz="0" w:space="0" w:color="auto"/>
            <w:bottom w:val="none" w:sz="0" w:space="0" w:color="auto"/>
            <w:right w:val="none" w:sz="0" w:space="0" w:color="auto"/>
          </w:divBdr>
        </w:div>
      </w:divsChild>
    </w:div>
    <w:div w:id="1866405342">
      <w:bodyDiv w:val="1"/>
      <w:marLeft w:val="0"/>
      <w:marRight w:val="0"/>
      <w:marTop w:val="0"/>
      <w:marBottom w:val="0"/>
      <w:divBdr>
        <w:top w:val="none" w:sz="0" w:space="0" w:color="auto"/>
        <w:left w:val="none" w:sz="0" w:space="0" w:color="auto"/>
        <w:bottom w:val="none" w:sz="0" w:space="0" w:color="auto"/>
        <w:right w:val="none" w:sz="0" w:space="0" w:color="auto"/>
      </w:divBdr>
      <w:divsChild>
        <w:div w:id="1792700974">
          <w:marLeft w:val="0"/>
          <w:marRight w:val="0"/>
          <w:marTop w:val="0"/>
          <w:marBottom w:val="0"/>
          <w:divBdr>
            <w:top w:val="none" w:sz="0" w:space="0" w:color="auto"/>
            <w:left w:val="none" w:sz="0" w:space="0" w:color="auto"/>
            <w:bottom w:val="none" w:sz="0" w:space="0" w:color="auto"/>
            <w:right w:val="none" w:sz="0" w:space="0" w:color="auto"/>
          </w:divBdr>
        </w:div>
      </w:divsChild>
    </w:div>
    <w:div w:id="1916553198">
      <w:bodyDiv w:val="1"/>
      <w:marLeft w:val="0"/>
      <w:marRight w:val="0"/>
      <w:marTop w:val="0"/>
      <w:marBottom w:val="0"/>
      <w:divBdr>
        <w:top w:val="none" w:sz="0" w:space="0" w:color="auto"/>
        <w:left w:val="none" w:sz="0" w:space="0" w:color="auto"/>
        <w:bottom w:val="none" w:sz="0" w:space="0" w:color="auto"/>
        <w:right w:val="none" w:sz="0" w:space="0" w:color="auto"/>
      </w:divBdr>
      <w:divsChild>
        <w:div w:id="1095249763">
          <w:marLeft w:val="0"/>
          <w:marRight w:val="0"/>
          <w:marTop w:val="0"/>
          <w:marBottom w:val="0"/>
          <w:divBdr>
            <w:top w:val="none" w:sz="0" w:space="0" w:color="auto"/>
            <w:left w:val="none" w:sz="0" w:space="0" w:color="auto"/>
            <w:bottom w:val="none" w:sz="0" w:space="0" w:color="auto"/>
            <w:right w:val="none" w:sz="0" w:space="0" w:color="auto"/>
          </w:divBdr>
        </w:div>
      </w:divsChild>
    </w:div>
    <w:div w:id="1932273384">
      <w:bodyDiv w:val="1"/>
      <w:marLeft w:val="0"/>
      <w:marRight w:val="0"/>
      <w:marTop w:val="0"/>
      <w:marBottom w:val="0"/>
      <w:divBdr>
        <w:top w:val="none" w:sz="0" w:space="0" w:color="auto"/>
        <w:left w:val="none" w:sz="0" w:space="0" w:color="auto"/>
        <w:bottom w:val="none" w:sz="0" w:space="0" w:color="auto"/>
        <w:right w:val="none" w:sz="0" w:space="0" w:color="auto"/>
      </w:divBdr>
      <w:divsChild>
        <w:div w:id="986397546">
          <w:marLeft w:val="0"/>
          <w:marRight w:val="0"/>
          <w:marTop w:val="0"/>
          <w:marBottom w:val="0"/>
          <w:divBdr>
            <w:top w:val="none" w:sz="0" w:space="0" w:color="auto"/>
            <w:left w:val="none" w:sz="0" w:space="0" w:color="auto"/>
            <w:bottom w:val="none" w:sz="0" w:space="0" w:color="auto"/>
            <w:right w:val="none" w:sz="0" w:space="0" w:color="auto"/>
          </w:divBdr>
        </w:div>
      </w:divsChild>
    </w:div>
    <w:div w:id="1961912953">
      <w:bodyDiv w:val="1"/>
      <w:marLeft w:val="0"/>
      <w:marRight w:val="0"/>
      <w:marTop w:val="0"/>
      <w:marBottom w:val="0"/>
      <w:divBdr>
        <w:top w:val="none" w:sz="0" w:space="0" w:color="auto"/>
        <w:left w:val="none" w:sz="0" w:space="0" w:color="auto"/>
        <w:bottom w:val="none" w:sz="0" w:space="0" w:color="auto"/>
        <w:right w:val="none" w:sz="0" w:space="0" w:color="auto"/>
      </w:divBdr>
      <w:divsChild>
        <w:div w:id="944000819">
          <w:marLeft w:val="0"/>
          <w:marRight w:val="0"/>
          <w:marTop w:val="0"/>
          <w:marBottom w:val="0"/>
          <w:divBdr>
            <w:top w:val="none" w:sz="0" w:space="0" w:color="auto"/>
            <w:left w:val="none" w:sz="0" w:space="0" w:color="auto"/>
            <w:bottom w:val="none" w:sz="0" w:space="0" w:color="auto"/>
            <w:right w:val="none" w:sz="0" w:space="0" w:color="auto"/>
          </w:divBdr>
        </w:div>
      </w:divsChild>
    </w:div>
    <w:div w:id="1969430981">
      <w:bodyDiv w:val="1"/>
      <w:marLeft w:val="0"/>
      <w:marRight w:val="0"/>
      <w:marTop w:val="0"/>
      <w:marBottom w:val="0"/>
      <w:divBdr>
        <w:top w:val="none" w:sz="0" w:space="0" w:color="auto"/>
        <w:left w:val="none" w:sz="0" w:space="0" w:color="auto"/>
        <w:bottom w:val="none" w:sz="0" w:space="0" w:color="auto"/>
        <w:right w:val="none" w:sz="0" w:space="0" w:color="auto"/>
      </w:divBdr>
      <w:divsChild>
        <w:div w:id="195042065">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7828812">
      <w:bodyDiv w:val="1"/>
      <w:marLeft w:val="0"/>
      <w:marRight w:val="0"/>
      <w:marTop w:val="0"/>
      <w:marBottom w:val="0"/>
      <w:divBdr>
        <w:top w:val="none" w:sz="0" w:space="0" w:color="auto"/>
        <w:left w:val="none" w:sz="0" w:space="0" w:color="auto"/>
        <w:bottom w:val="none" w:sz="0" w:space="0" w:color="auto"/>
        <w:right w:val="none" w:sz="0" w:space="0" w:color="auto"/>
      </w:divBdr>
      <w:divsChild>
        <w:div w:id="2100709359">
          <w:marLeft w:val="0"/>
          <w:marRight w:val="0"/>
          <w:marTop w:val="120"/>
          <w:marBottom w:val="120"/>
          <w:divBdr>
            <w:top w:val="none" w:sz="0" w:space="0" w:color="auto"/>
            <w:left w:val="none" w:sz="0" w:space="0" w:color="auto"/>
            <w:bottom w:val="none" w:sz="0" w:space="0" w:color="auto"/>
            <w:right w:val="none" w:sz="0" w:space="0" w:color="auto"/>
          </w:divBdr>
        </w:div>
        <w:div w:id="1185941397">
          <w:marLeft w:val="0"/>
          <w:marRight w:val="0"/>
          <w:marTop w:val="120"/>
          <w:marBottom w:val="120"/>
          <w:divBdr>
            <w:top w:val="none" w:sz="0" w:space="0" w:color="auto"/>
            <w:left w:val="none" w:sz="0" w:space="0" w:color="auto"/>
            <w:bottom w:val="none" w:sz="0" w:space="0" w:color="auto"/>
            <w:right w:val="none" w:sz="0" w:space="0" w:color="auto"/>
          </w:divBdr>
        </w:div>
        <w:div w:id="1668438016">
          <w:marLeft w:val="0"/>
          <w:marRight w:val="0"/>
          <w:marTop w:val="120"/>
          <w:marBottom w:val="120"/>
          <w:divBdr>
            <w:top w:val="none" w:sz="0" w:space="0" w:color="auto"/>
            <w:left w:val="none" w:sz="0" w:space="0" w:color="auto"/>
            <w:bottom w:val="none" w:sz="0" w:space="0" w:color="auto"/>
            <w:right w:val="none" w:sz="0" w:space="0" w:color="auto"/>
          </w:divBdr>
        </w:div>
        <w:div w:id="623345245">
          <w:marLeft w:val="0"/>
          <w:marRight w:val="0"/>
          <w:marTop w:val="120"/>
          <w:marBottom w:val="120"/>
          <w:divBdr>
            <w:top w:val="none" w:sz="0" w:space="0" w:color="auto"/>
            <w:left w:val="none" w:sz="0" w:space="0" w:color="auto"/>
            <w:bottom w:val="none" w:sz="0" w:space="0" w:color="auto"/>
            <w:right w:val="none" w:sz="0" w:space="0" w:color="auto"/>
          </w:divBdr>
        </w:div>
        <w:div w:id="1790051017">
          <w:marLeft w:val="0"/>
          <w:marRight w:val="0"/>
          <w:marTop w:val="120"/>
          <w:marBottom w:val="120"/>
          <w:divBdr>
            <w:top w:val="none" w:sz="0" w:space="0" w:color="auto"/>
            <w:left w:val="none" w:sz="0" w:space="0" w:color="auto"/>
            <w:bottom w:val="none" w:sz="0" w:space="0" w:color="auto"/>
            <w:right w:val="none" w:sz="0" w:space="0" w:color="auto"/>
          </w:divBdr>
        </w:div>
        <w:div w:id="1436706556">
          <w:marLeft w:val="0"/>
          <w:marRight w:val="0"/>
          <w:marTop w:val="120"/>
          <w:marBottom w:val="120"/>
          <w:divBdr>
            <w:top w:val="none" w:sz="0" w:space="0" w:color="auto"/>
            <w:left w:val="none" w:sz="0" w:space="0" w:color="auto"/>
            <w:bottom w:val="none" w:sz="0" w:space="0" w:color="auto"/>
            <w:right w:val="none" w:sz="0" w:space="0" w:color="auto"/>
          </w:divBdr>
        </w:div>
      </w:divsChild>
    </w:div>
    <w:div w:id="2081250539">
      <w:bodyDiv w:val="1"/>
      <w:marLeft w:val="0"/>
      <w:marRight w:val="0"/>
      <w:marTop w:val="0"/>
      <w:marBottom w:val="0"/>
      <w:divBdr>
        <w:top w:val="none" w:sz="0" w:space="0" w:color="auto"/>
        <w:left w:val="none" w:sz="0" w:space="0" w:color="auto"/>
        <w:bottom w:val="none" w:sz="0" w:space="0" w:color="auto"/>
        <w:right w:val="none" w:sz="0" w:space="0" w:color="auto"/>
      </w:divBdr>
      <w:divsChild>
        <w:div w:id="1117262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77/016146810911100108;PAGE:STRING:ARTICLE/CHAPTER" TargetMode="External"/><Relationship Id="rId26" Type="http://schemas.openxmlformats.org/officeDocument/2006/relationships/hyperlink" Target="https://digitalcommons.murraystate.edu/etd/362" TargetMode="External"/><Relationship Id="rId39" Type="http://schemas.openxmlformats.org/officeDocument/2006/relationships/header" Target="header4.xml"/><Relationship Id="rId21" Type="http://schemas.openxmlformats.org/officeDocument/2006/relationships/hyperlink" Target="https://www.coe.int/en/web/education/democracy-starts-in-schools-ii" TargetMode="External"/><Relationship Id="rId34" Type="http://schemas.openxmlformats.org/officeDocument/2006/relationships/hyperlink" Target="https://doi.org/10.54536/AJMRI.V1I4.516"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2161/JHED.5.6.4" TargetMode="External"/><Relationship Id="rId20" Type="http://schemas.openxmlformats.org/officeDocument/2006/relationships/hyperlink" Target="https://doi.org/10.1177/17411432221077507;WEBSITE:WEBSITE:SAGE;ISSUE:ISSUE:DOI" TargetMode="External"/><Relationship Id="rId29" Type="http://schemas.openxmlformats.org/officeDocument/2006/relationships/hyperlink" Target="https://doi.org/10.9734/AJESS/2023/V49I41207"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6223/HCMCOUJS.SOCI.EN.16.9.4473.2026" TargetMode="External"/><Relationship Id="rId32" Type="http://schemas.openxmlformats.org/officeDocument/2006/relationships/hyperlink" Target="https://doi.org/10.1080/13603124.2024.2369987;PAGE:STRING:ARTICLE/CHAPTER" TargetMode="External"/><Relationship Id="rId37" Type="http://schemas.openxmlformats.org/officeDocument/2006/relationships/hyperlink" Target="https://doi.org/10.30828/real/2021.4.2"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1007/S10551-023-05365-5" TargetMode="External"/><Relationship Id="rId23" Type="http://schemas.openxmlformats.org/officeDocument/2006/relationships/hyperlink" Target="https://doi.org/10.36948/IJFMR.2025.V07I04.52442" TargetMode="External"/><Relationship Id="rId28" Type="http://schemas.openxmlformats.org/officeDocument/2006/relationships/hyperlink" Target="https://doi.org/10.3389/FEDUC.2023.1212952/BIBTEX" TargetMode="External"/><Relationship Id="rId36" Type="http://schemas.openxmlformats.org/officeDocument/2006/relationships/hyperlink" Target="https://doi.org/10.1177/00953997241236940;PAGEGROUP:STRING:PUBLICATION" TargetMode="External"/><Relationship Id="rId10" Type="http://schemas.openxmlformats.org/officeDocument/2006/relationships/footer" Target="footer1.xml"/><Relationship Id="rId19" Type="http://schemas.openxmlformats.org/officeDocument/2006/relationships/hyperlink" Target="https://doi.org/10.59573/EMSJ.8(3).2024.41" TargetMode="External"/><Relationship Id="rId31" Type="http://schemas.openxmlformats.org/officeDocument/2006/relationships/hyperlink" Target="https://doi.org/10.59765/fa59zan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47119/IJRP1001291720235295" TargetMode="External"/><Relationship Id="rId27" Type="http://schemas.openxmlformats.org/officeDocument/2006/relationships/hyperlink" Target="https://ijase.org/index.php/ijase/article/view/159" TargetMode="External"/><Relationship Id="rId30" Type="http://schemas.openxmlformats.org/officeDocument/2006/relationships/hyperlink" Target="https://doi.org/10.59298/JBESS/2025/101814" TargetMode="External"/><Relationship Id="rId35" Type="http://schemas.openxmlformats.org/officeDocument/2006/relationships/hyperlink" Target="https://doi.org/10.3389/FPSYG.2022.875174/BIBTEX"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80/02680939.2024.2337031" TargetMode="External"/><Relationship Id="rId25" Type="http://schemas.openxmlformats.org/officeDocument/2006/relationships/hyperlink" Target="https://doi.org/10.2991/ASSEHR.K.200323.125" TargetMode="External"/><Relationship Id="rId33" Type="http://schemas.openxmlformats.org/officeDocument/2006/relationships/hyperlink" Target="https://doi.org/10.26803/IJLTER.23.6.1" TargetMode="External"/><Relationship Id="rId38" Type="http://schemas.openxmlformats.org/officeDocument/2006/relationships/hyperlink" Target="https://doi.org/10.1080/20020317.2024.2430706;JOURNAL:JOURNAL:ZNST19;WGROUP:STRING:PUBL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46BA0-855A-4951-B2F7-4F46FB74A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646</TotalTime>
  <Pages>24</Pages>
  <Words>10353</Words>
  <Characters>67065</Characters>
  <Application>Microsoft Office Word</Application>
  <DocSecurity>0</DocSecurity>
  <Lines>1230</Lines>
  <Paragraphs>292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77130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cp:lastModifiedBy>
  <cp:revision>860</cp:revision>
  <cp:lastPrinted>1999-07-06T11:00:00Z</cp:lastPrinted>
  <dcterms:created xsi:type="dcterms:W3CDTF">2014-10-25T14:34:00Z</dcterms:created>
  <dcterms:modified xsi:type="dcterms:W3CDTF">2025-11-26T07:23:00Z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937aa297-17f1-487a-8f26-0060657a69f9</vt:lpwstr>
  </property>
</Properties>
</file>