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3E07A" w14:textId="7CEC6D16" w:rsidR="0013036B" w:rsidRPr="00684E1C" w:rsidRDefault="00585CE9" w:rsidP="00684E1C">
      <w:pPr>
        <w:jc w:val="right"/>
        <w:rPr>
          <w:rFonts w:ascii="Arial" w:hAnsi="Arial" w:cs="Arial"/>
          <w:sz w:val="36"/>
          <w:szCs w:val="36"/>
        </w:rPr>
      </w:pPr>
      <w:r w:rsidRPr="00684E1C">
        <w:rPr>
          <w:rFonts w:ascii="Arial" w:hAnsi="Arial" w:cs="Arial"/>
          <w:b/>
          <w:bCs/>
          <w:sz w:val="36"/>
          <w:szCs w:val="36"/>
        </w:rPr>
        <w:t xml:space="preserve">Community Empowerment in the Management of Inorganic Waste through a Waste Bank Program in </w:t>
      </w:r>
      <w:proofErr w:type="spellStart"/>
      <w:r w:rsidRPr="00684E1C">
        <w:rPr>
          <w:rFonts w:ascii="Arial" w:hAnsi="Arial" w:cs="Arial"/>
          <w:b/>
          <w:bCs/>
          <w:sz w:val="36"/>
          <w:szCs w:val="36"/>
        </w:rPr>
        <w:t>Muliawan</w:t>
      </w:r>
      <w:proofErr w:type="spellEnd"/>
      <w:r w:rsidRPr="00684E1C">
        <w:rPr>
          <w:rFonts w:ascii="Arial" w:hAnsi="Arial" w:cs="Arial"/>
          <w:b/>
          <w:bCs/>
          <w:sz w:val="36"/>
          <w:szCs w:val="36"/>
        </w:rPr>
        <w:t xml:space="preserve"> Hamlet, </w:t>
      </w:r>
      <w:proofErr w:type="spellStart"/>
      <w:r w:rsidRPr="00684E1C">
        <w:rPr>
          <w:rFonts w:ascii="Arial" w:hAnsi="Arial" w:cs="Arial"/>
          <w:b/>
          <w:bCs/>
          <w:sz w:val="36"/>
          <w:szCs w:val="36"/>
        </w:rPr>
        <w:t>Tegal</w:t>
      </w:r>
      <w:proofErr w:type="spellEnd"/>
      <w:r w:rsidRPr="00684E1C">
        <w:rPr>
          <w:rFonts w:ascii="Arial" w:hAnsi="Arial" w:cs="Arial"/>
          <w:b/>
          <w:bCs/>
          <w:sz w:val="36"/>
          <w:szCs w:val="36"/>
        </w:rPr>
        <w:t xml:space="preserve"> </w:t>
      </w:r>
      <w:proofErr w:type="spellStart"/>
      <w:r w:rsidRPr="00684E1C">
        <w:rPr>
          <w:rFonts w:ascii="Arial" w:hAnsi="Arial" w:cs="Arial"/>
          <w:b/>
          <w:bCs/>
          <w:sz w:val="36"/>
          <w:szCs w:val="36"/>
        </w:rPr>
        <w:t>Kertha</w:t>
      </w:r>
      <w:proofErr w:type="spellEnd"/>
      <w:r w:rsidRPr="00684E1C">
        <w:rPr>
          <w:rFonts w:ascii="Arial" w:hAnsi="Arial" w:cs="Arial"/>
          <w:b/>
          <w:bCs/>
          <w:sz w:val="36"/>
          <w:szCs w:val="36"/>
        </w:rPr>
        <w:t xml:space="preserve"> Village, West Denpasar District, Denpasar</w:t>
      </w:r>
      <w:r w:rsidR="003D1107">
        <w:rPr>
          <w:rFonts w:ascii="Arial" w:hAnsi="Arial" w:cs="Arial"/>
          <w:b/>
          <w:bCs/>
          <w:sz w:val="36"/>
          <w:szCs w:val="36"/>
        </w:rPr>
        <w:t xml:space="preserve">, </w:t>
      </w:r>
      <w:r w:rsidR="003D1107" w:rsidRPr="003D1107">
        <w:rPr>
          <w:rFonts w:ascii="Arial" w:hAnsi="Arial" w:cs="Arial"/>
          <w:b/>
          <w:bCs/>
          <w:sz w:val="36"/>
          <w:szCs w:val="36"/>
        </w:rPr>
        <w:t>Indonesia</w:t>
      </w:r>
    </w:p>
    <w:p w14:paraId="7F283004" w14:textId="43C6F487" w:rsidR="00026965" w:rsidRDefault="00026965" w:rsidP="0013036B">
      <w:pPr>
        <w:spacing w:line="360" w:lineRule="auto"/>
        <w:jc w:val="center"/>
        <w:rPr>
          <w:rFonts w:ascii="Times New Roman" w:hAnsi="Times New Roman" w:cs="Times New Roman"/>
          <w:b/>
          <w:bCs/>
        </w:rPr>
      </w:pPr>
    </w:p>
    <w:p w14:paraId="0072C49B" w14:textId="4DED1ABE" w:rsidR="00287559" w:rsidRPr="00684E1C" w:rsidRDefault="00287559" w:rsidP="00684E1C">
      <w:pPr>
        <w:jc w:val="right"/>
        <w:rPr>
          <w:rFonts w:ascii="Arial" w:hAnsi="Arial" w:cs="Arial"/>
          <w:b/>
          <w:bCs/>
          <w:sz w:val="20"/>
          <w:szCs w:val="20"/>
          <w:vertAlign w:val="superscript"/>
        </w:rPr>
      </w:pPr>
    </w:p>
    <w:p w14:paraId="1C27B9DA" w14:textId="3B11A26F" w:rsidR="00287559" w:rsidRPr="00451BCE" w:rsidRDefault="00287559" w:rsidP="006172D4">
      <w:pPr>
        <w:jc w:val="center"/>
        <w:rPr>
          <w:rFonts w:ascii="Times New Roman" w:hAnsi="Times New Roman" w:cs="Times New Roman"/>
          <w:b/>
          <w:bCs/>
          <w:sz w:val="24"/>
          <w:szCs w:val="24"/>
        </w:rPr>
      </w:pPr>
    </w:p>
    <w:p w14:paraId="45C6339D" w14:textId="77777777" w:rsidR="0052676B" w:rsidRPr="0052676B" w:rsidRDefault="0052676B" w:rsidP="00451BCE">
      <w:pPr>
        <w:rPr>
          <w:rFonts w:ascii="Arial" w:hAnsi="Arial" w:cs="Arial"/>
          <w:b/>
          <w:bCs/>
        </w:rPr>
      </w:pPr>
    </w:p>
    <w:p w14:paraId="054DE3B2" w14:textId="77777777" w:rsidR="0052676B" w:rsidRPr="0052676B" w:rsidRDefault="0052676B" w:rsidP="0052676B">
      <w:pPr>
        <w:jc w:val="both"/>
        <w:rPr>
          <w:rFonts w:ascii="Arial" w:hAnsi="Arial" w:cs="Arial"/>
          <w:b/>
          <w:bCs/>
        </w:rPr>
      </w:pPr>
      <w:r w:rsidRPr="0052676B">
        <w:rPr>
          <w:rFonts w:ascii="Arial" w:hAnsi="Arial" w:cs="Arial"/>
          <w:b/>
          <w:bCs/>
        </w:rPr>
        <w:t>Abstract</w:t>
      </w:r>
    </w:p>
    <w:p w14:paraId="5821F477" w14:textId="6B6E9DED" w:rsidR="0052676B" w:rsidRPr="0052676B" w:rsidRDefault="0052676B" w:rsidP="0052676B">
      <w:pPr>
        <w:jc w:val="both"/>
        <w:rPr>
          <w:rFonts w:ascii="Arial" w:hAnsi="Arial" w:cs="Arial"/>
          <w:sz w:val="20"/>
          <w:szCs w:val="20"/>
        </w:rPr>
      </w:pPr>
      <w:r w:rsidRPr="0052676B">
        <w:rPr>
          <w:rFonts w:ascii="Arial" w:hAnsi="Arial" w:cs="Arial"/>
          <w:b/>
          <w:bCs/>
          <w:sz w:val="20"/>
          <w:szCs w:val="20"/>
        </w:rPr>
        <w:t xml:space="preserve">Aim: </w:t>
      </w:r>
      <w:r w:rsidRPr="0052676B">
        <w:rPr>
          <w:rFonts w:ascii="Arial" w:hAnsi="Arial" w:cs="Arial"/>
          <w:sz w:val="20"/>
          <w:szCs w:val="20"/>
        </w:rPr>
        <w:t xml:space="preserve">This study aimed to enhance community capacity in inorganic waste management through optimizing the Waste Bank program in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West Denpasar, addressing high volumes of non-biodegradable waste.​</w:t>
      </w:r>
    </w:p>
    <w:p w14:paraId="5462FB0B" w14:textId="0DAD9060" w:rsidR="0052676B" w:rsidRPr="0052676B" w:rsidRDefault="0052676B" w:rsidP="0052676B">
      <w:pPr>
        <w:jc w:val="both"/>
        <w:rPr>
          <w:rFonts w:ascii="Arial" w:hAnsi="Arial" w:cs="Arial"/>
          <w:sz w:val="20"/>
          <w:szCs w:val="20"/>
        </w:rPr>
      </w:pPr>
      <w:r w:rsidRPr="0052676B">
        <w:rPr>
          <w:rFonts w:ascii="Arial" w:hAnsi="Arial" w:cs="Arial"/>
          <w:b/>
          <w:bCs/>
          <w:sz w:val="20"/>
          <w:szCs w:val="20"/>
        </w:rPr>
        <w:t xml:space="preserve">Study Design and Method: </w:t>
      </w:r>
      <w:r w:rsidRPr="0052676B">
        <w:rPr>
          <w:rFonts w:ascii="Arial" w:hAnsi="Arial" w:cs="Arial"/>
          <w:sz w:val="20"/>
          <w:szCs w:val="20"/>
        </w:rPr>
        <w:t>Employing a community service approach, the intervention included field observations, Waste Bank coordination, 3R (Reduce, Reuse, Recycle) socialization, technical training on waste-to-product conversion, and focus group discussions (FGDs) for operational planning. Participants comprised Waste Bank members, village officials, and university teams.​</w:t>
      </w:r>
    </w:p>
    <w:p w14:paraId="338A144C" w14:textId="56886F57" w:rsidR="0052676B" w:rsidRPr="0052676B" w:rsidRDefault="0052676B" w:rsidP="0052676B">
      <w:pPr>
        <w:jc w:val="both"/>
        <w:rPr>
          <w:rFonts w:ascii="Arial" w:hAnsi="Arial" w:cs="Arial"/>
          <w:sz w:val="20"/>
          <w:szCs w:val="20"/>
        </w:rPr>
      </w:pPr>
      <w:r w:rsidRPr="0052676B">
        <w:rPr>
          <w:rFonts w:ascii="Arial" w:hAnsi="Arial" w:cs="Arial"/>
          <w:b/>
          <w:bCs/>
          <w:sz w:val="20"/>
          <w:szCs w:val="20"/>
        </w:rPr>
        <w:t xml:space="preserve">Results and Discussion: </w:t>
      </w:r>
      <w:r w:rsidRPr="0052676B">
        <w:rPr>
          <w:rFonts w:ascii="Arial" w:hAnsi="Arial" w:cs="Arial"/>
          <w:sz w:val="20"/>
          <w:szCs w:val="20"/>
        </w:rPr>
        <w:t>Participants gained knowledge of 3R principles and skills to produce marketable prototypes like handicrafts and plant pots, fostering entrepreneurial mindsets. Institutional strengthening via AD/ART, role clarification, and financial systems reduced landfill waste, boosted participation, and initiated income generation, aligning with circular economy models.​</w:t>
      </w:r>
    </w:p>
    <w:p w14:paraId="1CC74F6A" w14:textId="77777777" w:rsidR="0052676B" w:rsidRDefault="0052676B" w:rsidP="0052676B">
      <w:pPr>
        <w:jc w:val="both"/>
        <w:rPr>
          <w:rFonts w:ascii="Arial" w:hAnsi="Arial" w:cs="Arial"/>
          <w:sz w:val="20"/>
          <w:szCs w:val="20"/>
        </w:rPr>
      </w:pPr>
      <w:r w:rsidRPr="0052676B">
        <w:rPr>
          <w:rFonts w:ascii="Arial" w:hAnsi="Arial" w:cs="Arial"/>
          <w:b/>
          <w:bCs/>
          <w:sz w:val="20"/>
          <w:szCs w:val="20"/>
        </w:rPr>
        <w:t xml:space="preserve">Conclusion: </w:t>
      </w:r>
      <w:r w:rsidRPr="0052676B">
        <w:rPr>
          <w:rFonts w:ascii="Arial" w:hAnsi="Arial" w:cs="Arial"/>
          <w:sz w:val="20"/>
          <w:szCs w:val="20"/>
        </w:rPr>
        <w:t>The program demonstrates Waste Banks as effective for sustainable waste management and economic empowerment, recommending ongoing partnerships for scalability.</w:t>
      </w:r>
    </w:p>
    <w:p w14:paraId="61FB77C9" w14:textId="77777777" w:rsidR="0052676B" w:rsidRDefault="0052676B" w:rsidP="0052676B">
      <w:pPr>
        <w:jc w:val="both"/>
        <w:rPr>
          <w:rFonts w:ascii="Arial" w:hAnsi="Arial" w:cs="Arial"/>
          <w:sz w:val="20"/>
          <w:szCs w:val="20"/>
        </w:rPr>
      </w:pPr>
    </w:p>
    <w:p w14:paraId="3A463C59" w14:textId="77777777" w:rsidR="00451BCE" w:rsidRPr="00684E1C" w:rsidRDefault="00451BCE" w:rsidP="0052676B">
      <w:pPr>
        <w:jc w:val="both"/>
        <w:rPr>
          <w:rFonts w:ascii="Arial" w:hAnsi="Arial" w:cs="Arial"/>
          <w:sz w:val="20"/>
          <w:szCs w:val="20"/>
        </w:rPr>
      </w:pPr>
    </w:p>
    <w:p w14:paraId="3E265637" w14:textId="312D8AED" w:rsidR="00026965" w:rsidRPr="0052676B" w:rsidRDefault="00451BCE" w:rsidP="0052676B">
      <w:pPr>
        <w:jc w:val="both"/>
        <w:rPr>
          <w:rFonts w:ascii="Arial" w:hAnsi="Arial" w:cs="Arial"/>
          <w:b/>
          <w:bCs/>
          <w:i/>
          <w:iCs/>
          <w:sz w:val="20"/>
          <w:szCs w:val="20"/>
        </w:rPr>
      </w:pPr>
      <w:r w:rsidRPr="0052676B">
        <w:rPr>
          <w:rFonts w:ascii="Arial" w:hAnsi="Arial" w:cs="Arial"/>
          <w:i/>
          <w:iCs/>
          <w:sz w:val="20"/>
          <w:szCs w:val="20"/>
        </w:rPr>
        <w:t xml:space="preserve">Keywords: community empowerment, inorganic waste, waste bank, </w:t>
      </w:r>
      <w:r w:rsidR="007427C4" w:rsidRPr="0052676B">
        <w:rPr>
          <w:rFonts w:ascii="Arial" w:hAnsi="Arial" w:cs="Arial"/>
          <w:i/>
          <w:iCs/>
          <w:sz w:val="20"/>
          <w:szCs w:val="20"/>
        </w:rPr>
        <w:t>community participation</w:t>
      </w:r>
      <w:r w:rsidR="0052676B" w:rsidRPr="0052676B">
        <w:rPr>
          <w:rFonts w:ascii="Arial" w:hAnsi="Arial" w:cs="Arial"/>
          <w:i/>
          <w:iCs/>
          <w:sz w:val="20"/>
          <w:szCs w:val="20"/>
        </w:rPr>
        <w:t>.</w:t>
      </w:r>
    </w:p>
    <w:p w14:paraId="3BA2B10A" w14:textId="77777777" w:rsidR="0052676B" w:rsidRDefault="0052676B" w:rsidP="0052676B">
      <w:pPr>
        <w:spacing w:line="360" w:lineRule="auto"/>
        <w:rPr>
          <w:rFonts w:ascii="Times New Roman" w:hAnsi="Times New Roman" w:cs="Times New Roman"/>
          <w:b/>
          <w:bCs/>
        </w:rPr>
      </w:pPr>
    </w:p>
    <w:p w14:paraId="2C28DECD" w14:textId="77777777" w:rsidR="00A903A4" w:rsidRDefault="00A903A4" w:rsidP="00E359F7">
      <w:pPr>
        <w:spacing w:line="360" w:lineRule="auto"/>
        <w:jc w:val="both"/>
        <w:rPr>
          <w:rFonts w:ascii="Times New Roman" w:hAnsi="Times New Roman" w:cs="Times New Roman"/>
          <w:b/>
          <w:bCs/>
          <w:sz w:val="24"/>
          <w:szCs w:val="24"/>
        </w:rPr>
        <w:sectPr w:rsidR="00A903A4" w:rsidSect="0013036B">
          <w:pgSz w:w="12240" w:h="15840"/>
          <w:pgMar w:top="2016" w:right="1728" w:bottom="1728" w:left="2016" w:header="720" w:footer="720" w:gutter="0"/>
          <w:cols w:space="720"/>
          <w:docGrid w:linePitch="360"/>
        </w:sectPr>
      </w:pPr>
    </w:p>
    <w:p w14:paraId="26998878" w14:textId="676F82A4" w:rsidR="00451BCE" w:rsidRDefault="00451BCE" w:rsidP="00451BCE">
      <w:pPr>
        <w:spacing w:line="360" w:lineRule="auto"/>
        <w:ind w:right="-4338"/>
        <w:jc w:val="both"/>
        <w:rPr>
          <w:rFonts w:ascii="Times New Roman" w:hAnsi="Times New Roman" w:cs="Times New Roman"/>
          <w:b/>
          <w:bCs/>
        </w:rPr>
        <w:sectPr w:rsidR="00451BCE" w:rsidSect="00A903A4">
          <w:type w:val="continuous"/>
          <w:pgSz w:w="12240" w:h="15840"/>
          <w:pgMar w:top="2016" w:right="1728" w:bottom="1728" w:left="2016" w:header="720" w:footer="720" w:gutter="0"/>
          <w:cols w:num="2" w:space="252"/>
          <w:docGrid w:linePitch="360"/>
        </w:sectPr>
      </w:pPr>
    </w:p>
    <w:p w14:paraId="0ADC957E" w14:textId="2F5EEB24" w:rsidR="00E359F7" w:rsidRPr="00684E1C" w:rsidRDefault="009C37BA" w:rsidP="00E359F7">
      <w:pPr>
        <w:spacing w:line="360" w:lineRule="auto"/>
        <w:jc w:val="both"/>
        <w:rPr>
          <w:rFonts w:ascii="Arial" w:hAnsi="Arial" w:cs="Arial"/>
          <w:b/>
          <w:bCs/>
        </w:rPr>
      </w:pPr>
      <w:r w:rsidRPr="00684E1C">
        <w:rPr>
          <w:rFonts w:ascii="Arial" w:hAnsi="Arial" w:cs="Arial"/>
          <w:b/>
          <w:bCs/>
        </w:rPr>
        <w:t>INTRODUCTION</w:t>
      </w:r>
    </w:p>
    <w:p w14:paraId="5456AE03" w14:textId="1C94B740" w:rsidR="0013036B" w:rsidRPr="0052676B" w:rsidRDefault="00E359F7" w:rsidP="0052676B">
      <w:pPr>
        <w:ind w:firstLine="720"/>
        <w:jc w:val="both"/>
        <w:rPr>
          <w:rFonts w:ascii="Arial" w:hAnsi="Arial" w:cs="Arial"/>
          <w:sz w:val="20"/>
          <w:szCs w:val="20"/>
        </w:rPr>
      </w:pP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is one of the villages located in </w:t>
      </w:r>
      <w:r w:rsidR="00D02149">
        <w:rPr>
          <w:rFonts w:ascii="Arial" w:hAnsi="Arial" w:cs="Arial"/>
          <w:sz w:val="20"/>
          <w:szCs w:val="20"/>
        </w:rPr>
        <w:t xml:space="preserve">the </w:t>
      </w:r>
      <w:r w:rsidRPr="0052676B">
        <w:rPr>
          <w:rFonts w:ascii="Arial" w:hAnsi="Arial" w:cs="Arial"/>
          <w:sz w:val="20"/>
          <w:szCs w:val="20"/>
        </w:rPr>
        <w:t xml:space="preserve">West Denpasar District, Denpasar City, Bali Province, Indonesia. As of 2016, the population of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reached 21,663 inhabitants, comprising 10,769 males and 10,894 females, with a corresponding sex ratio. The area of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is predominantly residential in nature. Historically,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was known as the “</w:t>
      </w:r>
      <w:proofErr w:type="spellStart"/>
      <w:r w:rsidRPr="0052676B">
        <w:rPr>
          <w:rFonts w:ascii="Arial" w:hAnsi="Arial" w:cs="Arial"/>
          <w:sz w:val="20"/>
          <w:szCs w:val="20"/>
        </w:rPr>
        <w:t>Perumnas</w:t>
      </w:r>
      <w:proofErr w:type="spellEnd"/>
      <w:r w:rsidRPr="0052676B">
        <w:rPr>
          <w:rFonts w:ascii="Arial" w:hAnsi="Arial" w:cs="Arial"/>
          <w:sz w:val="20"/>
          <w:szCs w:val="20"/>
        </w:rPr>
        <w:t xml:space="preserve"> </w:t>
      </w:r>
      <w:proofErr w:type="spellStart"/>
      <w:r w:rsidRPr="0052676B">
        <w:rPr>
          <w:rFonts w:ascii="Arial" w:hAnsi="Arial" w:cs="Arial"/>
          <w:sz w:val="20"/>
          <w:szCs w:val="20"/>
        </w:rPr>
        <w:t>Monang</w:t>
      </w:r>
      <w:proofErr w:type="spellEnd"/>
      <w:r w:rsidRPr="0052676B">
        <w:rPr>
          <w:rFonts w:ascii="Arial" w:hAnsi="Arial" w:cs="Arial"/>
          <w:sz w:val="20"/>
          <w:szCs w:val="20"/>
        </w:rPr>
        <w:t xml:space="preserve"> </w:t>
      </w:r>
      <w:proofErr w:type="spellStart"/>
      <w:r w:rsidRPr="0052676B">
        <w:rPr>
          <w:rFonts w:ascii="Arial" w:hAnsi="Arial" w:cs="Arial"/>
          <w:sz w:val="20"/>
          <w:szCs w:val="20"/>
        </w:rPr>
        <w:t>Maning</w:t>
      </w:r>
      <w:proofErr w:type="spellEnd"/>
      <w:r w:rsidRPr="0052676B">
        <w:rPr>
          <w:rFonts w:ascii="Arial" w:hAnsi="Arial" w:cs="Arial"/>
          <w:sz w:val="20"/>
          <w:szCs w:val="20"/>
        </w:rPr>
        <w:t xml:space="preserve">” residential area. This housing complex was formerly part of </w:t>
      </w:r>
      <w:r w:rsidR="00D02149">
        <w:rPr>
          <w:rFonts w:ascii="Arial" w:hAnsi="Arial" w:cs="Arial"/>
          <w:sz w:val="20"/>
          <w:szCs w:val="20"/>
        </w:rPr>
        <w:t xml:space="preserve">the </w:t>
      </w:r>
      <w:proofErr w:type="spellStart"/>
      <w:r w:rsidRPr="0052676B">
        <w:rPr>
          <w:rFonts w:ascii="Arial" w:hAnsi="Arial" w:cs="Arial"/>
          <w:sz w:val="20"/>
          <w:szCs w:val="20"/>
        </w:rPr>
        <w:t>Pemecutan</w:t>
      </w:r>
      <w:proofErr w:type="spellEnd"/>
      <w:r w:rsidRPr="0052676B">
        <w:rPr>
          <w:rFonts w:ascii="Arial" w:hAnsi="Arial" w:cs="Arial"/>
          <w:sz w:val="20"/>
          <w:szCs w:val="20"/>
        </w:rPr>
        <w:t xml:space="preserve"> Subdistrict, West Denpasar District, Denpasar City.</w:t>
      </w:r>
      <w:r w:rsidR="00C13682" w:rsidRPr="0052676B">
        <w:rPr>
          <w:rFonts w:ascii="Arial" w:hAnsi="Arial" w:cs="Arial"/>
          <w:sz w:val="20"/>
          <w:szCs w:val="20"/>
        </w:rPr>
        <w:t xml:space="preserve"> </w:t>
      </w:r>
    </w:p>
    <w:p w14:paraId="1C5E88A0" w14:textId="70B308EE" w:rsidR="0013036B" w:rsidRPr="0052676B" w:rsidRDefault="001776AF" w:rsidP="0052676B">
      <w:pPr>
        <w:ind w:firstLine="720"/>
        <w:jc w:val="both"/>
        <w:rPr>
          <w:rFonts w:ascii="Arial" w:hAnsi="Arial" w:cs="Arial"/>
          <w:sz w:val="20"/>
          <w:szCs w:val="20"/>
        </w:rPr>
      </w:pPr>
      <w:r w:rsidRPr="0052676B">
        <w:rPr>
          <w:rFonts w:ascii="Arial" w:hAnsi="Arial" w:cs="Arial"/>
          <w:sz w:val="20"/>
          <w:szCs w:val="20"/>
        </w:rPr>
        <w:t xml:space="preserve">The low productivity of agricultural land, primarily due to frequent seasonal flooding at the time, prompted the government to develop housing facilities for low- and middle-income communities. The </w:t>
      </w:r>
      <w:proofErr w:type="spellStart"/>
      <w:r w:rsidRPr="0052676B">
        <w:rPr>
          <w:rFonts w:ascii="Arial" w:hAnsi="Arial" w:cs="Arial"/>
          <w:sz w:val="20"/>
          <w:szCs w:val="20"/>
        </w:rPr>
        <w:t>Perumnas</w:t>
      </w:r>
      <w:proofErr w:type="spellEnd"/>
      <w:r w:rsidRPr="0052676B">
        <w:rPr>
          <w:rFonts w:ascii="Arial" w:hAnsi="Arial" w:cs="Arial"/>
          <w:sz w:val="20"/>
          <w:szCs w:val="20"/>
        </w:rPr>
        <w:t xml:space="preserve"> </w:t>
      </w:r>
      <w:proofErr w:type="spellStart"/>
      <w:r w:rsidRPr="0052676B">
        <w:rPr>
          <w:rFonts w:ascii="Arial" w:hAnsi="Arial" w:cs="Arial"/>
          <w:sz w:val="20"/>
          <w:szCs w:val="20"/>
        </w:rPr>
        <w:t>Monang</w:t>
      </w:r>
      <w:proofErr w:type="spellEnd"/>
      <w:r w:rsidRPr="0052676B">
        <w:rPr>
          <w:rFonts w:ascii="Arial" w:hAnsi="Arial" w:cs="Arial"/>
          <w:sz w:val="20"/>
          <w:szCs w:val="20"/>
        </w:rPr>
        <w:t xml:space="preserve"> </w:t>
      </w:r>
      <w:proofErr w:type="spellStart"/>
      <w:r w:rsidRPr="0052676B">
        <w:rPr>
          <w:rFonts w:ascii="Arial" w:hAnsi="Arial" w:cs="Arial"/>
          <w:sz w:val="20"/>
          <w:szCs w:val="20"/>
        </w:rPr>
        <w:t>Maning</w:t>
      </w:r>
      <w:proofErr w:type="spellEnd"/>
      <w:r w:rsidRPr="0052676B">
        <w:rPr>
          <w:rFonts w:ascii="Arial" w:hAnsi="Arial" w:cs="Arial"/>
          <w:sz w:val="20"/>
          <w:szCs w:val="20"/>
        </w:rPr>
        <w:t xml:space="preserve"> residential area was established by the </w:t>
      </w:r>
      <w:proofErr w:type="spellStart"/>
      <w:r w:rsidRPr="0052676B">
        <w:rPr>
          <w:rFonts w:ascii="Arial" w:hAnsi="Arial" w:cs="Arial"/>
          <w:sz w:val="20"/>
          <w:szCs w:val="20"/>
        </w:rPr>
        <w:t>Badung</w:t>
      </w:r>
      <w:proofErr w:type="spellEnd"/>
      <w:r w:rsidRPr="0052676B">
        <w:rPr>
          <w:rFonts w:ascii="Arial" w:hAnsi="Arial" w:cs="Arial"/>
          <w:sz w:val="20"/>
          <w:szCs w:val="20"/>
        </w:rPr>
        <w:t xml:space="preserve"> Regency Government in 1982, covering approximately 48 hectares. Several types of housing units were constructed, including type D.15, type D.21, and type D.25, distributed across 10 residential blocks</w:t>
      </w:r>
      <w:r w:rsidR="00C13682" w:rsidRPr="0052676B">
        <w:rPr>
          <w:rFonts w:ascii="Arial" w:hAnsi="Arial" w:cs="Arial"/>
          <w:sz w:val="20"/>
          <w:szCs w:val="20"/>
        </w:rPr>
        <w:t xml:space="preserve">. </w:t>
      </w:r>
      <w:r w:rsidR="00CA3349" w:rsidRPr="0052676B">
        <w:rPr>
          <w:rFonts w:ascii="Arial" w:hAnsi="Arial" w:cs="Arial"/>
          <w:sz w:val="20"/>
          <w:szCs w:val="20"/>
        </w:rPr>
        <w:fldChar w:fldCharType="begin" w:fldLock="1"/>
      </w:r>
      <w:r w:rsidR="00F77CF9">
        <w:rPr>
          <w:rFonts w:ascii="Arial" w:hAnsi="Arial" w:cs="Arial"/>
          <w:sz w:val="20"/>
          <w:szCs w:val="20"/>
        </w:rPr>
        <w:instrText>ADDIN CSL_CITATION {"citationItems":[{"id":"ITEM-1","itemData":{"author":[{"dropping-particle":"","family":"Hidayat, T. B. W., Punia, I. N., &amp; Kebayantini","given":"N. L. N.","non-dropping-particle":"","parse-names":false,"suffix":""}],"container-title":"Jurnal Ilmiah Sosiologi","id":"ITEM-1","issue":"1","issued":{"date-parts":[["2019"]]},"page":"1-10.","title":"Peran media sosial terhadap perilaku konsumtif kaum remaja di desa Tegal Kertha, Kecamatan Denpasar Barat, Kota Denpasar.","type":"article-journal","volume":"1"},"uris":["http://www.mendeley.com/documents/?uuid=6ba10003-e02a-403c-8ba6-68989988b7d4"]}],"mendeley":{"formattedCitation":"(Hidayat, T. B. W., Punia, I. N., &amp; Kebayantini, 2019)","plainTextFormattedCitation":"(Hidayat, T. B. W., Punia, I. N., &amp; Kebayantini, 2019)","previouslyFormattedCitation":"(Hidayat, T. B. W., Punia, I. N., &amp; Kebayantini, 2019)"},"properties":{"noteIndex":0},"schema":"https://github.com/citation-style-language/schema/raw/master/csl-citation.json"}</w:instrText>
      </w:r>
      <w:r w:rsidR="00CA3349" w:rsidRPr="0052676B">
        <w:rPr>
          <w:rFonts w:ascii="Arial" w:hAnsi="Arial" w:cs="Arial"/>
          <w:sz w:val="20"/>
          <w:szCs w:val="20"/>
        </w:rPr>
        <w:fldChar w:fldCharType="separate"/>
      </w:r>
      <w:r w:rsidR="00C7515A" w:rsidRPr="00F77CF9">
        <w:rPr>
          <w:rFonts w:ascii="Arial" w:hAnsi="Arial" w:cs="Arial"/>
          <w:noProof/>
          <w:sz w:val="20"/>
          <w:szCs w:val="20"/>
        </w:rPr>
        <w:t>(Hidayat, T. B. W., Punia, I. N., &amp; Kebayantini, 2019)</w:t>
      </w:r>
      <w:r w:rsidR="00CA3349" w:rsidRPr="0052676B">
        <w:rPr>
          <w:rFonts w:ascii="Arial" w:hAnsi="Arial" w:cs="Arial"/>
          <w:sz w:val="20"/>
          <w:szCs w:val="20"/>
        </w:rPr>
        <w:fldChar w:fldCharType="end"/>
      </w:r>
    </w:p>
    <w:p w14:paraId="698F7E91" w14:textId="2E68CB5A" w:rsidR="001776AF" w:rsidRPr="0052676B" w:rsidRDefault="001776AF" w:rsidP="0052676B">
      <w:pPr>
        <w:ind w:firstLine="720"/>
        <w:jc w:val="both"/>
        <w:rPr>
          <w:rFonts w:ascii="Arial" w:hAnsi="Arial" w:cs="Arial"/>
          <w:sz w:val="20"/>
          <w:szCs w:val="20"/>
        </w:rPr>
      </w:pPr>
      <w:r w:rsidRPr="0052676B">
        <w:rPr>
          <w:rFonts w:ascii="Arial" w:hAnsi="Arial" w:cs="Arial"/>
          <w:sz w:val="20"/>
          <w:szCs w:val="20"/>
        </w:rPr>
        <w:t xml:space="preserve"> The residential area began to be gradually occupied by residents in 1983. At that time, administrative processes under the civil registry office were still managed by </w:t>
      </w:r>
      <w:proofErr w:type="spellStart"/>
      <w:r w:rsidRPr="0052676B">
        <w:rPr>
          <w:rFonts w:ascii="Arial" w:hAnsi="Arial" w:cs="Arial"/>
          <w:sz w:val="20"/>
          <w:szCs w:val="20"/>
        </w:rPr>
        <w:t>Pemecutan</w:t>
      </w:r>
      <w:proofErr w:type="spellEnd"/>
      <w:r w:rsidRPr="0052676B">
        <w:rPr>
          <w:rFonts w:ascii="Arial" w:hAnsi="Arial" w:cs="Arial"/>
          <w:sz w:val="20"/>
          <w:szCs w:val="20"/>
        </w:rPr>
        <w:t xml:space="preserve"> Subdistrict, which was slated for territorial expansion. The provisional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initially comprised five blocks, each functioning as a </w:t>
      </w:r>
      <w:proofErr w:type="spellStart"/>
      <w:r w:rsidRPr="0052676B">
        <w:rPr>
          <w:rFonts w:ascii="Arial" w:hAnsi="Arial" w:cs="Arial"/>
          <w:sz w:val="20"/>
          <w:szCs w:val="20"/>
        </w:rPr>
        <w:t>banjar</w:t>
      </w:r>
      <w:proofErr w:type="spellEnd"/>
      <w:r w:rsidRPr="0052676B">
        <w:rPr>
          <w:rFonts w:ascii="Arial" w:hAnsi="Arial" w:cs="Arial"/>
          <w:sz w:val="20"/>
          <w:szCs w:val="20"/>
        </w:rPr>
        <w:t xml:space="preserve"> or hamlet.</w:t>
      </w:r>
    </w:p>
    <w:p w14:paraId="752C7F6E" w14:textId="610008B0" w:rsidR="0013036B" w:rsidRPr="0052676B" w:rsidRDefault="001776AF" w:rsidP="0052676B">
      <w:pPr>
        <w:ind w:firstLine="720"/>
        <w:jc w:val="both"/>
        <w:rPr>
          <w:rFonts w:ascii="Arial" w:hAnsi="Arial" w:cs="Arial"/>
          <w:sz w:val="20"/>
          <w:szCs w:val="20"/>
        </w:rPr>
      </w:pPr>
      <w:r w:rsidRPr="0052676B">
        <w:rPr>
          <w:rFonts w:ascii="Arial" w:hAnsi="Arial" w:cs="Arial"/>
          <w:sz w:val="20"/>
          <w:szCs w:val="20"/>
        </w:rPr>
        <w:lastRenderedPageBreak/>
        <w:t xml:space="preserve">The rapid population growth in Denpasar City led to territorial expansion, resulting in the incorporation of three new hamlets into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in early 2001: </w:t>
      </w:r>
      <w:proofErr w:type="spellStart"/>
      <w:r w:rsidRPr="0052676B">
        <w:rPr>
          <w:rFonts w:ascii="Arial" w:hAnsi="Arial" w:cs="Arial"/>
          <w:sz w:val="20"/>
          <w:szCs w:val="20"/>
        </w:rPr>
        <w:t>Mertha</w:t>
      </w:r>
      <w:proofErr w:type="spellEnd"/>
      <w:r w:rsidRPr="0052676B">
        <w:rPr>
          <w:rFonts w:ascii="Arial" w:hAnsi="Arial" w:cs="Arial"/>
          <w:sz w:val="20"/>
          <w:szCs w:val="20"/>
        </w:rPr>
        <w:t xml:space="preserve"> </w:t>
      </w:r>
      <w:proofErr w:type="spellStart"/>
      <w:r w:rsidRPr="0052676B">
        <w:rPr>
          <w:rFonts w:ascii="Arial" w:hAnsi="Arial" w:cs="Arial"/>
          <w:sz w:val="20"/>
          <w:szCs w:val="20"/>
        </w:rPr>
        <w:t>Gangga</w:t>
      </w:r>
      <w:proofErr w:type="spellEnd"/>
      <w:r w:rsidRPr="0052676B">
        <w:rPr>
          <w:rFonts w:ascii="Arial" w:hAnsi="Arial" w:cs="Arial"/>
          <w:sz w:val="20"/>
          <w:szCs w:val="20"/>
        </w:rPr>
        <w:t xml:space="preserve"> Hamlet, </w:t>
      </w:r>
      <w:proofErr w:type="spellStart"/>
      <w:r w:rsidRPr="0052676B">
        <w:rPr>
          <w:rFonts w:ascii="Arial" w:hAnsi="Arial" w:cs="Arial"/>
          <w:sz w:val="20"/>
          <w:szCs w:val="20"/>
        </w:rPr>
        <w:t>Manut</w:t>
      </w:r>
      <w:proofErr w:type="spellEnd"/>
      <w:r w:rsidRPr="0052676B">
        <w:rPr>
          <w:rFonts w:ascii="Arial" w:hAnsi="Arial" w:cs="Arial"/>
          <w:sz w:val="20"/>
          <w:szCs w:val="20"/>
        </w:rPr>
        <w:t xml:space="preserve"> Negara Hamlet, and </w:t>
      </w:r>
      <w:proofErr w:type="spellStart"/>
      <w:r w:rsidRPr="0052676B">
        <w:rPr>
          <w:rFonts w:ascii="Arial" w:hAnsi="Arial" w:cs="Arial"/>
          <w:sz w:val="20"/>
          <w:szCs w:val="20"/>
        </w:rPr>
        <w:t>Graha</w:t>
      </w:r>
      <w:proofErr w:type="spellEnd"/>
      <w:r w:rsidRPr="0052676B">
        <w:rPr>
          <w:rFonts w:ascii="Arial" w:hAnsi="Arial" w:cs="Arial"/>
          <w:sz w:val="20"/>
          <w:szCs w:val="20"/>
        </w:rPr>
        <w:t xml:space="preserve"> Santi Hamlet. Consequently,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now comprises eight administrative </w:t>
      </w:r>
      <w:proofErr w:type="spellStart"/>
      <w:r w:rsidRPr="0052676B">
        <w:rPr>
          <w:rFonts w:ascii="Arial" w:hAnsi="Arial" w:cs="Arial"/>
          <w:sz w:val="20"/>
          <w:szCs w:val="20"/>
        </w:rPr>
        <w:t>banjar</w:t>
      </w:r>
      <w:proofErr w:type="spellEnd"/>
      <w:r w:rsidRPr="0052676B">
        <w:rPr>
          <w:rFonts w:ascii="Arial" w:hAnsi="Arial" w:cs="Arial"/>
          <w:sz w:val="20"/>
          <w:szCs w:val="20"/>
        </w:rPr>
        <w:t xml:space="preserve"> or hamlets: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Wangi, </w:t>
      </w:r>
      <w:proofErr w:type="spellStart"/>
      <w:r w:rsidRPr="0052676B">
        <w:rPr>
          <w:rFonts w:ascii="Arial" w:hAnsi="Arial" w:cs="Arial"/>
          <w:sz w:val="20"/>
          <w:szCs w:val="20"/>
        </w:rPr>
        <w:t>Bhuana</w:t>
      </w:r>
      <w:proofErr w:type="spellEnd"/>
      <w:r w:rsidRPr="0052676B">
        <w:rPr>
          <w:rFonts w:ascii="Arial" w:hAnsi="Arial" w:cs="Arial"/>
          <w:sz w:val="20"/>
          <w:szCs w:val="20"/>
        </w:rPr>
        <w:t xml:space="preserve"> </w:t>
      </w:r>
      <w:proofErr w:type="spellStart"/>
      <w:r w:rsidRPr="0052676B">
        <w:rPr>
          <w:rFonts w:ascii="Arial" w:hAnsi="Arial" w:cs="Arial"/>
          <w:sz w:val="20"/>
          <w:szCs w:val="20"/>
        </w:rPr>
        <w:t>Asri</w:t>
      </w:r>
      <w:proofErr w:type="spellEnd"/>
      <w:r w:rsidRPr="0052676B">
        <w:rPr>
          <w:rFonts w:ascii="Arial" w:hAnsi="Arial" w:cs="Arial"/>
          <w:sz w:val="20"/>
          <w:szCs w:val="20"/>
        </w:rPr>
        <w:t xml:space="preserve">,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w:t>
      </w:r>
      <w:proofErr w:type="spellStart"/>
      <w:r w:rsidRPr="0052676B">
        <w:rPr>
          <w:rFonts w:ascii="Arial" w:hAnsi="Arial" w:cs="Arial"/>
          <w:sz w:val="20"/>
          <w:szCs w:val="20"/>
        </w:rPr>
        <w:t>Bhuana</w:t>
      </w:r>
      <w:proofErr w:type="spellEnd"/>
      <w:r w:rsidRPr="0052676B">
        <w:rPr>
          <w:rFonts w:ascii="Arial" w:hAnsi="Arial" w:cs="Arial"/>
          <w:sz w:val="20"/>
          <w:szCs w:val="20"/>
        </w:rPr>
        <w:t xml:space="preserve"> Sari, and </w:t>
      </w:r>
      <w:proofErr w:type="spellStart"/>
      <w:r w:rsidRPr="0052676B">
        <w:rPr>
          <w:rFonts w:ascii="Arial" w:hAnsi="Arial" w:cs="Arial"/>
          <w:sz w:val="20"/>
          <w:szCs w:val="20"/>
        </w:rPr>
        <w:t>Panca</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along with the three newly incorporated hamlets. Given the continuing increase in population, the </w:t>
      </w:r>
      <w:proofErr w:type="spellStart"/>
      <w:r w:rsidRPr="0052676B">
        <w:rPr>
          <w:rFonts w:ascii="Arial" w:hAnsi="Arial" w:cs="Arial"/>
          <w:sz w:val="20"/>
          <w:szCs w:val="20"/>
        </w:rPr>
        <w:t>Perumnas</w:t>
      </w:r>
      <w:proofErr w:type="spellEnd"/>
      <w:r w:rsidRPr="0052676B">
        <w:rPr>
          <w:rFonts w:ascii="Arial" w:hAnsi="Arial" w:cs="Arial"/>
          <w:sz w:val="20"/>
          <w:szCs w:val="20"/>
        </w:rPr>
        <w:t xml:space="preserve"> </w:t>
      </w:r>
      <w:proofErr w:type="spellStart"/>
      <w:r w:rsidRPr="0052676B">
        <w:rPr>
          <w:rFonts w:ascii="Arial" w:hAnsi="Arial" w:cs="Arial"/>
          <w:sz w:val="20"/>
          <w:szCs w:val="20"/>
        </w:rPr>
        <w:t>Monang</w:t>
      </w:r>
      <w:proofErr w:type="spellEnd"/>
      <w:r w:rsidRPr="0052676B">
        <w:rPr>
          <w:rFonts w:ascii="Arial" w:hAnsi="Arial" w:cs="Arial"/>
          <w:sz w:val="20"/>
          <w:szCs w:val="20"/>
        </w:rPr>
        <w:t xml:space="preserve"> </w:t>
      </w:r>
      <w:proofErr w:type="spellStart"/>
      <w:r w:rsidRPr="0052676B">
        <w:rPr>
          <w:rFonts w:ascii="Arial" w:hAnsi="Arial" w:cs="Arial"/>
          <w:sz w:val="20"/>
          <w:szCs w:val="20"/>
        </w:rPr>
        <w:t>Maning</w:t>
      </w:r>
      <w:proofErr w:type="spellEnd"/>
      <w:r w:rsidRPr="0052676B">
        <w:rPr>
          <w:rFonts w:ascii="Arial" w:hAnsi="Arial" w:cs="Arial"/>
          <w:sz w:val="20"/>
          <w:szCs w:val="20"/>
        </w:rPr>
        <w:t xml:space="preserve"> residential area was proposed for administrative subdivision by the </w:t>
      </w:r>
      <w:proofErr w:type="spellStart"/>
      <w:r w:rsidRPr="0052676B">
        <w:rPr>
          <w:rFonts w:ascii="Arial" w:hAnsi="Arial" w:cs="Arial"/>
          <w:sz w:val="20"/>
          <w:szCs w:val="20"/>
        </w:rPr>
        <w:t>Pemecutan</w:t>
      </w:r>
      <w:proofErr w:type="spellEnd"/>
      <w:r w:rsidRPr="0052676B">
        <w:rPr>
          <w:rFonts w:ascii="Arial" w:hAnsi="Arial" w:cs="Arial"/>
          <w:sz w:val="20"/>
          <w:szCs w:val="20"/>
        </w:rPr>
        <w:t xml:space="preserve"> Subdistrict government.</w:t>
      </w:r>
      <w:r w:rsidR="0013036B" w:rsidRPr="0052676B">
        <w:rPr>
          <w:rFonts w:ascii="Arial" w:hAnsi="Arial" w:cs="Arial"/>
          <w:sz w:val="20"/>
          <w:szCs w:val="20"/>
        </w:rPr>
        <w:t xml:space="preserve"> </w:t>
      </w:r>
      <w:r w:rsidR="005913BD" w:rsidRPr="0052676B">
        <w:rPr>
          <w:rFonts w:ascii="Arial" w:hAnsi="Arial" w:cs="Arial"/>
          <w:sz w:val="20"/>
          <w:szCs w:val="20"/>
        </w:rPr>
        <w:fldChar w:fldCharType="begin" w:fldLock="1"/>
      </w:r>
      <w:r w:rsidR="00F77CF9">
        <w:rPr>
          <w:rFonts w:ascii="Arial" w:hAnsi="Arial" w:cs="Arial"/>
          <w:sz w:val="20"/>
          <w:szCs w:val="20"/>
        </w:rPr>
        <w:instrText>ADDIN CSL_CITATION {"citationItems":[{"id":"ITEM-1","itemData":{"DOI":"https://doi.org/10.24843/EJES.2017.v11.i02.p05","author":[{"dropping-particle":"","family":"Sukerti, N. L. G., Sudarma, I. M., &amp; Pujaastawa","given":"I. B. G.","non-dropping-particle":"","parse-names":false,"suffix":""}],"container-title":"Ecotrophic","id":"ITEM-1","issue":"2","issued":{"date-parts":[["2019"]]},"page":"36-45","title":"Perilaku Masyarakat Dalam Pengelolaan Sampah Dan Faktor-Faktor Yang Mempengaruhi Di Kecamatan Denpasar Timur Kota Denpasar, Provinsi Bali.","type":"article-journal","volume":"11"},"uris":["http://www.mendeley.com/documents/?uuid=b17e5b6d-6967-46a9-b930-98e04fd67669"]}],"mendeley":{"formattedCitation":"(Sukerti, N. L. G., Sudarma, I. M., &amp; Pujaastawa, 2019)","plainTextFormattedCitation":"(Sukerti, N. L. G., Sudarma, I. M., &amp; Pujaastawa, 2019)","previouslyFormattedCitation":"(Sukerti, N. L. G., Sudarma, I. M., &amp; Pujaastawa, 2019)"},"properties":{"noteIndex":0},"schema":"https://github.com/citation-style-language/schema/raw/master/csl-citation.json"}</w:instrText>
      </w:r>
      <w:r w:rsidR="005913BD" w:rsidRPr="0052676B">
        <w:rPr>
          <w:rFonts w:ascii="Arial" w:hAnsi="Arial" w:cs="Arial"/>
          <w:sz w:val="20"/>
          <w:szCs w:val="20"/>
        </w:rPr>
        <w:fldChar w:fldCharType="separate"/>
      </w:r>
      <w:r w:rsidR="00C7515A" w:rsidRPr="00F77CF9">
        <w:rPr>
          <w:rFonts w:ascii="Arial" w:hAnsi="Arial" w:cs="Arial"/>
          <w:noProof/>
          <w:sz w:val="20"/>
          <w:szCs w:val="20"/>
        </w:rPr>
        <w:t>(Sukerti, N. L. G., Sudarma, I. M., &amp; Pujaastawa, 2019)</w:t>
      </w:r>
      <w:r w:rsidR="005913BD" w:rsidRPr="0052676B">
        <w:rPr>
          <w:rFonts w:ascii="Arial" w:hAnsi="Arial" w:cs="Arial"/>
          <w:sz w:val="20"/>
          <w:szCs w:val="20"/>
        </w:rPr>
        <w:fldChar w:fldCharType="end"/>
      </w:r>
      <w:r w:rsidR="005913BD" w:rsidRPr="0052676B">
        <w:rPr>
          <w:rFonts w:ascii="Arial" w:hAnsi="Arial" w:cs="Arial"/>
          <w:sz w:val="20"/>
          <w:szCs w:val="20"/>
        </w:rPr>
        <w:t xml:space="preserve"> </w:t>
      </w:r>
    </w:p>
    <w:p w14:paraId="472189BC" w14:textId="1CBC23AA" w:rsidR="0013036B" w:rsidRPr="0052676B" w:rsidRDefault="001776AF" w:rsidP="0052676B">
      <w:pPr>
        <w:ind w:firstLine="720"/>
        <w:jc w:val="both"/>
        <w:rPr>
          <w:rFonts w:ascii="Arial" w:hAnsi="Arial" w:cs="Arial"/>
          <w:sz w:val="20"/>
          <w:szCs w:val="20"/>
        </w:rPr>
      </w:pP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is situated in the heart of Denpasar City and is known for its high level of activity and dense traffic, driven by economic, socio-cultural, and other community engagements. The area offers convenient access to a wide range of goods and services. However, the intensity of community activities inevitably generates certain consequences arising from these activities</w:t>
      </w:r>
      <w:r w:rsidR="005913BD" w:rsidRPr="0052676B">
        <w:rPr>
          <w:rFonts w:ascii="Arial" w:hAnsi="Arial" w:cs="Arial"/>
          <w:sz w:val="20"/>
          <w:szCs w:val="20"/>
        </w:rPr>
        <w:t xml:space="preserve"> </w:t>
      </w:r>
      <w:r w:rsidR="005913BD" w:rsidRPr="0052676B">
        <w:rPr>
          <w:rFonts w:ascii="Arial" w:hAnsi="Arial" w:cs="Arial"/>
          <w:sz w:val="20"/>
          <w:szCs w:val="20"/>
        </w:rPr>
        <w:fldChar w:fldCharType="begin" w:fldLock="1"/>
      </w:r>
      <w:r w:rsidR="00F16782">
        <w:rPr>
          <w:rFonts w:ascii="Arial" w:hAnsi="Arial" w:cs="Arial"/>
          <w:sz w:val="20"/>
          <w:szCs w:val="20"/>
        </w:rPr>
        <w:instrText>ADDIN CSL_CITATION {"citationItems":[{"id":"ITEM-1","itemData":{"author":[{"dropping-particle":"","family":"Wardiha, M. W., Putri, P. S., Setyawati, L. M., &amp; Muhajirin","given":"M.","non-dropping-particle":"","parse-names":false,"suffix":""}],"container-title":"Jurnal Presipitasi: Media Komunikasi dan Pengembangan Teknik Lingkungan,","id":"ITEM-1","issue":"1","issued":{"date-parts":[["2019"]]},"page":"7-17.","title":"Timbulan dan Komposisi Sampah di Kawasan Perkantoran dan Wisma (Studi Kasus: Werdhapura Village Center, Kota Denpasar, Provinsi Bali).","type":"article-journal","volume":"10"},"uris":["http://www.mendeley.com/documents/?uuid=763ef56f-03da-40c6-8471-ea259cf0da4a"]}],"mendeley":{"formattedCitation":"(Wardiha, M. W., Putri, P. S., Setyawati, L. M., &amp; Muhajirin, 2019)","plainTextFormattedCitation":"(Wardiha, M. W., Putri, P. S., Setyawati, L. M., &amp; Muhajirin, 2019)","previouslyFormattedCitation":"(Wardiha, M. W., Putri, P. S., Setyawati, L. M., &amp; Muhajirin, 2019)"},"properties":{"noteIndex":0},"schema":"https://github.com/citation-style-language/schema/raw/master/csl-citation.json"}</w:instrText>
      </w:r>
      <w:r w:rsidR="005913BD" w:rsidRPr="0052676B">
        <w:rPr>
          <w:rFonts w:ascii="Arial" w:hAnsi="Arial" w:cs="Arial"/>
          <w:sz w:val="20"/>
          <w:szCs w:val="20"/>
        </w:rPr>
        <w:fldChar w:fldCharType="separate"/>
      </w:r>
      <w:r w:rsidR="00C7515A" w:rsidRPr="00C7515A">
        <w:rPr>
          <w:rFonts w:ascii="Arial" w:hAnsi="Arial" w:cs="Arial"/>
          <w:noProof/>
          <w:sz w:val="20"/>
          <w:szCs w:val="20"/>
        </w:rPr>
        <w:t>(Wardiha, M. W., Putri, P. S., Setyawati, L. M., &amp; Muhajirin, 2019)</w:t>
      </w:r>
      <w:r w:rsidR="005913BD" w:rsidRPr="0052676B">
        <w:rPr>
          <w:rFonts w:ascii="Arial" w:hAnsi="Arial" w:cs="Arial"/>
          <w:sz w:val="20"/>
          <w:szCs w:val="20"/>
        </w:rPr>
        <w:fldChar w:fldCharType="end"/>
      </w:r>
    </w:p>
    <w:p w14:paraId="6CADC4FD" w14:textId="1CC4AB59" w:rsidR="0013036B" w:rsidRPr="0052676B" w:rsidRDefault="001776AF" w:rsidP="0052676B">
      <w:pPr>
        <w:ind w:firstLine="720"/>
        <w:jc w:val="both"/>
        <w:rPr>
          <w:rFonts w:ascii="Arial" w:hAnsi="Arial" w:cs="Arial"/>
          <w:sz w:val="20"/>
          <w:szCs w:val="20"/>
        </w:rPr>
      </w:pPr>
      <w:r w:rsidRPr="0052676B">
        <w:rPr>
          <w:rFonts w:ascii="Arial" w:hAnsi="Arial" w:cs="Arial"/>
          <w:sz w:val="20"/>
          <w:szCs w:val="20"/>
        </w:rPr>
        <w:t xml:space="preserve">In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waste has emerged as both a social and environmental problem, carrying inherent negative impacts. Without prompt and effective management, these adverse effects are likely to intensify and potentially spread. The local authorities have provided a final disposal site and deployed personnel tasked with routinely collecting waste through door-to-door services across the community</w:t>
      </w:r>
      <w:r w:rsidR="00F16782">
        <w:rPr>
          <w:rFonts w:ascii="Arial" w:hAnsi="Arial" w:cs="Arial"/>
          <w:sz w:val="20"/>
          <w:szCs w:val="20"/>
        </w:rPr>
        <w:t>.</w:t>
      </w:r>
      <w:r w:rsidR="00F16782" w:rsidRPr="0052676B">
        <w:rPr>
          <w:rFonts w:ascii="Arial" w:hAnsi="Arial" w:cs="Arial"/>
          <w:sz w:val="20"/>
          <w:szCs w:val="20"/>
        </w:rPr>
        <w:t xml:space="preserve"> </w:t>
      </w:r>
    </w:p>
    <w:p w14:paraId="616B19FD" w14:textId="6D613F0C" w:rsidR="0013036B" w:rsidRPr="0052676B" w:rsidRDefault="001776AF" w:rsidP="0052676B">
      <w:pPr>
        <w:ind w:firstLine="720"/>
        <w:jc w:val="both"/>
        <w:rPr>
          <w:rFonts w:ascii="Arial" w:hAnsi="Arial" w:cs="Arial"/>
          <w:sz w:val="20"/>
          <w:szCs w:val="20"/>
        </w:rPr>
      </w:pPr>
      <w:r w:rsidRPr="0052676B">
        <w:rPr>
          <w:rFonts w:ascii="Arial" w:hAnsi="Arial" w:cs="Arial"/>
          <w:sz w:val="20"/>
          <w:szCs w:val="20"/>
        </w:rPr>
        <w:t xml:space="preserve">In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particularly in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inorganic waste poses a significant challenge as it is a type of waste that cannot decompose naturally in the soil. Such waste often requires an extended period—sometimes up to several hundred years—to break down. The persistent nature of inorganic waste decomposition contributes to various environmental problems, especially given that waste generation continues to increase annually</w:t>
      </w:r>
      <w:r w:rsidR="0013036B" w:rsidRPr="0052676B">
        <w:rPr>
          <w:rFonts w:ascii="Arial" w:hAnsi="Arial" w:cs="Arial"/>
          <w:sz w:val="20"/>
          <w:szCs w:val="20"/>
        </w:rPr>
        <w:t>.</w:t>
      </w:r>
      <w:r w:rsidR="00F16782" w:rsidRPr="0052676B">
        <w:rPr>
          <w:rFonts w:ascii="Arial" w:hAnsi="Arial" w:cs="Arial"/>
          <w:sz w:val="20"/>
          <w:szCs w:val="20"/>
        </w:rPr>
        <w:t xml:space="preserve"> </w:t>
      </w:r>
    </w:p>
    <w:p w14:paraId="64D0F751" w14:textId="2EADB6EB" w:rsidR="0013036B" w:rsidRPr="0052676B" w:rsidRDefault="0013036B" w:rsidP="0052676B">
      <w:pPr>
        <w:jc w:val="both"/>
        <w:rPr>
          <w:rFonts w:ascii="Arial" w:hAnsi="Arial" w:cs="Arial"/>
          <w:sz w:val="20"/>
          <w:szCs w:val="20"/>
        </w:rPr>
      </w:pPr>
      <w:r w:rsidRPr="0052676B">
        <w:rPr>
          <w:rFonts w:ascii="Arial" w:hAnsi="Arial" w:cs="Arial"/>
          <w:sz w:val="20"/>
          <w:szCs w:val="20"/>
        </w:rPr>
        <w:tab/>
      </w:r>
      <w:r w:rsidR="00064D56" w:rsidRPr="0052676B">
        <w:rPr>
          <w:rFonts w:ascii="Arial" w:hAnsi="Arial" w:cs="Arial"/>
          <w:sz w:val="20"/>
          <w:szCs w:val="20"/>
        </w:rPr>
        <w:t>Inorganic waste refers to non-biodegradable materials, such as plastic food packaging, paper, plastic toys, beverage bottles and cups, cans, wood, and similar items. As a community, it is essential to cultivate the habit of segregating and selecting waste, followed by repurposing it into more valuable products, thereby contributing to the reduction of non-degradable waste.</w:t>
      </w:r>
      <w:r w:rsidRPr="0052676B">
        <w:rPr>
          <w:rFonts w:ascii="Arial" w:hAnsi="Arial" w:cs="Arial"/>
          <w:sz w:val="20"/>
          <w:szCs w:val="20"/>
        </w:rPr>
        <w:t xml:space="preserve">. </w:t>
      </w:r>
      <w:r w:rsidR="00B420D8" w:rsidRPr="0052676B">
        <w:rPr>
          <w:rFonts w:ascii="Arial" w:hAnsi="Arial" w:cs="Arial"/>
          <w:sz w:val="20"/>
          <w:szCs w:val="20"/>
        </w:rPr>
        <w:fldChar w:fldCharType="begin" w:fldLock="1"/>
      </w:r>
      <w:r w:rsidR="00F16782">
        <w:rPr>
          <w:rFonts w:ascii="Arial" w:hAnsi="Arial" w:cs="Arial"/>
          <w:sz w:val="20"/>
          <w:szCs w:val="20"/>
        </w:rPr>
        <w:instrText>ADDIN CSL_CITATION {"citationItems":[{"id":"ITEM-1","itemData":{"author":[{"dropping-particle":"","family":"Budha, I. K., Wahyuni, P. I., &amp; Aryastana","given":"P.","non-dropping-particle":"","parse-names":false,"suffix":""}],"container-title":"Jurnal Ilmiah Teknik Elektro, Sipil dan Teknik Informasi,","id":"ITEM-1","issue":"2","issued":{"date-parts":[["2020"]]},"page":"158-172.","title":"Transformasi Lingkungan dan Pengelolaan Persampahan di Kota Denpasar: Kajian Efektifitas Tempat Pengelolaan Sampah Terpadu (TPST).","type":"article-journal","volume":"5"},"uris":["http://www.mendeley.com/documents/?uuid=dff106f5-1970-4103-a2db-faf3fd1be7a4"]}],"mendeley":{"formattedCitation":"(Budha, I. K., Wahyuni, P. I., &amp; Aryastana, 2020)","plainTextFormattedCitation":"(Budha, I. K., Wahyuni, P. I., &amp; Aryastana, 2020)","previouslyFormattedCitation":"(Budha, I. K., Wahyuni, P. I., &amp; Aryastana, 2020)"},"properties":{"noteIndex":0},"schema":"https://github.com/citation-style-language/schema/raw/master/csl-citation.json"}</w:instrText>
      </w:r>
      <w:r w:rsidR="00B420D8" w:rsidRPr="0052676B">
        <w:rPr>
          <w:rFonts w:ascii="Arial" w:hAnsi="Arial" w:cs="Arial"/>
          <w:sz w:val="20"/>
          <w:szCs w:val="20"/>
        </w:rPr>
        <w:fldChar w:fldCharType="separate"/>
      </w:r>
      <w:r w:rsidR="00C7515A" w:rsidRPr="00C7515A">
        <w:rPr>
          <w:rFonts w:ascii="Arial" w:hAnsi="Arial" w:cs="Arial"/>
          <w:noProof/>
          <w:sz w:val="20"/>
          <w:szCs w:val="20"/>
        </w:rPr>
        <w:t>(Budha, I. K., Wahyuni, P. I., &amp; Aryastana, 2020)</w:t>
      </w:r>
      <w:r w:rsidR="00B420D8" w:rsidRPr="0052676B">
        <w:rPr>
          <w:rFonts w:ascii="Arial" w:hAnsi="Arial" w:cs="Arial"/>
          <w:sz w:val="20"/>
          <w:szCs w:val="20"/>
        </w:rPr>
        <w:fldChar w:fldCharType="end"/>
      </w:r>
    </w:p>
    <w:p w14:paraId="3FACDAA8" w14:textId="715DE3D3" w:rsidR="0013036B" w:rsidRPr="0052676B" w:rsidRDefault="00064D56" w:rsidP="0052676B">
      <w:pPr>
        <w:ind w:firstLine="720"/>
        <w:jc w:val="both"/>
        <w:rPr>
          <w:rFonts w:ascii="Arial" w:hAnsi="Arial" w:cs="Arial"/>
          <w:sz w:val="20"/>
          <w:szCs w:val="20"/>
        </w:rPr>
      </w:pPr>
      <w:r w:rsidRPr="0052676B">
        <w:rPr>
          <w:rFonts w:ascii="Arial" w:hAnsi="Arial" w:cs="Arial"/>
          <w:sz w:val="20"/>
          <w:szCs w:val="20"/>
        </w:rPr>
        <w:t xml:space="preserve">The prevailing public paradigm regarding waste management has largely been limited to </w:t>
      </w:r>
      <w:r w:rsidR="00D02149">
        <w:rPr>
          <w:rFonts w:ascii="Arial" w:hAnsi="Arial" w:cs="Arial"/>
          <w:sz w:val="20"/>
          <w:szCs w:val="20"/>
        </w:rPr>
        <w:t>disposing</w:t>
      </w:r>
      <w:r w:rsidRPr="0052676B">
        <w:rPr>
          <w:rFonts w:ascii="Arial" w:hAnsi="Arial" w:cs="Arial"/>
          <w:sz w:val="20"/>
          <w:szCs w:val="20"/>
        </w:rPr>
        <w:t xml:space="preserve"> of waste at designated disposal sites. An alternative practice has been the incineration of waste, while the most detrimental approach involves dumping waste into rivers, which has severe environmental consequences. Therefore, communities must be provided with positive and practical alternatives for managing waste. The government has promoted popular waste management principles, namely reduce, reuse, and recycle</w:t>
      </w:r>
      <w:r w:rsidR="0013036B" w:rsidRPr="0052676B">
        <w:rPr>
          <w:rFonts w:ascii="Arial" w:hAnsi="Arial" w:cs="Arial"/>
          <w:sz w:val="20"/>
          <w:szCs w:val="20"/>
        </w:rPr>
        <w:t xml:space="preserve">. </w:t>
      </w:r>
    </w:p>
    <w:p w14:paraId="0533DADE" w14:textId="6C7BA730" w:rsidR="00064D56" w:rsidRPr="0052676B" w:rsidRDefault="00064D56" w:rsidP="0052676B">
      <w:pPr>
        <w:ind w:firstLine="720"/>
        <w:jc w:val="both"/>
        <w:rPr>
          <w:rFonts w:ascii="Arial" w:hAnsi="Arial" w:cs="Arial"/>
          <w:sz w:val="20"/>
          <w:szCs w:val="20"/>
        </w:rPr>
      </w:pPr>
      <w:r w:rsidRPr="0052676B">
        <w:rPr>
          <w:rFonts w:ascii="Arial" w:hAnsi="Arial" w:cs="Arial"/>
          <w:sz w:val="20"/>
          <w:szCs w:val="20"/>
        </w:rPr>
        <w:t>An alternative approach involves processing inorganic waste into useful items for daily life</w:t>
      </w:r>
      <w:r w:rsidR="007427C4" w:rsidRPr="0052676B">
        <w:rPr>
          <w:rFonts w:ascii="Arial" w:hAnsi="Arial" w:cs="Arial"/>
          <w:sz w:val="20"/>
          <w:szCs w:val="20"/>
        </w:rPr>
        <w:t xml:space="preserve"> </w:t>
      </w:r>
      <w:r w:rsidR="007427C4" w:rsidRPr="0052676B">
        <w:rPr>
          <w:rFonts w:ascii="Arial" w:hAnsi="Arial" w:cs="Arial"/>
          <w:sz w:val="20"/>
          <w:szCs w:val="20"/>
        </w:rPr>
        <w:fldChar w:fldCharType="begin" w:fldLock="1"/>
      </w:r>
      <w:r w:rsidR="00F16782">
        <w:rPr>
          <w:rFonts w:ascii="Arial" w:hAnsi="Arial" w:cs="Arial"/>
          <w:sz w:val="20"/>
          <w:szCs w:val="20"/>
        </w:rPr>
        <w:instrText>ADDIN CSL_CITATION {"citationItems":[{"id":"ITEM-1","itemData":{"DOI":"https://doi.org/10.28932/ice.v5i2.8275","author":[{"dropping-particle":"","family":"Manurung, P., Herdioko, J., &amp; Panjaitan","given":"I.","non-dropping-particle":"","parse-names":false,"suffix":""}],"container-title":"Journal of Innovation and Community Engagement","id":"ITEM-1","issue":"2","issued":{"date-parts":[["2024"]]},"page":"93–104.","title":"Community Mentoring on the Inorganic Waste Management and Processing","type":"article-journal","volume":"5"},"uris":["http://www.mendeley.com/documents/?uuid=220ededa-6c11-494a-a6c1-47f2ec6e61b6"]}],"mendeley":{"formattedCitation":"(Manurung, P., Herdioko, J., &amp; Panjaitan, 2024)","plainTextFormattedCitation":"(Manurung, P., Herdioko, J., &amp; Panjaitan, 2024)","previouslyFormattedCitation":"(Manurung, P., Herdioko, J., &amp; Panjaitan, 2024)"},"properties":{"noteIndex":0},"schema":"https://github.com/citation-style-language/schema/raw/master/csl-citation.json"}</w:instrText>
      </w:r>
      <w:r w:rsidR="007427C4" w:rsidRPr="0052676B">
        <w:rPr>
          <w:rFonts w:ascii="Arial" w:hAnsi="Arial" w:cs="Arial"/>
          <w:sz w:val="20"/>
          <w:szCs w:val="20"/>
        </w:rPr>
        <w:fldChar w:fldCharType="separate"/>
      </w:r>
      <w:r w:rsidR="00C7515A" w:rsidRPr="00C7515A">
        <w:rPr>
          <w:rFonts w:ascii="Arial" w:hAnsi="Arial" w:cs="Arial"/>
          <w:noProof/>
          <w:sz w:val="20"/>
          <w:szCs w:val="20"/>
        </w:rPr>
        <w:t>(Manurung, P., Herdioko, J., &amp; Panjaitan, 2024)</w:t>
      </w:r>
      <w:r w:rsidR="007427C4" w:rsidRPr="0052676B">
        <w:rPr>
          <w:rFonts w:ascii="Arial" w:hAnsi="Arial" w:cs="Arial"/>
          <w:sz w:val="20"/>
          <w:szCs w:val="20"/>
        </w:rPr>
        <w:fldChar w:fldCharType="end"/>
      </w:r>
      <w:r w:rsidRPr="0052676B">
        <w:rPr>
          <w:rFonts w:ascii="Arial" w:hAnsi="Arial" w:cs="Arial"/>
          <w:sz w:val="20"/>
          <w:szCs w:val="20"/>
        </w:rPr>
        <w:t xml:space="preserve">. In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located in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West Denpasar, a Waste Bank group has been established since 2017. However, its effectiveness in converting inorganic waste into economically valuable products remains limited. The Waste Bank group in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faces challenges that necessitate training and mentoring to enhance the empowerment of inorganic waste management.</w:t>
      </w:r>
    </w:p>
    <w:p w14:paraId="7590FCD9" w14:textId="08756B92" w:rsidR="0013036B" w:rsidRPr="0052676B" w:rsidRDefault="00064D56" w:rsidP="0052676B">
      <w:pPr>
        <w:ind w:firstLine="720"/>
        <w:jc w:val="both"/>
        <w:rPr>
          <w:rFonts w:ascii="Arial" w:hAnsi="Arial" w:cs="Arial"/>
          <w:sz w:val="20"/>
          <w:szCs w:val="20"/>
        </w:rPr>
      </w:pPr>
      <w:r w:rsidRPr="0052676B">
        <w:rPr>
          <w:rFonts w:ascii="Arial" w:hAnsi="Arial" w:cs="Arial"/>
          <w:sz w:val="20"/>
          <w:szCs w:val="20"/>
        </w:rPr>
        <w:t xml:space="preserve">Given the current situation, a key issue arises: how is inorganic waste being managed by the Waste Bank in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West Denpasar, in its efforts to create a clean and comfortable environment?</w:t>
      </w:r>
    </w:p>
    <w:p w14:paraId="3E142C98" w14:textId="77777777" w:rsidR="0052676B" w:rsidRDefault="0052676B" w:rsidP="00282EB0">
      <w:pPr>
        <w:spacing w:line="360" w:lineRule="auto"/>
        <w:jc w:val="both"/>
        <w:rPr>
          <w:rFonts w:ascii="Arial" w:hAnsi="Arial" w:cs="Arial"/>
          <w:b/>
          <w:bCs/>
        </w:rPr>
      </w:pPr>
    </w:p>
    <w:p w14:paraId="5FDB182B" w14:textId="30D6DE20" w:rsidR="00282EB0" w:rsidRPr="0052676B" w:rsidRDefault="00282EB0" w:rsidP="00282EB0">
      <w:pPr>
        <w:spacing w:line="360" w:lineRule="auto"/>
        <w:jc w:val="both"/>
        <w:rPr>
          <w:rFonts w:ascii="Arial" w:hAnsi="Arial" w:cs="Arial"/>
          <w:b/>
          <w:bCs/>
        </w:rPr>
      </w:pPr>
      <w:r w:rsidRPr="0052676B">
        <w:rPr>
          <w:rFonts w:ascii="Arial" w:hAnsi="Arial" w:cs="Arial"/>
          <w:b/>
          <w:bCs/>
        </w:rPr>
        <w:t>METHOD</w:t>
      </w:r>
    </w:p>
    <w:p w14:paraId="7DCD04F6" w14:textId="51FEAF7E" w:rsidR="0025291E" w:rsidRPr="0025291E" w:rsidRDefault="0025291E" w:rsidP="0025291E">
      <w:pPr>
        <w:ind w:firstLine="450"/>
        <w:jc w:val="both"/>
        <w:rPr>
          <w:rFonts w:ascii="Arial" w:hAnsi="Arial" w:cs="Arial"/>
          <w:sz w:val="20"/>
          <w:szCs w:val="20"/>
        </w:rPr>
      </w:pPr>
      <w:r w:rsidRPr="0025291E">
        <w:rPr>
          <w:rFonts w:ascii="Arial" w:hAnsi="Arial" w:cs="Arial"/>
          <w:sz w:val="20"/>
          <w:szCs w:val="20"/>
        </w:rPr>
        <w:t xml:space="preserve">The activity began with an initial observation in the </w:t>
      </w:r>
      <w:proofErr w:type="spellStart"/>
      <w:r w:rsidRPr="0025291E">
        <w:rPr>
          <w:rFonts w:ascii="Arial" w:hAnsi="Arial" w:cs="Arial"/>
          <w:sz w:val="20"/>
          <w:szCs w:val="20"/>
        </w:rPr>
        <w:t>Muliawan</w:t>
      </w:r>
      <w:proofErr w:type="spellEnd"/>
      <w:r w:rsidRPr="0025291E">
        <w:rPr>
          <w:rFonts w:ascii="Arial" w:hAnsi="Arial" w:cs="Arial"/>
          <w:sz w:val="20"/>
          <w:szCs w:val="20"/>
        </w:rPr>
        <w:t xml:space="preserve"> Hamlet area, </w:t>
      </w:r>
      <w:proofErr w:type="spellStart"/>
      <w:r w:rsidRPr="0025291E">
        <w:rPr>
          <w:rFonts w:ascii="Arial" w:hAnsi="Arial" w:cs="Arial"/>
          <w:sz w:val="20"/>
          <w:szCs w:val="20"/>
        </w:rPr>
        <w:t>Tegal</w:t>
      </w:r>
      <w:proofErr w:type="spellEnd"/>
      <w:r w:rsidRPr="0025291E">
        <w:rPr>
          <w:rFonts w:ascii="Arial" w:hAnsi="Arial" w:cs="Arial"/>
          <w:sz w:val="20"/>
          <w:szCs w:val="20"/>
        </w:rPr>
        <w:t xml:space="preserve"> </w:t>
      </w:r>
      <w:proofErr w:type="spellStart"/>
      <w:r w:rsidRPr="0025291E">
        <w:rPr>
          <w:rFonts w:ascii="Arial" w:hAnsi="Arial" w:cs="Arial"/>
          <w:sz w:val="20"/>
          <w:szCs w:val="20"/>
        </w:rPr>
        <w:t>Kertha</w:t>
      </w:r>
      <w:proofErr w:type="spellEnd"/>
      <w:r w:rsidRPr="0025291E">
        <w:rPr>
          <w:rFonts w:ascii="Arial" w:hAnsi="Arial" w:cs="Arial"/>
          <w:sz w:val="20"/>
          <w:szCs w:val="20"/>
        </w:rPr>
        <w:t xml:space="preserve"> Village, West Denpasar, to gather relevant information. This was followed by coordination with the </w:t>
      </w:r>
      <w:proofErr w:type="spellStart"/>
      <w:r w:rsidRPr="0025291E">
        <w:rPr>
          <w:rFonts w:ascii="Arial" w:hAnsi="Arial" w:cs="Arial"/>
          <w:sz w:val="20"/>
          <w:szCs w:val="20"/>
        </w:rPr>
        <w:t>Muliawan</w:t>
      </w:r>
      <w:proofErr w:type="spellEnd"/>
      <w:r w:rsidRPr="0025291E">
        <w:rPr>
          <w:rFonts w:ascii="Arial" w:hAnsi="Arial" w:cs="Arial"/>
          <w:sz w:val="20"/>
          <w:szCs w:val="20"/>
        </w:rPr>
        <w:t xml:space="preserve"> Hamlet Waste Bank group to organize the outreach program. After coordination, representatives of the Waste Bank group were informed about the purpose and objectives of the outreach activities. The event was attended by the </w:t>
      </w:r>
      <w:proofErr w:type="spellStart"/>
      <w:r w:rsidRPr="0025291E">
        <w:rPr>
          <w:rFonts w:ascii="Arial" w:hAnsi="Arial" w:cs="Arial"/>
          <w:sz w:val="20"/>
          <w:szCs w:val="20"/>
        </w:rPr>
        <w:t>Perbekel</w:t>
      </w:r>
      <w:proofErr w:type="spellEnd"/>
      <w:r w:rsidRPr="0025291E">
        <w:rPr>
          <w:rFonts w:ascii="Arial" w:hAnsi="Arial" w:cs="Arial"/>
          <w:sz w:val="20"/>
          <w:szCs w:val="20"/>
        </w:rPr>
        <w:t xml:space="preserve"> (village head) and village officials, the Community Service Team from the Faculty of Law at </w:t>
      </w:r>
      <w:proofErr w:type="spellStart"/>
      <w:r w:rsidRPr="0025291E">
        <w:rPr>
          <w:rFonts w:ascii="Arial" w:hAnsi="Arial" w:cs="Arial"/>
          <w:sz w:val="20"/>
          <w:szCs w:val="20"/>
        </w:rPr>
        <w:t>Warmadewa</w:t>
      </w:r>
      <w:proofErr w:type="spellEnd"/>
      <w:r w:rsidRPr="0025291E">
        <w:rPr>
          <w:rFonts w:ascii="Arial" w:hAnsi="Arial" w:cs="Arial"/>
          <w:sz w:val="20"/>
          <w:szCs w:val="20"/>
        </w:rPr>
        <w:t xml:space="preserve"> University, two university </w:t>
      </w:r>
      <w:r w:rsidRPr="0025291E">
        <w:rPr>
          <w:rFonts w:ascii="Arial" w:hAnsi="Arial" w:cs="Arial"/>
          <w:sz w:val="20"/>
          <w:szCs w:val="20"/>
        </w:rPr>
        <w:lastRenderedPageBreak/>
        <w:t xml:space="preserve">students, and five members of the Waste Bank group. The primary target of this community service activity was the administrators and members of the Waste Bank group in </w:t>
      </w:r>
      <w:proofErr w:type="spellStart"/>
      <w:r w:rsidRPr="0025291E">
        <w:rPr>
          <w:rFonts w:ascii="Arial" w:hAnsi="Arial" w:cs="Arial"/>
          <w:sz w:val="20"/>
          <w:szCs w:val="20"/>
        </w:rPr>
        <w:t>Tegal</w:t>
      </w:r>
      <w:proofErr w:type="spellEnd"/>
      <w:r w:rsidRPr="0025291E">
        <w:rPr>
          <w:rFonts w:ascii="Arial" w:hAnsi="Arial" w:cs="Arial"/>
          <w:sz w:val="20"/>
          <w:szCs w:val="20"/>
        </w:rPr>
        <w:t xml:space="preserve"> </w:t>
      </w:r>
      <w:proofErr w:type="spellStart"/>
      <w:r w:rsidRPr="0025291E">
        <w:rPr>
          <w:rFonts w:ascii="Arial" w:hAnsi="Arial" w:cs="Arial"/>
          <w:sz w:val="20"/>
          <w:szCs w:val="20"/>
        </w:rPr>
        <w:t>Kertha</w:t>
      </w:r>
      <w:proofErr w:type="spellEnd"/>
      <w:r w:rsidRPr="0025291E">
        <w:rPr>
          <w:rFonts w:ascii="Arial" w:hAnsi="Arial" w:cs="Arial"/>
          <w:sz w:val="20"/>
          <w:szCs w:val="20"/>
        </w:rPr>
        <w:t xml:space="preserve"> Village, West Denpasar District, Denpasar City.</w:t>
      </w:r>
    </w:p>
    <w:p w14:paraId="3D44431C" w14:textId="77777777" w:rsidR="0025291E" w:rsidRPr="0025291E" w:rsidRDefault="0025291E" w:rsidP="0025291E">
      <w:pPr>
        <w:ind w:firstLine="450"/>
        <w:jc w:val="both"/>
        <w:rPr>
          <w:rFonts w:ascii="Arial" w:hAnsi="Arial" w:cs="Arial"/>
          <w:sz w:val="20"/>
          <w:szCs w:val="20"/>
        </w:rPr>
      </w:pPr>
      <w:r w:rsidRPr="0025291E">
        <w:rPr>
          <w:rFonts w:ascii="Arial" w:hAnsi="Arial" w:cs="Arial"/>
          <w:sz w:val="20"/>
          <w:szCs w:val="20"/>
        </w:rPr>
        <w:t xml:space="preserve">To complement the research results, the subsequent data collection process involved gathering both primary and secondary data. The primary data were obtained directly from the field through interviews with village officials, including the village head, neighborhood leaders, and Banjar chiefs in </w:t>
      </w:r>
      <w:proofErr w:type="spellStart"/>
      <w:r w:rsidRPr="0025291E">
        <w:rPr>
          <w:rFonts w:ascii="Arial" w:hAnsi="Arial" w:cs="Arial"/>
          <w:sz w:val="20"/>
          <w:szCs w:val="20"/>
        </w:rPr>
        <w:t>Muliawan</w:t>
      </w:r>
      <w:proofErr w:type="spellEnd"/>
      <w:r w:rsidRPr="0025291E">
        <w:rPr>
          <w:rFonts w:ascii="Arial" w:hAnsi="Arial" w:cs="Arial"/>
          <w:sz w:val="20"/>
          <w:szCs w:val="20"/>
        </w:rPr>
        <w:t xml:space="preserve"> Hamlet, as well as members of the Waste Bank group. Additionally, Focus Group Discussions were conducted with group members and officials in </w:t>
      </w:r>
      <w:proofErr w:type="spellStart"/>
      <w:r w:rsidRPr="0025291E">
        <w:rPr>
          <w:rFonts w:ascii="Arial" w:hAnsi="Arial" w:cs="Arial"/>
          <w:sz w:val="20"/>
          <w:szCs w:val="20"/>
        </w:rPr>
        <w:t>Muliawan</w:t>
      </w:r>
      <w:proofErr w:type="spellEnd"/>
      <w:r w:rsidRPr="0025291E">
        <w:rPr>
          <w:rFonts w:ascii="Arial" w:hAnsi="Arial" w:cs="Arial"/>
          <w:sz w:val="20"/>
          <w:szCs w:val="20"/>
        </w:rPr>
        <w:t xml:space="preserve"> Hamlet, </w:t>
      </w:r>
      <w:proofErr w:type="spellStart"/>
      <w:r w:rsidRPr="0025291E">
        <w:rPr>
          <w:rFonts w:ascii="Arial" w:hAnsi="Arial" w:cs="Arial"/>
          <w:sz w:val="20"/>
          <w:szCs w:val="20"/>
        </w:rPr>
        <w:t>Tegal</w:t>
      </w:r>
      <w:proofErr w:type="spellEnd"/>
      <w:r w:rsidRPr="0025291E">
        <w:rPr>
          <w:rFonts w:ascii="Arial" w:hAnsi="Arial" w:cs="Arial"/>
          <w:sz w:val="20"/>
          <w:szCs w:val="20"/>
        </w:rPr>
        <w:t xml:space="preserve"> </w:t>
      </w:r>
      <w:proofErr w:type="spellStart"/>
      <w:r w:rsidRPr="0025291E">
        <w:rPr>
          <w:rFonts w:ascii="Arial" w:hAnsi="Arial" w:cs="Arial"/>
          <w:sz w:val="20"/>
          <w:szCs w:val="20"/>
        </w:rPr>
        <w:t>Kertha</w:t>
      </w:r>
      <w:proofErr w:type="spellEnd"/>
      <w:r w:rsidRPr="0025291E">
        <w:rPr>
          <w:rFonts w:ascii="Arial" w:hAnsi="Arial" w:cs="Arial"/>
          <w:sz w:val="20"/>
          <w:szCs w:val="20"/>
        </w:rPr>
        <w:t xml:space="preserve"> Village. Secondary data consisted of primary legal materials, secondary legal materials, and tertiary legal materials. Primary legal materials included legislation related to waste management and environmental issues, such as the Waste Bank Management Law and the Environmental Protection and Management Law, along with relevant subordinate regulations. Tertiary legal materials comprised dictionaries and glossaries relevant to the terminology used in the issues or problems addressed. These materials were then analyzed and descriptively presented</w:t>
      </w:r>
    </w:p>
    <w:p w14:paraId="75A4E68C" w14:textId="77777777" w:rsidR="00B64C4D" w:rsidRDefault="00B64C4D" w:rsidP="00F75715">
      <w:pPr>
        <w:spacing w:line="360" w:lineRule="auto"/>
        <w:jc w:val="both"/>
        <w:rPr>
          <w:rFonts w:ascii="Arial" w:hAnsi="Arial" w:cs="Arial"/>
          <w:b/>
          <w:bCs/>
        </w:rPr>
      </w:pPr>
    </w:p>
    <w:p w14:paraId="5953C600" w14:textId="24193466" w:rsidR="00F75715" w:rsidRPr="00684E1C" w:rsidRDefault="00F75715" w:rsidP="00F75715">
      <w:pPr>
        <w:spacing w:line="360" w:lineRule="auto"/>
        <w:jc w:val="both"/>
        <w:rPr>
          <w:rFonts w:ascii="Arial" w:hAnsi="Arial" w:cs="Arial"/>
          <w:b/>
          <w:bCs/>
        </w:rPr>
      </w:pPr>
      <w:r w:rsidRPr="00684E1C">
        <w:rPr>
          <w:rFonts w:ascii="Arial" w:hAnsi="Arial" w:cs="Arial"/>
          <w:b/>
          <w:bCs/>
        </w:rPr>
        <w:t xml:space="preserve">RESULTS AND </w:t>
      </w:r>
      <w:r w:rsidR="0025291E">
        <w:rPr>
          <w:rFonts w:ascii="Arial" w:hAnsi="Arial" w:cs="Arial"/>
          <w:b/>
          <w:bCs/>
        </w:rPr>
        <w:t>DISCUSSION</w:t>
      </w:r>
    </w:p>
    <w:p w14:paraId="0A180E27" w14:textId="57E397FA" w:rsidR="00183501" w:rsidRPr="0052676B" w:rsidRDefault="00183501" w:rsidP="0052676B">
      <w:pPr>
        <w:ind w:firstLine="720"/>
        <w:jc w:val="both"/>
        <w:rPr>
          <w:rFonts w:ascii="Arial" w:hAnsi="Arial" w:cs="Arial"/>
          <w:sz w:val="20"/>
          <w:szCs w:val="20"/>
        </w:rPr>
      </w:pPr>
      <w:r w:rsidRPr="0052676B">
        <w:rPr>
          <w:rFonts w:ascii="Arial" w:hAnsi="Arial" w:cs="Arial"/>
          <w:sz w:val="20"/>
          <w:szCs w:val="20"/>
        </w:rPr>
        <w:t xml:space="preserve">The Community Service Program conducted in Dusun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West Denpasar, aimed at strengthening the capacity of Waste Bank management and members in inorganic waste management, produced several notable outcomes.</w:t>
      </w:r>
    </w:p>
    <w:p w14:paraId="18E9FA7C" w14:textId="39486A8D" w:rsidR="00183501" w:rsidRPr="0052676B" w:rsidRDefault="00183501" w:rsidP="0052676B">
      <w:pPr>
        <w:ind w:firstLine="720"/>
        <w:jc w:val="both"/>
        <w:rPr>
          <w:rFonts w:ascii="Arial" w:hAnsi="Arial" w:cs="Arial"/>
          <w:sz w:val="20"/>
          <w:szCs w:val="20"/>
        </w:rPr>
      </w:pPr>
      <w:r w:rsidRPr="0052676B">
        <w:rPr>
          <w:rFonts w:ascii="Arial" w:hAnsi="Arial" w:cs="Arial"/>
          <w:sz w:val="20"/>
          <w:szCs w:val="20"/>
        </w:rPr>
        <w:t>Participants gained comprehensive knowledge concerning the concepts, functions, and operational management of a Waste Bank, including the core principles of the 3R framework (Reduce, Reuse, Recycle) and the environmental implications of inorganic waste accumulation</w:t>
      </w:r>
      <w:r w:rsidR="007427C4" w:rsidRPr="0052676B">
        <w:rPr>
          <w:rFonts w:ascii="Arial" w:hAnsi="Arial" w:cs="Arial"/>
          <w:sz w:val="20"/>
          <w:szCs w:val="20"/>
        </w:rPr>
        <w:t xml:space="preserve"> </w:t>
      </w:r>
      <w:r w:rsidR="007427C4" w:rsidRPr="0052676B">
        <w:rPr>
          <w:rFonts w:ascii="Arial" w:hAnsi="Arial" w:cs="Arial"/>
          <w:sz w:val="20"/>
          <w:szCs w:val="20"/>
        </w:rPr>
        <w:fldChar w:fldCharType="begin" w:fldLock="1"/>
      </w:r>
      <w:r w:rsidR="00F16782">
        <w:rPr>
          <w:rFonts w:ascii="Arial" w:hAnsi="Arial" w:cs="Arial"/>
          <w:sz w:val="20"/>
          <w:szCs w:val="20"/>
        </w:rPr>
        <w:instrText>ADDIN CSL_CITATION {"citationItems":[{"id":"ITEM-1","itemData":{"ISSN":"2621-5055","abstract":"Background-Currently, tourism potential in Indonesia has considerable potential dan opportunity to be developed, especially village tourism owned by villages in Indonesia. Likewise, the village has been able to capture village tourism opportunities that can be developed based on local resources owned, both tourist attractions, culture dan other local wisdom. However, not many villages develop it sustainably. Aim-The objectives of this study specifically will examine how the strategies that can be carried out by villages (village tourism managers) in developing village tourism to be sustainable. Design / Methodology / Approach-The research method used in this study is a qualitative approach where data is collected from informants through focus group discussions. Findings-The results of the study indicate that villages in Gresik Regency are actively developing village tourism, which is marked by the concern of tourism awareness groups (POKDARWIS), as well as the increasing number of developed village tourism destinations. Strategies that can be carried out in developing sustainable tourism villages include optimizing local resources, community involvement, adhering to the planned master plan, managing internally sourced funding, strengthening institutions, making village tourism development a priority, increasing the ability to sell village tourism products. supported by competent human resources that meet excellent service stdanards dan the motivation for continuous development to do new things. Conclusion-In order to improve and develop a sustainable tourism village (Sustainable Tourism Village Development Model) by building village tourism in the new normal era, it is generally based on several things including being divided into 2 parts, namely internal factors and external factors Research Implication Theoretical implications; In future studies, it is necessary to have a study that connects the concept of halal tourism with sustainability, especially in Gresik Regency, which is known as the city of santri. Limitations-This research is mostly digging data from tourism managers (POKDARWIS), so it does not involve visitors dan other stakeholders.","author":[{"dropping-particle":"","family":"Sukaris","given":"","non-dropping-particle":"","parse-names":false,"suffix":""},{"dropping-particle":"","family":"Kurniawan","given":"Aries","non-dropping-particle":"","parse-names":false,"suffix":""},{"dropping-particle":"","family":"Kurniawan","given":"Moh Dian","non-dropping-particle":"","parse-names":false,"suffix":""}],"container-title":"Manajerial","id":"ITEM-1","issue":"24 Januari 2023","issued":{"date-parts":[["2023"]]},"title":"Pengembangan Strategi Desa Wisata Berkelanjutan","type":"article-journal","volume":"10"},"uris":["http://www.mendeley.com/documents/?uuid=52f19c2e-31fb-4456-a531-41238c3e29b7"]}],"mendeley":{"formattedCitation":"(Sukaris et al., 2023)","plainTextFormattedCitation":"(Sukaris et al., 2023)","previouslyFormattedCitation":"(Sukaris et al., 2023)"},"properties":{"noteIndex":0},"schema":"https://github.com/citation-style-language/schema/raw/master/csl-citation.json"}</w:instrText>
      </w:r>
      <w:r w:rsidR="007427C4" w:rsidRPr="0052676B">
        <w:rPr>
          <w:rFonts w:ascii="Arial" w:hAnsi="Arial" w:cs="Arial"/>
          <w:sz w:val="20"/>
          <w:szCs w:val="20"/>
        </w:rPr>
        <w:fldChar w:fldCharType="separate"/>
      </w:r>
      <w:r w:rsidR="00C7515A" w:rsidRPr="00C7515A">
        <w:rPr>
          <w:rFonts w:ascii="Arial" w:hAnsi="Arial" w:cs="Arial"/>
          <w:noProof/>
          <w:sz w:val="20"/>
          <w:szCs w:val="20"/>
        </w:rPr>
        <w:t>(Sukaris et al., 2023)</w:t>
      </w:r>
      <w:r w:rsidR="007427C4" w:rsidRPr="0052676B">
        <w:rPr>
          <w:rFonts w:ascii="Arial" w:hAnsi="Arial" w:cs="Arial"/>
          <w:sz w:val="20"/>
          <w:szCs w:val="20"/>
        </w:rPr>
        <w:fldChar w:fldCharType="end"/>
      </w:r>
      <w:r w:rsidRPr="0052676B">
        <w:rPr>
          <w:rFonts w:ascii="Arial" w:hAnsi="Arial" w:cs="Arial"/>
          <w:sz w:val="20"/>
          <w:szCs w:val="20"/>
        </w:rPr>
        <w:t>. This educational intervention fostered a heightened collective awareness within the community, encouraging responsible waste management practices and the transformation of waste materials into value-added products.</w:t>
      </w:r>
    </w:p>
    <w:p w14:paraId="46A86026" w14:textId="53A5B3C7" w:rsidR="00B10425" w:rsidRDefault="00183501" w:rsidP="0052676B">
      <w:pPr>
        <w:ind w:firstLine="720"/>
        <w:jc w:val="both"/>
        <w:rPr>
          <w:rFonts w:ascii="Arial" w:hAnsi="Arial" w:cs="Arial"/>
          <w:sz w:val="20"/>
          <w:szCs w:val="20"/>
        </w:rPr>
      </w:pPr>
      <w:r w:rsidRPr="0052676B">
        <w:rPr>
          <w:rFonts w:ascii="Arial" w:hAnsi="Arial" w:cs="Arial"/>
          <w:sz w:val="20"/>
          <w:szCs w:val="20"/>
        </w:rPr>
        <w:t>Waste management poses significant challenges for many countries due to the diversity and hazardous nature of waste types that threaten ecosystems. Beyond plastic waste, other categories such as hazardous medical waste and electronic waste contribute substantially to environmental degradation and ecological harm</w:t>
      </w:r>
      <w:r w:rsidR="00B10425" w:rsidRPr="0052676B">
        <w:rPr>
          <w:rFonts w:ascii="Arial" w:hAnsi="Arial" w:cs="Arial"/>
          <w:sz w:val="20"/>
          <w:szCs w:val="20"/>
        </w:rPr>
        <w:t>.</w:t>
      </w:r>
      <w:r w:rsidRPr="0052676B">
        <w:rPr>
          <w:rFonts w:ascii="Arial" w:hAnsi="Arial" w:cs="Arial"/>
          <w:sz w:val="20"/>
          <w:szCs w:val="20"/>
        </w:rPr>
        <w:t xml:space="preserve"> </w:t>
      </w:r>
      <w:r w:rsidR="00B10425" w:rsidRPr="0052676B">
        <w:rPr>
          <w:rFonts w:ascii="Arial" w:hAnsi="Arial" w:cs="Arial"/>
          <w:sz w:val="20"/>
          <w:szCs w:val="20"/>
        </w:rPr>
        <w:fldChar w:fldCharType="begin" w:fldLock="1"/>
      </w:r>
      <w:r w:rsidR="00142109">
        <w:rPr>
          <w:rFonts w:ascii="Arial" w:hAnsi="Arial" w:cs="Arial"/>
          <w:sz w:val="20"/>
          <w:szCs w:val="20"/>
        </w:rPr>
        <w:instrText>ADDIN CSL_CITATION {"citationItems":[{"id":"ITEM-1","itemData":{"ISBN":"9786024332549","author":[{"dropping-particle":"","family":"Winarto","given":"J.J. Fox and Y.T.","non-dropping-particle":"","parse-names":false,"suffix":""}],"edition":"1","id":"ITEM-1","issued":{"date-parts":[["2016"]]},"number-of-pages":"80-90","publisher":"Yayasan Pustaka Obor","publisher-place":"Jakarta","title":"Farmers' use of pesticides in an intensive rice-growing village in Indramayu on Java. In Yunita Winarto (ed.), Krisis pangan dan 'sesat pikir': mengapa masih berlanjut? [Food crisis and 'deviant thought':Why is it continuing?].","type":"book"},"uris":["http://www.mendeley.com/documents/?uuid=24175fdf-585c-4c70-8e4c-4c6fdaf32413"]}],"mendeley":{"formattedCitation":"(Winarto, 2016)","plainTextFormattedCitation":"(Winarto, 2016)","previouslyFormattedCitation":"(Winarto, 2016)"},"properties":{"noteIndex":0},"schema":"https://github.com/citation-style-language/schema/raw/master/csl-citation.json"}</w:instrText>
      </w:r>
      <w:r w:rsidR="00B10425" w:rsidRPr="0052676B">
        <w:rPr>
          <w:rFonts w:ascii="Arial" w:hAnsi="Arial" w:cs="Arial"/>
          <w:sz w:val="20"/>
          <w:szCs w:val="20"/>
        </w:rPr>
        <w:fldChar w:fldCharType="separate"/>
      </w:r>
      <w:r w:rsidR="00C7515A" w:rsidRPr="00DA5A30">
        <w:rPr>
          <w:rFonts w:ascii="Arial" w:hAnsi="Arial" w:cs="Arial"/>
          <w:noProof/>
          <w:sz w:val="20"/>
          <w:szCs w:val="20"/>
        </w:rPr>
        <w:t>(Winarto, 2016)</w:t>
      </w:r>
      <w:r w:rsidR="00B10425" w:rsidRPr="0052676B">
        <w:rPr>
          <w:rFonts w:ascii="Arial" w:hAnsi="Arial" w:cs="Arial"/>
          <w:sz w:val="20"/>
          <w:szCs w:val="20"/>
        </w:rPr>
        <w:fldChar w:fldCharType="end"/>
      </w:r>
    </w:p>
    <w:p w14:paraId="4E09499F" w14:textId="33CFDE28" w:rsidR="00203287" w:rsidRDefault="00203287" w:rsidP="00D31484">
      <w:pPr>
        <w:ind w:firstLine="720"/>
        <w:jc w:val="both"/>
        <w:rPr>
          <w:rFonts w:ascii="Arial" w:hAnsi="Arial" w:cs="Arial"/>
          <w:sz w:val="20"/>
          <w:szCs w:val="20"/>
        </w:rPr>
      </w:pPr>
      <w:r w:rsidRPr="00203287">
        <w:rPr>
          <w:rFonts w:ascii="Arial" w:hAnsi="Arial" w:cs="Arial"/>
          <w:sz w:val="20"/>
          <w:szCs w:val="20"/>
        </w:rPr>
        <w:t>In Bali Province, particularly in Denpasar City, the issue of waste has become increasingly complex. Waste generation in Denpasar City</w:t>
      </w:r>
      <w:r w:rsidR="00D31484">
        <w:rPr>
          <w:rFonts w:ascii="Arial" w:hAnsi="Arial" w:cs="Arial"/>
          <w:sz w:val="20"/>
          <w:szCs w:val="20"/>
        </w:rPr>
        <w:t xml:space="preserve"> is</w:t>
      </w:r>
      <w:r w:rsidRPr="00203287">
        <w:rPr>
          <w:rFonts w:ascii="Arial" w:hAnsi="Arial" w:cs="Arial"/>
          <w:sz w:val="20"/>
          <w:szCs w:val="20"/>
        </w:rPr>
        <w:t xml:space="preserve"> based on data obtained by the author from statistics related to waste generation</w:t>
      </w:r>
      <w:r>
        <w:rPr>
          <w:rFonts w:ascii="Arial" w:hAnsi="Arial" w:cs="Arial"/>
          <w:sz w:val="20"/>
          <w:szCs w:val="20"/>
        </w:rPr>
        <w:t>.</w:t>
      </w:r>
      <w:r w:rsidR="00D31484">
        <w:rPr>
          <w:rFonts w:ascii="Arial" w:hAnsi="Arial" w:cs="Arial"/>
          <w:sz w:val="20"/>
          <w:szCs w:val="20"/>
        </w:rPr>
        <w:t xml:space="preserve"> </w:t>
      </w:r>
    </w:p>
    <w:p w14:paraId="23650D2D" w14:textId="77777777" w:rsidR="00203287" w:rsidRDefault="00203287" w:rsidP="00203287">
      <w:pPr>
        <w:rPr>
          <w:rFonts w:ascii="Arial" w:hAnsi="Arial" w:cs="Arial"/>
          <w:sz w:val="20"/>
          <w:szCs w:val="20"/>
        </w:rPr>
      </w:pPr>
    </w:p>
    <w:p w14:paraId="43B2F04A" w14:textId="1E79DE15" w:rsidR="00203287" w:rsidRDefault="00A7739A" w:rsidP="00203287">
      <w:pPr>
        <w:rPr>
          <w:rFonts w:ascii="Arial" w:hAnsi="Arial" w:cs="Arial"/>
          <w:sz w:val="20"/>
          <w:szCs w:val="20"/>
        </w:rPr>
      </w:pPr>
      <w:r>
        <w:rPr>
          <w:rFonts w:ascii="Arial" w:hAnsi="Arial" w:cs="Arial"/>
          <w:b/>
          <w:bCs/>
          <w:sz w:val="20"/>
          <w:szCs w:val="20"/>
        </w:rPr>
        <w:t xml:space="preserve">Table </w:t>
      </w:r>
      <w:proofErr w:type="gramStart"/>
      <w:r>
        <w:rPr>
          <w:rFonts w:ascii="Arial" w:hAnsi="Arial" w:cs="Arial"/>
          <w:b/>
          <w:bCs/>
          <w:sz w:val="20"/>
          <w:szCs w:val="20"/>
        </w:rPr>
        <w:t>1 :</w:t>
      </w:r>
      <w:proofErr w:type="gramEnd"/>
      <w:r>
        <w:rPr>
          <w:rFonts w:ascii="Arial" w:hAnsi="Arial" w:cs="Arial"/>
          <w:b/>
          <w:bCs/>
          <w:sz w:val="20"/>
          <w:szCs w:val="20"/>
        </w:rPr>
        <w:t xml:space="preserve"> </w:t>
      </w:r>
      <w:r w:rsidR="00D31484" w:rsidRPr="00D31484">
        <w:rPr>
          <w:rFonts w:ascii="Arial" w:hAnsi="Arial" w:cs="Arial"/>
          <w:b/>
          <w:bCs/>
          <w:sz w:val="20"/>
          <w:szCs w:val="20"/>
        </w:rPr>
        <w:t>Municipal Solid Waste Generation Data in Denpasar City for the Year 2024.</w:t>
      </w:r>
    </w:p>
    <w:tbl>
      <w:tblPr>
        <w:tblStyle w:val="TableGrid"/>
        <w:tblW w:w="0" w:type="auto"/>
        <w:tblLook w:val="04A0" w:firstRow="1" w:lastRow="0" w:firstColumn="1" w:lastColumn="0" w:noHBand="0" w:noVBand="1"/>
      </w:tblPr>
      <w:tblGrid>
        <w:gridCol w:w="2140"/>
        <w:gridCol w:w="2062"/>
        <w:gridCol w:w="2142"/>
        <w:gridCol w:w="2142"/>
      </w:tblGrid>
      <w:tr w:rsidR="00203287" w:rsidRPr="003B13D9" w14:paraId="0EF9CACD" w14:textId="77777777" w:rsidTr="00203287">
        <w:tc>
          <w:tcPr>
            <w:tcW w:w="2140" w:type="dxa"/>
          </w:tcPr>
          <w:p w14:paraId="71579DBB" w14:textId="33E96EF9" w:rsidR="00203287" w:rsidRPr="00D31484" w:rsidRDefault="00D17943" w:rsidP="00484CDF">
            <w:pPr>
              <w:jc w:val="both"/>
              <w:rPr>
                <w:rFonts w:ascii="Times New Roman" w:hAnsi="Times New Roman" w:cs="Times New Roman"/>
                <w:b/>
                <w:bCs/>
                <w:sz w:val="24"/>
                <w:szCs w:val="24"/>
              </w:rPr>
            </w:pPr>
            <w:r w:rsidRPr="00D17943">
              <w:rPr>
                <w:rFonts w:ascii="Times New Roman" w:hAnsi="Times New Roman" w:cs="Times New Roman"/>
                <w:b/>
                <w:bCs/>
                <w:sz w:val="24"/>
                <w:szCs w:val="24"/>
              </w:rPr>
              <w:t>Subdistrict</w:t>
            </w:r>
          </w:p>
        </w:tc>
        <w:tc>
          <w:tcPr>
            <w:tcW w:w="2062" w:type="dxa"/>
          </w:tcPr>
          <w:p w14:paraId="494B0FBC" w14:textId="075615DD" w:rsidR="00203287" w:rsidRPr="00D31484" w:rsidRDefault="00D17943" w:rsidP="00484CDF">
            <w:pPr>
              <w:jc w:val="both"/>
              <w:rPr>
                <w:rFonts w:ascii="Times New Roman" w:hAnsi="Times New Roman" w:cs="Times New Roman"/>
                <w:b/>
                <w:bCs/>
                <w:sz w:val="24"/>
                <w:szCs w:val="24"/>
              </w:rPr>
            </w:pPr>
            <w:r w:rsidRPr="00D17943">
              <w:rPr>
                <w:rFonts w:ascii="Times New Roman" w:hAnsi="Times New Roman" w:cs="Times New Roman"/>
                <w:b/>
                <w:bCs/>
                <w:sz w:val="24"/>
                <w:szCs w:val="24"/>
              </w:rPr>
              <w:t>Tons per Day</w:t>
            </w:r>
          </w:p>
        </w:tc>
        <w:tc>
          <w:tcPr>
            <w:tcW w:w="2142" w:type="dxa"/>
          </w:tcPr>
          <w:p w14:paraId="5FA7826D" w14:textId="37C890AE" w:rsidR="00203287" w:rsidRPr="00D31484" w:rsidRDefault="00D17943" w:rsidP="00484CDF">
            <w:pPr>
              <w:jc w:val="both"/>
              <w:rPr>
                <w:rFonts w:ascii="Times New Roman" w:hAnsi="Times New Roman" w:cs="Times New Roman"/>
                <w:b/>
                <w:bCs/>
                <w:sz w:val="24"/>
                <w:szCs w:val="24"/>
              </w:rPr>
            </w:pPr>
            <w:r w:rsidRPr="00D17943">
              <w:rPr>
                <w:rFonts w:ascii="Times New Roman" w:hAnsi="Times New Roman" w:cs="Times New Roman"/>
                <w:b/>
                <w:bCs/>
                <w:sz w:val="24"/>
                <w:szCs w:val="24"/>
              </w:rPr>
              <w:t>Tons per Year</w:t>
            </w:r>
          </w:p>
        </w:tc>
        <w:tc>
          <w:tcPr>
            <w:tcW w:w="2142" w:type="dxa"/>
          </w:tcPr>
          <w:p w14:paraId="3843755A" w14:textId="1775334B" w:rsidR="00203287" w:rsidRPr="00D31484" w:rsidRDefault="00D17943" w:rsidP="00484CDF">
            <w:pPr>
              <w:jc w:val="both"/>
              <w:rPr>
                <w:rFonts w:ascii="Times New Roman" w:hAnsi="Times New Roman" w:cs="Times New Roman"/>
                <w:b/>
                <w:bCs/>
                <w:sz w:val="24"/>
                <w:szCs w:val="24"/>
              </w:rPr>
            </w:pPr>
            <w:r w:rsidRPr="00D17943">
              <w:rPr>
                <w:rFonts w:ascii="Times New Roman" w:hAnsi="Times New Roman" w:cs="Times New Roman"/>
                <w:b/>
                <w:bCs/>
                <w:sz w:val="24"/>
                <w:szCs w:val="24"/>
              </w:rPr>
              <w:t>Total Cities per Year</w:t>
            </w:r>
            <w:bookmarkStart w:id="0" w:name="_GoBack"/>
            <w:bookmarkEnd w:id="0"/>
          </w:p>
        </w:tc>
      </w:tr>
      <w:tr w:rsidR="00203287" w:rsidRPr="003B13D9" w14:paraId="6926ACBD" w14:textId="77777777" w:rsidTr="00203287">
        <w:tc>
          <w:tcPr>
            <w:tcW w:w="2140" w:type="dxa"/>
          </w:tcPr>
          <w:p w14:paraId="1FE5CA6E"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Denpasar Selatan</w:t>
            </w:r>
          </w:p>
        </w:tc>
        <w:tc>
          <w:tcPr>
            <w:tcW w:w="2062" w:type="dxa"/>
          </w:tcPr>
          <w:p w14:paraId="4D939B07"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287,35</w:t>
            </w:r>
          </w:p>
        </w:tc>
        <w:tc>
          <w:tcPr>
            <w:tcW w:w="2142" w:type="dxa"/>
          </w:tcPr>
          <w:p w14:paraId="32AF36CF"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104.882,75</w:t>
            </w:r>
          </w:p>
        </w:tc>
        <w:tc>
          <w:tcPr>
            <w:tcW w:w="2142" w:type="dxa"/>
          </w:tcPr>
          <w:p w14:paraId="06D65FD2"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366.806,75</w:t>
            </w:r>
          </w:p>
        </w:tc>
      </w:tr>
      <w:tr w:rsidR="00203287" w:rsidRPr="003B13D9" w14:paraId="08F2A1FD" w14:textId="77777777" w:rsidTr="00203287">
        <w:tc>
          <w:tcPr>
            <w:tcW w:w="2140" w:type="dxa"/>
          </w:tcPr>
          <w:p w14:paraId="0BBDCA5F"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Denpasar Timur</w:t>
            </w:r>
          </w:p>
        </w:tc>
        <w:tc>
          <w:tcPr>
            <w:tcW w:w="2062" w:type="dxa"/>
          </w:tcPr>
          <w:p w14:paraId="0B094DB8"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277,35</w:t>
            </w:r>
          </w:p>
        </w:tc>
        <w:tc>
          <w:tcPr>
            <w:tcW w:w="2142" w:type="dxa"/>
          </w:tcPr>
          <w:p w14:paraId="7EF74FF3"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101.232,75</w:t>
            </w:r>
          </w:p>
        </w:tc>
        <w:tc>
          <w:tcPr>
            <w:tcW w:w="2142" w:type="dxa"/>
          </w:tcPr>
          <w:p w14:paraId="70C321BF"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366.806,75</w:t>
            </w:r>
          </w:p>
        </w:tc>
      </w:tr>
      <w:tr w:rsidR="00203287" w:rsidRPr="003B13D9" w14:paraId="79FB796D" w14:textId="77777777" w:rsidTr="00203287">
        <w:tc>
          <w:tcPr>
            <w:tcW w:w="2140" w:type="dxa"/>
          </w:tcPr>
          <w:p w14:paraId="5F3D154A"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Denpasar Barat</w:t>
            </w:r>
          </w:p>
        </w:tc>
        <w:tc>
          <w:tcPr>
            <w:tcW w:w="2062" w:type="dxa"/>
          </w:tcPr>
          <w:p w14:paraId="4566A26E"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183,70</w:t>
            </w:r>
          </w:p>
        </w:tc>
        <w:tc>
          <w:tcPr>
            <w:tcW w:w="2142" w:type="dxa"/>
          </w:tcPr>
          <w:p w14:paraId="0D723B0B"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67.050,50</w:t>
            </w:r>
          </w:p>
        </w:tc>
        <w:tc>
          <w:tcPr>
            <w:tcW w:w="2142" w:type="dxa"/>
          </w:tcPr>
          <w:p w14:paraId="724FC9BE"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366.806,75</w:t>
            </w:r>
          </w:p>
        </w:tc>
      </w:tr>
      <w:tr w:rsidR="00203287" w:rsidRPr="00C00E6C" w14:paraId="71AAD642" w14:textId="77777777" w:rsidTr="00203287">
        <w:tc>
          <w:tcPr>
            <w:tcW w:w="2140" w:type="dxa"/>
          </w:tcPr>
          <w:p w14:paraId="3F6E5118"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Denpasar Utara</w:t>
            </w:r>
          </w:p>
        </w:tc>
        <w:tc>
          <w:tcPr>
            <w:tcW w:w="2062" w:type="dxa"/>
          </w:tcPr>
          <w:p w14:paraId="0629E15C"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256,55</w:t>
            </w:r>
          </w:p>
        </w:tc>
        <w:tc>
          <w:tcPr>
            <w:tcW w:w="2142" w:type="dxa"/>
          </w:tcPr>
          <w:p w14:paraId="0FB73F85" w14:textId="77777777" w:rsidR="00203287" w:rsidRPr="003B13D9"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93.640,75</w:t>
            </w:r>
          </w:p>
        </w:tc>
        <w:tc>
          <w:tcPr>
            <w:tcW w:w="2142" w:type="dxa"/>
          </w:tcPr>
          <w:p w14:paraId="040C9488" w14:textId="77777777" w:rsidR="00203287" w:rsidRPr="00C00E6C" w:rsidRDefault="00203287" w:rsidP="00484CDF">
            <w:pPr>
              <w:jc w:val="both"/>
              <w:rPr>
                <w:rFonts w:ascii="Times New Roman" w:hAnsi="Times New Roman" w:cs="Times New Roman"/>
                <w:sz w:val="24"/>
                <w:szCs w:val="24"/>
              </w:rPr>
            </w:pPr>
            <w:r w:rsidRPr="003B13D9">
              <w:rPr>
                <w:rFonts w:ascii="Times New Roman" w:hAnsi="Times New Roman" w:cs="Times New Roman"/>
                <w:sz w:val="24"/>
                <w:szCs w:val="24"/>
              </w:rPr>
              <w:t>366.806,75</w:t>
            </w:r>
          </w:p>
        </w:tc>
      </w:tr>
    </w:tbl>
    <w:p w14:paraId="402E752D" w14:textId="66EE425D" w:rsidR="00D31484" w:rsidRDefault="00D31484" w:rsidP="00890213">
      <w:pPr>
        <w:rPr>
          <w:rFonts w:ascii="Arial" w:hAnsi="Arial" w:cs="Arial"/>
          <w:sz w:val="20"/>
          <w:szCs w:val="20"/>
        </w:rPr>
      </w:pPr>
      <w:r w:rsidRPr="00203287">
        <w:rPr>
          <w:rFonts w:ascii="Arial" w:hAnsi="Arial" w:cs="Arial"/>
          <w:sz w:val="20"/>
          <w:szCs w:val="20"/>
        </w:rPr>
        <w:t>Source</w:t>
      </w:r>
      <w:r>
        <w:rPr>
          <w:rFonts w:ascii="Arial" w:hAnsi="Arial" w:cs="Arial"/>
          <w:sz w:val="20"/>
          <w:szCs w:val="20"/>
        </w:rPr>
        <w:t>: Denpasar City Environment and Hygiene Agency in 2024.</w:t>
      </w:r>
    </w:p>
    <w:p w14:paraId="3BFCCAE1" w14:textId="77777777" w:rsidR="00203287" w:rsidRDefault="00203287" w:rsidP="00203287">
      <w:pPr>
        <w:rPr>
          <w:rFonts w:ascii="Arial" w:hAnsi="Arial" w:cs="Arial"/>
          <w:sz w:val="20"/>
          <w:szCs w:val="20"/>
        </w:rPr>
      </w:pPr>
    </w:p>
    <w:p w14:paraId="358FE7C1" w14:textId="63D21F2D" w:rsidR="00203287" w:rsidRDefault="00203287" w:rsidP="00D31484">
      <w:pPr>
        <w:ind w:firstLine="720"/>
        <w:jc w:val="both"/>
        <w:rPr>
          <w:rFonts w:ascii="Arial" w:hAnsi="Arial" w:cs="Arial"/>
          <w:sz w:val="20"/>
          <w:szCs w:val="20"/>
        </w:rPr>
      </w:pPr>
      <w:r w:rsidRPr="00203287">
        <w:rPr>
          <w:rFonts w:ascii="Arial" w:hAnsi="Arial" w:cs="Arial"/>
          <w:sz w:val="20"/>
          <w:szCs w:val="20"/>
        </w:rPr>
        <w:t xml:space="preserve">The data in the graph indicates that the total waste generation in Denpasar City for the year 2024 reached approximately 366,806.75 tons annually, with varying contributions from the four districts. Waste generation patterns by district show that Denpasar Selatan produces the highest daily waste, at approximately 287.35 tons per day, totaling around 104,882.75 tons per year. Denpasar Timur follows closely with 277.35 tons per day and about 101,232.75 tons annually. Denpasar Barat is the lowest contributor, generating approximately 183.7 tons per day </w:t>
      </w:r>
      <w:r w:rsidRPr="00203287">
        <w:rPr>
          <w:rFonts w:ascii="Arial" w:hAnsi="Arial" w:cs="Arial"/>
          <w:sz w:val="20"/>
          <w:szCs w:val="20"/>
        </w:rPr>
        <w:lastRenderedPageBreak/>
        <w:t>and 67,050.5 tons per year. Denpasar Utara ranks in the middle, producing 256.55 tons per day and 93,640.75 tons annually.</w:t>
      </w:r>
    </w:p>
    <w:p w14:paraId="186E72ED" w14:textId="3A32450D" w:rsidR="00203287" w:rsidRDefault="0025291E" w:rsidP="0052676B">
      <w:pPr>
        <w:ind w:firstLine="720"/>
        <w:jc w:val="both"/>
        <w:rPr>
          <w:rFonts w:ascii="Arial" w:hAnsi="Arial" w:cs="Arial"/>
          <w:sz w:val="20"/>
          <w:szCs w:val="20"/>
        </w:rPr>
      </w:pPr>
      <w:r w:rsidRPr="0025291E">
        <w:rPr>
          <w:rFonts w:ascii="Arial" w:hAnsi="Arial" w:cs="Arial"/>
          <w:sz w:val="20"/>
          <w:szCs w:val="20"/>
        </w:rPr>
        <w:t xml:space="preserve">To address the issue and examine data related to waste generation, it is necessary for the government to take action and for the community to participate, one of which is by providing education and training related to waste management through pre-emptive, preventive and repressive measures. One of the actions taken in this regard is through education and outreach in </w:t>
      </w:r>
      <w:proofErr w:type="spellStart"/>
      <w:r w:rsidRPr="0025291E">
        <w:rPr>
          <w:rFonts w:ascii="Arial" w:hAnsi="Arial" w:cs="Arial"/>
          <w:sz w:val="20"/>
          <w:szCs w:val="20"/>
        </w:rPr>
        <w:t>Muliawan</w:t>
      </w:r>
      <w:proofErr w:type="spellEnd"/>
      <w:r w:rsidRPr="0025291E">
        <w:rPr>
          <w:rFonts w:ascii="Arial" w:hAnsi="Arial" w:cs="Arial"/>
          <w:sz w:val="20"/>
          <w:szCs w:val="20"/>
        </w:rPr>
        <w:t xml:space="preserve"> Hamlet, </w:t>
      </w:r>
      <w:proofErr w:type="spellStart"/>
      <w:r w:rsidRPr="0025291E">
        <w:rPr>
          <w:rFonts w:ascii="Arial" w:hAnsi="Arial" w:cs="Arial"/>
          <w:sz w:val="20"/>
          <w:szCs w:val="20"/>
        </w:rPr>
        <w:t>Tegal</w:t>
      </w:r>
      <w:proofErr w:type="spellEnd"/>
      <w:r w:rsidRPr="0025291E">
        <w:rPr>
          <w:rFonts w:ascii="Arial" w:hAnsi="Arial" w:cs="Arial"/>
          <w:sz w:val="20"/>
          <w:szCs w:val="20"/>
        </w:rPr>
        <w:t xml:space="preserve"> </w:t>
      </w:r>
      <w:proofErr w:type="spellStart"/>
      <w:r w:rsidRPr="0025291E">
        <w:rPr>
          <w:rFonts w:ascii="Arial" w:hAnsi="Arial" w:cs="Arial"/>
          <w:sz w:val="20"/>
          <w:szCs w:val="20"/>
        </w:rPr>
        <w:t>Kertha</w:t>
      </w:r>
      <w:proofErr w:type="spellEnd"/>
      <w:r w:rsidRPr="0025291E">
        <w:rPr>
          <w:rFonts w:ascii="Arial" w:hAnsi="Arial" w:cs="Arial"/>
          <w:sz w:val="20"/>
          <w:szCs w:val="20"/>
        </w:rPr>
        <w:t>.</w:t>
      </w:r>
    </w:p>
    <w:p w14:paraId="5D58A1AE" w14:textId="294A0A00" w:rsidR="00183501" w:rsidRPr="0052676B" w:rsidRDefault="00183501" w:rsidP="0052676B">
      <w:pPr>
        <w:ind w:firstLine="720"/>
        <w:jc w:val="both"/>
        <w:rPr>
          <w:rFonts w:ascii="Arial" w:hAnsi="Arial" w:cs="Arial"/>
          <w:sz w:val="20"/>
          <w:szCs w:val="20"/>
        </w:rPr>
      </w:pPr>
      <w:r w:rsidRPr="0052676B">
        <w:rPr>
          <w:rFonts w:ascii="Arial" w:hAnsi="Arial" w:cs="Arial"/>
          <w:sz w:val="20"/>
          <w:szCs w:val="20"/>
        </w:rPr>
        <w:t xml:space="preserve">Participants received comprehensive technical training focused on converting inorganic waste into economically valuable products, including handicrafts, plant pots, recycled bags, and other innovative items. During the training sessions, several prototypes of these processed products were developed, demonstrating potential for further refinement and market commercialization. This hands-on approach not only enhanced participants’ practical skills but also nurtured creativity and entrepreneurial thinking within </w:t>
      </w:r>
      <w:r w:rsidRPr="00C7515A">
        <w:rPr>
          <w:rFonts w:ascii="Arial" w:hAnsi="Arial" w:cs="Arial"/>
          <w:sz w:val="20"/>
          <w:szCs w:val="20"/>
        </w:rPr>
        <w:t>the community</w:t>
      </w:r>
      <w:r w:rsidRPr="0052676B">
        <w:rPr>
          <w:rFonts w:ascii="Arial" w:hAnsi="Arial" w:cs="Arial"/>
          <w:sz w:val="20"/>
          <w:szCs w:val="20"/>
        </w:rPr>
        <w:t>.</w:t>
      </w:r>
    </w:p>
    <w:p w14:paraId="267CCBFF" w14:textId="6E6EDDD5" w:rsidR="00F82598" w:rsidRPr="0052676B" w:rsidRDefault="00F82598" w:rsidP="00F16782">
      <w:pPr>
        <w:ind w:firstLine="720"/>
        <w:jc w:val="both"/>
        <w:rPr>
          <w:rFonts w:ascii="Arial" w:hAnsi="Arial" w:cs="Arial"/>
          <w:sz w:val="20"/>
          <w:szCs w:val="20"/>
        </w:rPr>
      </w:pPr>
      <w:r w:rsidRPr="0052676B">
        <w:rPr>
          <w:rFonts w:ascii="Arial" w:hAnsi="Arial" w:cs="Arial"/>
          <w:sz w:val="20"/>
          <w:szCs w:val="20"/>
        </w:rPr>
        <w:t>The hands-on approach to training emphasized not only skill acquisition but also entrepreneurial thinking among participants, encouraging them to perceive waste as a resource with economic potential rather than a mere disposal issue. This mindset shift is crucial for fostering sustainable community-based waste management practices and aligns with broader circular economy principles. As reported in similar community training programs, such empowerment can contribute to improved livelihoods while promoting environmental stewardship</w:t>
      </w:r>
      <w:r w:rsidR="00F16782">
        <w:rPr>
          <w:rFonts w:ascii="Arial" w:hAnsi="Arial" w:cs="Arial"/>
          <w:sz w:val="20"/>
          <w:szCs w:val="20"/>
        </w:rPr>
        <w:t xml:space="preserve"> </w:t>
      </w:r>
      <w:r w:rsidRPr="0052676B">
        <w:rPr>
          <w:rFonts w:ascii="Arial" w:hAnsi="Arial" w:cs="Arial"/>
          <w:sz w:val="20"/>
          <w:szCs w:val="20"/>
        </w:rPr>
        <w:fldChar w:fldCharType="begin" w:fldLock="1"/>
      </w:r>
      <w:r w:rsidR="00F77CF9">
        <w:rPr>
          <w:rFonts w:ascii="Arial" w:hAnsi="Arial" w:cs="Arial"/>
          <w:sz w:val="20"/>
          <w:szCs w:val="20"/>
        </w:rPr>
        <w:instrText>ADDIN CSL_CITATION {"citationItems":[{"id":"ITEM-1","itemData":{"DOI":"10.2991/assehr.k.210222.017","author":[{"dropping-particle":"","family":"Juliana","given":"N","non-dropping-particle":"","parse-names":false,"suffix":""}],"container-title":"Atlantis Press Proceedings","id":"ITEM-1","issued":{"date-parts":[["2021"]]},"publisher":"Atlantis Press.","title":"Education of Inorganic Waste Management Through Training in Recycled Creations","type":"paper-conference"},"uris":["http://www.mendeley.com/documents/?uuid=15c8c49b-84fb-4374-b04a-304e90ddc465"]}],"mendeley":{"formattedCitation":"(Juliana, 2021)","plainTextFormattedCitation":"(Juliana, 2021)","previouslyFormattedCitation":"(Juliana, 2021)"},"properties":{"noteIndex":0},"schema":"https://github.com/citation-style-language/schema/raw/master/csl-citation.json"}</w:instrText>
      </w:r>
      <w:r w:rsidRPr="0052676B">
        <w:rPr>
          <w:rFonts w:ascii="Arial" w:hAnsi="Arial" w:cs="Arial"/>
          <w:sz w:val="20"/>
          <w:szCs w:val="20"/>
        </w:rPr>
        <w:fldChar w:fldCharType="separate"/>
      </w:r>
      <w:r w:rsidR="00C7515A" w:rsidRPr="00F77CF9">
        <w:rPr>
          <w:rFonts w:ascii="Arial" w:hAnsi="Arial" w:cs="Arial"/>
          <w:noProof/>
          <w:sz w:val="20"/>
          <w:szCs w:val="20"/>
        </w:rPr>
        <w:t>(Juliana, 2021)</w:t>
      </w:r>
      <w:r w:rsidRPr="0052676B">
        <w:rPr>
          <w:rFonts w:ascii="Arial" w:hAnsi="Arial" w:cs="Arial"/>
          <w:sz w:val="20"/>
          <w:szCs w:val="20"/>
        </w:rPr>
        <w:fldChar w:fldCharType="end"/>
      </w:r>
      <w:r w:rsidRPr="0052676B">
        <w:rPr>
          <w:rFonts w:ascii="Arial" w:hAnsi="Arial" w:cs="Arial"/>
          <w:sz w:val="20"/>
          <w:szCs w:val="20"/>
        </w:rPr>
        <w:t>.</w:t>
      </w:r>
    </w:p>
    <w:p w14:paraId="5BAD7D9E" w14:textId="1885A541" w:rsidR="00F82598" w:rsidRPr="0052676B" w:rsidRDefault="00F82598" w:rsidP="0052676B">
      <w:pPr>
        <w:ind w:firstLine="720"/>
        <w:jc w:val="both"/>
        <w:rPr>
          <w:rFonts w:ascii="Arial" w:hAnsi="Arial" w:cs="Arial"/>
          <w:sz w:val="20"/>
          <w:szCs w:val="20"/>
        </w:rPr>
      </w:pPr>
      <w:r w:rsidRPr="0052676B">
        <w:rPr>
          <w:rFonts w:ascii="Arial" w:hAnsi="Arial" w:cs="Arial"/>
          <w:sz w:val="20"/>
          <w:szCs w:val="20"/>
        </w:rPr>
        <w:t xml:space="preserve">Moreover, the creation of prototypes during the training sessions served as tangible proof of concept that could be refined and tailored to local market preferences. This iterative process of product development is essential for enhancing product quality and functionality, which directly impacts market acceptance and scalability. Studies indicate that participatory product development not only increases technical skills but also boosts community confidence and commitment to sustainable waste reuse initiatives </w:t>
      </w:r>
      <w:r w:rsidRPr="0052676B">
        <w:rPr>
          <w:rFonts w:ascii="Arial" w:hAnsi="Arial" w:cs="Arial"/>
          <w:sz w:val="20"/>
          <w:szCs w:val="20"/>
        </w:rPr>
        <w:fldChar w:fldCharType="begin" w:fldLock="1"/>
      </w:r>
      <w:r w:rsidR="00F77CF9">
        <w:rPr>
          <w:rFonts w:ascii="Arial" w:hAnsi="Arial" w:cs="Arial"/>
          <w:sz w:val="20"/>
          <w:szCs w:val="20"/>
        </w:rPr>
        <w:instrText>ADDIN CSL_CITATION {"citationItems":[{"id":"ITEM-1","itemData":{"DOI":"http://dx.doi.org/10.20527/jbk.v10i1.19171","author":[{"dropping-particle":"","family":"Syarif","given":"M","non-dropping-particle":"","parse-names":false,"suffix":""},{"dropping-particle":"","family":"Puspitasari","given":"R T","non-dropping-particle":"","parse-names":false,"suffix":""}],"id":"ITEM-1","issued":{"date-parts":[["2023"]]},"title":"Education and Training on Organic and Inorganic Waste Management for the Community of RT 1 Bunglai Village","type":"report"},"uris":["http://www.mendeley.com/documents/?uuid=373b7bd1-d2fb-430c-b335-e2bed9bc975f"]}],"mendeley":{"formattedCitation":"(Syarif &amp; Puspitasari, 2023)","plainTextFormattedCitation":"(Syarif &amp; Puspitasari, 2023)","previouslyFormattedCitation":"(Syarif &amp; Puspitasari, 2023)"},"properties":{"noteIndex":0},"schema":"https://github.com/citation-style-language/schema/raw/master/csl-citation.json"}</w:instrText>
      </w:r>
      <w:r w:rsidRPr="0052676B">
        <w:rPr>
          <w:rFonts w:ascii="Arial" w:hAnsi="Arial" w:cs="Arial"/>
          <w:sz w:val="20"/>
          <w:szCs w:val="20"/>
        </w:rPr>
        <w:fldChar w:fldCharType="separate"/>
      </w:r>
      <w:r w:rsidR="00C7515A" w:rsidRPr="00F77CF9">
        <w:rPr>
          <w:rFonts w:ascii="Arial" w:hAnsi="Arial" w:cs="Arial"/>
          <w:noProof/>
          <w:sz w:val="20"/>
          <w:szCs w:val="20"/>
        </w:rPr>
        <w:t>(Syarif &amp; Puspitasari, 2023)</w:t>
      </w:r>
      <w:r w:rsidRPr="0052676B">
        <w:rPr>
          <w:rFonts w:ascii="Arial" w:hAnsi="Arial" w:cs="Arial"/>
          <w:sz w:val="20"/>
          <w:szCs w:val="20"/>
        </w:rPr>
        <w:fldChar w:fldCharType="end"/>
      </w:r>
      <w:r w:rsidRPr="0052676B">
        <w:rPr>
          <w:rFonts w:ascii="Arial" w:hAnsi="Arial" w:cs="Arial"/>
          <w:sz w:val="20"/>
          <w:szCs w:val="20"/>
        </w:rPr>
        <w:t>.</w:t>
      </w:r>
    </w:p>
    <w:p w14:paraId="62238CB8" w14:textId="57FF8C27" w:rsidR="00F82598" w:rsidRPr="0052676B" w:rsidRDefault="00F82598" w:rsidP="0052676B">
      <w:pPr>
        <w:ind w:firstLine="720"/>
        <w:jc w:val="both"/>
        <w:rPr>
          <w:rFonts w:ascii="Arial" w:hAnsi="Arial" w:cs="Arial"/>
          <w:sz w:val="20"/>
          <w:szCs w:val="20"/>
        </w:rPr>
      </w:pPr>
      <w:r w:rsidRPr="0052676B">
        <w:rPr>
          <w:rFonts w:ascii="Arial" w:hAnsi="Arial" w:cs="Arial"/>
          <w:sz w:val="20"/>
          <w:szCs w:val="20"/>
        </w:rPr>
        <w:t xml:space="preserve">Finally, the comprehensive technical training embedded within a broader waste management framework provides a replicable model for other communities aiming to address inorganic waste challenges through innovation and entrepreneurship. The combination of skill development, creativity nurturing, and market-oriented product refinement contributes to building resilient community economies linked to sustainable environmental management </w:t>
      </w:r>
      <w:r w:rsidRPr="0052676B">
        <w:rPr>
          <w:rFonts w:ascii="Arial" w:hAnsi="Arial" w:cs="Arial"/>
          <w:sz w:val="20"/>
          <w:szCs w:val="20"/>
        </w:rPr>
        <w:fldChar w:fldCharType="begin" w:fldLock="1"/>
      </w:r>
      <w:r w:rsidR="00F16782">
        <w:rPr>
          <w:rFonts w:ascii="Arial" w:hAnsi="Arial" w:cs="Arial"/>
          <w:sz w:val="20"/>
          <w:szCs w:val="20"/>
        </w:rPr>
        <w:instrText>ADDIN CSL_CITATION {"citationItems":[{"id":"ITEM-1","itemData":{"DOI":"10.30741/eps.v7i2.1324","author":[{"dropping-particle":"","family":"Agatha","given":"M Y","non-dropping-particle":"","parse-names":false,"suffix":""},{"dropping-particle":"","family":"Najib","given":"A","non-dropping-particle":"","parse-names":false,"suffix":""},{"dropping-particle":"","family":"Avanda","given":"P A N","non-dropping-particle":"","parse-names":false,"suffix":""},{"dropping-particle":"","family":"Latifah","given":"L","non-dropping-particle":"","parse-names":false,"suffix":""},{"dropping-particle":"","family":"Ana","given":"S R","non-dropping-particle":"","parse-names":false,"suffix":""}],"container-title":"Empowerment Society","id":"ITEM-1","issue":"2","issued":{"date-parts":[["2024"]]},"page":"92-97","title":"Environmentally Friendly Educational Innovation Tool To Recognize Numbers from Inorganic Waste","type":"article-journal","volume":"7"},"uris":["http://www.mendeley.com/documents/?uuid=d0033798-e36f-4024-bf06-843b8c35603d"]}],"mendeley":{"formattedCitation":"(Agatha et al., 2024)","plainTextFormattedCitation":"(Agatha et al., 2024)","previouslyFormattedCitation":"(Agatha et al., 2024)"},"properties":{"noteIndex":0},"schema":"https://github.com/citation-style-language/schema/raw/master/csl-citation.json"}</w:instrText>
      </w:r>
      <w:r w:rsidRPr="0052676B">
        <w:rPr>
          <w:rFonts w:ascii="Arial" w:hAnsi="Arial" w:cs="Arial"/>
          <w:sz w:val="20"/>
          <w:szCs w:val="20"/>
        </w:rPr>
        <w:fldChar w:fldCharType="separate"/>
      </w:r>
      <w:r w:rsidR="00C7515A" w:rsidRPr="00C7515A">
        <w:rPr>
          <w:rFonts w:ascii="Arial" w:hAnsi="Arial" w:cs="Arial"/>
          <w:noProof/>
          <w:sz w:val="20"/>
          <w:szCs w:val="20"/>
        </w:rPr>
        <w:t>(Agatha et al., 2024)</w:t>
      </w:r>
      <w:r w:rsidRPr="0052676B">
        <w:rPr>
          <w:rFonts w:ascii="Arial" w:hAnsi="Arial" w:cs="Arial"/>
          <w:sz w:val="20"/>
          <w:szCs w:val="20"/>
        </w:rPr>
        <w:fldChar w:fldCharType="end"/>
      </w:r>
    </w:p>
    <w:p w14:paraId="17390D62" w14:textId="7E069533" w:rsidR="00183501" w:rsidRPr="0052676B" w:rsidRDefault="00183501" w:rsidP="0052676B">
      <w:pPr>
        <w:ind w:firstLine="720"/>
        <w:jc w:val="both"/>
        <w:rPr>
          <w:rFonts w:ascii="Arial" w:hAnsi="Arial" w:cs="Arial"/>
          <w:sz w:val="20"/>
          <w:szCs w:val="20"/>
        </w:rPr>
      </w:pPr>
      <w:r w:rsidRPr="00B64C4D">
        <w:rPr>
          <w:rFonts w:ascii="Arial" w:hAnsi="Arial" w:cs="Arial"/>
          <w:sz w:val="20"/>
          <w:szCs w:val="20"/>
        </w:rPr>
        <w:t>The drafting</w:t>
      </w:r>
      <w:r w:rsidRPr="0052676B">
        <w:rPr>
          <w:rFonts w:ascii="Arial" w:hAnsi="Arial" w:cs="Arial"/>
          <w:sz w:val="20"/>
          <w:szCs w:val="20"/>
        </w:rPr>
        <w:t xml:space="preserve"> of the Articles of Association and Bylaws (AD/ART) established a formal operational framework for the Waste Bank group, providing clear guidelines on governance, roles, and responsibilities. This formalization fostered transparency and accountability, which are critical for sustaining community-based organizations. Strengthening the managerial capacity of the Waste Bank leadership was a priority, with targeted training in administration, financial record-keeping, and distribution management of processed waste products</w:t>
      </w:r>
      <w:r w:rsidR="00F16782">
        <w:rPr>
          <w:rFonts w:ascii="Arial" w:hAnsi="Arial" w:cs="Arial"/>
          <w:sz w:val="20"/>
          <w:szCs w:val="20"/>
        </w:rPr>
        <w:t xml:space="preserve">. </w:t>
      </w:r>
      <w:r w:rsidRPr="0052676B">
        <w:rPr>
          <w:rFonts w:ascii="Arial" w:hAnsi="Arial" w:cs="Arial"/>
          <w:sz w:val="20"/>
          <w:szCs w:val="20"/>
        </w:rPr>
        <w:t xml:space="preserve">Such capacity building enhances </w:t>
      </w:r>
      <w:proofErr w:type="spellStart"/>
      <w:r w:rsidRPr="0052676B">
        <w:rPr>
          <w:rFonts w:ascii="Arial" w:hAnsi="Arial" w:cs="Arial"/>
          <w:sz w:val="20"/>
          <w:szCs w:val="20"/>
        </w:rPr>
        <w:t>organi</w:t>
      </w:r>
      <w:r w:rsidR="00C13682" w:rsidRPr="0052676B">
        <w:rPr>
          <w:rFonts w:ascii="Arial" w:hAnsi="Arial" w:cs="Arial"/>
          <w:sz w:val="20"/>
          <w:szCs w:val="20"/>
        </w:rPr>
        <w:t>s</w:t>
      </w:r>
      <w:r w:rsidRPr="0052676B">
        <w:rPr>
          <w:rFonts w:ascii="Arial" w:hAnsi="Arial" w:cs="Arial"/>
          <w:sz w:val="20"/>
          <w:szCs w:val="20"/>
        </w:rPr>
        <w:t>ational</w:t>
      </w:r>
      <w:proofErr w:type="spellEnd"/>
      <w:r w:rsidRPr="0052676B">
        <w:rPr>
          <w:rFonts w:ascii="Arial" w:hAnsi="Arial" w:cs="Arial"/>
          <w:sz w:val="20"/>
          <w:szCs w:val="20"/>
        </w:rPr>
        <w:t xml:space="preserve"> resilience and operational effectiveness.</w:t>
      </w:r>
    </w:p>
    <w:p w14:paraId="10E28AE8" w14:textId="6CD14905" w:rsidR="00183501" w:rsidRPr="0052676B" w:rsidRDefault="00183501" w:rsidP="0052676B">
      <w:pPr>
        <w:ind w:firstLine="720"/>
        <w:jc w:val="both"/>
        <w:rPr>
          <w:rFonts w:ascii="Arial" w:hAnsi="Arial" w:cs="Arial"/>
          <w:sz w:val="20"/>
          <w:szCs w:val="20"/>
        </w:rPr>
      </w:pPr>
      <w:r w:rsidRPr="0052676B">
        <w:rPr>
          <w:rFonts w:ascii="Arial" w:hAnsi="Arial" w:cs="Arial"/>
          <w:sz w:val="20"/>
          <w:szCs w:val="20"/>
        </w:rPr>
        <w:t xml:space="preserve">Inorganic waste management demands not only technical capacity but also robust </w:t>
      </w:r>
      <w:proofErr w:type="spellStart"/>
      <w:r w:rsidRPr="0052676B">
        <w:rPr>
          <w:rFonts w:ascii="Arial" w:hAnsi="Arial" w:cs="Arial"/>
          <w:sz w:val="20"/>
          <w:szCs w:val="20"/>
        </w:rPr>
        <w:t>organi</w:t>
      </w:r>
      <w:r w:rsidR="00C13682" w:rsidRPr="0052676B">
        <w:rPr>
          <w:rFonts w:ascii="Arial" w:hAnsi="Arial" w:cs="Arial"/>
          <w:sz w:val="20"/>
          <w:szCs w:val="20"/>
        </w:rPr>
        <w:t>s</w:t>
      </w:r>
      <w:r w:rsidRPr="0052676B">
        <w:rPr>
          <w:rFonts w:ascii="Arial" w:hAnsi="Arial" w:cs="Arial"/>
          <w:sz w:val="20"/>
          <w:szCs w:val="20"/>
        </w:rPr>
        <w:t>ational</w:t>
      </w:r>
      <w:proofErr w:type="spellEnd"/>
      <w:r w:rsidRPr="0052676B">
        <w:rPr>
          <w:rFonts w:ascii="Arial" w:hAnsi="Arial" w:cs="Arial"/>
          <w:sz w:val="20"/>
          <w:szCs w:val="20"/>
        </w:rPr>
        <w:t xml:space="preserve"> structures</w:t>
      </w:r>
      <w:r w:rsidR="00B63B2B" w:rsidRPr="0052676B">
        <w:rPr>
          <w:rFonts w:ascii="Arial" w:hAnsi="Arial" w:cs="Arial"/>
          <w:sz w:val="20"/>
          <w:szCs w:val="20"/>
        </w:rPr>
        <w:t xml:space="preserve"> </w:t>
      </w:r>
      <w:r w:rsidR="00C13682" w:rsidRPr="0052676B">
        <w:rPr>
          <w:rFonts w:ascii="Arial" w:hAnsi="Arial" w:cs="Arial"/>
          <w:sz w:val="20"/>
          <w:szCs w:val="20"/>
        </w:rPr>
        <w:fldChar w:fldCharType="begin" w:fldLock="1"/>
      </w:r>
      <w:r w:rsidR="00F77CF9">
        <w:rPr>
          <w:rFonts w:ascii="Arial" w:hAnsi="Arial" w:cs="Arial"/>
          <w:sz w:val="20"/>
          <w:szCs w:val="20"/>
        </w:rPr>
        <w:instrText>ADDIN CSL_CITATION {"citationItems":[{"id":"ITEM-1","itemData":{"DOI":"https://doi.org/10.47616/jamrems.v5i3.529","author":[{"dropping-particle":"","family":"Ridwan","given":"","non-dropping-particle":"","parse-names":false,"suffix":""},{"dropping-particle":"","family":"Wijaya","given":"I Made Aldy","non-dropping-particle":"","parse-names":false,"suffix":""}],"container-title":"Journal of Asian Multicultural Research for Economy and Management Study","id":"ITEM-1","issue":"5","issued":{"date-parts":[["2024"]]},"page":"79-91","title":"Community Empowerment in Waste Management through the Pede Message Program in Cemenggaon Traditional Village, Gianyar Regency, Bali Province","type":"article-journal","volume":"5"},"uris":["http://www.mendeley.com/documents/?uuid=274fdf20-ccd9-4718-85fe-c561739029f7"]}],"mendeley":{"formattedCitation":"(Ridwan &amp; Wijaya, 2024)","plainTextFormattedCitation":"(Ridwan &amp; Wijaya, 2024)","previouslyFormattedCitation":"(Ridwan &amp; Wijaya, 2024)"},"properties":{"noteIndex":0},"schema":"https://github.com/citation-style-language/schema/raw/master/csl-citation.json"}</w:instrText>
      </w:r>
      <w:r w:rsidR="00C13682" w:rsidRPr="0052676B">
        <w:rPr>
          <w:rFonts w:ascii="Arial" w:hAnsi="Arial" w:cs="Arial"/>
          <w:sz w:val="20"/>
          <w:szCs w:val="20"/>
        </w:rPr>
        <w:fldChar w:fldCharType="separate"/>
      </w:r>
      <w:r w:rsidR="00C7515A" w:rsidRPr="00D31484">
        <w:rPr>
          <w:rFonts w:ascii="Arial" w:hAnsi="Arial" w:cs="Arial"/>
          <w:noProof/>
          <w:sz w:val="20"/>
          <w:szCs w:val="20"/>
        </w:rPr>
        <w:t>(Ridwan &amp; Wijaya, 2024)</w:t>
      </w:r>
      <w:r w:rsidR="00C13682" w:rsidRPr="0052676B">
        <w:rPr>
          <w:rFonts w:ascii="Arial" w:hAnsi="Arial" w:cs="Arial"/>
          <w:sz w:val="20"/>
          <w:szCs w:val="20"/>
        </w:rPr>
        <w:fldChar w:fldCharType="end"/>
      </w:r>
      <w:r w:rsidR="00B63B2B" w:rsidRPr="0052676B">
        <w:rPr>
          <w:rFonts w:ascii="Arial" w:hAnsi="Arial" w:cs="Arial"/>
          <w:sz w:val="20"/>
          <w:szCs w:val="20"/>
        </w:rPr>
        <w:t>.</w:t>
      </w:r>
      <w:r w:rsidRPr="0052676B">
        <w:rPr>
          <w:rFonts w:ascii="Arial" w:hAnsi="Arial" w:cs="Arial"/>
          <w:sz w:val="20"/>
          <w:szCs w:val="20"/>
        </w:rPr>
        <w:t xml:space="preserve"> Research indicates that groups with </w:t>
      </w:r>
      <w:proofErr w:type="spellStart"/>
      <w:r w:rsidRPr="0052676B">
        <w:rPr>
          <w:rFonts w:ascii="Arial" w:hAnsi="Arial" w:cs="Arial"/>
          <w:sz w:val="20"/>
          <w:szCs w:val="20"/>
        </w:rPr>
        <w:t>formali</w:t>
      </w:r>
      <w:r w:rsidR="00C13682" w:rsidRPr="0052676B">
        <w:rPr>
          <w:rFonts w:ascii="Arial" w:hAnsi="Arial" w:cs="Arial"/>
          <w:sz w:val="20"/>
          <w:szCs w:val="20"/>
        </w:rPr>
        <w:t>s</w:t>
      </w:r>
      <w:r w:rsidRPr="0052676B">
        <w:rPr>
          <w:rFonts w:ascii="Arial" w:hAnsi="Arial" w:cs="Arial"/>
          <w:sz w:val="20"/>
          <w:szCs w:val="20"/>
        </w:rPr>
        <w:t>ed</w:t>
      </w:r>
      <w:proofErr w:type="spellEnd"/>
      <w:r w:rsidRPr="0052676B">
        <w:rPr>
          <w:rFonts w:ascii="Arial" w:hAnsi="Arial" w:cs="Arial"/>
          <w:sz w:val="20"/>
          <w:szCs w:val="20"/>
        </w:rPr>
        <w:t xml:space="preserve"> governance and financial procedures tend to sustain their initiatives longer and achieve higher socio-environmental impact. The Waste Bank's internal regulations helped clarify operational workflows and delineated member roles in waste collection, segregation, processing, and marketing, reducing inefficiencies and promoting teamwork.</w:t>
      </w:r>
    </w:p>
    <w:p w14:paraId="0236A919" w14:textId="5EE15949" w:rsidR="00183501" w:rsidRPr="0052676B" w:rsidRDefault="00183501" w:rsidP="0052676B">
      <w:pPr>
        <w:ind w:firstLine="720"/>
        <w:jc w:val="both"/>
        <w:rPr>
          <w:rFonts w:ascii="Arial" w:hAnsi="Arial" w:cs="Arial"/>
          <w:sz w:val="20"/>
          <w:szCs w:val="20"/>
        </w:rPr>
      </w:pPr>
      <w:r w:rsidRPr="0052676B">
        <w:rPr>
          <w:rFonts w:ascii="Arial" w:hAnsi="Arial" w:cs="Arial"/>
          <w:sz w:val="20"/>
          <w:szCs w:val="20"/>
        </w:rPr>
        <w:t>Moreover, the program fostered greater community engagement by demonstrating tangible economic benefits from waste processing activities. The development of marketable products from inorganic waste aligns with principles of the circular economy, turning waste streams into resources and generating income opportunities at the grassroots level</w:t>
      </w:r>
      <w:r w:rsidR="00B63B2B" w:rsidRPr="0052676B">
        <w:rPr>
          <w:rFonts w:ascii="Arial" w:hAnsi="Arial" w:cs="Arial"/>
          <w:sz w:val="20"/>
          <w:szCs w:val="20"/>
        </w:rPr>
        <w:t xml:space="preserve"> </w:t>
      </w:r>
      <w:r w:rsidR="00B63B2B" w:rsidRPr="0052676B">
        <w:rPr>
          <w:rFonts w:ascii="Arial" w:hAnsi="Arial" w:cs="Arial"/>
          <w:sz w:val="20"/>
          <w:szCs w:val="20"/>
        </w:rPr>
        <w:fldChar w:fldCharType="begin" w:fldLock="1"/>
      </w:r>
      <w:r w:rsidR="00F16782">
        <w:rPr>
          <w:rFonts w:ascii="Arial" w:hAnsi="Arial" w:cs="Arial"/>
          <w:sz w:val="20"/>
          <w:szCs w:val="20"/>
        </w:rPr>
        <w:instrText>ADDIN CSL_CITATION {"citationItems":[{"id":"ITEM-1","itemData":{"author":[{"dropping-particle":"","family":"Budha, I. K., Wahyuni, P. I., &amp; Aryastana","given":"P.","non-dropping-particle":"","parse-names":false,"suffix":""}],"container-title":"Jurnal Ilmiah Teknik Elektro, Sipil dan Teknik Informasi,","id":"ITEM-1","issue":"2","issued":{"date-parts":[["2020"]]},"page":"158-172.","title":"Transformasi Lingkungan dan Pengelolaan Persampahan di Kota Denpasar: Kajian Efektifitas Tempat Pengelolaan Sampah Terpadu (TPST).","type":"article-journal","volume":"5"},"uris":["http://www.mendeley.com/documents/?uuid=dff106f5-1970-4103-a2db-faf3fd1be7a4"]}],"mendeley":{"formattedCitation":"(Budha, I. K., Wahyuni, P. I., &amp; Aryastana, 2020)","manualFormatting":"(Budha, I.K., Wahyuni, P. I., &amp; Aryastana, 2020)","plainTextFormattedCitation":"(Budha, I. K., Wahyuni, P. I., &amp; Aryastana, 2020)","previouslyFormattedCitation":"(Budha, I. K., Wahyuni, P. I., &amp; Aryastana, 2020)"},"properties":{"noteIndex":0},"schema":"https://github.com/citation-style-language/schema/raw/master/csl-citation.json"}</w:instrText>
      </w:r>
      <w:r w:rsidR="00B63B2B" w:rsidRPr="0052676B">
        <w:rPr>
          <w:rFonts w:ascii="Arial" w:hAnsi="Arial" w:cs="Arial"/>
          <w:sz w:val="20"/>
          <w:szCs w:val="20"/>
        </w:rPr>
        <w:fldChar w:fldCharType="separate"/>
      </w:r>
      <w:r w:rsidR="00C7515A" w:rsidRPr="00C7515A">
        <w:rPr>
          <w:rFonts w:ascii="Arial" w:hAnsi="Arial" w:cs="Arial"/>
          <w:noProof/>
          <w:sz w:val="20"/>
          <w:szCs w:val="20"/>
        </w:rPr>
        <w:t xml:space="preserve">(Budha, </w:t>
      </w:r>
      <w:r w:rsidR="00F16782">
        <w:rPr>
          <w:rFonts w:ascii="Arial" w:hAnsi="Arial" w:cs="Arial"/>
          <w:noProof/>
          <w:sz w:val="20"/>
          <w:szCs w:val="20"/>
        </w:rPr>
        <w:t>I.K.</w:t>
      </w:r>
      <w:r w:rsidR="00C7515A" w:rsidRPr="00C7515A">
        <w:rPr>
          <w:rFonts w:ascii="Arial" w:hAnsi="Arial" w:cs="Arial"/>
          <w:noProof/>
          <w:sz w:val="20"/>
          <w:szCs w:val="20"/>
        </w:rPr>
        <w:t>, Wahyuni, P. I., &amp; Aryastana, 2020)</w:t>
      </w:r>
      <w:r w:rsidR="00B63B2B" w:rsidRPr="0052676B">
        <w:rPr>
          <w:rFonts w:ascii="Arial" w:hAnsi="Arial" w:cs="Arial"/>
          <w:sz w:val="20"/>
          <w:szCs w:val="20"/>
        </w:rPr>
        <w:fldChar w:fldCharType="end"/>
      </w:r>
      <w:r w:rsidRPr="0052676B">
        <w:rPr>
          <w:rFonts w:ascii="Arial" w:hAnsi="Arial" w:cs="Arial"/>
          <w:sz w:val="20"/>
          <w:szCs w:val="20"/>
        </w:rPr>
        <w:t xml:space="preserve">. Early </w:t>
      </w:r>
      <w:proofErr w:type="spellStart"/>
      <w:r w:rsidRPr="0052676B">
        <w:rPr>
          <w:rFonts w:ascii="Arial" w:hAnsi="Arial" w:cs="Arial"/>
          <w:sz w:val="20"/>
          <w:szCs w:val="20"/>
        </w:rPr>
        <w:t>commerciali</w:t>
      </w:r>
      <w:r w:rsidR="00C13682" w:rsidRPr="0052676B">
        <w:rPr>
          <w:rFonts w:ascii="Arial" w:hAnsi="Arial" w:cs="Arial"/>
          <w:sz w:val="20"/>
          <w:szCs w:val="20"/>
        </w:rPr>
        <w:t>s</w:t>
      </w:r>
      <w:r w:rsidRPr="0052676B">
        <w:rPr>
          <w:rFonts w:ascii="Arial" w:hAnsi="Arial" w:cs="Arial"/>
          <w:sz w:val="20"/>
          <w:szCs w:val="20"/>
        </w:rPr>
        <w:t>ation</w:t>
      </w:r>
      <w:proofErr w:type="spellEnd"/>
      <w:r w:rsidRPr="0052676B">
        <w:rPr>
          <w:rFonts w:ascii="Arial" w:hAnsi="Arial" w:cs="Arial"/>
          <w:sz w:val="20"/>
          <w:szCs w:val="20"/>
        </w:rPr>
        <w:t xml:space="preserve"> of product prototypes not only </w:t>
      </w:r>
      <w:proofErr w:type="spellStart"/>
      <w:r w:rsidRPr="0052676B">
        <w:rPr>
          <w:rFonts w:ascii="Arial" w:hAnsi="Arial" w:cs="Arial"/>
          <w:sz w:val="20"/>
          <w:szCs w:val="20"/>
        </w:rPr>
        <w:t>incentivi</w:t>
      </w:r>
      <w:r w:rsidR="00C13682" w:rsidRPr="0052676B">
        <w:rPr>
          <w:rFonts w:ascii="Arial" w:hAnsi="Arial" w:cs="Arial"/>
          <w:sz w:val="20"/>
          <w:szCs w:val="20"/>
        </w:rPr>
        <w:t>s</w:t>
      </w:r>
      <w:r w:rsidRPr="0052676B">
        <w:rPr>
          <w:rFonts w:ascii="Arial" w:hAnsi="Arial" w:cs="Arial"/>
          <w:sz w:val="20"/>
          <w:szCs w:val="20"/>
        </w:rPr>
        <w:t>ed</w:t>
      </w:r>
      <w:proofErr w:type="spellEnd"/>
      <w:r w:rsidRPr="0052676B">
        <w:rPr>
          <w:rFonts w:ascii="Arial" w:hAnsi="Arial" w:cs="Arial"/>
          <w:sz w:val="20"/>
          <w:szCs w:val="20"/>
        </w:rPr>
        <w:t xml:space="preserve"> participation but also contributed to local livelihoods, </w:t>
      </w:r>
      <w:proofErr w:type="spellStart"/>
      <w:r w:rsidRPr="0052676B">
        <w:rPr>
          <w:rFonts w:ascii="Arial" w:hAnsi="Arial" w:cs="Arial"/>
          <w:sz w:val="20"/>
          <w:szCs w:val="20"/>
        </w:rPr>
        <w:t>signa</w:t>
      </w:r>
      <w:r w:rsidR="00C13682" w:rsidRPr="0052676B">
        <w:rPr>
          <w:rFonts w:ascii="Arial" w:hAnsi="Arial" w:cs="Arial"/>
          <w:sz w:val="20"/>
          <w:szCs w:val="20"/>
        </w:rPr>
        <w:t>l</w:t>
      </w:r>
      <w:r w:rsidRPr="0052676B">
        <w:rPr>
          <w:rFonts w:ascii="Arial" w:hAnsi="Arial" w:cs="Arial"/>
          <w:sz w:val="20"/>
          <w:szCs w:val="20"/>
        </w:rPr>
        <w:t>ling</w:t>
      </w:r>
      <w:proofErr w:type="spellEnd"/>
      <w:r w:rsidRPr="0052676B">
        <w:rPr>
          <w:rFonts w:ascii="Arial" w:hAnsi="Arial" w:cs="Arial"/>
          <w:sz w:val="20"/>
          <w:szCs w:val="20"/>
        </w:rPr>
        <w:t xml:space="preserve"> a promising path toward sustainable social entrepreneurship.</w:t>
      </w:r>
    </w:p>
    <w:p w14:paraId="3EC01682" w14:textId="6E184B3E" w:rsidR="00183501" w:rsidRPr="0052676B" w:rsidRDefault="00183501" w:rsidP="0052676B">
      <w:pPr>
        <w:ind w:firstLine="720"/>
        <w:jc w:val="both"/>
        <w:rPr>
          <w:rFonts w:ascii="Arial" w:hAnsi="Arial" w:cs="Arial"/>
          <w:sz w:val="20"/>
          <w:szCs w:val="20"/>
        </w:rPr>
      </w:pPr>
      <w:r w:rsidRPr="0052676B">
        <w:rPr>
          <w:rFonts w:ascii="Arial" w:hAnsi="Arial" w:cs="Arial"/>
          <w:sz w:val="20"/>
          <w:szCs w:val="20"/>
        </w:rPr>
        <w:lastRenderedPageBreak/>
        <w:t xml:space="preserve">Finally, the Waste Bank’s strengthened institutional capacity has facilitated partnerships with local government bodies and academic institutions, ensuring ongoing mentorship and resource support. Collaborative networks are essential for scaling waste management programs beyond pilot phases and enhancing policy integration. Continued institutional engagement is expected </w:t>
      </w:r>
      <w:r w:rsidR="00C13682" w:rsidRPr="0052676B">
        <w:rPr>
          <w:rFonts w:ascii="Arial" w:hAnsi="Arial" w:cs="Arial"/>
          <w:sz w:val="20"/>
          <w:szCs w:val="20"/>
        </w:rPr>
        <w:t>to professionalize the Waste Bank operations further</w:t>
      </w:r>
      <w:r w:rsidRPr="0052676B">
        <w:rPr>
          <w:rFonts w:ascii="Arial" w:hAnsi="Arial" w:cs="Arial"/>
          <w:sz w:val="20"/>
          <w:szCs w:val="20"/>
        </w:rPr>
        <w:t>, expand market access for recycled products, and amplify environmental benefits</w:t>
      </w:r>
    </w:p>
    <w:p w14:paraId="5BA644FE" w14:textId="4C499F30" w:rsidR="00F75715" w:rsidRPr="0052676B" w:rsidRDefault="00F75715" w:rsidP="0052676B">
      <w:pPr>
        <w:ind w:firstLine="720"/>
        <w:jc w:val="both"/>
        <w:rPr>
          <w:rFonts w:ascii="Arial" w:hAnsi="Arial" w:cs="Arial"/>
          <w:sz w:val="20"/>
          <w:szCs w:val="20"/>
        </w:rPr>
      </w:pPr>
      <w:r w:rsidRPr="0052676B">
        <w:rPr>
          <w:rFonts w:ascii="Arial" w:hAnsi="Arial" w:cs="Arial"/>
          <w:sz w:val="20"/>
          <w:szCs w:val="20"/>
        </w:rPr>
        <w:t xml:space="preserve">Evaluation results indicate an increase in the active participation of Waste Bank members compared to the pre-program period. The community has begun adopting household-level waste segregation before depositing it at the Waste Bank. The Dusun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Waste Bank now has a clearer strategic direction to enhance economic benefits while maintaining environmental sustainability.</w:t>
      </w:r>
    </w:p>
    <w:p w14:paraId="00EE2377" w14:textId="24B2F4B2" w:rsidR="00F75715" w:rsidRPr="0052676B" w:rsidRDefault="00F75715" w:rsidP="0052676B">
      <w:pPr>
        <w:ind w:firstLine="720"/>
        <w:jc w:val="both"/>
        <w:rPr>
          <w:rFonts w:ascii="Arial" w:hAnsi="Arial" w:cs="Arial"/>
          <w:sz w:val="20"/>
          <w:szCs w:val="20"/>
        </w:rPr>
      </w:pPr>
      <w:r w:rsidRPr="0052676B">
        <w:rPr>
          <w:rFonts w:ascii="Arial" w:hAnsi="Arial" w:cs="Arial"/>
          <w:sz w:val="20"/>
          <w:szCs w:val="20"/>
        </w:rPr>
        <w:t>Beyond these primary achievements, the program has successfully encouraged a shift in community perceptions toward waste, particularly inorganic waste</w:t>
      </w:r>
      <w:r w:rsidR="007427C4" w:rsidRPr="0052676B">
        <w:rPr>
          <w:rFonts w:ascii="Arial" w:hAnsi="Arial" w:cs="Arial"/>
          <w:sz w:val="20"/>
          <w:szCs w:val="20"/>
        </w:rPr>
        <w:t xml:space="preserve"> </w:t>
      </w:r>
      <w:r w:rsidR="007427C4" w:rsidRPr="0052676B">
        <w:rPr>
          <w:rFonts w:ascii="Arial" w:hAnsi="Arial" w:cs="Arial"/>
          <w:sz w:val="20"/>
          <w:szCs w:val="20"/>
        </w:rPr>
        <w:fldChar w:fldCharType="begin" w:fldLock="1"/>
      </w:r>
      <w:r w:rsidR="00E929C3">
        <w:rPr>
          <w:rFonts w:ascii="Arial" w:hAnsi="Arial" w:cs="Arial"/>
          <w:sz w:val="20"/>
          <w:szCs w:val="20"/>
        </w:rPr>
        <w:instrText>ADDIN CSL_CITATION {"citationItems":[{"id":"ITEM-1","itemData":{"DOI":"10.30862/casssowary.cs.v5.i1.96","author":[{"dropping-particle":"","family":"Adii, A., Lekitoo, M. N., &amp; Lisangan","given":"M. M.","non-dropping-particle":"","parse-names":false,"suffix":""}],"container-title":"Cassowary","id":"ITEM-1","issue":"1","issued":{"date-parts":[["2022"]]},"page":"81-86","title":"Peran serta masyarakat mereduksi sampah anorganik melalui Bank Sampah di Distrik Malaimsimsa Kota Sorong","type":"article-journal","volume":"5"},"uris":["http://www.mendeley.com/documents/?uuid=8259f70f-7926-4ea5-ae5e-854ebf390042"]}],"mendeley":{"formattedCitation":"(Adii, A., Lekitoo, M. N., &amp; Lisangan, 2022)","plainTextFormattedCitation":"(Adii, A., Lekitoo, M. N., &amp; Lisangan, 2022)"},"properties":{"noteIndex":0},"schema":"https://github.com/citation-style-language/schema/raw/master/csl-citation.json"}</w:instrText>
      </w:r>
      <w:r w:rsidR="007427C4" w:rsidRPr="0052676B">
        <w:rPr>
          <w:rFonts w:ascii="Arial" w:hAnsi="Arial" w:cs="Arial"/>
          <w:sz w:val="20"/>
          <w:szCs w:val="20"/>
        </w:rPr>
        <w:fldChar w:fldCharType="separate"/>
      </w:r>
      <w:r w:rsidR="00C7515A" w:rsidRPr="00E929C3">
        <w:rPr>
          <w:rFonts w:ascii="Arial" w:hAnsi="Arial" w:cs="Arial"/>
          <w:noProof/>
          <w:sz w:val="20"/>
          <w:szCs w:val="20"/>
        </w:rPr>
        <w:t>(Adii, A., Lekitoo, M. N., &amp; Lisangan, 2022)</w:t>
      </w:r>
      <w:r w:rsidR="007427C4" w:rsidRPr="0052676B">
        <w:rPr>
          <w:rFonts w:ascii="Arial" w:hAnsi="Arial" w:cs="Arial"/>
          <w:sz w:val="20"/>
          <w:szCs w:val="20"/>
        </w:rPr>
        <w:fldChar w:fldCharType="end"/>
      </w:r>
      <w:r w:rsidRPr="0052676B">
        <w:rPr>
          <w:rFonts w:ascii="Arial" w:hAnsi="Arial" w:cs="Arial"/>
          <w:sz w:val="20"/>
          <w:szCs w:val="20"/>
        </w:rPr>
        <w:t xml:space="preserve">. </w:t>
      </w:r>
      <w:r w:rsidR="00C13682" w:rsidRPr="0052676B">
        <w:rPr>
          <w:rFonts w:ascii="Arial" w:hAnsi="Arial" w:cs="Arial"/>
          <w:sz w:val="20"/>
          <w:szCs w:val="20"/>
        </w:rPr>
        <w:t>Before</w:t>
      </w:r>
      <w:r w:rsidRPr="0052676B">
        <w:rPr>
          <w:rFonts w:ascii="Arial" w:hAnsi="Arial" w:cs="Arial"/>
          <w:sz w:val="20"/>
          <w:szCs w:val="20"/>
        </w:rPr>
        <w:t xml:space="preserve"> the program, most residents regarded inorganic waste merely as useless refuse. Following socialization and training activities, many have </w:t>
      </w:r>
      <w:r w:rsidR="00C13682" w:rsidRPr="0052676B">
        <w:rPr>
          <w:rFonts w:ascii="Arial" w:hAnsi="Arial" w:cs="Arial"/>
          <w:sz w:val="20"/>
          <w:szCs w:val="20"/>
        </w:rPr>
        <w:t>begun to recognize waste as a resource that can be transformed into useful items,</w:t>
      </w:r>
      <w:r w:rsidRPr="0052676B">
        <w:rPr>
          <w:rFonts w:ascii="Arial" w:hAnsi="Arial" w:cs="Arial"/>
          <w:sz w:val="20"/>
          <w:szCs w:val="20"/>
        </w:rPr>
        <w:t xml:space="preserve"> providing economic value.</w:t>
      </w:r>
    </w:p>
    <w:p w14:paraId="24376054" w14:textId="55D269C3" w:rsidR="00F75715" w:rsidRPr="0052676B" w:rsidRDefault="00F75715" w:rsidP="0052676B">
      <w:pPr>
        <w:ind w:firstLine="720"/>
        <w:jc w:val="both"/>
        <w:rPr>
          <w:rFonts w:ascii="Arial" w:hAnsi="Arial" w:cs="Arial"/>
          <w:sz w:val="20"/>
          <w:szCs w:val="20"/>
        </w:rPr>
      </w:pPr>
      <w:r w:rsidRPr="0052676B">
        <w:rPr>
          <w:rFonts w:ascii="Arial" w:hAnsi="Arial" w:cs="Arial"/>
          <w:sz w:val="20"/>
          <w:szCs w:val="20"/>
        </w:rPr>
        <w:t xml:space="preserve">The program also fostered stronger internal coordination among the Waste Bank’s management team. Through focus group discussions (FGDs) and mentoring sessions, each member’s role in waste collection, segregation, processing, and product marketing has become more clearly defined. This structured workflow is expected to </w:t>
      </w:r>
      <w:proofErr w:type="spellStart"/>
      <w:r w:rsidRPr="0052676B">
        <w:rPr>
          <w:rFonts w:ascii="Arial" w:hAnsi="Arial" w:cs="Arial"/>
          <w:sz w:val="20"/>
          <w:szCs w:val="20"/>
        </w:rPr>
        <w:t>minimi</w:t>
      </w:r>
      <w:r w:rsidR="00C13682" w:rsidRPr="0052676B">
        <w:rPr>
          <w:rFonts w:ascii="Arial" w:hAnsi="Arial" w:cs="Arial"/>
          <w:sz w:val="20"/>
          <w:szCs w:val="20"/>
        </w:rPr>
        <w:t>s</w:t>
      </w:r>
      <w:r w:rsidRPr="0052676B">
        <w:rPr>
          <w:rFonts w:ascii="Arial" w:hAnsi="Arial" w:cs="Arial"/>
          <w:sz w:val="20"/>
          <w:szCs w:val="20"/>
        </w:rPr>
        <w:t>e</w:t>
      </w:r>
      <w:proofErr w:type="spellEnd"/>
      <w:r w:rsidRPr="0052676B">
        <w:rPr>
          <w:rFonts w:ascii="Arial" w:hAnsi="Arial" w:cs="Arial"/>
          <w:sz w:val="20"/>
          <w:szCs w:val="20"/>
        </w:rPr>
        <w:t xml:space="preserve"> operational challenges that previously arose from ineffective </w:t>
      </w:r>
      <w:r w:rsidRPr="00B64C4D">
        <w:rPr>
          <w:rFonts w:ascii="Arial" w:hAnsi="Arial" w:cs="Arial"/>
          <w:sz w:val="20"/>
          <w:szCs w:val="20"/>
        </w:rPr>
        <w:t>task allocation</w:t>
      </w:r>
      <w:r w:rsidR="007427C4" w:rsidRPr="00B64C4D">
        <w:rPr>
          <w:rFonts w:ascii="Arial" w:hAnsi="Arial" w:cs="Arial"/>
          <w:sz w:val="20"/>
          <w:szCs w:val="20"/>
        </w:rPr>
        <w:t>.</w:t>
      </w:r>
    </w:p>
    <w:p w14:paraId="66A64B01" w14:textId="52A952A6" w:rsidR="00684E1C" w:rsidRPr="0052676B" w:rsidRDefault="00684E1C" w:rsidP="0052676B">
      <w:pPr>
        <w:ind w:firstLine="720"/>
        <w:jc w:val="both"/>
        <w:rPr>
          <w:rFonts w:ascii="Arial" w:hAnsi="Arial" w:cs="Arial"/>
          <w:sz w:val="20"/>
          <w:szCs w:val="20"/>
        </w:rPr>
      </w:pPr>
      <w:r w:rsidRPr="0052676B">
        <w:rPr>
          <w:rFonts w:ascii="Arial" w:hAnsi="Arial" w:cs="Arial"/>
          <w:sz w:val="20"/>
          <w:szCs w:val="20"/>
        </w:rPr>
        <w:t xml:space="preserve">Furthermore, the application of participatory tools like focus group discussions (FGDs) and tailored mentoring sessions created an inclusive environment for knowledge exchange and continuous learning. This engagement mechanism not only consolidated individual competencies but also nurtured a culture of collaborative problem-solving. Such an approach aligns with contemporary organizational behavior theories, which emphasize the importance of communication and social interaction in enhancing team performance </w:t>
      </w:r>
      <w:r w:rsidR="00F82598" w:rsidRPr="0052676B">
        <w:rPr>
          <w:rFonts w:ascii="Arial" w:hAnsi="Arial" w:cs="Arial"/>
          <w:sz w:val="20"/>
          <w:szCs w:val="20"/>
        </w:rPr>
        <w:fldChar w:fldCharType="begin" w:fldLock="1"/>
      </w:r>
      <w:r w:rsidR="00F16782">
        <w:rPr>
          <w:rFonts w:ascii="Arial" w:hAnsi="Arial" w:cs="Arial"/>
          <w:sz w:val="20"/>
          <w:szCs w:val="20"/>
        </w:rPr>
        <w:instrText>ADDIN CSL_CITATION {"citationItems":[{"id":"ITEM-1","itemData":{"DOI":"10.1037/a0039418","author":[{"dropping-particle":"","family":"Salas","given":"E","non-dropping-particle":"","parse-names":false,"suffix":""},{"dropping-particle":"","family":"Reyes","given":"D L","non-dropping-particle":"","parse-names":false,"suffix":""},{"dropping-particle":"","family":"McDaniel","given":"S H","non-dropping-particle":"","parse-names":false,"suffix":""}],"container-title":"American Psychologist","id":"ITEM-1","issue":"6","issued":{"date-parts":[["2015"]]},"page":"600-620","title":"The science of teamwork: progress, reflections, and the road ahead","type":"article-journal","volume":"70"},"uris":["http://www.mendeley.com/documents/?uuid=896d072e-1872-4a44-9eef-eb5339c6dfd7"]}],"mendeley":{"formattedCitation":"(Salas et al., 2015)","plainTextFormattedCitation":"(Salas et al., 2015)","previouslyFormattedCitation":"(Salas et al., 2015)"},"properties":{"noteIndex":0},"schema":"https://github.com/citation-style-language/schema/raw/master/csl-citation.json"}</w:instrText>
      </w:r>
      <w:r w:rsidR="00F82598" w:rsidRPr="0052676B">
        <w:rPr>
          <w:rFonts w:ascii="Arial" w:hAnsi="Arial" w:cs="Arial"/>
          <w:sz w:val="20"/>
          <w:szCs w:val="20"/>
        </w:rPr>
        <w:fldChar w:fldCharType="separate"/>
      </w:r>
      <w:r w:rsidR="00C7515A" w:rsidRPr="00C7515A">
        <w:rPr>
          <w:rFonts w:ascii="Arial" w:hAnsi="Arial" w:cs="Arial"/>
          <w:noProof/>
          <w:sz w:val="20"/>
          <w:szCs w:val="20"/>
        </w:rPr>
        <w:t>(Salas et al., 2015)</w:t>
      </w:r>
      <w:r w:rsidR="00F82598" w:rsidRPr="0052676B">
        <w:rPr>
          <w:rFonts w:ascii="Arial" w:hAnsi="Arial" w:cs="Arial"/>
          <w:sz w:val="20"/>
          <w:szCs w:val="20"/>
        </w:rPr>
        <w:fldChar w:fldCharType="end"/>
      </w:r>
      <w:r w:rsidRPr="0052676B">
        <w:rPr>
          <w:rFonts w:ascii="Arial" w:hAnsi="Arial" w:cs="Arial"/>
          <w:sz w:val="20"/>
          <w:szCs w:val="20"/>
        </w:rPr>
        <w:t>.</w:t>
      </w:r>
    </w:p>
    <w:p w14:paraId="30C8D389" w14:textId="28FFF27E" w:rsidR="00684E1C" w:rsidRPr="0052676B" w:rsidRDefault="00684E1C" w:rsidP="0052676B">
      <w:pPr>
        <w:ind w:firstLine="720"/>
        <w:jc w:val="both"/>
        <w:rPr>
          <w:rFonts w:ascii="Arial" w:hAnsi="Arial" w:cs="Arial"/>
          <w:sz w:val="20"/>
          <w:szCs w:val="20"/>
        </w:rPr>
      </w:pPr>
      <w:r w:rsidRPr="0052676B">
        <w:rPr>
          <w:rFonts w:ascii="Arial" w:hAnsi="Arial" w:cs="Arial"/>
          <w:sz w:val="20"/>
          <w:szCs w:val="20"/>
        </w:rPr>
        <w:t>The establishment of a structured workflow within the Waste Bank also contributed to the standardization of operational procedures, facilitating scalability and replicability. This systematic process design mitigates risks linked to ad hoc management practices, thereby supporting sustainable waste management operations. Additionally, clearly defined workflows are critical in adapting to evolving market demands for recycled products, enabling strategic alignment between operational tasks and market outreach initiatives</w:t>
      </w:r>
      <w:r w:rsidR="00F16782">
        <w:rPr>
          <w:rFonts w:ascii="Arial" w:hAnsi="Arial" w:cs="Arial"/>
          <w:sz w:val="20"/>
          <w:szCs w:val="20"/>
        </w:rPr>
        <w:t>.</w:t>
      </w:r>
    </w:p>
    <w:p w14:paraId="691C3A79" w14:textId="57EDAB52" w:rsidR="00684E1C" w:rsidRPr="0052676B" w:rsidRDefault="00684E1C" w:rsidP="0052676B">
      <w:pPr>
        <w:ind w:firstLine="720"/>
        <w:jc w:val="both"/>
        <w:rPr>
          <w:rFonts w:ascii="Arial" w:hAnsi="Arial" w:cs="Arial"/>
          <w:sz w:val="20"/>
          <w:szCs w:val="20"/>
        </w:rPr>
      </w:pPr>
      <w:r w:rsidRPr="0052676B">
        <w:rPr>
          <w:rFonts w:ascii="Arial" w:hAnsi="Arial" w:cs="Arial"/>
          <w:sz w:val="20"/>
          <w:szCs w:val="20"/>
        </w:rPr>
        <w:t>Importantly, the program’s interventions extended beyond process optimization by strengthening strategic capacities in marketing and stakeholder engagement. The enhanced clarity in roles empowered team members to innovate product positioning and customer engagement strategies, which are pivotal in advancing the circular economy objectives embedded within waste bank operations. These improvements underscore the relevance of integrated capacity building as an effective tool for promoting sustainability transitions in community-based environmental initiatives</w:t>
      </w:r>
      <w:r w:rsidR="00F82598" w:rsidRPr="0052676B">
        <w:rPr>
          <w:rFonts w:ascii="Arial" w:hAnsi="Arial" w:cs="Arial"/>
          <w:sz w:val="20"/>
          <w:szCs w:val="20"/>
        </w:rPr>
        <w:fldChar w:fldCharType="begin" w:fldLock="1"/>
      </w:r>
      <w:r w:rsidR="00F16782">
        <w:rPr>
          <w:rFonts w:ascii="Arial" w:hAnsi="Arial" w:cs="Arial"/>
          <w:sz w:val="20"/>
          <w:szCs w:val="20"/>
        </w:rPr>
        <w:instrText>ADDIN CSL_CITATION {"citationItems":[{"id":"ITEM-1","itemData":{"DOI":"10.1016/j.erss.2017.10.010","author":[{"dropping-particle":"","family":"Geels","given":"F W","non-dropping-particle":"","parse-names":false,"suffix":""}],"container-title":"Energy Research &amp; Social Science","id":"ITEM-1","issued":{"date-parts":[["2018"]]},"page":"224-231","title":"Disruption and low-carbon system transformation: Progress and new challenges in socio-technical transitions research and the Multi-Level Perspective","type":"article-journal","volume":"37"},"uris":["http://www.mendeley.com/documents/?uuid=850d6bb7-f558-42cd-b403-bce6e2049e6f"]}],"mendeley":{"formattedCitation":"(Geels, 2018)","plainTextFormattedCitation":"(Geels, 2018)","previouslyFormattedCitation":"(Geels, 2018)"},"properties":{"noteIndex":0},"schema":"https://github.com/citation-style-language/schema/raw/master/csl-citation.json"}</w:instrText>
      </w:r>
      <w:r w:rsidR="00F82598" w:rsidRPr="0052676B">
        <w:rPr>
          <w:rFonts w:ascii="Arial" w:hAnsi="Arial" w:cs="Arial"/>
          <w:sz w:val="20"/>
          <w:szCs w:val="20"/>
        </w:rPr>
        <w:fldChar w:fldCharType="separate"/>
      </w:r>
      <w:r w:rsidR="00C7515A" w:rsidRPr="00C7515A">
        <w:rPr>
          <w:rFonts w:ascii="Arial" w:hAnsi="Arial" w:cs="Arial"/>
          <w:noProof/>
          <w:sz w:val="20"/>
          <w:szCs w:val="20"/>
        </w:rPr>
        <w:t>(Geels, 2018)</w:t>
      </w:r>
      <w:r w:rsidR="00F82598" w:rsidRPr="0052676B">
        <w:rPr>
          <w:rFonts w:ascii="Arial" w:hAnsi="Arial" w:cs="Arial"/>
          <w:sz w:val="20"/>
          <w:szCs w:val="20"/>
        </w:rPr>
        <w:fldChar w:fldCharType="end"/>
      </w:r>
      <w:r w:rsidRPr="0052676B">
        <w:rPr>
          <w:rFonts w:ascii="Arial" w:hAnsi="Arial" w:cs="Arial"/>
          <w:sz w:val="20"/>
          <w:szCs w:val="20"/>
        </w:rPr>
        <w:t>.</w:t>
      </w:r>
    </w:p>
    <w:p w14:paraId="268CDBB2" w14:textId="763DFD41" w:rsidR="00F75715" w:rsidRPr="0052676B" w:rsidRDefault="00F75715" w:rsidP="0052676B">
      <w:pPr>
        <w:ind w:firstLine="720"/>
        <w:jc w:val="both"/>
        <w:rPr>
          <w:rFonts w:ascii="Arial" w:hAnsi="Arial" w:cs="Arial"/>
          <w:sz w:val="20"/>
          <w:szCs w:val="20"/>
        </w:rPr>
      </w:pPr>
      <w:r w:rsidRPr="00C7515A">
        <w:rPr>
          <w:rFonts w:ascii="Arial" w:hAnsi="Arial" w:cs="Arial"/>
          <w:sz w:val="20"/>
          <w:szCs w:val="20"/>
        </w:rPr>
        <w:t>From</w:t>
      </w:r>
      <w:r w:rsidRPr="0052676B">
        <w:rPr>
          <w:rFonts w:ascii="Arial" w:hAnsi="Arial" w:cs="Arial"/>
          <w:sz w:val="20"/>
          <w:szCs w:val="20"/>
        </w:rPr>
        <w:t xml:space="preserve"> an economic perspective, the program has begun to show potential for additional income for Waste Bank members</w:t>
      </w:r>
      <w:r w:rsidR="007427C4" w:rsidRPr="0052676B">
        <w:rPr>
          <w:rFonts w:ascii="Arial" w:hAnsi="Arial" w:cs="Arial"/>
          <w:sz w:val="20"/>
          <w:szCs w:val="20"/>
        </w:rPr>
        <w:t xml:space="preserve">  </w:t>
      </w:r>
      <w:r w:rsidR="007427C4" w:rsidRPr="0052676B">
        <w:rPr>
          <w:rFonts w:ascii="Arial" w:hAnsi="Arial" w:cs="Arial"/>
          <w:sz w:val="20"/>
          <w:szCs w:val="20"/>
        </w:rPr>
        <w:fldChar w:fldCharType="begin" w:fldLock="1"/>
      </w:r>
      <w:r w:rsidR="00F16782">
        <w:rPr>
          <w:rFonts w:ascii="Arial" w:hAnsi="Arial" w:cs="Arial"/>
          <w:sz w:val="20"/>
          <w:szCs w:val="20"/>
        </w:rPr>
        <w:instrText>ADDIN CSL_CITATION {"citationItems":[{"id":"ITEM-1","itemData":{"DOI":"w/9588","author":[{"dropping-particle":"","family":"Widiana, I. N. W., &amp; N. Marhaeni","given":"A. A. I.","non-dropping-particle":"","parse-names":false,"suffix":""}],"container-title":"nternational Journal of Sciences: Basic and Applied Research (IJSBAR)","id":"ITEM-1","issue":"5","issued":{"date-parts":[["0"]]},"page":"84-92","title":"Analysis Factors Affecting Social Economy And Demography Of Income Waste Bank Customer In Badung Regency Bali Province.","type":"article-journal","volume":"42"},"uris":["http://www.mendeley.com/documents/?uuid=439b706c-9da7-4c39-9619-2f0ee8417723"]}],"mendeley":{"formattedCitation":"(Widiana, I. N. W., &amp; N. Marhaeni, n.d.)","plainTextFormattedCitation":"(Widiana, I. N. W., &amp; N. Marhaeni, n.d.)","previouslyFormattedCitation":"(Widiana, I. N. W., &amp; N. Marhaeni, n.d.)"},"properties":{"noteIndex":0},"schema":"https://github.com/citation-style-language/schema/raw/master/csl-citation.json"}</w:instrText>
      </w:r>
      <w:r w:rsidR="007427C4" w:rsidRPr="0052676B">
        <w:rPr>
          <w:rFonts w:ascii="Arial" w:hAnsi="Arial" w:cs="Arial"/>
          <w:sz w:val="20"/>
          <w:szCs w:val="20"/>
        </w:rPr>
        <w:fldChar w:fldCharType="separate"/>
      </w:r>
      <w:r w:rsidR="00C7515A" w:rsidRPr="00C7515A">
        <w:rPr>
          <w:rFonts w:ascii="Arial" w:hAnsi="Arial" w:cs="Arial"/>
          <w:noProof/>
          <w:sz w:val="20"/>
          <w:szCs w:val="20"/>
        </w:rPr>
        <w:t>(Widiana, I. N. W., &amp; N. Marhaeni, n.d.)</w:t>
      </w:r>
      <w:r w:rsidR="007427C4" w:rsidRPr="0052676B">
        <w:rPr>
          <w:rFonts w:ascii="Arial" w:hAnsi="Arial" w:cs="Arial"/>
          <w:sz w:val="20"/>
          <w:szCs w:val="20"/>
        </w:rPr>
        <w:fldChar w:fldCharType="end"/>
      </w:r>
      <w:r w:rsidRPr="0052676B">
        <w:rPr>
          <w:rFonts w:ascii="Arial" w:hAnsi="Arial" w:cs="Arial"/>
          <w:sz w:val="20"/>
          <w:szCs w:val="20"/>
        </w:rPr>
        <w:t>. Processed products such as plant pots made from used bottles, plastic-based handicrafts, and bags from used packaging have started to gain interest among residents. Although current sales remain small in scale, this marks an important initial step toward waste management that incorporates social entrepreneurship, thereby contributing to the improvement of members’ household welfare.</w:t>
      </w:r>
    </w:p>
    <w:p w14:paraId="6E658D52" w14:textId="651EE141" w:rsidR="00DB75FE" w:rsidRPr="0052676B" w:rsidRDefault="00F75715" w:rsidP="0052676B">
      <w:pPr>
        <w:ind w:firstLine="720"/>
        <w:jc w:val="both"/>
        <w:rPr>
          <w:rFonts w:ascii="Arial" w:hAnsi="Arial" w:cs="Arial"/>
          <w:sz w:val="20"/>
          <w:szCs w:val="20"/>
        </w:rPr>
      </w:pPr>
      <w:r w:rsidRPr="0052676B">
        <w:rPr>
          <w:rFonts w:ascii="Arial" w:hAnsi="Arial" w:cs="Arial"/>
          <w:sz w:val="20"/>
          <w:szCs w:val="20"/>
        </w:rPr>
        <w:t xml:space="preserve">Equally important, the program has brought about positive environmental impacts in Dusun </w:t>
      </w:r>
      <w:proofErr w:type="spellStart"/>
      <w:r w:rsidRPr="0052676B">
        <w:rPr>
          <w:rFonts w:ascii="Arial" w:hAnsi="Arial" w:cs="Arial"/>
          <w:sz w:val="20"/>
          <w:szCs w:val="20"/>
        </w:rPr>
        <w:t>Muliawan</w:t>
      </w:r>
      <w:proofErr w:type="spellEnd"/>
      <w:r w:rsidRPr="0052676B">
        <w:rPr>
          <w:rFonts w:ascii="Arial" w:hAnsi="Arial" w:cs="Arial"/>
          <w:sz w:val="20"/>
          <w:szCs w:val="20"/>
        </w:rPr>
        <w:t>. With more residents segregating waste at the household level and delivering it to the Waste Bank, the volume of waste sent to the landfill (TPA) has been reduced. This contributes to a cleaner environment, lowers pollution risks, and fosters a healthier and more pleasant living environment for the community</w:t>
      </w:r>
      <w:r w:rsidR="00C13682" w:rsidRPr="0052676B">
        <w:rPr>
          <w:rFonts w:ascii="Arial" w:hAnsi="Arial" w:cs="Arial"/>
          <w:sz w:val="20"/>
          <w:szCs w:val="20"/>
        </w:rPr>
        <w:t>.</w:t>
      </w:r>
    </w:p>
    <w:p w14:paraId="50AAFEE6" w14:textId="27283249" w:rsidR="00183501" w:rsidRPr="0052676B" w:rsidRDefault="00CA3349" w:rsidP="0052676B">
      <w:pPr>
        <w:jc w:val="both"/>
        <w:rPr>
          <w:rFonts w:ascii="Arial" w:eastAsia="Times New Roman" w:hAnsi="Arial" w:cs="Arial"/>
          <w:color w:val="000000"/>
          <w:kern w:val="0"/>
          <w:sz w:val="20"/>
          <w:szCs w:val="20"/>
        </w:rPr>
      </w:pPr>
      <w:r w:rsidRPr="0052676B">
        <w:rPr>
          <w:rFonts w:ascii="Arial" w:eastAsia="Times New Roman" w:hAnsi="Arial" w:cs="Arial"/>
          <w:color w:val="000000"/>
          <w:kern w:val="0"/>
          <w:sz w:val="20"/>
          <w:szCs w:val="20"/>
        </w:rPr>
        <w:lastRenderedPageBreak/>
        <w:t xml:space="preserve">         </w:t>
      </w:r>
      <w:r w:rsidR="00F75715" w:rsidRPr="0052676B">
        <w:rPr>
          <w:rFonts w:ascii="Arial" w:eastAsia="Times New Roman" w:hAnsi="Arial" w:cs="Arial"/>
          <w:color w:val="000000"/>
          <w:kern w:val="0"/>
          <w:sz w:val="20"/>
          <w:szCs w:val="20"/>
        </w:rPr>
        <w:t>After conducting both theoretical and practical mentoring sessions as well as Focus Group Discussions (FGDs), participants gained additional knowledge</w:t>
      </w:r>
      <w:r w:rsidR="007427C4" w:rsidRPr="0052676B">
        <w:rPr>
          <w:rFonts w:ascii="Arial" w:eastAsia="Times New Roman" w:hAnsi="Arial" w:cs="Arial"/>
          <w:color w:val="000000"/>
          <w:kern w:val="0"/>
          <w:sz w:val="20"/>
          <w:szCs w:val="20"/>
        </w:rPr>
        <w:t>, and this training can improve participants' knowledge</w:t>
      </w:r>
      <w:r w:rsidR="007427C4" w:rsidRPr="0052676B">
        <w:rPr>
          <w:rFonts w:ascii="Arial" w:eastAsia="Times New Roman" w:hAnsi="Arial" w:cs="Arial"/>
          <w:color w:val="000000"/>
          <w:kern w:val="0"/>
          <w:sz w:val="20"/>
          <w:szCs w:val="20"/>
        </w:rPr>
        <w:fldChar w:fldCharType="begin" w:fldLock="1"/>
      </w:r>
      <w:r w:rsidR="00F16782">
        <w:rPr>
          <w:rFonts w:ascii="Arial" w:eastAsia="Times New Roman" w:hAnsi="Arial" w:cs="Arial"/>
          <w:color w:val="000000"/>
          <w:kern w:val="0"/>
          <w:sz w:val="20"/>
          <w:szCs w:val="20"/>
        </w:rPr>
        <w:instrText>ADDIN CSL_CITATION {"citationItems":[{"id":"ITEM-1","itemData":{"DOI":"https://doi.org/10.55123/abdikan.v1i1.129","author":[{"dropping-particle":"","family":"Nurika, G., Putra, D. N. G. W. M., Niajeng Novta Dwi Nafisah","given":"&amp; Rifdul Basied.","non-dropping-particle":"","parse-names":false,"suffix":""}],"container-title":"ABDIKAN: Jurnal Pengabdian Masyarakat Bidang Sains Dan Teknolog","id":"ITEM-1","issue":"1","issued":{"date-parts":[["2020"]]},"page":"81-88","title":"Manajemen Bank Sampah: Menjadikan Sampah Bernilai Ekonomi Bagi Masyarakat Pondok Pesantren","type":"article-journal","volume":"1"},"uris":["http://www.mendeley.com/documents/?uuid=1d2e93d8-1d32-46f7-a936-f5b11159e4dc"]}],"mendeley":{"formattedCitation":"(Nurika, G., Putra, D. N. G. W. M., Niajeng Novta Dwi Nafisah, 2020)","plainTextFormattedCitation":"(Nurika, G., Putra, D. N. G. W. M., Niajeng Novta Dwi Nafisah, 2020)","previouslyFormattedCitation":"(Nurika, G., Putra, D. N. G. W. M., Niajeng Novta Dwi Nafisah, 2020)"},"properties":{"noteIndex":0},"schema":"https://github.com/citation-style-language/schema/raw/master/csl-citation.json"}</w:instrText>
      </w:r>
      <w:r w:rsidR="007427C4" w:rsidRPr="0052676B">
        <w:rPr>
          <w:rFonts w:ascii="Arial" w:eastAsia="Times New Roman" w:hAnsi="Arial" w:cs="Arial"/>
          <w:color w:val="000000"/>
          <w:kern w:val="0"/>
          <w:sz w:val="20"/>
          <w:szCs w:val="20"/>
        </w:rPr>
        <w:fldChar w:fldCharType="separate"/>
      </w:r>
      <w:r w:rsidR="00C7515A" w:rsidRPr="00C7515A">
        <w:rPr>
          <w:rFonts w:ascii="Arial" w:eastAsia="Times New Roman" w:hAnsi="Arial" w:cs="Arial"/>
          <w:noProof/>
          <w:color w:val="000000"/>
          <w:kern w:val="0"/>
          <w:sz w:val="20"/>
          <w:szCs w:val="20"/>
        </w:rPr>
        <w:t>(Nurika, G., Putra, D. N. G. W. M., Niajeng Novta Dwi Nafisah, 2020)</w:t>
      </w:r>
      <w:r w:rsidR="007427C4" w:rsidRPr="0052676B">
        <w:rPr>
          <w:rFonts w:ascii="Arial" w:eastAsia="Times New Roman" w:hAnsi="Arial" w:cs="Arial"/>
          <w:color w:val="000000"/>
          <w:kern w:val="0"/>
          <w:sz w:val="20"/>
          <w:szCs w:val="20"/>
        </w:rPr>
        <w:fldChar w:fldCharType="end"/>
      </w:r>
      <w:r w:rsidR="007427C4" w:rsidRPr="0052676B">
        <w:rPr>
          <w:rFonts w:ascii="Arial" w:eastAsia="Times New Roman" w:hAnsi="Arial" w:cs="Arial"/>
          <w:color w:val="000000"/>
          <w:kern w:val="0"/>
          <w:sz w:val="20"/>
          <w:szCs w:val="20"/>
        </w:rPr>
        <w:t>.</w:t>
      </w:r>
      <w:r w:rsidR="00F75715" w:rsidRPr="0052676B">
        <w:rPr>
          <w:rFonts w:ascii="Arial" w:eastAsia="Times New Roman" w:hAnsi="Arial" w:cs="Arial"/>
          <w:color w:val="000000"/>
          <w:kern w:val="0"/>
          <w:sz w:val="20"/>
          <w:szCs w:val="20"/>
        </w:rPr>
        <w:t xml:space="preserve"> If this knowledge is further developed, it has the potential to enhance and improve the performance of the Dusun </w:t>
      </w:r>
      <w:proofErr w:type="spellStart"/>
      <w:r w:rsidR="00F75715" w:rsidRPr="0052676B">
        <w:rPr>
          <w:rFonts w:ascii="Arial" w:eastAsia="Times New Roman" w:hAnsi="Arial" w:cs="Arial"/>
          <w:color w:val="000000"/>
          <w:kern w:val="0"/>
          <w:sz w:val="20"/>
          <w:szCs w:val="20"/>
        </w:rPr>
        <w:t>Muliawan</w:t>
      </w:r>
      <w:proofErr w:type="spellEnd"/>
      <w:r w:rsidR="00F75715" w:rsidRPr="0052676B">
        <w:rPr>
          <w:rFonts w:ascii="Arial" w:eastAsia="Times New Roman" w:hAnsi="Arial" w:cs="Arial"/>
          <w:color w:val="000000"/>
          <w:kern w:val="0"/>
          <w:sz w:val="20"/>
          <w:szCs w:val="20"/>
        </w:rPr>
        <w:t xml:space="preserve"> Waste Bank Group in </w:t>
      </w:r>
      <w:proofErr w:type="spellStart"/>
      <w:r w:rsidR="00F75715" w:rsidRPr="0052676B">
        <w:rPr>
          <w:rFonts w:ascii="Arial" w:eastAsia="Times New Roman" w:hAnsi="Arial" w:cs="Arial"/>
          <w:color w:val="000000"/>
          <w:kern w:val="0"/>
          <w:sz w:val="20"/>
          <w:szCs w:val="20"/>
        </w:rPr>
        <w:t>Tegal</w:t>
      </w:r>
      <w:proofErr w:type="spellEnd"/>
      <w:r w:rsidR="00F75715" w:rsidRPr="0052676B">
        <w:rPr>
          <w:rFonts w:ascii="Arial" w:eastAsia="Times New Roman" w:hAnsi="Arial" w:cs="Arial"/>
          <w:color w:val="000000"/>
          <w:kern w:val="0"/>
          <w:sz w:val="20"/>
          <w:szCs w:val="20"/>
        </w:rPr>
        <w:t xml:space="preserve"> </w:t>
      </w:r>
      <w:proofErr w:type="spellStart"/>
      <w:r w:rsidR="00F75715" w:rsidRPr="0052676B">
        <w:rPr>
          <w:rFonts w:ascii="Arial" w:eastAsia="Times New Roman" w:hAnsi="Arial" w:cs="Arial"/>
          <w:color w:val="000000"/>
          <w:kern w:val="0"/>
          <w:sz w:val="20"/>
          <w:szCs w:val="20"/>
        </w:rPr>
        <w:t>Kertha</w:t>
      </w:r>
      <w:proofErr w:type="spellEnd"/>
      <w:r w:rsidR="00F75715" w:rsidRPr="0052676B">
        <w:rPr>
          <w:rFonts w:ascii="Arial" w:eastAsia="Times New Roman" w:hAnsi="Arial" w:cs="Arial"/>
          <w:color w:val="000000"/>
          <w:kern w:val="0"/>
          <w:sz w:val="20"/>
          <w:szCs w:val="20"/>
        </w:rPr>
        <w:t xml:space="preserve"> Village.</w:t>
      </w:r>
    </w:p>
    <w:p w14:paraId="2D7EA793" w14:textId="77777777" w:rsidR="00B64C4D" w:rsidRDefault="00B64C4D" w:rsidP="00BC424D">
      <w:pPr>
        <w:spacing w:line="360" w:lineRule="auto"/>
        <w:jc w:val="both"/>
        <w:rPr>
          <w:rFonts w:ascii="Arial" w:eastAsia="Times New Roman" w:hAnsi="Arial" w:cs="Arial"/>
          <w:b/>
          <w:bCs/>
          <w:color w:val="000000"/>
          <w:kern w:val="0"/>
        </w:rPr>
      </w:pPr>
    </w:p>
    <w:p w14:paraId="72859D3F" w14:textId="656D4F0E" w:rsidR="00F75715" w:rsidRDefault="009C37BA" w:rsidP="00BC424D">
      <w:pPr>
        <w:spacing w:line="360" w:lineRule="auto"/>
        <w:jc w:val="both"/>
        <w:rPr>
          <w:rFonts w:ascii="Arial" w:eastAsia="Times New Roman" w:hAnsi="Arial" w:cs="Arial"/>
          <w:b/>
          <w:bCs/>
          <w:color w:val="000000"/>
          <w:kern w:val="0"/>
        </w:rPr>
      </w:pPr>
      <w:r w:rsidRPr="00684E1C">
        <w:rPr>
          <w:rFonts w:ascii="Arial" w:eastAsia="Times New Roman" w:hAnsi="Arial" w:cs="Arial"/>
          <w:b/>
          <w:bCs/>
          <w:color w:val="000000"/>
          <w:kern w:val="0"/>
        </w:rPr>
        <w:t>CONCLUSION</w:t>
      </w:r>
    </w:p>
    <w:p w14:paraId="0FE9F841" w14:textId="65974A3A" w:rsidR="00684E1C" w:rsidRDefault="00F82598" w:rsidP="008B55A9">
      <w:pPr>
        <w:ind w:firstLine="720"/>
        <w:jc w:val="both"/>
        <w:rPr>
          <w:rFonts w:ascii="Arial" w:eastAsia="Times New Roman" w:hAnsi="Arial" w:cs="Arial"/>
          <w:color w:val="000000"/>
          <w:kern w:val="0"/>
          <w:sz w:val="20"/>
          <w:szCs w:val="20"/>
        </w:rPr>
      </w:pPr>
      <w:r w:rsidRPr="0052676B">
        <w:rPr>
          <w:rFonts w:ascii="Arial" w:eastAsia="Times New Roman" w:hAnsi="Arial" w:cs="Arial"/>
          <w:color w:val="000000"/>
          <w:kern w:val="0"/>
          <w:sz w:val="20"/>
          <w:szCs w:val="20"/>
        </w:rPr>
        <w:t xml:space="preserve">The community service program in </w:t>
      </w:r>
      <w:proofErr w:type="spellStart"/>
      <w:r w:rsidRPr="0052676B">
        <w:rPr>
          <w:rFonts w:ascii="Arial" w:eastAsia="Times New Roman" w:hAnsi="Arial" w:cs="Arial"/>
          <w:color w:val="000000"/>
          <w:kern w:val="0"/>
          <w:sz w:val="20"/>
          <w:szCs w:val="20"/>
        </w:rPr>
        <w:t>Muliawan</w:t>
      </w:r>
      <w:proofErr w:type="spellEnd"/>
      <w:r w:rsidRPr="0052676B">
        <w:rPr>
          <w:rFonts w:ascii="Arial" w:eastAsia="Times New Roman" w:hAnsi="Arial" w:cs="Arial"/>
          <w:color w:val="000000"/>
          <w:kern w:val="0"/>
          <w:sz w:val="20"/>
          <w:szCs w:val="20"/>
        </w:rPr>
        <w:t xml:space="preserve"> Hamlet successfully empowered residents through the Waste Bank initiative, transforming inorganic waste management from a persistent environmental challenge into a sustainable economic opportunity. By integrating 3R principles, hands-on technical training, and institutional strengthening via AD/ART development, the intervention enhanced participants' knowledge, skills, and entrepreneurial capacities, leading to prototype production, reduced landfill waste, and nascent income generation from recycled products.​</w:t>
      </w:r>
      <w:r w:rsidR="0052676B">
        <w:rPr>
          <w:rFonts w:ascii="Arial" w:eastAsia="Times New Roman" w:hAnsi="Arial" w:cs="Arial"/>
          <w:color w:val="000000"/>
          <w:kern w:val="0"/>
          <w:sz w:val="20"/>
          <w:szCs w:val="20"/>
        </w:rPr>
        <w:t xml:space="preserve"> </w:t>
      </w:r>
      <w:r w:rsidRPr="0052676B">
        <w:rPr>
          <w:rFonts w:ascii="Arial" w:eastAsia="Times New Roman" w:hAnsi="Arial" w:cs="Arial"/>
          <w:color w:val="000000"/>
          <w:kern w:val="0"/>
          <w:sz w:val="20"/>
          <w:szCs w:val="20"/>
        </w:rPr>
        <w:t>These outcomes underscore the efficacy of participatory approaches in fostering behavioral shifts, such as household segregation and role clarification within the Waste Bank team, which minimized operational inefficiencies and promoted collaborative governance. The program's replicability is evident in its alignment with broader Waste Bank models across Indonesia, where community engagement yields both ecological benefits and livelihood improvements.​</w:t>
      </w:r>
      <w:r w:rsidR="0052676B">
        <w:rPr>
          <w:rFonts w:ascii="Arial" w:eastAsia="Times New Roman" w:hAnsi="Arial" w:cs="Arial"/>
          <w:color w:val="000000"/>
          <w:kern w:val="0"/>
          <w:sz w:val="20"/>
          <w:szCs w:val="20"/>
        </w:rPr>
        <w:t xml:space="preserve"> </w:t>
      </w:r>
      <w:r w:rsidRPr="0052676B">
        <w:rPr>
          <w:rFonts w:ascii="Arial" w:eastAsia="Times New Roman" w:hAnsi="Arial" w:cs="Arial"/>
          <w:color w:val="000000"/>
          <w:kern w:val="0"/>
          <w:sz w:val="20"/>
          <w:szCs w:val="20"/>
        </w:rPr>
        <w:t>For sustained impact, ongoing collaborations with local government and academia are recommended to scale market access for recycled goods and refine financial systems. Future initiatives should prioritize longitudinal monitoring to quantify long-term reductions in waste volumes and economic returns, ensuring the model's adaptability to similar urban-rural interfaces. This study affirms Waste Banks as a scalable strategy for circular economy transitions in densely populated areas like Denpas</w:t>
      </w:r>
      <w:r w:rsidR="008B55A9">
        <w:rPr>
          <w:rFonts w:ascii="Arial" w:eastAsia="Times New Roman" w:hAnsi="Arial" w:cs="Arial"/>
          <w:color w:val="000000"/>
          <w:kern w:val="0"/>
          <w:sz w:val="20"/>
          <w:szCs w:val="20"/>
        </w:rPr>
        <w:t>ar.</w:t>
      </w:r>
    </w:p>
    <w:p w14:paraId="780780E9" w14:textId="77777777" w:rsidR="008B55A9" w:rsidRPr="008B55A9" w:rsidRDefault="008B55A9" w:rsidP="008B55A9">
      <w:pPr>
        <w:ind w:firstLine="720"/>
        <w:jc w:val="both"/>
        <w:rPr>
          <w:rFonts w:ascii="Arial" w:eastAsia="Times New Roman" w:hAnsi="Arial" w:cs="Arial"/>
          <w:color w:val="000000"/>
          <w:kern w:val="0"/>
          <w:sz w:val="20"/>
          <w:szCs w:val="20"/>
        </w:rPr>
      </w:pPr>
    </w:p>
    <w:p w14:paraId="3177BD32" w14:textId="3AC0E87B" w:rsidR="00CA3349" w:rsidRDefault="002C0074" w:rsidP="00026965">
      <w:pPr>
        <w:pStyle w:val="ListParagraph"/>
        <w:spacing w:line="360" w:lineRule="auto"/>
        <w:ind w:left="0"/>
        <w:jc w:val="both"/>
        <w:rPr>
          <w:rFonts w:ascii="Times New Roman" w:hAnsi="Times New Roman" w:cs="Times New Roman"/>
          <w:b/>
          <w:bCs/>
        </w:rPr>
      </w:pPr>
      <w:r w:rsidRPr="00A903A4">
        <w:rPr>
          <w:rFonts w:ascii="Times New Roman" w:hAnsi="Times New Roman" w:cs="Times New Roman"/>
          <w:b/>
          <w:bCs/>
        </w:rPr>
        <w:t>REFERENCES</w:t>
      </w:r>
    </w:p>
    <w:p w14:paraId="07A6B744" w14:textId="08621F91" w:rsidR="00E929C3" w:rsidRPr="00F41993" w:rsidRDefault="00D02149" w:rsidP="00F41993">
      <w:pPr>
        <w:pStyle w:val="ListParagraph"/>
        <w:widowControl w:val="0"/>
        <w:numPr>
          <w:ilvl w:val="0"/>
          <w:numId w:val="3"/>
        </w:numPr>
        <w:autoSpaceDE w:val="0"/>
        <w:autoSpaceDN w:val="0"/>
        <w:adjustRightInd w:val="0"/>
        <w:rPr>
          <w:rFonts w:ascii="Times New Roman" w:hAnsi="Times New Roman" w:cs="Times New Roman"/>
          <w:noProof/>
          <w:szCs w:val="24"/>
        </w:rPr>
      </w:pPr>
      <w:r>
        <w:rPr>
          <w:rFonts w:ascii="Times New Roman" w:hAnsi="Times New Roman" w:cs="Times New Roman"/>
          <w:b/>
          <w:bCs/>
        </w:rPr>
        <w:fldChar w:fldCharType="begin" w:fldLock="1"/>
      </w:r>
      <w:r w:rsidRPr="00F41993">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sidR="00E929C3" w:rsidRPr="00F41993">
        <w:rPr>
          <w:rFonts w:ascii="Times New Roman" w:hAnsi="Times New Roman" w:cs="Times New Roman"/>
          <w:noProof/>
          <w:szCs w:val="24"/>
        </w:rPr>
        <w:t xml:space="preserve">Adii, A., Lekitoo, M. N., &amp; Lisangan, M. M. (2022). Peran serta masyarakat mereduksi sampah anorganik melalui Bank Sampah di Distrik Malaimsimsa Kota Sorong. </w:t>
      </w:r>
      <w:r w:rsidR="00E929C3" w:rsidRPr="00F41993">
        <w:rPr>
          <w:rFonts w:ascii="Times New Roman" w:hAnsi="Times New Roman" w:cs="Times New Roman"/>
          <w:i/>
          <w:iCs/>
          <w:noProof/>
          <w:szCs w:val="24"/>
        </w:rPr>
        <w:t>Cassowary</w:t>
      </w:r>
      <w:r w:rsidR="00E929C3" w:rsidRPr="00F41993">
        <w:rPr>
          <w:rFonts w:ascii="Times New Roman" w:hAnsi="Times New Roman" w:cs="Times New Roman"/>
          <w:noProof/>
          <w:szCs w:val="24"/>
        </w:rPr>
        <w:t xml:space="preserve">, </w:t>
      </w:r>
      <w:r w:rsidR="00E929C3" w:rsidRPr="00F41993">
        <w:rPr>
          <w:rFonts w:ascii="Times New Roman" w:hAnsi="Times New Roman" w:cs="Times New Roman"/>
          <w:i/>
          <w:iCs/>
          <w:noProof/>
          <w:szCs w:val="24"/>
        </w:rPr>
        <w:t>5</w:t>
      </w:r>
      <w:r w:rsidR="00E929C3" w:rsidRPr="00F41993">
        <w:rPr>
          <w:rFonts w:ascii="Times New Roman" w:hAnsi="Times New Roman" w:cs="Times New Roman"/>
          <w:noProof/>
          <w:szCs w:val="24"/>
        </w:rPr>
        <w:t>(1), 81–86. https://doi.org/10.30862/casssowary.cs.v5.i1.96</w:t>
      </w:r>
    </w:p>
    <w:p w14:paraId="21D1645A"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Agatha, M. Y., Najib, A., Avanda, P. A. N., Latifah, L., &amp; Ana, S. R. (2024). Environmentally Friendly Educational Innovation Tool To Recognize Numbers from Inorganic Waste. </w:t>
      </w:r>
      <w:r w:rsidRPr="00F41993">
        <w:rPr>
          <w:rFonts w:ascii="Times New Roman" w:hAnsi="Times New Roman" w:cs="Times New Roman"/>
          <w:i/>
          <w:iCs/>
          <w:noProof/>
          <w:szCs w:val="24"/>
        </w:rPr>
        <w:t>Empowerment Society</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7</w:t>
      </w:r>
      <w:r w:rsidRPr="00F41993">
        <w:rPr>
          <w:rFonts w:ascii="Times New Roman" w:hAnsi="Times New Roman" w:cs="Times New Roman"/>
          <w:noProof/>
          <w:szCs w:val="24"/>
        </w:rPr>
        <w:t>(2), 92–97. https://doi.org/10.30741/eps.v7i2.1324</w:t>
      </w:r>
    </w:p>
    <w:p w14:paraId="79039075"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Budha, I. K., Wahyuni, P. I., &amp; Aryastana, P. (2020). Transformasi Lingkungan dan Pengelolaan Persampahan di Kota Denpasar: Kajian Efektifitas Tempat Pengelolaan Sampah Terpadu (TPST). </w:t>
      </w:r>
      <w:r w:rsidRPr="00F41993">
        <w:rPr>
          <w:rFonts w:ascii="Times New Roman" w:hAnsi="Times New Roman" w:cs="Times New Roman"/>
          <w:i/>
          <w:iCs/>
          <w:noProof/>
          <w:szCs w:val="24"/>
        </w:rPr>
        <w:t>Jurnal Ilmiah Teknik Elektro, Sipil Dan Teknik Informasi,</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5</w:t>
      </w:r>
      <w:r w:rsidRPr="00F41993">
        <w:rPr>
          <w:rFonts w:ascii="Times New Roman" w:hAnsi="Times New Roman" w:cs="Times New Roman"/>
          <w:noProof/>
          <w:szCs w:val="24"/>
        </w:rPr>
        <w:t>(2), 158-172.</w:t>
      </w:r>
    </w:p>
    <w:p w14:paraId="18C9C873"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Geels, F. W. (2018). Disruption and low-carbon system transformation: Progress and new challenges in socio-technical transitions research and the Multi-Level Perspective. </w:t>
      </w:r>
      <w:r w:rsidRPr="00F41993">
        <w:rPr>
          <w:rFonts w:ascii="Times New Roman" w:hAnsi="Times New Roman" w:cs="Times New Roman"/>
          <w:i/>
          <w:iCs/>
          <w:noProof/>
          <w:szCs w:val="24"/>
        </w:rPr>
        <w:t>Energy Research &amp; Social Science</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37</w:t>
      </w:r>
      <w:r w:rsidRPr="00F41993">
        <w:rPr>
          <w:rFonts w:ascii="Times New Roman" w:hAnsi="Times New Roman" w:cs="Times New Roman"/>
          <w:noProof/>
          <w:szCs w:val="24"/>
        </w:rPr>
        <w:t>, 224–231. https://doi.org/10.1016/j.erss.2017.10.010</w:t>
      </w:r>
    </w:p>
    <w:p w14:paraId="101BA5A4"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Hidayat, T. B. W., Punia, I. N., &amp; Kebayantini, N. L. N. (2019). Peran media sosial terhadap perilaku konsumtif kaum remaja di desa Tegal Kertha, Kecamatan Denpasar Barat, Kota Denpasar. </w:t>
      </w:r>
      <w:r w:rsidRPr="00F41993">
        <w:rPr>
          <w:rFonts w:ascii="Times New Roman" w:hAnsi="Times New Roman" w:cs="Times New Roman"/>
          <w:i/>
          <w:iCs/>
          <w:noProof/>
          <w:szCs w:val="24"/>
        </w:rPr>
        <w:t>Jurnal Ilmiah Sosiologi</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1</w:t>
      </w:r>
      <w:r w:rsidRPr="00F41993">
        <w:rPr>
          <w:rFonts w:ascii="Times New Roman" w:hAnsi="Times New Roman" w:cs="Times New Roman"/>
          <w:noProof/>
          <w:szCs w:val="24"/>
        </w:rPr>
        <w:t>(1), 1-10. https://download.garuda.kemdikbud.go.id/article.php?article</w:t>
      </w:r>
    </w:p>
    <w:p w14:paraId="0FAE5175"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Juliana, N. (2021). Education of Inorganic Waste Management Through Training in Recycled Creations. </w:t>
      </w:r>
      <w:r w:rsidRPr="00F41993">
        <w:rPr>
          <w:rFonts w:ascii="Times New Roman" w:hAnsi="Times New Roman" w:cs="Times New Roman"/>
          <w:i/>
          <w:iCs/>
          <w:noProof/>
          <w:szCs w:val="24"/>
        </w:rPr>
        <w:t>Atlantis Press Proceedings</w:t>
      </w:r>
      <w:r w:rsidRPr="00F41993">
        <w:rPr>
          <w:rFonts w:ascii="Times New Roman" w:hAnsi="Times New Roman" w:cs="Times New Roman"/>
          <w:noProof/>
          <w:szCs w:val="24"/>
        </w:rPr>
        <w:t>. https://doi.org/10.2991/assehr.k.210222.017</w:t>
      </w:r>
    </w:p>
    <w:p w14:paraId="2D77B6EB"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lastRenderedPageBreak/>
        <w:t xml:space="preserve">Manurung, P., Herdioko, J., &amp; Panjaitan, I. (2024). Community Mentoring on the Inorganic Waste Management and Processing. </w:t>
      </w:r>
      <w:r w:rsidRPr="00F41993">
        <w:rPr>
          <w:rFonts w:ascii="Times New Roman" w:hAnsi="Times New Roman" w:cs="Times New Roman"/>
          <w:i/>
          <w:iCs/>
          <w:noProof/>
          <w:szCs w:val="24"/>
        </w:rPr>
        <w:t>Journal of Innovation and Community Engagement</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5</w:t>
      </w:r>
      <w:r w:rsidRPr="00F41993">
        <w:rPr>
          <w:rFonts w:ascii="Times New Roman" w:hAnsi="Times New Roman" w:cs="Times New Roman"/>
          <w:noProof/>
          <w:szCs w:val="24"/>
        </w:rPr>
        <w:t>(2), 93–104. https://doi.org/https://doi.org/10.28932/ice.v5i2.8275</w:t>
      </w:r>
    </w:p>
    <w:p w14:paraId="64B11ECD"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Nurika, G., Putra, D. N. G. W. M., Niajeng Novta Dwi Nafisah, &amp; R. B. (2020). Manajemen Bank Sampah: Menjadikan Sampah Bernilai Ekonomi Bagi Masyarakat Pondok Pesantren. </w:t>
      </w:r>
      <w:r w:rsidRPr="00F41993">
        <w:rPr>
          <w:rFonts w:ascii="Times New Roman" w:hAnsi="Times New Roman" w:cs="Times New Roman"/>
          <w:i/>
          <w:iCs/>
          <w:noProof/>
          <w:szCs w:val="24"/>
        </w:rPr>
        <w:t>ABDIKAN: Jurnal Pengabdian Masyarakat Bidang Sains Dan Teknolog</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1</w:t>
      </w:r>
      <w:r w:rsidRPr="00F41993">
        <w:rPr>
          <w:rFonts w:ascii="Times New Roman" w:hAnsi="Times New Roman" w:cs="Times New Roman"/>
          <w:noProof/>
          <w:szCs w:val="24"/>
        </w:rPr>
        <w:t>(1), 81–88. https://doi.org/https://doi.org/10.55123/abdikan.v1i1.129</w:t>
      </w:r>
    </w:p>
    <w:p w14:paraId="79F7789C"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Ridwan, &amp; Wijaya, I. M. A. (2024). Community Empowerment in Waste Management through the Pede Message Program in Cemenggaon Traditional Village, Gianyar Regency, Bali Province. </w:t>
      </w:r>
      <w:r w:rsidRPr="00F41993">
        <w:rPr>
          <w:rFonts w:ascii="Times New Roman" w:hAnsi="Times New Roman" w:cs="Times New Roman"/>
          <w:i/>
          <w:iCs/>
          <w:noProof/>
          <w:szCs w:val="24"/>
        </w:rPr>
        <w:t>Journal of Asian Multicultural Research for Economy and Management Study</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5</w:t>
      </w:r>
      <w:r w:rsidRPr="00F41993">
        <w:rPr>
          <w:rFonts w:ascii="Times New Roman" w:hAnsi="Times New Roman" w:cs="Times New Roman"/>
          <w:noProof/>
          <w:szCs w:val="24"/>
        </w:rPr>
        <w:t>(5), 79–91. https://doi.org/https://doi.org/10.47616/jamrems.v5i3.529</w:t>
      </w:r>
    </w:p>
    <w:p w14:paraId="25DAE638"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Salas, E., Reyes, D. L., &amp; McDaniel, S. H. (2015). The science of teamwork: progress, reflections, and the road ahead. </w:t>
      </w:r>
      <w:r w:rsidRPr="00F41993">
        <w:rPr>
          <w:rFonts w:ascii="Times New Roman" w:hAnsi="Times New Roman" w:cs="Times New Roman"/>
          <w:i/>
          <w:iCs/>
          <w:noProof/>
          <w:szCs w:val="24"/>
        </w:rPr>
        <w:t>American Psychologist</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70</w:t>
      </w:r>
      <w:r w:rsidRPr="00F41993">
        <w:rPr>
          <w:rFonts w:ascii="Times New Roman" w:hAnsi="Times New Roman" w:cs="Times New Roman"/>
          <w:noProof/>
          <w:szCs w:val="24"/>
        </w:rPr>
        <w:t>(6), 600–620. https://doi.org/10.1037/a0039418</w:t>
      </w:r>
    </w:p>
    <w:p w14:paraId="59BEBB66"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Sukaris, Kurniawan, A., &amp; Kurniawan, M. D. (2023). Pengembangan Strategi Desa Wisata Berkelanjutan. </w:t>
      </w:r>
      <w:r w:rsidRPr="00F41993">
        <w:rPr>
          <w:rFonts w:ascii="Times New Roman" w:hAnsi="Times New Roman" w:cs="Times New Roman"/>
          <w:i/>
          <w:iCs/>
          <w:noProof/>
          <w:szCs w:val="24"/>
        </w:rPr>
        <w:t>Manajerial</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10</w:t>
      </w:r>
      <w:r w:rsidRPr="00F41993">
        <w:rPr>
          <w:rFonts w:ascii="Times New Roman" w:hAnsi="Times New Roman" w:cs="Times New Roman"/>
          <w:noProof/>
          <w:szCs w:val="24"/>
        </w:rPr>
        <w:t>(24 Januari 2023). http://dx.doi.org/10.30587/manajerial.v10i1.4751</w:t>
      </w:r>
    </w:p>
    <w:p w14:paraId="052815B8"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Sukerti, N. L. G., Sudarma, I. M., &amp; Pujaastawa, I. B. G. (2019). Perilaku Masyarakat Dalam Pengelolaan Sampah Dan Faktor-Faktor Yang Mempengaruhi Di Kecamatan Denpasar Timur Kota Denpasar, Provinsi Bali. </w:t>
      </w:r>
      <w:r w:rsidRPr="00F41993">
        <w:rPr>
          <w:rFonts w:ascii="Times New Roman" w:hAnsi="Times New Roman" w:cs="Times New Roman"/>
          <w:i/>
          <w:iCs/>
          <w:noProof/>
          <w:szCs w:val="24"/>
        </w:rPr>
        <w:t>Ecotrophic</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11</w:t>
      </w:r>
      <w:r w:rsidRPr="00F41993">
        <w:rPr>
          <w:rFonts w:ascii="Times New Roman" w:hAnsi="Times New Roman" w:cs="Times New Roman"/>
          <w:noProof/>
          <w:szCs w:val="24"/>
        </w:rPr>
        <w:t>(2), 36–45. https://doi.org/https://doi.org/10.24843/EJES.2017.v11.i02.p05</w:t>
      </w:r>
    </w:p>
    <w:p w14:paraId="6DD5E944"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Syarif, M., &amp; Puspitasari, R. T. (2023). </w:t>
      </w:r>
      <w:r w:rsidRPr="00F41993">
        <w:rPr>
          <w:rFonts w:ascii="Times New Roman" w:hAnsi="Times New Roman" w:cs="Times New Roman"/>
          <w:i/>
          <w:iCs/>
          <w:noProof/>
          <w:szCs w:val="24"/>
        </w:rPr>
        <w:t>Education and Training on Organic and Inorganic Waste Management for the Community of RT 1 Bunglai Village</w:t>
      </w:r>
      <w:r w:rsidRPr="00F41993">
        <w:rPr>
          <w:rFonts w:ascii="Times New Roman" w:hAnsi="Times New Roman" w:cs="Times New Roman"/>
          <w:noProof/>
          <w:szCs w:val="24"/>
        </w:rPr>
        <w:t>. https://doi.org/http://dx.doi.org/10.20527/jbk.v10i1.19171</w:t>
      </w:r>
    </w:p>
    <w:p w14:paraId="4262C319"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Wardiha, M. W., Putri, P. S., Setyawati, L. M., &amp; Muhajirin, M. (2019). Timbulan dan Komposisi Sampah di Kawasan Perkantoran dan Wisma (Studi Kasus: Werdhapura Village Center, Kota Denpasar, Provinsi Bali). </w:t>
      </w:r>
      <w:r w:rsidRPr="00F41993">
        <w:rPr>
          <w:rFonts w:ascii="Times New Roman" w:hAnsi="Times New Roman" w:cs="Times New Roman"/>
          <w:i/>
          <w:iCs/>
          <w:noProof/>
          <w:szCs w:val="24"/>
        </w:rPr>
        <w:t>Jurnal Presipitasi: Media Komunikasi Dan Pengembangan Teknik Lingkungan,</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10</w:t>
      </w:r>
      <w:r w:rsidRPr="00F41993">
        <w:rPr>
          <w:rFonts w:ascii="Times New Roman" w:hAnsi="Times New Roman" w:cs="Times New Roman"/>
          <w:noProof/>
          <w:szCs w:val="24"/>
        </w:rPr>
        <w:t>(1), 7-17.</w:t>
      </w:r>
    </w:p>
    <w:p w14:paraId="61E3776A"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szCs w:val="24"/>
        </w:rPr>
      </w:pPr>
      <w:r w:rsidRPr="00F41993">
        <w:rPr>
          <w:rFonts w:ascii="Times New Roman" w:hAnsi="Times New Roman" w:cs="Times New Roman"/>
          <w:noProof/>
          <w:szCs w:val="24"/>
        </w:rPr>
        <w:t xml:space="preserve">Widiana, I. N. W., &amp; N. Marhaeni, A. A. I. (n.d.). Analysis Factors Affecting Social Economy And Demography Of Income Waste Bank Customer In Badung Regency Bali Province. </w:t>
      </w:r>
      <w:r w:rsidRPr="00F41993">
        <w:rPr>
          <w:rFonts w:ascii="Times New Roman" w:hAnsi="Times New Roman" w:cs="Times New Roman"/>
          <w:i/>
          <w:iCs/>
          <w:noProof/>
          <w:szCs w:val="24"/>
        </w:rPr>
        <w:t>Nternational Journal of Sciences: Basic and Applied Research (IJSBAR)</w:t>
      </w:r>
      <w:r w:rsidRPr="00F41993">
        <w:rPr>
          <w:rFonts w:ascii="Times New Roman" w:hAnsi="Times New Roman" w:cs="Times New Roman"/>
          <w:noProof/>
          <w:szCs w:val="24"/>
        </w:rPr>
        <w:t xml:space="preserve">, </w:t>
      </w:r>
      <w:r w:rsidRPr="00F41993">
        <w:rPr>
          <w:rFonts w:ascii="Times New Roman" w:hAnsi="Times New Roman" w:cs="Times New Roman"/>
          <w:i/>
          <w:iCs/>
          <w:noProof/>
          <w:szCs w:val="24"/>
        </w:rPr>
        <w:t>42</w:t>
      </w:r>
      <w:r w:rsidRPr="00F41993">
        <w:rPr>
          <w:rFonts w:ascii="Times New Roman" w:hAnsi="Times New Roman" w:cs="Times New Roman"/>
          <w:noProof/>
          <w:szCs w:val="24"/>
        </w:rPr>
        <w:t>(5), 84–92. https://doi.org/w/9588</w:t>
      </w:r>
    </w:p>
    <w:p w14:paraId="6E68F579" w14:textId="77777777" w:rsidR="00E929C3" w:rsidRPr="00F41993" w:rsidRDefault="00E929C3" w:rsidP="00F41993">
      <w:pPr>
        <w:pStyle w:val="ListParagraph"/>
        <w:widowControl w:val="0"/>
        <w:numPr>
          <w:ilvl w:val="0"/>
          <w:numId w:val="3"/>
        </w:numPr>
        <w:autoSpaceDE w:val="0"/>
        <w:autoSpaceDN w:val="0"/>
        <w:adjustRightInd w:val="0"/>
        <w:rPr>
          <w:rFonts w:ascii="Times New Roman" w:hAnsi="Times New Roman" w:cs="Times New Roman"/>
          <w:noProof/>
        </w:rPr>
      </w:pPr>
      <w:r w:rsidRPr="00F41993">
        <w:rPr>
          <w:rFonts w:ascii="Times New Roman" w:hAnsi="Times New Roman" w:cs="Times New Roman"/>
          <w:noProof/>
          <w:szCs w:val="24"/>
        </w:rPr>
        <w:t xml:space="preserve">Winarto, J. J. F. and Y. T. (2016). </w:t>
      </w:r>
      <w:r w:rsidRPr="00F41993">
        <w:rPr>
          <w:rFonts w:ascii="Times New Roman" w:hAnsi="Times New Roman" w:cs="Times New Roman"/>
          <w:i/>
          <w:iCs/>
          <w:noProof/>
          <w:szCs w:val="24"/>
        </w:rPr>
        <w:t>Farmers’ use of pesticides in an intensive rice-growing village in Indramayu on Java. In Yunita Winarto (ed.), Krisis pangan dan “sesat pikir”: mengapa masih berlanjut? [Food crisis and “deviant thought”:Why is it continuing?].</w:t>
      </w:r>
      <w:r w:rsidRPr="00F41993">
        <w:rPr>
          <w:rFonts w:ascii="Times New Roman" w:hAnsi="Times New Roman" w:cs="Times New Roman"/>
          <w:noProof/>
          <w:szCs w:val="24"/>
        </w:rPr>
        <w:t xml:space="preserve"> (1st ed.). Yayasan Pustaka Obor.</w:t>
      </w:r>
    </w:p>
    <w:p w14:paraId="15A386DC" w14:textId="14D2E9FD" w:rsidR="00D02149" w:rsidRDefault="00D02149" w:rsidP="00D02149">
      <w:pPr>
        <w:pStyle w:val="ListParagraph"/>
        <w:ind w:left="0"/>
        <w:jc w:val="both"/>
        <w:rPr>
          <w:rFonts w:ascii="Times New Roman" w:hAnsi="Times New Roman" w:cs="Times New Roman"/>
          <w:b/>
          <w:bCs/>
        </w:rPr>
      </w:pPr>
      <w:r>
        <w:rPr>
          <w:rFonts w:ascii="Times New Roman" w:hAnsi="Times New Roman" w:cs="Times New Roman"/>
          <w:b/>
          <w:bCs/>
        </w:rPr>
        <w:fldChar w:fldCharType="end"/>
      </w:r>
    </w:p>
    <w:p w14:paraId="7C37E829" w14:textId="77777777" w:rsidR="00F16782" w:rsidRPr="00A903A4" w:rsidRDefault="00F16782" w:rsidP="00026965">
      <w:pPr>
        <w:pStyle w:val="ListParagraph"/>
        <w:spacing w:line="360" w:lineRule="auto"/>
        <w:ind w:left="0"/>
        <w:jc w:val="both"/>
        <w:rPr>
          <w:rFonts w:ascii="Times New Roman" w:hAnsi="Times New Roman" w:cs="Times New Roman"/>
          <w:b/>
          <w:bCs/>
        </w:rPr>
      </w:pPr>
    </w:p>
    <w:p w14:paraId="33A37C5A" w14:textId="4220AE8C" w:rsidR="00CA3349" w:rsidRPr="00A903A4" w:rsidRDefault="00CA3349" w:rsidP="008B55A9">
      <w:pPr>
        <w:pStyle w:val="ListParagraph"/>
        <w:ind w:left="0"/>
        <w:jc w:val="both"/>
        <w:rPr>
          <w:rFonts w:ascii="Times New Roman" w:hAnsi="Times New Roman" w:cs="Times New Roman"/>
        </w:rPr>
      </w:pPr>
    </w:p>
    <w:sectPr w:rsidR="00CA3349" w:rsidRPr="00A903A4" w:rsidSect="00451BCE">
      <w:type w:val="continuous"/>
      <w:pgSz w:w="12240" w:h="15840"/>
      <w:pgMar w:top="2016" w:right="1728" w:bottom="1728" w:left="2016" w:header="720" w:footer="720" w:gutter="0"/>
      <w:cols w:space="2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61B67"/>
    <w:multiLevelType w:val="hybridMultilevel"/>
    <w:tmpl w:val="FB8CC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00367"/>
    <w:multiLevelType w:val="multilevel"/>
    <w:tmpl w:val="37A2CE8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42CA1140"/>
    <w:multiLevelType w:val="hybridMultilevel"/>
    <w:tmpl w:val="05AC0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1NDQytDCzNLY0sDRT0lEKTi0uzszPAykwrgUAFPBLIywAAAA="/>
  </w:docVars>
  <w:rsids>
    <w:rsidRoot w:val="0013036B"/>
    <w:rsid w:val="00026965"/>
    <w:rsid w:val="00064D56"/>
    <w:rsid w:val="00080834"/>
    <w:rsid w:val="000D3756"/>
    <w:rsid w:val="0013036B"/>
    <w:rsid w:val="00142109"/>
    <w:rsid w:val="001776AF"/>
    <w:rsid w:val="00183501"/>
    <w:rsid w:val="00203287"/>
    <w:rsid w:val="0025291E"/>
    <w:rsid w:val="00282EB0"/>
    <w:rsid w:val="00287559"/>
    <w:rsid w:val="002C0074"/>
    <w:rsid w:val="003849AD"/>
    <w:rsid w:val="003D1107"/>
    <w:rsid w:val="00404DF0"/>
    <w:rsid w:val="00433C56"/>
    <w:rsid w:val="00451BCE"/>
    <w:rsid w:val="00522F8B"/>
    <w:rsid w:val="0052676B"/>
    <w:rsid w:val="00532F94"/>
    <w:rsid w:val="00585CE9"/>
    <w:rsid w:val="005913BD"/>
    <w:rsid w:val="005E6416"/>
    <w:rsid w:val="00684E1C"/>
    <w:rsid w:val="00692E05"/>
    <w:rsid w:val="007427C4"/>
    <w:rsid w:val="00760B6C"/>
    <w:rsid w:val="008B55A9"/>
    <w:rsid w:val="00990309"/>
    <w:rsid w:val="009C37BA"/>
    <w:rsid w:val="009E197D"/>
    <w:rsid w:val="00A156CE"/>
    <w:rsid w:val="00A401D2"/>
    <w:rsid w:val="00A63036"/>
    <w:rsid w:val="00A7739A"/>
    <w:rsid w:val="00A903A4"/>
    <w:rsid w:val="00B10425"/>
    <w:rsid w:val="00B34F0C"/>
    <w:rsid w:val="00B420D8"/>
    <w:rsid w:val="00B56078"/>
    <w:rsid w:val="00B63B2B"/>
    <w:rsid w:val="00B64C4D"/>
    <w:rsid w:val="00BC424D"/>
    <w:rsid w:val="00C13682"/>
    <w:rsid w:val="00C57F60"/>
    <w:rsid w:val="00C64630"/>
    <w:rsid w:val="00C7515A"/>
    <w:rsid w:val="00CA3349"/>
    <w:rsid w:val="00CF4C17"/>
    <w:rsid w:val="00D02149"/>
    <w:rsid w:val="00D17943"/>
    <w:rsid w:val="00D31484"/>
    <w:rsid w:val="00DA5A30"/>
    <w:rsid w:val="00DB75FE"/>
    <w:rsid w:val="00E359F7"/>
    <w:rsid w:val="00E416BE"/>
    <w:rsid w:val="00E929C3"/>
    <w:rsid w:val="00E92FA9"/>
    <w:rsid w:val="00F16782"/>
    <w:rsid w:val="00F41993"/>
    <w:rsid w:val="00F75715"/>
    <w:rsid w:val="00F77CF9"/>
    <w:rsid w:val="00F8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FEFF5"/>
  <w15:chartTrackingRefBased/>
  <w15:docId w15:val="{DF4DA503-C843-4576-A125-769D92D4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36B"/>
    <w:pPr>
      <w:ind w:left="720"/>
      <w:contextualSpacing/>
    </w:pPr>
  </w:style>
  <w:style w:type="character" w:styleId="Hyperlink">
    <w:name w:val="Hyperlink"/>
    <w:basedOn w:val="DefaultParagraphFont"/>
    <w:uiPriority w:val="99"/>
    <w:unhideWhenUsed/>
    <w:rsid w:val="00BC424D"/>
    <w:rPr>
      <w:color w:val="0563C1" w:themeColor="hyperlink"/>
      <w:u w:val="single"/>
    </w:rPr>
  </w:style>
  <w:style w:type="character" w:customStyle="1" w:styleId="UnresolvedMention1">
    <w:name w:val="Unresolved Mention1"/>
    <w:basedOn w:val="DefaultParagraphFont"/>
    <w:uiPriority w:val="99"/>
    <w:semiHidden/>
    <w:unhideWhenUsed/>
    <w:rsid w:val="00BC424D"/>
    <w:rPr>
      <w:color w:val="605E5C"/>
      <w:shd w:val="clear" w:color="auto" w:fill="E1DFDD"/>
    </w:rPr>
  </w:style>
  <w:style w:type="table" w:styleId="TableGrid">
    <w:name w:val="Table Grid"/>
    <w:basedOn w:val="TableNormal"/>
    <w:uiPriority w:val="39"/>
    <w:rsid w:val="0020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7080">
      <w:bodyDiv w:val="1"/>
      <w:marLeft w:val="0"/>
      <w:marRight w:val="0"/>
      <w:marTop w:val="0"/>
      <w:marBottom w:val="0"/>
      <w:divBdr>
        <w:top w:val="none" w:sz="0" w:space="0" w:color="auto"/>
        <w:left w:val="none" w:sz="0" w:space="0" w:color="auto"/>
        <w:bottom w:val="none" w:sz="0" w:space="0" w:color="auto"/>
        <w:right w:val="none" w:sz="0" w:space="0" w:color="auto"/>
      </w:divBdr>
      <w:divsChild>
        <w:div w:id="349793140">
          <w:marLeft w:val="0"/>
          <w:marRight w:val="0"/>
          <w:marTop w:val="0"/>
          <w:marBottom w:val="0"/>
          <w:divBdr>
            <w:top w:val="none" w:sz="0" w:space="0" w:color="auto"/>
            <w:left w:val="none" w:sz="0" w:space="0" w:color="auto"/>
            <w:bottom w:val="none" w:sz="0" w:space="0" w:color="auto"/>
            <w:right w:val="none" w:sz="0" w:space="0" w:color="auto"/>
          </w:divBdr>
          <w:divsChild>
            <w:div w:id="1588686146">
              <w:marLeft w:val="0"/>
              <w:marRight w:val="0"/>
              <w:marTop w:val="0"/>
              <w:marBottom w:val="0"/>
              <w:divBdr>
                <w:top w:val="none" w:sz="0" w:space="0" w:color="auto"/>
                <w:left w:val="none" w:sz="0" w:space="0" w:color="auto"/>
                <w:bottom w:val="none" w:sz="0" w:space="0" w:color="auto"/>
                <w:right w:val="none" w:sz="0" w:space="0" w:color="auto"/>
              </w:divBdr>
              <w:divsChild>
                <w:div w:id="289241082">
                  <w:marLeft w:val="0"/>
                  <w:marRight w:val="0"/>
                  <w:marTop w:val="0"/>
                  <w:marBottom w:val="0"/>
                  <w:divBdr>
                    <w:top w:val="none" w:sz="0" w:space="0" w:color="auto"/>
                    <w:left w:val="none" w:sz="0" w:space="0" w:color="auto"/>
                    <w:bottom w:val="none" w:sz="0" w:space="0" w:color="auto"/>
                    <w:right w:val="none" w:sz="0" w:space="0" w:color="auto"/>
                  </w:divBdr>
                  <w:divsChild>
                    <w:div w:id="311830024">
                      <w:marLeft w:val="0"/>
                      <w:marRight w:val="0"/>
                      <w:marTop w:val="0"/>
                      <w:marBottom w:val="0"/>
                      <w:divBdr>
                        <w:top w:val="none" w:sz="0" w:space="0" w:color="auto"/>
                        <w:left w:val="none" w:sz="0" w:space="0" w:color="auto"/>
                        <w:bottom w:val="none" w:sz="0" w:space="0" w:color="auto"/>
                        <w:right w:val="none" w:sz="0" w:space="0" w:color="auto"/>
                      </w:divBdr>
                      <w:divsChild>
                        <w:div w:id="1243873994">
                          <w:marLeft w:val="0"/>
                          <w:marRight w:val="0"/>
                          <w:marTop w:val="0"/>
                          <w:marBottom w:val="0"/>
                          <w:divBdr>
                            <w:top w:val="none" w:sz="0" w:space="0" w:color="auto"/>
                            <w:left w:val="none" w:sz="0" w:space="0" w:color="auto"/>
                            <w:bottom w:val="none" w:sz="0" w:space="0" w:color="auto"/>
                            <w:right w:val="none" w:sz="0" w:space="0" w:color="auto"/>
                          </w:divBdr>
                          <w:divsChild>
                            <w:div w:id="1545365536">
                              <w:marLeft w:val="0"/>
                              <w:marRight w:val="0"/>
                              <w:marTop w:val="0"/>
                              <w:marBottom w:val="0"/>
                              <w:divBdr>
                                <w:top w:val="none" w:sz="0" w:space="0" w:color="auto"/>
                                <w:left w:val="none" w:sz="0" w:space="0" w:color="auto"/>
                                <w:bottom w:val="none" w:sz="0" w:space="0" w:color="auto"/>
                                <w:right w:val="none" w:sz="0" w:space="0" w:color="auto"/>
                              </w:divBdr>
                              <w:divsChild>
                                <w:div w:id="143358510">
                                  <w:marLeft w:val="0"/>
                                  <w:marRight w:val="0"/>
                                  <w:marTop w:val="0"/>
                                  <w:marBottom w:val="0"/>
                                  <w:divBdr>
                                    <w:top w:val="none" w:sz="0" w:space="0" w:color="auto"/>
                                    <w:left w:val="none" w:sz="0" w:space="0" w:color="auto"/>
                                    <w:bottom w:val="none" w:sz="0" w:space="0" w:color="auto"/>
                                    <w:right w:val="none" w:sz="0" w:space="0" w:color="auto"/>
                                  </w:divBdr>
                                  <w:divsChild>
                                    <w:div w:id="148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885342">
      <w:bodyDiv w:val="1"/>
      <w:marLeft w:val="0"/>
      <w:marRight w:val="0"/>
      <w:marTop w:val="0"/>
      <w:marBottom w:val="0"/>
      <w:divBdr>
        <w:top w:val="none" w:sz="0" w:space="0" w:color="auto"/>
        <w:left w:val="none" w:sz="0" w:space="0" w:color="auto"/>
        <w:bottom w:val="none" w:sz="0" w:space="0" w:color="auto"/>
        <w:right w:val="none" w:sz="0" w:space="0" w:color="auto"/>
      </w:divBdr>
      <w:divsChild>
        <w:div w:id="1249732723">
          <w:marLeft w:val="0"/>
          <w:marRight w:val="0"/>
          <w:marTop w:val="0"/>
          <w:marBottom w:val="0"/>
          <w:divBdr>
            <w:top w:val="none" w:sz="0" w:space="0" w:color="auto"/>
            <w:left w:val="none" w:sz="0" w:space="0" w:color="auto"/>
            <w:bottom w:val="none" w:sz="0" w:space="0" w:color="auto"/>
            <w:right w:val="none" w:sz="0" w:space="0" w:color="auto"/>
          </w:divBdr>
          <w:divsChild>
            <w:div w:id="1249582481">
              <w:marLeft w:val="0"/>
              <w:marRight w:val="0"/>
              <w:marTop w:val="0"/>
              <w:marBottom w:val="0"/>
              <w:divBdr>
                <w:top w:val="none" w:sz="0" w:space="0" w:color="auto"/>
                <w:left w:val="none" w:sz="0" w:space="0" w:color="auto"/>
                <w:bottom w:val="none" w:sz="0" w:space="0" w:color="auto"/>
                <w:right w:val="none" w:sz="0" w:space="0" w:color="auto"/>
              </w:divBdr>
              <w:divsChild>
                <w:div w:id="45567410">
                  <w:marLeft w:val="0"/>
                  <w:marRight w:val="0"/>
                  <w:marTop w:val="0"/>
                  <w:marBottom w:val="0"/>
                  <w:divBdr>
                    <w:top w:val="none" w:sz="0" w:space="0" w:color="auto"/>
                    <w:left w:val="none" w:sz="0" w:space="0" w:color="auto"/>
                    <w:bottom w:val="none" w:sz="0" w:space="0" w:color="auto"/>
                    <w:right w:val="none" w:sz="0" w:space="0" w:color="auto"/>
                  </w:divBdr>
                  <w:divsChild>
                    <w:div w:id="582689494">
                      <w:marLeft w:val="0"/>
                      <w:marRight w:val="0"/>
                      <w:marTop w:val="0"/>
                      <w:marBottom w:val="0"/>
                      <w:divBdr>
                        <w:top w:val="none" w:sz="0" w:space="0" w:color="auto"/>
                        <w:left w:val="none" w:sz="0" w:space="0" w:color="auto"/>
                        <w:bottom w:val="none" w:sz="0" w:space="0" w:color="auto"/>
                        <w:right w:val="none" w:sz="0" w:space="0" w:color="auto"/>
                      </w:divBdr>
                      <w:divsChild>
                        <w:div w:id="287126112">
                          <w:marLeft w:val="0"/>
                          <w:marRight w:val="0"/>
                          <w:marTop w:val="0"/>
                          <w:marBottom w:val="0"/>
                          <w:divBdr>
                            <w:top w:val="none" w:sz="0" w:space="0" w:color="auto"/>
                            <w:left w:val="none" w:sz="0" w:space="0" w:color="auto"/>
                            <w:bottom w:val="none" w:sz="0" w:space="0" w:color="auto"/>
                            <w:right w:val="none" w:sz="0" w:space="0" w:color="auto"/>
                          </w:divBdr>
                          <w:divsChild>
                            <w:div w:id="702561001">
                              <w:marLeft w:val="0"/>
                              <w:marRight w:val="0"/>
                              <w:marTop w:val="0"/>
                              <w:marBottom w:val="0"/>
                              <w:divBdr>
                                <w:top w:val="none" w:sz="0" w:space="0" w:color="auto"/>
                                <w:left w:val="none" w:sz="0" w:space="0" w:color="auto"/>
                                <w:bottom w:val="none" w:sz="0" w:space="0" w:color="auto"/>
                                <w:right w:val="none" w:sz="0" w:space="0" w:color="auto"/>
                              </w:divBdr>
                              <w:divsChild>
                                <w:div w:id="1102262523">
                                  <w:marLeft w:val="0"/>
                                  <w:marRight w:val="0"/>
                                  <w:marTop w:val="0"/>
                                  <w:marBottom w:val="0"/>
                                  <w:divBdr>
                                    <w:top w:val="none" w:sz="0" w:space="0" w:color="auto"/>
                                    <w:left w:val="none" w:sz="0" w:space="0" w:color="auto"/>
                                    <w:bottom w:val="none" w:sz="0" w:space="0" w:color="auto"/>
                                    <w:right w:val="none" w:sz="0" w:space="0" w:color="auto"/>
                                  </w:divBdr>
                                  <w:divsChild>
                                    <w:div w:id="10065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848990">
      <w:bodyDiv w:val="1"/>
      <w:marLeft w:val="0"/>
      <w:marRight w:val="0"/>
      <w:marTop w:val="0"/>
      <w:marBottom w:val="0"/>
      <w:divBdr>
        <w:top w:val="none" w:sz="0" w:space="0" w:color="auto"/>
        <w:left w:val="none" w:sz="0" w:space="0" w:color="auto"/>
        <w:bottom w:val="none" w:sz="0" w:space="0" w:color="auto"/>
        <w:right w:val="none" w:sz="0" w:space="0" w:color="auto"/>
      </w:divBdr>
      <w:divsChild>
        <w:div w:id="1164204418">
          <w:marLeft w:val="0"/>
          <w:marRight w:val="0"/>
          <w:marTop w:val="0"/>
          <w:marBottom w:val="0"/>
          <w:divBdr>
            <w:top w:val="none" w:sz="0" w:space="0" w:color="auto"/>
            <w:left w:val="none" w:sz="0" w:space="0" w:color="auto"/>
            <w:bottom w:val="none" w:sz="0" w:space="0" w:color="auto"/>
            <w:right w:val="none" w:sz="0" w:space="0" w:color="auto"/>
          </w:divBdr>
          <w:divsChild>
            <w:div w:id="331953057">
              <w:marLeft w:val="0"/>
              <w:marRight w:val="0"/>
              <w:marTop w:val="0"/>
              <w:marBottom w:val="0"/>
              <w:divBdr>
                <w:top w:val="none" w:sz="0" w:space="0" w:color="auto"/>
                <w:left w:val="none" w:sz="0" w:space="0" w:color="auto"/>
                <w:bottom w:val="none" w:sz="0" w:space="0" w:color="auto"/>
                <w:right w:val="none" w:sz="0" w:space="0" w:color="auto"/>
              </w:divBdr>
              <w:divsChild>
                <w:div w:id="161630924">
                  <w:marLeft w:val="0"/>
                  <w:marRight w:val="0"/>
                  <w:marTop w:val="0"/>
                  <w:marBottom w:val="0"/>
                  <w:divBdr>
                    <w:top w:val="none" w:sz="0" w:space="0" w:color="auto"/>
                    <w:left w:val="none" w:sz="0" w:space="0" w:color="auto"/>
                    <w:bottom w:val="none" w:sz="0" w:space="0" w:color="auto"/>
                    <w:right w:val="none" w:sz="0" w:space="0" w:color="auto"/>
                  </w:divBdr>
                  <w:divsChild>
                    <w:div w:id="1193955624">
                      <w:marLeft w:val="0"/>
                      <w:marRight w:val="0"/>
                      <w:marTop w:val="0"/>
                      <w:marBottom w:val="0"/>
                      <w:divBdr>
                        <w:top w:val="none" w:sz="0" w:space="0" w:color="auto"/>
                        <w:left w:val="none" w:sz="0" w:space="0" w:color="auto"/>
                        <w:bottom w:val="none" w:sz="0" w:space="0" w:color="auto"/>
                        <w:right w:val="none" w:sz="0" w:space="0" w:color="auto"/>
                      </w:divBdr>
                      <w:divsChild>
                        <w:div w:id="267809662">
                          <w:marLeft w:val="0"/>
                          <w:marRight w:val="0"/>
                          <w:marTop w:val="0"/>
                          <w:marBottom w:val="0"/>
                          <w:divBdr>
                            <w:top w:val="none" w:sz="0" w:space="0" w:color="auto"/>
                            <w:left w:val="none" w:sz="0" w:space="0" w:color="auto"/>
                            <w:bottom w:val="none" w:sz="0" w:space="0" w:color="auto"/>
                            <w:right w:val="none" w:sz="0" w:space="0" w:color="auto"/>
                          </w:divBdr>
                          <w:divsChild>
                            <w:div w:id="2011790432">
                              <w:marLeft w:val="0"/>
                              <w:marRight w:val="0"/>
                              <w:marTop w:val="0"/>
                              <w:marBottom w:val="0"/>
                              <w:divBdr>
                                <w:top w:val="none" w:sz="0" w:space="0" w:color="auto"/>
                                <w:left w:val="none" w:sz="0" w:space="0" w:color="auto"/>
                                <w:bottom w:val="none" w:sz="0" w:space="0" w:color="auto"/>
                                <w:right w:val="none" w:sz="0" w:space="0" w:color="auto"/>
                              </w:divBdr>
                              <w:divsChild>
                                <w:div w:id="2127311525">
                                  <w:marLeft w:val="0"/>
                                  <w:marRight w:val="0"/>
                                  <w:marTop w:val="0"/>
                                  <w:marBottom w:val="0"/>
                                  <w:divBdr>
                                    <w:top w:val="none" w:sz="0" w:space="0" w:color="auto"/>
                                    <w:left w:val="none" w:sz="0" w:space="0" w:color="auto"/>
                                    <w:bottom w:val="none" w:sz="0" w:space="0" w:color="auto"/>
                                    <w:right w:val="none" w:sz="0" w:space="0" w:color="auto"/>
                                  </w:divBdr>
                                  <w:divsChild>
                                    <w:div w:id="11883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437558">
      <w:bodyDiv w:val="1"/>
      <w:marLeft w:val="0"/>
      <w:marRight w:val="0"/>
      <w:marTop w:val="0"/>
      <w:marBottom w:val="0"/>
      <w:divBdr>
        <w:top w:val="none" w:sz="0" w:space="0" w:color="auto"/>
        <w:left w:val="none" w:sz="0" w:space="0" w:color="auto"/>
        <w:bottom w:val="none" w:sz="0" w:space="0" w:color="auto"/>
        <w:right w:val="none" w:sz="0" w:space="0" w:color="auto"/>
      </w:divBdr>
      <w:divsChild>
        <w:div w:id="911622182">
          <w:marLeft w:val="0"/>
          <w:marRight w:val="0"/>
          <w:marTop w:val="0"/>
          <w:marBottom w:val="0"/>
          <w:divBdr>
            <w:top w:val="none" w:sz="0" w:space="0" w:color="auto"/>
            <w:left w:val="none" w:sz="0" w:space="0" w:color="auto"/>
            <w:bottom w:val="none" w:sz="0" w:space="0" w:color="auto"/>
            <w:right w:val="none" w:sz="0" w:space="0" w:color="auto"/>
          </w:divBdr>
          <w:divsChild>
            <w:div w:id="1517886007">
              <w:marLeft w:val="0"/>
              <w:marRight w:val="0"/>
              <w:marTop w:val="0"/>
              <w:marBottom w:val="0"/>
              <w:divBdr>
                <w:top w:val="none" w:sz="0" w:space="0" w:color="auto"/>
                <w:left w:val="none" w:sz="0" w:space="0" w:color="auto"/>
                <w:bottom w:val="none" w:sz="0" w:space="0" w:color="auto"/>
                <w:right w:val="none" w:sz="0" w:space="0" w:color="auto"/>
              </w:divBdr>
              <w:divsChild>
                <w:div w:id="1724212350">
                  <w:marLeft w:val="0"/>
                  <w:marRight w:val="0"/>
                  <w:marTop w:val="0"/>
                  <w:marBottom w:val="0"/>
                  <w:divBdr>
                    <w:top w:val="none" w:sz="0" w:space="0" w:color="auto"/>
                    <w:left w:val="none" w:sz="0" w:space="0" w:color="auto"/>
                    <w:bottom w:val="none" w:sz="0" w:space="0" w:color="auto"/>
                    <w:right w:val="none" w:sz="0" w:space="0" w:color="auto"/>
                  </w:divBdr>
                  <w:divsChild>
                    <w:div w:id="280846509">
                      <w:marLeft w:val="0"/>
                      <w:marRight w:val="0"/>
                      <w:marTop w:val="0"/>
                      <w:marBottom w:val="0"/>
                      <w:divBdr>
                        <w:top w:val="none" w:sz="0" w:space="0" w:color="auto"/>
                        <w:left w:val="none" w:sz="0" w:space="0" w:color="auto"/>
                        <w:bottom w:val="none" w:sz="0" w:space="0" w:color="auto"/>
                        <w:right w:val="none" w:sz="0" w:space="0" w:color="auto"/>
                      </w:divBdr>
                      <w:divsChild>
                        <w:div w:id="2092119928">
                          <w:marLeft w:val="0"/>
                          <w:marRight w:val="0"/>
                          <w:marTop w:val="0"/>
                          <w:marBottom w:val="0"/>
                          <w:divBdr>
                            <w:top w:val="none" w:sz="0" w:space="0" w:color="auto"/>
                            <w:left w:val="none" w:sz="0" w:space="0" w:color="auto"/>
                            <w:bottom w:val="none" w:sz="0" w:space="0" w:color="auto"/>
                            <w:right w:val="none" w:sz="0" w:space="0" w:color="auto"/>
                          </w:divBdr>
                          <w:divsChild>
                            <w:div w:id="481435253">
                              <w:marLeft w:val="0"/>
                              <w:marRight w:val="0"/>
                              <w:marTop w:val="0"/>
                              <w:marBottom w:val="0"/>
                              <w:divBdr>
                                <w:top w:val="none" w:sz="0" w:space="0" w:color="auto"/>
                                <w:left w:val="none" w:sz="0" w:space="0" w:color="auto"/>
                                <w:bottom w:val="none" w:sz="0" w:space="0" w:color="auto"/>
                                <w:right w:val="none" w:sz="0" w:space="0" w:color="auto"/>
                              </w:divBdr>
                              <w:divsChild>
                                <w:div w:id="996031273">
                                  <w:marLeft w:val="0"/>
                                  <w:marRight w:val="0"/>
                                  <w:marTop w:val="0"/>
                                  <w:marBottom w:val="0"/>
                                  <w:divBdr>
                                    <w:top w:val="none" w:sz="0" w:space="0" w:color="auto"/>
                                    <w:left w:val="none" w:sz="0" w:space="0" w:color="auto"/>
                                    <w:bottom w:val="none" w:sz="0" w:space="0" w:color="auto"/>
                                    <w:right w:val="none" w:sz="0" w:space="0" w:color="auto"/>
                                  </w:divBdr>
                                  <w:divsChild>
                                    <w:div w:id="2206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025F9-2C7D-41A1-810A-359416D0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3406</Words>
  <Characters>41665</Characters>
  <Application>Microsoft Office Word</Application>
  <DocSecurity>0</DocSecurity>
  <Lines>347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KETUT KASTA</dc:creator>
  <cp:keywords/>
  <dc:description/>
  <cp:lastModifiedBy>SDI PC New 16</cp:lastModifiedBy>
  <cp:revision>5</cp:revision>
  <dcterms:created xsi:type="dcterms:W3CDTF">2025-12-08T22:08:00Z</dcterms:created>
  <dcterms:modified xsi:type="dcterms:W3CDTF">2025-12-09T09:50:00Z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39dea47d-d1e8-3538-9303-627c31a59438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http://www.zotero.org/styles/bluebook-law-review</vt:lpwstr>
  </property>
  <property fmtid="{D5CDD505-2E9C-101B-9397-08002B2CF9AE}" pid="12" name="Mendeley Recent Style Name 3_1">
    <vt:lpwstr>Bluebook Law Review</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http://www.zotero.org/styles/university-of-york-oscola</vt:lpwstr>
  </property>
  <property fmtid="{D5CDD505-2E9C-101B-9397-08002B2CF9AE}" pid="22" name="Mendeley Recent Style Name 8_1">
    <vt:lpwstr>University of York - OSCOLA</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057483e9-2692-44f2-97b9-5115f8d900cf</vt:lpwstr>
  </property>
</Properties>
</file>