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C79D8" w14:textId="5F8A6259" w:rsidR="00001B89" w:rsidRPr="00381C38" w:rsidRDefault="00001B89" w:rsidP="00001B89">
      <w:pPr>
        <w:spacing w:line="240" w:lineRule="auto"/>
        <w:rPr>
          <w:rFonts w:ascii="Arial" w:hAnsi="Arial" w:cs="Arial"/>
          <w:b/>
          <w:sz w:val="28"/>
          <w:szCs w:val="28"/>
          <w:u w:val="single"/>
        </w:rPr>
      </w:pPr>
      <w:r w:rsidRPr="00381C38">
        <w:rPr>
          <w:rFonts w:ascii="Arial" w:hAnsi="Arial" w:cs="Arial"/>
          <w:b/>
          <w:sz w:val="28"/>
          <w:szCs w:val="28"/>
          <w:u w:val="single"/>
        </w:rPr>
        <w:t xml:space="preserve">Original Research Article                </w:t>
      </w:r>
    </w:p>
    <w:p w14:paraId="68273928" w14:textId="77777777" w:rsidR="00001B89" w:rsidRDefault="00001B89" w:rsidP="00617DFE">
      <w:pPr>
        <w:spacing w:line="240" w:lineRule="auto"/>
        <w:jc w:val="right"/>
        <w:rPr>
          <w:rFonts w:ascii="Arial" w:hAnsi="Arial" w:cs="Arial"/>
          <w:b/>
          <w:sz w:val="36"/>
          <w:szCs w:val="36"/>
        </w:rPr>
      </w:pPr>
    </w:p>
    <w:p w14:paraId="77045E9B" w14:textId="378799E2" w:rsidR="005A7CB7" w:rsidRPr="00D77559" w:rsidRDefault="0096282E" w:rsidP="00617DFE">
      <w:pPr>
        <w:spacing w:line="240" w:lineRule="auto"/>
        <w:jc w:val="right"/>
        <w:rPr>
          <w:rFonts w:ascii="Arial" w:hAnsi="Arial" w:cs="Arial"/>
          <w:b/>
          <w:sz w:val="36"/>
          <w:szCs w:val="36"/>
        </w:rPr>
      </w:pPr>
      <w:r w:rsidRPr="00D77559">
        <w:rPr>
          <w:rFonts w:ascii="Arial" w:hAnsi="Arial" w:cs="Arial"/>
          <w:b/>
          <w:sz w:val="36"/>
          <w:szCs w:val="36"/>
        </w:rPr>
        <w:t>Design and Evaluation of Controlled-Release Floating Metformin HCl Tablets: Influence of Binder and Granulation Process on Buoyancy</w:t>
      </w:r>
    </w:p>
    <w:p w14:paraId="6E78A3D4" w14:textId="77777777" w:rsidR="00FB13A8" w:rsidRDefault="00FB13A8" w:rsidP="000E31A9">
      <w:pPr>
        <w:spacing w:after="0" w:line="240" w:lineRule="auto"/>
        <w:jc w:val="right"/>
        <w:rPr>
          <w:rFonts w:ascii="Arial" w:hAnsi="Arial" w:cs="Arial"/>
          <w:b/>
          <w:sz w:val="20"/>
          <w:szCs w:val="20"/>
        </w:rPr>
      </w:pPr>
    </w:p>
    <w:p w14:paraId="073E9DC5" w14:textId="77777777" w:rsidR="00FB13A8" w:rsidRDefault="00FB13A8" w:rsidP="000E31A9">
      <w:pPr>
        <w:spacing w:after="0" w:line="240" w:lineRule="auto"/>
        <w:jc w:val="right"/>
        <w:rPr>
          <w:rFonts w:ascii="Arial" w:hAnsi="Arial" w:cs="Arial"/>
          <w:b/>
          <w:sz w:val="20"/>
          <w:szCs w:val="20"/>
        </w:rPr>
      </w:pPr>
    </w:p>
    <w:p w14:paraId="4BD64731" w14:textId="77777777" w:rsidR="00FB13A8" w:rsidRDefault="00FB13A8" w:rsidP="000E31A9">
      <w:pPr>
        <w:spacing w:after="0" w:line="240" w:lineRule="auto"/>
        <w:jc w:val="right"/>
        <w:rPr>
          <w:rFonts w:ascii="Arial" w:hAnsi="Arial" w:cs="Arial"/>
          <w:b/>
          <w:sz w:val="20"/>
          <w:szCs w:val="20"/>
        </w:rPr>
      </w:pPr>
    </w:p>
    <w:p w14:paraId="2CBED746" w14:textId="77777777" w:rsidR="008E76F6" w:rsidRDefault="008E76F6" w:rsidP="000E31A9">
      <w:pPr>
        <w:spacing w:after="0" w:line="240" w:lineRule="auto"/>
        <w:jc w:val="right"/>
        <w:rPr>
          <w:rFonts w:ascii="Arial" w:hAnsi="Arial" w:cs="Arial"/>
          <w:b/>
          <w:sz w:val="20"/>
          <w:szCs w:val="20"/>
        </w:rPr>
      </w:pPr>
    </w:p>
    <w:p w14:paraId="47029578" w14:textId="02986DF4" w:rsidR="00A46782" w:rsidRPr="00D77559" w:rsidRDefault="00A46782" w:rsidP="000E31A9">
      <w:pPr>
        <w:spacing w:after="0" w:line="240" w:lineRule="auto"/>
        <w:jc w:val="right"/>
        <w:rPr>
          <w:rFonts w:ascii="Arial" w:hAnsi="Arial" w:cs="Arial"/>
          <w:b/>
          <w:sz w:val="20"/>
          <w:szCs w:val="20"/>
        </w:rPr>
      </w:pPr>
      <w:r w:rsidRPr="00D77559">
        <w:rPr>
          <w:rFonts w:ascii="Arial" w:hAnsi="Arial" w:cs="Arial"/>
          <w:noProof/>
          <w:sz w:val="20"/>
          <w:szCs w:val="20"/>
          <w:lang w:val="en-US"/>
        </w:rPr>
        <mc:AlternateContent>
          <mc:Choice Requires="wps">
            <w:drawing>
              <wp:inline distT="0" distB="0" distL="0" distR="0" wp14:anchorId="492CEDE4" wp14:editId="5BAF20BD">
                <wp:extent cx="5790408" cy="45719"/>
                <wp:effectExtent l="0" t="0" r="20320" b="31115"/>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0408"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77A32ED" id="_x0000_t32" coordsize="21600,21600" o:spt="32" o:oned="t" path="m,l21600,21600e" filled="f">
                <v:path arrowok="t" fillok="f" o:connecttype="none"/>
                <o:lock v:ext="edit" shapetype="t"/>
              </v:shapetype>
              <v:shape id="Straight Arrow Connector 3" o:spid="_x0000_s1026" type="#_x0000_t32" style="width:455.95pt;height:3.6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" strokeweight="1.5pt">
                <w10:anchorlock/>
              </v:shape>
            </w:pict>
          </mc:Fallback>
        </mc:AlternateContent>
      </w:r>
    </w:p>
    <w:p w14:paraId="4D39D560" w14:textId="77777777" w:rsidR="004A398F" w:rsidRPr="00D77559" w:rsidRDefault="004A398F" w:rsidP="000E31A9">
      <w:pPr>
        <w:spacing w:line="240" w:lineRule="auto"/>
        <w:rPr>
          <w:rFonts w:ascii="Arial" w:hAnsi="Arial" w:cs="Arial"/>
          <w:b/>
          <w:sz w:val="20"/>
          <w:szCs w:val="20"/>
        </w:rPr>
      </w:pPr>
    </w:p>
    <w:p w14:paraId="70C45611" w14:textId="5854EDF6" w:rsidR="00A46782" w:rsidRPr="00D77559" w:rsidRDefault="00A46782" w:rsidP="000E31A9">
      <w:pPr>
        <w:spacing w:line="240" w:lineRule="auto"/>
        <w:rPr>
          <w:rFonts w:ascii="Arial" w:hAnsi="Arial" w:cs="Arial"/>
          <w:b/>
          <w:sz w:val="20"/>
          <w:szCs w:val="20"/>
        </w:rPr>
      </w:pPr>
      <w:r w:rsidRPr="00D805D1">
        <w:rPr>
          <w:rFonts w:ascii="Arial" w:hAnsi="Arial" w:cs="Arial"/>
          <w:b/>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A46782" w:rsidRPr="00D77559" w14:paraId="6C9F0946" w14:textId="77777777" w:rsidTr="00A46782">
        <w:tc>
          <w:tcPr>
            <w:tcW w:w="9016" w:type="dxa"/>
            <w:shd w:val="clear" w:color="auto" w:fill="F2F2F2"/>
          </w:tcPr>
          <w:p w14:paraId="34F2A246" w14:textId="45FE2F16" w:rsidR="00475853" w:rsidRDefault="00A46782" w:rsidP="000E31A9">
            <w:pPr>
              <w:pStyle w:val="Body"/>
              <w:spacing w:after="0"/>
              <w:rPr>
                <w:rFonts w:ascii="Arial" w:hAnsi="Arial" w:cs="Arial"/>
              </w:rPr>
            </w:pPr>
            <w:r w:rsidRPr="00D77559">
              <w:rPr>
                <w:rStyle w:val="Strong"/>
                <w:rFonts w:ascii="Arial" w:hAnsi="Arial" w:cs="Arial"/>
              </w:rPr>
              <w:t>Scope and objective:</w:t>
            </w:r>
            <w:r w:rsidR="006F3339">
              <w:rPr>
                <w:rStyle w:val="Strong"/>
                <w:rFonts w:ascii="Arial" w:hAnsi="Arial" w:cs="Arial"/>
              </w:rPr>
              <w:t xml:space="preserve"> </w:t>
            </w:r>
            <w:r w:rsidR="006F3339">
              <w:rPr>
                <w:rFonts w:ascii="Arial" w:hAnsi="Arial" w:cs="Arial"/>
              </w:rPr>
              <w:t>Objective of this</w:t>
            </w:r>
            <w:r w:rsidR="00475853" w:rsidRPr="00475853">
              <w:rPr>
                <w:rFonts w:ascii="Arial" w:hAnsi="Arial" w:cs="Arial"/>
              </w:rPr>
              <w:t xml:space="preserve"> study</w:t>
            </w:r>
            <w:r w:rsidR="006F3339">
              <w:rPr>
                <w:rFonts w:ascii="Arial" w:hAnsi="Arial" w:cs="Arial"/>
              </w:rPr>
              <w:t xml:space="preserve"> is to</w:t>
            </w:r>
            <w:r w:rsidR="00475853" w:rsidRPr="00475853">
              <w:rPr>
                <w:rFonts w:ascii="Arial" w:hAnsi="Arial" w:cs="Arial"/>
              </w:rPr>
              <w:t xml:space="preserve"> investigate how the combined effects of binder properties and granulation parameters shape the development and performance of controlled-release floating Metformin HCl tablets. It focuses on evaluating the suitability of various grades of Polyvinyl Alcohol (PVA) as granulating binders and assessing how alterations in top-spray granulation conditions influence tablet buoyancy and drug-release characteristics when Eudragit NE 30D is employed as the release-controlling coating polymer.</w:t>
            </w:r>
          </w:p>
          <w:p w14:paraId="43BDC5E3" w14:textId="3F8470B4" w:rsidR="006F3339" w:rsidRPr="006F3339" w:rsidRDefault="006F3339" w:rsidP="006F3339">
            <w:pPr>
              <w:pStyle w:val="Heading2"/>
              <w:jc w:val="both"/>
              <w:rPr>
                <w:rFonts w:ascii="Arial" w:eastAsia="Times New Roman" w:hAnsi="Arial" w:cs="Arial"/>
                <w:color w:val="auto"/>
                <w:sz w:val="20"/>
                <w:szCs w:val="20"/>
                <w:lang w:val="en-US"/>
              </w:rPr>
            </w:pPr>
            <w:r w:rsidRPr="006F3339">
              <w:rPr>
                <w:rStyle w:val="Strong"/>
                <w:rFonts w:ascii="Arial" w:eastAsia="Times New Roman" w:hAnsi="Arial" w:cs="Arial"/>
                <w:color w:val="auto"/>
                <w:sz w:val="20"/>
                <w:szCs w:val="20"/>
                <w:lang w:val="en-US"/>
              </w:rPr>
              <w:t>Methodology</w:t>
            </w:r>
            <w:r>
              <w:rPr>
                <w:rStyle w:val="Strong"/>
                <w:rFonts w:ascii="Arial" w:eastAsia="Times New Roman" w:hAnsi="Arial" w:cs="Arial"/>
                <w:color w:val="auto"/>
                <w:sz w:val="20"/>
                <w:szCs w:val="20"/>
                <w:lang w:val="en-US"/>
              </w:rPr>
              <w:t xml:space="preserve">: </w:t>
            </w:r>
            <w:r w:rsidRPr="006F3339">
              <w:rPr>
                <w:rFonts w:ascii="Arial" w:eastAsia="Times New Roman" w:hAnsi="Arial" w:cs="Arial"/>
                <w:color w:val="auto"/>
                <w:sz w:val="20"/>
                <w:szCs w:val="20"/>
                <w:lang w:val="en-US"/>
              </w:rPr>
              <w:t>Granules were produced using a low-shear top-spray granulation process with PVA serving as the binder.</w:t>
            </w:r>
            <w:r>
              <w:rPr>
                <w:rFonts w:ascii="Arial" w:eastAsia="Times New Roman" w:hAnsi="Arial" w:cs="Arial"/>
                <w:color w:val="auto"/>
                <w:sz w:val="20"/>
                <w:szCs w:val="20"/>
                <w:lang w:val="en-US"/>
              </w:rPr>
              <w:t xml:space="preserve"> </w:t>
            </w:r>
            <w:r w:rsidR="000B092B" w:rsidRPr="00C6198E">
              <w:rPr>
                <w:rFonts w:ascii="Arial" w:eastAsia="Times New Roman" w:hAnsi="Arial" w:cs="Arial"/>
                <w:color w:val="00B0F0"/>
                <w:sz w:val="20"/>
                <w:szCs w:val="20"/>
                <w:lang w:val="en-US"/>
              </w:rPr>
              <w:t>An experimental study was designed to evaluate the influence of various PVA grades on buoyancy performance and to assess process-related effects by comparing fast and slow spray rates at different inlet temperatures using</w:t>
            </w:r>
            <w:r w:rsidR="00C6198E">
              <w:rPr>
                <w:rFonts w:ascii="Arial" w:eastAsia="Times New Roman" w:hAnsi="Arial" w:cs="Arial"/>
                <w:color w:val="00B0F0"/>
                <w:sz w:val="20"/>
                <w:szCs w:val="20"/>
                <w:lang w:val="en-US"/>
              </w:rPr>
              <w:t xml:space="preserve"> optimized</w:t>
            </w:r>
            <w:r w:rsidR="000B092B" w:rsidRPr="00C6198E">
              <w:rPr>
                <w:rFonts w:ascii="Arial" w:eastAsia="Times New Roman" w:hAnsi="Arial" w:cs="Arial"/>
                <w:color w:val="00B0F0"/>
                <w:sz w:val="20"/>
                <w:szCs w:val="20"/>
                <w:lang w:val="en-US"/>
              </w:rPr>
              <w:t xml:space="preserve"> PVA 40 cP.</w:t>
            </w:r>
            <w:r w:rsidRPr="00C6198E">
              <w:rPr>
                <w:rFonts w:ascii="Arial" w:eastAsia="Times New Roman" w:hAnsi="Arial" w:cs="Arial"/>
                <w:color w:val="00B0F0"/>
                <w:sz w:val="20"/>
                <w:szCs w:val="20"/>
                <w:lang w:val="en-US"/>
              </w:rPr>
              <w:t xml:space="preserve"> </w:t>
            </w:r>
            <w:r w:rsidRPr="006F3339">
              <w:rPr>
                <w:rFonts w:ascii="Arial" w:eastAsia="Times New Roman" w:hAnsi="Arial" w:cs="Arial"/>
                <w:color w:val="auto"/>
                <w:sz w:val="20"/>
                <w:szCs w:val="20"/>
                <w:lang w:val="en-US"/>
              </w:rPr>
              <w:t>Compressed tablets were coated with Eudragit NE 30D, followed by comprehensive evaluation involving physicochemical testing, in vitro swelling and erosion studies, dissolution profiling, and in vivo buoyancy assessment. Drug-release kinetics were modeled to characterize the underlying release mechanisms.</w:t>
            </w:r>
          </w:p>
          <w:p w14:paraId="6D864CB9" w14:textId="46DEAFDA" w:rsidR="006F3339" w:rsidRPr="006F3339" w:rsidRDefault="006F3339" w:rsidP="006F3339">
            <w:pPr>
              <w:pStyle w:val="Heading2"/>
              <w:jc w:val="both"/>
              <w:rPr>
                <w:rFonts w:ascii="Arial" w:eastAsia="Times New Roman" w:hAnsi="Arial" w:cs="Arial"/>
                <w:color w:val="auto"/>
                <w:sz w:val="20"/>
                <w:szCs w:val="20"/>
                <w:lang w:val="en-US"/>
              </w:rPr>
            </w:pPr>
            <w:r w:rsidRPr="006F3339">
              <w:rPr>
                <w:rFonts w:ascii="Arial" w:eastAsia="Times New Roman" w:hAnsi="Arial" w:cs="Arial"/>
                <w:b/>
                <w:color w:val="auto"/>
                <w:sz w:val="20"/>
                <w:szCs w:val="20"/>
                <w:lang w:val="en-US"/>
              </w:rPr>
              <w:t>Results</w:t>
            </w:r>
            <w:r>
              <w:rPr>
                <w:rFonts w:ascii="Arial" w:eastAsia="Times New Roman" w:hAnsi="Arial" w:cs="Arial"/>
                <w:b/>
                <w:color w:val="auto"/>
                <w:sz w:val="20"/>
                <w:szCs w:val="20"/>
                <w:lang w:val="en-US"/>
              </w:rPr>
              <w:t xml:space="preserve">: </w:t>
            </w:r>
            <w:r w:rsidRPr="006F3339">
              <w:rPr>
                <w:rFonts w:ascii="Arial" w:eastAsia="Times New Roman" w:hAnsi="Arial" w:cs="Arial"/>
                <w:color w:val="auto"/>
                <w:sz w:val="20"/>
                <w:szCs w:val="20"/>
                <w:lang w:val="en-US"/>
              </w:rPr>
              <w:t>Of the formulations tested, MTH3, prepared with PVA 40 cP, exhibited rapid flotation (within 30 seconds) and maintained buoyancy for more than 16 hours. Lower-viscosity PVA grades did not yield floating systems. In the process-optimization phase, MTH3 manufactured using a faster spray rate outperformed MTH4, which was produced using a slower spray rate and required approximately 90 minutes to float. MTH3 also demonstrated nearly complete drug release (~98.7%) over more than 16 hours, whereas MTH4 released only 83.3% within the same period. Release-kinetic analysis indicated that MTH3 followed Higuchi behavior, suggesting a diffusion- and erosion-driven release pattern. Dissolution similarity (F2) remained unchanged under accelerated stability conditions.</w:t>
            </w:r>
          </w:p>
          <w:p w14:paraId="53653495" w14:textId="37EEFE66" w:rsidR="00A46782" w:rsidRPr="00B85C21" w:rsidRDefault="00A46782" w:rsidP="00B85C21">
            <w:pPr>
              <w:spacing w:after="0" w:line="240" w:lineRule="auto"/>
              <w:jc w:val="both"/>
              <w:rPr>
                <w:rFonts w:ascii="Arial" w:eastAsia="Times New Roman" w:hAnsi="Arial" w:cs="Arial"/>
                <w:sz w:val="20"/>
                <w:szCs w:val="20"/>
                <w:lang w:val="en-US"/>
              </w:rPr>
            </w:pPr>
            <w:r w:rsidRPr="00B85C21">
              <w:rPr>
                <w:rStyle w:val="Strong"/>
                <w:rFonts w:ascii="Arial" w:hAnsi="Arial" w:cs="Arial"/>
                <w:sz w:val="20"/>
                <w:szCs w:val="20"/>
              </w:rPr>
              <w:t>Conclusions:</w:t>
            </w:r>
            <w:r w:rsidR="00B85C21">
              <w:rPr>
                <w:rStyle w:val="Strong"/>
                <w:rFonts w:ascii="Arial" w:hAnsi="Arial" w:cs="Arial"/>
                <w:sz w:val="20"/>
                <w:szCs w:val="20"/>
              </w:rPr>
              <w:t xml:space="preserve"> </w:t>
            </w:r>
            <w:r w:rsidR="00B85C21" w:rsidRPr="00B85C21">
              <w:rPr>
                <w:rFonts w:ascii="Arial" w:eastAsia="Times New Roman" w:hAnsi="Arial" w:cs="Arial"/>
                <w:sz w:val="20"/>
                <w:szCs w:val="20"/>
                <w:lang w:val="en-US"/>
              </w:rPr>
              <w:t>The combination of PVA 40cP and a fast top-spray granulation rate was identified as the optimal approach for producing floating controlled-release Metformin HCl tablets. This formulation strategy resulted in tablets with rapid and prolonged buoyancy, robust sustained-release characteristics, and strong stability performance, establishing it as a promising platform for enhanced gastro</w:t>
            </w:r>
            <w:r w:rsidR="00B85C21">
              <w:rPr>
                <w:rFonts w:ascii="Arial" w:eastAsia="Times New Roman" w:hAnsi="Arial" w:cs="Arial"/>
                <w:sz w:val="20"/>
                <w:szCs w:val="20"/>
                <w:lang w:val="en-US"/>
              </w:rPr>
              <w:t>-</w:t>
            </w:r>
            <w:r w:rsidR="00B85C21" w:rsidRPr="00B85C21">
              <w:rPr>
                <w:rFonts w:ascii="Arial" w:eastAsia="Times New Roman" w:hAnsi="Arial" w:cs="Arial"/>
                <w:sz w:val="20"/>
                <w:szCs w:val="20"/>
                <w:lang w:val="en-US"/>
              </w:rPr>
              <w:t>retentive drug delivery of Metformin HCl.</w:t>
            </w:r>
          </w:p>
        </w:tc>
      </w:tr>
    </w:tbl>
    <w:p w14:paraId="43A12762" w14:textId="77777777" w:rsidR="00B85C21" w:rsidRDefault="00B85C21" w:rsidP="000E31A9">
      <w:pPr>
        <w:spacing w:after="0" w:line="240" w:lineRule="auto"/>
        <w:jc w:val="both"/>
        <w:rPr>
          <w:rFonts w:ascii="Arial" w:hAnsi="Arial" w:cs="Arial"/>
          <w:i/>
          <w:sz w:val="20"/>
          <w:szCs w:val="20"/>
        </w:rPr>
      </w:pPr>
    </w:p>
    <w:p w14:paraId="40CEEA23" w14:textId="5F8670C5" w:rsidR="00090823" w:rsidRPr="00D77559" w:rsidRDefault="004F694E" w:rsidP="000E31A9">
      <w:pPr>
        <w:spacing w:after="0" w:line="240" w:lineRule="auto"/>
        <w:jc w:val="both"/>
        <w:rPr>
          <w:rFonts w:ascii="Arial" w:hAnsi="Arial" w:cs="Arial"/>
          <w:i/>
          <w:sz w:val="20"/>
          <w:szCs w:val="20"/>
        </w:rPr>
      </w:pPr>
      <w:r w:rsidRPr="00D77559">
        <w:rPr>
          <w:rFonts w:ascii="Arial" w:hAnsi="Arial" w:cs="Arial"/>
          <w:i/>
          <w:sz w:val="20"/>
          <w:szCs w:val="20"/>
        </w:rPr>
        <w:t>Key words: Metformin HCl, Controlled-Release Floating Tablets, Top spray granulation, in vivo buoyancy</w:t>
      </w:r>
    </w:p>
    <w:p w14:paraId="55CE0502" w14:textId="77777777" w:rsidR="000E31A9" w:rsidRPr="00D77559" w:rsidRDefault="000E31A9" w:rsidP="000E31A9">
      <w:pPr>
        <w:spacing w:after="0" w:line="240" w:lineRule="auto"/>
        <w:jc w:val="both"/>
        <w:rPr>
          <w:rFonts w:ascii="Arial" w:hAnsi="Arial" w:cs="Arial"/>
          <w:i/>
          <w:sz w:val="20"/>
          <w:szCs w:val="20"/>
        </w:rPr>
      </w:pPr>
    </w:p>
    <w:p w14:paraId="5622C11F" w14:textId="77777777" w:rsidR="00A46782" w:rsidRPr="00D77559" w:rsidRDefault="00A46782" w:rsidP="000E31A9">
      <w:pPr>
        <w:spacing w:after="0" w:line="240" w:lineRule="auto"/>
        <w:jc w:val="both"/>
        <w:rPr>
          <w:rFonts w:ascii="Arial" w:hAnsi="Arial" w:cs="Arial"/>
          <w:b/>
          <w:sz w:val="20"/>
          <w:szCs w:val="20"/>
        </w:rPr>
      </w:pPr>
      <w:r w:rsidRPr="00D77559">
        <w:rPr>
          <w:rFonts w:ascii="Arial" w:hAnsi="Arial" w:cs="Arial"/>
          <w:b/>
          <w:sz w:val="20"/>
          <w:szCs w:val="20"/>
        </w:rPr>
        <w:t>ABBREVIATIONS</w:t>
      </w:r>
    </w:p>
    <w:p w14:paraId="374BBBC4" w14:textId="7A9008DF" w:rsidR="00A46782" w:rsidRPr="00D77559" w:rsidRDefault="00A46782" w:rsidP="000E31A9">
      <w:pPr>
        <w:spacing w:after="0" w:line="240" w:lineRule="auto"/>
        <w:jc w:val="both"/>
        <w:rPr>
          <w:rFonts w:ascii="Arial" w:eastAsia="Times New Roman" w:hAnsi="Arial" w:cs="Arial"/>
          <w:i/>
          <w:color w:val="000000"/>
          <w:sz w:val="20"/>
          <w:szCs w:val="20"/>
          <w:lang w:eastAsia="en-IN"/>
        </w:rPr>
      </w:pPr>
      <w:r w:rsidRPr="00D77559">
        <w:rPr>
          <w:rFonts w:ascii="Arial" w:eastAsia="Times New Roman" w:hAnsi="Arial" w:cs="Arial"/>
          <w:i/>
          <w:color w:val="000000"/>
          <w:sz w:val="20"/>
          <w:szCs w:val="20"/>
          <w:lang w:eastAsia="en-IN"/>
        </w:rPr>
        <w:t>FDDS</w:t>
      </w:r>
      <w:r w:rsidR="0099595D" w:rsidRPr="00D77559">
        <w:rPr>
          <w:rFonts w:ascii="Arial" w:eastAsia="Times New Roman" w:hAnsi="Arial" w:cs="Arial"/>
          <w:i/>
          <w:color w:val="000000"/>
          <w:sz w:val="20"/>
          <w:szCs w:val="20"/>
          <w:lang w:eastAsia="en-IN"/>
        </w:rPr>
        <w:tab/>
      </w:r>
      <w:r w:rsidR="0099595D" w:rsidRPr="00D77559">
        <w:rPr>
          <w:rFonts w:ascii="Arial" w:eastAsia="Times New Roman" w:hAnsi="Arial" w:cs="Arial"/>
          <w:i/>
          <w:color w:val="000000"/>
          <w:sz w:val="20"/>
          <w:szCs w:val="20"/>
          <w:lang w:eastAsia="en-IN"/>
        </w:rPr>
        <w:tab/>
      </w:r>
      <w:r w:rsidRPr="00D77559">
        <w:rPr>
          <w:rFonts w:ascii="Arial" w:eastAsia="Times New Roman" w:hAnsi="Arial" w:cs="Arial"/>
          <w:i/>
          <w:color w:val="000000"/>
          <w:sz w:val="20"/>
          <w:szCs w:val="20"/>
          <w:lang w:eastAsia="en-IN"/>
        </w:rPr>
        <w:t>: Floating drug delivery systems</w:t>
      </w:r>
    </w:p>
    <w:p w14:paraId="77360A37" w14:textId="02B13BC4" w:rsidR="00A46782" w:rsidRPr="00D77559" w:rsidRDefault="00A46782" w:rsidP="000E31A9">
      <w:pPr>
        <w:spacing w:after="0" w:line="240" w:lineRule="auto"/>
        <w:jc w:val="both"/>
        <w:rPr>
          <w:rFonts w:ascii="Arial" w:eastAsia="Times New Roman" w:hAnsi="Arial" w:cs="Arial"/>
          <w:i/>
          <w:color w:val="000000"/>
          <w:sz w:val="20"/>
          <w:szCs w:val="20"/>
          <w:lang w:eastAsia="en-IN"/>
        </w:rPr>
      </w:pPr>
      <w:r w:rsidRPr="00D77559">
        <w:rPr>
          <w:rFonts w:ascii="Arial" w:eastAsia="Times New Roman" w:hAnsi="Arial" w:cs="Arial"/>
          <w:i/>
          <w:color w:val="000000"/>
          <w:sz w:val="20"/>
          <w:szCs w:val="20"/>
          <w:lang w:eastAsia="en-IN"/>
        </w:rPr>
        <w:t>GRDDS</w:t>
      </w:r>
      <w:r w:rsidR="0099595D" w:rsidRPr="00D77559">
        <w:rPr>
          <w:rFonts w:ascii="Arial" w:eastAsia="Times New Roman" w:hAnsi="Arial" w:cs="Arial"/>
          <w:i/>
          <w:color w:val="000000"/>
          <w:sz w:val="20"/>
          <w:szCs w:val="20"/>
          <w:lang w:eastAsia="en-IN"/>
        </w:rPr>
        <w:tab/>
      </w:r>
      <w:r w:rsidRPr="00D77559">
        <w:rPr>
          <w:rFonts w:ascii="Arial" w:eastAsia="Times New Roman" w:hAnsi="Arial" w:cs="Arial"/>
          <w:i/>
          <w:color w:val="000000"/>
          <w:sz w:val="20"/>
          <w:szCs w:val="20"/>
          <w:lang w:eastAsia="en-IN"/>
        </w:rPr>
        <w:t>: Gastro retentive drug delivery systems</w:t>
      </w:r>
    </w:p>
    <w:p w14:paraId="0E604253" w14:textId="3275C606" w:rsidR="00A46782" w:rsidRPr="00D77559" w:rsidRDefault="00A46782" w:rsidP="000E31A9">
      <w:pPr>
        <w:spacing w:after="0" w:line="240" w:lineRule="auto"/>
        <w:jc w:val="both"/>
        <w:rPr>
          <w:rFonts w:ascii="Arial" w:eastAsia="Times New Roman" w:hAnsi="Arial" w:cs="Arial"/>
          <w:i/>
          <w:color w:val="000000"/>
          <w:sz w:val="20"/>
          <w:szCs w:val="20"/>
          <w:lang w:eastAsia="en-IN"/>
        </w:rPr>
      </w:pPr>
      <w:r w:rsidRPr="00D77559">
        <w:rPr>
          <w:rFonts w:ascii="Arial" w:eastAsia="Times New Roman" w:hAnsi="Arial" w:cs="Arial"/>
          <w:i/>
          <w:color w:val="000000"/>
          <w:sz w:val="20"/>
          <w:szCs w:val="20"/>
          <w:lang w:eastAsia="en-IN"/>
        </w:rPr>
        <w:t>MTH</w:t>
      </w:r>
      <w:r w:rsidR="0099595D" w:rsidRPr="00D77559">
        <w:rPr>
          <w:rFonts w:ascii="Arial" w:eastAsia="Times New Roman" w:hAnsi="Arial" w:cs="Arial"/>
          <w:i/>
          <w:color w:val="000000"/>
          <w:sz w:val="20"/>
          <w:szCs w:val="20"/>
          <w:lang w:eastAsia="en-IN"/>
        </w:rPr>
        <w:tab/>
      </w:r>
      <w:r w:rsidR="0099595D" w:rsidRPr="00D77559">
        <w:rPr>
          <w:rFonts w:ascii="Arial" w:eastAsia="Times New Roman" w:hAnsi="Arial" w:cs="Arial"/>
          <w:i/>
          <w:color w:val="000000"/>
          <w:sz w:val="20"/>
          <w:szCs w:val="20"/>
          <w:lang w:eastAsia="en-IN"/>
        </w:rPr>
        <w:tab/>
      </w:r>
      <w:r w:rsidRPr="00D77559">
        <w:rPr>
          <w:rFonts w:ascii="Arial" w:eastAsia="Times New Roman" w:hAnsi="Arial" w:cs="Arial"/>
          <w:i/>
          <w:color w:val="000000"/>
          <w:sz w:val="20"/>
          <w:szCs w:val="20"/>
          <w:lang w:eastAsia="en-IN"/>
        </w:rPr>
        <w:t>: Metformin hydrochloride</w:t>
      </w:r>
    </w:p>
    <w:p w14:paraId="66A88CCA" w14:textId="455825CF" w:rsidR="00873813" w:rsidRPr="00D77559" w:rsidRDefault="00A46782" w:rsidP="000E31A9">
      <w:pPr>
        <w:spacing w:after="0" w:line="240" w:lineRule="auto"/>
        <w:jc w:val="both"/>
        <w:rPr>
          <w:rFonts w:ascii="Arial" w:eastAsia="Times New Roman" w:hAnsi="Arial" w:cs="Arial"/>
          <w:i/>
          <w:color w:val="000000"/>
          <w:sz w:val="20"/>
          <w:szCs w:val="20"/>
          <w:lang w:eastAsia="en-IN"/>
        </w:rPr>
      </w:pPr>
      <w:r w:rsidRPr="00D77559">
        <w:rPr>
          <w:rFonts w:ascii="Arial" w:eastAsia="Times New Roman" w:hAnsi="Arial" w:cs="Arial"/>
          <w:i/>
          <w:color w:val="000000"/>
          <w:sz w:val="20"/>
          <w:szCs w:val="20"/>
          <w:lang w:eastAsia="en-IN"/>
        </w:rPr>
        <w:t>PVA</w:t>
      </w:r>
      <w:r w:rsidR="0099595D" w:rsidRPr="00D77559">
        <w:rPr>
          <w:rFonts w:ascii="Arial" w:eastAsia="Times New Roman" w:hAnsi="Arial" w:cs="Arial"/>
          <w:i/>
          <w:color w:val="000000"/>
          <w:sz w:val="20"/>
          <w:szCs w:val="20"/>
          <w:lang w:eastAsia="en-IN"/>
        </w:rPr>
        <w:tab/>
      </w:r>
      <w:r w:rsidR="0099595D" w:rsidRPr="00D77559">
        <w:rPr>
          <w:rFonts w:ascii="Arial" w:eastAsia="Times New Roman" w:hAnsi="Arial" w:cs="Arial"/>
          <w:i/>
          <w:color w:val="000000"/>
          <w:sz w:val="20"/>
          <w:szCs w:val="20"/>
          <w:lang w:eastAsia="en-IN"/>
        </w:rPr>
        <w:tab/>
      </w:r>
      <w:r w:rsidRPr="00D77559">
        <w:rPr>
          <w:rFonts w:ascii="Arial" w:eastAsia="Times New Roman" w:hAnsi="Arial" w:cs="Arial"/>
          <w:i/>
          <w:color w:val="000000"/>
          <w:sz w:val="20"/>
          <w:szCs w:val="20"/>
          <w:lang w:eastAsia="en-IN"/>
        </w:rPr>
        <w:t>: Polyvinyl Alcohol</w:t>
      </w:r>
    </w:p>
    <w:p w14:paraId="458F73A3" w14:textId="78668EDB" w:rsidR="00A46782" w:rsidRPr="00D77559" w:rsidRDefault="00A46782" w:rsidP="000E31A9">
      <w:pPr>
        <w:spacing w:after="0" w:line="240" w:lineRule="auto"/>
        <w:jc w:val="both"/>
        <w:rPr>
          <w:rFonts w:ascii="Arial" w:eastAsia="Times New Roman" w:hAnsi="Arial" w:cs="Arial"/>
          <w:i/>
          <w:color w:val="000000"/>
          <w:sz w:val="20"/>
          <w:szCs w:val="20"/>
          <w:lang w:eastAsia="en-IN"/>
        </w:rPr>
      </w:pPr>
      <w:r w:rsidRPr="00D77559">
        <w:rPr>
          <w:rFonts w:ascii="Arial" w:eastAsia="Times New Roman" w:hAnsi="Arial" w:cs="Arial"/>
          <w:i/>
          <w:color w:val="000000"/>
          <w:sz w:val="20"/>
          <w:szCs w:val="20"/>
          <w:lang w:eastAsia="en-IN"/>
        </w:rPr>
        <w:t>FLT</w:t>
      </w:r>
      <w:r w:rsidR="0099595D" w:rsidRPr="00D77559">
        <w:rPr>
          <w:rFonts w:ascii="Arial" w:eastAsia="Times New Roman" w:hAnsi="Arial" w:cs="Arial"/>
          <w:i/>
          <w:color w:val="000000"/>
          <w:sz w:val="20"/>
          <w:szCs w:val="20"/>
          <w:lang w:eastAsia="en-IN"/>
        </w:rPr>
        <w:tab/>
      </w:r>
      <w:r w:rsidR="0099595D" w:rsidRPr="00D77559">
        <w:rPr>
          <w:rFonts w:ascii="Arial" w:eastAsia="Times New Roman" w:hAnsi="Arial" w:cs="Arial"/>
          <w:i/>
          <w:color w:val="000000"/>
          <w:sz w:val="20"/>
          <w:szCs w:val="20"/>
          <w:lang w:eastAsia="en-IN"/>
        </w:rPr>
        <w:tab/>
      </w:r>
      <w:r w:rsidRPr="00D77559">
        <w:rPr>
          <w:rFonts w:ascii="Arial" w:eastAsia="Times New Roman" w:hAnsi="Arial" w:cs="Arial"/>
          <w:i/>
          <w:color w:val="000000"/>
          <w:sz w:val="20"/>
          <w:szCs w:val="20"/>
          <w:lang w:eastAsia="en-IN"/>
        </w:rPr>
        <w:t xml:space="preserve">: </w:t>
      </w:r>
      <w:r w:rsidR="0099595D" w:rsidRPr="00D77559">
        <w:rPr>
          <w:rFonts w:ascii="Arial" w:eastAsia="Times New Roman" w:hAnsi="Arial" w:cs="Arial"/>
          <w:i/>
          <w:color w:val="000000"/>
          <w:sz w:val="20"/>
          <w:szCs w:val="20"/>
          <w:lang w:eastAsia="en-IN"/>
        </w:rPr>
        <w:t>F</w:t>
      </w:r>
      <w:r w:rsidRPr="00D77559">
        <w:rPr>
          <w:rFonts w:ascii="Arial" w:eastAsia="Times New Roman" w:hAnsi="Arial" w:cs="Arial"/>
          <w:i/>
          <w:color w:val="000000"/>
          <w:sz w:val="20"/>
          <w:szCs w:val="20"/>
          <w:lang w:eastAsia="en-IN"/>
        </w:rPr>
        <w:t>loating lag time</w:t>
      </w:r>
    </w:p>
    <w:p w14:paraId="1A02792E" w14:textId="12E819E3" w:rsidR="000E31A9" w:rsidRPr="00D77559" w:rsidRDefault="00A46782" w:rsidP="000E31A9">
      <w:pPr>
        <w:spacing w:after="0" w:line="240" w:lineRule="auto"/>
        <w:jc w:val="both"/>
        <w:rPr>
          <w:rFonts w:ascii="Arial" w:eastAsia="Times New Roman" w:hAnsi="Arial" w:cs="Arial"/>
          <w:i/>
          <w:color w:val="000000"/>
          <w:sz w:val="20"/>
          <w:szCs w:val="20"/>
          <w:lang w:eastAsia="en-IN"/>
        </w:rPr>
      </w:pPr>
      <w:r w:rsidRPr="00D77559">
        <w:rPr>
          <w:rFonts w:ascii="Arial" w:eastAsia="Times New Roman" w:hAnsi="Arial" w:cs="Arial"/>
          <w:i/>
          <w:color w:val="000000"/>
          <w:sz w:val="20"/>
          <w:szCs w:val="20"/>
          <w:lang w:eastAsia="en-IN"/>
        </w:rPr>
        <w:t>TFT</w:t>
      </w:r>
      <w:r w:rsidR="0099595D" w:rsidRPr="00D77559">
        <w:rPr>
          <w:rFonts w:ascii="Arial" w:eastAsia="Times New Roman" w:hAnsi="Arial" w:cs="Arial"/>
          <w:i/>
          <w:color w:val="000000"/>
          <w:sz w:val="20"/>
          <w:szCs w:val="20"/>
          <w:lang w:eastAsia="en-IN"/>
        </w:rPr>
        <w:tab/>
      </w:r>
      <w:r w:rsidR="0099595D" w:rsidRPr="00D77559">
        <w:rPr>
          <w:rFonts w:ascii="Arial" w:eastAsia="Times New Roman" w:hAnsi="Arial" w:cs="Arial"/>
          <w:i/>
          <w:color w:val="000000"/>
          <w:sz w:val="20"/>
          <w:szCs w:val="20"/>
          <w:lang w:eastAsia="en-IN"/>
        </w:rPr>
        <w:tab/>
      </w:r>
      <w:r w:rsidRPr="00D77559">
        <w:rPr>
          <w:rFonts w:ascii="Arial" w:eastAsia="Times New Roman" w:hAnsi="Arial" w:cs="Arial"/>
          <w:i/>
          <w:color w:val="000000"/>
          <w:sz w:val="20"/>
          <w:szCs w:val="20"/>
          <w:lang w:eastAsia="en-IN"/>
        </w:rPr>
        <w:t xml:space="preserve">: </w:t>
      </w:r>
      <w:r w:rsidR="0099595D" w:rsidRPr="00D77559">
        <w:rPr>
          <w:rFonts w:ascii="Arial" w:eastAsia="Times New Roman" w:hAnsi="Arial" w:cs="Arial"/>
          <w:i/>
          <w:color w:val="000000"/>
          <w:sz w:val="20"/>
          <w:szCs w:val="20"/>
          <w:lang w:eastAsia="en-IN"/>
        </w:rPr>
        <w:t>T</w:t>
      </w:r>
      <w:r w:rsidRPr="00D77559">
        <w:rPr>
          <w:rFonts w:ascii="Arial" w:eastAsia="Times New Roman" w:hAnsi="Arial" w:cs="Arial"/>
          <w:i/>
          <w:color w:val="000000"/>
          <w:sz w:val="20"/>
          <w:szCs w:val="20"/>
          <w:lang w:eastAsia="en-IN"/>
        </w:rPr>
        <w:t>otal floating time</w:t>
      </w:r>
    </w:p>
    <w:p w14:paraId="6D35CFB6" w14:textId="2A349817" w:rsidR="00644CFE" w:rsidRPr="00D77559" w:rsidRDefault="00644CFE">
      <w:pPr>
        <w:rPr>
          <w:rFonts w:ascii="Arial" w:eastAsia="Times New Roman" w:hAnsi="Arial" w:cs="Arial"/>
          <w:i/>
          <w:color w:val="000000"/>
          <w:sz w:val="20"/>
          <w:szCs w:val="20"/>
          <w:lang w:eastAsia="en-IN"/>
        </w:rPr>
      </w:pPr>
      <w:r w:rsidRPr="00D77559">
        <w:rPr>
          <w:rFonts w:ascii="Arial" w:eastAsia="Times New Roman" w:hAnsi="Arial" w:cs="Arial"/>
          <w:i/>
          <w:color w:val="000000"/>
          <w:sz w:val="20"/>
          <w:szCs w:val="20"/>
          <w:lang w:eastAsia="en-IN"/>
        </w:rPr>
        <w:br w:type="page"/>
      </w:r>
    </w:p>
    <w:p w14:paraId="21F8C651" w14:textId="2A3EF01F" w:rsidR="00873813" w:rsidRPr="00D77559" w:rsidRDefault="00617DFE" w:rsidP="000E31A9">
      <w:pPr>
        <w:spacing w:after="0" w:line="240" w:lineRule="auto"/>
        <w:rPr>
          <w:rFonts w:ascii="Arial" w:hAnsi="Arial" w:cs="Arial"/>
          <w:b/>
          <w:sz w:val="20"/>
          <w:szCs w:val="20"/>
        </w:rPr>
      </w:pPr>
      <w:r w:rsidRPr="00D77559">
        <w:rPr>
          <w:rFonts w:ascii="Arial" w:hAnsi="Arial" w:cs="Arial"/>
          <w:b/>
        </w:rPr>
        <w:lastRenderedPageBreak/>
        <w:t>1. INTRODUCTION</w:t>
      </w:r>
    </w:p>
    <w:p w14:paraId="3ED854B0" w14:textId="77777777" w:rsidR="000E31A9" w:rsidRPr="00D77559" w:rsidRDefault="000E31A9" w:rsidP="000E31A9">
      <w:pPr>
        <w:pStyle w:val="ListParagraph"/>
        <w:spacing w:after="0" w:line="240" w:lineRule="auto"/>
        <w:ind w:left="284"/>
        <w:rPr>
          <w:rFonts w:ascii="Arial" w:hAnsi="Arial" w:cs="Arial"/>
          <w:b/>
          <w:sz w:val="20"/>
          <w:szCs w:val="20"/>
        </w:rPr>
      </w:pPr>
    </w:p>
    <w:p w14:paraId="3A8B5DB3" w14:textId="5A8B79FB" w:rsidR="00CF3298" w:rsidRPr="00D77559" w:rsidRDefault="00CF3298" w:rsidP="000E31A9">
      <w:pPr>
        <w:pStyle w:val="NormalWeb"/>
        <w:spacing w:before="0" w:beforeAutospacing="0" w:after="0" w:afterAutospacing="0"/>
        <w:jc w:val="both"/>
        <w:rPr>
          <w:rFonts w:ascii="Arial" w:hAnsi="Arial" w:cs="Arial"/>
          <w:sz w:val="20"/>
          <w:szCs w:val="20"/>
        </w:rPr>
      </w:pPr>
      <w:r w:rsidRPr="00D77559">
        <w:rPr>
          <w:rFonts w:ascii="Arial" w:hAnsi="Arial" w:cs="Arial"/>
          <w:sz w:val="20"/>
          <w:szCs w:val="20"/>
        </w:rPr>
        <w:t xml:space="preserve">Oral drug delivery systems remain the most widely preferred dosage forms due to their convenience, patient acceptance, and ease of manufacturing. In recent years, substantial attention has shifted toward controlled-release technologies that can maintain therapeutic drug levels over an extended period while improving safety and </w:t>
      </w:r>
      <w:r w:rsidR="009D6DAB" w:rsidRPr="00D77559">
        <w:rPr>
          <w:rFonts w:ascii="Arial" w:hAnsi="Arial" w:cs="Arial"/>
          <w:sz w:val="20"/>
          <w:szCs w:val="20"/>
        </w:rPr>
        <w:t>adherence (Palem CR et al., 2016; Palem CR et al., 2015).</w:t>
      </w:r>
      <w:r w:rsidRPr="00D77559">
        <w:rPr>
          <w:rFonts w:ascii="Arial" w:hAnsi="Arial" w:cs="Arial"/>
          <w:sz w:val="20"/>
          <w:szCs w:val="20"/>
        </w:rPr>
        <w:t xml:space="preserve"> Diabetes mellitus, a chronic metabolic disease characterized by persistent hyperglycaemia and disturbances in carbohydrate, fat, and protein metabolism, is one of the major global health challenges. Type 2 diabetes mellitus (non-insulin-dependent diabetes mellitus) accounts for more than 85% of all cases and is associated with progressive β-cell dysfunction, insulin resistance, and long-term complications including cardiovascular disease, nephropathy, neuropathy, and retinopathy</w:t>
      </w:r>
      <w:r w:rsidR="009D6DAB" w:rsidRPr="00D77559">
        <w:rPr>
          <w:rFonts w:ascii="Arial" w:hAnsi="Arial" w:cs="Arial"/>
          <w:sz w:val="20"/>
          <w:szCs w:val="20"/>
        </w:rPr>
        <w:t xml:space="preserve"> (Palem CR et al., 2025)</w:t>
      </w:r>
      <w:r w:rsidRPr="00D77559">
        <w:rPr>
          <w:rFonts w:ascii="Arial" w:hAnsi="Arial" w:cs="Arial"/>
          <w:sz w:val="20"/>
          <w:szCs w:val="20"/>
        </w:rPr>
        <w:t>.</w:t>
      </w:r>
    </w:p>
    <w:p w14:paraId="21D6E7A6" w14:textId="77777777" w:rsidR="000E31A9" w:rsidRPr="00D77559" w:rsidRDefault="000E31A9" w:rsidP="000E31A9">
      <w:pPr>
        <w:pStyle w:val="NormalWeb"/>
        <w:spacing w:before="0" w:beforeAutospacing="0" w:after="0" w:afterAutospacing="0"/>
        <w:jc w:val="both"/>
        <w:rPr>
          <w:rFonts w:ascii="Arial" w:hAnsi="Arial" w:cs="Arial"/>
          <w:sz w:val="20"/>
          <w:szCs w:val="20"/>
        </w:rPr>
      </w:pPr>
    </w:p>
    <w:p w14:paraId="0F967A11" w14:textId="00617F18" w:rsidR="00CF3298" w:rsidRPr="00D77559" w:rsidRDefault="00CF3298" w:rsidP="000E31A9">
      <w:pPr>
        <w:pStyle w:val="NormalWeb"/>
        <w:spacing w:before="0" w:beforeAutospacing="0" w:after="0" w:afterAutospacing="0"/>
        <w:jc w:val="both"/>
        <w:rPr>
          <w:rFonts w:ascii="Arial" w:hAnsi="Arial" w:cs="Arial"/>
          <w:sz w:val="20"/>
          <w:szCs w:val="20"/>
        </w:rPr>
      </w:pPr>
      <w:r w:rsidRPr="00D77559">
        <w:rPr>
          <w:rFonts w:ascii="Arial" w:hAnsi="Arial" w:cs="Arial"/>
          <w:sz w:val="20"/>
          <w:szCs w:val="20"/>
        </w:rPr>
        <w:t>Metformin Hydrochloride, a biguanide and BCS Class III drug, is the first-line pharmacotherapy for Type 2 diabetes due to its ability to reduce hepatic glucose production and improve peripheral insulin sensitivity. Despite its effectiveness, Metformin HCl presents notable biopharmaceutical limitations. It has a relatively narrow absorption window located predominantly in the duodenum and upper jejunum, combined with an absolute oral bioavailability of 50</w:t>
      </w:r>
      <w:r w:rsidR="009B5403" w:rsidRPr="00D77559">
        <w:rPr>
          <w:rFonts w:ascii="Arial" w:hAnsi="Arial" w:cs="Arial"/>
          <w:sz w:val="20"/>
          <w:szCs w:val="20"/>
        </w:rPr>
        <w:t>-</w:t>
      </w:r>
      <w:r w:rsidRPr="00D77559">
        <w:rPr>
          <w:rFonts w:ascii="Arial" w:hAnsi="Arial" w:cs="Arial"/>
          <w:sz w:val="20"/>
          <w:szCs w:val="20"/>
        </w:rPr>
        <w:t>60%. Furthermore, its short biological half-life necessitates multiple daily administration, often leading to reduced patient adherence</w:t>
      </w:r>
      <w:r w:rsidR="009D6DAB" w:rsidRPr="00D77559">
        <w:rPr>
          <w:rFonts w:ascii="Arial" w:hAnsi="Arial" w:cs="Arial"/>
          <w:sz w:val="20"/>
          <w:szCs w:val="20"/>
        </w:rPr>
        <w:t xml:space="preserve"> (</w:t>
      </w:r>
      <w:r w:rsidR="009D6DAB" w:rsidRPr="00D77559">
        <w:rPr>
          <w:rFonts w:ascii="Arial" w:hAnsi="Arial" w:cs="Arial"/>
          <w:bCs/>
          <w:color w:val="1B1B1B"/>
          <w:kern w:val="36"/>
          <w:sz w:val="20"/>
          <w:szCs w:val="20"/>
        </w:rPr>
        <w:t>Ali J</w:t>
      </w:r>
      <w:r w:rsidR="009D6DAB" w:rsidRPr="00D77559">
        <w:rPr>
          <w:rFonts w:ascii="Arial" w:hAnsi="Arial" w:cs="Arial"/>
          <w:sz w:val="20"/>
          <w:szCs w:val="20"/>
        </w:rPr>
        <w:t xml:space="preserve"> et al., 2007; </w:t>
      </w:r>
      <w:r w:rsidR="009D6DAB" w:rsidRPr="00D77559">
        <w:rPr>
          <w:rStyle w:val="A6"/>
          <w:rFonts w:ascii="Arial" w:hAnsi="Arial" w:cs="Arial"/>
          <w:sz w:val="20"/>
          <w:szCs w:val="20"/>
        </w:rPr>
        <w:t>Patel MB</w:t>
      </w:r>
      <w:r w:rsidR="009D6DAB" w:rsidRPr="00D77559">
        <w:rPr>
          <w:rFonts w:ascii="Arial" w:hAnsi="Arial" w:cs="Arial"/>
          <w:sz w:val="20"/>
          <w:szCs w:val="20"/>
        </w:rPr>
        <w:t xml:space="preserve"> et al., 2016)</w:t>
      </w:r>
      <w:r w:rsidRPr="00D77559">
        <w:rPr>
          <w:rFonts w:ascii="Arial" w:hAnsi="Arial" w:cs="Arial"/>
          <w:sz w:val="20"/>
          <w:szCs w:val="20"/>
        </w:rPr>
        <w:t>. These limitations highlight the need for modified-release strategies that prolong gastric residence time and sustain drug release within the upper gastrointestinal tract</w:t>
      </w:r>
      <w:r w:rsidR="005C34DE">
        <w:rPr>
          <w:rFonts w:ascii="Arial" w:hAnsi="Arial" w:cs="Arial"/>
          <w:sz w:val="20"/>
          <w:szCs w:val="20"/>
        </w:rPr>
        <w:t xml:space="preserve"> </w:t>
      </w:r>
      <w:r w:rsidR="005C34DE" w:rsidRPr="005C34DE">
        <w:rPr>
          <w:rFonts w:ascii="Arial" w:hAnsi="Arial" w:cs="Arial"/>
          <w:color w:val="00B0F0"/>
          <w:sz w:val="20"/>
          <w:szCs w:val="20"/>
        </w:rPr>
        <w:t>(Rajesh P., 2011</w:t>
      </w:r>
      <w:r w:rsidR="005C34DE">
        <w:rPr>
          <w:rFonts w:ascii="Arial" w:hAnsi="Arial" w:cs="Arial"/>
          <w:sz w:val="20"/>
          <w:szCs w:val="20"/>
        </w:rPr>
        <w:t>)</w:t>
      </w:r>
      <w:r w:rsidRPr="00D77559">
        <w:rPr>
          <w:rFonts w:ascii="Arial" w:hAnsi="Arial" w:cs="Arial"/>
          <w:sz w:val="20"/>
          <w:szCs w:val="20"/>
        </w:rPr>
        <w:t>.</w:t>
      </w:r>
    </w:p>
    <w:p w14:paraId="20090366" w14:textId="77777777" w:rsidR="000E31A9" w:rsidRPr="00D77559" w:rsidRDefault="000E31A9" w:rsidP="000E31A9">
      <w:pPr>
        <w:pStyle w:val="NormalWeb"/>
        <w:spacing w:before="0" w:beforeAutospacing="0" w:after="0" w:afterAutospacing="0"/>
        <w:jc w:val="both"/>
        <w:rPr>
          <w:rFonts w:ascii="Arial" w:hAnsi="Arial" w:cs="Arial"/>
          <w:sz w:val="20"/>
          <w:szCs w:val="20"/>
        </w:rPr>
      </w:pPr>
    </w:p>
    <w:p w14:paraId="1AD59015" w14:textId="55CA96D6" w:rsidR="00CF3298" w:rsidRPr="00D77559" w:rsidRDefault="00CF3298" w:rsidP="000E31A9">
      <w:pPr>
        <w:pStyle w:val="NormalWeb"/>
        <w:spacing w:before="0" w:beforeAutospacing="0" w:after="0" w:afterAutospacing="0"/>
        <w:jc w:val="both"/>
        <w:rPr>
          <w:rFonts w:ascii="Arial" w:hAnsi="Arial" w:cs="Arial"/>
          <w:sz w:val="20"/>
          <w:szCs w:val="20"/>
        </w:rPr>
      </w:pPr>
      <w:r w:rsidRPr="00D77559">
        <w:rPr>
          <w:rFonts w:ascii="Arial" w:hAnsi="Arial" w:cs="Arial"/>
          <w:sz w:val="20"/>
          <w:szCs w:val="20"/>
        </w:rPr>
        <w:t xml:space="preserve">Floating drug delivery systems (FDDS), a subtype of </w:t>
      </w:r>
      <w:r w:rsidR="00C235CA" w:rsidRPr="00D77559">
        <w:rPr>
          <w:rFonts w:ascii="Arial" w:hAnsi="Arial" w:cs="Arial"/>
          <w:sz w:val="20"/>
          <w:szCs w:val="20"/>
        </w:rPr>
        <w:t>gastro retentive</w:t>
      </w:r>
      <w:r w:rsidRPr="00D77559">
        <w:rPr>
          <w:rFonts w:ascii="Arial" w:hAnsi="Arial" w:cs="Arial"/>
          <w:sz w:val="20"/>
          <w:szCs w:val="20"/>
        </w:rPr>
        <w:t xml:space="preserve"> drug delivery systems (GRDDS), are particularly advantageous for drugs like Metformin HCl that are preferentially absorbed in the </w:t>
      </w:r>
      <w:bookmarkStart w:id="0" w:name="_GoBack"/>
      <w:bookmarkEnd w:id="0"/>
      <w:r w:rsidRPr="00D77559">
        <w:rPr>
          <w:rFonts w:ascii="Arial" w:hAnsi="Arial" w:cs="Arial"/>
          <w:sz w:val="20"/>
          <w:szCs w:val="20"/>
        </w:rPr>
        <w:t>proximal intestine. Floating tablets are engineered to remain buoyant in gastric fluid through the use of low-density polymers or gas-generating agents, enabling prolonged gastric retention and controlled drug release without altering normal gastric emptying dynamics</w:t>
      </w:r>
      <w:r w:rsidR="009D6DAB" w:rsidRPr="00D77559">
        <w:rPr>
          <w:rFonts w:ascii="Arial" w:hAnsi="Arial" w:cs="Arial"/>
          <w:sz w:val="20"/>
          <w:szCs w:val="20"/>
        </w:rPr>
        <w:t xml:space="preserve"> (</w:t>
      </w:r>
      <w:proofErr w:type="spellStart"/>
      <w:r w:rsidR="009D6DAB" w:rsidRPr="00D77559">
        <w:rPr>
          <w:rFonts w:ascii="Arial" w:hAnsi="Arial" w:cs="Arial"/>
          <w:bCs/>
          <w:color w:val="1B1B1B"/>
          <w:kern w:val="36"/>
          <w:sz w:val="20"/>
          <w:szCs w:val="20"/>
        </w:rPr>
        <w:t>Senjoti</w:t>
      </w:r>
      <w:proofErr w:type="spellEnd"/>
      <w:r w:rsidR="009D6DAB" w:rsidRPr="00D77559">
        <w:rPr>
          <w:rFonts w:ascii="Arial" w:hAnsi="Arial" w:cs="Arial"/>
          <w:bCs/>
          <w:color w:val="1B1B1B"/>
          <w:kern w:val="36"/>
          <w:sz w:val="20"/>
          <w:szCs w:val="20"/>
        </w:rPr>
        <w:t xml:space="preserve"> FG</w:t>
      </w:r>
      <w:r w:rsidR="009D6DAB" w:rsidRPr="00D77559">
        <w:rPr>
          <w:rFonts w:ascii="Arial" w:hAnsi="Arial" w:cs="Arial"/>
          <w:sz w:val="20"/>
          <w:szCs w:val="20"/>
        </w:rPr>
        <w:t xml:space="preserve"> et al., 2016; </w:t>
      </w:r>
      <w:r w:rsidR="009D6DAB" w:rsidRPr="00D77559">
        <w:rPr>
          <w:rFonts w:ascii="Arial" w:hAnsi="Arial" w:cs="Arial"/>
          <w:bCs/>
          <w:color w:val="1B1B1B"/>
          <w:kern w:val="36"/>
          <w:sz w:val="20"/>
          <w:szCs w:val="20"/>
        </w:rPr>
        <w:t>Palem CR</w:t>
      </w:r>
      <w:r w:rsidR="009D6DAB" w:rsidRPr="00D77559">
        <w:rPr>
          <w:rFonts w:ascii="Arial" w:hAnsi="Arial" w:cs="Arial"/>
          <w:sz w:val="20"/>
          <w:szCs w:val="20"/>
        </w:rPr>
        <w:t xml:space="preserve"> et al., 2011). </w:t>
      </w:r>
      <w:r w:rsidRPr="00D77559">
        <w:rPr>
          <w:rFonts w:ascii="Arial" w:hAnsi="Arial" w:cs="Arial"/>
          <w:sz w:val="20"/>
          <w:szCs w:val="20"/>
        </w:rPr>
        <w:t xml:space="preserve"> Such systems can improve drug absorption, reduce dosing frequency, and provide more consistent plasma concentrations, thereby improving therapeutic outcomes and patient compliance</w:t>
      </w:r>
      <w:r w:rsidR="00FD6A0E">
        <w:rPr>
          <w:rFonts w:ascii="Arial" w:hAnsi="Arial" w:cs="Arial"/>
          <w:sz w:val="20"/>
          <w:szCs w:val="20"/>
        </w:rPr>
        <w:t xml:space="preserve"> </w:t>
      </w:r>
      <w:r w:rsidR="00FD6A0E" w:rsidRPr="005C34DE">
        <w:rPr>
          <w:rFonts w:ascii="Arial" w:hAnsi="Arial" w:cs="Arial"/>
          <w:color w:val="00B0F0"/>
          <w:sz w:val="20"/>
          <w:szCs w:val="20"/>
        </w:rPr>
        <w:t>(Chinna Redd</w:t>
      </w:r>
      <w:r w:rsidR="005C34DE" w:rsidRPr="005C34DE">
        <w:rPr>
          <w:rFonts w:ascii="Arial" w:hAnsi="Arial" w:cs="Arial"/>
          <w:color w:val="00B0F0"/>
          <w:sz w:val="20"/>
          <w:szCs w:val="20"/>
        </w:rPr>
        <w:t>y P., 2025;</w:t>
      </w:r>
      <w:r w:rsidR="005C34DE">
        <w:rPr>
          <w:rFonts w:ascii="Arial" w:hAnsi="Arial" w:cs="Arial"/>
          <w:color w:val="00B0F0"/>
          <w:sz w:val="20"/>
          <w:szCs w:val="20"/>
        </w:rPr>
        <w:t xml:space="preserve"> Venkata G. K., 2024</w:t>
      </w:r>
      <w:r w:rsidR="00FD6A0E" w:rsidRPr="005C34DE">
        <w:rPr>
          <w:rFonts w:ascii="Arial" w:hAnsi="Arial" w:cs="Arial"/>
          <w:color w:val="00B0F0"/>
          <w:sz w:val="20"/>
          <w:szCs w:val="20"/>
        </w:rPr>
        <w:t>)</w:t>
      </w:r>
      <w:r w:rsidRPr="00D77559">
        <w:rPr>
          <w:rFonts w:ascii="Arial" w:hAnsi="Arial" w:cs="Arial"/>
          <w:sz w:val="20"/>
          <w:szCs w:val="20"/>
        </w:rPr>
        <w:t>.</w:t>
      </w:r>
    </w:p>
    <w:p w14:paraId="286849C9" w14:textId="77777777" w:rsidR="000E31A9" w:rsidRPr="00D77559" w:rsidRDefault="000E31A9" w:rsidP="000E31A9">
      <w:pPr>
        <w:pStyle w:val="NormalWeb"/>
        <w:spacing w:before="0" w:beforeAutospacing="0" w:after="0" w:afterAutospacing="0"/>
        <w:jc w:val="both"/>
        <w:rPr>
          <w:rFonts w:ascii="Arial" w:hAnsi="Arial" w:cs="Arial"/>
          <w:sz w:val="20"/>
          <w:szCs w:val="20"/>
        </w:rPr>
      </w:pPr>
    </w:p>
    <w:p w14:paraId="0E05280F" w14:textId="29B1B587" w:rsidR="00CF3298" w:rsidRPr="00D77559" w:rsidRDefault="00CF3298" w:rsidP="000E31A9">
      <w:pPr>
        <w:pStyle w:val="NormalWeb"/>
        <w:spacing w:before="0" w:beforeAutospacing="0" w:after="0" w:afterAutospacing="0"/>
        <w:jc w:val="both"/>
        <w:rPr>
          <w:rFonts w:ascii="Arial" w:hAnsi="Arial" w:cs="Arial"/>
          <w:sz w:val="20"/>
          <w:szCs w:val="20"/>
        </w:rPr>
      </w:pPr>
      <w:r w:rsidRPr="00D77559">
        <w:rPr>
          <w:rFonts w:ascii="Arial" w:hAnsi="Arial" w:cs="Arial"/>
          <w:sz w:val="20"/>
          <w:szCs w:val="20"/>
        </w:rPr>
        <w:t>In this study, controlled-release floating tablets of Metformin HCl were formulated using Polyvinyl Alcohol (PVA) as the binder and optimized through variations in granulation method and process parameters. Granules were produced using a low-shear top-spray granulation technique, and two sets of experiments were conducted to assess the impact of different PVA grades and granulation conditions</w:t>
      </w:r>
      <w:r w:rsidR="009B5403" w:rsidRPr="00D77559">
        <w:rPr>
          <w:rFonts w:ascii="Arial" w:hAnsi="Arial" w:cs="Arial"/>
          <w:sz w:val="20"/>
          <w:szCs w:val="20"/>
        </w:rPr>
        <w:t xml:space="preserve">, </w:t>
      </w:r>
      <w:r w:rsidRPr="00D77559">
        <w:rPr>
          <w:rFonts w:ascii="Arial" w:hAnsi="Arial" w:cs="Arial"/>
          <w:sz w:val="20"/>
          <w:szCs w:val="20"/>
        </w:rPr>
        <w:t>specifically spray rate and inlet temperature</w:t>
      </w:r>
      <w:r w:rsidR="009B5403" w:rsidRPr="00D77559">
        <w:rPr>
          <w:rFonts w:ascii="Arial" w:hAnsi="Arial" w:cs="Arial"/>
          <w:sz w:val="20"/>
          <w:szCs w:val="20"/>
        </w:rPr>
        <w:t xml:space="preserve"> </w:t>
      </w:r>
      <w:r w:rsidRPr="00D77559">
        <w:rPr>
          <w:rFonts w:ascii="Arial" w:hAnsi="Arial" w:cs="Arial"/>
          <w:sz w:val="20"/>
          <w:szCs w:val="20"/>
        </w:rPr>
        <w:t>on tablet buoyancy and release behavior. The compressed tablets were subsequently coated with Eudragit NE 30D to achieve sustained drug release. Comprehensive physicochemical, in vitro, biopharmaceutical, and in vivo buoyancy evaluations were performed. Overall, this work aims to elucidate the combined influence of binder characteristics and granulation process on the development of a stable, floating, controlled-release Metformin HCl formulation capable of maintaining therapeutic drug levels for up to 12 hours in the gastric environment.</w:t>
      </w:r>
    </w:p>
    <w:p w14:paraId="218DBA76" w14:textId="77777777" w:rsidR="000E31A9" w:rsidRPr="00D77559" w:rsidRDefault="000E31A9" w:rsidP="000E31A9">
      <w:pPr>
        <w:pStyle w:val="NormalWeb"/>
        <w:spacing w:before="0" w:beforeAutospacing="0" w:after="0" w:afterAutospacing="0"/>
        <w:jc w:val="both"/>
        <w:rPr>
          <w:rFonts w:ascii="Arial" w:hAnsi="Arial" w:cs="Arial"/>
          <w:sz w:val="20"/>
          <w:szCs w:val="20"/>
        </w:rPr>
      </w:pPr>
    </w:p>
    <w:p w14:paraId="6FFA6160" w14:textId="7F17841D" w:rsidR="00DD703A" w:rsidRPr="00D77559" w:rsidRDefault="000E31A9" w:rsidP="000E31A9">
      <w:pPr>
        <w:spacing w:after="0" w:line="240" w:lineRule="auto"/>
        <w:rPr>
          <w:rFonts w:ascii="Arial" w:hAnsi="Arial" w:cs="Arial"/>
        </w:rPr>
      </w:pPr>
      <w:r w:rsidRPr="00D77559">
        <w:rPr>
          <w:rFonts w:ascii="Arial" w:hAnsi="Arial" w:cs="Arial"/>
          <w:b/>
        </w:rPr>
        <w:t>2. MATERIALS AND METHODS</w:t>
      </w:r>
    </w:p>
    <w:p w14:paraId="3A0BF156" w14:textId="77777777" w:rsidR="000E31A9" w:rsidRPr="00D77559" w:rsidRDefault="000E31A9" w:rsidP="000E31A9">
      <w:pPr>
        <w:pStyle w:val="ListParagraph"/>
        <w:spacing w:after="0" w:line="240" w:lineRule="auto"/>
        <w:ind w:left="284"/>
        <w:rPr>
          <w:rFonts w:ascii="Arial" w:hAnsi="Arial" w:cs="Arial"/>
        </w:rPr>
      </w:pPr>
    </w:p>
    <w:p w14:paraId="1448C034" w14:textId="68BB234F" w:rsidR="00DD703A" w:rsidRPr="00D77559" w:rsidRDefault="000E31A9" w:rsidP="000E31A9">
      <w:pPr>
        <w:spacing w:after="0" w:line="240" w:lineRule="auto"/>
        <w:jc w:val="both"/>
        <w:rPr>
          <w:rFonts w:ascii="Arial" w:hAnsi="Arial" w:cs="Arial"/>
          <w:b/>
          <w:sz w:val="20"/>
          <w:szCs w:val="20"/>
        </w:rPr>
      </w:pPr>
      <w:r w:rsidRPr="00D77559">
        <w:rPr>
          <w:rFonts w:ascii="Arial" w:hAnsi="Arial" w:cs="Arial"/>
          <w:b/>
          <w:sz w:val="20"/>
          <w:szCs w:val="20"/>
        </w:rPr>
        <w:t xml:space="preserve">2.1 </w:t>
      </w:r>
      <w:r w:rsidRPr="00D805D1">
        <w:rPr>
          <w:rFonts w:ascii="Arial" w:hAnsi="Arial" w:cs="Arial"/>
          <w:b/>
        </w:rPr>
        <w:t>Materials</w:t>
      </w:r>
    </w:p>
    <w:p w14:paraId="7979F126" w14:textId="77777777" w:rsidR="000E31A9" w:rsidRPr="00D77559" w:rsidRDefault="000E31A9" w:rsidP="000E31A9">
      <w:pPr>
        <w:spacing w:after="0" w:line="240" w:lineRule="auto"/>
        <w:jc w:val="both"/>
        <w:rPr>
          <w:rFonts w:ascii="Arial" w:hAnsi="Arial" w:cs="Arial"/>
          <w:b/>
          <w:sz w:val="20"/>
          <w:szCs w:val="20"/>
        </w:rPr>
      </w:pPr>
    </w:p>
    <w:p w14:paraId="737680C1" w14:textId="77777777" w:rsidR="00DD703A" w:rsidRPr="00D77559" w:rsidRDefault="00DD703A" w:rsidP="000E31A9">
      <w:pPr>
        <w:spacing w:line="240" w:lineRule="auto"/>
        <w:jc w:val="both"/>
        <w:rPr>
          <w:rFonts w:ascii="Arial" w:hAnsi="Arial" w:cs="Arial"/>
          <w:bCs/>
          <w:iCs/>
          <w:sz w:val="20"/>
          <w:szCs w:val="20"/>
        </w:rPr>
      </w:pPr>
      <w:r w:rsidRPr="00D77559">
        <w:rPr>
          <w:rFonts w:ascii="Arial" w:hAnsi="Arial" w:cs="Arial"/>
          <w:bCs/>
          <w:iCs/>
          <w:sz w:val="20"/>
          <w:szCs w:val="20"/>
        </w:rPr>
        <w:t>Metformin hydrochloride (MTH) (Wanbury Limited, India), Colloidal Silicon Dioxide, NF (</w:t>
      </w:r>
      <w:proofErr w:type="spellStart"/>
      <w:r w:rsidRPr="00D77559">
        <w:rPr>
          <w:rFonts w:ascii="Arial" w:hAnsi="Arial" w:cs="Arial"/>
          <w:bCs/>
          <w:iCs/>
          <w:sz w:val="20"/>
          <w:szCs w:val="20"/>
        </w:rPr>
        <w:t>Aerosil</w:t>
      </w:r>
      <w:proofErr w:type="spellEnd"/>
      <w:r w:rsidRPr="00D77559">
        <w:rPr>
          <w:rFonts w:ascii="Arial" w:hAnsi="Arial" w:cs="Arial"/>
          <w:bCs/>
          <w:iCs/>
          <w:sz w:val="20"/>
          <w:szCs w:val="20"/>
        </w:rPr>
        <w:t xml:space="preserve"> 200 Pharma) (Evonik Degussa Corp, USA), Polyvinyl Alcohol (Nippon Synthetic Chemical Industry, Japan), </w:t>
      </w:r>
      <w:proofErr w:type="spellStart"/>
      <w:r w:rsidRPr="00D77559">
        <w:rPr>
          <w:rFonts w:ascii="Arial" w:hAnsi="Arial" w:cs="Arial"/>
          <w:bCs/>
          <w:iCs/>
          <w:sz w:val="20"/>
          <w:szCs w:val="20"/>
        </w:rPr>
        <w:t>Crospovidone</w:t>
      </w:r>
      <w:proofErr w:type="spellEnd"/>
      <w:r w:rsidRPr="00D77559">
        <w:rPr>
          <w:rFonts w:ascii="Arial" w:hAnsi="Arial" w:cs="Arial"/>
          <w:bCs/>
          <w:iCs/>
          <w:sz w:val="20"/>
          <w:szCs w:val="20"/>
        </w:rPr>
        <w:t>, NF (</w:t>
      </w:r>
      <w:proofErr w:type="spellStart"/>
      <w:r w:rsidRPr="00D77559">
        <w:rPr>
          <w:rFonts w:ascii="Arial" w:hAnsi="Arial" w:cs="Arial"/>
          <w:bCs/>
          <w:iCs/>
          <w:sz w:val="20"/>
          <w:szCs w:val="20"/>
        </w:rPr>
        <w:t>Polyplasdone</w:t>
      </w:r>
      <w:proofErr w:type="spellEnd"/>
      <w:r w:rsidRPr="00D77559">
        <w:rPr>
          <w:rFonts w:ascii="Arial" w:hAnsi="Arial" w:cs="Arial"/>
          <w:bCs/>
          <w:iCs/>
          <w:sz w:val="20"/>
          <w:szCs w:val="20"/>
        </w:rPr>
        <w:t xml:space="preserve"> XL) (Ashland/ISP), Glyceryl </w:t>
      </w:r>
      <w:proofErr w:type="spellStart"/>
      <w:r w:rsidRPr="00D77559">
        <w:rPr>
          <w:rFonts w:ascii="Arial" w:hAnsi="Arial" w:cs="Arial"/>
          <w:bCs/>
          <w:iCs/>
          <w:sz w:val="20"/>
          <w:szCs w:val="20"/>
        </w:rPr>
        <w:t>Dibehenate</w:t>
      </w:r>
      <w:proofErr w:type="spellEnd"/>
      <w:r w:rsidRPr="00D77559">
        <w:rPr>
          <w:rFonts w:ascii="Arial" w:hAnsi="Arial" w:cs="Arial"/>
          <w:bCs/>
          <w:iCs/>
          <w:sz w:val="20"/>
          <w:szCs w:val="20"/>
        </w:rPr>
        <w:t>, NF (</w:t>
      </w:r>
      <w:proofErr w:type="spellStart"/>
      <w:r w:rsidRPr="00D77559">
        <w:rPr>
          <w:rFonts w:ascii="Arial" w:hAnsi="Arial" w:cs="Arial"/>
          <w:bCs/>
          <w:iCs/>
          <w:sz w:val="20"/>
          <w:szCs w:val="20"/>
        </w:rPr>
        <w:t>Compritol</w:t>
      </w:r>
      <w:proofErr w:type="spellEnd"/>
      <w:r w:rsidRPr="00D77559">
        <w:rPr>
          <w:rFonts w:ascii="Arial" w:hAnsi="Arial" w:cs="Arial"/>
          <w:bCs/>
          <w:iCs/>
          <w:sz w:val="20"/>
          <w:szCs w:val="20"/>
        </w:rPr>
        <w:t xml:space="preserve"> 888 ATO) (</w:t>
      </w:r>
      <w:proofErr w:type="spellStart"/>
      <w:r w:rsidRPr="00D77559">
        <w:rPr>
          <w:rFonts w:ascii="Arial" w:hAnsi="Arial" w:cs="Arial"/>
          <w:bCs/>
          <w:iCs/>
          <w:sz w:val="20"/>
          <w:szCs w:val="20"/>
        </w:rPr>
        <w:t>Gattefosse</w:t>
      </w:r>
      <w:proofErr w:type="spellEnd"/>
      <w:r w:rsidRPr="00D77559">
        <w:rPr>
          <w:rFonts w:ascii="Arial" w:hAnsi="Arial" w:cs="Arial"/>
          <w:bCs/>
          <w:iCs/>
          <w:sz w:val="20"/>
          <w:szCs w:val="20"/>
        </w:rPr>
        <w:t>), Ethyl Acrylate and Methyl Methacrylate Copolymer Dispersion USP/NF  (Eudragit NE 30D) (Evonik, USA), Hydroxypropyl Methylcellulose (</w:t>
      </w:r>
      <w:proofErr w:type="spellStart"/>
      <w:r w:rsidRPr="00D77559">
        <w:rPr>
          <w:rFonts w:ascii="Arial" w:hAnsi="Arial" w:cs="Arial"/>
          <w:bCs/>
          <w:iCs/>
          <w:sz w:val="20"/>
          <w:szCs w:val="20"/>
        </w:rPr>
        <w:t>Methocel</w:t>
      </w:r>
      <w:proofErr w:type="spellEnd"/>
      <w:r w:rsidRPr="00D77559">
        <w:rPr>
          <w:rFonts w:ascii="Arial" w:hAnsi="Arial" w:cs="Arial"/>
          <w:bCs/>
          <w:iCs/>
          <w:sz w:val="20"/>
          <w:szCs w:val="20"/>
        </w:rPr>
        <w:t xml:space="preserve"> E3 Premium LV) (Dow Chemical company, USA), Polysorbate 80, NF (Croda Inc, USA), Talc (Imerys, Paris), Polyethylene Glycol (Dow Chemical company, USA)  and Titanium Dioxide (Brenntag Specialities Inc, USA) were used in all experiments.</w:t>
      </w:r>
    </w:p>
    <w:p w14:paraId="50A32209" w14:textId="330C68BB" w:rsidR="000E31A9" w:rsidRPr="00D77559" w:rsidRDefault="000E31A9" w:rsidP="000E31A9">
      <w:pPr>
        <w:spacing w:after="0" w:line="240" w:lineRule="auto"/>
        <w:jc w:val="both"/>
        <w:rPr>
          <w:rFonts w:ascii="Arial" w:hAnsi="Arial" w:cs="Arial"/>
          <w:b/>
          <w:sz w:val="20"/>
          <w:szCs w:val="20"/>
        </w:rPr>
      </w:pPr>
      <w:r w:rsidRPr="00D77559">
        <w:rPr>
          <w:rFonts w:ascii="Arial" w:hAnsi="Arial" w:cs="Arial"/>
          <w:b/>
          <w:sz w:val="20"/>
          <w:szCs w:val="20"/>
        </w:rPr>
        <w:t xml:space="preserve">2.2 </w:t>
      </w:r>
      <w:r w:rsidRPr="00D805D1">
        <w:rPr>
          <w:rFonts w:ascii="Arial" w:hAnsi="Arial" w:cs="Arial"/>
          <w:b/>
        </w:rPr>
        <w:t>Methods</w:t>
      </w:r>
    </w:p>
    <w:p w14:paraId="3B103DE0" w14:textId="77777777" w:rsidR="000E31A9" w:rsidRPr="00D77559" w:rsidRDefault="000E31A9" w:rsidP="000E31A9">
      <w:pPr>
        <w:spacing w:after="0" w:line="240" w:lineRule="auto"/>
        <w:jc w:val="both"/>
        <w:rPr>
          <w:rFonts w:ascii="Arial" w:hAnsi="Arial" w:cs="Arial"/>
          <w:b/>
          <w:sz w:val="20"/>
          <w:szCs w:val="20"/>
        </w:rPr>
      </w:pPr>
    </w:p>
    <w:p w14:paraId="41FF089E" w14:textId="79228766" w:rsidR="00DD703A" w:rsidRPr="00D77559" w:rsidRDefault="000E31A9" w:rsidP="000E31A9">
      <w:pPr>
        <w:spacing w:after="0" w:line="240" w:lineRule="auto"/>
        <w:jc w:val="both"/>
        <w:rPr>
          <w:rFonts w:ascii="Arial" w:hAnsi="Arial" w:cs="Arial"/>
          <w:b/>
          <w:sz w:val="20"/>
          <w:szCs w:val="20"/>
        </w:rPr>
      </w:pPr>
      <w:r w:rsidRPr="00D77559">
        <w:rPr>
          <w:rFonts w:ascii="Arial" w:hAnsi="Arial" w:cs="Arial"/>
          <w:b/>
          <w:sz w:val="20"/>
          <w:szCs w:val="20"/>
        </w:rPr>
        <w:t xml:space="preserve">2.2.1 </w:t>
      </w:r>
      <w:r w:rsidR="00B36BC5" w:rsidRPr="00D805D1">
        <w:rPr>
          <w:rFonts w:ascii="Arial" w:hAnsi="Arial" w:cs="Arial"/>
          <w:b/>
        </w:rPr>
        <w:t>Preparation of Metformin HCl Floating tablets</w:t>
      </w:r>
    </w:p>
    <w:p w14:paraId="3CB149C4" w14:textId="77777777" w:rsidR="000E31A9" w:rsidRPr="00D77559" w:rsidRDefault="000E31A9" w:rsidP="000E31A9">
      <w:pPr>
        <w:spacing w:after="0" w:line="240" w:lineRule="auto"/>
        <w:jc w:val="both"/>
        <w:rPr>
          <w:rFonts w:ascii="Arial" w:hAnsi="Arial" w:cs="Arial"/>
          <w:b/>
          <w:sz w:val="20"/>
          <w:szCs w:val="20"/>
        </w:rPr>
      </w:pPr>
    </w:p>
    <w:p w14:paraId="62CC7A71" w14:textId="15886D46" w:rsidR="002549F2" w:rsidRPr="00D77559" w:rsidRDefault="007E4BBA" w:rsidP="000E31A9">
      <w:pPr>
        <w:spacing w:after="0" w:line="240" w:lineRule="auto"/>
        <w:jc w:val="both"/>
        <w:rPr>
          <w:rFonts w:ascii="Arial" w:hAnsi="Arial" w:cs="Arial"/>
          <w:sz w:val="20"/>
          <w:szCs w:val="20"/>
        </w:rPr>
      </w:pPr>
      <w:r w:rsidRPr="00D77559">
        <w:rPr>
          <w:rFonts w:ascii="Arial" w:hAnsi="Arial" w:cs="Arial"/>
          <w:sz w:val="20"/>
          <w:szCs w:val="20"/>
        </w:rPr>
        <w:t xml:space="preserve">Floating matrix tablets of Metformin HCl were prepared using a low-shear </w:t>
      </w:r>
      <w:r w:rsidR="00A474B5" w:rsidRPr="00D77559">
        <w:rPr>
          <w:rFonts w:ascii="Arial" w:hAnsi="Arial" w:cs="Arial"/>
          <w:sz w:val="20"/>
          <w:szCs w:val="20"/>
        </w:rPr>
        <w:t xml:space="preserve">fluid bed </w:t>
      </w:r>
      <w:r w:rsidRPr="00D77559">
        <w:rPr>
          <w:rFonts w:ascii="Arial" w:hAnsi="Arial" w:cs="Arial"/>
          <w:sz w:val="20"/>
          <w:szCs w:val="20"/>
        </w:rPr>
        <w:t>granulation process. Purified water was heated to 70</w:t>
      </w:r>
      <w:r w:rsidR="007A6F55" w:rsidRPr="00D77559">
        <w:rPr>
          <w:rFonts w:ascii="Arial" w:hAnsi="Arial" w:cs="Arial"/>
          <w:sz w:val="20"/>
          <w:szCs w:val="20"/>
        </w:rPr>
        <w:t>-</w:t>
      </w:r>
      <w:r w:rsidRPr="00D77559">
        <w:rPr>
          <w:rFonts w:ascii="Arial" w:hAnsi="Arial" w:cs="Arial"/>
          <w:sz w:val="20"/>
          <w:szCs w:val="20"/>
        </w:rPr>
        <w:t>80</w:t>
      </w:r>
      <w:r w:rsidR="007A6F55" w:rsidRPr="00D77559">
        <w:rPr>
          <w:rFonts w:ascii="Arial" w:hAnsi="Arial" w:cs="Arial"/>
          <w:sz w:val="20"/>
          <w:szCs w:val="20"/>
        </w:rPr>
        <w:t xml:space="preserve"> </w:t>
      </w:r>
      <w:r w:rsidRPr="00D77559">
        <w:rPr>
          <w:rFonts w:ascii="Arial" w:hAnsi="Arial" w:cs="Arial"/>
          <w:sz w:val="20"/>
          <w:szCs w:val="20"/>
        </w:rPr>
        <w:t xml:space="preserve">°C, and Polyvinyl Alcohol (PVA) was dissolved under continuous </w:t>
      </w:r>
      <w:r w:rsidRPr="00D77559">
        <w:rPr>
          <w:rFonts w:ascii="Arial" w:hAnsi="Arial" w:cs="Arial"/>
          <w:sz w:val="20"/>
          <w:szCs w:val="20"/>
        </w:rPr>
        <w:lastRenderedPageBreak/>
        <w:t>stirring before cooling to room temperature. Metformin HCl was</w:t>
      </w:r>
      <w:r w:rsidR="00B36BC5" w:rsidRPr="00D77559">
        <w:rPr>
          <w:rFonts w:ascii="Arial" w:hAnsi="Arial" w:cs="Arial"/>
          <w:sz w:val="20"/>
          <w:szCs w:val="20"/>
        </w:rPr>
        <w:t xml:space="preserve"> de-lumped by</w:t>
      </w:r>
      <w:r w:rsidRPr="00D77559">
        <w:rPr>
          <w:rFonts w:ascii="Arial" w:hAnsi="Arial" w:cs="Arial"/>
          <w:sz w:val="20"/>
          <w:szCs w:val="20"/>
        </w:rPr>
        <w:t xml:space="preserve"> sift</w:t>
      </w:r>
      <w:r w:rsidR="00B36BC5" w:rsidRPr="00D77559">
        <w:rPr>
          <w:rFonts w:ascii="Arial" w:hAnsi="Arial" w:cs="Arial"/>
          <w:sz w:val="20"/>
          <w:szCs w:val="20"/>
        </w:rPr>
        <w:t>ing</w:t>
      </w:r>
      <w:r w:rsidRPr="00D77559">
        <w:rPr>
          <w:rFonts w:ascii="Arial" w:hAnsi="Arial" w:cs="Arial"/>
          <w:sz w:val="20"/>
          <w:szCs w:val="20"/>
        </w:rPr>
        <w:t xml:space="preserve"> through a #20 mesh and mixed with colloidal silicon dioxide, followed by blending in a double-cone blender</w:t>
      </w:r>
      <w:r w:rsidR="00B36BC5" w:rsidRPr="00D77559">
        <w:rPr>
          <w:rFonts w:ascii="Arial" w:hAnsi="Arial" w:cs="Arial"/>
          <w:sz w:val="20"/>
          <w:szCs w:val="20"/>
        </w:rPr>
        <w:t xml:space="preserve"> for 10 minutes</w:t>
      </w:r>
      <w:r w:rsidRPr="00D77559">
        <w:rPr>
          <w:rFonts w:ascii="Arial" w:hAnsi="Arial" w:cs="Arial"/>
          <w:sz w:val="20"/>
          <w:szCs w:val="20"/>
        </w:rPr>
        <w:t>. The blend was transferred to a fluid-bed processor for granulation using the PVA solution,</w:t>
      </w:r>
      <w:r w:rsidR="00A474B5" w:rsidRPr="00D77559">
        <w:rPr>
          <w:rFonts w:ascii="Arial" w:hAnsi="Arial" w:cs="Arial"/>
          <w:sz w:val="20"/>
          <w:szCs w:val="20"/>
        </w:rPr>
        <w:t xml:space="preserve"> </w:t>
      </w:r>
      <w:r w:rsidR="009850B6" w:rsidRPr="00D77559">
        <w:rPr>
          <w:rFonts w:ascii="Arial" w:hAnsi="Arial" w:cs="Arial"/>
          <w:sz w:val="20"/>
          <w:szCs w:val="20"/>
        </w:rPr>
        <w:t>with</w:t>
      </w:r>
      <w:r w:rsidR="00A474B5" w:rsidRPr="00D77559">
        <w:rPr>
          <w:rFonts w:ascii="Arial" w:hAnsi="Arial" w:cs="Arial"/>
          <w:sz w:val="20"/>
          <w:szCs w:val="20"/>
        </w:rPr>
        <w:t xml:space="preserve"> optimized granulation process parameters </w:t>
      </w:r>
      <w:r w:rsidR="002549F2" w:rsidRPr="00D77559">
        <w:rPr>
          <w:rFonts w:ascii="Arial" w:hAnsi="Arial" w:cs="Arial"/>
          <w:sz w:val="20"/>
          <w:szCs w:val="20"/>
        </w:rPr>
        <w:t xml:space="preserve">tabulated in </w:t>
      </w:r>
      <w:r w:rsidR="00551B56" w:rsidRPr="00551B56">
        <w:rPr>
          <w:rFonts w:ascii="Arial" w:hAnsi="Arial" w:cs="Arial"/>
          <w:b/>
          <w:sz w:val="20"/>
          <w:szCs w:val="20"/>
        </w:rPr>
        <w:t xml:space="preserve">Table </w:t>
      </w:r>
      <w:r w:rsidR="00A474B5" w:rsidRPr="00551B56">
        <w:rPr>
          <w:rFonts w:ascii="Arial" w:hAnsi="Arial" w:cs="Arial"/>
          <w:b/>
          <w:sz w:val="20"/>
          <w:szCs w:val="20"/>
        </w:rPr>
        <w:t>1</w:t>
      </w:r>
      <w:r w:rsidR="002549F2" w:rsidRPr="00D77559">
        <w:rPr>
          <w:rFonts w:ascii="Arial" w:hAnsi="Arial" w:cs="Arial"/>
          <w:sz w:val="20"/>
          <w:szCs w:val="20"/>
        </w:rPr>
        <w:t xml:space="preserve"> </w:t>
      </w:r>
      <w:r w:rsidRPr="00D77559">
        <w:rPr>
          <w:rFonts w:ascii="Arial" w:hAnsi="Arial" w:cs="Arial"/>
          <w:sz w:val="20"/>
          <w:szCs w:val="20"/>
        </w:rPr>
        <w:t>and the resulting granules were dried to a loss on drying of not more than 2.0%</w:t>
      </w:r>
      <w:r w:rsidR="009850B6" w:rsidRPr="00D77559">
        <w:rPr>
          <w:rFonts w:ascii="Arial" w:hAnsi="Arial" w:cs="Arial"/>
          <w:sz w:val="20"/>
          <w:szCs w:val="20"/>
        </w:rPr>
        <w:t xml:space="preserve"> w/w</w:t>
      </w:r>
      <w:r w:rsidRPr="00D77559">
        <w:rPr>
          <w:rFonts w:ascii="Arial" w:hAnsi="Arial" w:cs="Arial"/>
          <w:sz w:val="20"/>
          <w:szCs w:val="20"/>
        </w:rPr>
        <w:t xml:space="preserve">. The dried granules were sieved, milled, and </w:t>
      </w:r>
      <w:r w:rsidR="00A474B5" w:rsidRPr="00D77559">
        <w:rPr>
          <w:rFonts w:ascii="Arial" w:hAnsi="Arial" w:cs="Arial"/>
          <w:sz w:val="20"/>
          <w:szCs w:val="20"/>
        </w:rPr>
        <w:t xml:space="preserve">blended with </w:t>
      </w:r>
      <w:proofErr w:type="spellStart"/>
      <w:r w:rsidR="00290429" w:rsidRPr="00D77559">
        <w:rPr>
          <w:rFonts w:ascii="Arial" w:hAnsi="Arial" w:cs="Arial"/>
          <w:sz w:val="20"/>
          <w:szCs w:val="20"/>
        </w:rPr>
        <w:t>Crospovidone</w:t>
      </w:r>
      <w:proofErr w:type="spellEnd"/>
      <w:r w:rsidRPr="00D77559">
        <w:rPr>
          <w:rFonts w:ascii="Arial" w:hAnsi="Arial" w:cs="Arial"/>
          <w:sz w:val="20"/>
          <w:szCs w:val="20"/>
        </w:rPr>
        <w:t>,</w:t>
      </w:r>
      <w:r w:rsidR="00A474B5" w:rsidRPr="00D77559">
        <w:rPr>
          <w:rFonts w:ascii="Arial" w:hAnsi="Arial" w:cs="Arial"/>
          <w:sz w:val="20"/>
          <w:szCs w:val="20"/>
        </w:rPr>
        <w:t xml:space="preserve"> </w:t>
      </w:r>
      <w:r w:rsidRPr="00D77559">
        <w:rPr>
          <w:rFonts w:ascii="Arial" w:hAnsi="Arial" w:cs="Arial"/>
          <w:sz w:val="20"/>
          <w:szCs w:val="20"/>
        </w:rPr>
        <w:t>followed by incorporation of Glyceryl Dibehenate</w:t>
      </w:r>
      <w:r w:rsidR="00A474B5" w:rsidRPr="00D77559">
        <w:rPr>
          <w:rFonts w:ascii="Arial" w:hAnsi="Arial" w:cs="Arial"/>
          <w:sz w:val="20"/>
          <w:szCs w:val="20"/>
        </w:rPr>
        <w:t xml:space="preserve"> to lubricate the blend</w:t>
      </w:r>
      <w:r w:rsidR="002549F2" w:rsidRPr="00D77559">
        <w:rPr>
          <w:rFonts w:ascii="Arial" w:hAnsi="Arial" w:cs="Arial"/>
          <w:sz w:val="20"/>
          <w:szCs w:val="20"/>
        </w:rPr>
        <w:t xml:space="preserve"> for 5 minutes</w:t>
      </w:r>
      <w:r w:rsidRPr="00D77559">
        <w:rPr>
          <w:rFonts w:ascii="Arial" w:hAnsi="Arial" w:cs="Arial"/>
          <w:sz w:val="20"/>
          <w:szCs w:val="20"/>
        </w:rPr>
        <w:t xml:space="preserve">. The final blend was compressed into tablets using modified oval </w:t>
      </w:r>
      <w:r w:rsidR="002549F2" w:rsidRPr="00D77559">
        <w:rPr>
          <w:rFonts w:ascii="Arial" w:hAnsi="Arial" w:cs="Arial"/>
          <w:sz w:val="20"/>
          <w:szCs w:val="20"/>
        </w:rPr>
        <w:t>shaped</w:t>
      </w:r>
      <w:r w:rsidRPr="00D77559">
        <w:rPr>
          <w:rFonts w:ascii="Arial" w:hAnsi="Arial" w:cs="Arial"/>
          <w:sz w:val="20"/>
          <w:szCs w:val="20"/>
        </w:rPr>
        <w:t xml:space="preserve"> tooling</w:t>
      </w:r>
      <w:r w:rsidR="009D6DAB" w:rsidRPr="00D77559">
        <w:rPr>
          <w:rFonts w:ascii="Arial" w:hAnsi="Arial" w:cs="Arial"/>
          <w:sz w:val="20"/>
          <w:szCs w:val="20"/>
        </w:rPr>
        <w:t xml:space="preserve"> (Palem CR et al., 2016).</w:t>
      </w:r>
      <w:r w:rsidR="002549F2" w:rsidRPr="00D77559">
        <w:rPr>
          <w:rFonts w:ascii="Arial" w:hAnsi="Arial" w:cs="Arial"/>
          <w:sz w:val="20"/>
          <w:szCs w:val="20"/>
        </w:rPr>
        <w:t xml:space="preserve"> Resulting tablets were further coated with Eudragit NE 30D using optimized coating process parameters </w:t>
      </w:r>
      <w:r w:rsidR="00E94C7C" w:rsidRPr="00D77559">
        <w:rPr>
          <w:rFonts w:ascii="Arial" w:hAnsi="Arial" w:cs="Arial"/>
          <w:sz w:val="20"/>
          <w:szCs w:val="20"/>
        </w:rPr>
        <w:t xml:space="preserve">to achieve </w:t>
      </w:r>
      <w:r w:rsidR="002549F2" w:rsidRPr="00D77559">
        <w:rPr>
          <w:rFonts w:ascii="Arial" w:hAnsi="Arial" w:cs="Arial"/>
          <w:sz w:val="20"/>
          <w:szCs w:val="20"/>
        </w:rPr>
        <w:t xml:space="preserve">control release. </w:t>
      </w:r>
    </w:p>
    <w:p w14:paraId="410365DF" w14:textId="3A67FE8B" w:rsidR="000E31A9" w:rsidRPr="00D77559" w:rsidRDefault="000E31A9" w:rsidP="000E31A9">
      <w:pPr>
        <w:spacing w:after="0" w:line="240" w:lineRule="auto"/>
        <w:jc w:val="both"/>
        <w:rPr>
          <w:rFonts w:ascii="Arial" w:hAnsi="Arial" w:cs="Arial"/>
          <w:sz w:val="20"/>
          <w:szCs w:val="20"/>
        </w:rPr>
      </w:pPr>
    </w:p>
    <w:p w14:paraId="4D4E1F87" w14:textId="0F643C74" w:rsidR="001A3CB9" w:rsidRPr="00D77559" w:rsidRDefault="000E31A9" w:rsidP="000E31A9">
      <w:pPr>
        <w:spacing w:after="0" w:line="240" w:lineRule="auto"/>
        <w:jc w:val="both"/>
        <w:rPr>
          <w:rStyle w:val="A2"/>
          <w:rFonts w:ascii="Arial" w:hAnsi="Arial" w:cs="Arial"/>
          <w:i/>
        </w:rPr>
      </w:pPr>
      <w:r w:rsidRPr="00D77559">
        <w:rPr>
          <w:rStyle w:val="A2"/>
          <w:rFonts w:ascii="Arial" w:hAnsi="Arial" w:cs="Arial"/>
          <w:i/>
        </w:rPr>
        <w:t xml:space="preserve">2.2.1.1 </w:t>
      </w:r>
      <w:r w:rsidR="001A3CB9" w:rsidRPr="00D805D1">
        <w:rPr>
          <w:rStyle w:val="A2"/>
          <w:rFonts w:ascii="Arial" w:hAnsi="Arial" w:cs="Arial"/>
          <w:i/>
        </w:rPr>
        <w:t>Pre and Post-Compression Evaluation</w:t>
      </w:r>
    </w:p>
    <w:p w14:paraId="136FF95F" w14:textId="77777777" w:rsidR="000E31A9" w:rsidRPr="00D77559" w:rsidRDefault="000E31A9" w:rsidP="000E31A9">
      <w:pPr>
        <w:spacing w:after="0" w:line="240" w:lineRule="auto"/>
        <w:jc w:val="both"/>
        <w:rPr>
          <w:rStyle w:val="A2"/>
          <w:rFonts w:ascii="Arial" w:hAnsi="Arial" w:cs="Arial"/>
        </w:rPr>
      </w:pPr>
    </w:p>
    <w:p w14:paraId="040D155B" w14:textId="5D303276" w:rsidR="001A3CB9" w:rsidRPr="00D77559" w:rsidRDefault="001A3CB9" w:rsidP="000E31A9">
      <w:pPr>
        <w:spacing w:after="0" w:line="240" w:lineRule="auto"/>
        <w:jc w:val="both"/>
        <w:rPr>
          <w:rFonts w:ascii="Arial" w:hAnsi="Arial" w:cs="Arial"/>
          <w:sz w:val="20"/>
          <w:szCs w:val="20"/>
        </w:rPr>
      </w:pPr>
      <w:r w:rsidRPr="00D77559">
        <w:rPr>
          <w:rFonts w:ascii="Arial" w:hAnsi="Arial" w:cs="Arial"/>
          <w:sz w:val="20"/>
          <w:szCs w:val="20"/>
        </w:rPr>
        <w:t xml:space="preserve">Blend of all the formulations were evaluated for </w:t>
      </w:r>
      <w:r w:rsidR="007E4BBA" w:rsidRPr="00D77559">
        <w:rPr>
          <w:rFonts w:ascii="Arial" w:hAnsi="Arial" w:cs="Arial"/>
          <w:sz w:val="20"/>
          <w:szCs w:val="20"/>
        </w:rPr>
        <w:t>b</w:t>
      </w:r>
      <w:r w:rsidRPr="00D77559">
        <w:rPr>
          <w:rFonts w:ascii="Arial" w:hAnsi="Arial" w:cs="Arial"/>
          <w:sz w:val="20"/>
          <w:szCs w:val="20"/>
        </w:rPr>
        <w:t xml:space="preserve">ulk density, tapped density, </w:t>
      </w:r>
      <w:r w:rsidR="00290429" w:rsidRPr="00D77559">
        <w:rPr>
          <w:rFonts w:ascii="Arial" w:hAnsi="Arial" w:cs="Arial"/>
          <w:sz w:val="20"/>
          <w:szCs w:val="20"/>
        </w:rPr>
        <w:t>Carr’s</w:t>
      </w:r>
      <w:r w:rsidRPr="00D77559">
        <w:rPr>
          <w:rFonts w:ascii="Arial" w:hAnsi="Arial" w:cs="Arial"/>
          <w:sz w:val="20"/>
          <w:szCs w:val="20"/>
        </w:rPr>
        <w:t xml:space="preserve"> index, Hausner’s ratio, and angle of repose</w:t>
      </w:r>
      <w:r w:rsidR="009D6DAB" w:rsidRPr="00D77559">
        <w:rPr>
          <w:rFonts w:ascii="Arial" w:hAnsi="Arial" w:cs="Arial"/>
          <w:sz w:val="20"/>
          <w:szCs w:val="20"/>
        </w:rPr>
        <w:t xml:space="preserve"> (Palem CR et al., 2012).</w:t>
      </w:r>
      <w:r w:rsidR="007E4BBA" w:rsidRPr="00D77559">
        <w:rPr>
          <w:rFonts w:ascii="Arial" w:hAnsi="Arial" w:cs="Arial"/>
          <w:sz w:val="20"/>
          <w:szCs w:val="20"/>
        </w:rPr>
        <w:t xml:space="preserve"> Compressed and finished tablets were evaluated for weight variation, thickness, hardness, friability, drug content, floating lag time, floating buoyancy time and swelling index.</w:t>
      </w:r>
    </w:p>
    <w:p w14:paraId="2A517745" w14:textId="77777777" w:rsidR="000E31A9" w:rsidRPr="00D77559" w:rsidRDefault="000E31A9" w:rsidP="000E31A9">
      <w:pPr>
        <w:spacing w:after="0" w:line="240" w:lineRule="auto"/>
        <w:jc w:val="both"/>
        <w:rPr>
          <w:rFonts w:ascii="Arial" w:hAnsi="Arial" w:cs="Arial"/>
          <w:sz w:val="20"/>
          <w:szCs w:val="20"/>
        </w:rPr>
      </w:pPr>
    </w:p>
    <w:p w14:paraId="531CEAB4" w14:textId="125963F7" w:rsidR="003B6DE9" w:rsidRPr="00D77559" w:rsidRDefault="000E31A9" w:rsidP="000E31A9">
      <w:pPr>
        <w:autoSpaceDE w:val="0"/>
        <w:autoSpaceDN w:val="0"/>
        <w:adjustRightInd w:val="0"/>
        <w:spacing w:after="0" w:line="240" w:lineRule="auto"/>
        <w:jc w:val="both"/>
        <w:rPr>
          <w:rFonts w:ascii="Arial" w:hAnsi="Arial" w:cs="Arial"/>
          <w:b/>
          <w:bCs/>
          <w:i/>
          <w:iCs/>
          <w:sz w:val="20"/>
          <w:szCs w:val="20"/>
        </w:rPr>
      </w:pPr>
      <w:r w:rsidRPr="00D77559">
        <w:rPr>
          <w:rStyle w:val="A2"/>
          <w:rFonts w:ascii="Arial" w:hAnsi="Arial" w:cs="Arial"/>
          <w:i/>
        </w:rPr>
        <w:t xml:space="preserve">2.2.1.2 </w:t>
      </w:r>
      <w:r w:rsidR="003B6DE9" w:rsidRPr="00D77559">
        <w:rPr>
          <w:rFonts w:ascii="Arial" w:hAnsi="Arial" w:cs="Arial"/>
          <w:b/>
          <w:bCs/>
          <w:i/>
          <w:iCs/>
          <w:sz w:val="20"/>
          <w:szCs w:val="20"/>
        </w:rPr>
        <w:t>In vitro buoyancy</w:t>
      </w:r>
      <w:r w:rsidR="00E94C7C" w:rsidRPr="00D77559">
        <w:rPr>
          <w:rFonts w:ascii="Arial" w:hAnsi="Arial" w:cs="Arial"/>
          <w:b/>
          <w:bCs/>
          <w:i/>
          <w:iCs/>
          <w:sz w:val="20"/>
          <w:szCs w:val="20"/>
        </w:rPr>
        <w:t xml:space="preserve"> studies</w:t>
      </w:r>
      <w:r w:rsidR="003B6DE9" w:rsidRPr="00D77559">
        <w:rPr>
          <w:rFonts w:ascii="Arial" w:hAnsi="Arial" w:cs="Arial"/>
          <w:b/>
          <w:bCs/>
          <w:i/>
          <w:iCs/>
          <w:sz w:val="20"/>
          <w:szCs w:val="20"/>
        </w:rPr>
        <w:t xml:space="preserve"> </w:t>
      </w:r>
    </w:p>
    <w:p w14:paraId="0A5CC2AA" w14:textId="77777777" w:rsidR="000E31A9" w:rsidRPr="00D77559" w:rsidRDefault="000E31A9" w:rsidP="000E31A9">
      <w:pPr>
        <w:autoSpaceDE w:val="0"/>
        <w:autoSpaceDN w:val="0"/>
        <w:adjustRightInd w:val="0"/>
        <w:spacing w:after="0" w:line="240" w:lineRule="auto"/>
        <w:jc w:val="both"/>
        <w:rPr>
          <w:rFonts w:ascii="Arial" w:hAnsi="Arial" w:cs="Arial"/>
          <w:sz w:val="20"/>
          <w:szCs w:val="20"/>
        </w:rPr>
      </w:pPr>
    </w:p>
    <w:p w14:paraId="1764E2F2" w14:textId="7394CDF7" w:rsidR="003B6DE9" w:rsidRPr="00D77559" w:rsidRDefault="003B6DE9" w:rsidP="000E31A9">
      <w:pPr>
        <w:autoSpaceDE w:val="0"/>
        <w:autoSpaceDN w:val="0"/>
        <w:adjustRightInd w:val="0"/>
        <w:spacing w:after="0" w:line="240" w:lineRule="auto"/>
        <w:jc w:val="both"/>
        <w:rPr>
          <w:rFonts w:ascii="Arial" w:hAnsi="Arial" w:cs="Arial"/>
          <w:sz w:val="20"/>
          <w:szCs w:val="20"/>
        </w:rPr>
      </w:pPr>
      <w:r w:rsidRPr="00D77559">
        <w:rPr>
          <w:rFonts w:ascii="Arial" w:hAnsi="Arial" w:cs="Arial"/>
          <w:sz w:val="20"/>
          <w:szCs w:val="20"/>
        </w:rPr>
        <w:t xml:space="preserve">The </w:t>
      </w:r>
      <w:r w:rsidRPr="00D77559">
        <w:rPr>
          <w:rFonts w:ascii="Arial" w:hAnsi="Arial" w:cs="Arial"/>
          <w:iCs/>
          <w:sz w:val="20"/>
          <w:szCs w:val="20"/>
        </w:rPr>
        <w:t xml:space="preserve">in vitro </w:t>
      </w:r>
      <w:r w:rsidRPr="00D77559">
        <w:rPr>
          <w:rFonts w:ascii="Arial" w:hAnsi="Arial" w:cs="Arial"/>
          <w:sz w:val="20"/>
          <w:szCs w:val="20"/>
        </w:rPr>
        <w:t>buoyancy was performed according to the method described by</w:t>
      </w:r>
      <w:r w:rsidR="00827C23">
        <w:rPr>
          <w:rFonts w:ascii="Arial" w:hAnsi="Arial" w:cs="Arial"/>
          <w:sz w:val="20"/>
          <w:szCs w:val="20"/>
        </w:rPr>
        <w:t xml:space="preserve"> Jimenez Rosa. </w:t>
      </w:r>
      <w:r w:rsidR="009D6DAB" w:rsidRPr="00D77559">
        <w:rPr>
          <w:rFonts w:ascii="Arial" w:hAnsi="Arial" w:cs="Arial"/>
          <w:sz w:val="20"/>
          <w:szCs w:val="20"/>
        </w:rPr>
        <w:t>(</w:t>
      </w:r>
      <w:r w:rsidRPr="00827C23">
        <w:rPr>
          <w:rFonts w:ascii="Arial" w:hAnsi="Arial" w:cs="Arial"/>
          <w:sz w:val="20"/>
          <w:szCs w:val="20"/>
        </w:rPr>
        <w:t>Jiménez-Castellanos</w:t>
      </w:r>
      <w:r w:rsidR="00827C23" w:rsidRPr="00827C23">
        <w:rPr>
          <w:rFonts w:ascii="Arial" w:hAnsi="Arial" w:cs="Arial"/>
          <w:sz w:val="20"/>
          <w:szCs w:val="20"/>
        </w:rPr>
        <w:t xml:space="preserve"> MR</w:t>
      </w:r>
      <w:r w:rsidRPr="00827C23">
        <w:rPr>
          <w:rFonts w:ascii="Arial" w:hAnsi="Arial" w:cs="Arial"/>
          <w:sz w:val="20"/>
          <w:szCs w:val="20"/>
        </w:rPr>
        <w:t xml:space="preserve"> et al.</w:t>
      </w:r>
      <w:r w:rsidR="009D6DAB" w:rsidRPr="00827C23">
        <w:rPr>
          <w:rFonts w:ascii="Arial" w:hAnsi="Arial" w:cs="Arial"/>
          <w:sz w:val="20"/>
          <w:szCs w:val="20"/>
        </w:rPr>
        <w:t>,1994).</w:t>
      </w:r>
      <w:r w:rsidRPr="00827C23">
        <w:rPr>
          <w:rFonts w:ascii="Arial" w:hAnsi="Arial" w:cs="Arial"/>
          <w:sz w:val="20"/>
          <w:szCs w:val="20"/>
        </w:rPr>
        <w:t xml:space="preserve"> </w:t>
      </w:r>
      <w:r w:rsidRPr="00D77559">
        <w:rPr>
          <w:rFonts w:ascii="Arial" w:hAnsi="Arial" w:cs="Arial"/>
          <w:sz w:val="20"/>
          <w:szCs w:val="20"/>
        </w:rPr>
        <w:t>The time required for the tablet to rise to the surface and float, floating lag time (FLT) expressed of seconds (s) and the total floating time (TFT) expressed of hours (h) were determined. The results represent the average of 3 measures.</w:t>
      </w:r>
    </w:p>
    <w:p w14:paraId="00D861A4" w14:textId="77777777" w:rsidR="000E31A9" w:rsidRPr="00D77559" w:rsidRDefault="000E31A9" w:rsidP="000E31A9">
      <w:pPr>
        <w:autoSpaceDE w:val="0"/>
        <w:autoSpaceDN w:val="0"/>
        <w:adjustRightInd w:val="0"/>
        <w:spacing w:after="0" w:line="240" w:lineRule="auto"/>
        <w:jc w:val="both"/>
        <w:rPr>
          <w:rFonts w:ascii="Arial" w:hAnsi="Arial" w:cs="Arial"/>
          <w:sz w:val="20"/>
          <w:szCs w:val="20"/>
        </w:rPr>
      </w:pPr>
    </w:p>
    <w:p w14:paraId="4F5F8E4C" w14:textId="77777777" w:rsidR="004A5231" w:rsidRPr="00D77559" w:rsidRDefault="000E31A9" w:rsidP="000E31A9">
      <w:pPr>
        <w:autoSpaceDE w:val="0"/>
        <w:autoSpaceDN w:val="0"/>
        <w:adjustRightInd w:val="0"/>
        <w:spacing w:after="0" w:line="240" w:lineRule="auto"/>
        <w:jc w:val="both"/>
        <w:rPr>
          <w:rFonts w:ascii="Arial" w:hAnsi="Arial" w:cs="Arial"/>
          <w:b/>
          <w:i/>
          <w:iCs/>
          <w:sz w:val="20"/>
          <w:szCs w:val="20"/>
        </w:rPr>
      </w:pPr>
      <w:r w:rsidRPr="00D77559">
        <w:rPr>
          <w:rStyle w:val="A2"/>
          <w:rFonts w:ascii="Arial" w:hAnsi="Arial" w:cs="Arial"/>
          <w:i/>
        </w:rPr>
        <w:t xml:space="preserve">2.2.1.3 </w:t>
      </w:r>
      <w:r w:rsidR="00E1611E" w:rsidRPr="00D77559">
        <w:rPr>
          <w:rFonts w:ascii="Arial" w:hAnsi="Arial" w:cs="Arial"/>
          <w:b/>
          <w:i/>
          <w:iCs/>
          <w:sz w:val="20"/>
          <w:szCs w:val="20"/>
        </w:rPr>
        <w:t xml:space="preserve">Effect of </w:t>
      </w:r>
      <w:r w:rsidR="00F46C90" w:rsidRPr="00D77559">
        <w:rPr>
          <w:rFonts w:ascii="Arial" w:hAnsi="Arial" w:cs="Arial"/>
          <w:b/>
          <w:i/>
          <w:iCs/>
          <w:sz w:val="20"/>
          <w:szCs w:val="20"/>
        </w:rPr>
        <w:t>g</w:t>
      </w:r>
      <w:r w:rsidR="00E1611E" w:rsidRPr="00D77559">
        <w:rPr>
          <w:rFonts w:ascii="Arial" w:hAnsi="Arial" w:cs="Arial"/>
          <w:b/>
          <w:i/>
          <w:iCs/>
          <w:sz w:val="20"/>
          <w:szCs w:val="20"/>
        </w:rPr>
        <w:t xml:space="preserve">ranulation </w:t>
      </w:r>
      <w:r w:rsidR="00F46C90" w:rsidRPr="00D77559">
        <w:rPr>
          <w:rFonts w:ascii="Arial" w:hAnsi="Arial" w:cs="Arial"/>
          <w:b/>
          <w:i/>
          <w:iCs/>
          <w:sz w:val="20"/>
          <w:szCs w:val="20"/>
        </w:rPr>
        <w:t>p</w:t>
      </w:r>
      <w:r w:rsidR="00E1611E" w:rsidRPr="00D77559">
        <w:rPr>
          <w:rFonts w:ascii="Arial" w:hAnsi="Arial" w:cs="Arial"/>
          <w:b/>
          <w:i/>
          <w:iCs/>
          <w:sz w:val="20"/>
          <w:szCs w:val="20"/>
        </w:rPr>
        <w:t xml:space="preserve">rocess on </w:t>
      </w:r>
      <w:r w:rsidR="00F46C90" w:rsidRPr="00D77559">
        <w:rPr>
          <w:rFonts w:ascii="Arial" w:hAnsi="Arial" w:cs="Arial"/>
          <w:b/>
          <w:i/>
          <w:iCs/>
          <w:sz w:val="20"/>
          <w:szCs w:val="20"/>
        </w:rPr>
        <w:t>f</w:t>
      </w:r>
      <w:r w:rsidR="00E1611E" w:rsidRPr="00D77559">
        <w:rPr>
          <w:rFonts w:ascii="Arial" w:hAnsi="Arial" w:cs="Arial"/>
          <w:b/>
          <w:i/>
          <w:iCs/>
          <w:sz w:val="20"/>
          <w:szCs w:val="20"/>
        </w:rPr>
        <w:t>loating</w:t>
      </w:r>
      <w:r w:rsidR="00E94C7C" w:rsidRPr="00D77559">
        <w:rPr>
          <w:rFonts w:ascii="Arial" w:hAnsi="Arial" w:cs="Arial"/>
          <w:b/>
          <w:i/>
          <w:iCs/>
          <w:sz w:val="20"/>
          <w:szCs w:val="20"/>
        </w:rPr>
        <w:t xml:space="preserve"> </w:t>
      </w:r>
      <w:r w:rsidR="00F46C90" w:rsidRPr="00D77559">
        <w:rPr>
          <w:rFonts w:ascii="Arial" w:hAnsi="Arial" w:cs="Arial"/>
          <w:b/>
          <w:i/>
          <w:iCs/>
          <w:sz w:val="20"/>
          <w:szCs w:val="20"/>
        </w:rPr>
        <w:t xml:space="preserve">time </w:t>
      </w:r>
      <w:r w:rsidR="00E94C7C" w:rsidRPr="00D77559">
        <w:rPr>
          <w:rFonts w:ascii="Arial" w:hAnsi="Arial" w:cs="Arial"/>
          <w:b/>
          <w:i/>
          <w:iCs/>
          <w:sz w:val="20"/>
          <w:szCs w:val="20"/>
        </w:rPr>
        <w:t xml:space="preserve">of </w:t>
      </w:r>
      <w:r w:rsidR="00F46C90" w:rsidRPr="00D77559">
        <w:rPr>
          <w:rFonts w:ascii="Arial" w:hAnsi="Arial" w:cs="Arial"/>
          <w:b/>
          <w:i/>
          <w:iCs/>
          <w:sz w:val="20"/>
          <w:szCs w:val="20"/>
        </w:rPr>
        <w:t xml:space="preserve">finished </w:t>
      </w:r>
      <w:r w:rsidR="00E94C7C" w:rsidRPr="00D77559">
        <w:rPr>
          <w:rFonts w:ascii="Arial" w:hAnsi="Arial" w:cs="Arial"/>
          <w:b/>
          <w:i/>
          <w:iCs/>
          <w:sz w:val="20"/>
          <w:szCs w:val="20"/>
        </w:rPr>
        <w:t>tablets</w:t>
      </w:r>
    </w:p>
    <w:p w14:paraId="3C8084A8" w14:textId="3563C3E9" w:rsidR="003B6DE9" w:rsidRPr="00D77559" w:rsidRDefault="00E94C7C" w:rsidP="000E31A9">
      <w:pPr>
        <w:autoSpaceDE w:val="0"/>
        <w:autoSpaceDN w:val="0"/>
        <w:adjustRightInd w:val="0"/>
        <w:spacing w:after="0" w:line="240" w:lineRule="auto"/>
        <w:jc w:val="both"/>
        <w:rPr>
          <w:rFonts w:ascii="Arial" w:hAnsi="Arial" w:cs="Arial"/>
          <w:b/>
          <w:iCs/>
          <w:sz w:val="20"/>
          <w:szCs w:val="20"/>
        </w:rPr>
      </w:pPr>
      <w:r w:rsidRPr="00D77559">
        <w:rPr>
          <w:rFonts w:ascii="Arial" w:hAnsi="Arial" w:cs="Arial"/>
          <w:b/>
          <w:iCs/>
          <w:sz w:val="20"/>
          <w:szCs w:val="20"/>
        </w:rPr>
        <w:t xml:space="preserve"> </w:t>
      </w:r>
    </w:p>
    <w:p w14:paraId="32FEE093" w14:textId="1FE2CC7B" w:rsidR="00F46C90" w:rsidRPr="00D77559" w:rsidRDefault="00F46C90" w:rsidP="000E31A9">
      <w:pPr>
        <w:autoSpaceDE w:val="0"/>
        <w:autoSpaceDN w:val="0"/>
        <w:adjustRightInd w:val="0"/>
        <w:spacing w:after="0" w:line="240" w:lineRule="auto"/>
        <w:jc w:val="both"/>
        <w:rPr>
          <w:rFonts w:ascii="Arial" w:hAnsi="Arial" w:cs="Arial"/>
          <w:sz w:val="20"/>
          <w:szCs w:val="20"/>
        </w:rPr>
      </w:pPr>
      <w:r w:rsidRPr="00D77559">
        <w:rPr>
          <w:rFonts w:ascii="Arial" w:hAnsi="Arial" w:cs="Arial"/>
          <w:sz w:val="20"/>
          <w:szCs w:val="20"/>
        </w:rPr>
        <w:t>Based on the conclusions drawn from the previous trials that the selected grade of PVA was further evaluated with respect to its performance under different granulation process parameters. Two independent experimental trials were designed to assess the influence of top-spray granulation spray rate on the floating behavior of the final tablet dosage form. In the first trial, metformin granules were prepared using a top-spray granulation process operated at a slow spray rate. The dried granules were blended with the remaining excipients and compressed into tablets. In the second trial, metformin granules were manufactured using the same top-spray granulation technique but at a high spray rate. The resulting granules were similarly blended, compressed, and coated to yield the corresponding finished tablets. Both batches of coated tablets were subjected to in vitro buoyancy testing to determine floating lag time and total floating duration. The results were compared to evaluate the effect of spray rate during granulation on the floating characteristics of the final dosage form.</w:t>
      </w:r>
    </w:p>
    <w:p w14:paraId="063B56CF" w14:textId="77777777" w:rsidR="000E31A9" w:rsidRPr="00D77559" w:rsidRDefault="000E31A9" w:rsidP="000E31A9">
      <w:pPr>
        <w:autoSpaceDE w:val="0"/>
        <w:autoSpaceDN w:val="0"/>
        <w:adjustRightInd w:val="0"/>
        <w:spacing w:after="0" w:line="240" w:lineRule="auto"/>
        <w:jc w:val="both"/>
        <w:rPr>
          <w:rFonts w:ascii="Arial" w:hAnsi="Arial" w:cs="Arial"/>
          <w:sz w:val="20"/>
          <w:szCs w:val="20"/>
        </w:rPr>
      </w:pPr>
    </w:p>
    <w:p w14:paraId="0806B610" w14:textId="47410156" w:rsidR="00B96BC4" w:rsidRPr="00D77559" w:rsidRDefault="004A5231" w:rsidP="000E31A9">
      <w:pPr>
        <w:autoSpaceDE w:val="0"/>
        <w:autoSpaceDN w:val="0"/>
        <w:adjustRightInd w:val="0"/>
        <w:spacing w:after="0" w:line="240" w:lineRule="auto"/>
        <w:jc w:val="both"/>
        <w:rPr>
          <w:rFonts w:ascii="Arial" w:hAnsi="Arial" w:cs="Arial"/>
          <w:b/>
          <w:i/>
          <w:sz w:val="20"/>
          <w:szCs w:val="20"/>
        </w:rPr>
      </w:pPr>
      <w:r w:rsidRPr="00D77559">
        <w:rPr>
          <w:rStyle w:val="A2"/>
          <w:rFonts w:ascii="Arial" w:hAnsi="Arial" w:cs="Arial"/>
          <w:i/>
        </w:rPr>
        <w:t>2.2.1.4</w:t>
      </w:r>
      <w:r w:rsidR="000E31A9" w:rsidRPr="00D77559">
        <w:rPr>
          <w:rStyle w:val="A2"/>
          <w:rFonts w:ascii="Arial" w:hAnsi="Arial" w:cs="Arial"/>
          <w:i/>
        </w:rPr>
        <w:t xml:space="preserve"> </w:t>
      </w:r>
      <w:r w:rsidR="00B96BC4" w:rsidRPr="00D77559">
        <w:rPr>
          <w:rFonts w:ascii="Arial" w:hAnsi="Arial" w:cs="Arial"/>
          <w:b/>
          <w:i/>
          <w:sz w:val="20"/>
          <w:szCs w:val="20"/>
        </w:rPr>
        <w:t>In Vitro Dissolution Analysis</w:t>
      </w:r>
    </w:p>
    <w:p w14:paraId="23DD11FE" w14:textId="77777777" w:rsidR="004A5231" w:rsidRPr="00D77559" w:rsidRDefault="004A5231" w:rsidP="000E31A9">
      <w:pPr>
        <w:autoSpaceDE w:val="0"/>
        <w:autoSpaceDN w:val="0"/>
        <w:adjustRightInd w:val="0"/>
        <w:spacing w:after="0" w:line="240" w:lineRule="auto"/>
        <w:jc w:val="both"/>
        <w:rPr>
          <w:rFonts w:ascii="Arial" w:hAnsi="Arial" w:cs="Arial"/>
          <w:b/>
          <w:sz w:val="20"/>
          <w:szCs w:val="20"/>
        </w:rPr>
      </w:pPr>
    </w:p>
    <w:p w14:paraId="4F70EE26" w14:textId="17068574" w:rsidR="007E4BBA" w:rsidRPr="00D77559" w:rsidRDefault="00B96BC4" w:rsidP="000E31A9">
      <w:pPr>
        <w:autoSpaceDE w:val="0"/>
        <w:autoSpaceDN w:val="0"/>
        <w:adjustRightInd w:val="0"/>
        <w:spacing w:after="0" w:line="240" w:lineRule="auto"/>
        <w:jc w:val="both"/>
        <w:rPr>
          <w:rFonts w:ascii="Arial" w:hAnsi="Arial" w:cs="Arial"/>
          <w:color w:val="000000" w:themeColor="text1"/>
          <w:sz w:val="20"/>
          <w:szCs w:val="20"/>
        </w:rPr>
      </w:pPr>
      <w:r w:rsidRPr="00D77559">
        <w:rPr>
          <w:rFonts w:ascii="Arial" w:hAnsi="Arial" w:cs="Arial"/>
          <w:color w:val="000000" w:themeColor="text1"/>
          <w:sz w:val="20"/>
          <w:szCs w:val="20"/>
        </w:rPr>
        <w:t xml:space="preserve">The dissolution profile of </w:t>
      </w:r>
      <w:r w:rsidR="00644CFE" w:rsidRPr="00D77559">
        <w:rPr>
          <w:rFonts w:ascii="Arial" w:hAnsi="Arial" w:cs="Arial"/>
          <w:color w:val="000000" w:themeColor="text1"/>
          <w:sz w:val="20"/>
          <w:szCs w:val="20"/>
        </w:rPr>
        <w:t>Metformin hydrochloride</w:t>
      </w:r>
      <w:r w:rsidRPr="00D77559">
        <w:rPr>
          <w:rFonts w:ascii="Arial" w:hAnsi="Arial" w:cs="Arial"/>
          <w:color w:val="000000" w:themeColor="text1"/>
          <w:sz w:val="20"/>
          <w:szCs w:val="20"/>
        </w:rPr>
        <w:t xml:space="preserve"> from </w:t>
      </w:r>
      <w:r w:rsidRPr="000931B3">
        <w:rPr>
          <w:rFonts w:ascii="Arial" w:hAnsi="Arial" w:cs="Arial"/>
          <w:color w:val="000000" w:themeColor="text1"/>
          <w:sz w:val="20"/>
          <w:szCs w:val="20"/>
        </w:rPr>
        <w:t xml:space="preserve">the </w:t>
      </w:r>
      <w:r w:rsidR="00B85C21" w:rsidRPr="000931B3">
        <w:rPr>
          <w:rFonts w:ascii="Arial" w:hAnsi="Arial" w:cs="Arial"/>
          <w:color w:val="000000" w:themeColor="text1"/>
          <w:sz w:val="20"/>
          <w:szCs w:val="20"/>
        </w:rPr>
        <w:t xml:space="preserve">developed floating tablets </w:t>
      </w:r>
      <w:r w:rsidRPr="00D77559">
        <w:rPr>
          <w:rFonts w:ascii="Arial" w:hAnsi="Arial" w:cs="Arial"/>
          <w:color w:val="000000" w:themeColor="text1"/>
          <w:sz w:val="20"/>
          <w:szCs w:val="20"/>
        </w:rPr>
        <w:t>w</w:t>
      </w:r>
      <w:r w:rsidR="00B85C21">
        <w:rPr>
          <w:rFonts w:ascii="Arial" w:hAnsi="Arial" w:cs="Arial"/>
          <w:color w:val="000000" w:themeColor="text1"/>
          <w:sz w:val="20"/>
          <w:szCs w:val="20"/>
        </w:rPr>
        <w:t>ere</w:t>
      </w:r>
      <w:r w:rsidRPr="00D77559">
        <w:rPr>
          <w:rFonts w:ascii="Arial" w:hAnsi="Arial" w:cs="Arial"/>
          <w:color w:val="000000" w:themeColor="text1"/>
          <w:sz w:val="20"/>
          <w:szCs w:val="20"/>
        </w:rPr>
        <w:t xml:space="preserve"> evaluated using a USP Dissolution </w:t>
      </w:r>
      <w:r w:rsidRPr="000931B3">
        <w:rPr>
          <w:rFonts w:ascii="Arial" w:hAnsi="Arial" w:cs="Arial"/>
          <w:color w:val="000000" w:themeColor="text1"/>
          <w:sz w:val="20"/>
          <w:szCs w:val="20"/>
        </w:rPr>
        <w:t xml:space="preserve">Apparatus </w:t>
      </w:r>
      <w:r w:rsidR="00644CFE" w:rsidRPr="000931B3">
        <w:rPr>
          <w:rFonts w:ascii="Arial" w:hAnsi="Arial" w:cs="Arial"/>
          <w:color w:val="000000" w:themeColor="text1"/>
          <w:sz w:val="20"/>
          <w:szCs w:val="20"/>
        </w:rPr>
        <w:t>II</w:t>
      </w:r>
      <w:r w:rsidRPr="000931B3">
        <w:rPr>
          <w:rFonts w:ascii="Arial" w:hAnsi="Arial" w:cs="Arial"/>
          <w:color w:val="000000" w:themeColor="text1"/>
          <w:sz w:val="20"/>
          <w:szCs w:val="20"/>
        </w:rPr>
        <w:t>.</w:t>
      </w:r>
      <w:r w:rsidRPr="00D77559">
        <w:rPr>
          <w:rFonts w:ascii="Arial" w:hAnsi="Arial" w:cs="Arial"/>
          <w:color w:val="000000" w:themeColor="text1"/>
          <w:sz w:val="20"/>
          <w:szCs w:val="20"/>
        </w:rPr>
        <w:t xml:space="preserve"> The dissolution test was carried out in </w:t>
      </w:r>
      <w:r w:rsidR="00644CFE" w:rsidRPr="00D77559">
        <w:rPr>
          <w:rFonts w:ascii="Arial" w:hAnsi="Arial" w:cs="Arial"/>
          <w:color w:val="000000" w:themeColor="text1"/>
          <w:sz w:val="20"/>
          <w:szCs w:val="20"/>
        </w:rPr>
        <w:t>10</w:t>
      </w:r>
      <w:r w:rsidRPr="00D77559">
        <w:rPr>
          <w:rFonts w:ascii="Arial" w:hAnsi="Arial" w:cs="Arial"/>
          <w:color w:val="000000" w:themeColor="text1"/>
          <w:sz w:val="20"/>
          <w:szCs w:val="20"/>
        </w:rPr>
        <w:t xml:space="preserve">00 mL of a </w:t>
      </w:r>
      <w:r w:rsidR="00644CFE" w:rsidRPr="00D77559">
        <w:rPr>
          <w:rFonts w:ascii="Arial" w:hAnsi="Arial" w:cs="Arial"/>
          <w:color w:val="000000" w:themeColor="text1"/>
          <w:sz w:val="20"/>
          <w:szCs w:val="20"/>
        </w:rPr>
        <w:t>6.8 pH Buffer</w:t>
      </w:r>
      <w:r w:rsidRPr="00D77559">
        <w:rPr>
          <w:rFonts w:ascii="Arial" w:hAnsi="Arial" w:cs="Arial"/>
          <w:color w:val="000000" w:themeColor="text1"/>
          <w:sz w:val="20"/>
          <w:szCs w:val="20"/>
        </w:rPr>
        <w:t xml:space="preserve"> at 37</w:t>
      </w:r>
      <w:r w:rsidR="00644CFE" w:rsidRPr="00D77559">
        <w:rPr>
          <w:rFonts w:ascii="Arial" w:hAnsi="Arial" w:cs="Arial"/>
          <w:color w:val="000000" w:themeColor="text1"/>
          <w:sz w:val="20"/>
          <w:szCs w:val="20"/>
        </w:rPr>
        <w:t>±</w:t>
      </w:r>
      <w:r w:rsidRPr="00D77559">
        <w:rPr>
          <w:rFonts w:ascii="Arial" w:hAnsi="Arial" w:cs="Arial"/>
          <w:color w:val="000000" w:themeColor="text1"/>
          <w:sz w:val="20"/>
          <w:szCs w:val="20"/>
        </w:rPr>
        <w:t xml:space="preserve"> 0.5</w:t>
      </w:r>
      <w:r w:rsidR="00644CFE" w:rsidRPr="00D77559">
        <w:rPr>
          <w:rFonts w:ascii="Arial" w:hAnsi="Arial" w:cs="Arial"/>
          <w:color w:val="000000" w:themeColor="text1"/>
          <w:sz w:val="20"/>
          <w:szCs w:val="20"/>
        </w:rPr>
        <w:t xml:space="preserve">°C at a paddle rotation rate of </w:t>
      </w:r>
      <w:r w:rsidR="00644CFE" w:rsidRPr="000931B3">
        <w:rPr>
          <w:rFonts w:ascii="Arial" w:hAnsi="Arial" w:cs="Arial"/>
          <w:color w:val="000000" w:themeColor="text1"/>
          <w:sz w:val="20"/>
          <w:szCs w:val="20"/>
        </w:rPr>
        <w:t>10</w:t>
      </w:r>
      <w:r w:rsidRPr="000931B3">
        <w:rPr>
          <w:rFonts w:ascii="Arial" w:hAnsi="Arial" w:cs="Arial"/>
          <w:color w:val="000000" w:themeColor="text1"/>
          <w:sz w:val="20"/>
          <w:szCs w:val="20"/>
        </w:rPr>
        <w:t>0 rpm</w:t>
      </w:r>
      <w:r w:rsidRPr="00D77559">
        <w:rPr>
          <w:rFonts w:ascii="Arial" w:hAnsi="Arial" w:cs="Arial"/>
          <w:color w:val="000000" w:themeColor="text1"/>
          <w:sz w:val="20"/>
          <w:szCs w:val="20"/>
        </w:rPr>
        <w:t xml:space="preserve"> in consideration of the </w:t>
      </w:r>
      <w:r w:rsidRPr="000931B3">
        <w:rPr>
          <w:rFonts w:ascii="Arial" w:hAnsi="Arial" w:cs="Arial"/>
          <w:color w:val="000000" w:themeColor="text1"/>
          <w:sz w:val="20"/>
          <w:szCs w:val="20"/>
        </w:rPr>
        <w:t>sustained release characteristics</w:t>
      </w:r>
      <w:r w:rsidRPr="00D77559">
        <w:rPr>
          <w:rFonts w:ascii="Arial" w:hAnsi="Arial" w:cs="Arial"/>
          <w:color w:val="000000" w:themeColor="text1"/>
          <w:sz w:val="20"/>
          <w:szCs w:val="20"/>
        </w:rPr>
        <w:t xml:space="preserve"> of the tablet. </w:t>
      </w:r>
      <w:r w:rsidRPr="000931B3">
        <w:rPr>
          <w:rFonts w:ascii="Arial" w:hAnsi="Arial" w:cs="Arial"/>
          <w:color w:val="000000" w:themeColor="text1"/>
          <w:sz w:val="20"/>
          <w:szCs w:val="20"/>
        </w:rPr>
        <w:t xml:space="preserve">After adding one tablet to each dissolution </w:t>
      </w:r>
      <w:r w:rsidR="000931B3" w:rsidRPr="000931B3">
        <w:rPr>
          <w:rFonts w:ascii="Arial" w:hAnsi="Arial" w:cs="Arial"/>
          <w:color w:val="000000" w:themeColor="text1"/>
          <w:sz w:val="20"/>
          <w:szCs w:val="20"/>
        </w:rPr>
        <w:t>vessel</w:t>
      </w:r>
      <w:r w:rsidRPr="000931B3">
        <w:rPr>
          <w:rFonts w:ascii="Arial" w:hAnsi="Arial" w:cs="Arial"/>
          <w:color w:val="000000" w:themeColor="text1"/>
          <w:sz w:val="20"/>
          <w:szCs w:val="20"/>
        </w:rPr>
        <w:t>, a 10 mL aliquot was withdrawn from each dissolution</w:t>
      </w:r>
      <w:r w:rsidRPr="00D77559">
        <w:rPr>
          <w:rFonts w:ascii="Arial" w:hAnsi="Arial" w:cs="Arial"/>
          <w:color w:val="000000" w:themeColor="text1"/>
          <w:sz w:val="20"/>
          <w:szCs w:val="20"/>
        </w:rPr>
        <w:t xml:space="preserve"> </w:t>
      </w:r>
      <w:r w:rsidR="000931B3">
        <w:rPr>
          <w:rFonts w:ascii="Arial" w:hAnsi="Arial" w:cs="Arial"/>
          <w:color w:val="000000" w:themeColor="text1"/>
          <w:sz w:val="20"/>
          <w:szCs w:val="20"/>
        </w:rPr>
        <w:t>vessel</w:t>
      </w:r>
      <w:r w:rsidRPr="00D77559">
        <w:rPr>
          <w:rFonts w:ascii="Arial" w:hAnsi="Arial" w:cs="Arial"/>
          <w:color w:val="000000" w:themeColor="text1"/>
          <w:sz w:val="20"/>
          <w:szCs w:val="20"/>
        </w:rPr>
        <w:t xml:space="preserve"> after </w:t>
      </w:r>
      <w:r w:rsidR="00644CFE" w:rsidRPr="00D77559">
        <w:rPr>
          <w:rFonts w:ascii="Arial" w:hAnsi="Arial" w:cs="Arial"/>
          <w:color w:val="000000" w:themeColor="text1"/>
          <w:sz w:val="20"/>
          <w:szCs w:val="20"/>
        </w:rPr>
        <w:t>1,</w:t>
      </w:r>
      <w:r w:rsidR="000931B3">
        <w:rPr>
          <w:rFonts w:ascii="Arial" w:hAnsi="Arial" w:cs="Arial"/>
          <w:color w:val="000000" w:themeColor="text1"/>
          <w:sz w:val="20"/>
          <w:szCs w:val="20"/>
        </w:rPr>
        <w:t xml:space="preserve"> </w:t>
      </w:r>
      <w:r w:rsidR="00644CFE" w:rsidRPr="00D77559">
        <w:rPr>
          <w:rFonts w:ascii="Arial" w:hAnsi="Arial" w:cs="Arial"/>
          <w:color w:val="000000" w:themeColor="text1"/>
          <w:sz w:val="20"/>
          <w:szCs w:val="20"/>
        </w:rPr>
        <w:t>2,</w:t>
      </w:r>
      <w:r w:rsidR="000931B3">
        <w:rPr>
          <w:rFonts w:ascii="Arial" w:hAnsi="Arial" w:cs="Arial"/>
          <w:color w:val="000000" w:themeColor="text1"/>
          <w:sz w:val="20"/>
          <w:szCs w:val="20"/>
        </w:rPr>
        <w:t xml:space="preserve"> </w:t>
      </w:r>
      <w:r w:rsidR="00644CFE" w:rsidRPr="00D77559">
        <w:rPr>
          <w:rFonts w:ascii="Arial" w:hAnsi="Arial" w:cs="Arial"/>
          <w:color w:val="000000" w:themeColor="text1"/>
          <w:sz w:val="20"/>
          <w:szCs w:val="20"/>
        </w:rPr>
        <w:t>3,</w:t>
      </w:r>
      <w:r w:rsidR="000931B3">
        <w:rPr>
          <w:rFonts w:ascii="Arial" w:hAnsi="Arial" w:cs="Arial"/>
          <w:color w:val="000000" w:themeColor="text1"/>
          <w:sz w:val="20"/>
          <w:szCs w:val="20"/>
        </w:rPr>
        <w:t xml:space="preserve"> </w:t>
      </w:r>
      <w:r w:rsidR="00644CFE" w:rsidRPr="00D77559">
        <w:rPr>
          <w:rFonts w:ascii="Arial" w:hAnsi="Arial" w:cs="Arial"/>
          <w:color w:val="000000" w:themeColor="text1"/>
          <w:sz w:val="20"/>
          <w:szCs w:val="20"/>
        </w:rPr>
        <w:t>4,</w:t>
      </w:r>
      <w:r w:rsidR="000931B3">
        <w:rPr>
          <w:rFonts w:ascii="Arial" w:hAnsi="Arial" w:cs="Arial"/>
          <w:color w:val="000000" w:themeColor="text1"/>
          <w:sz w:val="20"/>
          <w:szCs w:val="20"/>
        </w:rPr>
        <w:t xml:space="preserve"> </w:t>
      </w:r>
      <w:r w:rsidR="00644CFE" w:rsidRPr="00D77559">
        <w:rPr>
          <w:rFonts w:ascii="Arial" w:hAnsi="Arial" w:cs="Arial"/>
          <w:color w:val="000000" w:themeColor="text1"/>
          <w:sz w:val="20"/>
          <w:szCs w:val="20"/>
        </w:rPr>
        <w:t>6,</w:t>
      </w:r>
      <w:r w:rsidR="000931B3">
        <w:rPr>
          <w:rFonts w:ascii="Arial" w:hAnsi="Arial" w:cs="Arial"/>
          <w:color w:val="000000" w:themeColor="text1"/>
          <w:sz w:val="20"/>
          <w:szCs w:val="20"/>
        </w:rPr>
        <w:t xml:space="preserve"> </w:t>
      </w:r>
      <w:r w:rsidR="00644CFE" w:rsidRPr="00D77559">
        <w:rPr>
          <w:rFonts w:ascii="Arial" w:hAnsi="Arial" w:cs="Arial"/>
          <w:color w:val="000000" w:themeColor="text1"/>
          <w:sz w:val="20"/>
          <w:szCs w:val="20"/>
        </w:rPr>
        <w:t>8,</w:t>
      </w:r>
      <w:r w:rsidR="000931B3">
        <w:rPr>
          <w:rFonts w:ascii="Arial" w:hAnsi="Arial" w:cs="Arial"/>
          <w:color w:val="000000" w:themeColor="text1"/>
          <w:sz w:val="20"/>
          <w:szCs w:val="20"/>
        </w:rPr>
        <w:t xml:space="preserve"> </w:t>
      </w:r>
      <w:r w:rsidR="00644CFE" w:rsidRPr="00D77559">
        <w:rPr>
          <w:rFonts w:ascii="Arial" w:hAnsi="Arial" w:cs="Arial"/>
          <w:color w:val="000000" w:themeColor="text1"/>
          <w:sz w:val="20"/>
          <w:szCs w:val="20"/>
        </w:rPr>
        <w:t>10,</w:t>
      </w:r>
      <w:r w:rsidR="000931B3">
        <w:rPr>
          <w:rFonts w:ascii="Arial" w:hAnsi="Arial" w:cs="Arial"/>
          <w:color w:val="000000" w:themeColor="text1"/>
          <w:sz w:val="20"/>
          <w:szCs w:val="20"/>
        </w:rPr>
        <w:t xml:space="preserve"> </w:t>
      </w:r>
      <w:r w:rsidR="00644CFE" w:rsidRPr="00D77559">
        <w:rPr>
          <w:rFonts w:ascii="Arial" w:hAnsi="Arial" w:cs="Arial"/>
          <w:color w:val="000000" w:themeColor="text1"/>
          <w:sz w:val="20"/>
          <w:szCs w:val="20"/>
        </w:rPr>
        <w:t>12,</w:t>
      </w:r>
      <w:r w:rsidR="000931B3">
        <w:rPr>
          <w:rFonts w:ascii="Arial" w:hAnsi="Arial" w:cs="Arial"/>
          <w:color w:val="000000" w:themeColor="text1"/>
          <w:sz w:val="20"/>
          <w:szCs w:val="20"/>
        </w:rPr>
        <w:t xml:space="preserve"> </w:t>
      </w:r>
      <w:r w:rsidR="00644CFE" w:rsidRPr="00D77559">
        <w:rPr>
          <w:rFonts w:ascii="Arial" w:hAnsi="Arial" w:cs="Arial"/>
          <w:color w:val="000000" w:themeColor="text1"/>
          <w:sz w:val="20"/>
          <w:szCs w:val="20"/>
        </w:rPr>
        <w:t>14,16,</w:t>
      </w:r>
      <w:r w:rsidR="000931B3">
        <w:rPr>
          <w:rFonts w:ascii="Arial" w:hAnsi="Arial" w:cs="Arial"/>
          <w:color w:val="000000" w:themeColor="text1"/>
          <w:sz w:val="20"/>
          <w:szCs w:val="20"/>
        </w:rPr>
        <w:t xml:space="preserve"> and </w:t>
      </w:r>
      <w:r w:rsidR="00644CFE" w:rsidRPr="00D77559">
        <w:rPr>
          <w:rFonts w:ascii="Arial" w:hAnsi="Arial" w:cs="Arial"/>
          <w:color w:val="000000" w:themeColor="text1"/>
          <w:sz w:val="20"/>
          <w:szCs w:val="20"/>
        </w:rPr>
        <w:t>20 hours</w:t>
      </w:r>
      <w:r w:rsidRPr="00D77559">
        <w:rPr>
          <w:rFonts w:ascii="Arial" w:hAnsi="Arial" w:cs="Arial"/>
          <w:color w:val="000000" w:themeColor="text1"/>
          <w:sz w:val="20"/>
          <w:szCs w:val="20"/>
        </w:rPr>
        <w:t xml:space="preserve"> and </w:t>
      </w:r>
      <w:r w:rsidRPr="000931B3">
        <w:rPr>
          <w:rFonts w:ascii="Arial" w:hAnsi="Arial" w:cs="Arial"/>
          <w:color w:val="000000" w:themeColor="text1"/>
          <w:sz w:val="20"/>
          <w:szCs w:val="20"/>
        </w:rPr>
        <w:t>the same amount of fresh medium was replaced each time to maintain the sink conditions.</w:t>
      </w:r>
    </w:p>
    <w:p w14:paraId="32F30CB6" w14:textId="77777777" w:rsidR="004A5231" w:rsidRPr="00D77559" w:rsidRDefault="004A5231" w:rsidP="000E31A9">
      <w:pPr>
        <w:autoSpaceDE w:val="0"/>
        <w:autoSpaceDN w:val="0"/>
        <w:adjustRightInd w:val="0"/>
        <w:spacing w:after="0" w:line="240" w:lineRule="auto"/>
        <w:jc w:val="both"/>
        <w:rPr>
          <w:rFonts w:ascii="Arial" w:hAnsi="Arial" w:cs="Arial"/>
          <w:color w:val="FF0000"/>
          <w:sz w:val="20"/>
          <w:szCs w:val="20"/>
          <w:highlight w:val="yellow"/>
        </w:rPr>
      </w:pPr>
    </w:p>
    <w:p w14:paraId="2A295ECC" w14:textId="313B6EEB" w:rsidR="000329FB" w:rsidRPr="00D77559" w:rsidRDefault="004A5231" w:rsidP="000E31A9">
      <w:pPr>
        <w:autoSpaceDE w:val="0"/>
        <w:autoSpaceDN w:val="0"/>
        <w:adjustRightInd w:val="0"/>
        <w:spacing w:after="0" w:line="240" w:lineRule="auto"/>
        <w:jc w:val="both"/>
        <w:rPr>
          <w:rFonts w:ascii="Arial" w:hAnsi="Arial" w:cs="Arial"/>
          <w:b/>
          <w:i/>
          <w:sz w:val="20"/>
          <w:szCs w:val="20"/>
        </w:rPr>
      </w:pPr>
      <w:r w:rsidRPr="00D77559">
        <w:rPr>
          <w:rFonts w:ascii="Arial" w:hAnsi="Arial" w:cs="Arial"/>
          <w:b/>
          <w:i/>
          <w:sz w:val="20"/>
          <w:szCs w:val="20"/>
        </w:rPr>
        <w:t xml:space="preserve">2.2.1.5 </w:t>
      </w:r>
      <w:r w:rsidR="000329FB" w:rsidRPr="00D77559">
        <w:rPr>
          <w:rFonts w:ascii="Arial" w:hAnsi="Arial" w:cs="Arial"/>
          <w:b/>
          <w:i/>
          <w:sz w:val="20"/>
          <w:szCs w:val="20"/>
        </w:rPr>
        <w:t>Release Kinetics Model</w:t>
      </w:r>
    </w:p>
    <w:p w14:paraId="501B0E2E" w14:textId="77777777" w:rsidR="004A5231" w:rsidRPr="00D77559" w:rsidRDefault="004A5231" w:rsidP="000E31A9">
      <w:pPr>
        <w:autoSpaceDE w:val="0"/>
        <w:autoSpaceDN w:val="0"/>
        <w:adjustRightInd w:val="0"/>
        <w:spacing w:after="0" w:line="240" w:lineRule="auto"/>
        <w:jc w:val="both"/>
        <w:rPr>
          <w:rFonts w:ascii="Arial" w:hAnsi="Arial" w:cs="Arial"/>
          <w:b/>
          <w:sz w:val="20"/>
          <w:szCs w:val="20"/>
        </w:rPr>
      </w:pPr>
    </w:p>
    <w:p w14:paraId="7661D26E" w14:textId="63185FB2" w:rsidR="00B96BC4" w:rsidRPr="00D77559" w:rsidRDefault="000329FB" w:rsidP="000E31A9">
      <w:pPr>
        <w:autoSpaceDE w:val="0"/>
        <w:autoSpaceDN w:val="0"/>
        <w:adjustRightInd w:val="0"/>
        <w:spacing w:after="0" w:line="240" w:lineRule="auto"/>
        <w:jc w:val="both"/>
        <w:rPr>
          <w:rFonts w:ascii="Arial" w:hAnsi="Arial" w:cs="Arial"/>
          <w:sz w:val="20"/>
          <w:szCs w:val="20"/>
        </w:rPr>
      </w:pPr>
      <w:r w:rsidRPr="00D77559">
        <w:rPr>
          <w:rFonts w:ascii="Arial" w:hAnsi="Arial" w:cs="Arial"/>
          <w:sz w:val="20"/>
          <w:szCs w:val="20"/>
        </w:rPr>
        <w:t xml:space="preserve">The in vitro release of Metformin HCl was </w:t>
      </w:r>
      <w:r w:rsidR="00644CFE" w:rsidRPr="00D77559">
        <w:rPr>
          <w:rFonts w:ascii="Arial" w:hAnsi="Arial" w:cs="Arial"/>
          <w:sz w:val="20"/>
          <w:szCs w:val="20"/>
        </w:rPr>
        <w:t>modelled</w:t>
      </w:r>
      <w:r w:rsidRPr="00D77559">
        <w:rPr>
          <w:rFonts w:ascii="Arial" w:hAnsi="Arial" w:cs="Arial"/>
          <w:sz w:val="20"/>
          <w:szCs w:val="20"/>
        </w:rPr>
        <w:t xml:space="preserve"> using zero-order kinetics, first-order kinetics, the Higuchi model, and the Korsmeyer</w:t>
      </w:r>
      <w:r w:rsidR="00290429">
        <w:rPr>
          <w:rFonts w:ascii="Arial" w:hAnsi="Arial" w:cs="Arial"/>
          <w:sz w:val="20"/>
          <w:szCs w:val="20"/>
        </w:rPr>
        <w:t>-</w:t>
      </w:r>
      <w:r w:rsidRPr="00D77559">
        <w:rPr>
          <w:rFonts w:ascii="Arial" w:hAnsi="Arial" w:cs="Arial"/>
          <w:sz w:val="20"/>
          <w:szCs w:val="20"/>
        </w:rPr>
        <w:t>Peppas model in order to better understand the drug release mechanisms. R</w:t>
      </w:r>
      <w:r w:rsidRPr="00D77559">
        <w:rPr>
          <w:rFonts w:ascii="Arial" w:hAnsi="Arial" w:cs="Arial"/>
          <w:sz w:val="20"/>
          <w:szCs w:val="20"/>
          <w:vertAlign w:val="superscript"/>
        </w:rPr>
        <w:t xml:space="preserve">2 </w:t>
      </w:r>
      <w:r w:rsidRPr="00D77559">
        <w:rPr>
          <w:rFonts w:ascii="Arial" w:hAnsi="Arial" w:cs="Arial"/>
          <w:sz w:val="20"/>
          <w:szCs w:val="20"/>
        </w:rPr>
        <w:t>was used to determine the best-fitting model. The values of n</w:t>
      </w:r>
      <w:r w:rsidR="00644CFE" w:rsidRPr="00D77559">
        <w:rPr>
          <w:rFonts w:ascii="Arial" w:hAnsi="Arial" w:cs="Arial"/>
          <w:sz w:val="20"/>
          <w:szCs w:val="20"/>
        </w:rPr>
        <w:t xml:space="preserve"> </w:t>
      </w:r>
      <w:r w:rsidRPr="00D77559">
        <w:rPr>
          <w:rFonts w:ascii="Arial" w:hAnsi="Arial" w:cs="Arial"/>
          <w:sz w:val="20"/>
          <w:szCs w:val="20"/>
        </w:rPr>
        <w:t>were calculated for the Korsmeyer-Peppas mode</w:t>
      </w:r>
      <w:r w:rsidR="00D6245F" w:rsidRPr="00D77559">
        <w:rPr>
          <w:rFonts w:ascii="Arial" w:hAnsi="Arial" w:cs="Arial"/>
          <w:sz w:val="20"/>
          <w:szCs w:val="20"/>
        </w:rPr>
        <w:t>l</w:t>
      </w:r>
      <w:r w:rsidR="009D6DAB" w:rsidRPr="00D77559">
        <w:rPr>
          <w:rFonts w:ascii="Arial" w:hAnsi="Arial" w:cs="Arial"/>
          <w:sz w:val="20"/>
          <w:szCs w:val="20"/>
        </w:rPr>
        <w:t xml:space="preserve"> (</w:t>
      </w:r>
      <w:r w:rsidR="00D6245F" w:rsidRPr="00D77559">
        <w:rPr>
          <w:rStyle w:val="A6"/>
          <w:rFonts w:ascii="Arial" w:hAnsi="Arial" w:cs="Arial"/>
          <w:sz w:val="20"/>
          <w:szCs w:val="20"/>
        </w:rPr>
        <w:t>Higuchi T</w:t>
      </w:r>
      <w:r w:rsidR="00D6245F" w:rsidRPr="00D77559">
        <w:rPr>
          <w:rFonts w:ascii="Arial" w:hAnsi="Arial" w:cs="Arial"/>
          <w:sz w:val="20"/>
          <w:szCs w:val="20"/>
        </w:rPr>
        <w:t>,1961;</w:t>
      </w:r>
      <w:r w:rsidR="00D6245F" w:rsidRPr="00D77559">
        <w:rPr>
          <w:rStyle w:val="A6"/>
          <w:rFonts w:ascii="Arial" w:hAnsi="Arial" w:cs="Arial"/>
          <w:sz w:val="20"/>
          <w:szCs w:val="20"/>
        </w:rPr>
        <w:t xml:space="preserve"> Higuchi T</w:t>
      </w:r>
      <w:r w:rsidR="00D6245F" w:rsidRPr="00D77559">
        <w:rPr>
          <w:rFonts w:ascii="Arial" w:hAnsi="Arial" w:cs="Arial"/>
          <w:sz w:val="20"/>
          <w:szCs w:val="20"/>
        </w:rPr>
        <w:t>,1963</w:t>
      </w:r>
      <w:r w:rsidR="005C34DE">
        <w:rPr>
          <w:rFonts w:ascii="Arial" w:hAnsi="Arial" w:cs="Arial"/>
          <w:sz w:val="20"/>
          <w:szCs w:val="20"/>
        </w:rPr>
        <w:t xml:space="preserve">; </w:t>
      </w:r>
      <w:r w:rsidR="005C34DE" w:rsidRPr="005C34DE">
        <w:rPr>
          <w:rFonts w:ascii="Arial" w:hAnsi="Arial" w:cs="Arial"/>
          <w:color w:val="00B0F0"/>
          <w:sz w:val="20"/>
          <w:szCs w:val="20"/>
        </w:rPr>
        <w:t>Palem C.R., 2011</w:t>
      </w:r>
      <w:r w:rsidR="00D6245F" w:rsidRPr="00D77559">
        <w:rPr>
          <w:rFonts w:ascii="Arial" w:hAnsi="Arial" w:cs="Arial"/>
          <w:sz w:val="20"/>
          <w:szCs w:val="20"/>
        </w:rPr>
        <w:t>). The</w:t>
      </w:r>
      <w:r w:rsidRPr="00D77559">
        <w:rPr>
          <w:rFonts w:ascii="Arial" w:hAnsi="Arial" w:cs="Arial"/>
          <w:sz w:val="20"/>
          <w:szCs w:val="20"/>
        </w:rPr>
        <w:t xml:space="preserve"> relationship between the released Metformin HCl and the erosion of </w:t>
      </w:r>
      <w:r w:rsidR="008A4152" w:rsidRPr="00D77559">
        <w:rPr>
          <w:rFonts w:ascii="Arial" w:hAnsi="Arial" w:cs="Arial"/>
          <w:sz w:val="20"/>
          <w:szCs w:val="20"/>
        </w:rPr>
        <w:t xml:space="preserve">Metformin HCl floating tablets </w:t>
      </w:r>
      <w:r w:rsidRPr="00D77559">
        <w:rPr>
          <w:rFonts w:ascii="Arial" w:hAnsi="Arial" w:cs="Arial"/>
          <w:sz w:val="20"/>
          <w:szCs w:val="20"/>
        </w:rPr>
        <w:t>w</w:t>
      </w:r>
      <w:r w:rsidR="008A4152" w:rsidRPr="00D77559">
        <w:rPr>
          <w:rFonts w:ascii="Arial" w:hAnsi="Arial" w:cs="Arial"/>
          <w:sz w:val="20"/>
          <w:szCs w:val="20"/>
        </w:rPr>
        <w:t>ere</w:t>
      </w:r>
      <w:r w:rsidRPr="00D77559">
        <w:rPr>
          <w:rFonts w:ascii="Arial" w:hAnsi="Arial" w:cs="Arial"/>
          <w:sz w:val="20"/>
          <w:szCs w:val="20"/>
        </w:rPr>
        <w:t xml:space="preserve"> determined.</w:t>
      </w:r>
    </w:p>
    <w:p w14:paraId="55C18291" w14:textId="2A255AE8" w:rsidR="000329FB" w:rsidRPr="00D77559" w:rsidRDefault="000329FB" w:rsidP="000E31A9">
      <w:pPr>
        <w:autoSpaceDE w:val="0"/>
        <w:autoSpaceDN w:val="0"/>
        <w:adjustRightInd w:val="0"/>
        <w:spacing w:after="0" w:line="240" w:lineRule="auto"/>
        <w:jc w:val="both"/>
        <w:rPr>
          <w:rFonts w:ascii="Arial" w:hAnsi="Arial" w:cs="Arial"/>
          <w:sz w:val="20"/>
          <w:szCs w:val="20"/>
        </w:rPr>
      </w:pPr>
    </w:p>
    <w:p w14:paraId="35AB62B0" w14:textId="1C471221" w:rsidR="000329FB" w:rsidRPr="00D77559" w:rsidRDefault="004A5231" w:rsidP="000E31A9">
      <w:pPr>
        <w:autoSpaceDE w:val="0"/>
        <w:autoSpaceDN w:val="0"/>
        <w:adjustRightInd w:val="0"/>
        <w:spacing w:after="0" w:line="240" w:lineRule="auto"/>
        <w:rPr>
          <w:rFonts w:ascii="Arial" w:hAnsi="Arial" w:cs="Arial"/>
          <w:b/>
          <w:i/>
          <w:color w:val="000000"/>
          <w:sz w:val="20"/>
          <w:szCs w:val="20"/>
        </w:rPr>
      </w:pPr>
      <w:r w:rsidRPr="00D77559">
        <w:rPr>
          <w:rFonts w:ascii="Arial" w:hAnsi="Arial" w:cs="Arial"/>
          <w:b/>
          <w:i/>
          <w:color w:val="000000"/>
          <w:sz w:val="20"/>
          <w:szCs w:val="20"/>
        </w:rPr>
        <w:t xml:space="preserve">2.2.1.6 </w:t>
      </w:r>
      <w:r w:rsidR="000329FB" w:rsidRPr="00D77559">
        <w:rPr>
          <w:rFonts w:ascii="Arial" w:hAnsi="Arial" w:cs="Arial"/>
          <w:b/>
          <w:i/>
          <w:color w:val="000000"/>
          <w:sz w:val="20"/>
          <w:szCs w:val="20"/>
        </w:rPr>
        <w:t>Swelling and Erosion</w:t>
      </w:r>
    </w:p>
    <w:p w14:paraId="6D8F4172" w14:textId="77777777" w:rsidR="004A5231" w:rsidRPr="00D77559" w:rsidRDefault="004A5231" w:rsidP="000E31A9">
      <w:pPr>
        <w:autoSpaceDE w:val="0"/>
        <w:autoSpaceDN w:val="0"/>
        <w:adjustRightInd w:val="0"/>
        <w:spacing w:after="0" w:line="240" w:lineRule="auto"/>
        <w:rPr>
          <w:rFonts w:ascii="Arial" w:hAnsi="Arial" w:cs="Arial"/>
          <w:b/>
          <w:color w:val="000000"/>
          <w:sz w:val="20"/>
          <w:szCs w:val="20"/>
        </w:rPr>
      </w:pPr>
    </w:p>
    <w:p w14:paraId="3F965D3F" w14:textId="359C1150" w:rsidR="000329FB" w:rsidRPr="000931B3" w:rsidRDefault="000329FB" w:rsidP="000E31A9">
      <w:pPr>
        <w:autoSpaceDE w:val="0"/>
        <w:autoSpaceDN w:val="0"/>
        <w:adjustRightInd w:val="0"/>
        <w:spacing w:after="0" w:line="240" w:lineRule="auto"/>
        <w:jc w:val="both"/>
        <w:rPr>
          <w:rFonts w:ascii="Arial" w:hAnsi="Arial" w:cs="Arial"/>
          <w:color w:val="000000"/>
          <w:sz w:val="20"/>
          <w:szCs w:val="20"/>
        </w:rPr>
      </w:pPr>
      <w:r w:rsidRPr="00D77559">
        <w:rPr>
          <w:rFonts w:ascii="Arial" w:hAnsi="Arial" w:cs="Arial"/>
          <w:color w:val="000000"/>
          <w:sz w:val="20"/>
          <w:szCs w:val="20"/>
        </w:rPr>
        <w:t xml:space="preserve">The swelling of optimized Metformin HCl floating tablets was evaluated by measuring their weight. The experiments were conducted in the USP Dissolution Apparatus II. The initial Metformin HCl tablets weight was precisely weighed using a </w:t>
      </w:r>
      <w:r w:rsidR="00627510" w:rsidRPr="00D77559">
        <w:rPr>
          <w:rFonts w:ascii="Arial" w:hAnsi="Arial" w:cs="Arial"/>
          <w:color w:val="000000"/>
          <w:sz w:val="20"/>
          <w:szCs w:val="20"/>
        </w:rPr>
        <w:t xml:space="preserve">Sartorius, Secura 225D </w:t>
      </w:r>
      <w:r w:rsidRPr="00D77559">
        <w:rPr>
          <w:rFonts w:ascii="Arial" w:hAnsi="Arial" w:cs="Arial"/>
          <w:color w:val="000000"/>
          <w:sz w:val="20"/>
          <w:szCs w:val="20"/>
        </w:rPr>
        <w:t xml:space="preserve">balance. The weighed tablet was placed </w:t>
      </w:r>
      <w:r w:rsidRPr="00D77559">
        <w:rPr>
          <w:rFonts w:ascii="Arial" w:hAnsi="Arial" w:cs="Arial"/>
          <w:color w:val="000000"/>
          <w:sz w:val="20"/>
          <w:szCs w:val="20"/>
        </w:rPr>
        <w:lastRenderedPageBreak/>
        <w:t xml:space="preserve">in a dissolution basket, which was then dipped in a dissolution vessel containing 900 mL of </w:t>
      </w:r>
      <w:r w:rsidRPr="000931B3">
        <w:rPr>
          <w:rFonts w:ascii="Arial" w:hAnsi="Arial" w:cs="Arial"/>
          <w:color w:val="000000"/>
          <w:sz w:val="20"/>
          <w:szCs w:val="20"/>
        </w:rPr>
        <w:t>0.1</w:t>
      </w:r>
      <w:r w:rsidR="008A2743" w:rsidRPr="000931B3">
        <w:rPr>
          <w:rFonts w:ascii="Arial" w:hAnsi="Arial" w:cs="Arial"/>
          <w:color w:val="000000"/>
          <w:sz w:val="20"/>
          <w:szCs w:val="20"/>
        </w:rPr>
        <w:t>N</w:t>
      </w:r>
      <w:r w:rsidRPr="000931B3">
        <w:rPr>
          <w:rFonts w:ascii="Arial" w:hAnsi="Arial" w:cs="Arial"/>
          <w:color w:val="000000"/>
          <w:sz w:val="20"/>
          <w:szCs w:val="20"/>
        </w:rPr>
        <w:t xml:space="preserve"> HCl buffer (pH 1.2) at 37 </w:t>
      </w:r>
      <w:r w:rsidR="008A2743" w:rsidRPr="000931B3">
        <w:rPr>
          <w:rFonts w:ascii="Arial" w:hAnsi="Arial" w:cs="Arial"/>
          <w:color w:val="000000"/>
          <w:sz w:val="20"/>
          <w:szCs w:val="20"/>
        </w:rPr>
        <w:t>±</w:t>
      </w:r>
      <w:r w:rsidRPr="000931B3">
        <w:rPr>
          <w:rFonts w:ascii="Arial" w:hAnsi="Arial" w:cs="Arial"/>
          <w:color w:val="000000"/>
          <w:sz w:val="20"/>
          <w:szCs w:val="20"/>
        </w:rPr>
        <w:t xml:space="preserve"> 0.5</w:t>
      </w:r>
      <w:r w:rsidR="008A2743" w:rsidRPr="000931B3">
        <w:rPr>
          <w:rFonts w:ascii="Arial" w:hAnsi="Arial" w:cs="Arial"/>
          <w:color w:val="000000"/>
          <w:sz w:val="20"/>
          <w:szCs w:val="20"/>
        </w:rPr>
        <w:t xml:space="preserve"> º</w:t>
      </w:r>
      <w:r w:rsidRPr="000931B3">
        <w:rPr>
          <w:rFonts w:ascii="Arial" w:hAnsi="Arial" w:cs="Arial"/>
          <w:color w:val="000000"/>
          <w:sz w:val="20"/>
          <w:szCs w:val="20"/>
        </w:rPr>
        <w:t>C</w:t>
      </w:r>
      <w:r w:rsidRPr="00D77559">
        <w:rPr>
          <w:rFonts w:ascii="Arial" w:hAnsi="Arial" w:cs="Arial"/>
          <w:color w:val="000000"/>
          <w:sz w:val="20"/>
          <w:szCs w:val="20"/>
        </w:rPr>
        <w:t>. The tablet was collected at constant time intervals and lightly blotted with filter paper to remove the</w:t>
      </w:r>
      <w:r w:rsidR="009417A1" w:rsidRPr="00D77559">
        <w:rPr>
          <w:rFonts w:ascii="Arial" w:hAnsi="Arial" w:cs="Arial"/>
          <w:color w:val="000000"/>
          <w:sz w:val="20"/>
          <w:szCs w:val="20"/>
        </w:rPr>
        <w:t xml:space="preserve"> </w:t>
      </w:r>
      <w:r w:rsidRPr="00D77559">
        <w:rPr>
          <w:rFonts w:ascii="Arial" w:hAnsi="Arial" w:cs="Arial"/>
          <w:color w:val="000000"/>
          <w:sz w:val="20"/>
          <w:szCs w:val="20"/>
        </w:rPr>
        <w:t>excess water, and the swollen tablet was weighed. The rate of increase in the tablet weight,</w:t>
      </w:r>
      <w:r w:rsidR="009417A1" w:rsidRPr="00D77559">
        <w:rPr>
          <w:rFonts w:ascii="Arial" w:hAnsi="Arial" w:cs="Arial"/>
          <w:color w:val="000000"/>
          <w:sz w:val="20"/>
          <w:szCs w:val="20"/>
        </w:rPr>
        <w:t xml:space="preserve"> </w:t>
      </w:r>
      <w:r w:rsidRPr="00D77559">
        <w:rPr>
          <w:rFonts w:ascii="Arial" w:hAnsi="Arial" w:cs="Arial"/>
          <w:color w:val="000000"/>
          <w:sz w:val="20"/>
          <w:szCs w:val="20"/>
        </w:rPr>
        <w:t>which can be attributed to the adsorption or absorption of water, was calculated using</w:t>
      </w:r>
      <w:r w:rsidR="009417A1" w:rsidRPr="00D77559">
        <w:rPr>
          <w:rFonts w:ascii="Arial" w:hAnsi="Arial" w:cs="Arial"/>
          <w:color w:val="000000"/>
          <w:sz w:val="20"/>
          <w:szCs w:val="20"/>
        </w:rPr>
        <w:t xml:space="preserve"> </w:t>
      </w:r>
      <w:r w:rsidRPr="000931B3">
        <w:rPr>
          <w:rFonts w:ascii="Arial" w:hAnsi="Arial" w:cs="Arial"/>
          <w:color w:val="000000"/>
          <w:sz w:val="20"/>
          <w:szCs w:val="20"/>
        </w:rPr>
        <w:t>Equation (</w:t>
      </w:r>
      <w:r w:rsidR="009417A1" w:rsidRPr="000931B3">
        <w:rPr>
          <w:rFonts w:ascii="Arial" w:hAnsi="Arial" w:cs="Arial"/>
          <w:color w:val="000000"/>
          <w:sz w:val="20"/>
          <w:szCs w:val="20"/>
        </w:rPr>
        <w:t>1</w:t>
      </w:r>
      <w:r w:rsidRPr="000931B3">
        <w:rPr>
          <w:rFonts w:ascii="Arial" w:hAnsi="Arial" w:cs="Arial"/>
          <w:color w:val="000000"/>
          <w:sz w:val="20"/>
          <w:szCs w:val="20"/>
        </w:rPr>
        <w:t>)</w:t>
      </w:r>
      <w:r w:rsidRPr="00D77559">
        <w:rPr>
          <w:rFonts w:ascii="Arial" w:hAnsi="Arial" w:cs="Arial"/>
          <w:color w:val="000000"/>
          <w:sz w:val="20"/>
          <w:szCs w:val="20"/>
        </w:rPr>
        <w:t xml:space="preserve"> at each time point. After the swelling experiment, the swollen tablet was</w:t>
      </w:r>
      <w:r w:rsidR="009417A1" w:rsidRPr="00D77559">
        <w:rPr>
          <w:rFonts w:ascii="Arial" w:hAnsi="Arial" w:cs="Arial"/>
          <w:color w:val="000000"/>
          <w:sz w:val="20"/>
          <w:szCs w:val="20"/>
        </w:rPr>
        <w:t xml:space="preserve"> </w:t>
      </w:r>
      <w:r w:rsidRPr="00D77559">
        <w:rPr>
          <w:rFonts w:ascii="Arial" w:hAnsi="Arial" w:cs="Arial"/>
          <w:color w:val="000000"/>
          <w:sz w:val="20"/>
          <w:szCs w:val="20"/>
        </w:rPr>
        <w:t>dried in a convection oven at 40</w:t>
      </w:r>
      <w:r w:rsidR="00B4041D" w:rsidRPr="00D77559">
        <w:rPr>
          <w:rFonts w:ascii="Arial" w:hAnsi="Arial" w:cs="Arial"/>
          <w:color w:val="000000"/>
          <w:sz w:val="20"/>
          <w:szCs w:val="20"/>
        </w:rPr>
        <w:t>º</w:t>
      </w:r>
      <w:r w:rsidRPr="00D77559">
        <w:rPr>
          <w:rFonts w:ascii="Arial" w:hAnsi="Arial" w:cs="Arial"/>
          <w:color w:val="000000"/>
          <w:sz w:val="20"/>
          <w:szCs w:val="20"/>
        </w:rPr>
        <w:t>C for 12h. The dried tablets were cooled at room</w:t>
      </w:r>
      <w:r w:rsidR="009417A1" w:rsidRPr="00D77559">
        <w:rPr>
          <w:rFonts w:ascii="Arial" w:hAnsi="Arial" w:cs="Arial"/>
          <w:color w:val="000000"/>
          <w:sz w:val="20"/>
          <w:szCs w:val="20"/>
        </w:rPr>
        <w:t xml:space="preserve"> </w:t>
      </w:r>
      <w:r w:rsidRPr="00D77559">
        <w:rPr>
          <w:rFonts w:ascii="Arial" w:hAnsi="Arial" w:cs="Arial"/>
          <w:color w:val="000000"/>
          <w:sz w:val="20"/>
          <w:szCs w:val="20"/>
        </w:rPr>
        <w:t xml:space="preserve">temperature and weighed. The </w:t>
      </w:r>
      <w:r w:rsidR="009417A1" w:rsidRPr="00D77559">
        <w:rPr>
          <w:rFonts w:ascii="Arial" w:hAnsi="Arial" w:cs="Arial"/>
          <w:color w:val="000000"/>
          <w:sz w:val="20"/>
          <w:szCs w:val="20"/>
        </w:rPr>
        <w:t>tablet</w:t>
      </w:r>
      <w:r w:rsidRPr="00D77559">
        <w:rPr>
          <w:rFonts w:ascii="Arial" w:hAnsi="Arial" w:cs="Arial"/>
          <w:color w:val="000000"/>
          <w:sz w:val="20"/>
          <w:szCs w:val="20"/>
        </w:rPr>
        <w:t xml:space="preserve"> erosion was calculated at each time point as a</w:t>
      </w:r>
      <w:r w:rsidR="009417A1" w:rsidRPr="00D77559">
        <w:rPr>
          <w:rFonts w:ascii="Arial" w:hAnsi="Arial" w:cs="Arial"/>
          <w:color w:val="000000"/>
          <w:sz w:val="20"/>
          <w:szCs w:val="20"/>
        </w:rPr>
        <w:t xml:space="preserve"> </w:t>
      </w:r>
      <w:r w:rsidRPr="00D77559">
        <w:rPr>
          <w:rFonts w:ascii="Arial" w:hAnsi="Arial" w:cs="Arial"/>
          <w:color w:val="000000"/>
          <w:sz w:val="20"/>
          <w:szCs w:val="20"/>
        </w:rPr>
        <w:t xml:space="preserve">percentage using </w:t>
      </w:r>
      <w:r w:rsidRPr="000931B3">
        <w:rPr>
          <w:rFonts w:ascii="Arial" w:hAnsi="Arial" w:cs="Arial"/>
          <w:color w:val="000000"/>
          <w:sz w:val="20"/>
          <w:szCs w:val="20"/>
        </w:rPr>
        <w:t>Equation (</w:t>
      </w:r>
      <w:r w:rsidR="009417A1" w:rsidRPr="000931B3">
        <w:rPr>
          <w:rFonts w:ascii="Arial" w:hAnsi="Arial" w:cs="Arial"/>
          <w:color w:val="000000"/>
          <w:sz w:val="20"/>
          <w:szCs w:val="20"/>
        </w:rPr>
        <w:t>2</w:t>
      </w:r>
      <w:r w:rsidRPr="000931B3">
        <w:rPr>
          <w:rFonts w:ascii="Arial" w:hAnsi="Arial" w:cs="Arial"/>
          <w:color w:val="000000"/>
          <w:sz w:val="20"/>
          <w:szCs w:val="20"/>
        </w:rPr>
        <w:t>)</w:t>
      </w:r>
      <w:r w:rsidRPr="00D77559">
        <w:rPr>
          <w:rFonts w:ascii="Arial" w:hAnsi="Arial" w:cs="Arial"/>
          <w:color w:val="000000"/>
          <w:sz w:val="20"/>
          <w:szCs w:val="20"/>
        </w:rPr>
        <w:t>.</w:t>
      </w:r>
    </w:p>
    <w:p w14:paraId="22C0A925" w14:textId="7B4D9C16" w:rsidR="009417A1" w:rsidRPr="000931B3" w:rsidRDefault="009417A1" w:rsidP="000E31A9">
      <w:pPr>
        <w:autoSpaceDE w:val="0"/>
        <w:autoSpaceDN w:val="0"/>
        <w:adjustRightInd w:val="0"/>
        <w:spacing w:after="0" w:line="240" w:lineRule="auto"/>
        <w:jc w:val="both"/>
        <w:rPr>
          <w:rFonts w:ascii="Arial" w:hAnsi="Arial" w:cs="Arial"/>
          <w:color w:val="000000"/>
          <w:sz w:val="20"/>
          <w:szCs w:val="20"/>
        </w:rPr>
      </w:pPr>
    </w:p>
    <w:p w14:paraId="7ACFC513" w14:textId="77777777" w:rsidR="00521298" w:rsidRPr="00D77559" w:rsidRDefault="00521298" w:rsidP="000E31A9">
      <w:pPr>
        <w:autoSpaceDE w:val="0"/>
        <w:autoSpaceDN w:val="0"/>
        <w:adjustRightInd w:val="0"/>
        <w:spacing w:after="0" w:line="240" w:lineRule="auto"/>
        <w:jc w:val="both"/>
        <w:rPr>
          <w:rFonts w:ascii="Arial" w:hAnsi="Arial" w:cs="Arial"/>
          <w:b/>
          <w:bCs/>
          <w:i/>
          <w:sz w:val="20"/>
          <w:szCs w:val="20"/>
        </w:rPr>
      </w:pPr>
    </w:p>
    <w:p w14:paraId="35207F9F" w14:textId="4C9BADBB" w:rsidR="009806A3" w:rsidRPr="00D77559" w:rsidRDefault="00290429" w:rsidP="00FD3635">
      <w:pPr>
        <w:autoSpaceDE w:val="0"/>
        <w:autoSpaceDN w:val="0"/>
        <w:adjustRightInd w:val="0"/>
        <w:spacing w:after="0" w:line="240" w:lineRule="auto"/>
        <w:jc w:val="center"/>
        <w:rPr>
          <w:rFonts w:ascii="Cambria Math" w:hAnsi="Cambria Math" w:cs="Arial"/>
          <w:sz w:val="20"/>
          <w:szCs w:val="20"/>
          <w:oMath/>
        </w:rPr>
      </w:pPr>
      <m:oMath>
        <m:r>
          <m:rPr>
            <m:sty m:val="b"/>
          </m:rPr>
          <w:rPr>
            <w:rFonts w:ascii="Cambria Math" w:hAnsi="Cambria Math" w:cs="Arial"/>
            <w:sz w:val="20"/>
            <w:szCs w:val="20"/>
          </w:rPr>
          <m:t>Swelling =</m:t>
        </m:r>
        <m:f>
          <m:fPr>
            <m:ctrlPr>
              <w:rPr>
                <w:rFonts w:ascii="Cambria Math" w:hAnsi="Cambria Math" w:cs="Arial"/>
                <w:bCs/>
                <w:sz w:val="20"/>
                <w:szCs w:val="20"/>
              </w:rPr>
            </m:ctrlPr>
          </m:fPr>
          <m:num>
            <m:r>
              <m:rPr>
                <m:sty m:val="p"/>
              </m:rPr>
              <w:rPr>
                <w:rFonts w:ascii="Cambria Math" w:eastAsia="Cambria Math" w:hAnsi="Cambria Math" w:cs="Arial"/>
                <w:sz w:val="20"/>
                <w:szCs w:val="20"/>
              </w:rPr>
              <m:t xml:space="preserve">Weight of the swollen tablet-initial weight of the tablet </m:t>
            </m:r>
          </m:num>
          <m:den>
            <m:r>
              <m:rPr>
                <m:sty m:val="p"/>
              </m:rPr>
              <w:rPr>
                <w:rFonts w:ascii="Cambria Math" w:eastAsia="Cambria Math" w:hAnsi="Cambria Math" w:cs="Arial"/>
                <w:sz w:val="20"/>
                <w:szCs w:val="20"/>
              </w:rPr>
              <m:t>initial weight of the tablet</m:t>
            </m:r>
          </m:den>
        </m:f>
        <m:r>
          <m:rPr>
            <m:sty m:val="p"/>
          </m:rPr>
          <w:rPr>
            <w:rFonts w:ascii="Cambria Math" w:hAnsi="Cambria Math" w:cs="Arial"/>
            <w:sz w:val="20"/>
            <w:szCs w:val="20"/>
          </w:rPr>
          <m:t xml:space="preserve"> X 100 %</m:t>
        </m:r>
      </m:oMath>
      <w:r w:rsidR="00FD3635">
        <w:rPr>
          <w:rFonts w:ascii="Arial" w:eastAsiaTheme="minorEastAsia" w:hAnsi="Arial" w:cs="Arial"/>
          <w:sz w:val="20"/>
          <w:szCs w:val="20"/>
        </w:rPr>
        <w:t xml:space="preserve">     ----- </w:t>
      </w:r>
      <w:r w:rsidR="00FD3635" w:rsidRPr="000931B3">
        <w:rPr>
          <w:rFonts w:ascii="Arial" w:hAnsi="Arial" w:cs="Arial"/>
          <w:color w:val="000000"/>
          <w:sz w:val="20"/>
          <w:szCs w:val="20"/>
        </w:rPr>
        <w:t>(1)</w:t>
      </w:r>
    </w:p>
    <w:p w14:paraId="0FB72734" w14:textId="5AD4220E" w:rsidR="00521298" w:rsidRPr="00D77559" w:rsidRDefault="00521298" w:rsidP="000E31A9">
      <w:pPr>
        <w:autoSpaceDE w:val="0"/>
        <w:autoSpaceDN w:val="0"/>
        <w:adjustRightInd w:val="0"/>
        <w:spacing w:after="0" w:line="240" w:lineRule="auto"/>
        <w:jc w:val="both"/>
        <w:rPr>
          <w:rFonts w:ascii="Arial" w:hAnsi="Arial" w:cs="Arial"/>
          <w:b/>
          <w:bCs/>
          <w:i/>
          <w:sz w:val="20"/>
          <w:szCs w:val="20"/>
        </w:rPr>
      </w:pPr>
    </w:p>
    <w:p w14:paraId="041494A4" w14:textId="32C6A139" w:rsidR="00366835" w:rsidRPr="00D77559" w:rsidRDefault="00290429" w:rsidP="00FD3635">
      <w:pPr>
        <w:autoSpaceDE w:val="0"/>
        <w:autoSpaceDN w:val="0"/>
        <w:adjustRightInd w:val="0"/>
        <w:spacing w:after="0" w:line="240" w:lineRule="auto"/>
        <w:jc w:val="center"/>
        <w:rPr>
          <w:rFonts w:ascii="Cambria Math" w:hAnsi="Cambria Math" w:cs="Arial"/>
          <w:sz w:val="20"/>
          <w:szCs w:val="20"/>
          <w:oMath/>
        </w:rPr>
      </w:pPr>
      <m:oMath>
        <m:r>
          <m:rPr>
            <m:sty m:val="b"/>
          </m:rPr>
          <w:rPr>
            <w:rFonts w:ascii="Cambria Math" w:hAnsi="Cambria Math" w:cs="Arial"/>
            <w:sz w:val="20"/>
            <w:szCs w:val="20"/>
          </w:rPr>
          <m:t>Matrix erosion =</m:t>
        </m:r>
        <m:f>
          <m:fPr>
            <m:ctrlPr>
              <w:rPr>
                <w:rFonts w:ascii="Cambria Math" w:hAnsi="Cambria Math" w:cs="Arial"/>
                <w:bCs/>
                <w:sz w:val="20"/>
                <w:szCs w:val="20"/>
              </w:rPr>
            </m:ctrlPr>
          </m:fPr>
          <m:num>
            <m:r>
              <m:rPr>
                <m:sty m:val="p"/>
              </m:rPr>
              <w:rPr>
                <w:rFonts w:ascii="Cambria Math" w:eastAsia="Cambria Math" w:hAnsi="Cambria Math" w:cs="Arial"/>
                <w:sz w:val="20"/>
                <w:szCs w:val="20"/>
              </w:rPr>
              <m:t>initial weight of the tablet- Weight of the dried tablet</m:t>
            </m:r>
          </m:num>
          <m:den>
            <m:r>
              <m:rPr>
                <m:sty m:val="p"/>
              </m:rPr>
              <w:rPr>
                <w:rFonts w:ascii="Cambria Math" w:eastAsia="Cambria Math" w:hAnsi="Cambria Math" w:cs="Arial"/>
                <w:sz w:val="20"/>
                <w:szCs w:val="20"/>
              </w:rPr>
              <m:t>initial weight of the tablet</m:t>
            </m:r>
          </m:den>
        </m:f>
        <m:r>
          <m:rPr>
            <m:sty m:val="p"/>
          </m:rPr>
          <w:rPr>
            <w:rFonts w:ascii="Cambria Math" w:hAnsi="Cambria Math" w:cs="Arial"/>
            <w:sz w:val="20"/>
            <w:szCs w:val="20"/>
          </w:rPr>
          <m:t xml:space="preserve"> X 100 %</m:t>
        </m:r>
      </m:oMath>
      <w:r w:rsidR="00FD3635">
        <w:rPr>
          <w:rFonts w:ascii="Arial" w:eastAsiaTheme="minorEastAsia" w:hAnsi="Arial" w:cs="Arial"/>
          <w:sz w:val="20"/>
          <w:szCs w:val="20"/>
        </w:rPr>
        <w:t xml:space="preserve"> ----- </w:t>
      </w:r>
      <w:r w:rsidR="00FD3635" w:rsidRPr="000931B3">
        <w:rPr>
          <w:rFonts w:ascii="Arial" w:hAnsi="Arial" w:cs="Arial"/>
          <w:color w:val="000000"/>
          <w:sz w:val="20"/>
          <w:szCs w:val="20"/>
        </w:rPr>
        <w:t>(</w:t>
      </w:r>
      <w:r w:rsidR="00FD3635">
        <w:rPr>
          <w:rFonts w:ascii="Arial" w:hAnsi="Arial" w:cs="Arial"/>
          <w:color w:val="000000"/>
          <w:sz w:val="20"/>
          <w:szCs w:val="20"/>
        </w:rPr>
        <w:t>2</w:t>
      </w:r>
      <w:r w:rsidR="00FD3635" w:rsidRPr="000931B3">
        <w:rPr>
          <w:rFonts w:ascii="Arial" w:hAnsi="Arial" w:cs="Arial"/>
          <w:color w:val="000000"/>
          <w:sz w:val="20"/>
          <w:szCs w:val="20"/>
        </w:rPr>
        <w:t>)</w:t>
      </w:r>
    </w:p>
    <w:p w14:paraId="2496FBC5" w14:textId="77777777" w:rsidR="00366835" w:rsidRPr="00D77559" w:rsidRDefault="00366835" w:rsidP="00366835">
      <w:pPr>
        <w:autoSpaceDE w:val="0"/>
        <w:autoSpaceDN w:val="0"/>
        <w:adjustRightInd w:val="0"/>
        <w:spacing w:after="0" w:line="240" w:lineRule="auto"/>
        <w:jc w:val="both"/>
        <w:rPr>
          <w:rFonts w:ascii="Arial" w:hAnsi="Arial" w:cs="Arial"/>
          <w:b/>
          <w:bCs/>
          <w:i/>
          <w:sz w:val="20"/>
          <w:szCs w:val="20"/>
        </w:rPr>
      </w:pPr>
    </w:p>
    <w:p w14:paraId="172B5B8A" w14:textId="77777777" w:rsidR="00366835" w:rsidRPr="00D77559" w:rsidRDefault="00366835" w:rsidP="000E31A9">
      <w:pPr>
        <w:autoSpaceDE w:val="0"/>
        <w:autoSpaceDN w:val="0"/>
        <w:adjustRightInd w:val="0"/>
        <w:spacing w:after="0" w:line="240" w:lineRule="auto"/>
        <w:jc w:val="both"/>
        <w:rPr>
          <w:rFonts w:ascii="Arial" w:hAnsi="Arial" w:cs="Arial"/>
          <w:b/>
          <w:bCs/>
          <w:i/>
          <w:sz w:val="20"/>
          <w:szCs w:val="20"/>
        </w:rPr>
      </w:pPr>
    </w:p>
    <w:p w14:paraId="1C4D8292" w14:textId="0067A3C0" w:rsidR="009417A1" w:rsidRPr="00D77559" w:rsidRDefault="004A5231" w:rsidP="000E31A9">
      <w:pPr>
        <w:autoSpaceDE w:val="0"/>
        <w:autoSpaceDN w:val="0"/>
        <w:adjustRightInd w:val="0"/>
        <w:spacing w:after="0" w:line="240" w:lineRule="auto"/>
        <w:jc w:val="both"/>
        <w:rPr>
          <w:rFonts w:ascii="Arial" w:hAnsi="Arial" w:cs="Arial"/>
          <w:b/>
          <w:bCs/>
          <w:i/>
          <w:sz w:val="20"/>
          <w:szCs w:val="20"/>
        </w:rPr>
      </w:pPr>
      <w:r w:rsidRPr="00D77559">
        <w:rPr>
          <w:rFonts w:ascii="Arial" w:hAnsi="Arial" w:cs="Arial"/>
          <w:b/>
          <w:bCs/>
          <w:i/>
          <w:sz w:val="20"/>
          <w:szCs w:val="20"/>
        </w:rPr>
        <w:t xml:space="preserve">2.2.1.7 </w:t>
      </w:r>
      <w:r w:rsidR="009417A1" w:rsidRPr="00D77559">
        <w:rPr>
          <w:rFonts w:ascii="Arial" w:hAnsi="Arial" w:cs="Arial"/>
          <w:b/>
          <w:bCs/>
          <w:i/>
          <w:sz w:val="20"/>
          <w:szCs w:val="20"/>
        </w:rPr>
        <w:t xml:space="preserve">In vivo floating buoyancy studies </w:t>
      </w:r>
    </w:p>
    <w:p w14:paraId="58762145" w14:textId="77777777" w:rsidR="00521298" w:rsidRPr="00D77559" w:rsidRDefault="00521298" w:rsidP="000E31A9">
      <w:pPr>
        <w:autoSpaceDE w:val="0"/>
        <w:autoSpaceDN w:val="0"/>
        <w:adjustRightInd w:val="0"/>
        <w:spacing w:after="0" w:line="240" w:lineRule="auto"/>
        <w:jc w:val="both"/>
        <w:rPr>
          <w:rFonts w:ascii="Arial" w:hAnsi="Arial" w:cs="Arial"/>
          <w:b/>
          <w:bCs/>
          <w:i/>
          <w:sz w:val="20"/>
          <w:szCs w:val="20"/>
        </w:rPr>
      </w:pPr>
    </w:p>
    <w:p w14:paraId="3ADD6EAE" w14:textId="2F1C8E3C" w:rsidR="005F7986" w:rsidRPr="00D77559" w:rsidRDefault="005F7986" w:rsidP="000E31A9">
      <w:pPr>
        <w:spacing w:after="0" w:line="240" w:lineRule="auto"/>
        <w:jc w:val="both"/>
        <w:rPr>
          <w:rFonts w:ascii="Arial" w:eastAsia="Times New Roman" w:hAnsi="Arial" w:cs="Arial"/>
          <w:sz w:val="20"/>
          <w:szCs w:val="20"/>
          <w:lang w:eastAsia="en-IN"/>
        </w:rPr>
      </w:pPr>
      <w:r w:rsidRPr="00D77559">
        <w:rPr>
          <w:rFonts w:ascii="Arial" w:eastAsia="Times New Roman" w:hAnsi="Arial" w:cs="Arial"/>
          <w:sz w:val="20"/>
          <w:szCs w:val="20"/>
          <w:lang w:eastAsia="en-IN"/>
        </w:rPr>
        <w:t xml:space="preserve">The in vivo behavior of the floating tablets was evaluated in healthy human volunteers using a radiographic imaging technique. To enable visualization during X-ray monitoring, barium </w:t>
      </w:r>
      <w:r w:rsidR="00290429" w:rsidRPr="00D77559">
        <w:rPr>
          <w:rFonts w:ascii="Arial" w:eastAsia="Times New Roman" w:hAnsi="Arial" w:cs="Arial"/>
          <w:sz w:val="20"/>
          <w:szCs w:val="20"/>
          <w:lang w:eastAsia="en-IN"/>
        </w:rPr>
        <w:t>sulphate</w:t>
      </w:r>
      <w:r w:rsidRPr="00D77559">
        <w:rPr>
          <w:rFonts w:ascii="Arial" w:eastAsia="Times New Roman" w:hAnsi="Arial" w:cs="Arial"/>
          <w:sz w:val="20"/>
          <w:szCs w:val="20"/>
          <w:lang w:eastAsia="en-IN"/>
        </w:rPr>
        <w:t xml:space="preserve"> (</w:t>
      </w:r>
      <w:proofErr w:type="spellStart"/>
      <w:r w:rsidRPr="00D77559">
        <w:rPr>
          <w:rFonts w:ascii="Arial" w:eastAsia="Times New Roman" w:hAnsi="Arial" w:cs="Arial"/>
          <w:sz w:val="20"/>
          <w:szCs w:val="20"/>
          <w:lang w:eastAsia="en-IN"/>
        </w:rPr>
        <w:t>BaSO</w:t>
      </w:r>
      <w:proofErr w:type="spellEnd"/>
      <w:r w:rsidRPr="00D77559">
        <w:rPr>
          <w:rFonts w:ascii="Cambria Math" w:eastAsia="Times New Roman" w:hAnsi="Cambria Math" w:cs="Cambria Math"/>
          <w:sz w:val="20"/>
          <w:szCs w:val="20"/>
          <w:lang w:eastAsia="en-IN"/>
        </w:rPr>
        <w:t>₄</w:t>
      </w:r>
      <w:r w:rsidRPr="00D77559">
        <w:rPr>
          <w:rFonts w:ascii="Arial" w:eastAsia="Times New Roman" w:hAnsi="Arial" w:cs="Arial"/>
          <w:sz w:val="20"/>
          <w:szCs w:val="20"/>
          <w:lang w:eastAsia="en-IN"/>
        </w:rPr>
        <w:t>) was incorporated into the tablet formulation at a concentration sufficient to provide radiopacity without compromising the buoyancy of the dosage form</w:t>
      </w:r>
      <w:r w:rsidR="00D6245F" w:rsidRPr="00D77559">
        <w:rPr>
          <w:rFonts w:ascii="Arial" w:eastAsia="Times New Roman" w:hAnsi="Arial" w:cs="Arial"/>
          <w:sz w:val="20"/>
          <w:szCs w:val="20"/>
          <w:lang w:eastAsia="en-IN"/>
        </w:rPr>
        <w:t xml:space="preserve"> </w:t>
      </w:r>
      <w:r w:rsidR="00D6245F" w:rsidRPr="00D77559">
        <w:rPr>
          <w:rFonts w:ascii="Arial" w:hAnsi="Arial" w:cs="Arial"/>
          <w:sz w:val="20"/>
          <w:szCs w:val="20"/>
        </w:rPr>
        <w:t>(</w:t>
      </w:r>
      <w:r w:rsidR="00D6245F" w:rsidRPr="00D77559">
        <w:rPr>
          <w:rFonts w:ascii="Arial" w:eastAsia="Times New Roman" w:hAnsi="Arial" w:cs="Arial"/>
          <w:bCs/>
          <w:color w:val="1B1B1B"/>
          <w:kern w:val="36"/>
          <w:sz w:val="20"/>
          <w:szCs w:val="20"/>
        </w:rPr>
        <w:t xml:space="preserve">Asula L </w:t>
      </w:r>
      <w:r w:rsidR="00D6245F" w:rsidRPr="00D77559">
        <w:rPr>
          <w:rFonts w:ascii="Arial" w:hAnsi="Arial" w:cs="Arial"/>
          <w:sz w:val="20"/>
          <w:szCs w:val="20"/>
        </w:rPr>
        <w:t>et al., 201</w:t>
      </w:r>
      <w:r w:rsidR="00CA0940" w:rsidRPr="00D77559">
        <w:rPr>
          <w:rFonts w:ascii="Arial" w:hAnsi="Arial" w:cs="Arial"/>
          <w:sz w:val="20"/>
          <w:szCs w:val="20"/>
        </w:rPr>
        <w:t>5</w:t>
      </w:r>
      <w:r w:rsidR="00D6245F" w:rsidRPr="00D77559">
        <w:rPr>
          <w:rFonts w:ascii="Arial" w:hAnsi="Arial" w:cs="Arial"/>
          <w:sz w:val="20"/>
          <w:szCs w:val="20"/>
        </w:rPr>
        <w:t>).</w:t>
      </w:r>
      <w:r w:rsidRPr="00D77559">
        <w:rPr>
          <w:rFonts w:ascii="Arial" w:eastAsia="Times New Roman" w:hAnsi="Arial" w:cs="Arial"/>
          <w:sz w:val="20"/>
          <w:szCs w:val="20"/>
          <w:lang w:eastAsia="en-IN"/>
        </w:rPr>
        <w:t xml:space="preserve"> Four healthy male volunteers (mean age: 25 years; mean body weight: 65kg) were enrolled after providing written informed consent. The study protocol received prior approval from the Institutional Ethics Committee of the </w:t>
      </w:r>
      <w:proofErr w:type="spellStart"/>
      <w:r w:rsidRPr="00D77559">
        <w:rPr>
          <w:rFonts w:ascii="Arial" w:eastAsia="Times New Roman" w:hAnsi="Arial" w:cs="Arial"/>
          <w:sz w:val="20"/>
          <w:szCs w:val="20"/>
          <w:lang w:eastAsia="en-IN"/>
        </w:rPr>
        <w:t>UCPSc</w:t>
      </w:r>
      <w:proofErr w:type="spellEnd"/>
      <w:r w:rsidRPr="00D77559">
        <w:rPr>
          <w:rFonts w:ascii="Arial" w:eastAsia="Times New Roman" w:hAnsi="Arial" w:cs="Arial"/>
          <w:sz w:val="20"/>
          <w:szCs w:val="20"/>
          <w:lang w:eastAsia="en-IN"/>
        </w:rPr>
        <w:t>, Kakatiya University, Warangal. Each participant underwent an overnight fast before administration. A single floating tablet was given to each subject with 150 mL of water under fasting conditions. No additional food or fluids were permitted during the study period. The intragastric position and movement of the tablet were assessed at predetermined time intervals using X-ray imaging (Konica Minolta; Siemens, Karlsruhe, Germany). Radiographs were captured in the anterior view to monitor the persistence of the tablet within the gastric region and to assess its buoyancy behavior throughout the observation period.</w:t>
      </w:r>
    </w:p>
    <w:p w14:paraId="2D8E3DC8" w14:textId="77777777" w:rsidR="00521298" w:rsidRPr="00D77559" w:rsidRDefault="00521298" w:rsidP="000E31A9">
      <w:pPr>
        <w:spacing w:after="0" w:line="240" w:lineRule="auto"/>
        <w:jc w:val="both"/>
        <w:rPr>
          <w:rFonts w:ascii="Arial" w:eastAsia="Times New Roman" w:hAnsi="Arial" w:cs="Arial"/>
          <w:sz w:val="20"/>
          <w:szCs w:val="20"/>
          <w:lang w:eastAsia="en-IN"/>
        </w:rPr>
      </w:pPr>
    </w:p>
    <w:p w14:paraId="3D95D6AC" w14:textId="02FA7FA8" w:rsidR="005F7986" w:rsidRPr="00D77559" w:rsidRDefault="00521298" w:rsidP="000E31A9">
      <w:pPr>
        <w:spacing w:after="0" w:line="240" w:lineRule="auto"/>
        <w:jc w:val="both"/>
        <w:rPr>
          <w:rFonts w:ascii="Arial" w:eastAsia="Times New Roman" w:hAnsi="Arial" w:cs="Arial"/>
          <w:b/>
          <w:i/>
          <w:lang w:eastAsia="en-IN"/>
        </w:rPr>
      </w:pPr>
      <w:r w:rsidRPr="00D77559">
        <w:rPr>
          <w:rFonts w:ascii="Arial" w:eastAsia="Times New Roman" w:hAnsi="Arial" w:cs="Arial"/>
          <w:b/>
          <w:sz w:val="20"/>
          <w:szCs w:val="20"/>
          <w:lang w:eastAsia="en-IN"/>
        </w:rPr>
        <w:t>3.</w:t>
      </w:r>
      <w:r w:rsidR="004A5231" w:rsidRPr="00D77559">
        <w:rPr>
          <w:rFonts w:ascii="Arial" w:eastAsia="Times New Roman" w:hAnsi="Arial" w:cs="Arial"/>
          <w:b/>
          <w:sz w:val="20"/>
          <w:szCs w:val="20"/>
          <w:lang w:eastAsia="en-IN"/>
        </w:rPr>
        <w:t xml:space="preserve"> </w:t>
      </w:r>
      <w:r w:rsidR="00617DFE" w:rsidRPr="00D77559">
        <w:rPr>
          <w:rFonts w:ascii="Arial" w:eastAsia="Times New Roman" w:hAnsi="Arial" w:cs="Arial"/>
          <w:b/>
          <w:lang w:eastAsia="en-IN"/>
        </w:rPr>
        <w:t>RESULTS AND DISCUSSION</w:t>
      </w:r>
    </w:p>
    <w:p w14:paraId="1D1B8522" w14:textId="77777777" w:rsidR="00521298" w:rsidRPr="00D77559" w:rsidRDefault="00521298" w:rsidP="000E31A9">
      <w:pPr>
        <w:spacing w:after="0" w:line="240" w:lineRule="auto"/>
        <w:jc w:val="both"/>
        <w:rPr>
          <w:rFonts w:ascii="Arial" w:eastAsia="Times New Roman" w:hAnsi="Arial" w:cs="Arial"/>
          <w:b/>
          <w:i/>
          <w:sz w:val="20"/>
          <w:szCs w:val="20"/>
          <w:lang w:eastAsia="en-IN"/>
        </w:rPr>
      </w:pPr>
    </w:p>
    <w:p w14:paraId="3445D43D" w14:textId="138AC19C" w:rsidR="00E51D94" w:rsidRPr="00D77559" w:rsidRDefault="00E51D94" w:rsidP="000E31A9">
      <w:pPr>
        <w:spacing w:after="0" w:line="240" w:lineRule="auto"/>
        <w:jc w:val="both"/>
        <w:rPr>
          <w:rFonts w:ascii="Arial" w:eastAsia="Times New Roman" w:hAnsi="Arial" w:cs="Arial"/>
          <w:sz w:val="20"/>
          <w:szCs w:val="20"/>
          <w:lang w:eastAsia="en-IN"/>
        </w:rPr>
      </w:pPr>
      <w:r w:rsidRPr="00D77559">
        <w:rPr>
          <w:rFonts w:ascii="Arial" w:eastAsia="Times New Roman" w:hAnsi="Arial" w:cs="Arial"/>
          <w:sz w:val="20"/>
          <w:szCs w:val="20"/>
          <w:lang w:eastAsia="en-IN"/>
        </w:rPr>
        <w:t>Metformin HCl floating tablets were successfully manufactured using a top-spray granulation process, and the optimized proc</w:t>
      </w:r>
      <w:r w:rsidR="00C235CA">
        <w:rPr>
          <w:rFonts w:ascii="Arial" w:eastAsia="Times New Roman" w:hAnsi="Arial" w:cs="Arial"/>
          <w:sz w:val="20"/>
          <w:szCs w:val="20"/>
          <w:lang w:eastAsia="en-IN"/>
        </w:rPr>
        <w:t xml:space="preserve">ess parameters are presented in </w:t>
      </w:r>
      <w:r w:rsidRPr="00C235CA">
        <w:rPr>
          <w:rFonts w:ascii="Arial" w:eastAsia="Times New Roman" w:hAnsi="Arial" w:cs="Arial"/>
          <w:b/>
          <w:sz w:val="20"/>
          <w:szCs w:val="20"/>
          <w:lang w:eastAsia="en-IN"/>
        </w:rPr>
        <w:t>Table</w:t>
      </w:r>
      <w:r w:rsidR="00551B56">
        <w:rPr>
          <w:rFonts w:ascii="Arial" w:eastAsia="Times New Roman" w:hAnsi="Arial" w:cs="Arial"/>
          <w:b/>
          <w:sz w:val="20"/>
          <w:szCs w:val="20"/>
          <w:lang w:eastAsia="en-IN"/>
        </w:rPr>
        <w:t xml:space="preserve"> 1</w:t>
      </w:r>
      <w:r w:rsidRPr="00D77559">
        <w:rPr>
          <w:rFonts w:ascii="Arial" w:eastAsia="Times New Roman" w:hAnsi="Arial" w:cs="Arial"/>
          <w:sz w:val="20"/>
          <w:szCs w:val="20"/>
          <w:lang w:eastAsia="en-IN"/>
        </w:rPr>
        <w:t>. Comparative evaluation of formulations prepared with different viscosity grades of Polyvinyl Alcohol revealed a clear influence of polymer viscosity on granule and tablet characteristics.</w:t>
      </w:r>
      <w:r w:rsidR="00CA32BD" w:rsidRPr="00D77559">
        <w:rPr>
          <w:rFonts w:ascii="Arial" w:eastAsia="Times New Roman" w:hAnsi="Arial" w:cs="Arial"/>
          <w:sz w:val="20"/>
          <w:szCs w:val="20"/>
          <w:lang w:eastAsia="en-IN"/>
        </w:rPr>
        <w:t xml:space="preserve"> </w:t>
      </w:r>
      <w:r w:rsidRPr="00D77559">
        <w:rPr>
          <w:rFonts w:ascii="Arial" w:eastAsia="Times New Roman" w:hAnsi="Arial" w:cs="Arial"/>
          <w:sz w:val="20"/>
          <w:szCs w:val="20"/>
          <w:lang w:eastAsia="en-IN"/>
        </w:rPr>
        <w:t>Formulations containing the higher-viscosity grade PVA (</w:t>
      </w:r>
      <w:proofErr w:type="spellStart"/>
      <w:r w:rsidRPr="00D77559">
        <w:rPr>
          <w:rFonts w:ascii="Arial" w:eastAsia="Times New Roman" w:hAnsi="Arial" w:cs="Arial"/>
          <w:sz w:val="20"/>
          <w:szCs w:val="20"/>
          <w:lang w:eastAsia="en-IN"/>
        </w:rPr>
        <w:t>Gohsenol</w:t>
      </w:r>
      <w:proofErr w:type="spellEnd"/>
      <w:r w:rsidRPr="00D77559">
        <w:rPr>
          <w:rFonts w:ascii="Arial" w:eastAsia="Times New Roman" w:hAnsi="Arial" w:cs="Arial"/>
          <w:sz w:val="20"/>
          <w:szCs w:val="20"/>
          <w:lang w:eastAsia="en-IN"/>
        </w:rPr>
        <w:t xml:space="preserve"> EG-40PW) demonstrated superior granule integrity, improved flowability, and enhanced compressibility relative to those prepared with lower-viscosity grades (</w:t>
      </w:r>
      <w:proofErr w:type="spellStart"/>
      <w:r w:rsidRPr="00D77559">
        <w:rPr>
          <w:rFonts w:ascii="Arial" w:eastAsia="Times New Roman" w:hAnsi="Arial" w:cs="Arial"/>
          <w:sz w:val="20"/>
          <w:szCs w:val="20"/>
          <w:lang w:eastAsia="en-IN"/>
        </w:rPr>
        <w:t>Gohsenol</w:t>
      </w:r>
      <w:proofErr w:type="spellEnd"/>
      <w:r w:rsidRPr="00D77559">
        <w:rPr>
          <w:rFonts w:ascii="Arial" w:eastAsia="Times New Roman" w:hAnsi="Arial" w:cs="Arial"/>
          <w:sz w:val="20"/>
          <w:szCs w:val="20"/>
          <w:lang w:eastAsia="en-IN"/>
        </w:rPr>
        <w:t xml:space="preserve"> EG-03P and 20–50 </w:t>
      </w:r>
      <w:proofErr w:type="spellStart"/>
      <w:r w:rsidRPr="00D77559">
        <w:rPr>
          <w:rFonts w:ascii="Arial" w:eastAsia="Times New Roman" w:hAnsi="Arial" w:cs="Arial"/>
          <w:sz w:val="20"/>
          <w:szCs w:val="20"/>
          <w:lang w:eastAsia="en-IN"/>
        </w:rPr>
        <w:t>cP</w:t>
      </w:r>
      <w:proofErr w:type="spellEnd"/>
      <w:r w:rsidRPr="00D77559">
        <w:rPr>
          <w:rFonts w:ascii="Arial" w:eastAsia="Times New Roman" w:hAnsi="Arial" w:cs="Arial"/>
          <w:sz w:val="20"/>
          <w:szCs w:val="20"/>
          <w:lang w:eastAsia="en-IN"/>
        </w:rPr>
        <w:t xml:space="preserve"> PVA)</w:t>
      </w:r>
      <w:r w:rsidR="00CA32BD" w:rsidRPr="00D77559">
        <w:rPr>
          <w:rFonts w:ascii="Arial" w:eastAsia="Times New Roman" w:hAnsi="Arial" w:cs="Arial"/>
          <w:sz w:val="20"/>
          <w:szCs w:val="20"/>
          <w:lang w:eastAsia="en-IN"/>
        </w:rPr>
        <w:t xml:space="preserve">, results presented in </w:t>
      </w:r>
      <w:r w:rsidR="00C235CA" w:rsidRPr="00C235CA">
        <w:rPr>
          <w:rFonts w:ascii="Arial" w:eastAsia="Times New Roman" w:hAnsi="Arial" w:cs="Arial"/>
          <w:b/>
          <w:sz w:val="20"/>
          <w:szCs w:val="20"/>
          <w:lang w:eastAsia="en-IN"/>
        </w:rPr>
        <w:t>Table</w:t>
      </w:r>
      <w:r w:rsidR="00C235CA">
        <w:rPr>
          <w:rFonts w:ascii="Arial" w:eastAsia="Times New Roman" w:hAnsi="Arial" w:cs="Arial"/>
          <w:b/>
          <w:sz w:val="20"/>
          <w:szCs w:val="20"/>
          <w:lang w:eastAsia="en-IN"/>
        </w:rPr>
        <w:t xml:space="preserve"> 2</w:t>
      </w:r>
      <w:r w:rsidRPr="00D77559">
        <w:rPr>
          <w:rFonts w:ascii="Arial" w:eastAsia="Times New Roman" w:hAnsi="Arial" w:cs="Arial"/>
          <w:sz w:val="20"/>
          <w:szCs w:val="20"/>
          <w:lang w:eastAsia="en-IN"/>
        </w:rPr>
        <w:t xml:space="preserve">. This performance enhancement is likely attributed to the stronger binding capacity and improved matrix-forming ability of the high-viscosity polymer during granulation, which promotes the formation of more cohesive granules. Consequently, these granules supported uniform die filling and facilitated the production of tablets with better mechanical strength and dimensional consistency. The improved physical and compression properties observed with </w:t>
      </w:r>
      <w:proofErr w:type="spellStart"/>
      <w:r w:rsidRPr="00D77559">
        <w:rPr>
          <w:rFonts w:ascii="Arial" w:eastAsia="Times New Roman" w:hAnsi="Arial" w:cs="Arial"/>
          <w:sz w:val="20"/>
          <w:szCs w:val="20"/>
          <w:lang w:eastAsia="en-IN"/>
        </w:rPr>
        <w:t>Gohsenol</w:t>
      </w:r>
      <w:proofErr w:type="spellEnd"/>
      <w:r w:rsidRPr="00D77559">
        <w:rPr>
          <w:rFonts w:ascii="Arial" w:eastAsia="Times New Roman" w:hAnsi="Arial" w:cs="Arial"/>
          <w:sz w:val="20"/>
          <w:szCs w:val="20"/>
          <w:lang w:eastAsia="en-IN"/>
        </w:rPr>
        <w:t xml:space="preserve"> EG-40PW collectively indicate its greater suitability for developing robust floating tablet formulations using top-spray granulation technology.</w:t>
      </w:r>
      <w:r w:rsidR="000E241D" w:rsidRPr="00D77559">
        <w:rPr>
          <w:rFonts w:ascii="Arial" w:eastAsia="Times New Roman" w:hAnsi="Arial" w:cs="Arial"/>
          <w:sz w:val="20"/>
          <w:szCs w:val="20"/>
          <w:lang w:eastAsia="en-IN"/>
        </w:rPr>
        <w:t xml:space="preserve"> </w:t>
      </w:r>
    </w:p>
    <w:p w14:paraId="7E85C0AC" w14:textId="77777777" w:rsidR="00521298" w:rsidRPr="00D77559" w:rsidRDefault="00521298" w:rsidP="000E31A9">
      <w:pPr>
        <w:spacing w:after="0" w:line="240" w:lineRule="auto"/>
        <w:jc w:val="both"/>
        <w:rPr>
          <w:rFonts w:ascii="Arial" w:eastAsia="Times New Roman" w:hAnsi="Arial" w:cs="Arial"/>
          <w:sz w:val="20"/>
          <w:szCs w:val="20"/>
          <w:lang w:eastAsia="en-IN"/>
        </w:rPr>
      </w:pPr>
    </w:p>
    <w:p w14:paraId="14D5E2CF" w14:textId="0E3029A0" w:rsidR="00CA32BD" w:rsidRPr="00D77559" w:rsidRDefault="00366835" w:rsidP="00827C23">
      <w:pPr>
        <w:spacing w:after="0" w:line="240" w:lineRule="auto"/>
        <w:jc w:val="center"/>
        <w:rPr>
          <w:rFonts w:ascii="Arial" w:eastAsia="Times New Roman" w:hAnsi="Arial" w:cs="Arial"/>
          <w:b/>
          <w:sz w:val="20"/>
          <w:szCs w:val="20"/>
          <w:lang w:eastAsia="en-IN"/>
        </w:rPr>
      </w:pPr>
      <w:r w:rsidRPr="00D77559">
        <w:rPr>
          <w:rFonts w:ascii="Arial" w:eastAsia="Times New Roman" w:hAnsi="Arial" w:cs="Arial"/>
          <w:b/>
          <w:sz w:val="20"/>
          <w:szCs w:val="20"/>
          <w:lang w:eastAsia="en-IN"/>
        </w:rPr>
        <w:t>Table 1.</w:t>
      </w:r>
      <w:r w:rsidR="00827C23">
        <w:rPr>
          <w:rFonts w:ascii="Arial" w:eastAsia="Times New Roman" w:hAnsi="Arial" w:cs="Arial"/>
          <w:b/>
          <w:sz w:val="20"/>
          <w:szCs w:val="20"/>
          <w:lang w:eastAsia="en-IN"/>
        </w:rPr>
        <w:t xml:space="preserve"> </w:t>
      </w:r>
      <w:r w:rsidR="00827C23" w:rsidRPr="00827C23">
        <w:rPr>
          <w:rFonts w:ascii="Arial" w:eastAsia="Times New Roman" w:hAnsi="Arial" w:cs="Arial"/>
          <w:b/>
          <w:sz w:val="20"/>
          <w:szCs w:val="20"/>
          <w:lang w:eastAsia="en-IN"/>
        </w:rPr>
        <w:t>Summary of optimized fluidized-bed granulation parameters for producing Metformin HCl granules.</w:t>
      </w:r>
    </w:p>
    <w:p w14:paraId="0DE0D112" w14:textId="77777777" w:rsidR="00521298" w:rsidRPr="00D77559" w:rsidRDefault="00521298" w:rsidP="000E31A9">
      <w:pPr>
        <w:spacing w:after="0" w:line="240" w:lineRule="auto"/>
        <w:jc w:val="both"/>
        <w:rPr>
          <w:rFonts w:ascii="Arial" w:eastAsia="Times New Roman" w:hAnsi="Arial" w:cs="Arial"/>
          <w:sz w:val="20"/>
          <w:szCs w:val="20"/>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552"/>
        <w:gridCol w:w="2410"/>
      </w:tblGrid>
      <w:tr w:rsidR="00CA32BD" w:rsidRPr="00D77559" w14:paraId="0DC0DDDD" w14:textId="4C5F0F80" w:rsidTr="00CA32BD">
        <w:trPr>
          <w:trHeight w:val="259"/>
          <w:jc w:val="center"/>
        </w:trPr>
        <w:tc>
          <w:tcPr>
            <w:tcW w:w="2830" w:type="dxa"/>
            <w:shd w:val="clear" w:color="auto" w:fill="BFBFBF" w:themeFill="background1" w:themeFillShade="BF"/>
          </w:tcPr>
          <w:p w14:paraId="13AAB5BC" w14:textId="3B7C20D9" w:rsidR="00CA32BD" w:rsidRPr="00D77559" w:rsidRDefault="00CA32BD" w:rsidP="000E31A9">
            <w:pPr>
              <w:pStyle w:val="Header"/>
              <w:jc w:val="center"/>
              <w:rPr>
                <w:rFonts w:ascii="Arial" w:hAnsi="Arial" w:cs="Arial"/>
                <w:b/>
                <w:sz w:val="20"/>
                <w:szCs w:val="20"/>
              </w:rPr>
            </w:pPr>
            <w:r w:rsidRPr="00D77559">
              <w:rPr>
                <w:rFonts w:ascii="Arial" w:hAnsi="Arial" w:cs="Arial"/>
                <w:b/>
                <w:sz w:val="20"/>
                <w:szCs w:val="20"/>
              </w:rPr>
              <w:t>Process parameter</w:t>
            </w:r>
          </w:p>
        </w:tc>
        <w:tc>
          <w:tcPr>
            <w:tcW w:w="2552" w:type="dxa"/>
            <w:shd w:val="clear" w:color="auto" w:fill="BFBFBF" w:themeFill="background1" w:themeFillShade="BF"/>
          </w:tcPr>
          <w:p w14:paraId="170AA0A0" w14:textId="77777777" w:rsidR="00CA32BD" w:rsidRPr="00D77559" w:rsidRDefault="00CA32BD" w:rsidP="000E31A9">
            <w:pPr>
              <w:pStyle w:val="Header"/>
              <w:jc w:val="center"/>
              <w:rPr>
                <w:rFonts w:ascii="Arial" w:hAnsi="Arial" w:cs="Arial"/>
                <w:b/>
                <w:sz w:val="20"/>
                <w:szCs w:val="20"/>
              </w:rPr>
            </w:pPr>
            <w:r w:rsidRPr="00D77559">
              <w:rPr>
                <w:rFonts w:ascii="Arial" w:hAnsi="Arial" w:cs="Arial"/>
                <w:b/>
                <w:sz w:val="20"/>
                <w:szCs w:val="20"/>
              </w:rPr>
              <w:t>Range</w:t>
            </w:r>
          </w:p>
        </w:tc>
        <w:tc>
          <w:tcPr>
            <w:tcW w:w="2410" w:type="dxa"/>
            <w:shd w:val="clear" w:color="auto" w:fill="BFBFBF" w:themeFill="background1" w:themeFillShade="BF"/>
          </w:tcPr>
          <w:p w14:paraId="75E28E98" w14:textId="6C69D1FA" w:rsidR="00CA32BD" w:rsidRPr="00D77559" w:rsidRDefault="00CA32BD" w:rsidP="000E31A9">
            <w:pPr>
              <w:pStyle w:val="Header"/>
              <w:jc w:val="center"/>
              <w:rPr>
                <w:rFonts w:ascii="Arial" w:hAnsi="Arial" w:cs="Arial"/>
                <w:b/>
                <w:sz w:val="20"/>
                <w:szCs w:val="20"/>
              </w:rPr>
            </w:pPr>
            <w:r w:rsidRPr="00D77559">
              <w:rPr>
                <w:rFonts w:ascii="Arial" w:hAnsi="Arial" w:cs="Arial"/>
                <w:b/>
                <w:sz w:val="20"/>
                <w:szCs w:val="20"/>
              </w:rPr>
              <w:t>Observed Value</w:t>
            </w:r>
          </w:p>
        </w:tc>
      </w:tr>
      <w:tr w:rsidR="00CA32BD" w:rsidRPr="00D77559" w14:paraId="352F8B9C" w14:textId="0F85490B" w:rsidTr="00CA32BD">
        <w:trPr>
          <w:trHeight w:val="259"/>
          <w:jc w:val="center"/>
        </w:trPr>
        <w:tc>
          <w:tcPr>
            <w:tcW w:w="2830" w:type="dxa"/>
          </w:tcPr>
          <w:p w14:paraId="3B0C228E" w14:textId="77777777" w:rsidR="00CA32BD" w:rsidRPr="00D77559" w:rsidRDefault="00CA32BD" w:rsidP="000E31A9">
            <w:pPr>
              <w:pStyle w:val="Header"/>
              <w:rPr>
                <w:rFonts w:ascii="Arial" w:hAnsi="Arial" w:cs="Arial"/>
                <w:sz w:val="20"/>
                <w:szCs w:val="20"/>
              </w:rPr>
            </w:pPr>
            <w:r w:rsidRPr="00D77559">
              <w:rPr>
                <w:rFonts w:ascii="Arial" w:hAnsi="Arial" w:cs="Arial"/>
                <w:sz w:val="20"/>
                <w:szCs w:val="20"/>
              </w:rPr>
              <w:t>Inlet Temperature (°C)</w:t>
            </w:r>
          </w:p>
        </w:tc>
        <w:tc>
          <w:tcPr>
            <w:tcW w:w="2552" w:type="dxa"/>
          </w:tcPr>
          <w:p w14:paraId="5B966F0F" w14:textId="77777777" w:rsidR="00CA32BD" w:rsidRPr="00D77559" w:rsidRDefault="00CA32BD" w:rsidP="000E31A9">
            <w:pPr>
              <w:pStyle w:val="Header"/>
              <w:jc w:val="center"/>
              <w:rPr>
                <w:rFonts w:ascii="Arial" w:hAnsi="Arial" w:cs="Arial"/>
                <w:sz w:val="20"/>
                <w:szCs w:val="20"/>
                <w:highlight w:val="cyan"/>
              </w:rPr>
            </w:pPr>
            <w:r w:rsidRPr="00D77559">
              <w:rPr>
                <w:rFonts w:ascii="Arial" w:hAnsi="Arial" w:cs="Arial"/>
                <w:sz w:val="20"/>
                <w:szCs w:val="20"/>
              </w:rPr>
              <w:t>65 – 90</w:t>
            </w:r>
          </w:p>
        </w:tc>
        <w:tc>
          <w:tcPr>
            <w:tcW w:w="2410" w:type="dxa"/>
          </w:tcPr>
          <w:p w14:paraId="074FED29" w14:textId="21F6B218"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70</w:t>
            </w:r>
          </w:p>
        </w:tc>
      </w:tr>
      <w:tr w:rsidR="00CA32BD" w:rsidRPr="00D77559" w14:paraId="084D1DE1" w14:textId="204A0049" w:rsidTr="00CA32BD">
        <w:trPr>
          <w:trHeight w:val="259"/>
          <w:jc w:val="center"/>
        </w:trPr>
        <w:tc>
          <w:tcPr>
            <w:tcW w:w="2830" w:type="dxa"/>
          </w:tcPr>
          <w:p w14:paraId="7C0BAE7E" w14:textId="77777777" w:rsidR="00CA32BD" w:rsidRPr="00D77559" w:rsidRDefault="00CA32BD" w:rsidP="000E31A9">
            <w:pPr>
              <w:pStyle w:val="Header"/>
              <w:rPr>
                <w:rFonts w:ascii="Arial" w:hAnsi="Arial" w:cs="Arial"/>
                <w:sz w:val="20"/>
                <w:szCs w:val="20"/>
              </w:rPr>
            </w:pPr>
            <w:r w:rsidRPr="00D77559">
              <w:rPr>
                <w:rFonts w:ascii="Arial" w:hAnsi="Arial" w:cs="Arial"/>
                <w:sz w:val="20"/>
                <w:szCs w:val="20"/>
              </w:rPr>
              <w:t>Product Temperature (°C)</w:t>
            </w:r>
          </w:p>
        </w:tc>
        <w:tc>
          <w:tcPr>
            <w:tcW w:w="2552" w:type="dxa"/>
          </w:tcPr>
          <w:p w14:paraId="67321B45" w14:textId="2200ED7C"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40 – 55</w:t>
            </w:r>
          </w:p>
        </w:tc>
        <w:tc>
          <w:tcPr>
            <w:tcW w:w="2410" w:type="dxa"/>
          </w:tcPr>
          <w:p w14:paraId="51F9A172" w14:textId="7AB350A9"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45</w:t>
            </w:r>
          </w:p>
        </w:tc>
      </w:tr>
      <w:tr w:rsidR="00CA32BD" w:rsidRPr="00D77559" w14:paraId="1B10CC3E" w14:textId="70B383B4" w:rsidTr="00CA32BD">
        <w:trPr>
          <w:trHeight w:val="259"/>
          <w:jc w:val="center"/>
        </w:trPr>
        <w:tc>
          <w:tcPr>
            <w:tcW w:w="2830" w:type="dxa"/>
          </w:tcPr>
          <w:p w14:paraId="1180053A" w14:textId="77777777" w:rsidR="00CA32BD" w:rsidRPr="00D77559" w:rsidRDefault="00CA32BD" w:rsidP="000E31A9">
            <w:pPr>
              <w:pStyle w:val="Header"/>
              <w:rPr>
                <w:rFonts w:ascii="Arial" w:hAnsi="Arial" w:cs="Arial"/>
                <w:sz w:val="20"/>
                <w:szCs w:val="20"/>
              </w:rPr>
            </w:pPr>
            <w:r w:rsidRPr="00D77559">
              <w:rPr>
                <w:rFonts w:ascii="Arial" w:hAnsi="Arial" w:cs="Arial"/>
                <w:sz w:val="20"/>
                <w:szCs w:val="20"/>
              </w:rPr>
              <w:t>Exhaust Temperature (°C)</w:t>
            </w:r>
          </w:p>
        </w:tc>
        <w:tc>
          <w:tcPr>
            <w:tcW w:w="2552" w:type="dxa"/>
          </w:tcPr>
          <w:p w14:paraId="7755364B" w14:textId="533F510B"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40 – 55</w:t>
            </w:r>
          </w:p>
        </w:tc>
        <w:tc>
          <w:tcPr>
            <w:tcW w:w="2410" w:type="dxa"/>
          </w:tcPr>
          <w:p w14:paraId="31D082CF" w14:textId="12414AA3"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45</w:t>
            </w:r>
          </w:p>
        </w:tc>
      </w:tr>
      <w:tr w:rsidR="00CA32BD" w:rsidRPr="00D77559" w14:paraId="2F38C3D6" w14:textId="273700C3" w:rsidTr="00CA32BD">
        <w:trPr>
          <w:trHeight w:val="259"/>
          <w:jc w:val="center"/>
        </w:trPr>
        <w:tc>
          <w:tcPr>
            <w:tcW w:w="2830" w:type="dxa"/>
          </w:tcPr>
          <w:p w14:paraId="6E7816B3" w14:textId="77777777" w:rsidR="00CA32BD" w:rsidRPr="00D77559" w:rsidRDefault="00CA32BD" w:rsidP="000E31A9">
            <w:pPr>
              <w:pStyle w:val="Header"/>
              <w:rPr>
                <w:rFonts w:ascii="Arial" w:hAnsi="Arial" w:cs="Arial"/>
                <w:sz w:val="20"/>
                <w:szCs w:val="20"/>
              </w:rPr>
            </w:pPr>
            <w:r w:rsidRPr="00D77559">
              <w:rPr>
                <w:rFonts w:ascii="Arial" w:hAnsi="Arial" w:cs="Arial"/>
                <w:sz w:val="20"/>
                <w:szCs w:val="20"/>
              </w:rPr>
              <w:t>Atomizing Air Pressure (Bar)</w:t>
            </w:r>
          </w:p>
        </w:tc>
        <w:tc>
          <w:tcPr>
            <w:tcW w:w="2552" w:type="dxa"/>
          </w:tcPr>
          <w:p w14:paraId="100BC95E" w14:textId="77777777"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1.0 – 3.0</w:t>
            </w:r>
          </w:p>
        </w:tc>
        <w:tc>
          <w:tcPr>
            <w:tcW w:w="2410" w:type="dxa"/>
          </w:tcPr>
          <w:p w14:paraId="04251036" w14:textId="56675CAA"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1.8</w:t>
            </w:r>
          </w:p>
        </w:tc>
      </w:tr>
      <w:tr w:rsidR="00CA32BD" w:rsidRPr="00D77559" w14:paraId="16A92788" w14:textId="1CEB9327" w:rsidTr="00CA32BD">
        <w:trPr>
          <w:trHeight w:val="259"/>
          <w:jc w:val="center"/>
        </w:trPr>
        <w:tc>
          <w:tcPr>
            <w:tcW w:w="2830" w:type="dxa"/>
          </w:tcPr>
          <w:p w14:paraId="2FBDB46C" w14:textId="77777777" w:rsidR="00CA32BD" w:rsidRPr="00D77559" w:rsidRDefault="00CA32BD" w:rsidP="000E31A9">
            <w:pPr>
              <w:pStyle w:val="Header"/>
              <w:rPr>
                <w:rFonts w:ascii="Arial" w:hAnsi="Arial" w:cs="Arial"/>
                <w:sz w:val="20"/>
                <w:szCs w:val="20"/>
              </w:rPr>
            </w:pPr>
            <w:r w:rsidRPr="00D77559">
              <w:rPr>
                <w:rFonts w:ascii="Arial" w:hAnsi="Arial" w:cs="Arial"/>
                <w:sz w:val="20"/>
                <w:szCs w:val="20"/>
              </w:rPr>
              <w:t>Total Inlet Air Flow (CFM)</w:t>
            </w:r>
          </w:p>
        </w:tc>
        <w:tc>
          <w:tcPr>
            <w:tcW w:w="2552" w:type="dxa"/>
          </w:tcPr>
          <w:p w14:paraId="1BBF583F" w14:textId="77777777"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200 – 1000</w:t>
            </w:r>
          </w:p>
        </w:tc>
        <w:tc>
          <w:tcPr>
            <w:tcW w:w="2410" w:type="dxa"/>
          </w:tcPr>
          <w:p w14:paraId="1479071A" w14:textId="23AED879"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400</w:t>
            </w:r>
          </w:p>
        </w:tc>
      </w:tr>
      <w:tr w:rsidR="00CA32BD" w:rsidRPr="00D77559" w14:paraId="0DB51FC8" w14:textId="02123250" w:rsidTr="00CA32BD">
        <w:trPr>
          <w:trHeight w:val="259"/>
          <w:jc w:val="center"/>
        </w:trPr>
        <w:tc>
          <w:tcPr>
            <w:tcW w:w="2830" w:type="dxa"/>
          </w:tcPr>
          <w:p w14:paraId="725E3A2F" w14:textId="77777777" w:rsidR="00CA32BD" w:rsidRPr="00D77559" w:rsidRDefault="00CA32BD" w:rsidP="000E31A9">
            <w:pPr>
              <w:pStyle w:val="Header"/>
              <w:rPr>
                <w:rFonts w:ascii="Arial" w:hAnsi="Arial" w:cs="Arial"/>
                <w:sz w:val="20"/>
                <w:szCs w:val="20"/>
              </w:rPr>
            </w:pPr>
            <w:r w:rsidRPr="00D77559">
              <w:rPr>
                <w:rFonts w:ascii="Arial" w:hAnsi="Arial" w:cs="Arial"/>
                <w:sz w:val="20"/>
                <w:szCs w:val="20"/>
              </w:rPr>
              <w:t>Spray Pump Speed (rpm)</w:t>
            </w:r>
          </w:p>
        </w:tc>
        <w:tc>
          <w:tcPr>
            <w:tcW w:w="2552" w:type="dxa"/>
          </w:tcPr>
          <w:p w14:paraId="23EB1C9B" w14:textId="77777777"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20 – 30</w:t>
            </w:r>
          </w:p>
        </w:tc>
        <w:tc>
          <w:tcPr>
            <w:tcW w:w="2410" w:type="dxa"/>
          </w:tcPr>
          <w:p w14:paraId="0F20CD94" w14:textId="4D8E4BE3"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25</w:t>
            </w:r>
          </w:p>
        </w:tc>
      </w:tr>
      <w:tr w:rsidR="00CA32BD" w:rsidRPr="00D77559" w14:paraId="4B5FD4D2" w14:textId="787B682D" w:rsidTr="00CA32BD">
        <w:trPr>
          <w:trHeight w:val="259"/>
          <w:jc w:val="center"/>
        </w:trPr>
        <w:tc>
          <w:tcPr>
            <w:tcW w:w="2830" w:type="dxa"/>
          </w:tcPr>
          <w:p w14:paraId="7890FB58" w14:textId="374B3F26" w:rsidR="00CA32BD" w:rsidRPr="00D77559" w:rsidRDefault="00CA32BD" w:rsidP="000E31A9">
            <w:pPr>
              <w:pStyle w:val="Header"/>
              <w:rPr>
                <w:rFonts w:ascii="Arial" w:hAnsi="Arial" w:cs="Arial"/>
                <w:sz w:val="20"/>
                <w:szCs w:val="20"/>
              </w:rPr>
            </w:pPr>
            <w:r w:rsidRPr="00D77559">
              <w:rPr>
                <w:rFonts w:ascii="Arial" w:hAnsi="Arial" w:cs="Arial"/>
                <w:sz w:val="20"/>
                <w:szCs w:val="20"/>
              </w:rPr>
              <w:t>Nozzle size (mm)</w:t>
            </w:r>
          </w:p>
        </w:tc>
        <w:tc>
          <w:tcPr>
            <w:tcW w:w="2552" w:type="dxa"/>
          </w:tcPr>
          <w:p w14:paraId="6D0747F1" w14:textId="0A532884"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1.5</w:t>
            </w:r>
          </w:p>
        </w:tc>
        <w:tc>
          <w:tcPr>
            <w:tcW w:w="2410" w:type="dxa"/>
          </w:tcPr>
          <w:p w14:paraId="31588D25" w14:textId="5A158DC8"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1.5</w:t>
            </w:r>
          </w:p>
        </w:tc>
      </w:tr>
    </w:tbl>
    <w:p w14:paraId="3B5078DB" w14:textId="77777777" w:rsidR="00290429" w:rsidRDefault="00290429" w:rsidP="000E31A9">
      <w:pPr>
        <w:spacing w:after="0" w:line="240" w:lineRule="auto"/>
        <w:jc w:val="both"/>
        <w:rPr>
          <w:rFonts w:ascii="Arial" w:eastAsia="Times New Roman" w:hAnsi="Arial" w:cs="Arial"/>
          <w:b/>
          <w:sz w:val="20"/>
          <w:szCs w:val="20"/>
          <w:lang w:eastAsia="en-IN"/>
        </w:rPr>
      </w:pPr>
    </w:p>
    <w:p w14:paraId="6D5AB226" w14:textId="78179232" w:rsidR="007A6F55" w:rsidRPr="00D77559" w:rsidRDefault="00366835" w:rsidP="000E31A9">
      <w:pPr>
        <w:spacing w:after="0" w:line="240" w:lineRule="auto"/>
        <w:jc w:val="both"/>
        <w:rPr>
          <w:rFonts w:ascii="Arial" w:eastAsia="Times New Roman" w:hAnsi="Arial" w:cs="Arial"/>
          <w:b/>
          <w:sz w:val="20"/>
          <w:szCs w:val="20"/>
          <w:lang w:eastAsia="en-IN"/>
        </w:rPr>
      </w:pPr>
      <w:r w:rsidRPr="00D77559">
        <w:rPr>
          <w:rFonts w:ascii="Arial" w:eastAsia="Times New Roman" w:hAnsi="Arial" w:cs="Arial"/>
          <w:b/>
          <w:sz w:val="20"/>
          <w:szCs w:val="20"/>
          <w:lang w:eastAsia="en-IN"/>
        </w:rPr>
        <w:t>Table 2.</w:t>
      </w:r>
      <w:r w:rsidR="00CA32BD" w:rsidRPr="00D77559">
        <w:rPr>
          <w:rFonts w:ascii="Arial" w:eastAsia="Times New Roman" w:hAnsi="Arial" w:cs="Arial"/>
          <w:b/>
          <w:sz w:val="20"/>
          <w:szCs w:val="20"/>
          <w:lang w:eastAsia="en-IN"/>
        </w:rPr>
        <w:t xml:space="preserve"> </w:t>
      </w:r>
      <w:r w:rsidR="00452E41" w:rsidRPr="00D77559">
        <w:rPr>
          <w:rFonts w:ascii="Arial" w:hAnsi="Arial" w:cs="Arial"/>
          <w:b/>
          <w:sz w:val="20"/>
          <w:szCs w:val="20"/>
        </w:rPr>
        <w:t>Comparative physicochemical evaluation of lubricated blend and finished tablets</w:t>
      </w:r>
    </w:p>
    <w:p w14:paraId="0A6EF18A" w14:textId="77777777" w:rsidR="00521298" w:rsidRPr="00D77559" w:rsidRDefault="00521298" w:rsidP="000E31A9">
      <w:pPr>
        <w:spacing w:after="0" w:line="240" w:lineRule="auto"/>
        <w:jc w:val="both"/>
        <w:rPr>
          <w:rFonts w:ascii="Arial" w:eastAsia="Times New Roman" w:hAnsi="Arial" w:cs="Arial"/>
          <w:b/>
          <w:sz w:val="20"/>
          <w:szCs w:val="20"/>
          <w:lang w:eastAsia="en-IN"/>
        </w:rPr>
      </w:pPr>
    </w:p>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418"/>
        <w:gridCol w:w="1843"/>
        <w:gridCol w:w="1275"/>
        <w:gridCol w:w="1642"/>
      </w:tblGrid>
      <w:tr w:rsidR="00CA32BD" w:rsidRPr="00D77559" w14:paraId="0FD0E807" w14:textId="680A9CDE" w:rsidTr="00D805D1">
        <w:trPr>
          <w:trHeight w:val="185"/>
          <w:tblHeader/>
        </w:trPr>
        <w:tc>
          <w:tcPr>
            <w:tcW w:w="2830" w:type="dxa"/>
            <w:shd w:val="pct20" w:color="auto" w:fill="auto"/>
            <w:vAlign w:val="center"/>
          </w:tcPr>
          <w:p w14:paraId="11E6DE87" w14:textId="77777777" w:rsidR="00CA32BD" w:rsidRPr="00D77559" w:rsidRDefault="00CA32BD" w:rsidP="00D805D1">
            <w:pPr>
              <w:pStyle w:val="NormalBody"/>
              <w:spacing w:after="0" w:line="240" w:lineRule="auto"/>
              <w:jc w:val="center"/>
              <w:rPr>
                <w:rFonts w:ascii="Arial" w:hAnsi="Arial" w:cs="Arial"/>
                <w:b/>
                <w:sz w:val="20"/>
              </w:rPr>
            </w:pPr>
            <w:r w:rsidRPr="00D77559">
              <w:rPr>
                <w:rFonts w:ascii="Arial" w:hAnsi="Arial" w:cs="Arial"/>
                <w:b/>
                <w:sz w:val="20"/>
              </w:rPr>
              <w:t>TEST</w:t>
            </w:r>
          </w:p>
        </w:tc>
        <w:tc>
          <w:tcPr>
            <w:tcW w:w="1418" w:type="dxa"/>
            <w:shd w:val="pct20" w:color="auto" w:fill="auto"/>
            <w:vAlign w:val="center"/>
          </w:tcPr>
          <w:p w14:paraId="60F39E8F" w14:textId="2CB70E96" w:rsidR="00CA32BD" w:rsidRPr="00D77559" w:rsidRDefault="00CA32BD" w:rsidP="00D805D1">
            <w:pPr>
              <w:spacing w:after="0" w:line="240" w:lineRule="auto"/>
              <w:jc w:val="center"/>
              <w:rPr>
                <w:rFonts w:ascii="Arial" w:hAnsi="Arial" w:cs="Arial"/>
                <w:b/>
                <w:bCs/>
                <w:color w:val="000000"/>
                <w:sz w:val="20"/>
                <w:szCs w:val="20"/>
              </w:rPr>
            </w:pPr>
            <w:r w:rsidRPr="00D77559">
              <w:rPr>
                <w:rFonts w:ascii="Arial" w:hAnsi="Arial" w:cs="Arial"/>
                <w:b/>
                <w:bCs/>
                <w:color w:val="000000"/>
                <w:sz w:val="20"/>
                <w:szCs w:val="20"/>
              </w:rPr>
              <w:t>MTH1</w:t>
            </w:r>
          </w:p>
          <w:p w14:paraId="7D16B2A8" w14:textId="77777777" w:rsidR="00CA32BD" w:rsidRPr="00D77559" w:rsidRDefault="00CA32BD" w:rsidP="00D805D1">
            <w:pPr>
              <w:spacing w:after="0" w:line="240" w:lineRule="auto"/>
              <w:jc w:val="center"/>
              <w:rPr>
                <w:rFonts w:ascii="Arial" w:hAnsi="Arial" w:cs="Arial"/>
                <w:b/>
                <w:bCs/>
                <w:color w:val="000000"/>
                <w:sz w:val="20"/>
                <w:szCs w:val="20"/>
              </w:rPr>
            </w:pPr>
            <w:r w:rsidRPr="00D77559">
              <w:rPr>
                <w:rFonts w:ascii="Arial" w:hAnsi="Arial" w:cs="Arial"/>
                <w:b/>
                <w:bCs/>
                <w:color w:val="000000"/>
                <w:sz w:val="20"/>
                <w:szCs w:val="20"/>
              </w:rPr>
              <w:t>(PVA 3 cp)</w:t>
            </w:r>
          </w:p>
        </w:tc>
        <w:tc>
          <w:tcPr>
            <w:tcW w:w="1843" w:type="dxa"/>
            <w:shd w:val="pct20" w:color="auto" w:fill="auto"/>
            <w:vAlign w:val="center"/>
          </w:tcPr>
          <w:p w14:paraId="6AD0C7A5" w14:textId="503D7734" w:rsidR="00CA32BD" w:rsidRPr="00D77559" w:rsidRDefault="00CA32BD" w:rsidP="00D805D1">
            <w:pPr>
              <w:spacing w:after="0" w:line="240" w:lineRule="auto"/>
              <w:jc w:val="center"/>
              <w:rPr>
                <w:rFonts w:ascii="Arial" w:hAnsi="Arial" w:cs="Arial"/>
                <w:b/>
                <w:bCs/>
                <w:color w:val="000000"/>
                <w:sz w:val="20"/>
                <w:szCs w:val="20"/>
              </w:rPr>
            </w:pPr>
            <w:r w:rsidRPr="00D77559">
              <w:rPr>
                <w:rFonts w:ascii="Arial" w:hAnsi="Arial" w:cs="Arial"/>
                <w:b/>
                <w:bCs/>
                <w:color w:val="000000"/>
                <w:sz w:val="20"/>
                <w:szCs w:val="20"/>
              </w:rPr>
              <w:t>MTH2</w:t>
            </w:r>
          </w:p>
          <w:p w14:paraId="66880571" w14:textId="77777777" w:rsidR="00CA32BD" w:rsidRPr="00D77559" w:rsidRDefault="00CA32BD" w:rsidP="00D805D1">
            <w:pPr>
              <w:spacing w:after="0" w:line="240" w:lineRule="auto"/>
              <w:jc w:val="center"/>
              <w:rPr>
                <w:rFonts w:ascii="Arial" w:hAnsi="Arial" w:cs="Arial"/>
                <w:b/>
                <w:bCs/>
                <w:color w:val="000000"/>
                <w:sz w:val="20"/>
                <w:szCs w:val="20"/>
              </w:rPr>
            </w:pPr>
            <w:r w:rsidRPr="00D77559">
              <w:rPr>
                <w:rFonts w:ascii="Arial" w:hAnsi="Arial" w:cs="Arial"/>
                <w:b/>
                <w:bCs/>
                <w:color w:val="000000"/>
                <w:sz w:val="20"/>
                <w:szCs w:val="20"/>
              </w:rPr>
              <w:t>(PVA 20 - 50 cp)</w:t>
            </w:r>
          </w:p>
        </w:tc>
        <w:tc>
          <w:tcPr>
            <w:tcW w:w="1275" w:type="dxa"/>
            <w:shd w:val="pct20" w:color="auto" w:fill="auto"/>
            <w:vAlign w:val="center"/>
          </w:tcPr>
          <w:p w14:paraId="0B45ADAD" w14:textId="4D398863" w:rsidR="00CA32BD" w:rsidRPr="00D77559" w:rsidRDefault="00CA32BD" w:rsidP="00D805D1">
            <w:pPr>
              <w:spacing w:after="0" w:line="240" w:lineRule="auto"/>
              <w:jc w:val="center"/>
              <w:rPr>
                <w:rFonts w:ascii="Arial" w:hAnsi="Arial" w:cs="Arial"/>
                <w:b/>
                <w:bCs/>
                <w:color w:val="000000"/>
                <w:sz w:val="20"/>
                <w:szCs w:val="20"/>
              </w:rPr>
            </w:pPr>
            <w:r w:rsidRPr="00D77559">
              <w:rPr>
                <w:rFonts w:ascii="Arial" w:hAnsi="Arial" w:cs="Arial"/>
                <w:b/>
                <w:bCs/>
                <w:color w:val="000000"/>
                <w:sz w:val="20"/>
                <w:szCs w:val="20"/>
              </w:rPr>
              <w:t>MTH3</w:t>
            </w:r>
          </w:p>
          <w:p w14:paraId="0B246F5D" w14:textId="77777777" w:rsidR="00CA32BD" w:rsidRPr="00D77559" w:rsidRDefault="00CA32BD" w:rsidP="00D805D1">
            <w:pPr>
              <w:spacing w:after="0" w:line="240" w:lineRule="auto"/>
              <w:ind w:right="-104" w:hanging="115"/>
              <w:jc w:val="center"/>
              <w:rPr>
                <w:rFonts w:ascii="Arial" w:hAnsi="Arial" w:cs="Arial"/>
                <w:b/>
                <w:bCs/>
                <w:color w:val="000000"/>
                <w:sz w:val="20"/>
                <w:szCs w:val="20"/>
              </w:rPr>
            </w:pPr>
            <w:r w:rsidRPr="00D77559">
              <w:rPr>
                <w:rFonts w:ascii="Arial" w:hAnsi="Arial" w:cs="Arial"/>
                <w:b/>
                <w:bCs/>
                <w:color w:val="000000"/>
                <w:sz w:val="20"/>
                <w:szCs w:val="20"/>
              </w:rPr>
              <w:t>(PVA 40 cp)</w:t>
            </w:r>
          </w:p>
        </w:tc>
        <w:tc>
          <w:tcPr>
            <w:tcW w:w="1642" w:type="dxa"/>
            <w:shd w:val="pct20" w:color="auto" w:fill="auto"/>
            <w:vAlign w:val="center"/>
          </w:tcPr>
          <w:p w14:paraId="5B42624D" w14:textId="77777777" w:rsidR="006C7E0A" w:rsidRPr="00D77559" w:rsidRDefault="006C7E0A" w:rsidP="00D805D1">
            <w:pPr>
              <w:spacing w:after="0" w:line="240" w:lineRule="auto"/>
              <w:jc w:val="center"/>
              <w:rPr>
                <w:rFonts w:ascii="Arial" w:hAnsi="Arial" w:cs="Arial"/>
                <w:b/>
                <w:bCs/>
                <w:color w:val="000000"/>
                <w:sz w:val="20"/>
                <w:szCs w:val="20"/>
              </w:rPr>
            </w:pPr>
            <w:r w:rsidRPr="00D77559">
              <w:rPr>
                <w:rFonts w:ascii="Arial" w:hAnsi="Arial" w:cs="Arial"/>
                <w:b/>
                <w:bCs/>
                <w:color w:val="000000"/>
                <w:sz w:val="20"/>
                <w:szCs w:val="20"/>
              </w:rPr>
              <w:t>MTH3</w:t>
            </w:r>
          </w:p>
          <w:p w14:paraId="10B64948" w14:textId="722A9989" w:rsidR="00D805D1" w:rsidRDefault="00D805D1" w:rsidP="00D805D1">
            <w:pPr>
              <w:spacing w:after="0" w:line="240" w:lineRule="auto"/>
              <w:jc w:val="center"/>
              <w:rPr>
                <w:rFonts w:ascii="Arial" w:hAnsi="Arial" w:cs="Arial"/>
                <w:b/>
                <w:bCs/>
                <w:color w:val="000000"/>
                <w:sz w:val="20"/>
                <w:szCs w:val="20"/>
              </w:rPr>
            </w:pPr>
            <w:r>
              <w:rPr>
                <w:rFonts w:ascii="Arial" w:hAnsi="Arial" w:cs="Arial"/>
                <w:b/>
                <w:bCs/>
                <w:color w:val="000000"/>
                <w:sz w:val="20"/>
                <w:szCs w:val="20"/>
              </w:rPr>
              <w:t>(PVA 40 cp) -</w:t>
            </w:r>
          </w:p>
          <w:p w14:paraId="7A30D426" w14:textId="3F2E44AD" w:rsidR="00CA32BD" w:rsidRPr="00D77559" w:rsidRDefault="006C7E0A" w:rsidP="00D805D1">
            <w:pPr>
              <w:spacing w:after="0" w:line="240" w:lineRule="auto"/>
              <w:jc w:val="center"/>
              <w:rPr>
                <w:rFonts w:ascii="Arial" w:hAnsi="Arial" w:cs="Arial"/>
                <w:b/>
                <w:bCs/>
                <w:color w:val="000000"/>
                <w:sz w:val="20"/>
                <w:szCs w:val="20"/>
              </w:rPr>
            </w:pPr>
            <w:r w:rsidRPr="00D77559">
              <w:rPr>
                <w:rFonts w:ascii="Arial" w:hAnsi="Arial" w:cs="Arial"/>
                <w:b/>
                <w:bCs/>
                <w:color w:val="000000"/>
                <w:sz w:val="20"/>
                <w:szCs w:val="20"/>
              </w:rPr>
              <w:t>low spray rate</w:t>
            </w:r>
          </w:p>
        </w:tc>
      </w:tr>
      <w:tr w:rsidR="00CA32BD" w:rsidRPr="00D77559" w14:paraId="1F4D7CD0" w14:textId="3E47BE66" w:rsidTr="00D805D1">
        <w:trPr>
          <w:trHeight w:val="182"/>
        </w:trPr>
        <w:tc>
          <w:tcPr>
            <w:tcW w:w="2830" w:type="dxa"/>
            <w:vAlign w:val="center"/>
          </w:tcPr>
          <w:p w14:paraId="5C621295" w14:textId="77777777" w:rsidR="00CA32BD" w:rsidRPr="00D77559" w:rsidRDefault="00CA32BD" w:rsidP="00290429">
            <w:pPr>
              <w:pStyle w:val="NormalBody"/>
              <w:spacing w:after="0" w:line="240" w:lineRule="auto"/>
              <w:rPr>
                <w:rFonts w:ascii="Arial" w:hAnsi="Arial" w:cs="Arial"/>
                <w:sz w:val="20"/>
              </w:rPr>
            </w:pPr>
            <w:r w:rsidRPr="00D77559">
              <w:rPr>
                <w:rFonts w:ascii="Arial" w:hAnsi="Arial" w:cs="Arial"/>
                <w:sz w:val="20"/>
              </w:rPr>
              <w:t>Bulk Density (g/mL)</w:t>
            </w:r>
          </w:p>
        </w:tc>
        <w:tc>
          <w:tcPr>
            <w:tcW w:w="1418" w:type="dxa"/>
            <w:vAlign w:val="center"/>
          </w:tcPr>
          <w:p w14:paraId="396FC741" w14:textId="0C9533F2" w:rsidR="00CA32BD" w:rsidRPr="00D77559" w:rsidRDefault="00CA32BD" w:rsidP="00D805D1">
            <w:pPr>
              <w:spacing w:after="0" w:line="240" w:lineRule="auto"/>
              <w:jc w:val="center"/>
              <w:rPr>
                <w:rFonts w:ascii="Arial" w:hAnsi="Arial" w:cs="Arial"/>
                <w:b/>
                <w:color w:val="000000" w:themeColor="text1"/>
                <w:sz w:val="20"/>
                <w:szCs w:val="20"/>
              </w:rPr>
            </w:pPr>
            <w:r w:rsidRPr="00D77559">
              <w:rPr>
                <w:rFonts w:ascii="Arial" w:hAnsi="Arial" w:cs="Arial"/>
                <w:color w:val="000000" w:themeColor="text1"/>
                <w:sz w:val="20"/>
                <w:szCs w:val="20"/>
              </w:rPr>
              <w:t>0.71</w:t>
            </w:r>
          </w:p>
        </w:tc>
        <w:tc>
          <w:tcPr>
            <w:tcW w:w="1843" w:type="dxa"/>
            <w:vAlign w:val="center"/>
          </w:tcPr>
          <w:p w14:paraId="103BDC63" w14:textId="2D8765A6" w:rsidR="00CA32BD" w:rsidRPr="00D77559" w:rsidRDefault="00CA32BD"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0.63</w:t>
            </w:r>
          </w:p>
        </w:tc>
        <w:tc>
          <w:tcPr>
            <w:tcW w:w="1275" w:type="dxa"/>
            <w:vAlign w:val="center"/>
          </w:tcPr>
          <w:p w14:paraId="63827849" w14:textId="3E534D06" w:rsidR="00CA32BD" w:rsidRPr="00D77559" w:rsidRDefault="00CA32BD"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0.40</w:t>
            </w:r>
          </w:p>
        </w:tc>
        <w:tc>
          <w:tcPr>
            <w:tcW w:w="1642" w:type="dxa"/>
            <w:vAlign w:val="center"/>
          </w:tcPr>
          <w:p w14:paraId="61602DFD" w14:textId="3A0EC5B4" w:rsidR="00CA32BD" w:rsidRPr="00D77559" w:rsidRDefault="00F650BC"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0.50</w:t>
            </w:r>
          </w:p>
        </w:tc>
      </w:tr>
      <w:tr w:rsidR="00CA32BD" w:rsidRPr="00D77559" w14:paraId="1452A9EF" w14:textId="41D12212" w:rsidTr="00D805D1">
        <w:trPr>
          <w:trHeight w:val="167"/>
        </w:trPr>
        <w:tc>
          <w:tcPr>
            <w:tcW w:w="2830" w:type="dxa"/>
            <w:vAlign w:val="center"/>
          </w:tcPr>
          <w:p w14:paraId="7AB9E770" w14:textId="5FE412DD" w:rsidR="00CA32BD" w:rsidRPr="00D77559" w:rsidRDefault="00CA32BD" w:rsidP="00D805D1">
            <w:pPr>
              <w:pStyle w:val="NormalBody"/>
              <w:spacing w:after="0" w:line="240" w:lineRule="auto"/>
              <w:rPr>
                <w:rFonts w:ascii="Arial" w:hAnsi="Arial" w:cs="Arial"/>
                <w:sz w:val="20"/>
              </w:rPr>
            </w:pPr>
            <w:r w:rsidRPr="00D77559">
              <w:rPr>
                <w:rFonts w:ascii="Arial" w:hAnsi="Arial" w:cs="Arial"/>
                <w:sz w:val="20"/>
              </w:rPr>
              <w:t>Tapped Density</w:t>
            </w:r>
            <w:r w:rsidR="00D805D1">
              <w:rPr>
                <w:rFonts w:ascii="Arial" w:hAnsi="Arial" w:cs="Arial"/>
                <w:sz w:val="20"/>
              </w:rPr>
              <w:t xml:space="preserve"> </w:t>
            </w:r>
            <w:r w:rsidRPr="00D77559">
              <w:rPr>
                <w:rFonts w:ascii="Arial" w:hAnsi="Arial" w:cs="Arial"/>
                <w:sz w:val="20"/>
              </w:rPr>
              <w:t>(g/mL)</w:t>
            </w:r>
          </w:p>
        </w:tc>
        <w:tc>
          <w:tcPr>
            <w:tcW w:w="1418" w:type="dxa"/>
            <w:vAlign w:val="center"/>
          </w:tcPr>
          <w:p w14:paraId="48F0B683" w14:textId="4E079573" w:rsidR="00CA32BD" w:rsidRPr="00D77559" w:rsidRDefault="00CA32BD" w:rsidP="00D805D1">
            <w:pPr>
              <w:spacing w:after="0" w:line="240" w:lineRule="auto"/>
              <w:jc w:val="center"/>
              <w:rPr>
                <w:rFonts w:ascii="Arial" w:hAnsi="Arial" w:cs="Arial"/>
                <w:color w:val="000000" w:themeColor="text1"/>
                <w:sz w:val="20"/>
                <w:szCs w:val="20"/>
              </w:rPr>
            </w:pPr>
            <w:r w:rsidRPr="00D77559">
              <w:rPr>
                <w:rFonts w:ascii="Arial" w:hAnsi="Arial" w:cs="Arial"/>
                <w:color w:val="000000" w:themeColor="text1"/>
                <w:sz w:val="20"/>
                <w:szCs w:val="20"/>
              </w:rPr>
              <w:t>0.76</w:t>
            </w:r>
          </w:p>
        </w:tc>
        <w:tc>
          <w:tcPr>
            <w:tcW w:w="1843" w:type="dxa"/>
            <w:vAlign w:val="center"/>
          </w:tcPr>
          <w:p w14:paraId="55969F1F" w14:textId="1D4D0A02" w:rsidR="00CA32BD" w:rsidRPr="00D77559" w:rsidRDefault="00CA32BD"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0.68</w:t>
            </w:r>
          </w:p>
        </w:tc>
        <w:tc>
          <w:tcPr>
            <w:tcW w:w="1275" w:type="dxa"/>
            <w:vAlign w:val="center"/>
          </w:tcPr>
          <w:p w14:paraId="0E6358CF" w14:textId="1E762FAB" w:rsidR="00CA32BD" w:rsidRPr="00D77559" w:rsidRDefault="00CA32BD"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0.52</w:t>
            </w:r>
          </w:p>
        </w:tc>
        <w:tc>
          <w:tcPr>
            <w:tcW w:w="1642" w:type="dxa"/>
            <w:vAlign w:val="center"/>
          </w:tcPr>
          <w:p w14:paraId="0F14DA3E" w14:textId="2B30D747" w:rsidR="00CA32BD" w:rsidRPr="00D77559" w:rsidRDefault="00F650BC"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0.60</w:t>
            </w:r>
          </w:p>
        </w:tc>
      </w:tr>
      <w:tr w:rsidR="00CA32BD" w:rsidRPr="00D77559" w14:paraId="38084B3D" w14:textId="2E053DDD" w:rsidTr="00D805D1">
        <w:trPr>
          <w:trHeight w:val="170"/>
        </w:trPr>
        <w:tc>
          <w:tcPr>
            <w:tcW w:w="2830" w:type="dxa"/>
            <w:vAlign w:val="center"/>
          </w:tcPr>
          <w:p w14:paraId="4482C38C" w14:textId="3F60AD62" w:rsidR="00CA32BD" w:rsidRPr="00D77559" w:rsidRDefault="00CA32BD" w:rsidP="00D805D1">
            <w:pPr>
              <w:pStyle w:val="NormalBody"/>
              <w:spacing w:after="0" w:line="240" w:lineRule="auto"/>
              <w:rPr>
                <w:rFonts w:ascii="Arial" w:hAnsi="Arial" w:cs="Arial"/>
                <w:sz w:val="20"/>
              </w:rPr>
            </w:pPr>
            <w:r w:rsidRPr="00D77559">
              <w:rPr>
                <w:rFonts w:ascii="Arial" w:hAnsi="Arial" w:cs="Arial"/>
                <w:sz w:val="20"/>
              </w:rPr>
              <w:t>LOD (%)</w:t>
            </w:r>
            <w:r w:rsidR="00D805D1">
              <w:rPr>
                <w:rFonts w:ascii="Arial" w:hAnsi="Arial" w:cs="Arial"/>
                <w:sz w:val="20"/>
              </w:rPr>
              <w:t xml:space="preserve"> </w:t>
            </w:r>
            <w:r w:rsidRPr="00D77559">
              <w:rPr>
                <w:rFonts w:ascii="Arial" w:hAnsi="Arial" w:cs="Arial"/>
                <w:sz w:val="20"/>
              </w:rPr>
              <w:t xml:space="preserve">(By </w:t>
            </w:r>
            <w:proofErr w:type="spellStart"/>
            <w:r w:rsidRPr="00D77559">
              <w:rPr>
                <w:rFonts w:ascii="Arial" w:hAnsi="Arial" w:cs="Arial"/>
                <w:sz w:val="20"/>
              </w:rPr>
              <w:t>O’Haus</w:t>
            </w:r>
            <w:proofErr w:type="spellEnd"/>
            <w:r w:rsidRPr="00D77559">
              <w:rPr>
                <w:rFonts w:ascii="Arial" w:hAnsi="Arial" w:cs="Arial"/>
                <w:sz w:val="20"/>
              </w:rPr>
              <w:t xml:space="preserve"> at 105°C)</w:t>
            </w:r>
          </w:p>
        </w:tc>
        <w:tc>
          <w:tcPr>
            <w:tcW w:w="1418" w:type="dxa"/>
            <w:vAlign w:val="center"/>
          </w:tcPr>
          <w:p w14:paraId="6794A4BA" w14:textId="665FA288" w:rsidR="00CA32BD" w:rsidRPr="00D77559" w:rsidRDefault="00CA32BD" w:rsidP="00D805D1">
            <w:pPr>
              <w:spacing w:after="0" w:line="240" w:lineRule="auto"/>
              <w:jc w:val="center"/>
              <w:rPr>
                <w:rFonts w:ascii="Arial" w:hAnsi="Arial" w:cs="Arial"/>
                <w:color w:val="000000" w:themeColor="text1"/>
                <w:sz w:val="20"/>
                <w:szCs w:val="20"/>
              </w:rPr>
            </w:pPr>
            <w:r w:rsidRPr="00D77559">
              <w:rPr>
                <w:rFonts w:ascii="Arial" w:hAnsi="Arial" w:cs="Arial"/>
                <w:color w:val="000000" w:themeColor="text1"/>
                <w:sz w:val="20"/>
                <w:szCs w:val="20"/>
              </w:rPr>
              <w:t>0.66</w:t>
            </w:r>
          </w:p>
        </w:tc>
        <w:tc>
          <w:tcPr>
            <w:tcW w:w="1843" w:type="dxa"/>
            <w:vAlign w:val="center"/>
          </w:tcPr>
          <w:p w14:paraId="4C806FBA" w14:textId="2F85BAB5" w:rsidR="00CA32BD" w:rsidRPr="00D77559" w:rsidRDefault="00CA32BD"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0.71</w:t>
            </w:r>
          </w:p>
        </w:tc>
        <w:tc>
          <w:tcPr>
            <w:tcW w:w="1275" w:type="dxa"/>
            <w:vAlign w:val="center"/>
          </w:tcPr>
          <w:p w14:paraId="764B0B95" w14:textId="370F75A9" w:rsidR="00CA32BD" w:rsidRPr="00D77559" w:rsidRDefault="00CA32BD"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0.77</w:t>
            </w:r>
          </w:p>
        </w:tc>
        <w:tc>
          <w:tcPr>
            <w:tcW w:w="1642" w:type="dxa"/>
            <w:vAlign w:val="center"/>
          </w:tcPr>
          <w:p w14:paraId="1A2309C0" w14:textId="057ED363" w:rsidR="00CA32BD" w:rsidRPr="00D77559" w:rsidRDefault="00F650BC"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0.81</w:t>
            </w:r>
          </w:p>
        </w:tc>
      </w:tr>
      <w:tr w:rsidR="00CA32BD" w:rsidRPr="00D77559" w14:paraId="0E86242C" w14:textId="4D39C2A5" w:rsidTr="00D805D1">
        <w:trPr>
          <w:trHeight w:val="170"/>
        </w:trPr>
        <w:tc>
          <w:tcPr>
            <w:tcW w:w="2830" w:type="dxa"/>
            <w:vAlign w:val="center"/>
          </w:tcPr>
          <w:p w14:paraId="313B4398" w14:textId="77777777" w:rsidR="00CA32BD" w:rsidRPr="00D77559" w:rsidRDefault="00CA32BD" w:rsidP="00290429">
            <w:pPr>
              <w:spacing w:after="0" w:line="240" w:lineRule="auto"/>
              <w:rPr>
                <w:rFonts w:ascii="Arial" w:hAnsi="Arial" w:cs="Arial"/>
                <w:sz w:val="20"/>
                <w:szCs w:val="20"/>
              </w:rPr>
            </w:pPr>
            <w:r w:rsidRPr="00D77559">
              <w:rPr>
                <w:rFonts w:ascii="Arial" w:hAnsi="Arial" w:cs="Arial"/>
                <w:sz w:val="20"/>
                <w:szCs w:val="20"/>
              </w:rPr>
              <w:t>Carr’s Index</w:t>
            </w:r>
          </w:p>
        </w:tc>
        <w:tc>
          <w:tcPr>
            <w:tcW w:w="1418" w:type="dxa"/>
            <w:vAlign w:val="center"/>
          </w:tcPr>
          <w:p w14:paraId="499CEF4A" w14:textId="77777777" w:rsidR="00CA32BD" w:rsidRPr="00D77559" w:rsidRDefault="00CA32BD" w:rsidP="00D805D1">
            <w:pPr>
              <w:spacing w:after="0" w:line="240" w:lineRule="auto"/>
              <w:jc w:val="center"/>
              <w:rPr>
                <w:rFonts w:ascii="Arial" w:hAnsi="Arial" w:cs="Arial"/>
                <w:color w:val="000000" w:themeColor="text1"/>
                <w:sz w:val="20"/>
                <w:szCs w:val="20"/>
              </w:rPr>
            </w:pPr>
            <w:r w:rsidRPr="00D77559">
              <w:rPr>
                <w:rFonts w:ascii="Arial" w:hAnsi="Arial" w:cs="Arial"/>
                <w:color w:val="000000" w:themeColor="text1"/>
                <w:sz w:val="20"/>
                <w:szCs w:val="20"/>
              </w:rPr>
              <w:t>6.58</w:t>
            </w:r>
          </w:p>
        </w:tc>
        <w:tc>
          <w:tcPr>
            <w:tcW w:w="1843" w:type="dxa"/>
            <w:vAlign w:val="center"/>
          </w:tcPr>
          <w:p w14:paraId="2494D841" w14:textId="77777777" w:rsidR="00CA32BD" w:rsidRPr="00D77559" w:rsidRDefault="00CA32BD"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7.35</w:t>
            </w:r>
          </w:p>
        </w:tc>
        <w:tc>
          <w:tcPr>
            <w:tcW w:w="1275" w:type="dxa"/>
            <w:vAlign w:val="center"/>
          </w:tcPr>
          <w:p w14:paraId="7D38FE71" w14:textId="77777777" w:rsidR="00CA32BD" w:rsidRPr="00D77559" w:rsidRDefault="00CA32BD"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23.08</w:t>
            </w:r>
          </w:p>
        </w:tc>
        <w:tc>
          <w:tcPr>
            <w:tcW w:w="1642" w:type="dxa"/>
            <w:vAlign w:val="center"/>
          </w:tcPr>
          <w:p w14:paraId="3BED211D" w14:textId="12E945E6" w:rsidR="00CA32BD" w:rsidRPr="00D77559" w:rsidRDefault="00F650BC"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16.67</w:t>
            </w:r>
          </w:p>
        </w:tc>
      </w:tr>
      <w:tr w:rsidR="00CA32BD" w:rsidRPr="00D77559" w14:paraId="1D723EE2" w14:textId="131C21F7" w:rsidTr="00D805D1">
        <w:trPr>
          <w:trHeight w:val="170"/>
        </w:trPr>
        <w:tc>
          <w:tcPr>
            <w:tcW w:w="2830" w:type="dxa"/>
            <w:vAlign w:val="center"/>
          </w:tcPr>
          <w:p w14:paraId="4B266DD9" w14:textId="77777777" w:rsidR="00CA32BD" w:rsidRPr="00D77559" w:rsidRDefault="00CA32BD" w:rsidP="00290429">
            <w:pPr>
              <w:spacing w:after="0" w:line="240" w:lineRule="auto"/>
              <w:rPr>
                <w:rFonts w:ascii="Arial" w:hAnsi="Arial" w:cs="Arial"/>
                <w:sz w:val="20"/>
                <w:szCs w:val="20"/>
              </w:rPr>
            </w:pPr>
            <w:r w:rsidRPr="00D77559">
              <w:rPr>
                <w:rFonts w:ascii="Arial" w:hAnsi="Arial" w:cs="Arial"/>
                <w:sz w:val="20"/>
                <w:szCs w:val="20"/>
              </w:rPr>
              <w:t>Hausner’s Ratio</w:t>
            </w:r>
          </w:p>
        </w:tc>
        <w:tc>
          <w:tcPr>
            <w:tcW w:w="1418" w:type="dxa"/>
            <w:vAlign w:val="center"/>
          </w:tcPr>
          <w:p w14:paraId="1C50EAB6" w14:textId="125B11E0" w:rsidR="00CA32BD" w:rsidRPr="00D77559" w:rsidRDefault="00871175" w:rsidP="00D805D1">
            <w:pPr>
              <w:spacing w:after="0" w:line="240" w:lineRule="auto"/>
              <w:jc w:val="center"/>
              <w:rPr>
                <w:rFonts w:ascii="Arial" w:hAnsi="Arial" w:cs="Arial"/>
                <w:color w:val="000000" w:themeColor="text1"/>
                <w:sz w:val="20"/>
                <w:szCs w:val="20"/>
              </w:rPr>
            </w:pPr>
            <w:r w:rsidRPr="00D77559">
              <w:rPr>
                <w:rFonts w:ascii="Arial" w:hAnsi="Arial" w:cs="Arial"/>
                <w:color w:val="000000" w:themeColor="text1"/>
                <w:sz w:val="20"/>
                <w:szCs w:val="20"/>
              </w:rPr>
              <w:t>1.07</w:t>
            </w:r>
          </w:p>
        </w:tc>
        <w:tc>
          <w:tcPr>
            <w:tcW w:w="1843" w:type="dxa"/>
            <w:vAlign w:val="center"/>
          </w:tcPr>
          <w:p w14:paraId="67490987" w14:textId="5BF753C3" w:rsidR="00CA32BD" w:rsidRPr="00D77559" w:rsidRDefault="00871175"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1.08</w:t>
            </w:r>
          </w:p>
        </w:tc>
        <w:tc>
          <w:tcPr>
            <w:tcW w:w="1275" w:type="dxa"/>
            <w:vAlign w:val="center"/>
          </w:tcPr>
          <w:p w14:paraId="77FF6FD5" w14:textId="1D09D9EC" w:rsidR="00CA32BD" w:rsidRPr="00D77559" w:rsidRDefault="00871175"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1.30</w:t>
            </w:r>
          </w:p>
        </w:tc>
        <w:tc>
          <w:tcPr>
            <w:tcW w:w="1642" w:type="dxa"/>
            <w:vAlign w:val="center"/>
          </w:tcPr>
          <w:p w14:paraId="394FBEB2" w14:textId="5A19CE31" w:rsidR="00CA32BD" w:rsidRPr="00D77559" w:rsidRDefault="00F650BC"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1.20</w:t>
            </w:r>
          </w:p>
        </w:tc>
      </w:tr>
      <w:tr w:rsidR="000E1DA7" w:rsidRPr="00D77559" w14:paraId="35D7A459" w14:textId="77777777" w:rsidTr="00D805D1">
        <w:trPr>
          <w:trHeight w:val="170"/>
        </w:trPr>
        <w:tc>
          <w:tcPr>
            <w:tcW w:w="2830" w:type="dxa"/>
            <w:vAlign w:val="center"/>
          </w:tcPr>
          <w:p w14:paraId="71DCFEC6" w14:textId="1472EDEE" w:rsidR="000E1DA7" w:rsidRPr="00D77559" w:rsidRDefault="000E1DA7" w:rsidP="00290429">
            <w:pPr>
              <w:spacing w:after="0" w:line="240" w:lineRule="auto"/>
              <w:rPr>
                <w:rFonts w:ascii="Arial" w:hAnsi="Arial" w:cs="Arial"/>
                <w:sz w:val="20"/>
                <w:szCs w:val="20"/>
              </w:rPr>
            </w:pPr>
            <w:r w:rsidRPr="00D77559">
              <w:rPr>
                <w:rFonts w:ascii="Arial" w:hAnsi="Arial" w:cs="Arial"/>
                <w:sz w:val="20"/>
                <w:szCs w:val="20"/>
              </w:rPr>
              <w:t>Weight variation (%)</w:t>
            </w:r>
          </w:p>
        </w:tc>
        <w:tc>
          <w:tcPr>
            <w:tcW w:w="1418" w:type="dxa"/>
            <w:vAlign w:val="center"/>
          </w:tcPr>
          <w:p w14:paraId="4626F3DB" w14:textId="0B9A6C34" w:rsidR="000E1DA7" w:rsidRPr="00D77559" w:rsidRDefault="000E1DA7" w:rsidP="00D805D1">
            <w:pPr>
              <w:spacing w:after="0" w:line="240" w:lineRule="auto"/>
              <w:jc w:val="center"/>
              <w:rPr>
                <w:rFonts w:ascii="Arial" w:hAnsi="Arial" w:cs="Arial"/>
                <w:sz w:val="20"/>
                <w:szCs w:val="20"/>
              </w:rPr>
            </w:pPr>
            <w:r w:rsidRPr="00D77559">
              <w:rPr>
                <w:rFonts w:ascii="Arial" w:hAnsi="Arial" w:cs="Arial"/>
                <w:sz w:val="20"/>
                <w:szCs w:val="20"/>
              </w:rPr>
              <w:t>1220 ± 2.0</w:t>
            </w:r>
          </w:p>
        </w:tc>
        <w:tc>
          <w:tcPr>
            <w:tcW w:w="1843" w:type="dxa"/>
            <w:vAlign w:val="center"/>
          </w:tcPr>
          <w:p w14:paraId="5F65F132" w14:textId="76C9167B"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1220 ± 1.5</w:t>
            </w:r>
          </w:p>
        </w:tc>
        <w:tc>
          <w:tcPr>
            <w:tcW w:w="1275" w:type="dxa"/>
            <w:vAlign w:val="center"/>
          </w:tcPr>
          <w:p w14:paraId="64E306CB" w14:textId="52DCF659"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1220 ± 1.0</w:t>
            </w:r>
          </w:p>
        </w:tc>
        <w:tc>
          <w:tcPr>
            <w:tcW w:w="1642" w:type="dxa"/>
            <w:vAlign w:val="center"/>
          </w:tcPr>
          <w:p w14:paraId="74888EB5" w14:textId="5CA35C63" w:rsidR="000E1DA7" w:rsidRPr="00D77559" w:rsidRDefault="000E1DA7" w:rsidP="00D805D1">
            <w:pPr>
              <w:pStyle w:val="NormalBody"/>
              <w:spacing w:after="0" w:line="240" w:lineRule="auto"/>
              <w:jc w:val="center"/>
              <w:rPr>
                <w:rFonts w:ascii="Arial" w:hAnsi="Arial" w:cs="Arial"/>
                <w:color w:val="FF0000"/>
                <w:sz w:val="20"/>
              </w:rPr>
            </w:pPr>
            <w:r w:rsidRPr="00D77559">
              <w:rPr>
                <w:rFonts w:ascii="Arial" w:hAnsi="Arial" w:cs="Arial"/>
                <w:sz w:val="20"/>
              </w:rPr>
              <w:t>1220 ± 1.2</w:t>
            </w:r>
          </w:p>
        </w:tc>
      </w:tr>
      <w:tr w:rsidR="000E1DA7" w:rsidRPr="00D77559" w14:paraId="17438E90" w14:textId="77777777" w:rsidTr="00D805D1">
        <w:trPr>
          <w:trHeight w:val="170"/>
        </w:trPr>
        <w:tc>
          <w:tcPr>
            <w:tcW w:w="2830" w:type="dxa"/>
            <w:vAlign w:val="center"/>
          </w:tcPr>
          <w:p w14:paraId="09B2000C" w14:textId="135C8BE4" w:rsidR="000E1DA7" w:rsidRPr="00D77559" w:rsidRDefault="000E1DA7" w:rsidP="00290429">
            <w:pPr>
              <w:spacing w:after="0" w:line="240" w:lineRule="auto"/>
              <w:rPr>
                <w:rFonts w:ascii="Arial" w:hAnsi="Arial" w:cs="Arial"/>
                <w:sz w:val="20"/>
                <w:szCs w:val="20"/>
              </w:rPr>
            </w:pPr>
            <w:r w:rsidRPr="00D77559">
              <w:rPr>
                <w:rFonts w:ascii="Arial" w:hAnsi="Arial" w:cs="Arial"/>
                <w:sz w:val="20"/>
                <w:szCs w:val="20"/>
              </w:rPr>
              <w:t>Thickness (mm)</w:t>
            </w:r>
          </w:p>
        </w:tc>
        <w:tc>
          <w:tcPr>
            <w:tcW w:w="1418" w:type="dxa"/>
            <w:vAlign w:val="center"/>
          </w:tcPr>
          <w:p w14:paraId="0CB893C5" w14:textId="06BA7CD7" w:rsidR="000E1DA7" w:rsidRPr="00D77559" w:rsidRDefault="000E1DA7" w:rsidP="00D805D1">
            <w:pPr>
              <w:spacing w:after="0" w:line="240" w:lineRule="auto"/>
              <w:jc w:val="center"/>
              <w:rPr>
                <w:rFonts w:ascii="Arial" w:hAnsi="Arial" w:cs="Arial"/>
                <w:sz w:val="20"/>
                <w:szCs w:val="20"/>
              </w:rPr>
            </w:pPr>
            <w:r w:rsidRPr="00D77559">
              <w:rPr>
                <w:rFonts w:ascii="Arial" w:hAnsi="Arial" w:cs="Arial"/>
                <w:sz w:val="20"/>
                <w:szCs w:val="20"/>
              </w:rPr>
              <w:t>7.31 – 7.38</w:t>
            </w:r>
          </w:p>
        </w:tc>
        <w:tc>
          <w:tcPr>
            <w:tcW w:w="1843" w:type="dxa"/>
            <w:vAlign w:val="center"/>
          </w:tcPr>
          <w:p w14:paraId="2009A404" w14:textId="3B53EEAB"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7.24 – 7.32</w:t>
            </w:r>
          </w:p>
        </w:tc>
        <w:tc>
          <w:tcPr>
            <w:tcW w:w="1275" w:type="dxa"/>
            <w:vAlign w:val="center"/>
          </w:tcPr>
          <w:p w14:paraId="2CE5F0D1" w14:textId="1DF7E730"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7.16 – 7.24</w:t>
            </w:r>
          </w:p>
        </w:tc>
        <w:tc>
          <w:tcPr>
            <w:tcW w:w="1642" w:type="dxa"/>
            <w:vAlign w:val="center"/>
          </w:tcPr>
          <w:p w14:paraId="0C5440B8" w14:textId="7BF7ADBC" w:rsidR="000E1DA7" w:rsidRPr="00D77559" w:rsidRDefault="000E1DA7" w:rsidP="00D805D1">
            <w:pPr>
              <w:pStyle w:val="NormalBody"/>
              <w:spacing w:after="0" w:line="240" w:lineRule="auto"/>
              <w:jc w:val="center"/>
              <w:rPr>
                <w:rFonts w:ascii="Arial" w:hAnsi="Arial" w:cs="Arial"/>
                <w:color w:val="FF0000"/>
                <w:sz w:val="20"/>
              </w:rPr>
            </w:pPr>
            <w:r w:rsidRPr="00D77559">
              <w:rPr>
                <w:rFonts w:ascii="Arial" w:hAnsi="Arial" w:cs="Arial"/>
                <w:sz w:val="20"/>
              </w:rPr>
              <w:t>7.12 – 7.20</w:t>
            </w:r>
          </w:p>
        </w:tc>
      </w:tr>
      <w:tr w:rsidR="000E1DA7" w:rsidRPr="00D77559" w14:paraId="1C648CF3" w14:textId="77777777" w:rsidTr="00D805D1">
        <w:trPr>
          <w:trHeight w:val="170"/>
        </w:trPr>
        <w:tc>
          <w:tcPr>
            <w:tcW w:w="2830" w:type="dxa"/>
            <w:vAlign w:val="center"/>
          </w:tcPr>
          <w:p w14:paraId="37CEC8F0" w14:textId="19977718" w:rsidR="000E1DA7" w:rsidRPr="00D77559" w:rsidRDefault="000E1DA7" w:rsidP="00290429">
            <w:pPr>
              <w:spacing w:after="0" w:line="240" w:lineRule="auto"/>
              <w:rPr>
                <w:rFonts w:ascii="Arial" w:hAnsi="Arial" w:cs="Arial"/>
                <w:sz w:val="20"/>
                <w:szCs w:val="20"/>
              </w:rPr>
            </w:pPr>
            <w:r w:rsidRPr="00D77559">
              <w:rPr>
                <w:rFonts w:ascii="Arial" w:hAnsi="Arial" w:cs="Arial"/>
                <w:sz w:val="20"/>
                <w:szCs w:val="20"/>
              </w:rPr>
              <w:t>Hardness (</w:t>
            </w:r>
            <w:proofErr w:type="spellStart"/>
            <w:r w:rsidRPr="00D77559">
              <w:rPr>
                <w:rFonts w:ascii="Arial" w:hAnsi="Arial" w:cs="Arial"/>
                <w:sz w:val="20"/>
                <w:szCs w:val="20"/>
              </w:rPr>
              <w:t>kP</w:t>
            </w:r>
            <w:proofErr w:type="spellEnd"/>
            <w:r w:rsidRPr="00D77559">
              <w:rPr>
                <w:rFonts w:ascii="Arial" w:hAnsi="Arial" w:cs="Arial"/>
                <w:sz w:val="20"/>
                <w:szCs w:val="20"/>
              </w:rPr>
              <w:t>)</w:t>
            </w:r>
          </w:p>
        </w:tc>
        <w:tc>
          <w:tcPr>
            <w:tcW w:w="1418" w:type="dxa"/>
            <w:vAlign w:val="center"/>
          </w:tcPr>
          <w:p w14:paraId="12FF7A27" w14:textId="30FE21FA" w:rsidR="000E1DA7" w:rsidRPr="00D77559" w:rsidRDefault="000E1DA7" w:rsidP="00D805D1">
            <w:pPr>
              <w:spacing w:after="0" w:line="240" w:lineRule="auto"/>
              <w:jc w:val="center"/>
              <w:rPr>
                <w:rFonts w:ascii="Arial" w:hAnsi="Arial" w:cs="Arial"/>
                <w:sz w:val="20"/>
                <w:szCs w:val="20"/>
              </w:rPr>
            </w:pPr>
            <w:r w:rsidRPr="00D77559">
              <w:rPr>
                <w:rFonts w:ascii="Arial" w:hAnsi="Arial" w:cs="Arial"/>
                <w:sz w:val="20"/>
                <w:szCs w:val="20"/>
              </w:rPr>
              <w:t>10 ± 2</w:t>
            </w:r>
          </w:p>
        </w:tc>
        <w:tc>
          <w:tcPr>
            <w:tcW w:w="1843" w:type="dxa"/>
            <w:vAlign w:val="center"/>
          </w:tcPr>
          <w:p w14:paraId="6DFDF146" w14:textId="2BA711A7"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10 ± 2</w:t>
            </w:r>
          </w:p>
        </w:tc>
        <w:tc>
          <w:tcPr>
            <w:tcW w:w="1275" w:type="dxa"/>
            <w:vAlign w:val="center"/>
          </w:tcPr>
          <w:p w14:paraId="421DF2BB" w14:textId="435D0318"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10 ± 2</w:t>
            </w:r>
          </w:p>
        </w:tc>
        <w:tc>
          <w:tcPr>
            <w:tcW w:w="1642" w:type="dxa"/>
            <w:vAlign w:val="center"/>
          </w:tcPr>
          <w:p w14:paraId="11F5C3C8" w14:textId="608F4317" w:rsidR="000E1DA7" w:rsidRPr="00D77559" w:rsidRDefault="000E1DA7" w:rsidP="00D805D1">
            <w:pPr>
              <w:pStyle w:val="NormalBody"/>
              <w:spacing w:after="0" w:line="240" w:lineRule="auto"/>
              <w:jc w:val="center"/>
              <w:rPr>
                <w:rFonts w:ascii="Arial" w:hAnsi="Arial" w:cs="Arial"/>
                <w:color w:val="FF0000"/>
                <w:sz w:val="20"/>
              </w:rPr>
            </w:pPr>
            <w:r w:rsidRPr="00D77559">
              <w:rPr>
                <w:rFonts w:ascii="Arial" w:hAnsi="Arial" w:cs="Arial"/>
                <w:sz w:val="20"/>
              </w:rPr>
              <w:t>10 ± 2</w:t>
            </w:r>
          </w:p>
        </w:tc>
      </w:tr>
      <w:tr w:rsidR="000E1DA7" w:rsidRPr="00D77559" w14:paraId="70F190A3" w14:textId="77777777" w:rsidTr="00D805D1">
        <w:trPr>
          <w:trHeight w:val="170"/>
        </w:trPr>
        <w:tc>
          <w:tcPr>
            <w:tcW w:w="2830" w:type="dxa"/>
            <w:vAlign w:val="center"/>
          </w:tcPr>
          <w:p w14:paraId="6F26FB8D" w14:textId="0F22E5A7" w:rsidR="000E1DA7" w:rsidRPr="00D77559" w:rsidRDefault="000E1DA7" w:rsidP="00290429">
            <w:pPr>
              <w:spacing w:after="0" w:line="240" w:lineRule="auto"/>
              <w:rPr>
                <w:rFonts w:ascii="Arial" w:hAnsi="Arial" w:cs="Arial"/>
                <w:sz w:val="20"/>
                <w:szCs w:val="20"/>
              </w:rPr>
            </w:pPr>
            <w:r w:rsidRPr="00D77559">
              <w:rPr>
                <w:rFonts w:ascii="Arial" w:hAnsi="Arial" w:cs="Arial"/>
                <w:sz w:val="20"/>
                <w:szCs w:val="20"/>
              </w:rPr>
              <w:t>Friability (%)</w:t>
            </w:r>
          </w:p>
        </w:tc>
        <w:tc>
          <w:tcPr>
            <w:tcW w:w="1418" w:type="dxa"/>
            <w:vAlign w:val="center"/>
          </w:tcPr>
          <w:p w14:paraId="458D3CB8" w14:textId="78273906" w:rsidR="000E1DA7" w:rsidRPr="00D77559" w:rsidRDefault="000E1DA7" w:rsidP="00D805D1">
            <w:pPr>
              <w:spacing w:after="0" w:line="240" w:lineRule="auto"/>
              <w:jc w:val="center"/>
              <w:rPr>
                <w:rFonts w:ascii="Arial" w:hAnsi="Arial" w:cs="Arial"/>
                <w:sz w:val="20"/>
                <w:szCs w:val="20"/>
              </w:rPr>
            </w:pPr>
            <w:r w:rsidRPr="00D77559">
              <w:rPr>
                <w:rFonts w:ascii="Arial" w:hAnsi="Arial" w:cs="Arial"/>
                <w:sz w:val="20"/>
                <w:szCs w:val="20"/>
              </w:rPr>
              <w:t>0.31%</w:t>
            </w:r>
          </w:p>
        </w:tc>
        <w:tc>
          <w:tcPr>
            <w:tcW w:w="1843" w:type="dxa"/>
            <w:vAlign w:val="center"/>
          </w:tcPr>
          <w:p w14:paraId="565F3948" w14:textId="13C3868E"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0.20%</w:t>
            </w:r>
          </w:p>
        </w:tc>
        <w:tc>
          <w:tcPr>
            <w:tcW w:w="1275" w:type="dxa"/>
            <w:vAlign w:val="center"/>
          </w:tcPr>
          <w:p w14:paraId="1E256237" w14:textId="4F0DB44D"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0.22%</w:t>
            </w:r>
          </w:p>
        </w:tc>
        <w:tc>
          <w:tcPr>
            <w:tcW w:w="1642" w:type="dxa"/>
            <w:vAlign w:val="center"/>
          </w:tcPr>
          <w:p w14:paraId="1B359067" w14:textId="58D570EF" w:rsidR="000E1DA7" w:rsidRPr="00D77559" w:rsidRDefault="000E1DA7" w:rsidP="00D805D1">
            <w:pPr>
              <w:pStyle w:val="NormalBody"/>
              <w:spacing w:after="0" w:line="240" w:lineRule="auto"/>
              <w:jc w:val="center"/>
              <w:rPr>
                <w:rFonts w:ascii="Arial" w:hAnsi="Arial" w:cs="Arial"/>
                <w:color w:val="FF0000"/>
                <w:sz w:val="20"/>
              </w:rPr>
            </w:pPr>
            <w:r w:rsidRPr="00D77559">
              <w:rPr>
                <w:rFonts w:ascii="Arial" w:hAnsi="Arial" w:cs="Arial"/>
                <w:sz w:val="20"/>
              </w:rPr>
              <w:t>0.12%</w:t>
            </w:r>
          </w:p>
        </w:tc>
      </w:tr>
      <w:tr w:rsidR="000E1DA7" w:rsidRPr="00D77559" w14:paraId="61B91D43" w14:textId="77777777" w:rsidTr="00D805D1">
        <w:trPr>
          <w:trHeight w:val="170"/>
        </w:trPr>
        <w:tc>
          <w:tcPr>
            <w:tcW w:w="2830" w:type="dxa"/>
            <w:vAlign w:val="center"/>
          </w:tcPr>
          <w:p w14:paraId="03FB896D" w14:textId="02BD14F1" w:rsidR="000E1DA7" w:rsidRPr="00D77559" w:rsidRDefault="000E1DA7" w:rsidP="00290429">
            <w:pPr>
              <w:spacing w:after="0" w:line="240" w:lineRule="auto"/>
              <w:rPr>
                <w:rFonts w:ascii="Arial" w:hAnsi="Arial" w:cs="Arial"/>
                <w:sz w:val="20"/>
                <w:szCs w:val="20"/>
              </w:rPr>
            </w:pPr>
            <w:r w:rsidRPr="00D77559">
              <w:rPr>
                <w:rFonts w:ascii="Arial" w:hAnsi="Arial" w:cs="Arial"/>
                <w:sz w:val="20"/>
                <w:szCs w:val="20"/>
              </w:rPr>
              <w:t>Tablet Assay (%)</w:t>
            </w:r>
          </w:p>
        </w:tc>
        <w:tc>
          <w:tcPr>
            <w:tcW w:w="1418" w:type="dxa"/>
            <w:vAlign w:val="center"/>
          </w:tcPr>
          <w:p w14:paraId="63D3D531" w14:textId="4AF52A32" w:rsidR="000E1DA7" w:rsidRPr="00D77559" w:rsidRDefault="000E1DA7" w:rsidP="00D805D1">
            <w:pPr>
              <w:spacing w:after="0" w:line="240" w:lineRule="auto"/>
              <w:jc w:val="center"/>
              <w:rPr>
                <w:rFonts w:ascii="Arial" w:hAnsi="Arial" w:cs="Arial"/>
                <w:sz w:val="20"/>
                <w:szCs w:val="20"/>
              </w:rPr>
            </w:pPr>
            <w:r w:rsidRPr="00D77559">
              <w:rPr>
                <w:rFonts w:ascii="Arial" w:hAnsi="Arial" w:cs="Arial"/>
                <w:sz w:val="20"/>
                <w:szCs w:val="20"/>
              </w:rPr>
              <w:t>99.1%</w:t>
            </w:r>
          </w:p>
        </w:tc>
        <w:tc>
          <w:tcPr>
            <w:tcW w:w="1843" w:type="dxa"/>
            <w:vAlign w:val="center"/>
          </w:tcPr>
          <w:p w14:paraId="50A6944A" w14:textId="3A609F53"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99.5%</w:t>
            </w:r>
          </w:p>
        </w:tc>
        <w:tc>
          <w:tcPr>
            <w:tcW w:w="1275" w:type="dxa"/>
            <w:vAlign w:val="center"/>
          </w:tcPr>
          <w:p w14:paraId="2193AC68" w14:textId="27CD00DB"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100.6%</w:t>
            </w:r>
          </w:p>
        </w:tc>
        <w:tc>
          <w:tcPr>
            <w:tcW w:w="1642" w:type="dxa"/>
            <w:vAlign w:val="center"/>
          </w:tcPr>
          <w:p w14:paraId="3949DD3C" w14:textId="5DD9452A" w:rsidR="000E1DA7" w:rsidRPr="00D77559" w:rsidRDefault="000E1DA7" w:rsidP="00D805D1">
            <w:pPr>
              <w:pStyle w:val="NormalBody"/>
              <w:spacing w:after="0" w:line="240" w:lineRule="auto"/>
              <w:jc w:val="center"/>
              <w:rPr>
                <w:rFonts w:ascii="Arial" w:hAnsi="Arial" w:cs="Arial"/>
                <w:color w:val="FF0000"/>
                <w:sz w:val="20"/>
              </w:rPr>
            </w:pPr>
            <w:r w:rsidRPr="00D77559">
              <w:rPr>
                <w:rFonts w:ascii="Arial" w:hAnsi="Arial" w:cs="Arial"/>
                <w:sz w:val="20"/>
              </w:rPr>
              <w:t>99.8%</w:t>
            </w:r>
          </w:p>
        </w:tc>
      </w:tr>
      <w:tr w:rsidR="000E1DA7" w:rsidRPr="00D77559" w14:paraId="58F1ED34" w14:textId="77777777" w:rsidTr="00D805D1">
        <w:trPr>
          <w:trHeight w:val="170"/>
        </w:trPr>
        <w:tc>
          <w:tcPr>
            <w:tcW w:w="2830" w:type="dxa"/>
            <w:vAlign w:val="center"/>
          </w:tcPr>
          <w:p w14:paraId="1C8769D8" w14:textId="77777777" w:rsidR="00D805D1" w:rsidRDefault="000E1DA7" w:rsidP="00D805D1">
            <w:pPr>
              <w:spacing w:after="0" w:line="240" w:lineRule="auto"/>
              <w:rPr>
                <w:rFonts w:ascii="Arial" w:hAnsi="Arial" w:cs="Arial"/>
                <w:sz w:val="20"/>
                <w:szCs w:val="20"/>
              </w:rPr>
            </w:pPr>
            <w:r w:rsidRPr="00D77559">
              <w:rPr>
                <w:rFonts w:ascii="Arial" w:hAnsi="Arial" w:cs="Arial"/>
                <w:sz w:val="20"/>
                <w:szCs w:val="20"/>
              </w:rPr>
              <w:t xml:space="preserve">Floating lag time </w:t>
            </w:r>
          </w:p>
          <w:p w14:paraId="775DC1A9" w14:textId="25FBF574" w:rsidR="000E1DA7" w:rsidRPr="00D77559" w:rsidRDefault="00D805D1" w:rsidP="00D805D1">
            <w:pPr>
              <w:spacing w:after="0" w:line="240" w:lineRule="auto"/>
              <w:rPr>
                <w:rFonts w:ascii="Arial" w:hAnsi="Arial" w:cs="Arial"/>
                <w:sz w:val="20"/>
                <w:szCs w:val="20"/>
              </w:rPr>
            </w:pPr>
            <w:r>
              <w:rPr>
                <w:rFonts w:ascii="Arial" w:hAnsi="Arial" w:cs="Arial"/>
                <w:sz w:val="20"/>
                <w:szCs w:val="20"/>
              </w:rPr>
              <w:t>(</w:t>
            </w:r>
            <w:r w:rsidR="000E1DA7" w:rsidRPr="00D77559">
              <w:rPr>
                <w:rFonts w:ascii="Arial" w:hAnsi="Arial" w:cs="Arial"/>
                <w:sz w:val="20"/>
                <w:szCs w:val="20"/>
              </w:rPr>
              <w:t>seconds)</w:t>
            </w:r>
          </w:p>
        </w:tc>
        <w:tc>
          <w:tcPr>
            <w:tcW w:w="1418" w:type="dxa"/>
            <w:vAlign w:val="center"/>
          </w:tcPr>
          <w:p w14:paraId="62DB5F36" w14:textId="7EBB0C32" w:rsidR="000E1DA7" w:rsidRPr="00D77559" w:rsidRDefault="000E1DA7" w:rsidP="00D805D1">
            <w:pPr>
              <w:spacing w:after="0" w:line="240" w:lineRule="auto"/>
              <w:jc w:val="center"/>
              <w:rPr>
                <w:rFonts w:ascii="Arial" w:hAnsi="Arial" w:cs="Arial"/>
                <w:sz w:val="20"/>
                <w:szCs w:val="20"/>
              </w:rPr>
            </w:pPr>
            <w:r w:rsidRPr="00D77559">
              <w:rPr>
                <w:rFonts w:ascii="Arial" w:hAnsi="Arial" w:cs="Arial"/>
                <w:sz w:val="20"/>
                <w:szCs w:val="20"/>
              </w:rPr>
              <w:t>Not Floated</w:t>
            </w:r>
          </w:p>
        </w:tc>
        <w:tc>
          <w:tcPr>
            <w:tcW w:w="1843" w:type="dxa"/>
            <w:vAlign w:val="center"/>
          </w:tcPr>
          <w:p w14:paraId="14E08D56" w14:textId="09DC2FC2"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Not Floated</w:t>
            </w:r>
          </w:p>
        </w:tc>
        <w:tc>
          <w:tcPr>
            <w:tcW w:w="1275" w:type="dxa"/>
            <w:vAlign w:val="center"/>
          </w:tcPr>
          <w:p w14:paraId="059AD33E" w14:textId="2FDC7DFF"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30</w:t>
            </w:r>
          </w:p>
        </w:tc>
        <w:tc>
          <w:tcPr>
            <w:tcW w:w="1642" w:type="dxa"/>
            <w:vAlign w:val="center"/>
          </w:tcPr>
          <w:p w14:paraId="1FA6B171" w14:textId="608B25D3"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5400</w:t>
            </w:r>
          </w:p>
        </w:tc>
      </w:tr>
      <w:tr w:rsidR="000E1DA7" w:rsidRPr="00D77559" w14:paraId="611220A6" w14:textId="77777777" w:rsidTr="00D805D1">
        <w:trPr>
          <w:trHeight w:val="170"/>
        </w:trPr>
        <w:tc>
          <w:tcPr>
            <w:tcW w:w="2830" w:type="dxa"/>
            <w:vAlign w:val="center"/>
          </w:tcPr>
          <w:p w14:paraId="4271CA53" w14:textId="0F1ABCFD" w:rsidR="000E1DA7" w:rsidRPr="00D77559" w:rsidRDefault="00290429" w:rsidP="00290429">
            <w:pPr>
              <w:spacing w:after="0" w:line="240" w:lineRule="auto"/>
              <w:rPr>
                <w:rFonts w:ascii="Arial" w:hAnsi="Arial" w:cs="Arial"/>
                <w:sz w:val="20"/>
                <w:szCs w:val="20"/>
              </w:rPr>
            </w:pPr>
            <w:r w:rsidRPr="00D77559">
              <w:rPr>
                <w:rFonts w:ascii="Arial" w:hAnsi="Arial" w:cs="Arial"/>
                <w:sz w:val="20"/>
                <w:szCs w:val="20"/>
              </w:rPr>
              <w:t xml:space="preserve">Floating </w:t>
            </w:r>
            <w:r w:rsidR="000E1DA7" w:rsidRPr="00D77559">
              <w:rPr>
                <w:rFonts w:ascii="Arial" w:hAnsi="Arial" w:cs="Arial"/>
                <w:sz w:val="20"/>
                <w:szCs w:val="20"/>
              </w:rPr>
              <w:t>buoyancy time (hr.)</w:t>
            </w:r>
          </w:p>
        </w:tc>
        <w:tc>
          <w:tcPr>
            <w:tcW w:w="1418" w:type="dxa"/>
            <w:vAlign w:val="center"/>
          </w:tcPr>
          <w:p w14:paraId="226BBA88" w14:textId="68CFE049" w:rsidR="000E1DA7" w:rsidRPr="00D77559" w:rsidRDefault="000E1DA7" w:rsidP="00D805D1">
            <w:pPr>
              <w:spacing w:after="0" w:line="240" w:lineRule="auto"/>
              <w:jc w:val="center"/>
              <w:rPr>
                <w:rFonts w:ascii="Arial" w:hAnsi="Arial" w:cs="Arial"/>
                <w:sz w:val="20"/>
                <w:szCs w:val="20"/>
              </w:rPr>
            </w:pPr>
            <w:r w:rsidRPr="00D77559">
              <w:rPr>
                <w:rFonts w:ascii="Arial" w:hAnsi="Arial" w:cs="Arial"/>
                <w:sz w:val="20"/>
                <w:szCs w:val="20"/>
              </w:rPr>
              <w:t>Not Floated</w:t>
            </w:r>
          </w:p>
        </w:tc>
        <w:tc>
          <w:tcPr>
            <w:tcW w:w="1843" w:type="dxa"/>
            <w:vAlign w:val="center"/>
          </w:tcPr>
          <w:p w14:paraId="19DFA7DC" w14:textId="5F20D3C8"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Not Floated</w:t>
            </w:r>
          </w:p>
        </w:tc>
        <w:tc>
          <w:tcPr>
            <w:tcW w:w="1275" w:type="dxa"/>
            <w:vAlign w:val="center"/>
          </w:tcPr>
          <w:p w14:paraId="34375C18" w14:textId="30958D71"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16</w:t>
            </w:r>
          </w:p>
        </w:tc>
        <w:tc>
          <w:tcPr>
            <w:tcW w:w="1642" w:type="dxa"/>
            <w:vAlign w:val="center"/>
          </w:tcPr>
          <w:p w14:paraId="4AD4CEE6" w14:textId="3B14E57E"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10</w:t>
            </w:r>
          </w:p>
        </w:tc>
      </w:tr>
      <w:tr w:rsidR="000E1DA7" w:rsidRPr="00D77559" w14:paraId="4F1F16CC" w14:textId="77777777" w:rsidTr="00D805D1">
        <w:trPr>
          <w:trHeight w:val="170"/>
        </w:trPr>
        <w:tc>
          <w:tcPr>
            <w:tcW w:w="2830" w:type="dxa"/>
            <w:vAlign w:val="center"/>
          </w:tcPr>
          <w:p w14:paraId="6C5A1D72" w14:textId="4C17CA5C" w:rsidR="000E1DA7" w:rsidRPr="00D77559" w:rsidRDefault="000E1DA7" w:rsidP="00290429">
            <w:pPr>
              <w:spacing w:after="0" w:line="240" w:lineRule="auto"/>
              <w:rPr>
                <w:rFonts w:ascii="Arial" w:hAnsi="Arial" w:cs="Arial"/>
                <w:sz w:val="20"/>
                <w:szCs w:val="20"/>
              </w:rPr>
            </w:pPr>
            <w:r w:rsidRPr="00D77559">
              <w:rPr>
                <w:rFonts w:ascii="Arial" w:hAnsi="Arial" w:cs="Arial"/>
                <w:sz w:val="20"/>
                <w:szCs w:val="20"/>
              </w:rPr>
              <w:t>Swelling index (%)</w:t>
            </w:r>
          </w:p>
        </w:tc>
        <w:tc>
          <w:tcPr>
            <w:tcW w:w="1418" w:type="dxa"/>
            <w:vAlign w:val="center"/>
          </w:tcPr>
          <w:p w14:paraId="58287E79" w14:textId="64D9FB76" w:rsidR="000E1DA7" w:rsidRPr="00D77559" w:rsidRDefault="000E1DA7" w:rsidP="00D805D1">
            <w:pPr>
              <w:spacing w:after="0" w:line="240" w:lineRule="auto"/>
              <w:jc w:val="center"/>
              <w:rPr>
                <w:rFonts w:ascii="Arial" w:hAnsi="Arial" w:cs="Arial"/>
                <w:sz w:val="20"/>
                <w:szCs w:val="20"/>
              </w:rPr>
            </w:pPr>
            <w:r w:rsidRPr="00D77559">
              <w:rPr>
                <w:rFonts w:ascii="Arial" w:hAnsi="Arial" w:cs="Arial"/>
                <w:sz w:val="20"/>
                <w:szCs w:val="20"/>
              </w:rPr>
              <w:t>35</w:t>
            </w:r>
          </w:p>
        </w:tc>
        <w:tc>
          <w:tcPr>
            <w:tcW w:w="1843" w:type="dxa"/>
            <w:vAlign w:val="center"/>
          </w:tcPr>
          <w:p w14:paraId="2488BCB4" w14:textId="0C149D0D"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50</w:t>
            </w:r>
          </w:p>
        </w:tc>
        <w:tc>
          <w:tcPr>
            <w:tcW w:w="1275" w:type="dxa"/>
            <w:vAlign w:val="center"/>
          </w:tcPr>
          <w:p w14:paraId="2CBC0994" w14:textId="3BCDA35C"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68</w:t>
            </w:r>
          </w:p>
        </w:tc>
        <w:tc>
          <w:tcPr>
            <w:tcW w:w="1642" w:type="dxa"/>
            <w:vAlign w:val="center"/>
          </w:tcPr>
          <w:p w14:paraId="44C8317B" w14:textId="4E5099E6"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48</w:t>
            </w:r>
          </w:p>
        </w:tc>
      </w:tr>
      <w:tr w:rsidR="000E1DA7" w:rsidRPr="00D77559" w14:paraId="4FB0663F" w14:textId="77777777" w:rsidTr="00D805D1">
        <w:trPr>
          <w:trHeight w:val="170"/>
        </w:trPr>
        <w:tc>
          <w:tcPr>
            <w:tcW w:w="2830" w:type="dxa"/>
            <w:vAlign w:val="center"/>
          </w:tcPr>
          <w:p w14:paraId="51771B14" w14:textId="7AF8205D" w:rsidR="000E1DA7" w:rsidRPr="00D77559" w:rsidRDefault="000E1DA7" w:rsidP="00290429">
            <w:pPr>
              <w:spacing w:after="0" w:line="240" w:lineRule="auto"/>
              <w:rPr>
                <w:rFonts w:ascii="Arial" w:hAnsi="Arial" w:cs="Arial"/>
                <w:sz w:val="20"/>
                <w:szCs w:val="20"/>
              </w:rPr>
            </w:pPr>
            <w:r w:rsidRPr="00D77559">
              <w:rPr>
                <w:rFonts w:ascii="Arial" w:hAnsi="Arial" w:cs="Arial"/>
                <w:sz w:val="20"/>
                <w:szCs w:val="20"/>
              </w:rPr>
              <w:t>Erosion (%)</w:t>
            </w:r>
          </w:p>
        </w:tc>
        <w:tc>
          <w:tcPr>
            <w:tcW w:w="1418" w:type="dxa"/>
            <w:vAlign w:val="center"/>
          </w:tcPr>
          <w:p w14:paraId="6156B2F8" w14:textId="639901BF" w:rsidR="000E1DA7" w:rsidRPr="00D77559" w:rsidRDefault="000E1DA7" w:rsidP="00D805D1">
            <w:pPr>
              <w:spacing w:after="0" w:line="240" w:lineRule="auto"/>
              <w:jc w:val="center"/>
              <w:rPr>
                <w:rFonts w:ascii="Arial" w:hAnsi="Arial" w:cs="Arial"/>
                <w:sz w:val="20"/>
                <w:szCs w:val="20"/>
              </w:rPr>
            </w:pPr>
            <w:r w:rsidRPr="00D77559">
              <w:rPr>
                <w:rFonts w:ascii="Arial" w:hAnsi="Arial" w:cs="Arial"/>
                <w:sz w:val="20"/>
                <w:szCs w:val="20"/>
              </w:rPr>
              <w:t>50</w:t>
            </w:r>
          </w:p>
        </w:tc>
        <w:tc>
          <w:tcPr>
            <w:tcW w:w="1843" w:type="dxa"/>
            <w:vAlign w:val="center"/>
          </w:tcPr>
          <w:p w14:paraId="561CB2BA" w14:textId="751CF26F"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42</w:t>
            </w:r>
          </w:p>
        </w:tc>
        <w:tc>
          <w:tcPr>
            <w:tcW w:w="1275" w:type="dxa"/>
            <w:vAlign w:val="center"/>
          </w:tcPr>
          <w:p w14:paraId="26017339" w14:textId="48CDE484"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20</w:t>
            </w:r>
          </w:p>
        </w:tc>
        <w:tc>
          <w:tcPr>
            <w:tcW w:w="1642" w:type="dxa"/>
            <w:vAlign w:val="center"/>
          </w:tcPr>
          <w:p w14:paraId="20AE0988" w14:textId="2D32135F"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38</w:t>
            </w:r>
          </w:p>
        </w:tc>
      </w:tr>
    </w:tbl>
    <w:p w14:paraId="26E394F8" w14:textId="6315F7FC" w:rsidR="006C7E0A" w:rsidRPr="00D77559" w:rsidRDefault="006C7E0A" w:rsidP="000E31A9">
      <w:pPr>
        <w:spacing w:after="0" w:line="240" w:lineRule="auto"/>
        <w:jc w:val="both"/>
        <w:rPr>
          <w:rFonts w:ascii="Arial" w:eastAsia="Times New Roman" w:hAnsi="Arial" w:cs="Arial"/>
          <w:b/>
          <w:sz w:val="20"/>
          <w:szCs w:val="20"/>
          <w:lang w:eastAsia="en-IN"/>
        </w:rPr>
      </w:pPr>
    </w:p>
    <w:p w14:paraId="0B9471F1" w14:textId="2CC5F4B3" w:rsidR="00E8082A" w:rsidRPr="00D77559" w:rsidRDefault="00521298" w:rsidP="000E31A9">
      <w:pPr>
        <w:spacing w:after="0" w:line="240" w:lineRule="auto"/>
        <w:jc w:val="both"/>
        <w:rPr>
          <w:rFonts w:ascii="Arial" w:eastAsia="Times New Roman" w:hAnsi="Arial" w:cs="Arial"/>
          <w:b/>
          <w:sz w:val="20"/>
          <w:szCs w:val="20"/>
          <w:lang w:eastAsia="en-IN"/>
        </w:rPr>
      </w:pPr>
      <w:r w:rsidRPr="00D77559">
        <w:rPr>
          <w:rFonts w:ascii="Arial" w:eastAsia="Times New Roman" w:hAnsi="Arial" w:cs="Arial"/>
          <w:b/>
          <w:sz w:val="20"/>
          <w:szCs w:val="20"/>
          <w:lang w:eastAsia="en-IN"/>
        </w:rPr>
        <w:t xml:space="preserve">3.1 </w:t>
      </w:r>
      <w:r w:rsidR="00E8082A" w:rsidRPr="00D77559">
        <w:rPr>
          <w:rFonts w:ascii="Arial" w:eastAsia="Times New Roman" w:hAnsi="Arial" w:cs="Arial"/>
          <w:b/>
          <w:sz w:val="20"/>
          <w:szCs w:val="20"/>
          <w:lang w:eastAsia="en-IN"/>
        </w:rPr>
        <w:t>In vitro buoyancy results</w:t>
      </w:r>
    </w:p>
    <w:p w14:paraId="4149396A" w14:textId="77777777" w:rsidR="00521298" w:rsidRPr="00D77559" w:rsidRDefault="00521298" w:rsidP="000E31A9">
      <w:pPr>
        <w:spacing w:after="0" w:line="240" w:lineRule="auto"/>
        <w:jc w:val="both"/>
        <w:rPr>
          <w:rFonts w:ascii="Arial" w:eastAsia="Times New Roman" w:hAnsi="Arial" w:cs="Arial"/>
          <w:b/>
          <w:sz w:val="20"/>
          <w:szCs w:val="20"/>
          <w:lang w:eastAsia="en-IN"/>
        </w:rPr>
      </w:pPr>
    </w:p>
    <w:p w14:paraId="5C66BA41" w14:textId="68117FCF" w:rsidR="00182721" w:rsidRPr="00D77559" w:rsidRDefault="00182721" w:rsidP="000E31A9">
      <w:pPr>
        <w:spacing w:after="0" w:line="240" w:lineRule="auto"/>
        <w:jc w:val="both"/>
        <w:rPr>
          <w:rFonts w:ascii="Arial" w:eastAsia="Times New Roman" w:hAnsi="Arial" w:cs="Arial"/>
          <w:sz w:val="20"/>
          <w:szCs w:val="20"/>
          <w:lang w:eastAsia="en-IN"/>
        </w:rPr>
      </w:pPr>
      <w:r w:rsidRPr="00D77559">
        <w:rPr>
          <w:rFonts w:ascii="Arial" w:eastAsia="Times New Roman" w:hAnsi="Arial" w:cs="Arial"/>
          <w:sz w:val="20"/>
          <w:szCs w:val="20"/>
          <w:lang w:eastAsia="en-IN"/>
        </w:rPr>
        <w:t xml:space="preserve">The in vitro buoyancy </w:t>
      </w:r>
      <w:r w:rsidR="00551B56">
        <w:rPr>
          <w:rFonts w:ascii="Arial" w:eastAsia="Times New Roman" w:hAnsi="Arial" w:cs="Arial"/>
          <w:sz w:val="20"/>
          <w:szCs w:val="20"/>
          <w:lang w:eastAsia="en-IN"/>
        </w:rPr>
        <w:t xml:space="preserve">results presented in </w:t>
      </w:r>
      <w:r w:rsidR="00551B56" w:rsidRPr="00C235CA">
        <w:rPr>
          <w:rFonts w:ascii="Arial" w:eastAsia="Times New Roman" w:hAnsi="Arial" w:cs="Arial"/>
          <w:b/>
          <w:sz w:val="20"/>
          <w:szCs w:val="20"/>
          <w:lang w:eastAsia="en-IN"/>
        </w:rPr>
        <w:t>Table</w:t>
      </w:r>
      <w:r w:rsidR="00551B56">
        <w:rPr>
          <w:rFonts w:ascii="Arial" w:eastAsia="Times New Roman" w:hAnsi="Arial" w:cs="Arial"/>
          <w:b/>
          <w:sz w:val="20"/>
          <w:szCs w:val="20"/>
          <w:lang w:eastAsia="en-IN"/>
        </w:rPr>
        <w:t xml:space="preserve"> 2 </w:t>
      </w:r>
      <w:r w:rsidRPr="00D77559">
        <w:rPr>
          <w:rFonts w:ascii="Arial" w:eastAsia="Times New Roman" w:hAnsi="Arial" w:cs="Arial"/>
          <w:sz w:val="20"/>
          <w:szCs w:val="20"/>
          <w:lang w:eastAsia="en-IN"/>
        </w:rPr>
        <w:t>demonstrate a clear dependence of floating performance on the viscosity grade of the polyvinyl alcohol (PVA) incorporated into the formulation. A distinct trend emerged wherein formulations containing higher-viscosity PVA exhibited markedly improved buoyancy characteristics compared with those containing lower-viscosity grades.</w:t>
      </w:r>
      <w:r w:rsidR="001D2E1A" w:rsidRPr="00D77559">
        <w:rPr>
          <w:rFonts w:ascii="Arial" w:eastAsia="Times New Roman" w:hAnsi="Arial" w:cs="Arial"/>
          <w:sz w:val="20"/>
          <w:szCs w:val="20"/>
          <w:lang w:eastAsia="en-IN"/>
        </w:rPr>
        <w:t xml:space="preserve"> </w:t>
      </w:r>
      <w:r w:rsidRPr="00D77559">
        <w:rPr>
          <w:rFonts w:ascii="Arial" w:eastAsia="Times New Roman" w:hAnsi="Arial" w:cs="Arial"/>
          <w:sz w:val="20"/>
          <w:szCs w:val="20"/>
          <w:lang w:eastAsia="en-IN"/>
        </w:rPr>
        <w:t>Among all formulations, MTH3</w:t>
      </w:r>
      <w:r w:rsidR="001D2E1A" w:rsidRPr="00D77559">
        <w:rPr>
          <w:rFonts w:ascii="Arial" w:eastAsia="Times New Roman" w:hAnsi="Arial" w:cs="Arial"/>
          <w:sz w:val="20"/>
          <w:szCs w:val="20"/>
          <w:lang w:eastAsia="en-IN"/>
        </w:rPr>
        <w:t xml:space="preserve"> </w:t>
      </w:r>
      <w:r w:rsidRPr="00D77559">
        <w:rPr>
          <w:rFonts w:ascii="Arial" w:eastAsia="Times New Roman" w:hAnsi="Arial" w:cs="Arial"/>
          <w:sz w:val="20"/>
          <w:szCs w:val="20"/>
          <w:lang w:eastAsia="en-IN"/>
        </w:rPr>
        <w:t>formulated with 40cP PVA</w:t>
      </w:r>
      <w:r w:rsidR="001D2E1A" w:rsidRPr="00D77559">
        <w:rPr>
          <w:rFonts w:ascii="Arial" w:eastAsia="Times New Roman" w:hAnsi="Arial" w:cs="Arial"/>
          <w:sz w:val="20"/>
          <w:szCs w:val="20"/>
          <w:lang w:eastAsia="en-IN"/>
        </w:rPr>
        <w:t xml:space="preserve"> </w:t>
      </w:r>
      <w:r w:rsidRPr="00D77559">
        <w:rPr>
          <w:rFonts w:ascii="Arial" w:eastAsia="Times New Roman" w:hAnsi="Arial" w:cs="Arial"/>
          <w:sz w:val="20"/>
          <w:szCs w:val="20"/>
          <w:lang w:eastAsia="en-IN"/>
        </w:rPr>
        <w:t>showed the most desirable floating behavior, characterized by a rapid floating lag time of approximately 30 seconds and a prolonged total floating duration exceeding 16 hours</w:t>
      </w:r>
      <w:r w:rsidRPr="006434E6">
        <w:rPr>
          <w:rFonts w:ascii="Arial" w:eastAsia="Times New Roman" w:hAnsi="Arial" w:cs="Arial"/>
          <w:sz w:val="20"/>
          <w:szCs w:val="20"/>
          <w:lang w:eastAsia="en-IN"/>
        </w:rPr>
        <w:t>.</w:t>
      </w:r>
      <w:r w:rsidRPr="00D77559">
        <w:rPr>
          <w:rFonts w:ascii="Arial" w:eastAsia="Times New Roman" w:hAnsi="Arial" w:cs="Arial"/>
          <w:sz w:val="20"/>
          <w:szCs w:val="20"/>
          <w:lang w:eastAsia="en-IN"/>
        </w:rPr>
        <w:t xml:space="preserve"> This superior buoyancy can be attributed to the enhanced gel-forming ability and stronger hydration characteristics of the higher-viscosity polymer. Upon contact with medium, the 40 </w:t>
      </w:r>
      <w:proofErr w:type="spellStart"/>
      <w:r w:rsidRPr="00D77559">
        <w:rPr>
          <w:rFonts w:ascii="Arial" w:eastAsia="Times New Roman" w:hAnsi="Arial" w:cs="Arial"/>
          <w:sz w:val="20"/>
          <w:szCs w:val="20"/>
          <w:lang w:eastAsia="en-IN"/>
        </w:rPr>
        <w:t>cP</w:t>
      </w:r>
      <w:proofErr w:type="spellEnd"/>
      <w:r w:rsidRPr="00D77559">
        <w:rPr>
          <w:rFonts w:ascii="Arial" w:eastAsia="Times New Roman" w:hAnsi="Arial" w:cs="Arial"/>
          <w:sz w:val="20"/>
          <w:szCs w:val="20"/>
          <w:lang w:eastAsia="en-IN"/>
        </w:rPr>
        <w:t xml:space="preserve"> PVA likely forms a more cohesive and robust gel layer, which facilitates rapid entrapment of air within the matrix and promotes early onset of floatation. The thicker hydrated barrier also slows fluid ingress, enabling sustained buoyancy over extended periods.</w:t>
      </w:r>
    </w:p>
    <w:p w14:paraId="0E71FEE2" w14:textId="77777777" w:rsidR="00F650BC" w:rsidRPr="00D77559" w:rsidRDefault="00F650BC" w:rsidP="000E31A9">
      <w:pPr>
        <w:spacing w:after="0" w:line="240" w:lineRule="auto"/>
        <w:jc w:val="both"/>
        <w:rPr>
          <w:rFonts w:ascii="Arial" w:eastAsia="Times New Roman" w:hAnsi="Arial" w:cs="Arial"/>
          <w:sz w:val="20"/>
          <w:szCs w:val="20"/>
          <w:lang w:eastAsia="en-IN"/>
        </w:rPr>
      </w:pPr>
    </w:p>
    <w:p w14:paraId="221B2A4E" w14:textId="7D346E48" w:rsidR="00182721" w:rsidRDefault="00182721" w:rsidP="000E31A9">
      <w:pPr>
        <w:spacing w:after="0" w:line="240" w:lineRule="auto"/>
        <w:jc w:val="both"/>
        <w:rPr>
          <w:rFonts w:ascii="Arial" w:eastAsia="Times New Roman" w:hAnsi="Arial" w:cs="Arial"/>
          <w:sz w:val="20"/>
          <w:szCs w:val="20"/>
          <w:lang w:eastAsia="en-IN"/>
        </w:rPr>
      </w:pPr>
      <w:r w:rsidRPr="00D77559">
        <w:rPr>
          <w:rFonts w:ascii="Arial" w:eastAsia="Times New Roman" w:hAnsi="Arial" w:cs="Arial"/>
          <w:sz w:val="20"/>
          <w:szCs w:val="20"/>
          <w:lang w:eastAsia="en-IN"/>
        </w:rPr>
        <w:t>In contrast, formulations containing lower-viscosity PVA grades (MTH1 and MTH2) failed to float under test conditions</w:t>
      </w:r>
      <w:r w:rsidR="006434E6">
        <w:rPr>
          <w:rFonts w:ascii="Arial" w:eastAsia="Times New Roman" w:hAnsi="Arial" w:cs="Arial"/>
          <w:sz w:val="20"/>
          <w:szCs w:val="20"/>
          <w:lang w:eastAsia="en-IN"/>
        </w:rPr>
        <w:t xml:space="preserve"> </w:t>
      </w:r>
      <w:r w:rsidR="006434E6" w:rsidRPr="00551B56">
        <w:rPr>
          <w:rFonts w:ascii="Arial" w:eastAsia="Times New Roman" w:hAnsi="Arial" w:cs="Arial"/>
          <w:b/>
          <w:sz w:val="20"/>
          <w:szCs w:val="20"/>
          <w:lang w:eastAsia="en-IN"/>
        </w:rPr>
        <w:t>Fig</w:t>
      </w:r>
      <w:r w:rsidR="00551B56">
        <w:rPr>
          <w:rFonts w:ascii="Arial" w:eastAsia="Times New Roman" w:hAnsi="Arial" w:cs="Arial"/>
          <w:b/>
          <w:sz w:val="20"/>
          <w:szCs w:val="20"/>
          <w:lang w:eastAsia="en-IN"/>
        </w:rPr>
        <w:t>ure</w:t>
      </w:r>
      <w:r w:rsidR="00551B56" w:rsidRPr="00551B56">
        <w:rPr>
          <w:rFonts w:ascii="Arial" w:eastAsia="Times New Roman" w:hAnsi="Arial" w:cs="Arial"/>
          <w:b/>
          <w:sz w:val="20"/>
          <w:szCs w:val="20"/>
          <w:lang w:eastAsia="en-IN"/>
        </w:rPr>
        <w:t xml:space="preserve"> </w:t>
      </w:r>
      <w:r w:rsidR="006434E6" w:rsidRPr="00551B56">
        <w:rPr>
          <w:rFonts w:ascii="Arial" w:eastAsia="Times New Roman" w:hAnsi="Arial" w:cs="Arial"/>
          <w:b/>
          <w:sz w:val="20"/>
          <w:szCs w:val="20"/>
          <w:lang w:eastAsia="en-IN"/>
        </w:rPr>
        <w:t>1</w:t>
      </w:r>
      <w:r w:rsidRPr="00D77559">
        <w:rPr>
          <w:rFonts w:ascii="Arial" w:eastAsia="Times New Roman" w:hAnsi="Arial" w:cs="Arial"/>
          <w:sz w:val="20"/>
          <w:szCs w:val="20"/>
          <w:lang w:eastAsia="en-IN"/>
        </w:rPr>
        <w:t>. Lower-viscosity polymers typically exhibit weaker gel structures and reduced matrix-forming ability, leading to insufficient swelling and inadequate air entrapment, thereby preventing the generation of the necessary buoyant force. These findings suggest that low-viscosity PVA is unable to support the matrix integrity required for floating tablet systems.</w:t>
      </w:r>
      <w:r w:rsidR="001C7447" w:rsidRPr="00D77559">
        <w:rPr>
          <w:rFonts w:ascii="Arial" w:eastAsia="Times New Roman" w:hAnsi="Arial" w:cs="Arial"/>
          <w:sz w:val="20"/>
          <w:szCs w:val="20"/>
          <w:lang w:eastAsia="en-IN"/>
        </w:rPr>
        <w:t xml:space="preserve"> </w:t>
      </w:r>
      <w:r w:rsidRPr="00D77559">
        <w:rPr>
          <w:rFonts w:ascii="Arial" w:eastAsia="Times New Roman" w:hAnsi="Arial" w:cs="Arial"/>
          <w:sz w:val="20"/>
          <w:szCs w:val="20"/>
          <w:lang w:eastAsia="en-IN"/>
        </w:rPr>
        <w:t>Additionally, the formulation MTH4, manufactured using a slow spray rate during granulation, displayed a significantly prolonged floating lag time of approximately 90 minutes and a reduced total floating duration of around 10 hours. The extended lag time in this batch may be attributed to suboptimal granule densification resulting from the slow spray rate, which can lead to a more compact matrix with slower hydration kinetics. Such structural differences could delay gel-layer formation and hinder the rapid entrapment of air, thereby reducing the efficiency and duration of floatation.</w:t>
      </w:r>
      <w:r w:rsidR="001C7447" w:rsidRPr="00D77559">
        <w:rPr>
          <w:rFonts w:ascii="Arial" w:eastAsia="Times New Roman" w:hAnsi="Arial" w:cs="Arial"/>
          <w:sz w:val="20"/>
          <w:szCs w:val="20"/>
          <w:lang w:eastAsia="en-IN"/>
        </w:rPr>
        <w:t xml:space="preserve"> </w:t>
      </w:r>
      <w:r w:rsidRPr="00D77559">
        <w:rPr>
          <w:rFonts w:ascii="Arial" w:eastAsia="Times New Roman" w:hAnsi="Arial" w:cs="Arial"/>
          <w:sz w:val="20"/>
          <w:szCs w:val="20"/>
          <w:lang w:eastAsia="en-IN"/>
        </w:rPr>
        <w:t xml:space="preserve">Overall, these results confirm that both the viscosity grade of PVA and the granulation spray rate play crucial roles in determining the buoyancy performance of metformin HCl floating tablets. Higher-viscosity polymers, combined with optimized granulation conditions, appear essential for achieving rapid and sustained floatation in </w:t>
      </w:r>
      <w:r w:rsidR="00B27F29" w:rsidRPr="00D77559">
        <w:rPr>
          <w:rFonts w:ascii="Arial" w:eastAsia="Times New Roman" w:hAnsi="Arial" w:cs="Arial"/>
          <w:sz w:val="20"/>
          <w:szCs w:val="20"/>
          <w:lang w:eastAsia="en-IN"/>
        </w:rPr>
        <w:t>gastro retentive</w:t>
      </w:r>
      <w:r w:rsidRPr="00D77559">
        <w:rPr>
          <w:rFonts w:ascii="Arial" w:eastAsia="Times New Roman" w:hAnsi="Arial" w:cs="Arial"/>
          <w:sz w:val="20"/>
          <w:szCs w:val="20"/>
          <w:lang w:eastAsia="en-IN"/>
        </w:rPr>
        <w:t xml:space="preserve"> dosage forms.</w:t>
      </w:r>
    </w:p>
    <w:p w14:paraId="08021368" w14:textId="77777777" w:rsidR="00B27F29" w:rsidRDefault="00B27F29" w:rsidP="00B27F29">
      <w:pPr>
        <w:jc w:val="center"/>
        <w:rPr>
          <w:rFonts w:ascii="Arial" w:eastAsia="Times New Roman" w:hAnsi="Arial" w:cs="Arial"/>
          <w:sz w:val="20"/>
          <w:szCs w:val="20"/>
          <w:lang w:eastAsia="en-IN"/>
        </w:rPr>
      </w:pPr>
      <w:r>
        <w:rPr>
          <w:rFonts w:ascii="Arial" w:hAnsi="Arial" w:cs="Arial"/>
          <w:noProof/>
          <w:lang w:val="en-US"/>
        </w:rPr>
        <w:lastRenderedPageBreak/>
        <w:drawing>
          <wp:inline distT="0" distB="0" distL="0" distR="0" wp14:anchorId="242BF90D" wp14:editId="45FE1F18">
            <wp:extent cx="5219065" cy="2887738"/>
            <wp:effectExtent l="0" t="0" r="63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3877" cy="2907000"/>
                    </a:xfrm>
                    <a:prstGeom prst="rect">
                      <a:avLst/>
                    </a:prstGeom>
                    <a:noFill/>
                    <a:ln>
                      <a:noFill/>
                    </a:ln>
                  </pic:spPr>
                </pic:pic>
              </a:graphicData>
            </a:graphic>
          </wp:inline>
        </w:drawing>
      </w:r>
    </w:p>
    <w:p w14:paraId="1D6F13DA" w14:textId="44D9064C" w:rsidR="00B27F29" w:rsidRPr="00D805D1" w:rsidRDefault="00B27F29" w:rsidP="00B27F29">
      <w:pPr>
        <w:jc w:val="center"/>
        <w:rPr>
          <w:rFonts w:ascii="Arial" w:eastAsia="Times New Roman" w:hAnsi="Arial" w:cs="Arial"/>
          <w:b/>
          <w:sz w:val="20"/>
          <w:szCs w:val="20"/>
          <w:lang w:eastAsia="en-IN"/>
        </w:rPr>
      </w:pPr>
      <w:r w:rsidRPr="00B27F29">
        <w:rPr>
          <w:rFonts w:ascii="Arial" w:eastAsia="Times New Roman" w:hAnsi="Arial" w:cs="Arial"/>
          <w:b/>
          <w:sz w:val="20"/>
          <w:szCs w:val="20"/>
          <w:lang w:eastAsia="en-IN"/>
        </w:rPr>
        <w:t>Fig</w:t>
      </w:r>
      <w:r w:rsidR="00D805D1">
        <w:rPr>
          <w:rFonts w:ascii="Arial" w:eastAsia="Times New Roman" w:hAnsi="Arial" w:cs="Arial"/>
          <w:b/>
          <w:sz w:val="20"/>
          <w:szCs w:val="20"/>
          <w:lang w:eastAsia="en-IN"/>
        </w:rPr>
        <w:t>.</w:t>
      </w:r>
      <w:r w:rsidRPr="00B27F29">
        <w:rPr>
          <w:rFonts w:ascii="Arial" w:eastAsia="Times New Roman" w:hAnsi="Arial" w:cs="Arial"/>
          <w:b/>
          <w:sz w:val="20"/>
          <w:szCs w:val="20"/>
          <w:lang w:eastAsia="en-IN"/>
        </w:rPr>
        <w:t>1</w:t>
      </w:r>
      <w:r w:rsidR="00D805D1">
        <w:rPr>
          <w:rFonts w:ascii="Arial" w:eastAsia="Times New Roman" w:hAnsi="Arial" w:cs="Arial"/>
          <w:b/>
          <w:sz w:val="20"/>
          <w:szCs w:val="20"/>
          <w:lang w:eastAsia="en-IN"/>
        </w:rPr>
        <w:t>.</w:t>
      </w:r>
      <w:r w:rsidRPr="00B27F29">
        <w:rPr>
          <w:rFonts w:ascii="Arial" w:eastAsia="Times New Roman" w:hAnsi="Arial" w:cs="Arial"/>
          <w:b/>
          <w:sz w:val="20"/>
          <w:szCs w:val="20"/>
          <w:lang w:eastAsia="en-IN"/>
        </w:rPr>
        <w:t xml:space="preserve"> </w:t>
      </w:r>
      <w:r w:rsidRPr="00D805D1">
        <w:rPr>
          <w:rFonts w:ascii="Arial" w:eastAsia="Times New Roman" w:hAnsi="Arial" w:cs="Arial"/>
          <w:b/>
          <w:sz w:val="20"/>
          <w:szCs w:val="20"/>
          <w:lang w:eastAsia="en-IN"/>
        </w:rPr>
        <w:t>Visual representation of the in vitro buoyancy behaviour of Metformin HCl floating tablets at initial and progressive time points.</w:t>
      </w:r>
    </w:p>
    <w:p w14:paraId="154868E3" w14:textId="5F821BBD" w:rsidR="00E8082A" w:rsidRPr="00D77559" w:rsidRDefault="00521298" w:rsidP="00FD3635">
      <w:pPr>
        <w:spacing w:after="0"/>
        <w:rPr>
          <w:rFonts w:ascii="Arial" w:eastAsia="Times New Roman" w:hAnsi="Arial" w:cs="Arial"/>
          <w:b/>
          <w:sz w:val="20"/>
          <w:szCs w:val="20"/>
          <w:lang w:eastAsia="en-IN"/>
        </w:rPr>
      </w:pPr>
      <w:r w:rsidRPr="00D77559">
        <w:rPr>
          <w:rFonts w:ascii="Arial" w:eastAsia="Times New Roman" w:hAnsi="Arial" w:cs="Arial"/>
          <w:b/>
          <w:sz w:val="20"/>
          <w:szCs w:val="20"/>
          <w:lang w:eastAsia="en-IN"/>
        </w:rPr>
        <w:t xml:space="preserve">3.2 </w:t>
      </w:r>
      <w:r w:rsidR="00E8082A" w:rsidRPr="00D77559">
        <w:rPr>
          <w:rFonts w:ascii="Arial" w:eastAsia="Times New Roman" w:hAnsi="Arial" w:cs="Arial"/>
          <w:b/>
          <w:sz w:val="20"/>
          <w:szCs w:val="20"/>
          <w:lang w:eastAsia="en-IN"/>
        </w:rPr>
        <w:t>Swelling and Erosion results</w:t>
      </w:r>
    </w:p>
    <w:p w14:paraId="0EFAF953" w14:textId="77777777" w:rsidR="00521298" w:rsidRPr="00D77559" w:rsidRDefault="00521298" w:rsidP="000E31A9">
      <w:pPr>
        <w:spacing w:after="0" w:line="240" w:lineRule="auto"/>
        <w:jc w:val="both"/>
        <w:rPr>
          <w:rFonts w:ascii="Arial" w:eastAsia="Times New Roman" w:hAnsi="Arial" w:cs="Arial"/>
          <w:b/>
          <w:sz w:val="20"/>
          <w:szCs w:val="20"/>
          <w:lang w:eastAsia="en-IN"/>
        </w:rPr>
      </w:pPr>
    </w:p>
    <w:p w14:paraId="50E8CFA8" w14:textId="7B0581C2" w:rsidR="00925A3B" w:rsidRPr="00D77559" w:rsidRDefault="00925A3B" w:rsidP="000E31A9">
      <w:pPr>
        <w:spacing w:after="0" w:line="240" w:lineRule="auto"/>
        <w:jc w:val="both"/>
        <w:rPr>
          <w:rFonts w:ascii="Arial" w:eastAsia="Times New Roman" w:hAnsi="Arial" w:cs="Arial"/>
          <w:sz w:val="20"/>
          <w:szCs w:val="20"/>
          <w:lang w:eastAsia="en-IN"/>
        </w:rPr>
      </w:pPr>
      <w:r w:rsidRPr="00D77559">
        <w:rPr>
          <w:rFonts w:ascii="Arial" w:eastAsia="Times New Roman" w:hAnsi="Arial" w:cs="Arial"/>
          <w:sz w:val="20"/>
          <w:szCs w:val="20"/>
          <w:lang w:eastAsia="en-IN"/>
        </w:rPr>
        <w:t>The swelling and erosion profiles reveal clear distinctions among the formulations, demonstrating the combined influence of polymer viscosity, granulation behavior, and overall matrix architecture on hydration dynamics. Swelling indices of 35%, 50%, 68%, and 48% represent progressively greater water uptake and matrix expansion, whereas the corresponding erosion values of 50%, 42%, 20%, and 38% indicate varying degrees of surface degradation over the testing period. Formulation MTH3, which exhibited the highest swelling index (68%), also showed the lowest erosion (20%). This behavior suggests the development of a dense, coherent gel layer capable of maintaining structural integrity during hydration. Such matrices are characteristic of systems containing higher-viscosity or stronger gel-forming polymers, where enhanced swelling generates a thick and resilient hydrated barrier. This robust gel structure is particularly beneficial for floating drug-delivery systems, as it supports prolonged buoyancy and modulates drug release by restricting fluid penetration and polymer loss</w:t>
      </w:r>
      <w:r w:rsidR="00D6245F" w:rsidRPr="00D77559">
        <w:rPr>
          <w:rFonts w:ascii="Arial" w:eastAsia="Times New Roman" w:hAnsi="Arial" w:cs="Arial"/>
          <w:sz w:val="20"/>
          <w:szCs w:val="20"/>
          <w:lang w:eastAsia="en-IN"/>
        </w:rPr>
        <w:t xml:space="preserve"> </w:t>
      </w:r>
      <w:r w:rsidR="00D6245F" w:rsidRPr="00D77559">
        <w:rPr>
          <w:rFonts w:ascii="Arial" w:hAnsi="Arial" w:cs="Arial"/>
          <w:sz w:val="20"/>
          <w:szCs w:val="20"/>
        </w:rPr>
        <w:t>(Baid f et al., 2024).</w:t>
      </w:r>
    </w:p>
    <w:p w14:paraId="602B1005" w14:textId="77777777" w:rsidR="005929D4" w:rsidRPr="00D77559" w:rsidRDefault="005929D4" w:rsidP="000E31A9">
      <w:pPr>
        <w:spacing w:after="0" w:line="240" w:lineRule="auto"/>
        <w:jc w:val="both"/>
        <w:rPr>
          <w:rFonts w:ascii="Arial" w:eastAsia="Times New Roman" w:hAnsi="Arial" w:cs="Arial"/>
          <w:sz w:val="20"/>
          <w:szCs w:val="20"/>
          <w:lang w:eastAsia="en-IN"/>
        </w:rPr>
      </w:pPr>
    </w:p>
    <w:p w14:paraId="764368E3" w14:textId="4983A6EC" w:rsidR="00925A3B" w:rsidRPr="00D77559" w:rsidRDefault="00925A3B" w:rsidP="000E31A9">
      <w:pPr>
        <w:spacing w:after="0" w:line="240" w:lineRule="auto"/>
        <w:jc w:val="both"/>
        <w:rPr>
          <w:rFonts w:ascii="Arial" w:eastAsia="Times New Roman" w:hAnsi="Arial" w:cs="Arial"/>
          <w:sz w:val="20"/>
          <w:szCs w:val="20"/>
          <w:lang w:eastAsia="en-IN"/>
        </w:rPr>
      </w:pPr>
      <w:r w:rsidRPr="00D77559">
        <w:rPr>
          <w:rFonts w:ascii="Arial" w:eastAsia="Times New Roman" w:hAnsi="Arial" w:cs="Arial"/>
          <w:sz w:val="20"/>
          <w:szCs w:val="20"/>
          <w:lang w:eastAsia="en-IN"/>
        </w:rPr>
        <w:t>In contrast, formulation MTH1 demonstrated the lowest swelling (35%) and the greatest erosion (50%), indicating insufficient gel formation and limited hydration. The rapid erosion observed in this formulation may be attributed to the use of lower-viscosity polymer grades or a more porous matrix morphology, both of which hinder the development of a continuous gel network. Poor swelling leads to weak structural cohesion, accelerating polymer dissolution and compromising the formulation’s ability to remain afloat and provide sustained drug release.</w:t>
      </w:r>
      <w:r w:rsidR="00CD7056" w:rsidRPr="00D77559">
        <w:rPr>
          <w:rFonts w:ascii="Arial" w:eastAsia="Times New Roman" w:hAnsi="Arial" w:cs="Arial"/>
          <w:sz w:val="20"/>
          <w:szCs w:val="20"/>
          <w:lang w:eastAsia="en-IN"/>
        </w:rPr>
        <w:t xml:space="preserve"> </w:t>
      </w:r>
      <w:r w:rsidRPr="00D77559">
        <w:rPr>
          <w:rFonts w:ascii="Arial" w:eastAsia="Times New Roman" w:hAnsi="Arial" w:cs="Arial"/>
          <w:sz w:val="20"/>
          <w:szCs w:val="20"/>
          <w:lang w:eastAsia="en-IN"/>
        </w:rPr>
        <w:t xml:space="preserve">Overall, the inverse relationship between swelling and erosion underscores the importance of adequate gel formation in </w:t>
      </w:r>
      <w:r w:rsidR="00551B56" w:rsidRPr="00D77559">
        <w:rPr>
          <w:rFonts w:ascii="Arial" w:eastAsia="Times New Roman" w:hAnsi="Arial" w:cs="Arial"/>
          <w:sz w:val="20"/>
          <w:szCs w:val="20"/>
          <w:lang w:eastAsia="en-IN"/>
        </w:rPr>
        <w:t>gastro retentive</w:t>
      </w:r>
      <w:r w:rsidRPr="00D77559">
        <w:rPr>
          <w:rFonts w:ascii="Arial" w:eastAsia="Times New Roman" w:hAnsi="Arial" w:cs="Arial"/>
          <w:sz w:val="20"/>
          <w:szCs w:val="20"/>
          <w:lang w:eastAsia="en-IN"/>
        </w:rPr>
        <w:t xml:space="preserve"> dosage forms. Formulations characterized by high swelling and low erosion are more suitable for maintaining intragastric retention and achieving extended drug release, whereas low-swelling, high-erosion systems are prone to structural breakdown and reduced buoyancy performance.</w:t>
      </w:r>
    </w:p>
    <w:p w14:paraId="1C44E82D" w14:textId="77777777" w:rsidR="00521298" w:rsidRPr="00D77559" w:rsidRDefault="00521298" w:rsidP="000E31A9">
      <w:pPr>
        <w:pStyle w:val="Heading3"/>
        <w:spacing w:before="0" w:beforeAutospacing="0" w:after="0" w:afterAutospacing="0"/>
        <w:jc w:val="both"/>
        <w:rPr>
          <w:rStyle w:val="Strong"/>
          <w:rFonts w:ascii="Arial" w:hAnsi="Arial" w:cs="Arial"/>
          <w:b/>
          <w:bCs/>
          <w:sz w:val="20"/>
          <w:szCs w:val="20"/>
        </w:rPr>
      </w:pPr>
    </w:p>
    <w:p w14:paraId="15403E60" w14:textId="211E2382" w:rsidR="00116429" w:rsidRPr="00D77559" w:rsidRDefault="00521298" w:rsidP="000E31A9">
      <w:pPr>
        <w:pStyle w:val="Heading3"/>
        <w:spacing w:before="0" w:beforeAutospacing="0" w:after="0" w:afterAutospacing="0"/>
        <w:jc w:val="both"/>
        <w:rPr>
          <w:rStyle w:val="Strong"/>
          <w:rFonts w:ascii="Arial" w:hAnsi="Arial" w:cs="Arial"/>
          <w:b/>
          <w:bCs/>
          <w:sz w:val="20"/>
          <w:szCs w:val="20"/>
        </w:rPr>
      </w:pPr>
      <w:r w:rsidRPr="00D77559">
        <w:rPr>
          <w:rStyle w:val="Strong"/>
          <w:rFonts w:ascii="Arial" w:hAnsi="Arial" w:cs="Arial"/>
          <w:b/>
          <w:bCs/>
          <w:sz w:val="20"/>
          <w:szCs w:val="20"/>
        </w:rPr>
        <w:t xml:space="preserve">3.3 </w:t>
      </w:r>
      <w:r w:rsidR="00E8082A" w:rsidRPr="00D77559">
        <w:rPr>
          <w:rStyle w:val="Strong"/>
          <w:rFonts w:ascii="Arial" w:hAnsi="Arial" w:cs="Arial"/>
          <w:b/>
          <w:bCs/>
          <w:sz w:val="20"/>
          <w:szCs w:val="20"/>
        </w:rPr>
        <w:t>In vitro d</w:t>
      </w:r>
      <w:r w:rsidR="00116429" w:rsidRPr="00D77559">
        <w:rPr>
          <w:rStyle w:val="Strong"/>
          <w:rFonts w:ascii="Arial" w:hAnsi="Arial" w:cs="Arial"/>
          <w:b/>
          <w:bCs/>
          <w:sz w:val="20"/>
          <w:szCs w:val="20"/>
        </w:rPr>
        <w:t xml:space="preserve">issolution </w:t>
      </w:r>
      <w:r w:rsidR="00E8082A" w:rsidRPr="00D77559">
        <w:rPr>
          <w:rStyle w:val="Strong"/>
          <w:rFonts w:ascii="Arial" w:hAnsi="Arial" w:cs="Arial"/>
          <w:b/>
          <w:bCs/>
          <w:sz w:val="20"/>
          <w:szCs w:val="20"/>
        </w:rPr>
        <w:t>results</w:t>
      </w:r>
    </w:p>
    <w:p w14:paraId="18D0E642" w14:textId="77777777" w:rsidR="00521298" w:rsidRPr="00D77559" w:rsidRDefault="00521298" w:rsidP="000E31A9">
      <w:pPr>
        <w:pStyle w:val="Heading3"/>
        <w:spacing w:before="0" w:beforeAutospacing="0" w:after="0" w:afterAutospacing="0"/>
        <w:jc w:val="both"/>
        <w:rPr>
          <w:rFonts w:ascii="Arial" w:hAnsi="Arial" w:cs="Arial"/>
          <w:sz w:val="20"/>
          <w:szCs w:val="20"/>
        </w:rPr>
      </w:pPr>
    </w:p>
    <w:p w14:paraId="57078A67" w14:textId="5D8AD420" w:rsidR="00116429" w:rsidRDefault="00116429" w:rsidP="000E31A9">
      <w:pPr>
        <w:pStyle w:val="NormalWeb"/>
        <w:spacing w:before="0" w:beforeAutospacing="0" w:after="0" w:afterAutospacing="0"/>
        <w:jc w:val="both"/>
        <w:rPr>
          <w:rFonts w:ascii="Arial" w:hAnsi="Arial" w:cs="Arial"/>
          <w:sz w:val="20"/>
          <w:szCs w:val="20"/>
        </w:rPr>
      </w:pPr>
      <w:r w:rsidRPr="00D77559">
        <w:rPr>
          <w:rFonts w:ascii="Arial" w:hAnsi="Arial" w:cs="Arial"/>
          <w:sz w:val="20"/>
          <w:szCs w:val="20"/>
        </w:rPr>
        <w:t xml:space="preserve">The in vitro drug-release studies demonstrated clear differences in release behavior among the formulations, indicating that both polymer characteristics and granulation process parameters played significant roles in modulating drug-release kinetics. As shown in </w:t>
      </w:r>
      <w:r w:rsidRPr="00551B56">
        <w:rPr>
          <w:rFonts w:ascii="Arial" w:hAnsi="Arial" w:cs="Arial"/>
          <w:b/>
          <w:sz w:val="20"/>
          <w:szCs w:val="20"/>
        </w:rPr>
        <w:t>Fig</w:t>
      </w:r>
      <w:r w:rsidR="00551B56" w:rsidRPr="00551B56">
        <w:rPr>
          <w:rFonts w:ascii="Arial" w:hAnsi="Arial" w:cs="Arial"/>
          <w:b/>
          <w:sz w:val="20"/>
          <w:szCs w:val="20"/>
        </w:rPr>
        <w:t>ure</w:t>
      </w:r>
      <w:r w:rsidRPr="00551B56">
        <w:rPr>
          <w:rFonts w:ascii="Arial" w:hAnsi="Arial" w:cs="Arial"/>
          <w:b/>
          <w:sz w:val="20"/>
          <w:szCs w:val="20"/>
        </w:rPr>
        <w:t xml:space="preserve"> 2</w:t>
      </w:r>
      <w:r w:rsidRPr="00D77559">
        <w:rPr>
          <w:rFonts w:ascii="Arial" w:hAnsi="Arial" w:cs="Arial"/>
          <w:sz w:val="20"/>
          <w:szCs w:val="20"/>
        </w:rPr>
        <w:t xml:space="preserve"> formulation MTH3 achieved a prolonged release extending up to 16 hours, delivering 98.7% of metformin HCl within the study duration. This sustained profile suggests that the formulation developed a stable and coherent gel matrix capable of controlling water penetration and drug diffusion over an extended period. In contrast, formulations MTH1 and MTH2 released more than 95% of the drug within 8 and 10 hours, respectively, indicating insufficient retardation capacity. These faster release profiles likely result from the use of lower-viscosity polymer grades, which can lead to weaker gel formation and faster matrix hydration. As </w:t>
      </w:r>
      <w:r w:rsidRPr="00D77559">
        <w:rPr>
          <w:rFonts w:ascii="Arial" w:hAnsi="Arial" w:cs="Arial"/>
          <w:sz w:val="20"/>
          <w:szCs w:val="20"/>
        </w:rPr>
        <w:lastRenderedPageBreak/>
        <w:t xml:space="preserve">a result, rapid polymer dissolution and enlarged diffusion pathways facilitate accelerated drug release. The inability of MTH1 and MTH2 to maintain the structural integrity of the gel layer throughout the dissolution test aligns with their previously observed high erosion and low swelling </w:t>
      </w:r>
      <w:r w:rsidR="005929D4" w:rsidRPr="00D77559">
        <w:rPr>
          <w:rFonts w:ascii="Arial" w:hAnsi="Arial" w:cs="Arial"/>
          <w:sz w:val="20"/>
          <w:szCs w:val="20"/>
        </w:rPr>
        <w:t>behaviour</w:t>
      </w:r>
      <w:r w:rsidRPr="00D77559">
        <w:rPr>
          <w:rFonts w:ascii="Arial" w:hAnsi="Arial" w:cs="Arial"/>
          <w:sz w:val="20"/>
          <w:szCs w:val="20"/>
        </w:rPr>
        <w:t>.</w:t>
      </w:r>
    </w:p>
    <w:p w14:paraId="494B1D7B" w14:textId="77777777" w:rsidR="00B27F29" w:rsidRPr="00D77559" w:rsidRDefault="00B27F29" w:rsidP="000E31A9">
      <w:pPr>
        <w:pStyle w:val="NormalWeb"/>
        <w:spacing w:before="0" w:beforeAutospacing="0" w:after="0" w:afterAutospacing="0"/>
        <w:jc w:val="both"/>
        <w:rPr>
          <w:rFonts w:ascii="Arial" w:hAnsi="Arial" w:cs="Arial"/>
          <w:sz w:val="20"/>
          <w:szCs w:val="20"/>
        </w:rPr>
      </w:pPr>
    </w:p>
    <w:p w14:paraId="13709F91" w14:textId="77777777" w:rsidR="00B27F29" w:rsidRPr="00910F6C" w:rsidRDefault="00B27F29" w:rsidP="00B27F29">
      <w:pPr>
        <w:jc w:val="center"/>
        <w:rPr>
          <w:rFonts w:ascii="Arial" w:eastAsia="Times New Roman" w:hAnsi="Arial" w:cs="Arial"/>
          <w:sz w:val="20"/>
          <w:szCs w:val="20"/>
          <w:lang w:eastAsia="en-IN"/>
        </w:rPr>
      </w:pPr>
      <w:r>
        <w:rPr>
          <w:noProof/>
          <w:lang w:val="en-US"/>
        </w:rPr>
        <w:drawing>
          <wp:inline distT="0" distB="0" distL="0" distR="0" wp14:anchorId="6F81B79F" wp14:editId="5E6E37F6">
            <wp:extent cx="4572000" cy="2743200"/>
            <wp:effectExtent l="0" t="0" r="0" b="0"/>
            <wp:docPr id="5" name="Chart 5">
              <a:extLst xmlns:a="http://schemas.openxmlformats.org/drawingml/2006/main">
                <a:ext uri="{FF2B5EF4-FFF2-40B4-BE49-F238E27FC236}">
                  <a16:creationId xmlns:a16="http://schemas.microsoft.com/office/drawing/2014/main" id="{039D360B-AB60-4281-8B56-15F192D65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2A6368B" w14:textId="77777777" w:rsidR="00B27F29" w:rsidRDefault="00B27F29" w:rsidP="00B27F29">
      <w:pPr>
        <w:pStyle w:val="NormalWeb"/>
        <w:spacing w:before="0" w:beforeAutospacing="0" w:after="0" w:afterAutospacing="0"/>
        <w:jc w:val="center"/>
        <w:rPr>
          <w:rFonts w:ascii="Arial" w:hAnsi="Arial" w:cs="Arial"/>
          <w:sz w:val="20"/>
          <w:szCs w:val="20"/>
        </w:rPr>
      </w:pPr>
    </w:p>
    <w:p w14:paraId="1D876D88" w14:textId="735CCCC4" w:rsidR="00B27F29" w:rsidRDefault="00D805D1" w:rsidP="00B27F29">
      <w:pPr>
        <w:pStyle w:val="NormalWeb"/>
        <w:spacing w:before="0" w:beforeAutospacing="0" w:after="0" w:afterAutospacing="0"/>
        <w:jc w:val="center"/>
        <w:rPr>
          <w:rFonts w:ascii="Arial" w:hAnsi="Arial" w:cs="Arial"/>
          <w:sz w:val="20"/>
          <w:szCs w:val="20"/>
        </w:rPr>
      </w:pPr>
      <w:r>
        <w:rPr>
          <w:rFonts w:ascii="Arial" w:hAnsi="Arial" w:cs="Arial"/>
          <w:b/>
          <w:sz w:val="20"/>
          <w:szCs w:val="20"/>
        </w:rPr>
        <w:t>Fig.</w:t>
      </w:r>
      <w:r w:rsidR="00B27F29" w:rsidRPr="00B27F29">
        <w:rPr>
          <w:rFonts w:ascii="Arial" w:hAnsi="Arial" w:cs="Arial"/>
          <w:b/>
          <w:sz w:val="20"/>
          <w:szCs w:val="20"/>
        </w:rPr>
        <w:t xml:space="preserve"> 2</w:t>
      </w:r>
      <w:r>
        <w:rPr>
          <w:rFonts w:ascii="Arial" w:hAnsi="Arial" w:cs="Arial"/>
          <w:b/>
          <w:sz w:val="20"/>
          <w:szCs w:val="20"/>
        </w:rPr>
        <w:t>.</w:t>
      </w:r>
      <w:r w:rsidR="00B27F29">
        <w:rPr>
          <w:rFonts w:ascii="Arial" w:hAnsi="Arial" w:cs="Arial"/>
          <w:sz w:val="20"/>
          <w:szCs w:val="20"/>
        </w:rPr>
        <w:t xml:space="preserve"> </w:t>
      </w:r>
      <w:r w:rsidR="00B27F29" w:rsidRPr="00D805D1">
        <w:rPr>
          <w:rFonts w:ascii="Arial" w:hAnsi="Arial" w:cs="Arial"/>
          <w:b/>
          <w:sz w:val="20"/>
          <w:szCs w:val="20"/>
        </w:rPr>
        <w:t>Comparative in vitro dissolution profiles of Metformin HCl floating tablet formulations in phosphate buffer (pH 6.8).</w:t>
      </w:r>
    </w:p>
    <w:p w14:paraId="3EBC9066" w14:textId="77777777" w:rsidR="005929D4" w:rsidRPr="00D77559" w:rsidRDefault="005929D4" w:rsidP="000E31A9">
      <w:pPr>
        <w:pStyle w:val="NormalWeb"/>
        <w:spacing w:before="0" w:beforeAutospacing="0" w:after="0" w:afterAutospacing="0"/>
        <w:jc w:val="both"/>
        <w:rPr>
          <w:rFonts w:ascii="Arial" w:hAnsi="Arial" w:cs="Arial"/>
          <w:sz w:val="20"/>
          <w:szCs w:val="20"/>
        </w:rPr>
      </w:pPr>
    </w:p>
    <w:p w14:paraId="04C6C038" w14:textId="059ACE8A" w:rsidR="00116429" w:rsidRPr="00D77559" w:rsidRDefault="00116429" w:rsidP="000E31A9">
      <w:pPr>
        <w:pStyle w:val="NormalWeb"/>
        <w:spacing w:before="0" w:beforeAutospacing="0" w:after="0" w:afterAutospacing="0"/>
        <w:jc w:val="both"/>
        <w:rPr>
          <w:rFonts w:ascii="Arial" w:hAnsi="Arial" w:cs="Arial"/>
          <w:sz w:val="20"/>
          <w:szCs w:val="20"/>
        </w:rPr>
      </w:pPr>
      <w:r w:rsidRPr="00D77559">
        <w:rPr>
          <w:rFonts w:ascii="Arial" w:hAnsi="Arial" w:cs="Arial"/>
          <w:sz w:val="20"/>
          <w:szCs w:val="20"/>
        </w:rPr>
        <w:t xml:space="preserve">Formulation MTH4, although prepared using a different spray-rate setting during granulation, also prolonged drug release to 16 hours, reaching </w:t>
      </w:r>
      <w:r w:rsidR="002C1B40" w:rsidRPr="00D77559">
        <w:rPr>
          <w:rFonts w:ascii="Arial" w:hAnsi="Arial" w:cs="Arial"/>
          <w:sz w:val="20"/>
          <w:szCs w:val="20"/>
        </w:rPr>
        <w:t>8</w:t>
      </w:r>
      <w:r w:rsidRPr="00D77559">
        <w:rPr>
          <w:rFonts w:ascii="Arial" w:hAnsi="Arial" w:cs="Arial"/>
          <w:sz w:val="20"/>
          <w:szCs w:val="20"/>
        </w:rPr>
        <w:t>3.3% cumulative release. The slower drug release in MTH4 compared to MTH</w:t>
      </w:r>
      <w:r w:rsidR="002C1B40" w:rsidRPr="00D77559">
        <w:rPr>
          <w:rFonts w:ascii="Arial" w:hAnsi="Arial" w:cs="Arial"/>
          <w:sz w:val="20"/>
          <w:szCs w:val="20"/>
        </w:rPr>
        <w:t xml:space="preserve">3 </w:t>
      </w:r>
      <w:r w:rsidRPr="00D77559">
        <w:rPr>
          <w:rFonts w:ascii="Arial" w:hAnsi="Arial" w:cs="Arial"/>
          <w:sz w:val="20"/>
          <w:szCs w:val="20"/>
        </w:rPr>
        <w:t>indicates that process parameters such as spray rate significantly influence granule morphology and matrix compaction. A slower spray rate may lead to denser granules with slower hydration kinetics, thereby delaying drug diffusion. However, the incomplete release suggests that the matrix formed under these conditions may have been overly compact or insufficiently hydrated, restricting complete drug diffusion over the test period.</w:t>
      </w:r>
      <w:r w:rsidR="002C1B40" w:rsidRPr="00D77559">
        <w:rPr>
          <w:rFonts w:ascii="Arial" w:hAnsi="Arial" w:cs="Arial"/>
          <w:sz w:val="20"/>
          <w:szCs w:val="20"/>
        </w:rPr>
        <w:t xml:space="preserve"> </w:t>
      </w:r>
      <w:r w:rsidRPr="00D77559">
        <w:rPr>
          <w:rFonts w:ascii="Arial" w:hAnsi="Arial" w:cs="Arial"/>
          <w:sz w:val="20"/>
          <w:szCs w:val="20"/>
        </w:rPr>
        <w:t xml:space="preserve">Overall, the dissolution findings reinforce the interplay between polymer viscosity, polymer concentration, and granulation spray rate in determining drug-release behavior. Formulations containing higher-viscosity polymers and optimized granulation conditions (MTH3) demonstrated extended and controlled release, consistent with the requirements for </w:t>
      </w:r>
      <w:r w:rsidR="00D805D1" w:rsidRPr="00D77559">
        <w:rPr>
          <w:rFonts w:ascii="Arial" w:hAnsi="Arial" w:cs="Arial"/>
          <w:sz w:val="20"/>
          <w:szCs w:val="20"/>
        </w:rPr>
        <w:t>gastro retentive</w:t>
      </w:r>
      <w:r w:rsidRPr="00D77559">
        <w:rPr>
          <w:rFonts w:ascii="Arial" w:hAnsi="Arial" w:cs="Arial"/>
          <w:sz w:val="20"/>
          <w:szCs w:val="20"/>
        </w:rPr>
        <w:t xml:space="preserve"> sustained-release systems. Conversely, formulations with lower polymer viscosity or suboptimal processing parameters failed to maintain prolonged release due to inadequate gel formation and accelerated matrix erosion. These results support the critical role of polymer characteristics and granulation process optimization in achieving predictable and sustained drug-release profiles.</w:t>
      </w:r>
    </w:p>
    <w:p w14:paraId="01E27199" w14:textId="77777777" w:rsidR="00521298" w:rsidRPr="00D77559" w:rsidRDefault="00521298" w:rsidP="000E31A9">
      <w:pPr>
        <w:spacing w:after="0" w:line="240" w:lineRule="auto"/>
        <w:jc w:val="both"/>
        <w:rPr>
          <w:rFonts w:ascii="Arial" w:eastAsia="Times New Roman" w:hAnsi="Arial" w:cs="Arial"/>
          <w:b/>
          <w:sz w:val="20"/>
          <w:szCs w:val="20"/>
          <w:lang w:eastAsia="en-IN"/>
        </w:rPr>
      </w:pPr>
    </w:p>
    <w:p w14:paraId="55FE01FD" w14:textId="3018FF8A" w:rsidR="00E8082A" w:rsidRPr="00D77559" w:rsidRDefault="00521298" w:rsidP="000E31A9">
      <w:pPr>
        <w:spacing w:after="0" w:line="240" w:lineRule="auto"/>
        <w:jc w:val="both"/>
        <w:rPr>
          <w:rFonts w:ascii="Arial" w:eastAsia="Times New Roman" w:hAnsi="Arial" w:cs="Arial"/>
          <w:b/>
          <w:sz w:val="20"/>
          <w:szCs w:val="20"/>
          <w:lang w:eastAsia="en-IN"/>
        </w:rPr>
      </w:pPr>
      <w:r w:rsidRPr="00D77559">
        <w:rPr>
          <w:rFonts w:ascii="Arial" w:eastAsia="Times New Roman" w:hAnsi="Arial" w:cs="Arial"/>
          <w:b/>
          <w:sz w:val="20"/>
          <w:szCs w:val="20"/>
          <w:lang w:eastAsia="en-IN"/>
        </w:rPr>
        <w:t>3.4 Release kinetics</w:t>
      </w:r>
    </w:p>
    <w:p w14:paraId="4A101325" w14:textId="77777777" w:rsidR="00521298" w:rsidRPr="00D77559" w:rsidRDefault="00521298" w:rsidP="000E31A9">
      <w:pPr>
        <w:spacing w:after="0" w:line="240" w:lineRule="auto"/>
        <w:jc w:val="both"/>
        <w:rPr>
          <w:rFonts w:ascii="Arial" w:eastAsia="Times New Roman" w:hAnsi="Arial" w:cs="Arial"/>
          <w:b/>
          <w:sz w:val="20"/>
          <w:szCs w:val="20"/>
          <w:lang w:eastAsia="en-IN"/>
        </w:rPr>
      </w:pPr>
    </w:p>
    <w:p w14:paraId="427EE7A1" w14:textId="77777777" w:rsidR="00B83E67" w:rsidRDefault="00870D37" w:rsidP="000E31A9">
      <w:pPr>
        <w:spacing w:after="0" w:line="240" w:lineRule="auto"/>
        <w:jc w:val="both"/>
        <w:rPr>
          <w:rFonts w:ascii="Arial" w:eastAsia="Times New Roman" w:hAnsi="Arial" w:cs="Arial"/>
          <w:sz w:val="20"/>
          <w:szCs w:val="20"/>
          <w:lang w:eastAsia="en-IN"/>
        </w:rPr>
      </w:pPr>
      <w:r w:rsidRPr="00D77559">
        <w:rPr>
          <w:rFonts w:ascii="Arial" w:eastAsia="Times New Roman" w:hAnsi="Arial" w:cs="Arial"/>
          <w:sz w:val="20"/>
          <w:szCs w:val="20"/>
          <w:lang w:eastAsia="en-IN"/>
        </w:rPr>
        <w:t>To elucidate the release mechanism of Metformin HCl from the floating tablets, the in vitro dissolution data were analyzed using various kinetic models commonly applied to matrix-based controlled-release systems</w:t>
      </w:r>
      <w:r w:rsidR="00D6245F" w:rsidRPr="00D77559">
        <w:rPr>
          <w:rFonts w:ascii="Arial" w:eastAsia="Times New Roman" w:hAnsi="Arial" w:cs="Arial"/>
          <w:sz w:val="20"/>
          <w:szCs w:val="20"/>
          <w:lang w:eastAsia="en-IN"/>
        </w:rPr>
        <w:t xml:space="preserve"> (Higuchi T,1961; Higuchi T,1963). </w:t>
      </w:r>
      <w:r w:rsidRPr="00D77559">
        <w:rPr>
          <w:rFonts w:ascii="Arial" w:eastAsia="Times New Roman" w:hAnsi="Arial" w:cs="Arial"/>
          <w:sz w:val="20"/>
          <w:szCs w:val="20"/>
          <w:lang w:eastAsia="en-IN"/>
        </w:rPr>
        <w:t>The models evaluated included zero-order, first-order, Higuchi, and Korsmeyer - Peppas equations.</w:t>
      </w:r>
      <w:r w:rsidR="00B83E67">
        <w:rPr>
          <w:rFonts w:ascii="Arial" w:eastAsia="Times New Roman" w:hAnsi="Arial" w:cs="Arial"/>
          <w:sz w:val="20"/>
          <w:szCs w:val="20"/>
          <w:lang w:eastAsia="en-IN"/>
        </w:rPr>
        <w:t xml:space="preserve"> </w:t>
      </w:r>
      <w:r w:rsidRPr="00D77559">
        <w:rPr>
          <w:rFonts w:ascii="Arial" w:eastAsia="Times New Roman" w:hAnsi="Arial" w:cs="Arial"/>
          <w:sz w:val="20"/>
          <w:szCs w:val="20"/>
          <w:lang w:eastAsia="en-IN"/>
        </w:rPr>
        <w:t>When the cumulative drug release was plotted as a function of the square root of time, the optimized formulation (MTH3) exhibited a strong linear relationship consistent with the Higuchi model. This was supported by a high correlation coefficient (r² = 0.99), which exceeded those obtained for the zero-order (r² = 0.97) and first-order (r² = 0.57) models, indicating that drug diffusion through a hydrated polymeric matrix was the predominant release mechanism. To gain additional insight, the release data were fitted to the Korsmeyer - Peppas equation</w:t>
      </w:r>
    </w:p>
    <w:p w14:paraId="2F0AC784" w14:textId="77777777" w:rsidR="00B83E67" w:rsidRDefault="00B83E67" w:rsidP="00B83E67">
      <w:pPr>
        <w:spacing w:after="0" w:line="240" w:lineRule="auto"/>
        <w:jc w:val="center"/>
        <w:rPr>
          <w:rFonts w:ascii="Arial" w:eastAsia="Times New Roman" w:hAnsi="Arial" w:cs="Arial"/>
          <w:sz w:val="20"/>
          <w:szCs w:val="20"/>
          <w:lang w:eastAsia="en-IN"/>
        </w:rPr>
      </w:pPr>
    </w:p>
    <w:p w14:paraId="089B0D13" w14:textId="343BB258" w:rsidR="00870D37" w:rsidRPr="00B83E67" w:rsidRDefault="00870D37" w:rsidP="00B83E67">
      <w:pPr>
        <w:spacing w:after="0" w:line="240" w:lineRule="auto"/>
        <w:jc w:val="center"/>
        <w:rPr>
          <w:rFonts w:ascii="Arial" w:eastAsia="Times New Roman" w:hAnsi="Arial" w:cs="Arial"/>
          <w:sz w:val="20"/>
          <w:szCs w:val="20"/>
          <w:lang w:eastAsia="en-IN"/>
        </w:rPr>
      </w:pPr>
      <w:r w:rsidRPr="00D77559">
        <w:rPr>
          <w:rFonts w:ascii="Arial" w:eastAsia="Times New Roman" w:hAnsi="Arial" w:cs="Arial"/>
          <w:sz w:val="20"/>
          <w:szCs w:val="20"/>
          <w:lang w:eastAsia="en-IN"/>
        </w:rPr>
        <w:t>(</w:t>
      </w:r>
      <w:r w:rsidRPr="00D77559">
        <w:rPr>
          <w:rFonts w:ascii="Arial" w:eastAsia="Times New Roman" w:hAnsi="Arial" w:cs="Arial"/>
          <w:b/>
          <w:bCs/>
          <w:sz w:val="20"/>
          <w:szCs w:val="20"/>
          <w:lang w:eastAsia="en-IN"/>
        </w:rPr>
        <w:t>Mt/M∞ = K · tⁿ)</w:t>
      </w:r>
      <w:r w:rsidR="00FD3635">
        <w:rPr>
          <w:rFonts w:ascii="Arial" w:eastAsia="Times New Roman" w:hAnsi="Arial" w:cs="Arial"/>
          <w:b/>
          <w:bCs/>
          <w:sz w:val="20"/>
          <w:szCs w:val="20"/>
          <w:lang w:eastAsia="en-IN"/>
        </w:rPr>
        <w:t xml:space="preserve"> ---- (3)</w:t>
      </w:r>
    </w:p>
    <w:p w14:paraId="10A60BA5" w14:textId="77777777" w:rsidR="00521298" w:rsidRPr="00D77559" w:rsidRDefault="00521298" w:rsidP="000E31A9">
      <w:pPr>
        <w:spacing w:after="0" w:line="240" w:lineRule="auto"/>
        <w:jc w:val="both"/>
        <w:rPr>
          <w:rFonts w:ascii="Arial" w:eastAsia="Times New Roman" w:hAnsi="Arial" w:cs="Arial"/>
          <w:sz w:val="20"/>
          <w:szCs w:val="20"/>
          <w:lang w:eastAsia="en-IN"/>
        </w:rPr>
      </w:pPr>
    </w:p>
    <w:p w14:paraId="1028088C" w14:textId="4D197D47" w:rsidR="00870D37" w:rsidRPr="00D77559" w:rsidRDefault="00870D37" w:rsidP="000E31A9">
      <w:pPr>
        <w:spacing w:after="0" w:line="240" w:lineRule="auto"/>
        <w:jc w:val="both"/>
        <w:rPr>
          <w:rFonts w:ascii="Arial" w:eastAsia="Times New Roman" w:hAnsi="Arial" w:cs="Arial"/>
          <w:sz w:val="20"/>
          <w:szCs w:val="20"/>
          <w:lang w:eastAsia="en-IN"/>
        </w:rPr>
      </w:pPr>
      <w:r w:rsidRPr="00D77559">
        <w:rPr>
          <w:rFonts w:ascii="Arial" w:eastAsia="Times New Roman" w:hAnsi="Arial" w:cs="Arial"/>
          <w:sz w:val="20"/>
          <w:szCs w:val="20"/>
          <w:lang w:eastAsia="en-IN"/>
        </w:rPr>
        <w:t xml:space="preserve">where </w:t>
      </w:r>
      <w:r w:rsidRPr="00D77559">
        <w:rPr>
          <w:rFonts w:ascii="Arial" w:eastAsia="Times New Roman" w:hAnsi="Arial" w:cs="Arial"/>
          <w:i/>
          <w:iCs/>
          <w:sz w:val="20"/>
          <w:szCs w:val="20"/>
          <w:lang w:eastAsia="en-IN"/>
        </w:rPr>
        <w:t>Mt/M∞</w:t>
      </w:r>
      <w:r w:rsidRPr="00D77559">
        <w:rPr>
          <w:rFonts w:ascii="Arial" w:eastAsia="Times New Roman" w:hAnsi="Arial" w:cs="Arial"/>
          <w:sz w:val="20"/>
          <w:szCs w:val="20"/>
          <w:lang w:eastAsia="en-IN"/>
        </w:rPr>
        <w:t xml:space="preserve"> represents the fraction of drug released at time </w:t>
      </w:r>
      <w:r w:rsidRPr="00D77559">
        <w:rPr>
          <w:rFonts w:ascii="Arial" w:eastAsia="Times New Roman" w:hAnsi="Arial" w:cs="Arial"/>
          <w:i/>
          <w:iCs/>
          <w:sz w:val="20"/>
          <w:szCs w:val="20"/>
          <w:lang w:eastAsia="en-IN"/>
        </w:rPr>
        <w:t>t</w:t>
      </w:r>
      <w:r w:rsidRPr="00D77559">
        <w:rPr>
          <w:rFonts w:ascii="Arial" w:eastAsia="Times New Roman" w:hAnsi="Arial" w:cs="Arial"/>
          <w:sz w:val="20"/>
          <w:szCs w:val="20"/>
          <w:lang w:eastAsia="en-IN"/>
        </w:rPr>
        <w:t xml:space="preserve">, </w:t>
      </w:r>
      <w:r w:rsidRPr="00D77559">
        <w:rPr>
          <w:rFonts w:ascii="Arial" w:eastAsia="Times New Roman" w:hAnsi="Arial" w:cs="Arial"/>
          <w:i/>
          <w:iCs/>
          <w:sz w:val="20"/>
          <w:szCs w:val="20"/>
          <w:lang w:eastAsia="en-IN"/>
        </w:rPr>
        <w:t>K</w:t>
      </w:r>
      <w:r w:rsidRPr="00D77559">
        <w:rPr>
          <w:rFonts w:ascii="Arial" w:eastAsia="Times New Roman" w:hAnsi="Arial" w:cs="Arial"/>
          <w:sz w:val="20"/>
          <w:szCs w:val="20"/>
          <w:lang w:eastAsia="en-IN"/>
        </w:rPr>
        <w:t xml:space="preserve"> is the release-rate constant, and </w:t>
      </w:r>
      <w:r w:rsidRPr="00D77559">
        <w:rPr>
          <w:rFonts w:ascii="Arial" w:eastAsia="Times New Roman" w:hAnsi="Arial" w:cs="Arial"/>
          <w:i/>
          <w:iCs/>
          <w:sz w:val="20"/>
          <w:szCs w:val="20"/>
          <w:lang w:eastAsia="en-IN"/>
        </w:rPr>
        <w:t>n</w:t>
      </w:r>
      <w:r w:rsidRPr="00D77559">
        <w:rPr>
          <w:rFonts w:ascii="Arial" w:eastAsia="Times New Roman" w:hAnsi="Arial" w:cs="Arial"/>
          <w:sz w:val="20"/>
          <w:szCs w:val="20"/>
          <w:lang w:eastAsia="en-IN"/>
        </w:rPr>
        <w:t xml:space="preserve"> is the diffusional exponent that characterizes the release mechanism. The </w:t>
      </w:r>
      <w:r w:rsidRPr="00D77559">
        <w:rPr>
          <w:rFonts w:ascii="Arial" w:eastAsia="Times New Roman" w:hAnsi="Arial" w:cs="Arial"/>
          <w:i/>
          <w:iCs/>
          <w:sz w:val="20"/>
          <w:szCs w:val="20"/>
          <w:lang w:eastAsia="en-IN"/>
        </w:rPr>
        <w:t>n</w:t>
      </w:r>
      <w:r w:rsidRPr="00D77559">
        <w:rPr>
          <w:rFonts w:ascii="Arial" w:eastAsia="Times New Roman" w:hAnsi="Arial" w:cs="Arial"/>
          <w:sz w:val="20"/>
          <w:szCs w:val="20"/>
          <w:lang w:eastAsia="en-IN"/>
        </w:rPr>
        <w:t xml:space="preserve"> value for MTH3 was calculated as 0.49, which falls within the range indicative of anomalous (non-</w:t>
      </w:r>
      <w:proofErr w:type="spellStart"/>
      <w:r w:rsidRPr="00D77559">
        <w:rPr>
          <w:rFonts w:ascii="Arial" w:eastAsia="Times New Roman" w:hAnsi="Arial" w:cs="Arial"/>
          <w:sz w:val="20"/>
          <w:szCs w:val="20"/>
          <w:lang w:eastAsia="en-IN"/>
        </w:rPr>
        <w:t>Fickian</w:t>
      </w:r>
      <w:proofErr w:type="spellEnd"/>
      <w:r w:rsidRPr="00D77559">
        <w:rPr>
          <w:rFonts w:ascii="Arial" w:eastAsia="Times New Roman" w:hAnsi="Arial" w:cs="Arial"/>
          <w:sz w:val="20"/>
          <w:szCs w:val="20"/>
          <w:lang w:eastAsia="en-IN"/>
        </w:rPr>
        <w:t xml:space="preserve">) transport. This suggests that drug release from the optimized floating matrix is governed by a combination of diffusion </w:t>
      </w:r>
      <w:r w:rsidRPr="00D77559">
        <w:rPr>
          <w:rFonts w:ascii="Arial" w:eastAsia="Times New Roman" w:hAnsi="Arial" w:cs="Arial"/>
          <w:sz w:val="20"/>
          <w:szCs w:val="20"/>
          <w:lang w:eastAsia="en-IN"/>
        </w:rPr>
        <w:lastRenderedPageBreak/>
        <w:t>and polymer relaxation or erosion processes rather than a single, uniform mechanism. Overall, the kinetic analysis confirms that Metformin HCl release from the optimized formulation is primarily diffusion-controlled with an accompanying contribution from polymer matrix relaxation, supporting the sustained and controlled release behavior observed in the dissolution studies.</w:t>
      </w:r>
    </w:p>
    <w:p w14:paraId="65E7D971" w14:textId="77777777" w:rsidR="00521298" w:rsidRPr="00D77559" w:rsidRDefault="00521298" w:rsidP="000E31A9">
      <w:pPr>
        <w:spacing w:after="0" w:line="240" w:lineRule="auto"/>
        <w:jc w:val="both"/>
        <w:rPr>
          <w:rFonts w:ascii="Arial" w:eastAsia="Times New Roman" w:hAnsi="Arial" w:cs="Arial"/>
          <w:sz w:val="20"/>
          <w:szCs w:val="20"/>
          <w:lang w:eastAsia="en-IN"/>
        </w:rPr>
      </w:pPr>
    </w:p>
    <w:p w14:paraId="1B78396F" w14:textId="20397186" w:rsidR="00B82BFF" w:rsidRPr="00D77559" w:rsidRDefault="00521298" w:rsidP="000E31A9">
      <w:pPr>
        <w:pStyle w:val="Heading3"/>
        <w:spacing w:before="0" w:beforeAutospacing="0" w:after="0" w:afterAutospacing="0"/>
        <w:jc w:val="both"/>
        <w:rPr>
          <w:rStyle w:val="Strong"/>
          <w:rFonts w:ascii="Arial" w:hAnsi="Arial" w:cs="Arial"/>
          <w:b/>
          <w:bCs/>
          <w:sz w:val="20"/>
          <w:szCs w:val="20"/>
        </w:rPr>
      </w:pPr>
      <w:r w:rsidRPr="00D77559">
        <w:rPr>
          <w:rStyle w:val="Strong"/>
          <w:rFonts w:ascii="Arial" w:hAnsi="Arial" w:cs="Arial"/>
          <w:b/>
          <w:bCs/>
          <w:sz w:val="20"/>
          <w:szCs w:val="20"/>
        </w:rPr>
        <w:t xml:space="preserve">3.5 </w:t>
      </w:r>
      <w:r w:rsidR="00B82BFF" w:rsidRPr="00D77559">
        <w:rPr>
          <w:rStyle w:val="Strong"/>
          <w:rFonts w:ascii="Arial" w:hAnsi="Arial" w:cs="Arial"/>
          <w:b/>
          <w:bCs/>
          <w:sz w:val="20"/>
          <w:szCs w:val="20"/>
        </w:rPr>
        <w:t>In vivo gastric retention of the optimized formulation</w:t>
      </w:r>
    </w:p>
    <w:p w14:paraId="56C4F2C0" w14:textId="77777777" w:rsidR="00521298" w:rsidRPr="00D77559" w:rsidRDefault="00521298" w:rsidP="000E31A9">
      <w:pPr>
        <w:pStyle w:val="Heading3"/>
        <w:spacing w:before="0" w:beforeAutospacing="0" w:after="0" w:afterAutospacing="0"/>
        <w:jc w:val="both"/>
        <w:rPr>
          <w:rFonts w:ascii="Arial" w:hAnsi="Arial" w:cs="Arial"/>
          <w:sz w:val="20"/>
          <w:szCs w:val="20"/>
        </w:rPr>
      </w:pPr>
    </w:p>
    <w:p w14:paraId="3D4EB231" w14:textId="42E176D2" w:rsidR="00B82BFF" w:rsidRDefault="00B82BFF" w:rsidP="000E31A9">
      <w:pPr>
        <w:pStyle w:val="NormalWeb"/>
        <w:spacing w:before="0" w:beforeAutospacing="0" w:after="0" w:afterAutospacing="0"/>
        <w:jc w:val="both"/>
        <w:rPr>
          <w:rFonts w:ascii="Arial" w:hAnsi="Arial" w:cs="Arial"/>
          <w:sz w:val="20"/>
          <w:szCs w:val="20"/>
        </w:rPr>
      </w:pPr>
      <w:r w:rsidRPr="00D77559">
        <w:rPr>
          <w:rFonts w:ascii="Arial" w:hAnsi="Arial" w:cs="Arial"/>
          <w:sz w:val="20"/>
          <w:szCs w:val="20"/>
        </w:rPr>
        <w:t xml:space="preserve">The optimized formulation was selected after a comprehensive evaluation of physical properties, in vitro buoyancy behavior, and drug-release performance. Among all the formulations, MTH3 demonstrated superior characteristics, including rapid floating onset, prolonged buoyancy, controlled swelling and erosion behavior, and sustained drug release for up to 16 hours. These findings collectively indicated that MTH3 possessed the structural and functional attributes required for an effective </w:t>
      </w:r>
      <w:r w:rsidR="00551B56" w:rsidRPr="00D77559">
        <w:rPr>
          <w:rFonts w:ascii="Arial" w:hAnsi="Arial" w:cs="Arial"/>
          <w:sz w:val="20"/>
          <w:szCs w:val="20"/>
        </w:rPr>
        <w:t>gastro retentive</w:t>
      </w:r>
      <w:r w:rsidRPr="00D77559">
        <w:rPr>
          <w:rFonts w:ascii="Arial" w:hAnsi="Arial" w:cs="Arial"/>
          <w:sz w:val="20"/>
          <w:szCs w:val="20"/>
        </w:rPr>
        <w:t xml:space="preserve"> delivery </w:t>
      </w:r>
      <w:r w:rsidR="00551B56" w:rsidRPr="00D77559">
        <w:rPr>
          <w:rFonts w:ascii="Arial" w:hAnsi="Arial" w:cs="Arial"/>
          <w:sz w:val="20"/>
          <w:szCs w:val="20"/>
        </w:rPr>
        <w:t>system. To</w:t>
      </w:r>
      <w:r w:rsidRPr="00D77559">
        <w:rPr>
          <w:rFonts w:ascii="Arial" w:hAnsi="Arial" w:cs="Arial"/>
          <w:sz w:val="20"/>
          <w:szCs w:val="20"/>
        </w:rPr>
        <w:t xml:space="preserve"> confirm its in vivo floating behavior, MTH3 was further subjected to radiographic imaging studies in healthy human volunteers under fasting conditions. The X-ray images showed that the tablets remained buoyant in the stomach for </w:t>
      </w:r>
      <w:r w:rsidRPr="00D77559">
        <w:rPr>
          <w:rStyle w:val="Strong"/>
          <w:rFonts w:ascii="Arial" w:hAnsi="Arial" w:cs="Arial"/>
          <w:b w:val="0"/>
          <w:sz w:val="20"/>
          <w:szCs w:val="20"/>
        </w:rPr>
        <w:t>3</w:t>
      </w:r>
      <w:r w:rsidR="009D4CE3">
        <w:rPr>
          <w:rStyle w:val="Strong"/>
          <w:rFonts w:ascii="Arial" w:hAnsi="Arial" w:cs="Arial"/>
          <w:b w:val="0"/>
          <w:sz w:val="20"/>
          <w:szCs w:val="20"/>
        </w:rPr>
        <w:t>6</w:t>
      </w:r>
      <w:r w:rsidRPr="00D77559">
        <w:rPr>
          <w:rStyle w:val="Strong"/>
          <w:rFonts w:ascii="Arial" w:hAnsi="Arial" w:cs="Arial"/>
          <w:b w:val="0"/>
          <w:sz w:val="20"/>
          <w:szCs w:val="20"/>
        </w:rPr>
        <w:t>0 ± 30 minutes</w:t>
      </w:r>
      <w:r w:rsidRPr="00D77559">
        <w:rPr>
          <w:rFonts w:ascii="Arial" w:hAnsi="Arial" w:cs="Arial"/>
          <w:sz w:val="20"/>
          <w:szCs w:val="20"/>
        </w:rPr>
        <w:t>, demonstrating consistent gas</w:t>
      </w:r>
      <w:r w:rsidR="00551B56">
        <w:rPr>
          <w:rFonts w:ascii="Arial" w:hAnsi="Arial" w:cs="Arial"/>
          <w:sz w:val="20"/>
          <w:szCs w:val="20"/>
        </w:rPr>
        <w:t xml:space="preserve">tric retention across subjects </w:t>
      </w:r>
      <w:r w:rsidRPr="00551B56">
        <w:rPr>
          <w:rFonts w:ascii="Arial" w:hAnsi="Arial" w:cs="Arial"/>
          <w:b/>
          <w:sz w:val="20"/>
          <w:szCs w:val="20"/>
        </w:rPr>
        <w:t xml:space="preserve">Figure </w:t>
      </w:r>
      <w:r w:rsidR="009D4CE3" w:rsidRPr="00551B56">
        <w:rPr>
          <w:rFonts w:ascii="Arial" w:hAnsi="Arial" w:cs="Arial"/>
          <w:b/>
          <w:sz w:val="20"/>
          <w:szCs w:val="20"/>
        </w:rPr>
        <w:t>3</w:t>
      </w:r>
      <w:r w:rsidRPr="00D77559">
        <w:rPr>
          <w:rFonts w:ascii="Arial" w:hAnsi="Arial" w:cs="Arial"/>
          <w:sz w:val="20"/>
          <w:szCs w:val="20"/>
        </w:rPr>
        <w:t>. This prolonged intragastric residence</w:t>
      </w:r>
      <w:r w:rsidR="00040798" w:rsidRPr="00D77559">
        <w:rPr>
          <w:rFonts w:ascii="Arial" w:hAnsi="Arial" w:cs="Arial"/>
          <w:sz w:val="20"/>
          <w:szCs w:val="20"/>
        </w:rPr>
        <w:t xml:space="preserve"> time</w:t>
      </w:r>
      <w:r w:rsidRPr="00D77559">
        <w:rPr>
          <w:rFonts w:ascii="Arial" w:hAnsi="Arial" w:cs="Arial"/>
          <w:sz w:val="20"/>
          <w:szCs w:val="20"/>
        </w:rPr>
        <w:t xml:space="preserve"> is in agreement with the strong gel layer formation and high swelling capacity observed in vitro, which likely contributed to the tablet’s ability to resist gastric motility forces and maintain buoyancy in the acidic gastric environment</w:t>
      </w:r>
      <w:r w:rsidR="00D6245F" w:rsidRPr="00D77559">
        <w:rPr>
          <w:rFonts w:ascii="Arial" w:hAnsi="Arial" w:cs="Arial"/>
          <w:sz w:val="20"/>
          <w:szCs w:val="20"/>
        </w:rPr>
        <w:t xml:space="preserve"> (Meka V et al., 2012)</w:t>
      </w:r>
      <w:r w:rsidRPr="00D77559">
        <w:rPr>
          <w:rFonts w:ascii="Arial" w:hAnsi="Arial" w:cs="Arial"/>
          <w:sz w:val="20"/>
          <w:szCs w:val="20"/>
        </w:rPr>
        <w:t>. The in vivo findings validate the predictive capability of the in vitro buoyancy and swelling/erosion studies, confirming that formulation MTH3 provides reliable gastro-retention. This extended retention time is particularly advantageous for metformin HCl, a drug with a narrow absorption window in the upper gastrointestinal tract, as it increases the likelihood of improved absorption and therapeutic performance.</w:t>
      </w:r>
    </w:p>
    <w:p w14:paraId="1444FE7D" w14:textId="77777777" w:rsidR="00B27F29" w:rsidRDefault="00B27F29" w:rsidP="000E31A9">
      <w:pPr>
        <w:pStyle w:val="NormalWeb"/>
        <w:spacing w:before="0" w:beforeAutospacing="0" w:after="0" w:afterAutospacing="0"/>
        <w:jc w:val="both"/>
        <w:rPr>
          <w:rFonts w:ascii="Arial" w:hAnsi="Arial" w:cs="Arial"/>
          <w:sz w:val="20"/>
          <w:szCs w:val="20"/>
        </w:rPr>
      </w:pPr>
    </w:p>
    <w:p w14:paraId="12D72AA5" w14:textId="77777777" w:rsidR="00B27F29" w:rsidRDefault="00B27F29" w:rsidP="00B27F29">
      <w:pPr>
        <w:tabs>
          <w:tab w:val="left" w:pos="1596"/>
        </w:tabs>
        <w:rPr>
          <w:rFonts w:ascii="Arial" w:eastAsia="Times New Roman" w:hAnsi="Arial" w:cs="Arial"/>
          <w:sz w:val="20"/>
          <w:szCs w:val="20"/>
          <w:lang w:eastAsia="en-IN"/>
        </w:rPr>
      </w:pPr>
      <w:r>
        <w:rPr>
          <w:rFonts w:ascii="Arial" w:eastAsia="Times New Roman" w:hAnsi="Arial" w:cs="Arial"/>
          <w:noProof/>
          <w:sz w:val="20"/>
          <w:szCs w:val="20"/>
          <w:lang w:val="en-US"/>
        </w:rPr>
        <w:drawing>
          <wp:inline distT="0" distB="0" distL="0" distR="0" wp14:anchorId="0128C9CC" wp14:editId="609101B5">
            <wp:extent cx="5728917" cy="2035834"/>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9045" cy="2050094"/>
                    </a:xfrm>
                    <a:prstGeom prst="rect">
                      <a:avLst/>
                    </a:prstGeom>
                    <a:noFill/>
                    <a:ln>
                      <a:noFill/>
                    </a:ln>
                  </pic:spPr>
                </pic:pic>
              </a:graphicData>
            </a:graphic>
          </wp:inline>
        </w:drawing>
      </w:r>
    </w:p>
    <w:p w14:paraId="68280390" w14:textId="77777777" w:rsidR="00B27F29" w:rsidRPr="00B27F29" w:rsidRDefault="00B27F29" w:rsidP="00B27F29">
      <w:pPr>
        <w:pStyle w:val="NormalWeb"/>
        <w:spacing w:before="0" w:beforeAutospacing="0" w:after="0" w:afterAutospacing="0"/>
        <w:jc w:val="center"/>
        <w:rPr>
          <w:rFonts w:ascii="Arial" w:hAnsi="Arial" w:cs="Arial"/>
          <w:sz w:val="20"/>
          <w:szCs w:val="20"/>
        </w:rPr>
      </w:pPr>
      <w:r w:rsidRPr="00B27F29">
        <w:rPr>
          <w:rFonts w:ascii="Arial" w:hAnsi="Arial" w:cs="Arial"/>
          <w:b/>
          <w:sz w:val="20"/>
          <w:szCs w:val="20"/>
        </w:rPr>
        <w:t>Figure 3:</w:t>
      </w:r>
      <w:r w:rsidRPr="00B27F29">
        <w:rPr>
          <w:rFonts w:ascii="Arial" w:hAnsi="Arial" w:cs="Arial"/>
          <w:sz w:val="20"/>
          <w:szCs w:val="20"/>
        </w:rPr>
        <w:t xml:space="preserve"> Radiographic visualization of the in vivo buoyancy profile of the optimized MTH3 formulation at different time points.</w:t>
      </w:r>
    </w:p>
    <w:p w14:paraId="2DC7A57D" w14:textId="77777777" w:rsidR="00FD3635" w:rsidRDefault="00FD3635" w:rsidP="00FD3635">
      <w:pPr>
        <w:spacing w:after="0"/>
        <w:rPr>
          <w:rStyle w:val="Strong"/>
          <w:rFonts w:ascii="Arial" w:hAnsi="Arial" w:cs="Arial"/>
          <w:sz w:val="20"/>
          <w:szCs w:val="20"/>
        </w:rPr>
      </w:pPr>
    </w:p>
    <w:p w14:paraId="3FBC4DD6" w14:textId="3A21625F" w:rsidR="00040798" w:rsidRDefault="00521298" w:rsidP="00FD3635">
      <w:pPr>
        <w:spacing w:after="0"/>
        <w:rPr>
          <w:rStyle w:val="Strong"/>
          <w:rFonts w:ascii="Arial" w:hAnsi="Arial" w:cs="Arial"/>
        </w:rPr>
      </w:pPr>
      <w:r w:rsidRPr="00D77559">
        <w:rPr>
          <w:rStyle w:val="Strong"/>
          <w:rFonts w:ascii="Arial" w:hAnsi="Arial" w:cs="Arial"/>
          <w:sz w:val="20"/>
          <w:szCs w:val="20"/>
        </w:rPr>
        <w:t xml:space="preserve">4. </w:t>
      </w:r>
      <w:r w:rsidRPr="00D77559">
        <w:rPr>
          <w:rStyle w:val="Strong"/>
          <w:rFonts w:ascii="Arial" w:hAnsi="Arial" w:cs="Arial"/>
        </w:rPr>
        <w:t>CONCLUSION</w:t>
      </w:r>
    </w:p>
    <w:p w14:paraId="562CDFA9" w14:textId="77777777" w:rsidR="00FD3635" w:rsidRPr="00D77559" w:rsidRDefault="00FD3635" w:rsidP="00FD3635">
      <w:pPr>
        <w:spacing w:after="0"/>
        <w:rPr>
          <w:rStyle w:val="Strong"/>
          <w:rFonts w:ascii="Arial" w:hAnsi="Arial" w:cs="Arial"/>
          <w:b w:val="0"/>
          <w:bCs w:val="0"/>
          <w:sz w:val="20"/>
          <w:szCs w:val="20"/>
        </w:rPr>
      </w:pPr>
    </w:p>
    <w:p w14:paraId="3602DAD7" w14:textId="04874905" w:rsidR="00040798" w:rsidRPr="00D77559" w:rsidRDefault="00040798" w:rsidP="000E31A9">
      <w:pPr>
        <w:pStyle w:val="NormalWeb"/>
        <w:spacing w:before="0" w:beforeAutospacing="0" w:after="0" w:afterAutospacing="0"/>
        <w:jc w:val="both"/>
        <w:rPr>
          <w:rFonts w:ascii="Arial" w:hAnsi="Arial" w:cs="Arial"/>
          <w:sz w:val="20"/>
          <w:szCs w:val="20"/>
        </w:rPr>
      </w:pPr>
      <w:r w:rsidRPr="00D77559">
        <w:rPr>
          <w:rFonts w:ascii="Arial" w:hAnsi="Arial" w:cs="Arial"/>
          <w:sz w:val="20"/>
          <w:szCs w:val="20"/>
        </w:rPr>
        <w:t>This study demonstrates that both binder viscosity</w:t>
      </w:r>
      <w:r w:rsidR="00C6198E">
        <w:rPr>
          <w:rFonts w:ascii="Arial" w:hAnsi="Arial" w:cs="Arial"/>
          <w:sz w:val="20"/>
          <w:szCs w:val="20"/>
        </w:rPr>
        <w:t xml:space="preserve"> (</w:t>
      </w:r>
      <w:r w:rsidR="00C6198E" w:rsidRPr="00C6198E">
        <w:rPr>
          <w:rFonts w:ascii="Arial" w:hAnsi="Arial" w:cs="Arial"/>
          <w:color w:val="00B0F0"/>
          <w:sz w:val="20"/>
          <w:szCs w:val="20"/>
        </w:rPr>
        <w:t>PVA 40 cP</w:t>
      </w:r>
      <w:r w:rsidR="00C6198E">
        <w:rPr>
          <w:rFonts w:ascii="Arial" w:hAnsi="Arial" w:cs="Arial"/>
          <w:sz w:val="20"/>
          <w:szCs w:val="20"/>
        </w:rPr>
        <w:t>)</w:t>
      </w:r>
      <w:r w:rsidRPr="00D77559">
        <w:rPr>
          <w:rFonts w:ascii="Arial" w:hAnsi="Arial" w:cs="Arial"/>
          <w:sz w:val="20"/>
          <w:szCs w:val="20"/>
        </w:rPr>
        <w:t xml:space="preserve"> and granulation process parameters play critical roles in the development of effective controlled-release floating Metformin HCl tablets. Among the evaluated formulations, tablets prepared with PVA 40 </w:t>
      </w:r>
      <w:proofErr w:type="spellStart"/>
      <w:r w:rsidRPr="00D77559">
        <w:rPr>
          <w:rFonts w:ascii="Arial" w:hAnsi="Arial" w:cs="Arial"/>
          <w:sz w:val="20"/>
          <w:szCs w:val="20"/>
        </w:rPr>
        <w:t>cP</w:t>
      </w:r>
      <w:proofErr w:type="spellEnd"/>
      <w:r w:rsidRPr="00D77559">
        <w:rPr>
          <w:rFonts w:ascii="Arial" w:hAnsi="Arial" w:cs="Arial"/>
          <w:sz w:val="20"/>
          <w:szCs w:val="20"/>
        </w:rPr>
        <w:t xml:space="preserve"> as the binder and processed using a faster top-spray granulation rate (MTH3) exhibited the most favorable performance, characterized by rapid flotation</w:t>
      </w:r>
      <w:r w:rsidR="00C6198E">
        <w:rPr>
          <w:rFonts w:ascii="Arial" w:hAnsi="Arial" w:cs="Arial"/>
          <w:sz w:val="20"/>
          <w:szCs w:val="20"/>
        </w:rPr>
        <w:t xml:space="preserve"> (</w:t>
      </w:r>
      <w:r w:rsidR="00C6198E" w:rsidRPr="00C6198E">
        <w:rPr>
          <w:rFonts w:ascii="Arial" w:hAnsi="Arial" w:cs="Arial"/>
          <w:color w:val="00B0F0"/>
          <w:sz w:val="20"/>
          <w:szCs w:val="20"/>
        </w:rPr>
        <w:t>less than 30 seconds</w:t>
      </w:r>
      <w:r w:rsidR="00C6198E">
        <w:rPr>
          <w:rFonts w:ascii="Arial" w:hAnsi="Arial" w:cs="Arial"/>
          <w:sz w:val="20"/>
          <w:szCs w:val="20"/>
        </w:rPr>
        <w:t>)</w:t>
      </w:r>
      <w:r w:rsidRPr="00D77559">
        <w:rPr>
          <w:rFonts w:ascii="Arial" w:hAnsi="Arial" w:cs="Arial"/>
          <w:sz w:val="20"/>
          <w:szCs w:val="20"/>
        </w:rPr>
        <w:t>, prolonged buoyancy</w:t>
      </w:r>
      <w:r w:rsidR="00C6198E">
        <w:rPr>
          <w:rFonts w:ascii="Arial" w:hAnsi="Arial" w:cs="Arial"/>
          <w:sz w:val="20"/>
          <w:szCs w:val="20"/>
        </w:rPr>
        <w:t xml:space="preserve"> (</w:t>
      </w:r>
      <w:r w:rsidR="00C6198E" w:rsidRPr="00C6198E">
        <w:rPr>
          <w:rFonts w:ascii="Arial" w:hAnsi="Arial" w:cs="Arial"/>
          <w:color w:val="00B0F0"/>
          <w:sz w:val="20"/>
          <w:szCs w:val="20"/>
        </w:rPr>
        <w:t>16 hours</w:t>
      </w:r>
      <w:r w:rsidR="00C6198E">
        <w:rPr>
          <w:rFonts w:ascii="Arial" w:hAnsi="Arial" w:cs="Arial"/>
          <w:sz w:val="20"/>
          <w:szCs w:val="20"/>
        </w:rPr>
        <w:t>)</w:t>
      </w:r>
      <w:r w:rsidRPr="00D77559">
        <w:rPr>
          <w:rFonts w:ascii="Arial" w:hAnsi="Arial" w:cs="Arial"/>
          <w:sz w:val="20"/>
          <w:szCs w:val="20"/>
        </w:rPr>
        <w:t>, and sustained drug release. The optimized formulation demonstrated controlled-release behavior governed by a combined diffusion</w:t>
      </w:r>
      <w:r w:rsidR="00C6198E">
        <w:rPr>
          <w:rFonts w:ascii="Arial" w:hAnsi="Arial" w:cs="Arial"/>
          <w:sz w:val="20"/>
          <w:szCs w:val="20"/>
        </w:rPr>
        <w:t xml:space="preserve"> </w:t>
      </w:r>
      <w:r w:rsidRPr="00D77559">
        <w:rPr>
          <w:rFonts w:ascii="Arial" w:hAnsi="Arial" w:cs="Arial"/>
          <w:sz w:val="20"/>
          <w:szCs w:val="20"/>
        </w:rPr>
        <w:t xml:space="preserve">erosion mechanism and maintained stability under accelerated conditions. In vivo radiographic evaluation further confirmed the </w:t>
      </w:r>
      <w:r w:rsidR="00D805D1" w:rsidRPr="00D77559">
        <w:rPr>
          <w:rFonts w:ascii="Arial" w:hAnsi="Arial" w:cs="Arial"/>
          <w:sz w:val="20"/>
          <w:szCs w:val="20"/>
        </w:rPr>
        <w:t>gastro retentive</w:t>
      </w:r>
      <w:r w:rsidRPr="00D77559">
        <w:rPr>
          <w:rFonts w:ascii="Arial" w:hAnsi="Arial" w:cs="Arial"/>
          <w:sz w:val="20"/>
          <w:szCs w:val="20"/>
        </w:rPr>
        <w:t xml:space="preserve"> capability of the optimized tablets. Overall, the integration of a higher-viscosity PVA binder with optimized granulation parameters provides a robust and reliable approach for formulating floating controlled-release Metformin HCl tablets with enhanced biopharmaceutical performance.</w:t>
      </w:r>
    </w:p>
    <w:p w14:paraId="0D718C86" w14:textId="4A61E30F" w:rsidR="00040798" w:rsidRPr="00D77559" w:rsidRDefault="00040798" w:rsidP="000E31A9">
      <w:pPr>
        <w:autoSpaceDE w:val="0"/>
        <w:autoSpaceDN w:val="0"/>
        <w:adjustRightInd w:val="0"/>
        <w:spacing w:after="0" w:line="240" w:lineRule="auto"/>
        <w:jc w:val="both"/>
        <w:rPr>
          <w:rFonts w:ascii="Arial" w:eastAsia="Times New Roman" w:hAnsi="Arial" w:cs="Arial"/>
          <w:sz w:val="20"/>
          <w:szCs w:val="20"/>
          <w:lang w:eastAsia="en-IN"/>
        </w:rPr>
      </w:pPr>
    </w:p>
    <w:p w14:paraId="19439988" w14:textId="77777777" w:rsidR="006D2E50" w:rsidRPr="00192A6D" w:rsidRDefault="006D2E50" w:rsidP="006D2E50">
      <w:pPr>
        <w:tabs>
          <w:tab w:val="left" w:pos="426"/>
        </w:tabs>
        <w:spacing w:after="0" w:line="240" w:lineRule="auto"/>
        <w:jc w:val="both"/>
        <w:rPr>
          <w:rFonts w:ascii="Arial" w:hAnsi="Arial" w:cs="Arial"/>
          <w:b/>
          <w:bCs/>
          <w:color w:val="00B0F0"/>
        </w:rPr>
      </w:pPr>
      <w:r w:rsidRPr="00192A6D">
        <w:rPr>
          <w:rFonts w:ascii="Arial" w:hAnsi="Arial" w:cs="Arial"/>
          <w:b/>
          <w:bCs/>
          <w:color w:val="00B0F0"/>
        </w:rPr>
        <w:t>ETHICS APPROVAL</w:t>
      </w:r>
    </w:p>
    <w:p w14:paraId="5165B38C" w14:textId="77777777" w:rsidR="006D2E50" w:rsidRPr="00192A6D" w:rsidRDefault="006D2E50" w:rsidP="006D2E50">
      <w:pPr>
        <w:pStyle w:val="ListParagraph"/>
        <w:tabs>
          <w:tab w:val="left" w:pos="426"/>
        </w:tabs>
        <w:spacing w:after="0" w:line="240" w:lineRule="auto"/>
        <w:ind w:left="284"/>
        <w:jc w:val="both"/>
        <w:rPr>
          <w:rFonts w:ascii="Arial" w:hAnsi="Arial" w:cs="Arial"/>
          <w:b/>
          <w:bCs/>
          <w:color w:val="00B0F0"/>
        </w:rPr>
      </w:pPr>
    </w:p>
    <w:p w14:paraId="45A5E417" w14:textId="77777777" w:rsidR="006D2E50" w:rsidRPr="00192A6D" w:rsidRDefault="006D2E50" w:rsidP="006D2E50">
      <w:pPr>
        <w:spacing w:after="0" w:line="240" w:lineRule="auto"/>
        <w:jc w:val="both"/>
        <w:rPr>
          <w:rFonts w:ascii="Arial" w:hAnsi="Arial" w:cs="Arial"/>
          <w:color w:val="00B0F0"/>
          <w:sz w:val="20"/>
          <w:szCs w:val="20"/>
        </w:rPr>
      </w:pPr>
      <w:r w:rsidRPr="00192A6D">
        <w:rPr>
          <w:rFonts w:ascii="Arial" w:hAnsi="Arial" w:cs="Arial"/>
          <w:color w:val="00B0F0"/>
          <w:sz w:val="20"/>
          <w:szCs w:val="20"/>
        </w:rPr>
        <w:t>None to declare</w:t>
      </w:r>
    </w:p>
    <w:p w14:paraId="082C2538" w14:textId="77777777" w:rsidR="006D2E50" w:rsidRPr="00192A6D" w:rsidRDefault="006D2E50" w:rsidP="006D2E50">
      <w:pPr>
        <w:spacing w:after="0" w:line="240" w:lineRule="auto"/>
        <w:jc w:val="both"/>
        <w:rPr>
          <w:rFonts w:ascii="Arial" w:hAnsi="Arial" w:cs="Arial"/>
          <w:color w:val="00B0F0"/>
          <w:sz w:val="20"/>
          <w:szCs w:val="20"/>
        </w:rPr>
      </w:pPr>
    </w:p>
    <w:p w14:paraId="209C872C" w14:textId="77777777" w:rsidR="006D2E50" w:rsidRPr="00192A6D" w:rsidRDefault="006D2E50" w:rsidP="006D2E50">
      <w:pPr>
        <w:spacing w:after="0" w:line="240" w:lineRule="auto"/>
        <w:jc w:val="both"/>
        <w:rPr>
          <w:rFonts w:ascii="Arial" w:hAnsi="Arial" w:cs="Arial"/>
          <w:b/>
          <w:color w:val="00B0F0"/>
          <w:sz w:val="20"/>
          <w:szCs w:val="20"/>
        </w:rPr>
      </w:pPr>
      <w:r w:rsidRPr="00192A6D">
        <w:rPr>
          <w:rFonts w:ascii="Arial" w:hAnsi="Arial" w:cs="Arial"/>
          <w:b/>
          <w:color w:val="00B0F0"/>
          <w:sz w:val="20"/>
          <w:szCs w:val="20"/>
        </w:rPr>
        <w:lastRenderedPageBreak/>
        <w:t>COMPETING INTERESTS DISCLAIMER:</w:t>
      </w:r>
    </w:p>
    <w:p w14:paraId="2FFA74CF" w14:textId="77777777" w:rsidR="006D2E50" w:rsidRPr="00192A6D" w:rsidRDefault="006D2E50" w:rsidP="006D2E50">
      <w:pPr>
        <w:spacing w:after="0" w:line="240" w:lineRule="auto"/>
        <w:jc w:val="both"/>
        <w:rPr>
          <w:rFonts w:ascii="Arial" w:hAnsi="Arial" w:cs="Arial"/>
          <w:color w:val="00B0F0"/>
          <w:sz w:val="20"/>
          <w:szCs w:val="20"/>
        </w:rPr>
      </w:pPr>
    </w:p>
    <w:p w14:paraId="365FEA2A" w14:textId="77777777" w:rsidR="006D2E50" w:rsidRPr="00192A6D" w:rsidRDefault="006D2E50" w:rsidP="006D2E50">
      <w:pPr>
        <w:spacing w:after="0" w:line="240" w:lineRule="auto"/>
        <w:jc w:val="both"/>
        <w:rPr>
          <w:rFonts w:ascii="Arial" w:hAnsi="Arial" w:cs="Arial"/>
          <w:color w:val="00B0F0"/>
          <w:sz w:val="20"/>
          <w:szCs w:val="20"/>
        </w:rPr>
      </w:pPr>
      <w:r w:rsidRPr="00192A6D">
        <w:rPr>
          <w:rFonts w:ascii="Arial" w:hAnsi="Arial" w:cs="Arial"/>
          <w:color w:val="00B0F0"/>
          <w:sz w:val="20"/>
          <w:szCs w:val="20"/>
        </w:rPr>
        <w:t>Authors have declared that they have no known competing financial interests OR non-financial interests OR personal relationships that could have appeared to influence the work reported in this paper.</w:t>
      </w:r>
    </w:p>
    <w:p w14:paraId="18A7133E" w14:textId="77777777" w:rsidR="006D2E50" w:rsidRPr="00192A6D" w:rsidRDefault="006D2E50" w:rsidP="006D2E50">
      <w:pPr>
        <w:spacing w:after="0" w:line="240" w:lineRule="auto"/>
        <w:jc w:val="both"/>
        <w:rPr>
          <w:rFonts w:ascii="Arial" w:hAnsi="Arial" w:cs="Arial"/>
          <w:color w:val="00B0F0"/>
          <w:sz w:val="20"/>
          <w:szCs w:val="20"/>
        </w:rPr>
      </w:pPr>
    </w:p>
    <w:p w14:paraId="5C99FE06" w14:textId="77777777" w:rsidR="006D2E50" w:rsidRPr="00192A6D" w:rsidRDefault="006D2E50" w:rsidP="006D2E50">
      <w:pPr>
        <w:rPr>
          <w:rFonts w:ascii="Arial" w:eastAsia="Calibri" w:hAnsi="Arial" w:cs="Arial"/>
          <w:b/>
          <w:color w:val="00B0F0"/>
          <w:kern w:val="2"/>
          <w:sz w:val="20"/>
          <w:szCs w:val="20"/>
          <w:lang w:val="en-US"/>
        </w:rPr>
      </w:pPr>
      <w:r w:rsidRPr="00192A6D">
        <w:rPr>
          <w:rFonts w:ascii="Arial" w:eastAsia="Calibri" w:hAnsi="Arial" w:cs="Arial"/>
          <w:b/>
          <w:color w:val="00B0F0"/>
          <w:kern w:val="2"/>
          <w:sz w:val="20"/>
          <w:szCs w:val="20"/>
          <w:lang w:val="en-US"/>
        </w:rPr>
        <w:t>Disclaimer (Artificial intelligence)</w:t>
      </w:r>
    </w:p>
    <w:p w14:paraId="1AB3177B" w14:textId="76C2E43B" w:rsidR="006D2E50" w:rsidRPr="00192A6D" w:rsidRDefault="006D2E50" w:rsidP="006D2E50">
      <w:pPr>
        <w:spacing w:after="0" w:line="240" w:lineRule="auto"/>
        <w:jc w:val="both"/>
        <w:rPr>
          <w:rFonts w:ascii="Arial" w:eastAsia="Times New Roman" w:hAnsi="Arial" w:cs="Arial"/>
          <w:color w:val="00B0F0"/>
          <w:sz w:val="20"/>
          <w:szCs w:val="20"/>
          <w:lang w:eastAsia="en-IN"/>
        </w:rPr>
      </w:pPr>
      <w:r w:rsidRPr="00192A6D">
        <w:rPr>
          <w:rFonts w:ascii="Arial" w:eastAsia="Times New Roman" w:hAnsi="Arial" w:cs="Arial"/>
          <w:color w:val="00B0F0"/>
          <w:sz w:val="20"/>
          <w:szCs w:val="20"/>
          <w:lang w:eastAsia="en-IN"/>
        </w:rPr>
        <w:t xml:space="preserve">The authors declare that an artificial </w:t>
      </w:r>
      <w:r w:rsidR="00192A6D" w:rsidRPr="00192A6D">
        <w:rPr>
          <w:rFonts w:ascii="Arial" w:eastAsia="Times New Roman" w:hAnsi="Arial" w:cs="Arial"/>
          <w:color w:val="00B0F0"/>
          <w:sz w:val="20"/>
          <w:szCs w:val="20"/>
          <w:lang w:eastAsia="en-IN"/>
        </w:rPr>
        <w:t>intelligence</w:t>
      </w:r>
      <w:r w:rsidR="00192A6D">
        <w:rPr>
          <w:rFonts w:ascii="Arial" w:eastAsia="Times New Roman" w:hAnsi="Arial" w:cs="Arial"/>
          <w:color w:val="00B0F0"/>
          <w:sz w:val="20"/>
          <w:szCs w:val="20"/>
          <w:lang w:eastAsia="en-IN"/>
        </w:rPr>
        <w:t>-based</w:t>
      </w:r>
      <w:r w:rsidRPr="00192A6D">
        <w:rPr>
          <w:rFonts w:ascii="Arial" w:eastAsia="Times New Roman" w:hAnsi="Arial" w:cs="Arial"/>
          <w:color w:val="00B0F0"/>
          <w:sz w:val="20"/>
          <w:szCs w:val="20"/>
          <w:lang w:eastAsia="en-IN"/>
        </w:rPr>
        <w:t xml:space="preserve"> tools (ChatGPT) was used during the final stage of manuscript preparation (post-writing) and exclusively for linguistic refinement in the English language (Name: ChatGPT, Model-GPT-5</w:t>
      </w:r>
      <w:r w:rsidR="00192A6D">
        <w:rPr>
          <w:rFonts w:ascii="Arial" w:eastAsia="Times New Roman" w:hAnsi="Arial" w:cs="Arial"/>
          <w:color w:val="00B0F0"/>
          <w:sz w:val="20"/>
          <w:szCs w:val="20"/>
          <w:lang w:eastAsia="en-IN"/>
        </w:rPr>
        <w:t>)</w:t>
      </w:r>
      <w:r w:rsidRPr="00192A6D">
        <w:rPr>
          <w:rFonts w:ascii="Arial" w:eastAsia="Times New Roman" w:hAnsi="Arial" w:cs="Arial"/>
          <w:color w:val="00B0F0"/>
          <w:sz w:val="20"/>
          <w:szCs w:val="20"/>
          <w:lang w:eastAsia="en-IN"/>
        </w:rPr>
        <w:t>. No original scientific content was generated or substantively edited by the AI.</w:t>
      </w:r>
    </w:p>
    <w:p w14:paraId="27909F6F" w14:textId="77777777" w:rsidR="0018779B" w:rsidRPr="00D77559" w:rsidRDefault="0018779B">
      <w:pPr>
        <w:rPr>
          <w:rFonts w:ascii="Arial" w:eastAsia="Times New Roman" w:hAnsi="Arial" w:cs="Arial"/>
          <w:sz w:val="20"/>
          <w:szCs w:val="20"/>
          <w:lang w:eastAsia="en-IN"/>
        </w:rPr>
      </w:pPr>
    </w:p>
    <w:p w14:paraId="33758CCC" w14:textId="5BD2DB66" w:rsidR="00FE48EE" w:rsidRPr="00D77559" w:rsidRDefault="00FE48EE" w:rsidP="00FE48EE">
      <w:pPr>
        <w:spacing w:after="0" w:line="240" w:lineRule="auto"/>
        <w:rPr>
          <w:rFonts w:ascii="Arial" w:hAnsi="Arial" w:cs="Arial"/>
          <w:b/>
          <w:sz w:val="24"/>
          <w:szCs w:val="24"/>
        </w:rPr>
      </w:pPr>
      <w:r w:rsidRPr="00D77559">
        <w:rPr>
          <w:rFonts w:ascii="Arial" w:hAnsi="Arial" w:cs="Arial"/>
          <w:b/>
          <w:sz w:val="24"/>
          <w:szCs w:val="24"/>
        </w:rPr>
        <w:t>REFERENCES</w:t>
      </w:r>
    </w:p>
    <w:p w14:paraId="4337C021" w14:textId="07298492" w:rsidR="00FE48EE" w:rsidRPr="00D77559" w:rsidRDefault="00FE48EE" w:rsidP="00FE48EE">
      <w:pPr>
        <w:spacing w:after="0" w:line="240" w:lineRule="auto"/>
        <w:rPr>
          <w:rFonts w:ascii="Arial" w:hAnsi="Arial" w:cs="Arial"/>
          <w:b/>
          <w:sz w:val="24"/>
          <w:szCs w:val="24"/>
        </w:rPr>
      </w:pPr>
    </w:p>
    <w:p w14:paraId="39283BF1" w14:textId="77CB9922" w:rsidR="00FE48EE" w:rsidRPr="00C11312" w:rsidRDefault="007B0C49" w:rsidP="007B0C49">
      <w:pPr>
        <w:pStyle w:val="ListParagraph"/>
        <w:numPr>
          <w:ilvl w:val="0"/>
          <w:numId w:val="3"/>
        </w:numPr>
        <w:spacing w:after="0" w:line="240" w:lineRule="auto"/>
        <w:jc w:val="both"/>
        <w:rPr>
          <w:rFonts w:ascii="Arial" w:eastAsia="Times New Roman" w:hAnsi="Arial" w:cs="Arial"/>
          <w:bCs/>
          <w:color w:val="1B1B1B"/>
          <w:kern w:val="36"/>
          <w:sz w:val="20"/>
          <w:szCs w:val="20"/>
        </w:rPr>
      </w:pPr>
      <w:r w:rsidRPr="007B0C49">
        <w:rPr>
          <w:rFonts w:ascii="Arial" w:eastAsia="Times New Roman" w:hAnsi="Arial" w:cs="Arial"/>
          <w:bCs/>
          <w:color w:val="1B1B1B"/>
          <w:kern w:val="36"/>
          <w:sz w:val="20"/>
          <w:szCs w:val="20"/>
        </w:rPr>
        <w:t xml:space="preserve">Palem, C. R., </w:t>
      </w:r>
      <w:proofErr w:type="spellStart"/>
      <w:r w:rsidRPr="007B0C49">
        <w:rPr>
          <w:rFonts w:ascii="Arial" w:eastAsia="Times New Roman" w:hAnsi="Arial" w:cs="Arial"/>
          <w:bCs/>
          <w:color w:val="1B1B1B"/>
          <w:kern w:val="36"/>
          <w:sz w:val="20"/>
          <w:szCs w:val="20"/>
        </w:rPr>
        <w:t>Dudhipala</w:t>
      </w:r>
      <w:proofErr w:type="spellEnd"/>
      <w:r w:rsidRPr="007B0C49">
        <w:rPr>
          <w:rFonts w:ascii="Arial" w:eastAsia="Times New Roman" w:hAnsi="Arial" w:cs="Arial"/>
          <w:bCs/>
          <w:color w:val="1B1B1B"/>
          <w:kern w:val="36"/>
          <w:sz w:val="20"/>
          <w:szCs w:val="20"/>
        </w:rPr>
        <w:t xml:space="preserve">, N. R., </w:t>
      </w:r>
      <w:proofErr w:type="spellStart"/>
      <w:r w:rsidRPr="007B0C49">
        <w:rPr>
          <w:rFonts w:ascii="Arial" w:eastAsia="Times New Roman" w:hAnsi="Arial" w:cs="Arial"/>
          <w:bCs/>
          <w:color w:val="1B1B1B"/>
          <w:kern w:val="36"/>
          <w:sz w:val="20"/>
          <w:szCs w:val="20"/>
        </w:rPr>
        <w:t>Battu</w:t>
      </w:r>
      <w:proofErr w:type="spellEnd"/>
      <w:r w:rsidRPr="007B0C49">
        <w:rPr>
          <w:rFonts w:ascii="Arial" w:eastAsia="Times New Roman" w:hAnsi="Arial" w:cs="Arial"/>
          <w:bCs/>
          <w:color w:val="1B1B1B"/>
          <w:kern w:val="36"/>
          <w:sz w:val="20"/>
          <w:szCs w:val="20"/>
        </w:rPr>
        <w:t xml:space="preserve">, S. K., </w:t>
      </w:r>
      <w:proofErr w:type="spellStart"/>
      <w:r w:rsidRPr="007B0C49">
        <w:rPr>
          <w:rFonts w:ascii="Arial" w:eastAsia="Times New Roman" w:hAnsi="Arial" w:cs="Arial"/>
          <w:bCs/>
          <w:color w:val="1B1B1B"/>
          <w:kern w:val="36"/>
          <w:sz w:val="20"/>
          <w:szCs w:val="20"/>
        </w:rPr>
        <w:t>Repka</w:t>
      </w:r>
      <w:proofErr w:type="spellEnd"/>
      <w:r w:rsidRPr="007B0C49">
        <w:rPr>
          <w:rFonts w:ascii="Arial" w:eastAsia="Times New Roman" w:hAnsi="Arial" w:cs="Arial"/>
          <w:bCs/>
          <w:color w:val="1B1B1B"/>
          <w:kern w:val="36"/>
          <w:sz w:val="20"/>
          <w:szCs w:val="20"/>
        </w:rPr>
        <w:t xml:space="preserve">, M. A., &amp; Yamsani, M. R. (2016). Development, optimization and in vivo characterization of domperidone-controlled release hot-melt-extruded films for buccal delivery. Drug Development and Industrial Pharmacy, 42(3), 473-484. </w:t>
      </w:r>
      <w:hyperlink r:id="rId11" w:history="1">
        <w:r w:rsidRPr="00A71651">
          <w:rPr>
            <w:rStyle w:val="Hyperlink"/>
            <w:rFonts w:ascii="Arial" w:eastAsia="Times New Roman" w:hAnsi="Arial" w:cs="Arial"/>
            <w:bCs/>
            <w:kern w:val="36"/>
            <w:sz w:val="20"/>
            <w:szCs w:val="20"/>
          </w:rPr>
          <w:t>https://doi.org/10.3109/03639045.2015.1104346</w:t>
        </w:r>
      </w:hyperlink>
      <w:r>
        <w:rPr>
          <w:rFonts w:ascii="Arial" w:eastAsia="Times New Roman" w:hAnsi="Arial" w:cs="Arial"/>
          <w:bCs/>
          <w:color w:val="1B1B1B"/>
          <w:kern w:val="36"/>
          <w:sz w:val="20"/>
          <w:szCs w:val="20"/>
        </w:rPr>
        <w:t xml:space="preserve"> </w:t>
      </w:r>
    </w:p>
    <w:p w14:paraId="573110E6" w14:textId="2790B1B4" w:rsidR="00FE48EE" w:rsidRPr="00C11312" w:rsidRDefault="006B5BC5" w:rsidP="006B5BC5">
      <w:pPr>
        <w:pStyle w:val="ListParagraph"/>
        <w:numPr>
          <w:ilvl w:val="0"/>
          <w:numId w:val="3"/>
        </w:numPr>
        <w:shd w:val="clear" w:color="auto" w:fill="FFFFFF"/>
        <w:jc w:val="both"/>
        <w:rPr>
          <w:rFonts w:ascii="Arial" w:eastAsia="Times New Roman" w:hAnsi="Arial" w:cs="Arial"/>
          <w:bCs/>
          <w:color w:val="1B1B1B"/>
          <w:kern w:val="36"/>
          <w:sz w:val="20"/>
          <w:szCs w:val="20"/>
        </w:rPr>
      </w:pPr>
      <w:r w:rsidRPr="006B5BC5">
        <w:rPr>
          <w:rFonts w:ascii="Arial" w:eastAsia="Times New Roman" w:hAnsi="Arial" w:cs="Arial"/>
          <w:bCs/>
          <w:color w:val="1B1B1B"/>
          <w:kern w:val="36"/>
          <w:sz w:val="20"/>
          <w:szCs w:val="20"/>
        </w:rPr>
        <w:t xml:space="preserve">Palem, C. R., </w:t>
      </w:r>
      <w:proofErr w:type="spellStart"/>
      <w:r w:rsidRPr="006B5BC5">
        <w:rPr>
          <w:rFonts w:ascii="Arial" w:eastAsia="Times New Roman" w:hAnsi="Arial" w:cs="Arial"/>
          <w:bCs/>
          <w:color w:val="1B1B1B"/>
          <w:kern w:val="36"/>
          <w:sz w:val="20"/>
          <w:szCs w:val="20"/>
        </w:rPr>
        <w:t>Dudhipala</w:t>
      </w:r>
      <w:proofErr w:type="spellEnd"/>
      <w:r w:rsidRPr="006B5BC5">
        <w:rPr>
          <w:rFonts w:ascii="Arial" w:eastAsia="Times New Roman" w:hAnsi="Arial" w:cs="Arial"/>
          <w:bCs/>
          <w:color w:val="1B1B1B"/>
          <w:kern w:val="36"/>
          <w:sz w:val="20"/>
          <w:szCs w:val="20"/>
        </w:rPr>
        <w:t xml:space="preserve">, N., </w:t>
      </w:r>
      <w:proofErr w:type="spellStart"/>
      <w:r w:rsidRPr="006B5BC5">
        <w:rPr>
          <w:rFonts w:ascii="Arial" w:eastAsia="Times New Roman" w:hAnsi="Arial" w:cs="Arial"/>
          <w:bCs/>
          <w:color w:val="1B1B1B"/>
          <w:kern w:val="36"/>
          <w:sz w:val="20"/>
          <w:szCs w:val="20"/>
        </w:rPr>
        <w:t>Battu</w:t>
      </w:r>
      <w:proofErr w:type="spellEnd"/>
      <w:r w:rsidRPr="006B5BC5">
        <w:rPr>
          <w:rFonts w:ascii="Arial" w:eastAsia="Times New Roman" w:hAnsi="Arial" w:cs="Arial"/>
          <w:bCs/>
          <w:color w:val="1B1B1B"/>
          <w:kern w:val="36"/>
          <w:sz w:val="20"/>
          <w:szCs w:val="20"/>
        </w:rPr>
        <w:t xml:space="preserve">, S. K., </w:t>
      </w:r>
      <w:proofErr w:type="spellStart"/>
      <w:r w:rsidRPr="006B5BC5">
        <w:rPr>
          <w:rFonts w:ascii="Arial" w:eastAsia="Times New Roman" w:hAnsi="Arial" w:cs="Arial"/>
          <w:bCs/>
          <w:color w:val="1B1B1B"/>
          <w:kern w:val="36"/>
          <w:sz w:val="20"/>
          <w:szCs w:val="20"/>
        </w:rPr>
        <w:t>Goda</w:t>
      </w:r>
      <w:proofErr w:type="spellEnd"/>
      <w:r w:rsidRPr="006B5BC5">
        <w:rPr>
          <w:rFonts w:ascii="Arial" w:eastAsia="Times New Roman" w:hAnsi="Arial" w:cs="Arial"/>
          <w:bCs/>
          <w:color w:val="1B1B1B"/>
          <w:kern w:val="36"/>
          <w:sz w:val="20"/>
          <w:szCs w:val="20"/>
        </w:rPr>
        <w:t xml:space="preserve">, S., </w:t>
      </w:r>
      <w:proofErr w:type="spellStart"/>
      <w:r w:rsidRPr="006B5BC5">
        <w:rPr>
          <w:rFonts w:ascii="Arial" w:eastAsia="Times New Roman" w:hAnsi="Arial" w:cs="Arial"/>
          <w:bCs/>
          <w:color w:val="1B1B1B"/>
          <w:kern w:val="36"/>
          <w:sz w:val="20"/>
          <w:szCs w:val="20"/>
        </w:rPr>
        <w:t>Repka</w:t>
      </w:r>
      <w:proofErr w:type="spellEnd"/>
      <w:r w:rsidRPr="006B5BC5">
        <w:rPr>
          <w:rFonts w:ascii="Arial" w:eastAsia="Times New Roman" w:hAnsi="Arial" w:cs="Arial"/>
          <w:bCs/>
          <w:color w:val="1B1B1B"/>
          <w:kern w:val="36"/>
          <w:sz w:val="20"/>
          <w:szCs w:val="20"/>
        </w:rPr>
        <w:t xml:space="preserve">, M. A., &amp; Yamsani, M. R. (2015). Combined dosage form of pioglitazone and felodipine as mucoadhesive pellets via hot melt extrusion for improved buccal delivery with application of quality by design approach. Journal of Drug Delivery Science and Technology, 30, 209-219. </w:t>
      </w:r>
      <w:hyperlink r:id="rId12" w:history="1">
        <w:r w:rsidRPr="00A71651">
          <w:rPr>
            <w:rStyle w:val="Hyperlink"/>
            <w:rFonts w:ascii="Arial" w:eastAsia="Times New Roman" w:hAnsi="Arial" w:cs="Arial"/>
            <w:bCs/>
            <w:kern w:val="36"/>
            <w:sz w:val="20"/>
            <w:szCs w:val="20"/>
          </w:rPr>
          <w:t>https://doi.org/10.1016/j.jddst.2015.10.017</w:t>
        </w:r>
      </w:hyperlink>
      <w:r>
        <w:rPr>
          <w:rFonts w:ascii="Arial" w:eastAsia="Times New Roman" w:hAnsi="Arial" w:cs="Arial"/>
          <w:bCs/>
          <w:color w:val="1B1B1B"/>
          <w:kern w:val="36"/>
          <w:sz w:val="20"/>
          <w:szCs w:val="20"/>
        </w:rPr>
        <w:t xml:space="preserve"> </w:t>
      </w:r>
    </w:p>
    <w:p w14:paraId="5E0CE203" w14:textId="3A216FB5" w:rsidR="00BD247D" w:rsidRPr="00C11312" w:rsidRDefault="00875062" w:rsidP="00875062">
      <w:pPr>
        <w:pStyle w:val="ListParagraph"/>
        <w:numPr>
          <w:ilvl w:val="0"/>
          <w:numId w:val="3"/>
        </w:numPr>
        <w:shd w:val="clear" w:color="auto" w:fill="FFFFFF"/>
        <w:jc w:val="both"/>
        <w:rPr>
          <w:rFonts w:ascii="Arial" w:eastAsia="Times New Roman" w:hAnsi="Arial" w:cs="Arial"/>
          <w:bCs/>
          <w:color w:val="1B1B1B"/>
          <w:kern w:val="36"/>
          <w:sz w:val="20"/>
          <w:szCs w:val="20"/>
        </w:rPr>
      </w:pPr>
      <w:r w:rsidRPr="00875062">
        <w:rPr>
          <w:rFonts w:ascii="Arial" w:eastAsia="Times New Roman" w:hAnsi="Arial" w:cs="Arial"/>
          <w:bCs/>
          <w:color w:val="1B1B1B"/>
          <w:kern w:val="36"/>
          <w:sz w:val="20"/>
          <w:szCs w:val="20"/>
        </w:rPr>
        <w:t xml:space="preserve">Palem, C. R., Gumudevelli, S., </w:t>
      </w:r>
      <w:proofErr w:type="spellStart"/>
      <w:r w:rsidRPr="00875062">
        <w:rPr>
          <w:rFonts w:ascii="Arial" w:eastAsia="Times New Roman" w:hAnsi="Arial" w:cs="Arial"/>
          <w:bCs/>
          <w:color w:val="1B1B1B"/>
          <w:kern w:val="36"/>
          <w:sz w:val="20"/>
          <w:szCs w:val="20"/>
        </w:rPr>
        <w:t>Rendla</w:t>
      </w:r>
      <w:proofErr w:type="spellEnd"/>
      <w:r w:rsidRPr="00875062">
        <w:rPr>
          <w:rFonts w:ascii="Arial" w:eastAsia="Times New Roman" w:hAnsi="Arial" w:cs="Arial"/>
          <w:bCs/>
          <w:color w:val="1B1B1B"/>
          <w:kern w:val="36"/>
          <w:sz w:val="20"/>
          <w:szCs w:val="20"/>
        </w:rPr>
        <w:t xml:space="preserve">, R., </w:t>
      </w:r>
      <w:proofErr w:type="spellStart"/>
      <w:r w:rsidRPr="00875062">
        <w:rPr>
          <w:rFonts w:ascii="Arial" w:eastAsia="Times New Roman" w:hAnsi="Arial" w:cs="Arial"/>
          <w:bCs/>
          <w:color w:val="1B1B1B"/>
          <w:kern w:val="36"/>
          <w:sz w:val="20"/>
          <w:szCs w:val="20"/>
        </w:rPr>
        <w:t>Srinija</w:t>
      </w:r>
      <w:proofErr w:type="spellEnd"/>
      <w:r w:rsidRPr="00875062">
        <w:rPr>
          <w:rFonts w:ascii="Arial" w:eastAsia="Times New Roman" w:hAnsi="Arial" w:cs="Arial"/>
          <w:bCs/>
          <w:color w:val="1B1B1B"/>
          <w:kern w:val="36"/>
          <w:sz w:val="20"/>
          <w:szCs w:val="20"/>
        </w:rPr>
        <w:t xml:space="preserve">, G., &amp; Gumudevelli, S. (2025). Comprehensive review on the role of Dietary Acid Load in health and its effect on different types of Diabetes. International Journal of Diabetes Research, 7(1), 45-53. </w:t>
      </w:r>
      <w:hyperlink r:id="rId13" w:history="1">
        <w:r w:rsidRPr="00A71651">
          <w:rPr>
            <w:rStyle w:val="Hyperlink"/>
            <w:rFonts w:ascii="Arial" w:eastAsia="Times New Roman" w:hAnsi="Arial" w:cs="Arial"/>
            <w:bCs/>
            <w:kern w:val="36"/>
            <w:sz w:val="20"/>
            <w:szCs w:val="20"/>
          </w:rPr>
          <w:t>https://doi.org/10.33545/26648822.2025.v7.i1a.26</w:t>
        </w:r>
      </w:hyperlink>
      <w:r>
        <w:rPr>
          <w:rFonts w:ascii="Arial" w:eastAsia="Times New Roman" w:hAnsi="Arial" w:cs="Arial"/>
          <w:bCs/>
          <w:color w:val="1B1B1B"/>
          <w:kern w:val="36"/>
          <w:sz w:val="20"/>
          <w:szCs w:val="20"/>
        </w:rPr>
        <w:t xml:space="preserve"> </w:t>
      </w:r>
    </w:p>
    <w:p w14:paraId="1EE83D52" w14:textId="4189E471" w:rsidR="00BD247D" w:rsidRPr="00C11312" w:rsidRDefault="007B4395" w:rsidP="007B4395">
      <w:pPr>
        <w:pStyle w:val="ListParagraph"/>
        <w:numPr>
          <w:ilvl w:val="0"/>
          <w:numId w:val="3"/>
        </w:numPr>
        <w:spacing w:after="0" w:line="240" w:lineRule="auto"/>
        <w:jc w:val="both"/>
        <w:rPr>
          <w:rFonts w:ascii="Arial" w:eastAsia="Times New Roman" w:hAnsi="Arial" w:cs="Arial"/>
          <w:bCs/>
          <w:color w:val="1B1B1B"/>
          <w:kern w:val="36"/>
          <w:sz w:val="20"/>
          <w:szCs w:val="20"/>
        </w:rPr>
      </w:pPr>
      <w:r w:rsidRPr="007B4395">
        <w:rPr>
          <w:rFonts w:ascii="Arial" w:eastAsia="Times New Roman" w:hAnsi="Arial" w:cs="Arial"/>
          <w:bCs/>
          <w:color w:val="1B1B1B"/>
          <w:kern w:val="36"/>
          <w:sz w:val="20"/>
          <w:szCs w:val="20"/>
        </w:rPr>
        <w:t xml:space="preserve">Ali, J., Arora, S., Ahuja, A., Babbar, A. K., Sharma, R. K., </w:t>
      </w:r>
      <w:proofErr w:type="spellStart"/>
      <w:r w:rsidRPr="007B4395">
        <w:rPr>
          <w:rFonts w:ascii="Arial" w:eastAsia="Times New Roman" w:hAnsi="Arial" w:cs="Arial"/>
          <w:bCs/>
          <w:color w:val="1B1B1B"/>
          <w:kern w:val="36"/>
          <w:sz w:val="20"/>
          <w:szCs w:val="20"/>
        </w:rPr>
        <w:t>Khar</w:t>
      </w:r>
      <w:proofErr w:type="spellEnd"/>
      <w:r w:rsidRPr="007B4395">
        <w:rPr>
          <w:rFonts w:ascii="Arial" w:eastAsia="Times New Roman" w:hAnsi="Arial" w:cs="Arial"/>
          <w:bCs/>
          <w:color w:val="1B1B1B"/>
          <w:kern w:val="36"/>
          <w:sz w:val="20"/>
          <w:szCs w:val="20"/>
        </w:rPr>
        <w:t xml:space="preserve">, R. K., &amp; </w:t>
      </w:r>
      <w:proofErr w:type="spellStart"/>
      <w:r w:rsidRPr="007B4395">
        <w:rPr>
          <w:rFonts w:ascii="Arial" w:eastAsia="Times New Roman" w:hAnsi="Arial" w:cs="Arial"/>
          <w:bCs/>
          <w:color w:val="1B1B1B"/>
          <w:kern w:val="36"/>
          <w:sz w:val="20"/>
          <w:szCs w:val="20"/>
        </w:rPr>
        <w:t>Baboota</w:t>
      </w:r>
      <w:proofErr w:type="spellEnd"/>
      <w:r w:rsidRPr="007B4395">
        <w:rPr>
          <w:rFonts w:ascii="Arial" w:eastAsia="Times New Roman" w:hAnsi="Arial" w:cs="Arial"/>
          <w:bCs/>
          <w:color w:val="1B1B1B"/>
          <w:kern w:val="36"/>
          <w:sz w:val="20"/>
          <w:szCs w:val="20"/>
        </w:rPr>
        <w:t xml:space="preserve">, S. (2007). Formulation and development of hydrodynamically balanced system for metformin: In vitro and in vivo evaluation. European Journal of Pharmaceutics and Biopharmaceutics, 67(1), 196-201. </w:t>
      </w:r>
      <w:hyperlink r:id="rId14" w:history="1">
        <w:r w:rsidRPr="00A71651">
          <w:rPr>
            <w:rStyle w:val="Hyperlink"/>
            <w:rFonts w:ascii="Arial" w:eastAsia="Times New Roman" w:hAnsi="Arial" w:cs="Arial"/>
            <w:bCs/>
            <w:kern w:val="36"/>
            <w:sz w:val="20"/>
            <w:szCs w:val="20"/>
          </w:rPr>
          <w:t>https://doi.org/10.1016/j.ejpb.2006.12.015</w:t>
        </w:r>
      </w:hyperlink>
      <w:r>
        <w:rPr>
          <w:rFonts w:ascii="Arial" w:eastAsia="Times New Roman" w:hAnsi="Arial" w:cs="Arial"/>
          <w:bCs/>
          <w:color w:val="1B1B1B"/>
          <w:kern w:val="36"/>
          <w:sz w:val="20"/>
          <w:szCs w:val="20"/>
        </w:rPr>
        <w:t xml:space="preserve"> </w:t>
      </w:r>
    </w:p>
    <w:p w14:paraId="7E502254" w14:textId="3C66A8D9" w:rsidR="00BD247D" w:rsidRPr="00C11312" w:rsidRDefault="000951F8" w:rsidP="000951F8">
      <w:pPr>
        <w:pStyle w:val="ListParagraph"/>
        <w:numPr>
          <w:ilvl w:val="0"/>
          <w:numId w:val="3"/>
        </w:numPr>
        <w:spacing w:after="0" w:line="240" w:lineRule="auto"/>
        <w:jc w:val="both"/>
        <w:rPr>
          <w:rStyle w:val="A6"/>
          <w:rFonts w:ascii="Arial" w:eastAsia="Times New Roman" w:hAnsi="Arial" w:cs="Arial"/>
          <w:bCs/>
          <w:color w:val="1B1B1B"/>
          <w:kern w:val="36"/>
          <w:sz w:val="20"/>
          <w:szCs w:val="20"/>
        </w:rPr>
      </w:pPr>
      <w:r w:rsidRPr="000951F8">
        <w:rPr>
          <w:rStyle w:val="A6"/>
          <w:rFonts w:ascii="Arial" w:hAnsi="Arial" w:cs="Arial"/>
          <w:sz w:val="20"/>
          <w:szCs w:val="20"/>
        </w:rPr>
        <w:t xml:space="preserve">Patel, M. B., Shaikh, F., Patel, V., &amp; </w:t>
      </w:r>
      <w:proofErr w:type="spellStart"/>
      <w:r w:rsidRPr="000951F8">
        <w:rPr>
          <w:rStyle w:val="A6"/>
          <w:rFonts w:ascii="Arial" w:hAnsi="Arial" w:cs="Arial"/>
          <w:sz w:val="20"/>
          <w:szCs w:val="20"/>
        </w:rPr>
        <w:t>Surti</w:t>
      </w:r>
      <w:proofErr w:type="spellEnd"/>
      <w:r w:rsidRPr="000951F8">
        <w:rPr>
          <w:rStyle w:val="A6"/>
          <w:rFonts w:ascii="Arial" w:hAnsi="Arial" w:cs="Arial"/>
          <w:sz w:val="20"/>
          <w:szCs w:val="20"/>
        </w:rPr>
        <w:t xml:space="preserve">, N. I. (2016). Controlled-release effervescent floating matrix tablets of metformin using combination of polymers. Int J Pharm </w:t>
      </w:r>
      <w:proofErr w:type="spellStart"/>
      <w:r w:rsidRPr="000951F8">
        <w:rPr>
          <w:rStyle w:val="A6"/>
          <w:rFonts w:ascii="Arial" w:hAnsi="Arial" w:cs="Arial"/>
          <w:sz w:val="20"/>
          <w:szCs w:val="20"/>
        </w:rPr>
        <w:t>Pharm</w:t>
      </w:r>
      <w:proofErr w:type="spellEnd"/>
      <w:r w:rsidRPr="000951F8">
        <w:rPr>
          <w:rStyle w:val="A6"/>
          <w:rFonts w:ascii="Arial" w:hAnsi="Arial" w:cs="Arial"/>
          <w:sz w:val="20"/>
          <w:szCs w:val="20"/>
        </w:rPr>
        <w:t xml:space="preserve"> Sci., 8(11), 114-9. </w:t>
      </w:r>
      <w:hyperlink r:id="rId15" w:history="1">
        <w:r w:rsidRPr="00A71651">
          <w:rPr>
            <w:rStyle w:val="Hyperlink"/>
            <w:rFonts w:ascii="Arial" w:hAnsi="Arial" w:cs="Arial"/>
            <w:sz w:val="20"/>
            <w:szCs w:val="20"/>
          </w:rPr>
          <w:t>https://doi.org/10.22159/ijpps.2016v8i11.13806</w:t>
        </w:r>
      </w:hyperlink>
      <w:r>
        <w:rPr>
          <w:rStyle w:val="A6"/>
          <w:rFonts w:ascii="Arial" w:hAnsi="Arial" w:cs="Arial"/>
          <w:sz w:val="20"/>
          <w:szCs w:val="20"/>
        </w:rPr>
        <w:t xml:space="preserve"> </w:t>
      </w:r>
    </w:p>
    <w:p w14:paraId="369776F9" w14:textId="61F06ACB" w:rsidR="00BD247D" w:rsidRPr="00C11312" w:rsidRDefault="00CB4968" w:rsidP="00CB4968">
      <w:pPr>
        <w:pStyle w:val="ListParagraph"/>
        <w:numPr>
          <w:ilvl w:val="0"/>
          <w:numId w:val="3"/>
        </w:numPr>
        <w:jc w:val="both"/>
        <w:rPr>
          <w:rFonts w:ascii="Arial" w:eastAsia="Times New Roman" w:hAnsi="Arial" w:cs="Arial"/>
          <w:bCs/>
          <w:color w:val="1B1B1B"/>
          <w:kern w:val="36"/>
          <w:sz w:val="20"/>
          <w:szCs w:val="20"/>
        </w:rPr>
      </w:pPr>
      <w:proofErr w:type="spellStart"/>
      <w:r w:rsidRPr="00CB4968">
        <w:rPr>
          <w:rFonts w:ascii="Arial" w:eastAsia="Times New Roman" w:hAnsi="Arial" w:cs="Arial"/>
          <w:bCs/>
          <w:color w:val="1B1B1B"/>
          <w:kern w:val="36"/>
          <w:sz w:val="20"/>
          <w:szCs w:val="20"/>
        </w:rPr>
        <w:t>Senjoti</w:t>
      </w:r>
      <w:proofErr w:type="spellEnd"/>
      <w:r w:rsidRPr="00CB4968">
        <w:rPr>
          <w:rFonts w:ascii="Arial" w:eastAsia="Times New Roman" w:hAnsi="Arial" w:cs="Arial"/>
          <w:bCs/>
          <w:color w:val="1B1B1B"/>
          <w:kern w:val="36"/>
          <w:sz w:val="20"/>
          <w:szCs w:val="20"/>
        </w:rPr>
        <w:t xml:space="preserve">, F. G., Mahmood, S., </w:t>
      </w:r>
      <w:proofErr w:type="spellStart"/>
      <w:r w:rsidRPr="00CB4968">
        <w:rPr>
          <w:rFonts w:ascii="Arial" w:eastAsia="Times New Roman" w:hAnsi="Arial" w:cs="Arial"/>
          <w:bCs/>
          <w:color w:val="1B1B1B"/>
          <w:kern w:val="36"/>
          <w:sz w:val="20"/>
          <w:szCs w:val="20"/>
        </w:rPr>
        <w:t>Jaffri</w:t>
      </w:r>
      <w:proofErr w:type="spellEnd"/>
      <w:r w:rsidRPr="00CB4968">
        <w:rPr>
          <w:rFonts w:ascii="Arial" w:eastAsia="Times New Roman" w:hAnsi="Arial" w:cs="Arial"/>
          <w:bCs/>
          <w:color w:val="1B1B1B"/>
          <w:kern w:val="36"/>
          <w:sz w:val="20"/>
          <w:szCs w:val="20"/>
        </w:rPr>
        <w:t xml:space="preserve">, J. M., &amp; Mandal, U. K. (2016). Design and In-vitro Evaluation of Sustained Release Floating Tablets of Metformin HCl Based on Effervescence and Swelling. Iranian Journal of Pharmaceutical Research, 15(1), 53-70. </w:t>
      </w:r>
      <w:hyperlink r:id="rId16" w:history="1">
        <w:r w:rsidRPr="00A71651">
          <w:rPr>
            <w:rStyle w:val="Hyperlink"/>
            <w:rFonts w:ascii="Arial" w:eastAsia="Times New Roman" w:hAnsi="Arial" w:cs="Arial"/>
            <w:bCs/>
            <w:kern w:val="36"/>
            <w:sz w:val="20"/>
            <w:szCs w:val="20"/>
          </w:rPr>
          <w:t>https://doi.org/10.22037/IJPR.2016.1791</w:t>
        </w:r>
      </w:hyperlink>
      <w:r>
        <w:rPr>
          <w:rFonts w:ascii="Arial" w:eastAsia="Times New Roman" w:hAnsi="Arial" w:cs="Arial"/>
          <w:bCs/>
          <w:color w:val="1B1B1B"/>
          <w:kern w:val="36"/>
          <w:sz w:val="20"/>
          <w:szCs w:val="20"/>
        </w:rPr>
        <w:t xml:space="preserve"> </w:t>
      </w:r>
    </w:p>
    <w:p w14:paraId="57DFEFF0" w14:textId="605EAC18" w:rsidR="00BD247D" w:rsidRPr="00C11312" w:rsidRDefault="00AB56D1" w:rsidP="00AB56D1">
      <w:pPr>
        <w:pStyle w:val="ListParagraph"/>
        <w:numPr>
          <w:ilvl w:val="0"/>
          <w:numId w:val="3"/>
        </w:numPr>
        <w:autoSpaceDE w:val="0"/>
        <w:autoSpaceDN w:val="0"/>
        <w:adjustRightInd w:val="0"/>
        <w:spacing w:after="0" w:line="240" w:lineRule="auto"/>
        <w:jc w:val="both"/>
        <w:rPr>
          <w:rFonts w:ascii="Arial" w:eastAsia="Times New Roman" w:hAnsi="Arial" w:cs="Arial"/>
          <w:bCs/>
          <w:color w:val="1B1B1B"/>
          <w:kern w:val="36"/>
          <w:sz w:val="20"/>
          <w:szCs w:val="20"/>
        </w:rPr>
      </w:pPr>
      <w:r w:rsidRPr="00AB56D1">
        <w:rPr>
          <w:rFonts w:ascii="Arial" w:eastAsia="Times New Roman" w:hAnsi="Arial" w:cs="Arial"/>
          <w:bCs/>
          <w:color w:val="1B1B1B"/>
          <w:kern w:val="36"/>
          <w:sz w:val="20"/>
          <w:szCs w:val="20"/>
        </w:rPr>
        <w:t xml:space="preserve">Rao, Y. M., </w:t>
      </w:r>
      <w:proofErr w:type="spellStart"/>
      <w:r w:rsidRPr="00AB56D1">
        <w:rPr>
          <w:rFonts w:ascii="Arial" w:eastAsia="Times New Roman" w:hAnsi="Arial" w:cs="Arial"/>
          <w:bCs/>
          <w:color w:val="1B1B1B"/>
          <w:kern w:val="36"/>
          <w:sz w:val="20"/>
          <w:szCs w:val="20"/>
        </w:rPr>
        <w:t>Doodipala</w:t>
      </w:r>
      <w:proofErr w:type="spellEnd"/>
      <w:r w:rsidRPr="00AB56D1">
        <w:rPr>
          <w:rFonts w:ascii="Arial" w:eastAsia="Times New Roman" w:hAnsi="Arial" w:cs="Arial"/>
          <w:bCs/>
          <w:color w:val="1B1B1B"/>
          <w:kern w:val="36"/>
          <w:sz w:val="20"/>
          <w:szCs w:val="20"/>
        </w:rPr>
        <w:t xml:space="preserve">, N., Palem, C. R., &amp; Reddy, S. (2011). Pharmaceutical Development and Clinical Pharmacokinetic Evaluation of </w:t>
      </w:r>
      <w:proofErr w:type="spellStart"/>
      <w:r w:rsidRPr="00AB56D1">
        <w:rPr>
          <w:rFonts w:ascii="Arial" w:eastAsia="Times New Roman" w:hAnsi="Arial" w:cs="Arial"/>
          <w:bCs/>
          <w:color w:val="1B1B1B"/>
          <w:kern w:val="36"/>
          <w:sz w:val="20"/>
          <w:szCs w:val="20"/>
        </w:rPr>
        <w:t>Gastroretentive</w:t>
      </w:r>
      <w:proofErr w:type="spellEnd"/>
      <w:r w:rsidRPr="00AB56D1">
        <w:rPr>
          <w:rFonts w:ascii="Arial" w:eastAsia="Times New Roman" w:hAnsi="Arial" w:cs="Arial"/>
          <w:bCs/>
          <w:color w:val="1B1B1B"/>
          <w:kern w:val="36"/>
          <w:sz w:val="20"/>
          <w:szCs w:val="20"/>
        </w:rPr>
        <w:t xml:space="preserve"> Floating Matrix Tablets of Levofloxacin. International Journal of Pharmaceutical Sciences and Nanotechnology, 4(3), 1463-1470. </w:t>
      </w:r>
      <w:hyperlink r:id="rId17" w:history="1">
        <w:r w:rsidRPr="00A71651">
          <w:rPr>
            <w:rStyle w:val="Hyperlink"/>
            <w:rFonts w:ascii="Arial" w:eastAsia="Times New Roman" w:hAnsi="Arial" w:cs="Arial"/>
            <w:bCs/>
            <w:kern w:val="36"/>
            <w:sz w:val="20"/>
            <w:szCs w:val="20"/>
          </w:rPr>
          <w:t>https://doi.org/10.37285/ijpsn.2011.4.3.4</w:t>
        </w:r>
      </w:hyperlink>
      <w:r>
        <w:rPr>
          <w:rFonts w:ascii="Arial" w:eastAsia="Times New Roman" w:hAnsi="Arial" w:cs="Arial"/>
          <w:bCs/>
          <w:color w:val="1B1B1B"/>
          <w:kern w:val="36"/>
          <w:sz w:val="20"/>
          <w:szCs w:val="20"/>
        </w:rPr>
        <w:t xml:space="preserve"> </w:t>
      </w:r>
    </w:p>
    <w:p w14:paraId="2F4740CE" w14:textId="4B55871D" w:rsidR="009608E3" w:rsidRPr="00C11312" w:rsidRDefault="00AA55D8" w:rsidP="00AA55D8">
      <w:pPr>
        <w:pStyle w:val="ListParagraph"/>
        <w:numPr>
          <w:ilvl w:val="0"/>
          <w:numId w:val="3"/>
        </w:numPr>
        <w:autoSpaceDE w:val="0"/>
        <w:autoSpaceDN w:val="0"/>
        <w:adjustRightInd w:val="0"/>
        <w:spacing w:after="0" w:line="240" w:lineRule="auto"/>
        <w:jc w:val="both"/>
        <w:rPr>
          <w:rFonts w:ascii="Arial" w:eastAsia="Times New Roman" w:hAnsi="Arial" w:cs="Arial"/>
          <w:bCs/>
          <w:color w:val="1B1B1B"/>
          <w:kern w:val="36"/>
          <w:sz w:val="20"/>
          <w:szCs w:val="20"/>
        </w:rPr>
      </w:pPr>
      <w:r w:rsidRPr="00AA55D8">
        <w:rPr>
          <w:rFonts w:ascii="Arial" w:eastAsia="Times New Roman" w:hAnsi="Arial" w:cs="Arial"/>
          <w:bCs/>
          <w:color w:val="1B1B1B"/>
          <w:kern w:val="36"/>
          <w:sz w:val="20"/>
          <w:szCs w:val="20"/>
        </w:rPr>
        <w:t xml:space="preserve">Palem, C. R., </w:t>
      </w:r>
      <w:proofErr w:type="spellStart"/>
      <w:r w:rsidRPr="00AA55D8">
        <w:rPr>
          <w:rFonts w:ascii="Arial" w:eastAsia="Times New Roman" w:hAnsi="Arial" w:cs="Arial"/>
          <w:bCs/>
          <w:color w:val="1B1B1B"/>
          <w:kern w:val="36"/>
          <w:sz w:val="20"/>
          <w:szCs w:val="20"/>
        </w:rPr>
        <w:t>Dudhipala</w:t>
      </w:r>
      <w:proofErr w:type="spellEnd"/>
      <w:r w:rsidRPr="00AA55D8">
        <w:rPr>
          <w:rFonts w:ascii="Arial" w:eastAsia="Times New Roman" w:hAnsi="Arial" w:cs="Arial"/>
          <w:bCs/>
          <w:color w:val="1B1B1B"/>
          <w:kern w:val="36"/>
          <w:sz w:val="20"/>
          <w:szCs w:val="20"/>
        </w:rPr>
        <w:t xml:space="preserve">, N. R., </w:t>
      </w:r>
      <w:proofErr w:type="spellStart"/>
      <w:r w:rsidRPr="00AA55D8">
        <w:rPr>
          <w:rFonts w:ascii="Arial" w:eastAsia="Times New Roman" w:hAnsi="Arial" w:cs="Arial"/>
          <w:bCs/>
          <w:color w:val="1B1B1B"/>
          <w:kern w:val="36"/>
          <w:sz w:val="20"/>
          <w:szCs w:val="20"/>
        </w:rPr>
        <w:t>Goda</w:t>
      </w:r>
      <w:proofErr w:type="spellEnd"/>
      <w:r w:rsidRPr="00AA55D8">
        <w:rPr>
          <w:rFonts w:ascii="Arial" w:eastAsia="Times New Roman" w:hAnsi="Arial" w:cs="Arial"/>
          <w:bCs/>
          <w:color w:val="1B1B1B"/>
          <w:kern w:val="36"/>
          <w:sz w:val="20"/>
          <w:szCs w:val="20"/>
        </w:rPr>
        <w:t xml:space="preserve">, S., &amp; </w:t>
      </w:r>
      <w:proofErr w:type="spellStart"/>
      <w:r w:rsidRPr="00AA55D8">
        <w:rPr>
          <w:rFonts w:ascii="Arial" w:eastAsia="Times New Roman" w:hAnsi="Arial" w:cs="Arial"/>
          <w:bCs/>
          <w:color w:val="1B1B1B"/>
          <w:kern w:val="36"/>
          <w:sz w:val="20"/>
          <w:szCs w:val="20"/>
        </w:rPr>
        <w:t>Pokharkar</w:t>
      </w:r>
      <w:proofErr w:type="spellEnd"/>
      <w:r w:rsidRPr="00AA55D8">
        <w:rPr>
          <w:rFonts w:ascii="Arial" w:eastAsia="Times New Roman" w:hAnsi="Arial" w:cs="Arial"/>
          <w:bCs/>
          <w:color w:val="1B1B1B"/>
          <w:kern w:val="36"/>
          <w:sz w:val="20"/>
          <w:szCs w:val="20"/>
        </w:rPr>
        <w:t xml:space="preserve">, V. B. (2016). Development and Optimization of Atorvastatin Calcium-Cyclodextrin Inclusion Complexed Orally-Disintegrating Tablets with Enhanced Pharmacokinetic and Pharmaco-dynamic Profile. International Journal of Pharmaceutical Sciences and Nanotechnology, 9(2), 3170-3180. </w:t>
      </w:r>
      <w:hyperlink r:id="rId18" w:history="1">
        <w:r w:rsidRPr="00A71651">
          <w:rPr>
            <w:rStyle w:val="Hyperlink"/>
            <w:rFonts w:ascii="Arial" w:eastAsia="Times New Roman" w:hAnsi="Arial" w:cs="Arial"/>
            <w:bCs/>
            <w:kern w:val="36"/>
            <w:sz w:val="20"/>
            <w:szCs w:val="20"/>
          </w:rPr>
          <w:t>https://doi.org/10.37285/ijpsn.2016.9.2.3</w:t>
        </w:r>
      </w:hyperlink>
      <w:r>
        <w:rPr>
          <w:rFonts w:ascii="Arial" w:eastAsia="Times New Roman" w:hAnsi="Arial" w:cs="Arial"/>
          <w:bCs/>
          <w:color w:val="1B1B1B"/>
          <w:kern w:val="36"/>
          <w:sz w:val="20"/>
          <w:szCs w:val="20"/>
        </w:rPr>
        <w:t xml:space="preserve"> </w:t>
      </w:r>
    </w:p>
    <w:p w14:paraId="4448A1B0" w14:textId="4CDD695D" w:rsidR="009608E3" w:rsidRPr="00C11312" w:rsidRDefault="00767E77" w:rsidP="00767E77">
      <w:pPr>
        <w:pStyle w:val="ListParagraph"/>
        <w:numPr>
          <w:ilvl w:val="0"/>
          <w:numId w:val="3"/>
        </w:numPr>
        <w:autoSpaceDE w:val="0"/>
        <w:autoSpaceDN w:val="0"/>
        <w:adjustRightInd w:val="0"/>
        <w:spacing w:after="0" w:line="240" w:lineRule="auto"/>
        <w:jc w:val="both"/>
        <w:rPr>
          <w:rFonts w:ascii="Arial" w:eastAsia="Times New Roman" w:hAnsi="Arial" w:cs="Arial"/>
          <w:bCs/>
          <w:color w:val="1B1B1B"/>
          <w:kern w:val="36"/>
          <w:sz w:val="20"/>
          <w:szCs w:val="20"/>
        </w:rPr>
      </w:pPr>
      <w:r w:rsidRPr="00767E77">
        <w:rPr>
          <w:rFonts w:ascii="Arial" w:eastAsia="Times New Roman" w:hAnsi="Arial" w:cs="Arial"/>
          <w:bCs/>
          <w:color w:val="1B1B1B"/>
          <w:kern w:val="36"/>
          <w:sz w:val="20"/>
          <w:szCs w:val="20"/>
        </w:rPr>
        <w:t xml:space="preserve">Palem, C. R., </w:t>
      </w:r>
      <w:proofErr w:type="spellStart"/>
      <w:r w:rsidRPr="00767E77">
        <w:rPr>
          <w:rFonts w:ascii="Arial" w:eastAsia="Times New Roman" w:hAnsi="Arial" w:cs="Arial"/>
          <w:bCs/>
          <w:color w:val="1B1B1B"/>
          <w:kern w:val="36"/>
          <w:sz w:val="20"/>
          <w:szCs w:val="20"/>
        </w:rPr>
        <w:t>Battu</w:t>
      </w:r>
      <w:proofErr w:type="spellEnd"/>
      <w:r w:rsidRPr="00767E77">
        <w:rPr>
          <w:rFonts w:ascii="Arial" w:eastAsia="Times New Roman" w:hAnsi="Arial" w:cs="Arial"/>
          <w:bCs/>
          <w:color w:val="1B1B1B"/>
          <w:kern w:val="36"/>
          <w:sz w:val="20"/>
          <w:szCs w:val="20"/>
        </w:rPr>
        <w:t xml:space="preserve">, S. K., Gannu, R., Yamsani, V. V., </w:t>
      </w:r>
      <w:proofErr w:type="spellStart"/>
      <w:r w:rsidRPr="00767E77">
        <w:rPr>
          <w:rFonts w:ascii="Arial" w:eastAsia="Times New Roman" w:hAnsi="Arial" w:cs="Arial"/>
          <w:bCs/>
          <w:color w:val="1B1B1B"/>
          <w:kern w:val="36"/>
          <w:sz w:val="20"/>
          <w:szCs w:val="20"/>
        </w:rPr>
        <w:t>Repka</w:t>
      </w:r>
      <w:proofErr w:type="spellEnd"/>
      <w:r w:rsidRPr="00767E77">
        <w:rPr>
          <w:rFonts w:ascii="Arial" w:eastAsia="Times New Roman" w:hAnsi="Arial" w:cs="Arial"/>
          <w:bCs/>
          <w:color w:val="1B1B1B"/>
          <w:kern w:val="36"/>
          <w:sz w:val="20"/>
          <w:szCs w:val="20"/>
        </w:rPr>
        <w:t xml:space="preserve">, M. A., &amp; Yamsani, M. R. (2012). Role of cyclodextrin complexation in felodipine-sustained release matrix tablets intended for oral transmucosal delivery: In vitro and ex vivo characterization. Pharmaceutical Development and Technology, 17(3), 321-332. </w:t>
      </w:r>
      <w:hyperlink r:id="rId19" w:history="1">
        <w:r w:rsidRPr="00A71651">
          <w:rPr>
            <w:rStyle w:val="Hyperlink"/>
            <w:rFonts w:ascii="Arial" w:eastAsia="Times New Roman" w:hAnsi="Arial" w:cs="Arial"/>
            <w:bCs/>
            <w:kern w:val="36"/>
            <w:sz w:val="20"/>
            <w:szCs w:val="20"/>
          </w:rPr>
          <w:t>https://doi.org/10.3109/10837450.2010.535829</w:t>
        </w:r>
      </w:hyperlink>
      <w:r>
        <w:rPr>
          <w:rFonts w:ascii="Arial" w:eastAsia="Times New Roman" w:hAnsi="Arial" w:cs="Arial"/>
          <w:bCs/>
          <w:color w:val="1B1B1B"/>
          <w:kern w:val="36"/>
          <w:sz w:val="20"/>
          <w:szCs w:val="20"/>
        </w:rPr>
        <w:t xml:space="preserve"> </w:t>
      </w:r>
    </w:p>
    <w:p w14:paraId="6EE4C6DE" w14:textId="5185CFA5" w:rsidR="009608E3" w:rsidRPr="00C11312" w:rsidRDefault="00113329" w:rsidP="00113329">
      <w:pPr>
        <w:pStyle w:val="ListParagraph"/>
        <w:numPr>
          <w:ilvl w:val="0"/>
          <w:numId w:val="3"/>
        </w:numPr>
        <w:spacing w:after="0" w:line="240" w:lineRule="auto"/>
        <w:jc w:val="both"/>
        <w:rPr>
          <w:rStyle w:val="A6"/>
          <w:rFonts w:ascii="Arial" w:eastAsia="Times New Roman" w:hAnsi="Arial" w:cs="Arial"/>
          <w:bCs/>
          <w:color w:val="1B1B1B"/>
          <w:kern w:val="36"/>
          <w:sz w:val="20"/>
          <w:szCs w:val="20"/>
        </w:rPr>
      </w:pPr>
      <w:r w:rsidRPr="00113329">
        <w:rPr>
          <w:rStyle w:val="A6"/>
          <w:rFonts w:ascii="Arial" w:hAnsi="Arial" w:cs="Arial"/>
          <w:sz w:val="20"/>
          <w:szCs w:val="20"/>
        </w:rPr>
        <w:t xml:space="preserve">Jiménez-Castellanos, M. R., Zia, H., &amp; Rhodes, C. T. (1994). Design and testing in vitro of a bioadhesive and floating drug delivery system for oral application. International Journal of Pharmaceutics. </w:t>
      </w:r>
      <w:hyperlink r:id="rId20" w:history="1">
        <w:r w:rsidRPr="00A71651">
          <w:rPr>
            <w:rStyle w:val="Hyperlink"/>
            <w:rFonts w:ascii="Arial" w:hAnsi="Arial" w:cs="Arial"/>
            <w:sz w:val="20"/>
            <w:szCs w:val="20"/>
          </w:rPr>
          <w:t>https://doi.org/10.1016/0378-5173(94)90236-4</w:t>
        </w:r>
      </w:hyperlink>
      <w:r>
        <w:rPr>
          <w:rStyle w:val="A6"/>
          <w:rFonts w:ascii="Arial" w:hAnsi="Arial" w:cs="Arial"/>
          <w:sz w:val="20"/>
          <w:szCs w:val="20"/>
        </w:rPr>
        <w:t xml:space="preserve"> </w:t>
      </w:r>
    </w:p>
    <w:p w14:paraId="65196C41" w14:textId="533CAC1D" w:rsidR="009608E3" w:rsidRPr="00C11312" w:rsidRDefault="00F7586C" w:rsidP="00F7586C">
      <w:pPr>
        <w:pStyle w:val="ListParagraph"/>
        <w:numPr>
          <w:ilvl w:val="0"/>
          <w:numId w:val="3"/>
        </w:numPr>
        <w:spacing w:after="0" w:line="240" w:lineRule="auto"/>
        <w:jc w:val="both"/>
        <w:rPr>
          <w:rStyle w:val="A6"/>
          <w:rFonts w:ascii="Arial" w:eastAsia="Times New Roman" w:hAnsi="Arial" w:cs="Arial"/>
          <w:bCs/>
          <w:color w:val="1B1B1B"/>
          <w:kern w:val="36"/>
          <w:sz w:val="20"/>
          <w:szCs w:val="20"/>
        </w:rPr>
      </w:pPr>
      <w:r w:rsidRPr="00F7586C">
        <w:rPr>
          <w:rStyle w:val="A6"/>
          <w:rFonts w:ascii="Arial" w:hAnsi="Arial" w:cs="Arial"/>
          <w:sz w:val="20"/>
          <w:szCs w:val="20"/>
        </w:rPr>
        <w:t xml:space="preserve">Higuchi, T. (1961). Rate of release of medicaments from ointment bases containing drugs in suspension. Journal of Pharmaceutical Sciences, 50(10), 874-875. </w:t>
      </w:r>
      <w:hyperlink r:id="rId21" w:history="1">
        <w:r w:rsidRPr="00A71651">
          <w:rPr>
            <w:rStyle w:val="Hyperlink"/>
            <w:rFonts w:ascii="Arial" w:hAnsi="Arial" w:cs="Arial"/>
            <w:sz w:val="20"/>
            <w:szCs w:val="20"/>
          </w:rPr>
          <w:t>https://doi.org/10.1002/jps.2600501018</w:t>
        </w:r>
      </w:hyperlink>
      <w:r>
        <w:rPr>
          <w:rStyle w:val="A6"/>
          <w:rFonts w:ascii="Arial" w:hAnsi="Arial" w:cs="Arial"/>
          <w:sz w:val="20"/>
          <w:szCs w:val="20"/>
        </w:rPr>
        <w:t xml:space="preserve"> </w:t>
      </w:r>
    </w:p>
    <w:p w14:paraId="1B5AF4E0" w14:textId="22A15A1F" w:rsidR="009608E3" w:rsidRPr="00C11312" w:rsidRDefault="00390216" w:rsidP="00390216">
      <w:pPr>
        <w:pStyle w:val="ListParagraph"/>
        <w:numPr>
          <w:ilvl w:val="0"/>
          <w:numId w:val="3"/>
        </w:numPr>
        <w:autoSpaceDE w:val="0"/>
        <w:autoSpaceDN w:val="0"/>
        <w:adjustRightInd w:val="0"/>
        <w:spacing w:after="0" w:line="240" w:lineRule="auto"/>
        <w:jc w:val="both"/>
        <w:rPr>
          <w:rStyle w:val="A6"/>
          <w:rFonts w:ascii="Arial" w:eastAsia="Times New Roman" w:hAnsi="Arial" w:cs="Arial"/>
          <w:bCs/>
          <w:color w:val="1B1B1B"/>
          <w:kern w:val="36"/>
          <w:sz w:val="20"/>
          <w:szCs w:val="20"/>
        </w:rPr>
      </w:pPr>
      <w:r w:rsidRPr="00390216">
        <w:rPr>
          <w:rStyle w:val="A6"/>
          <w:rFonts w:ascii="Arial" w:hAnsi="Arial" w:cs="Arial"/>
          <w:sz w:val="20"/>
          <w:szCs w:val="20"/>
        </w:rPr>
        <w:lastRenderedPageBreak/>
        <w:t xml:space="preserve">Higuchi, T. (1963). Mechanism of sustained-action medication. Theoretical analysis of rate of release of solid drugs dispersed in solid matrices. Journal of Pharmaceutical Sciences, 52(12), 1145-1149. </w:t>
      </w:r>
      <w:hyperlink r:id="rId22" w:history="1">
        <w:r w:rsidRPr="00A71651">
          <w:rPr>
            <w:rStyle w:val="Hyperlink"/>
            <w:rFonts w:ascii="Arial" w:hAnsi="Arial" w:cs="Arial"/>
            <w:sz w:val="20"/>
            <w:szCs w:val="20"/>
          </w:rPr>
          <w:t>https://doi.org/10.1002/jps.2600521210</w:t>
        </w:r>
      </w:hyperlink>
      <w:r>
        <w:rPr>
          <w:rStyle w:val="A6"/>
          <w:rFonts w:ascii="Arial" w:hAnsi="Arial" w:cs="Arial"/>
          <w:sz w:val="20"/>
          <w:szCs w:val="20"/>
        </w:rPr>
        <w:t xml:space="preserve"> </w:t>
      </w:r>
    </w:p>
    <w:p w14:paraId="48ABAD5B" w14:textId="116AEEF6" w:rsidR="009608E3" w:rsidRPr="00C11312" w:rsidRDefault="009608E3" w:rsidP="00192A6D">
      <w:pPr>
        <w:pStyle w:val="ListParagraph"/>
        <w:numPr>
          <w:ilvl w:val="0"/>
          <w:numId w:val="3"/>
        </w:numPr>
        <w:autoSpaceDE w:val="0"/>
        <w:autoSpaceDN w:val="0"/>
        <w:adjustRightInd w:val="0"/>
        <w:spacing w:after="0" w:line="240" w:lineRule="auto"/>
        <w:jc w:val="both"/>
        <w:rPr>
          <w:rFonts w:ascii="Arial" w:eastAsia="Times New Roman" w:hAnsi="Arial" w:cs="Arial"/>
          <w:bCs/>
          <w:color w:val="1B1B1B"/>
          <w:kern w:val="36"/>
          <w:sz w:val="20"/>
          <w:szCs w:val="20"/>
        </w:rPr>
      </w:pPr>
      <w:r w:rsidRPr="00C11312">
        <w:rPr>
          <w:rFonts w:ascii="Arial" w:eastAsia="Times New Roman" w:hAnsi="Arial" w:cs="Arial"/>
          <w:bCs/>
          <w:color w:val="1B1B1B"/>
          <w:kern w:val="36"/>
          <w:sz w:val="20"/>
          <w:szCs w:val="20"/>
        </w:rPr>
        <w:t>Asula, L., Rani, N., Alluri, PK., &amp; Vaddi, SK. (2015).  Formulation and evaluation of floating tablets of metformin hydrochloride. International Journal of Pharmacy and Technology. 6(3),7078-7091.</w:t>
      </w:r>
    </w:p>
    <w:p w14:paraId="64054252" w14:textId="0D5A6350" w:rsidR="009608E3" w:rsidRPr="00C11312" w:rsidRDefault="00A7277E" w:rsidP="00A7277E">
      <w:pPr>
        <w:pStyle w:val="ListParagraph"/>
        <w:numPr>
          <w:ilvl w:val="0"/>
          <w:numId w:val="3"/>
        </w:numPr>
        <w:spacing w:after="0" w:line="240" w:lineRule="auto"/>
        <w:jc w:val="both"/>
        <w:rPr>
          <w:rStyle w:val="A6"/>
          <w:rFonts w:ascii="Arial" w:eastAsia="Times New Roman" w:hAnsi="Arial" w:cs="Arial"/>
          <w:bCs/>
          <w:color w:val="1B1B1B"/>
          <w:kern w:val="36"/>
          <w:sz w:val="20"/>
          <w:szCs w:val="20"/>
        </w:rPr>
      </w:pPr>
      <w:r w:rsidRPr="00A7277E">
        <w:rPr>
          <w:rStyle w:val="A6"/>
          <w:rFonts w:ascii="Arial" w:hAnsi="Arial" w:cs="Arial"/>
          <w:sz w:val="20"/>
          <w:szCs w:val="20"/>
        </w:rPr>
        <w:t xml:space="preserve">Costa, P., &amp; Sousa Lobo, J. M. (2001). Modeling and comparison of dissolution profiles. European Journal of Pharmaceutical Sciences, 13(2), 123-133. </w:t>
      </w:r>
      <w:hyperlink r:id="rId23" w:history="1">
        <w:r w:rsidRPr="00A71651">
          <w:rPr>
            <w:rStyle w:val="Hyperlink"/>
            <w:rFonts w:ascii="Arial" w:hAnsi="Arial" w:cs="Arial"/>
            <w:sz w:val="20"/>
            <w:szCs w:val="20"/>
          </w:rPr>
          <w:t>https://doi.org/10.1016/S0928-0987(01)00095-1</w:t>
        </w:r>
      </w:hyperlink>
      <w:r>
        <w:rPr>
          <w:rStyle w:val="A6"/>
          <w:rFonts w:ascii="Arial" w:hAnsi="Arial" w:cs="Arial"/>
          <w:sz w:val="20"/>
          <w:szCs w:val="20"/>
        </w:rPr>
        <w:t xml:space="preserve"> </w:t>
      </w:r>
    </w:p>
    <w:p w14:paraId="2F69750D" w14:textId="07ADFEF6" w:rsidR="009608E3" w:rsidRPr="00C11312" w:rsidRDefault="00104381" w:rsidP="00104381">
      <w:pPr>
        <w:pStyle w:val="ListParagraph"/>
        <w:numPr>
          <w:ilvl w:val="0"/>
          <w:numId w:val="3"/>
        </w:numPr>
        <w:spacing w:after="0" w:line="240" w:lineRule="auto"/>
        <w:jc w:val="both"/>
        <w:rPr>
          <w:rStyle w:val="A6"/>
          <w:rFonts w:ascii="Arial" w:eastAsia="Times New Roman" w:hAnsi="Arial" w:cs="Arial"/>
          <w:bCs/>
          <w:color w:val="1B1B1B"/>
          <w:kern w:val="36"/>
          <w:sz w:val="20"/>
          <w:szCs w:val="20"/>
        </w:rPr>
      </w:pPr>
      <w:proofErr w:type="spellStart"/>
      <w:r w:rsidRPr="00104381">
        <w:rPr>
          <w:rStyle w:val="A6"/>
          <w:rFonts w:ascii="Arial" w:hAnsi="Arial" w:cs="Arial"/>
          <w:sz w:val="20"/>
          <w:szCs w:val="20"/>
        </w:rPr>
        <w:t>Bajd</w:t>
      </w:r>
      <w:proofErr w:type="spellEnd"/>
      <w:r w:rsidRPr="00104381">
        <w:rPr>
          <w:rStyle w:val="A6"/>
          <w:rFonts w:ascii="Arial" w:hAnsi="Arial" w:cs="Arial"/>
          <w:sz w:val="20"/>
          <w:szCs w:val="20"/>
        </w:rPr>
        <w:t xml:space="preserve">, F., </w:t>
      </w:r>
      <w:proofErr w:type="spellStart"/>
      <w:r w:rsidRPr="00104381">
        <w:rPr>
          <w:rStyle w:val="A6"/>
          <w:rFonts w:ascii="Arial" w:hAnsi="Arial" w:cs="Arial"/>
          <w:sz w:val="20"/>
          <w:szCs w:val="20"/>
        </w:rPr>
        <w:t>Mikac</w:t>
      </w:r>
      <w:proofErr w:type="spellEnd"/>
      <w:r w:rsidRPr="00104381">
        <w:rPr>
          <w:rStyle w:val="A6"/>
          <w:rFonts w:ascii="Arial" w:hAnsi="Arial" w:cs="Arial"/>
          <w:sz w:val="20"/>
          <w:szCs w:val="20"/>
        </w:rPr>
        <w:t xml:space="preserve">, U., &amp; </w:t>
      </w:r>
      <w:proofErr w:type="spellStart"/>
      <w:r w:rsidRPr="00104381">
        <w:rPr>
          <w:rStyle w:val="A6"/>
          <w:rFonts w:ascii="Arial" w:hAnsi="Arial" w:cs="Arial"/>
          <w:sz w:val="20"/>
          <w:szCs w:val="20"/>
        </w:rPr>
        <w:t>Mohorič</w:t>
      </w:r>
      <w:proofErr w:type="spellEnd"/>
      <w:r w:rsidRPr="00104381">
        <w:rPr>
          <w:rStyle w:val="A6"/>
          <w:rFonts w:ascii="Arial" w:hAnsi="Arial" w:cs="Arial"/>
          <w:sz w:val="20"/>
          <w:szCs w:val="20"/>
        </w:rPr>
        <w:t xml:space="preserve">, A. (2024). The effect of polymer–solvent interaction on the swelling of polymer matrix tablets: A magnetic resonance microscopy study complemented by bond fluctuation model simulations. Polymers, 16(5), 601. </w:t>
      </w:r>
      <w:hyperlink r:id="rId24" w:history="1">
        <w:r w:rsidRPr="00A71651">
          <w:rPr>
            <w:rStyle w:val="Hyperlink"/>
            <w:rFonts w:ascii="Arial" w:hAnsi="Arial" w:cs="Arial"/>
            <w:sz w:val="20"/>
            <w:szCs w:val="20"/>
          </w:rPr>
          <w:t>https://doi.org/10.3390/polym16050601</w:t>
        </w:r>
      </w:hyperlink>
      <w:r>
        <w:rPr>
          <w:rStyle w:val="A6"/>
          <w:rFonts w:ascii="Arial" w:hAnsi="Arial" w:cs="Arial"/>
          <w:sz w:val="20"/>
          <w:szCs w:val="20"/>
        </w:rPr>
        <w:t xml:space="preserve"> </w:t>
      </w:r>
    </w:p>
    <w:p w14:paraId="7CCAE71F" w14:textId="77777777" w:rsidR="005B00F8" w:rsidRPr="005B00F8" w:rsidRDefault="00A1712D" w:rsidP="00787807">
      <w:pPr>
        <w:pStyle w:val="ListParagraph"/>
        <w:numPr>
          <w:ilvl w:val="0"/>
          <w:numId w:val="3"/>
        </w:numPr>
        <w:autoSpaceDE w:val="0"/>
        <w:autoSpaceDN w:val="0"/>
        <w:adjustRightInd w:val="0"/>
        <w:spacing w:after="0" w:line="240" w:lineRule="auto"/>
        <w:jc w:val="both"/>
        <w:rPr>
          <w:rFonts w:ascii="Arial" w:eastAsia="Times New Roman" w:hAnsi="Arial" w:cs="Arial"/>
          <w:sz w:val="20"/>
          <w:szCs w:val="20"/>
          <w:lang w:eastAsia="en-IN"/>
        </w:rPr>
      </w:pPr>
      <w:proofErr w:type="spellStart"/>
      <w:r w:rsidRPr="00A1712D">
        <w:rPr>
          <w:rFonts w:ascii="Arial" w:hAnsi="Arial" w:cs="Arial"/>
          <w:color w:val="222222"/>
          <w:sz w:val="20"/>
          <w:szCs w:val="20"/>
          <w:shd w:val="clear" w:color="auto" w:fill="FFFFFF"/>
        </w:rPr>
        <w:t>Meka</w:t>
      </w:r>
      <w:proofErr w:type="spellEnd"/>
      <w:r w:rsidRPr="00A1712D">
        <w:rPr>
          <w:rFonts w:ascii="Arial" w:hAnsi="Arial" w:cs="Arial"/>
          <w:color w:val="222222"/>
          <w:sz w:val="20"/>
          <w:szCs w:val="20"/>
          <w:shd w:val="clear" w:color="auto" w:fill="FFFFFF"/>
        </w:rPr>
        <w:t xml:space="preserve">, V. S., </w:t>
      </w:r>
      <w:proofErr w:type="spellStart"/>
      <w:r w:rsidRPr="00A1712D">
        <w:rPr>
          <w:rFonts w:ascii="Arial" w:hAnsi="Arial" w:cs="Arial"/>
          <w:color w:val="222222"/>
          <w:sz w:val="20"/>
          <w:szCs w:val="20"/>
          <w:shd w:val="clear" w:color="auto" w:fill="FFFFFF"/>
        </w:rPr>
        <w:t>Nali</w:t>
      </w:r>
      <w:proofErr w:type="spellEnd"/>
      <w:r w:rsidRPr="00A1712D">
        <w:rPr>
          <w:rFonts w:ascii="Arial" w:hAnsi="Arial" w:cs="Arial"/>
          <w:color w:val="222222"/>
          <w:sz w:val="20"/>
          <w:szCs w:val="20"/>
          <w:shd w:val="clear" w:color="auto" w:fill="FFFFFF"/>
        </w:rPr>
        <w:t xml:space="preserve">, S. R., </w:t>
      </w:r>
      <w:proofErr w:type="spellStart"/>
      <w:r w:rsidRPr="00A1712D">
        <w:rPr>
          <w:rFonts w:ascii="Arial" w:hAnsi="Arial" w:cs="Arial"/>
          <w:color w:val="222222"/>
          <w:sz w:val="20"/>
          <w:szCs w:val="20"/>
          <w:shd w:val="clear" w:color="auto" w:fill="FFFFFF"/>
        </w:rPr>
        <w:t>Songa</w:t>
      </w:r>
      <w:proofErr w:type="spellEnd"/>
      <w:r w:rsidRPr="00A1712D">
        <w:rPr>
          <w:rFonts w:ascii="Arial" w:hAnsi="Arial" w:cs="Arial"/>
          <w:color w:val="222222"/>
          <w:sz w:val="20"/>
          <w:szCs w:val="20"/>
          <w:shd w:val="clear" w:color="auto" w:fill="FFFFFF"/>
        </w:rPr>
        <w:t xml:space="preserve">, A. S., </w:t>
      </w:r>
      <w:proofErr w:type="spellStart"/>
      <w:r w:rsidRPr="00A1712D">
        <w:rPr>
          <w:rFonts w:ascii="Arial" w:hAnsi="Arial" w:cs="Arial"/>
          <w:color w:val="222222"/>
          <w:sz w:val="20"/>
          <w:szCs w:val="20"/>
          <w:shd w:val="clear" w:color="auto" w:fill="FFFFFF"/>
        </w:rPr>
        <w:t>Battu</w:t>
      </w:r>
      <w:proofErr w:type="spellEnd"/>
      <w:r w:rsidRPr="00A1712D">
        <w:rPr>
          <w:rFonts w:ascii="Arial" w:hAnsi="Arial" w:cs="Arial"/>
          <w:color w:val="222222"/>
          <w:sz w:val="20"/>
          <w:szCs w:val="20"/>
          <w:shd w:val="clear" w:color="auto" w:fill="FFFFFF"/>
        </w:rPr>
        <w:t xml:space="preserve">, J. R., &amp; </w:t>
      </w:r>
      <w:proofErr w:type="spellStart"/>
      <w:r w:rsidRPr="00A1712D">
        <w:rPr>
          <w:rFonts w:ascii="Arial" w:hAnsi="Arial" w:cs="Arial"/>
          <w:color w:val="222222"/>
          <w:sz w:val="20"/>
          <w:szCs w:val="20"/>
          <w:shd w:val="clear" w:color="auto" w:fill="FFFFFF"/>
        </w:rPr>
        <w:t>Kolapalli</w:t>
      </w:r>
      <w:proofErr w:type="spellEnd"/>
      <w:r w:rsidRPr="00A1712D">
        <w:rPr>
          <w:rFonts w:ascii="Arial" w:hAnsi="Arial" w:cs="Arial"/>
          <w:color w:val="222222"/>
          <w:sz w:val="20"/>
          <w:szCs w:val="20"/>
          <w:shd w:val="clear" w:color="auto" w:fill="FFFFFF"/>
        </w:rPr>
        <w:t xml:space="preserve">, V. R. M. (2012). Statistical optimization of a novel excipient (CMEC) based gastro retentive floating tablets of propranolol HCl and </w:t>
      </w:r>
      <w:proofErr w:type="gramStart"/>
      <w:r w:rsidRPr="00A1712D">
        <w:rPr>
          <w:rFonts w:ascii="Arial" w:hAnsi="Arial" w:cs="Arial"/>
          <w:color w:val="222222"/>
          <w:sz w:val="20"/>
          <w:szCs w:val="20"/>
          <w:shd w:val="clear" w:color="auto" w:fill="FFFFFF"/>
        </w:rPr>
        <w:t>it’s</w:t>
      </w:r>
      <w:proofErr w:type="gramEnd"/>
      <w:r w:rsidRPr="00A1712D">
        <w:rPr>
          <w:rFonts w:ascii="Arial" w:hAnsi="Arial" w:cs="Arial"/>
          <w:color w:val="222222"/>
          <w:sz w:val="20"/>
          <w:szCs w:val="20"/>
          <w:shd w:val="clear" w:color="auto" w:fill="FFFFFF"/>
        </w:rPr>
        <w:t xml:space="preserve"> in vivo buoyancy characterization in healthy human volunteers. DARU Journal of Pharmaceutical Sciences, 20(1), 21. </w:t>
      </w:r>
      <w:hyperlink r:id="rId25" w:history="1">
        <w:r w:rsidRPr="00A71651">
          <w:rPr>
            <w:rStyle w:val="Hyperlink"/>
            <w:rFonts w:ascii="Arial" w:hAnsi="Arial" w:cs="Arial"/>
            <w:sz w:val="20"/>
            <w:szCs w:val="20"/>
            <w:shd w:val="clear" w:color="auto" w:fill="FFFFFF"/>
          </w:rPr>
          <w:t>https://doi.org/10.1186/2008-2231-20-21</w:t>
        </w:r>
      </w:hyperlink>
      <w:r>
        <w:rPr>
          <w:rFonts w:ascii="Arial" w:hAnsi="Arial" w:cs="Arial"/>
          <w:color w:val="222222"/>
          <w:sz w:val="20"/>
          <w:szCs w:val="20"/>
          <w:shd w:val="clear" w:color="auto" w:fill="FFFFFF"/>
        </w:rPr>
        <w:t xml:space="preserve"> </w:t>
      </w:r>
    </w:p>
    <w:p w14:paraId="51F4930F" w14:textId="75D7EE5F" w:rsidR="00B736A2" w:rsidRPr="00B736A2" w:rsidRDefault="00787807" w:rsidP="00B736A2">
      <w:pPr>
        <w:pStyle w:val="ListParagraph"/>
        <w:numPr>
          <w:ilvl w:val="0"/>
          <w:numId w:val="3"/>
        </w:numPr>
        <w:autoSpaceDE w:val="0"/>
        <w:autoSpaceDN w:val="0"/>
        <w:adjustRightInd w:val="0"/>
        <w:spacing w:after="0" w:line="240" w:lineRule="auto"/>
        <w:jc w:val="both"/>
        <w:rPr>
          <w:rFonts w:ascii="Arial" w:eastAsia="Times New Roman" w:hAnsi="Arial" w:cs="Arial"/>
          <w:sz w:val="20"/>
          <w:szCs w:val="20"/>
          <w:lang w:eastAsia="en-IN"/>
        </w:rPr>
      </w:pPr>
      <w:r w:rsidRPr="005B00F8">
        <w:rPr>
          <w:rFonts w:ascii="Arial" w:hAnsi="Arial" w:cs="Arial"/>
          <w:color w:val="00B0F0"/>
          <w:sz w:val="20"/>
          <w:szCs w:val="20"/>
          <w:shd w:val="clear" w:color="auto" w:fill="FFFFFF"/>
        </w:rPr>
        <w:t>Rajesh P</w:t>
      </w:r>
      <w:r w:rsidRPr="005B00F8">
        <w:rPr>
          <w:rFonts w:ascii="Arial" w:hAnsi="Arial" w:cs="Arial"/>
          <w:color w:val="00B0F0"/>
          <w:sz w:val="20"/>
          <w:szCs w:val="20"/>
          <w:shd w:val="clear" w:color="auto" w:fill="FFFFFF"/>
        </w:rPr>
        <w:t>.,</w:t>
      </w:r>
      <w:r w:rsidRPr="005B00F8">
        <w:rPr>
          <w:rFonts w:ascii="Arial" w:hAnsi="Arial" w:cs="Arial"/>
          <w:color w:val="00B0F0"/>
          <w:sz w:val="20"/>
          <w:szCs w:val="20"/>
          <w:shd w:val="clear" w:color="auto" w:fill="FFFFFF"/>
        </w:rPr>
        <w:t xml:space="preserve"> Swati J</w:t>
      </w:r>
      <w:r w:rsidRPr="005B00F8">
        <w:rPr>
          <w:rFonts w:ascii="Arial" w:hAnsi="Arial" w:cs="Arial"/>
          <w:color w:val="00B0F0"/>
          <w:sz w:val="20"/>
          <w:szCs w:val="20"/>
          <w:shd w:val="clear" w:color="auto" w:fill="FFFFFF"/>
        </w:rPr>
        <w:t xml:space="preserve">. (2021) </w:t>
      </w:r>
      <w:r w:rsidRPr="005B00F8">
        <w:rPr>
          <w:rFonts w:ascii="Arial" w:hAnsi="Arial" w:cs="Arial"/>
          <w:color w:val="00B0F0"/>
          <w:sz w:val="20"/>
          <w:szCs w:val="20"/>
          <w:shd w:val="clear" w:color="auto" w:fill="FFFFFF"/>
        </w:rPr>
        <w:t>Evaluation of Metformin Hydrochloride Floating Drug Delivery System: In vitro</w:t>
      </w:r>
      <w:r w:rsidR="009E31B1">
        <w:rPr>
          <w:rFonts w:ascii="Arial" w:hAnsi="Arial" w:cs="Arial"/>
          <w:color w:val="00B0F0"/>
          <w:sz w:val="20"/>
          <w:szCs w:val="20"/>
          <w:shd w:val="clear" w:color="auto" w:fill="FFFFFF"/>
        </w:rPr>
        <w:t xml:space="preserve"> </w:t>
      </w:r>
      <w:r w:rsidRPr="005B00F8">
        <w:rPr>
          <w:rFonts w:ascii="Arial" w:hAnsi="Arial" w:cs="Arial"/>
          <w:color w:val="00B0F0"/>
          <w:sz w:val="20"/>
          <w:szCs w:val="20"/>
          <w:shd w:val="clear" w:color="auto" w:fill="FFFFFF"/>
        </w:rPr>
        <w:t>Study and In vivo</w:t>
      </w:r>
      <w:r w:rsidR="005B00F8" w:rsidRPr="005B00F8">
        <w:rPr>
          <w:rFonts w:ascii="Arial" w:hAnsi="Arial" w:cs="Arial"/>
          <w:color w:val="00B0F0"/>
          <w:sz w:val="20"/>
          <w:szCs w:val="20"/>
          <w:shd w:val="clear" w:color="auto" w:fill="FFFFFF"/>
        </w:rPr>
        <w:t xml:space="preserve"> </w:t>
      </w:r>
      <w:r w:rsidRPr="005B00F8">
        <w:rPr>
          <w:rFonts w:ascii="Arial" w:hAnsi="Arial" w:cs="Arial"/>
          <w:color w:val="00B0F0"/>
          <w:sz w:val="20"/>
          <w:szCs w:val="20"/>
          <w:shd w:val="clear" w:color="auto" w:fill="FFFFFF"/>
        </w:rPr>
        <w:t>Prediction</w:t>
      </w:r>
      <w:r w:rsidR="005B00F8" w:rsidRPr="005B00F8">
        <w:rPr>
          <w:rFonts w:ascii="Arial" w:hAnsi="Arial" w:cs="Arial"/>
          <w:color w:val="00B0F0"/>
          <w:sz w:val="20"/>
          <w:szCs w:val="20"/>
          <w:shd w:val="clear" w:color="auto" w:fill="FFFFFF"/>
        </w:rPr>
        <w:t xml:space="preserve">. </w:t>
      </w:r>
      <w:r w:rsidR="005B00F8" w:rsidRPr="005B00F8">
        <w:rPr>
          <w:rFonts w:ascii="Arial" w:hAnsi="Arial" w:cs="Arial"/>
          <w:color w:val="00B0F0"/>
          <w:sz w:val="20"/>
          <w:szCs w:val="20"/>
          <w:shd w:val="clear" w:color="auto" w:fill="FFFFFF"/>
        </w:rPr>
        <w:t>Journal of Pharmaceutical Research International</w:t>
      </w:r>
      <w:r w:rsidR="005B00F8" w:rsidRPr="005B00F8">
        <w:rPr>
          <w:rFonts w:ascii="Arial" w:hAnsi="Arial" w:cs="Arial"/>
          <w:color w:val="00B0F0"/>
          <w:sz w:val="20"/>
          <w:szCs w:val="20"/>
          <w:shd w:val="clear" w:color="auto" w:fill="FFFFFF"/>
        </w:rPr>
        <w:t xml:space="preserve">, </w:t>
      </w:r>
      <w:r w:rsidR="005B00F8" w:rsidRPr="005B00F8">
        <w:rPr>
          <w:rFonts w:ascii="Arial" w:hAnsi="Arial" w:cs="Arial"/>
          <w:color w:val="00B0F0"/>
          <w:sz w:val="20"/>
          <w:szCs w:val="20"/>
          <w:shd w:val="clear" w:color="auto" w:fill="FFFFFF"/>
        </w:rPr>
        <w:t>33(40A)</w:t>
      </w:r>
      <w:r w:rsidR="005B00F8" w:rsidRPr="005B00F8">
        <w:rPr>
          <w:rFonts w:ascii="Arial" w:hAnsi="Arial" w:cs="Arial"/>
          <w:color w:val="00B0F0"/>
          <w:sz w:val="20"/>
          <w:szCs w:val="20"/>
          <w:shd w:val="clear" w:color="auto" w:fill="FFFFFF"/>
        </w:rPr>
        <w:t xml:space="preserve">, </w:t>
      </w:r>
      <w:r w:rsidR="005B00F8" w:rsidRPr="005B00F8">
        <w:rPr>
          <w:rFonts w:ascii="Arial" w:hAnsi="Arial" w:cs="Arial"/>
          <w:color w:val="00B0F0"/>
          <w:sz w:val="20"/>
          <w:szCs w:val="20"/>
          <w:shd w:val="clear" w:color="auto" w:fill="FFFFFF"/>
        </w:rPr>
        <w:t>143-155</w:t>
      </w:r>
      <w:r w:rsidR="005B00F8" w:rsidRPr="005B00F8">
        <w:rPr>
          <w:rFonts w:ascii="Arial" w:hAnsi="Arial" w:cs="Arial"/>
          <w:color w:val="00B0F0"/>
          <w:sz w:val="20"/>
          <w:szCs w:val="20"/>
          <w:shd w:val="clear" w:color="auto" w:fill="FFFFFF"/>
        </w:rPr>
        <w:t xml:space="preserve">. </w:t>
      </w:r>
      <w:r w:rsidR="005B00F8" w:rsidRPr="00B736A2">
        <w:rPr>
          <w:rStyle w:val="Hyperlink"/>
          <w:rFonts w:ascii="Arial" w:hAnsi="Arial" w:cs="Arial"/>
          <w:sz w:val="20"/>
          <w:szCs w:val="20"/>
        </w:rPr>
        <w:t>DOI:10.9734/JPRI/2021/v33i40A32231</w:t>
      </w:r>
    </w:p>
    <w:p w14:paraId="0659A5D0" w14:textId="77777777" w:rsidR="009E31B1" w:rsidRPr="009E31B1" w:rsidRDefault="005B00F8" w:rsidP="009E31B1">
      <w:pPr>
        <w:pStyle w:val="ListParagraph"/>
        <w:numPr>
          <w:ilvl w:val="0"/>
          <w:numId w:val="3"/>
        </w:numPr>
        <w:autoSpaceDE w:val="0"/>
        <w:autoSpaceDN w:val="0"/>
        <w:adjustRightInd w:val="0"/>
        <w:spacing w:after="0" w:line="240" w:lineRule="auto"/>
        <w:jc w:val="both"/>
        <w:rPr>
          <w:rStyle w:val="Hyperlink"/>
          <w:rFonts w:ascii="Arial" w:eastAsia="Times New Roman" w:hAnsi="Arial" w:cs="Arial"/>
          <w:color w:val="auto"/>
          <w:sz w:val="20"/>
          <w:szCs w:val="20"/>
          <w:u w:val="none"/>
          <w:lang w:eastAsia="en-IN"/>
        </w:rPr>
      </w:pPr>
      <w:r w:rsidRPr="00B736A2">
        <w:rPr>
          <w:rFonts w:ascii="Arial" w:hAnsi="Arial" w:cs="Arial"/>
          <w:color w:val="00B0F0"/>
          <w:sz w:val="20"/>
          <w:szCs w:val="20"/>
          <w:shd w:val="clear" w:color="auto" w:fill="FFFFFF"/>
        </w:rPr>
        <w:t>Venkata G</w:t>
      </w:r>
      <w:r w:rsidR="00B736A2" w:rsidRPr="00B736A2">
        <w:rPr>
          <w:rFonts w:ascii="Arial" w:hAnsi="Arial" w:cs="Arial"/>
          <w:color w:val="00B0F0"/>
          <w:sz w:val="20"/>
          <w:szCs w:val="20"/>
          <w:shd w:val="clear" w:color="auto" w:fill="FFFFFF"/>
        </w:rPr>
        <w:t xml:space="preserve">. K. et al., (2024). </w:t>
      </w:r>
      <w:r w:rsidR="00B736A2" w:rsidRPr="00B736A2">
        <w:rPr>
          <w:rFonts w:ascii="Arial" w:hAnsi="Arial" w:cs="Arial"/>
          <w:color w:val="00B0F0"/>
          <w:sz w:val="20"/>
          <w:szCs w:val="20"/>
          <w:shd w:val="clear" w:color="auto" w:fill="FFFFFF"/>
        </w:rPr>
        <w:t>Development and Assessment of Hydroxypropyl Methylcellulose-Based Floating Tablets for Ciprofloxacin HCL Using Direct Compression Technique</w:t>
      </w:r>
      <w:r w:rsidR="00B736A2" w:rsidRPr="00B736A2">
        <w:rPr>
          <w:rFonts w:ascii="Arial" w:hAnsi="Arial" w:cs="Arial"/>
          <w:color w:val="00B0F0"/>
          <w:sz w:val="20"/>
          <w:szCs w:val="20"/>
          <w:shd w:val="clear" w:color="auto" w:fill="FFFFFF"/>
        </w:rPr>
        <w:t xml:space="preserve">. </w:t>
      </w:r>
      <w:r w:rsidR="00B736A2" w:rsidRPr="00B736A2">
        <w:rPr>
          <w:rFonts w:ascii="Arial" w:hAnsi="Arial" w:cs="Arial"/>
          <w:color w:val="00B0F0"/>
          <w:sz w:val="20"/>
          <w:szCs w:val="20"/>
          <w:shd w:val="clear" w:color="auto" w:fill="FFFFFF"/>
        </w:rPr>
        <w:t>Journal of</w:t>
      </w:r>
      <w:r w:rsidR="00B736A2" w:rsidRPr="00B736A2">
        <w:rPr>
          <w:rFonts w:ascii="Arial" w:hAnsi="Arial" w:cs="Arial"/>
          <w:color w:val="00B0F0"/>
          <w:sz w:val="20"/>
          <w:szCs w:val="20"/>
          <w:shd w:val="clear" w:color="auto" w:fill="FFFFFF"/>
        </w:rPr>
        <w:t xml:space="preserve"> </w:t>
      </w:r>
      <w:r w:rsidR="00B736A2" w:rsidRPr="00B736A2">
        <w:rPr>
          <w:rFonts w:ascii="Arial" w:hAnsi="Arial" w:cs="Arial"/>
          <w:color w:val="00B0F0"/>
          <w:sz w:val="20"/>
          <w:szCs w:val="20"/>
          <w:shd w:val="clear" w:color="auto" w:fill="FFFFFF"/>
        </w:rPr>
        <w:t>Pharmaceutical Research International</w:t>
      </w:r>
      <w:r w:rsidR="00B736A2" w:rsidRPr="00B736A2">
        <w:rPr>
          <w:rFonts w:ascii="Arial" w:hAnsi="Arial" w:cs="Arial"/>
          <w:color w:val="00B0F0"/>
          <w:sz w:val="20"/>
          <w:szCs w:val="20"/>
          <w:shd w:val="clear" w:color="auto" w:fill="FFFFFF"/>
        </w:rPr>
        <w:t xml:space="preserve">, </w:t>
      </w:r>
      <w:r w:rsidR="00B736A2" w:rsidRPr="00B736A2">
        <w:rPr>
          <w:rFonts w:ascii="Arial" w:hAnsi="Arial" w:cs="Arial"/>
          <w:color w:val="00B0F0"/>
          <w:sz w:val="20"/>
          <w:szCs w:val="20"/>
          <w:shd w:val="clear" w:color="auto" w:fill="FFFFFF"/>
        </w:rPr>
        <w:t>36</w:t>
      </w:r>
      <w:r w:rsidR="00B736A2" w:rsidRPr="00B736A2">
        <w:rPr>
          <w:rFonts w:ascii="Arial" w:hAnsi="Arial" w:cs="Arial"/>
          <w:color w:val="00B0F0"/>
          <w:sz w:val="20"/>
          <w:szCs w:val="20"/>
          <w:shd w:val="clear" w:color="auto" w:fill="FFFFFF"/>
        </w:rPr>
        <w:t>(</w:t>
      </w:r>
      <w:r w:rsidR="00B736A2" w:rsidRPr="00B736A2">
        <w:rPr>
          <w:rFonts w:ascii="Arial" w:hAnsi="Arial" w:cs="Arial"/>
          <w:color w:val="00B0F0"/>
          <w:sz w:val="20"/>
          <w:szCs w:val="20"/>
          <w:shd w:val="clear" w:color="auto" w:fill="FFFFFF"/>
        </w:rPr>
        <w:t>3</w:t>
      </w:r>
      <w:r w:rsidR="00B736A2" w:rsidRPr="00B736A2">
        <w:rPr>
          <w:rFonts w:ascii="Arial" w:hAnsi="Arial" w:cs="Arial"/>
          <w:color w:val="00B0F0"/>
          <w:sz w:val="20"/>
          <w:szCs w:val="20"/>
          <w:shd w:val="clear" w:color="auto" w:fill="FFFFFF"/>
        </w:rPr>
        <w:t>)</w:t>
      </w:r>
      <w:r w:rsidR="00B736A2" w:rsidRPr="00B736A2">
        <w:rPr>
          <w:rFonts w:ascii="Arial" w:hAnsi="Arial" w:cs="Arial"/>
          <w:color w:val="00B0F0"/>
          <w:sz w:val="20"/>
          <w:szCs w:val="20"/>
          <w:shd w:val="clear" w:color="auto" w:fill="FFFFFF"/>
        </w:rPr>
        <w:t>, 47-62</w:t>
      </w:r>
      <w:r w:rsidR="00B736A2" w:rsidRPr="00B736A2">
        <w:rPr>
          <w:rFonts w:ascii="Arial" w:hAnsi="Arial" w:cs="Arial"/>
          <w:color w:val="00B0F0"/>
          <w:sz w:val="20"/>
          <w:szCs w:val="20"/>
          <w:shd w:val="clear" w:color="auto" w:fill="FFFFFF"/>
        </w:rPr>
        <w:t xml:space="preserve">. </w:t>
      </w:r>
      <w:r w:rsidR="00B736A2" w:rsidRPr="00B736A2">
        <w:rPr>
          <w:rStyle w:val="Hyperlink"/>
          <w:rFonts w:ascii="Arial" w:hAnsi="Arial" w:cs="Arial"/>
          <w:sz w:val="20"/>
          <w:szCs w:val="20"/>
        </w:rPr>
        <w:t>DOI: 10.9734/JPRI/2024/v36i37506</w:t>
      </w:r>
    </w:p>
    <w:p w14:paraId="27549D8A" w14:textId="77777777" w:rsidR="009E31B1" w:rsidRPr="009E31B1" w:rsidRDefault="00595B48" w:rsidP="009E31B1">
      <w:pPr>
        <w:pStyle w:val="ListParagraph"/>
        <w:numPr>
          <w:ilvl w:val="0"/>
          <w:numId w:val="3"/>
        </w:numPr>
        <w:autoSpaceDE w:val="0"/>
        <w:autoSpaceDN w:val="0"/>
        <w:adjustRightInd w:val="0"/>
        <w:spacing w:after="0" w:line="240" w:lineRule="auto"/>
        <w:jc w:val="both"/>
        <w:rPr>
          <w:rStyle w:val="Hyperlink"/>
          <w:rFonts w:ascii="Arial" w:eastAsia="Times New Roman" w:hAnsi="Arial" w:cs="Arial"/>
          <w:color w:val="auto"/>
          <w:sz w:val="20"/>
          <w:szCs w:val="20"/>
          <w:u w:val="none"/>
          <w:lang w:eastAsia="en-IN"/>
        </w:rPr>
      </w:pPr>
      <w:r w:rsidRPr="009E31B1">
        <w:rPr>
          <w:rFonts w:ascii="Arial" w:hAnsi="Arial" w:cs="Arial"/>
          <w:color w:val="00B0F0"/>
          <w:sz w:val="20"/>
          <w:szCs w:val="20"/>
          <w:shd w:val="clear" w:color="auto" w:fill="FFFFFF"/>
        </w:rPr>
        <w:t>Palem,</w:t>
      </w:r>
      <w:r w:rsidR="009E31B1" w:rsidRPr="009E31B1">
        <w:rPr>
          <w:rFonts w:ascii="Arial" w:hAnsi="Arial" w:cs="Arial"/>
          <w:color w:val="00B0F0"/>
          <w:sz w:val="20"/>
          <w:szCs w:val="20"/>
          <w:shd w:val="clear" w:color="auto" w:fill="FFFFFF"/>
        </w:rPr>
        <w:t xml:space="preserve"> C. R., </w:t>
      </w:r>
      <w:r w:rsidRPr="009E31B1">
        <w:rPr>
          <w:rFonts w:ascii="Arial" w:hAnsi="Arial" w:cs="Arial"/>
          <w:color w:val="00B0F0"/>
          <w:sz w:val="20"/>
          <w:szCs w:val="20"/>
          <w:shd w:val="clear" w:color="auto" w:fill="FFFFFF"/>
        </w:rPr>
        <w:t>Gannu,</w:t>
      </w:r>
      <w:r w:rsidR="009E31B1" w:rsidRPr="009E31B1">
        <w:rPr>
          <w:rFonts w:ascii="Arial" w:hAnsi="Arial" w:cs="Arial"/>
          <w:color w:val="00B0F0"/>
          <w:sz w:val="20"/>
          <w:szCs w:val="20"/>
          <w:shd w:val="clear" w:color="auto" w:fill="FFFFFF"/>
        </w:rPr>
        <w:t xml:space="preserve"> R.,</w:t>
      </w:r>
      <w:r w:rsidRPr="009E31B1">
        <w:rPr>
          <w:rFonts w:ascii="Arial" w:hAnsi="Arial" w:cs="Arial"/>
          <w:color w:val="00B0F0"/>
          <w:sz w:val="20"/>
          <w:szCs w:val="20"/>
          <w:shd w:val="clear" w:color="auto" w:fill="FFFFFF"/>
        </w:rPr>
        <w:t xml:space="preserve"> Yamsani,</w:t>
      </w:r>
      <w:r w:rsidR="009E31B1" w:rsidRPr="009E31B1">
        <w:rPr>
          <w:rFonts w:ascii="Arial" w:hAnsi="Arial" w:cs="Arial"/>
          <w:color w:val="00B0F0"/>
          <w:sz w:val="20"/>
          <w:szCs w:val="20"/>
          <w:shd w:val="clear" w:color="auto" w:fill="FFFFFF"/>
        </w:rPr>
        <w:t xml:space="preserve"> </w:t>
      </w:r>
      <w:r w:rsidR="009E31B1" w:rsidRPr="009E31B1">
        <w:rPr>
          <w:rFonts w:ascii="Arial" w:hAnsi="Arial" w:cs="Arial"/>
          <w:color w:val="00B0F0"/>
          <w:sz w:val="20"/>
          <w:szCs w:val="20"/>
          <w:shd w:val="clear" w:color="auto" w:fill="FFFFFF"/>
        </w:rPr>
        <w:t>S</w:t>
      </w:r>
      <w:r w:rsidR="009E31B1" w:rsidRPr="009E31B1">
        <w:rPr>
          <w:rFonts w:ascii="Arial" w:hAnsi="Arial" w:cs="Arial"/>
          <w:color w:val="00B0F0"/>
          <w:sz w:val="20"/>
          <w:szCs w:val="20"/>
          <w:shd w:val="clear" w:color="auto" w:fill="FFFFFF"/>
        </w:rPr>
        <w:t xml:space="preserve">. </w:t>
      </w:r>
      <w:r w:rsidR="009E31B1" w:rsidRPr="009E31B1">
        <w:rPr>
          <w:rFonts w:ascii="Arial" w:hAnsi="Arial" w:cs="Arial"/>
          <w:color w:val="00B0F0"/>
          <w:sz w:val="20"/>
          <w:szCs w:val="20"/>
          <w:shd w:val="clear" w:color="auto" w:fill="FFFFFF"/>
        </w:rPr>
        <w:t>K</w:t>
      </w:r>
      <w:r w:rsidR="009E31B1" w:rsidRPr="009E31B1">
        <w:rPr>
          <w:rFonts w:ascii="Arial" w:hAnsi="Arial" w:cs="Arial"/>
          <w:color w:val="00B0F0"/>
          <w:sz w:val="20"/>
          <w:szCs w:val="20"/>
          <w:shd w:val="clear" w:color="auto" w:fill="FFFFFF"/>
        </w:rPr>
        <w:t xml:space="preserve">., </w:t>
      </w:r>
      <w:r w:rsidRPr="009E31B1">
        <w:rPr>
          <w:rFonts w:ascii="Arial" w:hAnsi="Arial" w:cs="Arial"/>
          <w:color w:val="00B0F0"/>
          <w:sz w:val="20"/>
          <w:szCs w:val="20"/>
          <w:shd w:val="clear" w:color="auto" w:fill="FFFFFF"/>
        </w:rPr>
        <w:t>Yamsani,</w:t>
      </w:r>
      <w:r w:rsidR="009E31B1" w:rsidRPr="009E31B1">
        <w:rPr>
          <w:rFonts w:ascii="Arial" w:hAnsi="Arial" w:cs="Arial"/>
          <w:color w:val="00B0F0"/>
          <w:sz w:val="20"/>
          <w:szCs w:val="20"/>
          <w:shd w:val="clear" w:color="auto" w:fill="FFFFFF"/>
        </w:rPr>
        <w:t xml:space="preserve"> </w:t>
      </w:r>
      <w:r w:rsidR="009E31B1" w:rsidRPr="009E31B1">
        <w:rPr>
          <w:rFonts w:ascii="Arial" w:hAnsi="Arial" w:cs="Arial"/>
          <w:color w:val="00B0F0"/>
          <w:sz w:val="20"/>
          <w:szCs w:val="20"/>
          <w:shd w:val="clear" w:color="auto" w:fill="FFFFFF"/>
        </w:rPr>
        <w:t>V</w:t>
      </w:r>
      <w:r w:rsidR="009E31B1" w:rsidRPr="009E31B1">
        <w:rPr>
          <w:rFonts w:ascii="Arial" w:hAnsi="Arial" w:cs="Arial"/>
          <w:color w:val="00B0F0"/>
          <w:sz w:val="20"/>
          <w:szCs w:val="20"/>
          <w:shd w:val="clear" w:color="auto" w:fill="FFFFFF"/>
        </w:rPr>
        <w:t xml:space="preserve">. </w:t>
      </w:r>
      <w:r w:rsidR="009E31B1" w:rsidRPr="009E31B1">
        <w:rPr>
          <w:rFonts w:ascii="Arial" w:hAnsi="Arial" w:cs="Arial"/>
          <w:color w:val="00B0F0"/>
          <w:sz w:val="20"/>
          <w:szCs w:val="20"/>
          <w:shd w:val="clear" w:color="auto" w:fill="FFFFFF"/>
        </w:rPr>
        <w:t>V</w:t>
      </w:r>
      <w:r w:rsidR="009E31B1" w:rsidRPr="009E31B1">
        <w:rPr>
          <w:rFonts w:ascii="Arial" w:hAnsi="Arial" w:cs="Arial"/>
          <w:color w:val="00B0F0"/>
          <w:sz w:val="20"/>
          <w:szCs w:val="20"/>
          <w:shd w:val="clear" w:color="auto" w:fill="FFFFFF"/>
        </w:rPr>
        <w:t>.,</w:t>
      </w:r>
      <w:r w:rsidRPr="009E31B1">
        <w:rPr>
          <w:rFonts w:ascii="Arial" w:hAnsi="Arial" w:cs="Arial"/>
          <w:color w:val="00B0F0"/>
          <w:sz w:val="20"/>
          <w:szCs w:val="20"/>
          <w:shd w:val="clear" w:color="auto" w:fill="FFFFFF"/>
        </w:rPr>
        <w:t xml:space="preserve"> Yamsani</w:t>
      </w:r>
      <w:r w:rsidR="009E31B1" w:rsidRPr="009E31B1">
        <w:rPr>
          <w:rFonts w:ascii="Arial" w:hAnsi="Arial" w:cs="Arial"/>
          <w:color w:val="00B0F0"/>
          <w:sz w:val="20"/>
          <w:szCs w:val="20"/>
          <w:shd w:val="clear" w:color="auto" w:fill="FFFFFF"/>
        </w:rPr>
        <w:t xml:space="preserve">, </w:t>
      </w:r>
      <w:r w:rsidR="009E31B1" w:rsidRPr="009E31B1">
        <w:rPr>
          <w:rFonts w:ascii="Arial" w:hAnsi="Arial" w:cs="Arial"/>
          <w:color w:val="00B0F0"/>
          <w:sz w:val="20"/>
          <w:szCs w:val="20"/>
          <w:shd w:val="clear" w:color="auto" w:fill="FFFFFF"/>
        </w:rPr>
        <w:t>M</w:t>
      </w:r>
      <w:r w:rsidR="009E31B1" w:rsidRPr="009E31B1">
        <w:rPr>
          <w:rFonts w:ascii="Arial" w:hAnsi="Arial" w:cs="Arial"/>
          <w:color w:val="00B0F0"/>
          <w:sz w:val="20"/>
          <w:szCs w:val="20"/>
          <w:shd w:val="clear" w:color="auto" w:fill="FFFFFF"/>
        </w:rPr>
        <w:t>.</w:t>
      </w:r>
      <w:r w:rsidR="009E31B1" w:rsidRPr="009E31B1">
        <w:rPr>
          <w:rFonts w:ascii="Arial" w:hAnsi="Arial" w:cs="Arial"/>
          <w:color w:val="00B0F0"/>
          <w:sz w:val="20"/>
          <w:szCs w:val="20"/>
          <w:shd w:val="clear" w:color="auto" w:fill="FFFFFF"/>
        </w:rPr>
        <w:t>R</w:t>
      </w:r>
      <w:r w:rsidR="009E31B1" w:rsidRPr="009E31B1">
        <w:rPr>
          <w:rFonts w:ascii="Arial" w:hAnsi="Arial" w:cs="Arial"/>
          <w:color w:val="00B0F0"/>
          <w:sz w:val="20"/>
          <w:szCs w:val="20"/>
          <w:shd w:val="clear" w:color="auto" w:fill="FFFFFF"/>
        </w:rPr>
        <w:t>.</w:t>
      </w:r>
      <w:r w:rsidRPr="009E31B1">
        <w:rPr>
          <w:rFonts w:ascii="Arial" w:hAnsi="Arial" w:cs="Arial"/>
          <w:color w:val="00B0F0"/>
          <w:sz w:val="20"/>
          <w:szCs w:val="20"/>
          <w:shd w:val="clear" w:color="auto" w:fill="FFFFFF"/>
        </w:rPr>
        <w:t xml:space="preserve"> (2011). </w:t>
      </w:r>
      <w:hyperlink r:id="rId26" w:history="1">
        <w:r w:rsidRPr="009E31B1">
          <w:rPr>
            <w:rFonts w:ascii="Arial" w:hAnsi="Arial" w:cs="Arial"/>
            <w:color w:val="00B0F0"/>
            <w:sz w:val="20"/>
            <w:szCs w:val="20"/>
            <w:shd w:val="clear" w:color="auto" w:fill="FFFFFF"/>
          </w:rPr>
          <w:t>Development of bioadhesive buccal tablets for felodipine and pioglitazone in combined dosage form: in vitro, ex vivo, and in vivo characterization</w:t>
        </w:r>
      </w:hyperlink>
      <w:r w:rsidRPr="009E31B1">
        <w:rPr>
          <w:rFonts w:ascii="Arial" w:hAnsi="Arial" w:cs="Arial"/>
          <w:color w:val="00B0F0"/>
          <w:sz w:val="20"/>
          <w:szCs w:val="20"/>
          <w:shd w:val="clear" w:color="auto" w:fill="FFFFFF"/>
        </w:rPr>
        <w:t xml:space="preserve">. </w:t>
      </w:r>
      <w:r w:rsidRPr="009E31B1">
        <w:rPr>
          <w:rFonts w:ascii="Arial" w:hAnsi="Arial" w:cs="Arial"/>
          <w:color w:val="00B0F0"/>
          <w:sz w:val="20"/>
          <w:szCs w:val="20"/>
          <w:shd w:val="clear" w:color="auto" w:fill="FFFFFF"/>
        </w:rPr>
        <w:t>Drug delivery</w:t>
      </w:r>
      <w:r w:rsidR="009E31B1" w:rsidRPr="009E31B1">
        <w:rPr>
          <w:rFonts w:ascii="Arial" w:hAnsi="Arial" w:cs="Arial"/>
          <w:color w:val="00B0F0"/>
          <w:sz w:val="20"/>
          <w:szCs w:val="20"/>
          <w:shd w:val="clear" w:color="auto" w:fill="FFFFFF"/>
        </w:rPr>
        <w:t xml:space="preserve">, </w:t>
      </w:r>
      <w:r w:rsidRPr="009E31B1">
        <w:rPr>
          <w:rFonts w:ascii="Arial" w:hAnsi="Arial" w:cs="Arial"/>
          <w:color w:val="00B0F0"/>
          <w:sz w:val="20"/>
          <w:szCs w:val="20"/>
          <w:shd w:val="clear" w:color="auto" w:fill="FFFFFF"/>
        </w:rPr>
        <w:t>18(5), 344-352</w:t>
      </w:r>
      <w:r w:rsidRPr="009E31B1">
        <w:rPr>
          <w:rFonts w:ascii="Arial" w:hAnsi="Arial" w:cs="Arial"/>
          <w:color w:val="00B0F0"/>
          <w:sz w:val="20"/>
          <w:szCs w:val="20"/>
          <w:shd w:val="clear" w:color="auto" w:fill="FFFFFF"/>
        </w:rPr>
        <w:t>.</w:t>
      </w:r>
      <w:r w:rsidR="009E31B1" w:rsidRPr="009E31B1">
        <w:rPr>
          <w:rFonts w:ascii="Arial" w:hAnsi="Arial" w:cs="Arial"/>
          <w:color w:val="00B0F0"/>
          <w:sz w:val="20"/>
          <w:szCs w:val="20"/>
          <w:shd w:val="clear" w:color="auto" w:fill="FFFFFF"/>
        </w:rPr>
        <w:t xml:space="preserve"> </w:t>
      </w:r>
      <w:r w:rsidRPr="009E31B1">
        <w:rPr>
          <w:rStyle w:val="Hyperlink"/>
          <w:rFonts w:ascii="Arial" w:hAnsi="Arial" w:cs="Arial"/>
          <w:sz w:val="20"/>
          <w:szCs w:val="20"/>
        </w:rPr>
        <w:t>doi:10.3109/10717544.2011.557786.</w:t>
      </w:r>
    </w:p>
    <w:p w14:paraId="03BD0781" w14:textId="7317DF21" w:rsidR="005B00F8" w:rsidRPr="009E31B1" w:rsidRDefault="009E31B1" w:rsidP="009E31B1">
      <w:pPr>
        <w:pStyle w:val="ListParagraph"/>
        <w:numPr>
          <w:ilvl w:val="0"/>
          <w:numId w:val="3"/>
        </w:numPr>
        <w:autoSpaceDE w:val="0"/>
        <w:autoSpaceDN w:val="0"/>
        <w:adjustRightInd w:val="0"/>
        <w:spacing w:after="0" w:line="240" w:lineRule="auto"/>
        <w:jc w:val="both"/>
        <w:rPr>
          <w:rFonts w:ascii="Arial" w:eastAsia="Times New Roman" w:hAnsi="Arial" w:cs="Arial"/>
          <w:sz w:val="20"/>
          <w:szCs w:val="20"/>
          <w:lang w:eastAsia="en-IN"/>
        </w:rPr>
      </w:pPr>
      <w:r w:rsidRPr="009E31B1">
        <w:rPr>
          <w:rFonts w:ascii="Arial" w:hAnsi="Arial" w:cs="Arial"/>
          <w:color w:val="00B0F0"/>
          <w:sz w:val="20"/>
          <w:szCs w:val="20"/>
          <w:shd w:val="clear" w:color="auto" w:fill="FFFFFF"/>
        </w:rPr>
        <w:t>Chinna Reddy</w:t>
      </w:r>
      <w:r w:rsidRPr="009E31B1">
        <w:rPr>
          <w:rFonts w:ascii="Arial" w:hAnsi="Arial" w:cs="Arial"/>
          <w:color w:val="00B0F0"/>
          <w:sz w:val="20"/>
          <w:szCs w:val="20"/>
          <w:shd w:val="clear" w:color="auto" w:fill="FFFFFF"/>
        </w:rPr>
        <w:t xml:space="preserve">, </w:t>
      </w:r>
      <w:r w:rsidRPr="009E31B1">
        <w:rPr>
          <w:rFonts w:ascii="Arial" w:hAnsi="Arial" w:cs="Arial"/>
          <w:color w:val="00B0F0"/>
          <w:sz w:val="20"/>
          <w:szCs w:val="20"/>
          <w:shd w:val="clear" w:color="auto" w:fill="FFFFFF"/>
        </w:rPr>
        <w:t>P</w:t>
      </w:r>
      <w:r w:rsidRPr="009E31B1">
        <w:rPr>
          <w:rFonts w:ascii="Arial" w:hAnsi="Arial" w:cs="Arial"/>
          <w:color w:val="00B0F0"/>
          <w:sz w:val="20"/>
          <w:szCs w:val="20"/>
          <w:shd w:val="clear" w:color="auto" w:fill="FFFFFF"/>
        </w:rPr>
        <w:t>.</w:t>
      </w:r>
      <w:r w:rsidRPr="009E31B1">
        <w:rPr>
          <w:rFonts w:ascii="Arial" w:hAnsi="Arial" w:cs="Arial"/>
          <w:color w:val="00B0F0"/>
          <w:sz w:val="20"/>
          <w:szCs w:val="20"/>
          <w:shd w:val="clear" w:color="auto" w:fill="FFFFFF"/>
        </w:rPr>
        <w:t>, Ravindar</w:t>
      </w:r>
      <w:r>
        <w:rPr>
          <w:rFonts w:ascii="Arial" w:hAnsi="Arial" w:cs="Arial"/>
          <w:color w:val="00B0F0"/>
          <w:sz w:val="20"/>
          <w:szCs w:val="20"/>
          <w:shd w:val="clear" w:color="auto" w:fill="FFFFFF"/>
        </w:rPr>
        <w:t>,</w:t>
      </w:r>
      <w:r w:rsidRPr="009E31B1">
        <w:rPr>
          <w:rFonts w:ascii="Arial" w:hAnsi="Arial" w:cs="Arial"/>
          <w:color w:val="00B0F0"/>
          <w:sz w:val="20"/>
          <w:szCs w:val="20"/>
          <w:shd w:val="clear" w:color="auto" w:fill="FFFFFF"/>
        </w:rPr>
        <w:t xml:space="preserve"> R</w:t>
      </w:r>
      <w:r w:rsidRPr="009E31B1">
        <w:rPr>
          <w:rFonts w:ascii="Arial" w:hAnsi="Arial" w:cs="Arial"/>
          <w:color w:val="00B0F0"/>
          <w:sz w:val="20"/>
          <w:szCs w:val="20"/>
          <w:shd w:val="clear" w:color="auto" w:fill="FFFFFF"/>
        </w:rPr>
        <w:t>.</w:t>
      </w:r>
      <w:r w:rsidRPr="009E31B1">
        <w:rPr>
          <w:rFonts w:ascii="Arial" w:hAnsi="Arial" w:cs="Arial"/>
          <w:color w:val="00B0F0"/>
          <w:sz w:val="20"/>
          <w:szCs w:val="20"/>
          <w:shd w:val="clear" w:color="auto" w:fill="FFFFFF"/>
        </w:rPr>
        <w:t>, Nishanth Kumar</w:t>
      </w:r>
      <w:r w:rsidRPr="009E31B1">
        <w:rPr>
          <w:rFonts w:ascii="Arial" w:hAnsi="Arial" w:cs="Arial"/>
          <w:color w:val="00B0F0"/>
          <w:sz w:val="20"/>
          <w:szCs w:val="20"/>
          <w:shd w:val="clear" w:color="auto" w:fill="FFFFFF"/>
        </w:rPr>
        <w:t>,</w:t>
      </w:r>
      <w:r w:rsidRPr="009E31B1">
        <w:rPr>
          <w:rFonts w:ascii="Arial" w:hAnsi="Arial" w:cs="Arial"/>
          <w:color w:val="00B0F0"/>
          <w:sz w:val="20"/>
          <w:szCs w:val="20"/>
          <w:shd w:val="clear" w:color="auto" w:fill="FFFFFF"/>
        </w:rPr>
        <w:t xml:space="preserve"> N</w:t>
      </w:r>
      <w:r w:rsidRPr="009E31B1">
        <w:rPr>
          <w:rFonts w:ascii="Arial" w:hAnsi="Arial" w:cs="Arial"/>
          <w:color w:val="00B0F0"/>
          <w:sz w:val="20"/>
          <w:szCs w:val="20"/>
          <w:shd w:val="clear" w:color="auto" w:fill="FFFFFF"/>
        </w:rPr>
        <w:t>.</w:t>
      </w:r>
      <w:r w:rsidRPr="009E31B1">
        <w:rPr>
          <w:rFonts w:ascii="Arial" w:hAnsi="Arial" w:cs="Arial"/>
          <w:color w:val="00B0F0"/>
          <w:sz w:val="20"/>
          <w:szCs w:val="20"/>
          <w:shd w:val="clear" w:color="auto" w:fill="FFFFFF"/>
        </w:rPr>
        <w:t>, Vamshi Krishna</w:t>
      </w:r>
      <w:r w:rsidRPr="009E31B1">
        <w:rPr>
          <w:rFonts w:ascii="Arial" w:hAnsi="Arial" w:cs="Arial"/>
          <w:color w:val="00B0F0"/>
          <w:sz w:val="20"/>
          <w:szCs w:val="20"/>
          <w:shd w:val="clear" w:color="auto" w:fill="FFFFFF"/>
        </w:rPr>
        <w:t>,</w:t>
      </w:r>
      <w:r w:rsidRPr="009E31B1">
        <w:rPr>
          <w:rFonts w:ascii="Arial" w:hAnsi="Arial" w:cs="Arial"/>
          <w:color w:val="00B0F0"/>
          <w:sz w:val="20"/>
          <w:szCs w:val="20"/>
          <w:shd w:val="clear" w:color="auto" w:fill="FFFFFF"/>
        </w:rPr>
        <w:t xml:space="preserve"> L</w:t>
      </w:r>
      <w:r w:rsidRPr="009E31B1">
        <w:rPr>
          <w:rFonts w:ascii="Arial" w:hAnsi="Arial" w:cs="Arial"/>
          <w:color w:val="00B0F0"/>
          <w:sz w:val="20"/>
          <w:szCs w:val="20"/>
          <w:shd w:val="clear" w:color="auto" w:fill="FFFFFF"/>
        </w:rPr>
        <w:t>.</w:t>
      </w:r>
      <w:r w:rsidRPr="009E31B1">
        <w:rPr>
          <w:rFonts w:ascii="Arial" w:hAnsi="Arial" w:cs="Arial"/>
          <w:color w:val="00B0F0"/>
          <w:sz w:val="20"/>
          <w:szCs w:val="20"/>
          <w:shd w:val="clear" w:color="auto" w:fill="FFFFFF"/>
        </w:rPr>
        <w:t>, Sridhar G</w:t>
      </w:r>
      <w:r w:rsidRPr="009E31B1">
        <w:rPr>
          <w:rFonts w:ascii="Arial" w:hAnsi="Arial" w:cs="Arial"/>
          <w:color w:val="00B0F0"/>
          <w:sz w:val="20"/>
          <w:szCs w:val="20"/>
          <w:shd w:val="clear" w:color="auto" w:fill="FFFFFF"/>
        </w:rPr>
        <w:t>. (2025).</w:t>
      </w:r>
      <w:r w:rsidRPr="009E31B1">
        <w:rPr>
          <w:rFonts w:ascii="Arial" w:hAnsi="Arial" w:cs="Arial"/>
          <w:color w:val="00B0F0"/>
          <w:sz w:val="20"/>
          <w:szCs w:val="20"/>
          <w:shd w:val="clear" w:color="auto" w:fill="FFFFFF"/>
        </w:rPr>
        <w:t xml:space="preserve"> A Comprehensive Review of Current Trends and Regulatory Frameworks in Generic Drug Development, J. Pharm. Sci., 1 (10), 16-27.</w:t>
      </w:r>
      <w:r>
        <w:rPr>
          <w:rFonts w:ascii="Arial" w:hAnsi="Arial" w:cs="Arial"/>
          <w:color w:val="00B0F0"/>
          <w:sz w:val="20"/>
          <w:szCs w:val="20"/>
          <w:shd w:val="clear" w:color="auto" w:fill="FFFFFF"/>
        </w:rPr>
        <w:t xml:space="preserve"> </w:t>
      </w:r>
      <w:r w:rsidRPr="009E31B1">
        <w:rPr>
          <w:rStyle w:val="Hyperlink"/>
          <w:rFonts w:ascii="Arial" w:hAnsi="Arial" w:cs="Arial"/>
          <w:sz w:val="20"/>
          <w:szCs w:val="20"/>
        </w:rPr>
        <w:t>https://doi.org/10.5281/zenodo.1729770</w:t>
      </w:r>
    </w:p>
    <w:sectPr w:rsidR="005B00F8" w:rsidRPr="009E31B1" w:rsidSect="00DF73A4">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AA4E36" w14:textId="77777777" w:rsidR="006C0ED8" w:rsidRDefault="006C0ED8" w:rsidP="00644CFE">
      <w:pPr>
        <w:spacing w:after="0" w:line="240" w:lineRule="auto"/>
      </w:pPr>
      <w:r>
        <w:separator/>
      </w:r>
    </w:p>
  </w:endnote>
  <w:endnote w:type="continuationSeparator" w:id="0">
    <w:p w14:paraId="07062036" w14:textId="77777777" w:rsidR="006C0ED8" w:rsidRDefault="006C0ED8" w:rsidP="00644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bon">
    <w:altName w:val="Times New Roman"/>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 Pro">
    <w:altName w:val="Minion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06C85" w14:textId="77777777" w:rsidR="009C6D49" w:rsidRDefault="009C6D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ED334" w14:textId="77777777" w:rsidR="009C6D49" w:rsidRDefault="009C6D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CB1B2" w14:textId="2923EC45" w:rsidR="009608E3" w:rsidRDefault="009608E3" w:rsidP="00B85C21">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669EC" w14:textId="77777777" w:rsidR="006C0ED8" w:rsidRDefault="006C0ED8" w:rsidP="00644CFE">
      <w:pPr>
        <w:spacing w:after="0" w:line="240" w:lineRule="auto"/>
      </w:pPr>
      <w:r>
        <w:separator/>
      </w:r>
    </w:p>
  </w:footnote>
  <w:footnote w:type="continuationSeparator" w:id="0">
    <w:p w14:paraId="78E1E7C9" w14:textId="77777777" w:rsidR="006C0ED8" w:rsidRDefault="006C0ED8" w:rsidP="00644C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997FA" w14:textId="65A9D125" w:rsidR="009C6D49" w:rsidRDefault="006C0ED8">
    <w:pPr>
      <w:pStyle w:val="Header"/>
    </w:pPr>
    <w:r>
      <w:rPr>
        <w:noProof/>
      </w:rPr>
      <w:pict w14:anchorId="56DC8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344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1D08A" w14:textId="1C9A23AE" w:rsidR="009C6D49" w:rsidRDefault="006C0ED8">
    <w:pPr>
      <w:pStyle w:val="Header"/>
    </w:pPr>
    <w:r>
      <w:rPr>
        <w:noProof/>
      </w:rPr>
      <w:pict w14:anchorId="566FDD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344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038DC" w14:textId="11ECFC96" w:rsidR="009C6D49" w:rsidRDefault="006C0ED8">
    <w:pPr>
      <w:pStyle w:val="Header"/>
    </w:pPr>
    <w:r>
      <w:rPr>
        <w:noProof/>
      </w:rPr>
      <w:pict w14:anchorId="7FF91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344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52502"/>
    <w:multiLevelType w:val="multilevel"/>
    <w:tmpl w:val="DE6A40E6"/>
    <w:lvl w:ilvl="0">
      <w:start w:val="1"/>
      <w:numFmt w:val="decimal"/>
      <w:lvlText w:val="%1."/>
      <w:lvlJc w:val="left"/>
      <w:pPr>
        <w:ind w:left="720" w:hanging="360"/>
      </w:pPr>
      <w:rPr>
        <w:rFonts w:hint="default"/>
        <w:b/>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792309"/>
    <w:multiLevelType w:val="hybridMultilevel"/>
    <w:tmpl w:val="1302B5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CAE7A01"/>
    <w:multiLevelType w:val="hybridMultilevel"/>
    <w:tmpl w:val="84CA9A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3876504"/>
    <w:multiLevelType w:val="multilevel"/>
    <w:tmpl w:val="5118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4C3023"/>
    <w:multiLevelType w:val="hybridMultilevel"/>
    <w:tmpl w:val="84CA9A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71A"/>
    <w:rsid w:val="00001B89"/>
    <w:rsid w:val="00017026"/>
    <w:rsid w:val="0002425C"/>
    <w:rsid w:val="000329FB"/>
    <w:rsid w:val="00040798"/>
    <w:rsid w:val="0008391E"/>
    <w:rsid w:val="00090823"/>
    <w:rsid w:val="000931B3"/>
    <w:rsid w:val="000951F8"/>
    <w:rsid w:val="000B092B"/>
    <w:rsid w:val="000B1655"/>
    <w:rsid w:val="000E1DA7"/>
    <w:rsid w:val="000E241D"/>
    <w:rsid w:val="000E31A9"/>
    <w:rsid w:val="000E625D"/>
    <w:rsid w:val="00104381"/>
    <w:rsid w:val="00113329"/>
    <w:rsid w:val="00116429"/>
    <w:rsid w:val="0014460A"/>
    <w:rsid w:val="0015004B"/>
    <w:rsid w:val="00182721"/>
    <w:rsid w:val="0018779B"/>
    <w:rsid w:val="00192A6D"/>
    <w:rsid w:val="001A3387"/>
    <w:rsid w:val="001A3CB9"/>
    <w:rsid w:val="001C7447"/>
    <w:rsid w:val="001D14CF"/>
    <w:rsid w:val="001D2E1A"/>
    <w:rsid w:val="001E38F2"/>
    <w:rsid w:val="0022041E"/>
    <w:rsid w:val="002549F2"/>
    <w:rsid w:val="00257D03"/>
    <w:rsid w:val="00290429"/>
    <w:rsid w:val="002966FE"/>
    <w:rsid w:val="002A51DE"/>
    <w:rsid w:val="002C1806"/>
    <w:rsid w:val="002C1B40"/>
    <w:rsid w:val="0031503F"/>
    <w:rsid w:val="00337E8F"/>
    <w:rsid w:val="00366835"/>
    <w:rsid w:val="00381C38"/>
    <w:rsid w:val="00390216"/>
    <w:rsid w:val="003B6DE9"/>
    <w:rsid w:val="004310E9"/>
    <w:rsid w:val="00452E41"/>
    <w:rsid w:val="00475853"/>
    <w:rsid w:val="004A398F"/>
    <w:rsid w:val="004A5231"/>
    <w:rsid w:val="004E502A"/>
    <w:rsid w:val="004F2C95"/>
    <w:rsid w:val="004F694E"/>
    <w:rsid w:val="00506D66"/>
    <w:rsid w:val="00521298"/>
    <w:rsid w:val="00551B56"/>
    <w:rsid w:val="00580C04"/>
    <w:rsid w:val="005929D4"/>
    <w:rsid w:val="00595B48"/>
    <w:rsid w:val="005A7CB7"/>
    <w:rsid w:val="005B00F8"/>
    <w:rsid w:val="005C1AEE"/>
    <w:rsid w:val="005C34DE"/>
    <w:rsid w:val="005F7986"/>
    <w:rsid w:val="00617DFE"/>
    <w:rsid w:val="00627510"/>
    <w:rsid w:val="006434E6"/>
    <w:rsid w:val="00644CFE"/>
    <w:rsid w:val="00647F54"/>
    <w:rsid w:val="006B53EF"/>
    <w:rsid w:val="006B5BC5"/>
    <w:rsid w:val="006C0ED8"/>
    <w:rsid w:val="006C7E0A"/>
    <w:rsid w:val="006D2E50"/>
    <w:rsid w:val="006D7E62"/>
    <w:rsid w:val="006E3893"/>
    <w:rsid w:val="006F3339"/>
    <w:rsid w:val="00702595"/>
    <w:rsid w:val="00720C62"/>
    <w:rsid w:val="00732B19"/>
    <w:rsid w:val="00767E77"/>
    <w:rsid w:val="00787807"/>
    <w:rsid w:val="007A0466"/>
    <w:rsid w:val="007A6F55"/>
    <w:rsid w:val="007B0C49"/>
    <w:rsid w:val="007B4395"/>
    <w:rsid w:val="007E4BBA"/>
    <w:rsid w:val="00827C23"/>
    <w:rsid w:val="00870D37"/>
    <w:rsid w:val="00871175"/>
    <w:rsid w:val="00873813"/>
    <w:rsid w:val="00875062"/>
    <w:rsid w:val="008A2743"/>
    <w:rsid w:val="008A4152"/>
    <w:rsid w:val="008E76F6"/>
    <w:rsid w:val="008F13E1"/>
    <w:rsid w:val="00910F6C"/>
    <w:rsid w:val="00925A3B"/>
    <w:rsid w:val="009417A1"/>
    <w:rsid w:val="009608E3"/>
    <w:rsid w:val="0096282E"/>
    <w:rsid w:val="009806A3"/>
    <w:rsid w:val="009850B6"/>
    <w:rsid w:val="0099595D"/>
    <w:rsid w:val="009B272A"/>
    <w:rsid w:val="009B5403"/>
    <w:rsid w:val="009C6D49"/>
    <w:rsid w:val="009D4CE3"/>
    <w:rsid w:val="009D6DAB"/>
    <w:rsid w:val="009E31B1"/>
    <w:rsid w:val="00A1712D"/>
    <w:rsid w:val="00A451A5"/>
    <w:rsid w:val="00A46782"/>
    <w:rsid w:val="00A474B5"/>
    <w:rsid w:val="00A7277E"/>
    <w:rsid w:val="00A84759"/>
    <w:rsid w:val="00AA55D8"/>
    <w:rsid w:val="00AB56D1"/>
    <w:rsid w:val="00AD271A"/>
    <w:rsid w:val="00B03F6F"/>
    <w:rsid w:val="00B275F8"/>
    <w:rsid w:val="00B27F29"/>
    <w:rsid w:val="00B36BC5"/>
    <w:rsid w:val="00B4041D"/>
    <w:rsid w:val="00B41839"/>
    <w:rsid w:val="00B53912"/>
    <w:rsid w:val="00B736A2"/>
    <w:rsid w:val="00B82BFF"/>
    <w:rsid w:val="00B83E67"/>
    <w:rsid w:val="00B85C21"/>
    <w:rsid w:val="00B96BC4"/>
    <w:rsid w:val="00BD247D"/>
    <w:rsid w:val="00C078E5"/>
    <w:rsid w:val="00C11312"/>
    <w:rsid w:val="00C16E99"/>
    <w:rsid w:val="00C235CA"/>
    <w:rsid w:val="00C6198E"/>
    <w:rsid w:val="00CA0940"/>
    <w:rsid w:val="00CA32BD"/>
    <w:rsid w:val="00CB4968"/>
    <w:rsid w:val="00CC328E"/>
    <w:rsid w:val="00CD7056"/>
    <w:rsid w:val="00CE0558"/>
    <w:rsid w:val="00CF3298"/>
    <w:rsid w:val="00D371CE"/>
    <w:rsid w:val="00D6245F"/>
    <w:rsid w:val="00D76075"/>
    <w:rsid w:val="00D77559"/>
    <w:rsid w:val="00D805D1"/>
    <w:rsid w:val="00D92ABE"/>
    <w:rsid w:val="00DD703A"/>
    <w:rsid w:val="00DE5C84"/>
    <w:rsid w:val="00DF73A4"/>
    <w:rsid w:val="00E1611E"/>
    <w:rsid w:val="00E51D94"/>
    <w:rsid w:val="00E8082A"/>
    <w:rsid w:val="00E92D5B"/>
    <w:rsid w:val="00E94C7C"/>
    <w:rsid w:val="00EA384B"/>
    <w:rsid w:val="00EC47C1"/>
    <w:rsid w:val="00ED255D"/>
    <w:rsid w:val="00F22453"/>
    <w:rsid w:val="00F46C90"/>
    <w:rsid w:val="00F650BC"/>
    <w:rsid w:val="00F7586C"/>
    <w:rsid w:val="00FB13A8"/>
    <w:rsid w:val="00FD3635"/>
    <w:rsid w:val="00FD6A0E"/>
    <w:rsid w:val="00FE1840"/>
    <w:rsid w:val="00FE48E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791A79"/>
  <w15:chartTrackingRefBased/>
  <w15:docId w15:val="{F87A3204-ECDA-4EA8-9C79-3C4E6A113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6F33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D255D"/>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1,Header Char Char"/>
    <w:basedOn w:val="Normal"/>
    <w:link w:val="HeaderChar"/>
    <w:unhideWhenUsed/>
    <w:rsid w:val="0096282E"/>
    <w:pPr>
      <w:tabs>
        <w:tab w:val="center" w:pos="4513"/>
        <w:tab w:val="right" w:pos="9026"/>
      </w:tabs>
      <w:spacing w:after="0" w:line="240" w:lineRule="auto"/>
    </w:pPr>
  </w:style>
  <w:style w:type="character" w:customStyle="1" w:styleId="HeaderChar">
    <w:name w:val="Header Char"/>
    <w:aliases w:val="Header Char1 Char,Header Char Char Char"/>
    <w:basedOn w:val="DefaultParagraphFont"/>
    <w:link w:val="Header"/>
    <w:rsid w:val="0096282E"/>
  </w:style>
  <w:style w:type="character" w:customStyle="1" w:styleId="Heading3Char">
    <w:name w:val="Heading 3 Char"/>
    <w:basedOn w:val="DefaultParagraphFont"/>
    <w:link w:val="Heading3"/>
    <w:uiPriority w:val="9"/>
    <w:rsid w:val="00ED255D"/>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ED255D"/>
    <w:rPr>
      <w:b/>
      <w:bCs/>
    </w:rPr>
  </w:style>
  <w:style w:type="paragraph" w:styleId="NormalWeb">
    <w:name w:val="Normal (Web)"/>
    <w:basedOn w:val="Normal"/>
    <w:uiPriority w:val="99"/>
    <w:semiHidden/>
    <w:unhideWhenUsed/>
    <w:rsid w:val="00ED255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2">
    <w:name w:val="A2"/>
    <w:uiPriority w:val="99"/>
    <w:rsid w:val="001A3CB9"/>
    <w:rPr>
      <w:b/>
      <w:bCs/>
      <w:color w:val="000000"/>
      <w:sz w:val="20"/>
      <w:szCs w:val="20"/>
    </w:rPr>
  </w:style>
  <w:style w:type="paragraph" w:customStyle="1" w:styleId="NormalBody">
    <w:name w:val="NormalBody"/>
    <w:basedOn w:val="Normal"/>
    <w:rsid w:val="00CA32BD"/>
    <w:pPr>
      <w:spacing w:after="270" w:line="270" w:lineRule="atLeast"/>
    </w:pPr>
    <w:rPr>
      <w:rFonts w:ascii="Sabon" w:eastAsia="Times New Roman" w:hAnsi="Sabon" w:cs="Times New Roman"/>
      <w:szCs w:val="20"/>
      <w:lang w:val="en-US"/>
    </w:rPr>
  </w:style>
  <w:style w:type="table" w:styleId="TableGrid">
    <w:name w:val="Table Grid"/>
    <w:basedOn w:val="TableNormal"/>
    <w:uiPriority w:val="59"/>
    <w:rsid w:val="006C7E0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70D37"/>
    <w:rPr>
      <w:i/>
      <w:iCs/>
    </w:rPr>
  </w:style>
  <w:style w:type="paragraph" w:customStyle="1" w:styleId="Author">
    <w:name w:val="Author"/>
    <w:basedOn w:val="Normal"/>
    <w:rsid w:val="002A51DE"/>
    <w:pPr>
      <w:spacing w:after="0" w:line="280" w:lineRule="exact"/>
      <w:jc w:val="right"/>
    </w:pPr>
    <w:rPr>
      <w:rFonts w:ascii="Helvetica" w:eastAsia="Times New Roman" w:hAnsi="Helvetica" w:cs="Times New Roman"/>
      <w:b/>
      <w:sz w:val="24"/>
      <w:szCs w:val="20"/>
      <w:lang w:val="en-US"/>
    </w:rPr>
  </w:style>
  <w:style w:type="character" w:styleId="Hyperlink">
    <w:name w:val="Hyperlink"/>
    <w:basedOn w:val="DefaultParagraphFont"/>
    <w:uiPriority w:val="99"/>
    <w:unhideWhenUsed/>
    <w:rsid w:val="00A46782"/>
    <w:rPr>
      <w:color w:val="0563C1" w:themeColor="hyperlink"/>
      <w:u w:val="single"/>
    </w:rPr>
  </w:style>
  <w:style w:type="paragraph" w:styleId="NoSpacing">
    <w:name w:val="No Spacing"/>
    <w:uiPriority w:val="1"/>
    <w:qFormat/>
    <w:rsid w:val="00A46782"/>
    <w:pPr>
      <w:spacing w:after="0" w:line="240" w:lineRule="auto"/>
      <w:jc w:val="both"/>
    </w:pPr>
    <w:rPr>
      <w:rFonts w:ascii="Palatino Linotype" w:eastAsia="SimSun" w:hAnsi="Palatino Linotype" w:cs="Times New Roman"/>
      <w:noProof/>
      <w:color w:val="000000"/>
      <w:sz w:val="20"/>
      <w:szCs w:val="20"/>
      <w:lang w:val="en-US" w:eastAsia="zh-CN"/>
    </w:rPr>
  </w:style>
  <w:style w:type="paragraph" w:customStyle="1" w:styleId="Body">
    <w:name w:val="Body"/>
    <w:basedOn w:val="Normal"/>
    <w:rsid w:val="00A46782"/>
    <w:pPr>
      <w:spacing w:after="240" w:line="240" w:lineRule="auto"/>
      <w:jc w:val="both"/>
    </w:pPr>
    <w:rPr>
      <w:rFonts w:ascii="Helvetica" w:eastAsia="Times New Roman" w:hAnsi="Helvetica" w:cs="Times New Roman"/>
      <w:sz w:val="20"/>
      <w:szCs w:val="20"/>
      <w:lang w:val="en-US"/>
    </w:rPr>
  </w:style>
  <w:style w:type="paragraph" w:styleId="ListParagraph">
    <w:name w:val="List Paragraph"/>
    <w:basedOn w:val="Normal"/>
    <w:uiPriority w:val="34"/>
    <w:qFormat/>
    <w:rsid w:val="0099595D"/>
    <w:pPr>
      <w:ind w:left="720"/>
      <w:contextualSpacing/>
    </w:pPr>
  </w:style>
  <w:style w:type="character" w:styleId="PlaceholderText">
    <w:name w:val="Placeholder Text"/>
    <w:basedOn w:val="DefaultParagraphFont"/>
    <w:uiPriority w:val="99"/>
    <w:semiHidden/>
    <w:rsid w:val="009806A3"/>
    <w:rPr>
      <w:color w:val="808080"/>
    </w:rPr>
  </w:style>
  <w:style w:type="character" w:styleId="LineNumber">
    <w:name w:val="line number"/>
    <w:basedOn w:val="DefaultParagraphFont"/>
    <w:uiPriority w:val="99"/>
    <w:semiHidden/>
    <w:unhideWhenUsed/>
    <w:rsid w:val="00FE1840"/>
  </w:style>
  <w:style w:type="paragraph" w:styleId="Footer">
    <w:name w:val="footer"/>
    <w:basedOn w:val="Normal"/>
    <w:link w:val="FooterChar"/>
    <w:uiPriority w:val="99"/>
    <w:unhideWhenUsed/>
    <w:rsid w:val="00644C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CFE"/>
  </w:style>
  <w:style w:type="character" w:customStyle="1" w:styleId="A6">
    <w:name w:val="A6"/>
    <w:uiPriority w:val="99"/>
    <w:rsid w:val="00FE48EE"/>
    <w:rPr>
      <w:rFonts w:cs="Minion Pro"/>
      <w:color w:val="221E1F"/>
      <w:sz w:val="18"/>
      <w:szCs w:val="18"/>
    </w:rPr>
  </w:style>
  <w:style w:type="character" w:customStyle="1" w:styleId="Heading2Char">
    <w:name w:val="Heading 2 Char"/>
    <w:basedOn w:val="DefaultParagraphFont"/>
    <w:link w:val="Heading2"/>
    <w:uiPriority w:val="9"/>
    <w:rsid w:val="006F3339"/>
    <w:rPr>
      <w:rFonts w:asciiTheme="majorHAnsi" w:eastAsiaTheme="majorEastAsia" w:hAnsiTheme="majorHAnsi" w:cstheme="majorBidi"/>
      <w:color w:val="2F5496" w:themeColor="accent1" w:themeShade="BF"/>
      <w:sz w:val="26"/>
      <w:szCs w:val="26"/>
    </w:rPr>
  </w:style>
  <w:style w:type="character" w:customStyle="1" w:styleId="UnresolvedMention1">
    <w:name w:val="Unresolved Mention1"/>
    <w:basedOn w:val="DefaultParagraphFont"/>
    <w:uiPriority w:val="99"/>
    <w:semiHidden/>
    <w:unhideWhenUsed/>
    <w:rsid w:val="006D7E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846229">
      <w:bodyDiv w:val="1"/>
      <w:marLeft w:val="0"/>
      <w:marRight w:val="0"/>
      <w:marTop w:val="0"/>
      <w:marBottom w:val="0"/>
      <w:divBdr>
        <w:top w:val="none" w:sz="0" w:space="0" w:color="auto"/>
        <w:left w:val="none" w:sz="0" w:space="0" w:color="auto"/>
        <w:bottom w:val="none" w:sz="0" w:space="0" w:color="auto"/>
        <w:right w:val="none" w:sz="0" w:space="0" w:color="auto"/>
      </w:divBdr>
    </w:div>
    <w:div w:id="505562648">
      <w:bodyDiv w:val="1"/>
      <w:marLeft w:val="0"/>
      <w:marRight w:val="0"/>
      <w:marTop w:val="0"/>
      <w:marBottom w:val="0"/>
      <w:divBdr>
        <w:top w:val="none" w:sz="0" w:space="0" w:color="auto"/>
        <w:left w:val="none" w:sz="0" w:space="0" w:color="auto"/>
        <w:bottom w:val="none" w:sz="0" w:space="0" w:color="auto"/>
        <w:right w:val="none" w:sz="0" w:space="0" w:color="auto"/>
      </w:divBdr>
    </w:div>
    <w:div w:id="508060468">
      <w:bodyDiv w:val="1"/>
      <w:marLeft w:val="0"/>
      <w:marRight w:val="0"/>
      <w:marTop w:val="0"/>
      <w:marBottom w:val="0"/>
      <w:divBdr>
        <w:top w:val="none" w:sz="0" w:space="0" w:color="auto"/>
        <w:left w:val="none" w:sz="0" w:space="0" w:color="auto"/>
        <w:bottom w:val="none" w:sz="0" w:space="0" w:color="auto"/>
        <w:right w:val="none" w:sz="0" w:space="0" w:color="auto"/>
      </w:divBdr>
    </w:div>
    <w:div w:id="523402084">
      <w:bodyDiv w:val="1"/>
      <w:marLeft w:val="0"/>
      <w:marRight w:val="0"/>
      <w:marTop w:val="0"/>
      <w:marBottom w:val="0"/>
      <w:divBdr>
        <w:top w:val="none" w:sz="0" w:space="0" w:color="auto"/>
        <w:left w:val="none" w:sz="0" w:space="0" w:color="auto"/>
        <w:bottom w:val="none" w:sz="0" w:space="0" w:color="auto"/>
        <w:right w:val="none" w:sz="0" w:space="0" w:color="auto"/>
      </w:divBdr>
    </w:div>
    <w:div w:id="867185090">
      <w:bodyDiv w:val="1"/>
      <w:marLeft w:val="0"/>
      <w:marRight w:val="0"/>
      <w:marTop w:val="0"/>
      <w:marBottom w:val="0"/>
      <w:divBdr>
        <w:top w:val="none" w:sz="0" w:space="0" w:color="auto"/>
        <w:left w:val="none" w:sz="0" w:space="0" w:color="auto"/>
        <w:bottom w:val="none" w:sz="0" w:space="0" w:color="auto"/>
        <w:right w:val="none" w:sz="0" w:space="0" w:color="auto"/>
      </w:divBdr>
    </w:div>
    <w:div w:id="1078672543">
      <w:bodyDiv w:val="1"/>
      <w:marLeft w:val="0"/>
      <w:marRight w:val="0"/>
      <w:marTop w:val="0"/>
      <w:marBottom w:val="0"/>
      <w:divBdr>
        <w:top w:val="none" w:sz="0" w:space="0" w:color="auto"/>
        <w:left w:val="none" w:sz="0" w:space="0" w:color="auto"/>
        <w:bottom w:val="none" w:sz="0" w:space="0" w:color="auto"/>
        <w:right w:val="none" w:sz="0" w:space="0" w:color="auto"/>
      </w:divBdr>
    </w:div>
    <w:div w:id="1086263962">
      <w:bodyDiv w:val="1"/>
      <w:marLeft w:val="0"/>
      <w:marRight w:val="0"/>
      <w:marTop w:val="0"/>
      <w:marBottom w:val="0"/>
      <w:divBdr>
        <w:top w:val="none" w:sz="0" w:space="0" w:color="auto"/>
        <w:left w:val="none" w:sz="0" w:space="0" w:color="auto"/>
        <w:bottom w:val="none" w:sz="0" w:space="0" w:color="auto"/>
        <w:right w:val="none" w:sz="0" w:space="0" w:color="auto"/>
      </w:divBdr>
    </w:div>
    <w:div w:id="1415274767">
      <w:bodyDiv w:val="1"/>
      <w:marLeft w:val="0"/>
      <w:marRight w:val="0"/>
      <w:marTop w:val="0"/>
      <w:marBottom w:val="0"/>
      <w:divBdr>
        <w:top w:val="none" w:sz="0" w:space="0" w:color="auto"/>
        <w:left w:val="none" w:sz="0" w:space="0" w:color="auto"/>
        <w:bottom w:val="none" w:sz="0" w:space="0" w:color="auto"/>
        <w:right w:val="none" w:sz="0" w:space="0" w:color="auto"/>
      </w:divBdr>
    </w:div>
    <w:div w:id="1503277292">
      <w:bodyDiv w:val="1"/>
      <w:marLeft w:val="0"/>
      <w:marRight w:val="0"/>
      <w:marTop w:val="0"/>
      <w:marBottom w:val="0"/>
      <w:divBdr>
        <w:top w:val="none" w:sz="0" w:space="0" w:color="auto"/>
        <w:left w:val="none" w:sz="0" w:space="0" w:color="auto"/>
        <w:bottom w:val="none" w:sz="0" w:space="0" w:color="auto"/>
        <w:right w:val="none" w:sz="0" w:space="0" w:color="auto"/>
      </w:divBdr>
    </w:div>
    <w:div w:id="1520847543">
      <w:bodyDiv w:val="1"/>
      <w:marLeft w:val="0"/>
      <w:marRight w:val="0"/>
      <w:marTop w:val="0"/>
      <w:marBottom w:val="0"/>
      <w:divBdr>
        <w:top w:val="none" w:sz="0" w:space="0" w:color="auto"/>
        <w:left w:val="none" w:sz="0" w:space="0" w:color="auto"/>
        <w:bottom w:val="none" w:sz="0" w:space="0" w:color="auto"/>
        <w:right w:val="none" w:sz="0" w:space="0" w:color="auto"/>
      </w:divBdr>
    </w:div>
    <w:div w:id="1548949526">
      <w:bodyDiv w:val="1"/>
      <w:marLeft w:val="0"/>
      <w:marRight w:val="0"/>
      <w:marTop w:val="0"/>
      <w:marBottom w:val="0"/>
      <w:divBdr>
        <w:top w:val="none" w:sz="0" w:space="0" w:color="auto"/>
        <w:left w:val="none" w:sz="0" w:space="0" w:color="auto"/>
        <w:bottom w:val="none" w:sz="0" w:space="0" w:color="auto"/>
        <w:right w:val="none" w:sz="0" w:space="0" w:color="auto"/>
      </w:divBdr>
    </w:div>
    <w:div w:id="1682245969">
      <w:bodyDiv w:val="1"/>
      <w:marLeft w:val="0"/>
      <w:marRight w:val="0"/>
      <w:marTop w:val="0"/>
      <w:marBottom w:val="0"/>
      <w:divBdr>
        <w:top w:val="none" w:sz="0" w:space="0" w:color="auto"/>
        <w:left w:val="none" w:sz="0" w:space="0" w:color="auto"/>
        <w:bottom w:val="none" w:sz="0" w:space="0" w:color="auto"/>
        <w:right w:val="none" w:sz="0" w:space="0" w:color="auto"/>
      </w:divBdr>
    </w:div>
    <w:div w:id="206787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545/26648822.2025.v7.i1a.26" TargetMode="External"/><Relationship Id="rId18" Type="http://schemas.openxmlformats.org/officeDocument/2006/relationships/hyperlink" Target="https://doi.org/10.37285/ijpsn.2016.9.2.3" TargetMode="External"/><Relationship Id="rId26" Type="http://schemas.openxmlformats.org/officeDocument/2006/relationships/hyperlink" Target="https://scholar.google.com/citations?view_op=view_citation&amp;hl=en&amp;user=H19gVKAAAAAJ&amp;citation_for_view=H19gVKAAAAAJ:Tyk-4Ss8FVUC" TargetMode="External"/><Relationship Id="rId3" Type="http://schemas.openxmlformats.org/officeDocument/2006/relationships/styles" Target="styles.xml"/><Relationship Id="rId21" Type="http://schemas.openxmlformats.org/officeDocument/2006/relationships/hyperlink" Target="https://doi.org/10.1002/jps.260050101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16/j.jddst.2015.10.017" TargetMode="External"/><Relationship Id="rId17" Type="http://schemas.openxmlformats.org/officeDocument/2006/relationships/hyperlink" Target="https://doi.org/10.37285/ijpsn.2011.4.3.4" TargetMode="External"/><Relationship Id="rId25" Type="http://schemas.openxmlformats.org/officeDocument/2006/relationships/hyperlink" Target="https://doi.org/10.1186/2008-2231-20-2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22037/IJPR.2016.1791" TargetMode="External"/><Relationship Id="rId20" Type="http://schemas.openxmlformats.org/officeDocument/2006/relationships/hyperlink" Target="https://doi.org/10.1016/0378-5173(94)90236-4"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109/03639045.2015.1104346" TargetMode="External"/><Relationship Id="rId24" Type="http://schemas.openxmlformats.org/officeDocument/2006/relationships/hyperlink" Target="https://doi.org/10.3390/polym16050601"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22159/ijpps.2016v8i11.13806" TargetMode="External"/><Relationship Id="rId23" Type="http://schemas.openxmlformats.org/officeDocument/2006/relationships/hyperlink" Target="https://doi.org/10.1016/S0928-0987(01)00095-1"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doi.org/10.3109/10837450.2010.535829"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doi.org/10.1016/j.ejpb.2006.12.015" TargetMode="External"/><Relationship Id="rId22" Type="http://schemas.openxmlformats.org/officeDocument/2006/relationships/hyperlink" Target="https://doi.org/10.1002/jps.2600521210"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c25100061\Desktop\Metformin%20Research%20Article%2011.11.2025\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15048118985126"/>
          <c:y val="5.0925925925925923E-2"/>
          <c:w val="0.8325161854768155"/>
          <c:h val="0.78574803149606298"/>
        </c:manualLayout>
      </c:layout>
      <c:scatterChart>
        <c:scatterStyle val="smoothMarker"/>
        <c:varyColors val="0"/>
        <c:ser>
          <c:idx val="0"/>
          <c:order val="0"/>
          <c:tx>
            <c:strRef>
              <c:f>Sheet1!$D$7</c:f>
              <c:strCache>
                <c:ptCount val="1"/>
                <c:pt idx="0">
                  <c:v>MTH1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percentage"/>
            <c:noEndCap val="0"/>
            <c:val val="9"/>
            <c:spPr>
              <a:noFill/>
              <a:ln w="12700" cap="rnd" cmpd="sng" algn="ctr">
                <a:solidFill>
                  <a:schemeClr val="tx1">
                    <a:lumMod val="65000"/>
                    <a:lumOff val="35000"/>
                  </a:schemeClr>
                </a:solidFill>
                <a:round/>
              </a:ln>
              <a:effectLst/>
            </c:spPr>
          </c:errBars>
          <c:xVal>
            <c:numRef>
              <c:f>Sheet1!$C$8:$C$19</c:f>
              <c:numCache>
                <c:formatCode>General</c:formatCode>
                <c:ptCount val="12"/>
                <c:pt idx="0">
                  <c:v>0</c:v>
                </c:pt>
                <c:pt idx="1">
                  <c:v>1</c:v>
                </c:pt>
                <c:pt idx="2">
                  <c:v>2</c:v>
                </c:pt>
                <c:pt idx="3">
                  <c:v>3</c:v>
                </c:pt>
                <c:pt idx="4">
                  <c:v>4</c:v>
                </c:pt>
                <c:pt idx="5">
                  <c:v>6</c:v>
                </c:pt>
                <c:pt idx="6">
                  <c:v>8</c:v>
                </c:pt>
                <c:pt idx="7">
                  <c:v>10</c:v>
                </c:pt>
                <c:pt idx="8">
                  <c:v>12</c:v>
                </c:pt>
                <c:pt idx="9">
                  <c:v>14</c:v>
                </c:pt>
                <c:pt idx="10">
                  <c:v>16</c:v>
                </c:pt>
                <c:pt idx="11">
                  <c:v>20</c:v>
                </c:pt>
              </c:numCache>
            </c:numRef>
          </c:xVal>
          <c:yVal>
            <c:numRef>
              <c:f>Sheet1!$D$8:$D$19</c:f>
              <c:numCache>
                <c:formatCode>General</c:formatCode>
                <c:ptCount val="12"/>
                <c:pt idx="0">
                  <c:v>0</c:v>
                </c:pt>
                <c:pt idx="1">
                  <c:v>30.7</c:v>
                </c:pt>
                <c:pt idx="2">
                  <c:v>52.1</c:v>
                </c:pt>
                <c:pt idx="3">
                  <c:v>68.8</c:v>
                </c:pt>
                <c:pt idx="4">
                  <c:v>82.7</c:v>
                </c:pt>
                <c:pt idx="5">
                  <c:v>90.4</c:v>
                </c:pt>
                <c:pt idx="6">
                  <c:v>97.9</c:v>
                </c:pt>
                <c:pt idx="7">
                  <c:v>98.9</c:v>
                </c:pt>
                <c:pt idx="8">
                  <c:v>99.5</c:v>
                </c:pt>
                <c:pt idx="9">
                  <c:v>99.6</c:v>
                </c:pt>
                <c:pt idx="10">
                  <c:v>99.5</c:v>
                </c:pt>
                <c:pt idx="11">
                  <c:v>99.8</c:v>
                </c:pt>
              </c:numCache>
            </c:numRef>
          </c:yVal>
          <c:smooth val="1"/>
          <c:extLst>
            <c:ext xmlns:c16="http://schemas.microsoft.com/office/drawing/2014/chart" uri="{C3380CC4-5D6E-409C-BE32-E72D297353CC}">
              <c16:uniqueId val="{00000000-6286-4F05-8CA8-3C161C7F6CFB}"/>
            </c:ext>
          </c:extLst>
        </c:ser>
        <c:ser>
          <c:idx val="1"/>
          <c:order val="1"/>
          <c:tx>
            <c:strRef>
              <c:f>Sheet1!$E$7</c:f>
              <c:strCache>
                <c:ptCount val="1"/>
                <c:pt idx="0">
                  <c:v>MTH2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percentage"/>
            <c:noEndCap val="0"/>
            <c:val val="8"/>
            <c:spPr>
              <a:noFill/>
              <a:ln w="12700" cap="flat" cmpd="sng" algn="ctr">
                <a:solidFill>
                  <a:schemeClr val="tx1">
                    <a:lumMod val="65000"/>
                    <a:lumOff val="35000"/>
                  </a:schemeClr>
                </a:solidFill>
                <a:miter lim="800000"/>
              </a:ln>
              <a:effectLst/>
            </c:spPr>
          </c:errBars>
          <c:xVal>
            <c:numRef>
              <c:f>Sheet1!$C$8:$C$19</c:f>
              <c:numCache>
                <c:formatCode>General</c:formatCode>
                <c:ptCount val="12"/>
                <c:pt idx="0">
                  <c:v>0</c:v>
                </c:pt>
                <c:pt idx="1">
                  <c:v>1</c:v>
                </c:pt>
                <c:pt idx="2">
                  <c:v>2</c:v>
                </c:pt>
                <c:pt idx="3">
                  <c:v>3</c:v>
                </c:pt>
                <c:pt idx="4">
                  <c:v>4</c:v>
                </c:pt>
                <c:pt idx="5">
                  <c:v>6</c:v>
                </c:pt>
                <c:pt idx="6">
                  <c:v>8</c:v>
                </c:pt>
                <c:pt idx="7">
                  <c:v>10</c:v>
                </c:pt>
                <c:pt idx="8">
                  <c:v>12</c:v>
                </c:pt>
                <c:pt idx="9">
                  <c:v>14</c:v>
                </c:pt>
                <c:pt idx="10">
                  <c:v>16</c:v>
                </c:pt>
                <c:pt idx="11">
                  <c:v>20</c:v>
                </c:pt>
              </c:numCache>
            </c:numRef>
          </c:xVal>
          <c:yVal>
            <c:numRef>
              <c:f>Sheet1!$E$8:$E$19</c:f>
              <c:numCache>
                <c:formatCode>General</c:formatCode>
                <c:ptCount val="12"/>
                <c:pt idx="0">
                  <c:v>0</c:v>
                </c:pt>
                <c:pt idx="1">
                  <c:v>20.2</c:v>
                </c:pt>
                <c:pt idx="2">
                  <c:v>33.6</c:v>
                </c:pt>
                <c:pt idx="3">
                  <c:v>48.5</c:v>
                </c:pt>
                <c:pt idx="4">
                  <c:v>60.8</c:v>
                </c:pt>
                <c:pt idx="5">
                  <c:v>77.8</c:v>
                </c:pt>
                <c:pt idx="6">
                  <c:v>89.7</c:v>
                </c:pt>
                <c:pt idx="7">
                  <c:v>96.2</c:v>
                </c:pt>
                <c:pt idx="8">
                  <c:v>99.8</c:v>
                </c:pt>
                <c:pt idx="9">
                  <c:v>99.6</c:v>
                </c:pt>
                <c:pt idx="10">
                  <c:v>99.8</c:v>
                </c:pt>
                <c:pt idx="11">
                  <c:v>99.9</c:v>
                </c:pt>
              </c:numCache>
            </c:numRef>
          </c:yVal>
          <c:smooth val="1"/>
          <c:extLst>
            <c:ext xmlns:c16="http://schemas.microsoft.com/office/drawing/2014/chart" uri="{C3380CC4-5D6E-409C-BE32-E72D297353CC}">
              <c16:uniqueId val="{00000001-6286-4F05-8CA8-3C161C7F6CFB}"/>
            </c:ext>
          </c:extLst>
        </c:ser>
        <c:ser>
          <c:idx val="2"/>
          <c:order val="2"/>
          <c:tx>
            <c:strRef>
              <c:f>Sheet1!$F$7</c:f>
              <c:strCache>
                <c:ptCount val="1"/>
                <c:pt idx="0">
                  <c:v>MTH3</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5"/>
            <c:spPr>
              <a:noFill/>
              <a:ln w="12700" cap="flat" cmpd="sng" algn="ctr">
                <a:solidFill>
                  <a:schemeClr val="tx1">
                    <a:lumMod val="65000"/>
                    <a:lumOff val="35000"/>
                  </a:schemeClr>
                </a:solidFill>
                <a:bevel/>
              </a:ln>
              <a:effectLst/>
            </c:spPr>
          </c:errBars>
          <c:xVal>
            <c:numRef>
              <c:f>Sheet1!$C$8:$C$19</c:f>
              <c:numCache>
                <c:formatCode>General</c:formatCode>
                <c:ptCount val="12"/>
                <c:pt idx="0">
                  <c:v>0</c:v>
                </c:pt>
                <c:pt idx="1">
                  <c:v>1</c:v>
                </c:pt>
                <c:pt idx="2">
                  <c:v>2</c:v>
                </c:pt>
                <c:pt idx="3">
                  <c:v>3</c:v>
                </c:pt>
                <c:pt idx="4">
                  <c:v>4</c:v>
                </c:pt>
                <c:pt idx="5">
                  <c:v>6</c:v>
                </c:pt>
                <c:pt idx="6">
                  <c:v>8</c:v>
                </c:pt>
                <c:pt idx="7">
                  <c:v>10</c:v>
                </c:pt>
                <c:pt idx="8">
                  <c:v>12</c:v>
                </c:pt>
                <c:pt idx="9">
                  <c:v>14</c:v>
                </c:pt>
                <c:pt idx="10">
                  <c:v>16</c:v>
                </c:pt>
                <c:pt idx="11">
                  <c:v>20</c:v>
                </c:pt>
              </c:numCache>
            </c:numRef>
          </c:xVal>
          <c:yVal>
            <c:numRef>
              <c:f>Sheet1!$F$8:$F$19</c:f>
              <c:numCache>
                <c:formatCode>General</c:formatCode>
                <c:ptCount val="12"/>
                <c:pt idx="0">
                  <c:v>0</c:v>
                </c:pt>
                <c:pt idx="1">
                  <c:v>9.8000000000000007</c:v>
                </c:pt>
                <c:pt idx="2">
                  <c:v>20.399999999999999</c:v>
                </c:pt>
                <c:pt idx="3">
                  <c:v>32.4</c:v>
                </c:pt>
                <c:pt idx="4">
                  <c:v>43.2</c:v>
                </c:pt>
                <c:pt idx="5">
                  <c:v>58.6</c:v>
                </c:pt>
                <c:pt idx="6">
                  <c:v>67.400000000000006</c:v>
                </c:pt>
                <c:pt idx="7">
                  <c:v>77.900000000000006</c:v>
                </c:pt>
                <c:pt idx="8">
                  <c:v>87.4</c:v>
                </c:pt>
                <c:pt idx="9">
                  <c:v>94.2</c:v>
                </c:pt>
                <c:pt idx="10">
                  <c:v>98.7</c:v>
                </c:pt>
                <c:pt idx="11">
                  <c:v>99.4</c:v>
                </c:pt>
              </c:numCache>
            </c:numRef>
          </c:yVal>
          <c:smooth val="1"/>
          <c:extLst>
            <c:ext xmlns:c16="http://schemas.microsoft.com/office/drawing/2014/chart" uri="{C3380CC4-5D6E-409C-BE32-E72D297353CC}">
              <c16:uniqueId val="{00000002-6286-4F05-8CA8-3C161C7F6CFB}"/>
            </c:ext>
          </c:extLst>
        </c:ser>
        <c:ser>
          <c:idx val="3"/>
          <c:order val="3"/>
          <c:tx>
            <c:strRef>
              <c:f>Sheet1!$G$7</c:f>
              <c:strCache>
                <c:ptCount val="1"/>
                <c:pt idx="0">
                  <c:v>MTH4</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percentage"/>
            <c:noEndCap val="0"/>
            <c:val val="8"/>
            <c:spPr>
              <a:noFill/>
              <a:ln w="12700" cap="sq" cmpd="sng" algn="ctr">
                <a:solidFill>
                  <a:schemeClr val="tx1">
                    <a:lumMod val="65000"/>
                    <a:lumOff val="35000"/>
                  </a:schemeClr>
                </a:solidFill>
                <a:round/>
              </a:ln>
              <a:effectLst/>
            </c:spPr>
          </c:errBars>
          <c:xVal>
            <c:numRef>
              <c:f>Sheet1!$C$8:$C$19</c:f>
              <c:numCache>
                <c:formatCode>General</c:formatCode>
                <c:ptCount val="12"/>
                <c:pt idx="0">
                  <c:v>0</c:v>
                </c:pt>
                <c:pt idx="1">
                  <c:v>1</c:v>
                </c:pt>
                <c:pt idx="2">
                  <c:v>2</c:v>
                </c:pt>
                <c:pt idx="3">
                  <c:v>3</c:v>
                </c:pt>
                <c:pt idx="4">
                  <c:v>4</c:v>
                </c:pt>
                <c:pt idx="5">
                  <c:v>6</c:v>
                </c:pt>
                <c:pt idx="6">
                  <c:v>8</c:v>
                </c:pt>
                <c:pt idx="7">
                  <c:v>10</c:v>
                </c:pt>
                <c:pt idx="8">
                  <c:v>12</c:v>
                </c:pt>
                <c:pt idx="9">
                  <c:v>14</c:v>
                </c:pt>
                <c:pt idx="10">
                  <c:v>16</c:v>
                </c:pt>
                <c:pt idx="11">
                  <c:v>20</c:v>
                </c:pt>
              </c:numCache>
            </c:numRef>
          </c:xVal>
          <c:yVal>
            <c:numRef>
              <c:f>Sheet1!$G$8:$G$19</c:f>
              <c:numCache>
                <c:formatCode>General</c:formatCode>
                <c:ptCount val="12"/>
                <c:pt idx="0">
                  <c:v>0</c:v>
                </c:pt>
                <c:pt idx="1">
                  <c:v>6.2</c:v>
                </c:pt>
                <c:pt idx="2">
                  <c:v>13.7</c:v>
                </c:pt>
                <c:pt idx="3">
                  <c:v>19.8</c:v>
                </c:pt>
                <c:pt idx="4">
                  <c:v>29.7</c:v>
                </c:pt>
                <c:pt idx="5">
                  <c:v>36.9</c:v>
                </c:pt>
                <c:pt idx="6">
                  <c:v>42.7</c:v>
                </c:pt>
                <c:pt idx="7">
                  <c:v>58.3</c:v>
                </c:pt>
                <c:pt idx="8">
                  <c:v>66.8</c:v>
                </c:pt>
                <c:pt idx="9">
                  <c:v>75.900000000000006</c:v>
                </c:pt>
                <c:pt idx="10">
                  <c:v>83.3</c:v>
                </c:pt>
                <c:pt idx="11">
                  <c:v>85.8</c:v>
                </c:pt>
              </c:numCache>
            </c:numRef>
          </c:yVal>
          <c:smooth val="1"/>
          <c:extLst>
            <c:ext xmlns:c16="http://schemas.microsoft.com/office/drawing/2014/chart" uri="{C3380CC4-5D6E-409C-BE32-E72D297353CC}">
              <c16:uniqueId val="{00000003-6286-4F05-8CA8-3C161C7F6CFB}"/>
            </c:ext>
          </c:extLst>
        </c:ser>
        <c:dLbls>
          <c:showLegendKey val="0"/>
          <c:showVal val="0"/>
          <c:showCatName val="0"/>
          <c:showSerName val="0"/>
          <c:showPercent val="0"/>
          <c:showBubbleSize val="0"/>
        </c:dLbls>
        <c:axId val="265682175"/>
        <c:axId val="265660879"/>
      </c:scatterChart>
      <c:valAx>
        <c:axId val="265682175"/>
        <c:scaling>
          <c:orientation val="minMax"/>
          <c:max val="20"/>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latin typeface="Times New Roman" panose="02020603050405020304" pitchFamily="18" charset="0"/>
                    <a:cs typeface="Times New Roman" panose="02020603050405020304" pitchFamily="18" charset="0"/>
                  </a:rPr>
                  <a:t>Time (hr)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5660879"/>
        <c:crosses val="autoZero"/>
        <c:crossBetween val="midCat"/>
        <c:majorUnit val="2"/>
      </c:valAx>
      <c:valAx>
        <c:axId val="265660879"/>
        <c:scaling>
          <c:orientation val="minMax"/>
          <c:max val="110"/>
          <c:min val="0"/>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latin typeface="Times New Roman" panose="02020603050405020304" pitchFamily="18" charset="0"/>
                    <a:cs typeface="Times New Roman" panose="02020603050405020304" pitchFamily="18" charset="0"/>
                  </a:rPr>
                  <a:t>%</a:t>
                </a:r>
                <a:r>
                  <a:rPr lang="en-IN" sz="1200" b="1" baseline="0">
                    <a:latin typeface="Times New Roman" panose="02020603050405020304" pitchFamily="18" charset="0"/>
                    <a:cs typeface="Times New Roman" panose="02020603050405020304" pitchFamily="18" charset="0"/>
                  </a:rPr>
                  <a:t> drug release </a:t>
                </a:r>
                <a:endParaRPr lang="en-IN" sz="1200" b="1">
                  <a:latin typeface="Times New Roman" panose="02020603050405020304" pitchFamily="18" charset="0"/>
                  <a:cs typeface="Times New Roman" panose="02020603050405020304" pitchFamily="18" charset="0"/>
                </a:endParaRPr>
              </a:p>
            </c:rich>
          </c:tx>
          <c:layout>
            <c:manualLayout>
              <c:xMode val="edge"/>
              <c:yMode val="edge"/>
              <c:x val="8.3333333333333332E-3"/>
              <c:y val="0.27786235053951591"/>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5682175"/>
        <c:crosses val="autoZero"/>
        <c:crossBetween val="midCat"/>
        <c:majorUnit val="20"/>
      </c:valAx>
      <c:spPr>
        <a:noFill/>
        <a:ln>
          <a:noFill/>
        </a:ln>
        <a:effectLst/>
      </c:spPr>
    </c:plotArea>
    <c:legend>
      <c:legendPos val="b"/>
      <c:layout>
        <c:manualLayout>
          <c:xMode val="edge"/>
          <c:yMode val="edge"/>
          <c:x val="0.47503258967629047"/>
          <c:y val="0.58391149023038791"/>
          <c:w val="0.37493482064741906"/>
          <c:h val="0.16608850976961215"/>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676DB-6566-485E-8997-4C1B8ECB6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10</Pages>
  <Words>5351</Words>
  <Characters>30501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Chinna Reddy Palem</dc:creator>
  <cp:keywords/>
  <dc:description/>
  <cp:lastModifiedBy>Chinna Reddy Palem</cp:lastModifiedBy>
  <cp:revision>124</cp:revision>
  <dcterms:created xsi:type="dcterms:W3CDTF">2025-12-08T09:00:00Z</dcterms:created>
  <dcterms:modified xsi:type="dcterms:W3CDTF">2025-12-16T06:47:00Z</dcterms:modified>
</cp:coreProperties>
</file>