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B4CA0" w14:textId="7B630412" w:rsidR="00987DB4" w:rsidRPr="00987DB4" w:rsidRDefault="00987DB4" w:rsidP="00987DB4">
      <w:pPr>
        <w:spacing w:line="480" w:lineRule="auto"/>
        <w:rPr>
          <w:rFonts w:ascii="Arial" w:eastAsia="Times New Roman" w:hAnsi="Arial" w:cs="Arial"/>
          <w:b/>
          <w:bCs/>
          <w:color w:val="000000"/>
          <w:sz w:val="28"/>
          <w:szCs w:val="28"/>
          <w:u w:val="single"/>
        </w:rPr>
      </w:pPr>
      <w:r w:rsidRPr="00987DB4">
        <w:rPr>
          <w:rFonts w:ascii="Arial" w:eastAsia="Times New Roman" w:hAnsi="Arial" w:cs="Arial"/>
          <w:b/>
          <w:bCs/>
          <w:color w:val="000000"/>
          <w:sz w:val="28"/>
          <w:szCs w:val="28"/>
          <w:u w:val="single"/>
        </w:rPr>
        <w:t>Original Research Article</w:t>
      </w:r>
    </w:p>
    <w:p w14:paraId="6C4C18CA" w14:textId="7C4E57B0" w:rsidR="00940814" w:rsidRPr="00940814" w:rsidRDefault="00D632AB" w:rsidP="00940814">
      <w:pPr>
        <w:spacing w:line="480" w:lineRule="auto"/>
        <w:jc w:val="right"/>
        <w:rPr>
          <w:rFonts w:ascii="Arial" w:eastAsia="Times New Roman" w:hAnsi="Arial" w:cs="Arial"/>
          <w:b/>
          <w:bCs/>
          <w:color w:val="000000"/>
          <w:sz w:val="36"/>
          <w:szCs w:val="36"/>
        </w:rPr>
      </w:pPr>
      <w:r w:rsidRPr="00AF4AC4">
        <w:rPr>
          <w:rFonts w:ascii="Arial" w:eastAsia="Times New Roman" w:hAnsi="Arial" w:cs="Arial"/>
          <w:b/>
          <w:bCs/>
          <w:color w:val="000000"/>
          <w:sz w:val="36"/>
          <w:szCs w:val="36"/>
          <w:highlight w:val="yellow"/>
        </w:rPr>
        <w:t>Development</w:t>
      </w:r>
      <w:r w:rsidR="00940814" w:rsidRPr="00AF4AC4">
        <w:rPr>
          <w:rFonts w:ascii="Arial" w:eastAsia="Times New Roman" w:hAnsi="Arial" w:cs="Arial"/>
          <w:b/>
          <w:bCs/>
          <w:color w:val="000000"/>
          <w:sz w:val="36"/>
          <w:szCs w:val="36"/>
          <w:highlight w:val="yellow"/>
        </w:rPr>
        <w:t xml:space="preserve"> and Evaluation of α-Arbutin Based Periorbital depigmentation hydrogel patches for Cosmetic Application</w:t>
      </w:r>
    </w:p>
    <w:p w14:paraId="4CD77F50" w14:textId="77777777" w:rsidR="00940814" w:rsidRPr="00940814" w:rsidRDefault="00940814" w:rsidP="00987DB4">
      <w:pPr>
        <w:spacing w:after="0" w:line="240" w:lineRule="auto"/>
        <w:ind w:left="720" w:right="-143"/>
        <w:contextualSpacing/>
        <w:jc w:val="both"/>
        <w:rPr>
          <w:rFonts w:ascii="Times New Roman" w:hAnsi="Times New Roman" w:cs="Times New Roman"/>
        </w:rPr>
      </w:pPr>
    </w:p>
    <w:p w14:paraId="023BF436" w14:textId="77777777" w:rsidR="00940814" w:rsidRPr="00940814" w:rsidRDefault="00940814" w:rsidP="00940814">
      <w:pPr>
        <w:spacing w:after="0" w:line="240" w:lineRule="auto"/>
        <w:ind w:left="720" w:right="-143"/>
        <w:contextualSpacing/>
        <w:jc w:val="both"/>
        <w:rPr>
          <w:rFonts w:ascii="Times New Roman" w:hAnsi="Times New Roman" w:cs="Times New Roman"/>
        </w:rPr>
      </w:pPr>
    </w:p>
    <w:p w14:paraId="7D184551" w14:textId="77777777" w:rsidR="00940814" w:rsidRPr="00940814" w:rsidRDefault="00940814" w:rsidP="00940814">
      <w:pPr>
        <w:spacing w:line="240" w:lineRule="auto"/>
        <w:jc w:val="both"/>
        <w:rPr>
          <w:rFonts w:ascii="Times New Roman" w:hAnsi="Times New Roman" w:cs="Times New Roman"/>
          <w:b/>
          <w:bCs/>
          <w:sz w:val="22"/>
          <w:szCs w:val="22"/>
        </w:rPr>
      </w:pPr>
      <w:r w:rsidRPr="00940814">
        <w:rPr>
          <w:rFonts w:ascii="Arial" w:hAnsi="Arial" w:cs="Arial"/>
          <w:b/>
          <w:bCs/>
          <w:sz w:val="22"/>
          <w:szCs w:val="22"/>
        </w:rPr>
        <w:t>ABSTRACT</w:t>
      </w:r>
    </w:p>
    <w:p w14:paraId="272834C8"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Aim:</w:t>
      </w:r>
      <w:r w:rsidRPr="00940814">
        <w:rPr>
          <w:rFonts w:ascii="Arial" w:hAnsi="Arial" w:cs="Arial"/>
          <w:sz w:val="20"/>
          <w:szCs w:val="20"/>
        </w:rPr>
        <w:t xml:space="preserve"> The present study aims to formulate and evaluate α-arbutin–based hydrogel patches for periorbital depigmentation and management of under-eye dark circles.</w:t>
      </w:r>
    </w:p>
    <w:p w14:paraId="4C7D95FA" w14:textId="77777777" w:rsidR="00940814" w:rsidRPr="00940814" w:rsidRDefault="00940814" w:rsidP="00940814">
      <w:pPr>
        <w:spacing w:line="240" w:lineRule="auto"/>
        <w:jc w:val="both"/>
        <w:rPr>
          <w:rFonts w:ascii="Arial" w:hAnsi="Arial" w:cs="Arial"/>
          <w:bCs/>
          <w:sz w:val="20"/>
          <w:szCs w:val="20"/>
        </w:rPr>
      </w:pPr>
      <w:r w:rsidRPr="00940814">
        <w:rPr>
          <w:rFonts w:ascii="Arial" w:eastAsia="Calibri" w:hAnsi="Arial" w:cs="Arial"/>
          <w:b/>
          <w:sz w:val="20"/>
          <w:szCs w:val="20"/>
        </w:rPr>
        <w:t xml:space="preserve">Place and Duration of Study: </w:t>
      </w:r>
      <w:r w:rsidRPr="00940814">
        <w:rPr>
          <w:rFonts w:ascii="Arial" w:eastAsia="Calibri" w:hAnsi="Arial" w:cs="Arial"/>
          <w:bCs/>
          <w:sz w:val="20"/>
          <w:szCs w:val="20"/>
        </w:rPr>
        <w:t xml:space="preserve">HSK college of pharmacy, </w:t>
      </w:r>
      <w:proofErr w:type="spellStart"/>
      <w:r w:rsidRPr="00940814">
        <w:rPr>
          <w:rFonts w:ascii="Arial" w:eastAsia="Calibri" w:hAnsi="Arial" w:cs="Arial"/>
          <w:bCs/>
          <w:sz w:val="20"/>
          <w:szCs w:val="20"/>
        </w:rPr>
        <w:t>Bagalkote</w:t>
      </w:r>
      <w:proofErr w:type="spellEnd"/>
    </w:p>
    <w:p w14:paraId="08EF6FF1"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Methodology:</w:t>
      </w:r>
      <w:r w:rsidRPr="00940814">
        <w:rPr>
          <w:rFonts w:ascii="Arial" w:hAnsi="Arial" w:cs="Arial"/>
          <w:sz w:val="20"/>
          <w:szCs w:val="20"/>
        </w:rPr>
        <w:t xml:space="preserve"> Hydrogel patches were prepared using Agar/PVA (F1), Gelatine/PVA (F2), and Pectin (F3) by solvent-casting method. Formulations were evaluated for organoleptic properties, pH, weight, thickness, swelling index, folding endurance, tensile strength, drug content, FTIR compatibility, antioxidant activity, and in-vitro drug release using Franz diffusion cell.</w:t>
      </w:r>
    </w:p>
    <w:p w14:paraId="64A6150A"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Results:</w:t>
      </w:r>
      <w:r w:rsidRPr="00940814">
        <w:rPr>
          <w:rFonts w:ascii="Arial" w:hAnsi="Arial" w:cs="Arial"/>
          <w:sz w:val="20"/>
          <w:szCs w:val="20"/>
        </w:rPr>
        <w:t xml:space="preserve"> FTIR confirmed absence of drug–polymer interaction. F1 showed optimal mechanical properties (tensile strength 2.97 kg; folding endurance 321) and swelling (72.97%). Drug content ranged from 85.10 – 89.12%. F2 exhibited highest drug release (95.72% at 90 min), while F1 showed release (75.49%). Antioxidant activity (DPPH) demonstrated strong scavenging potential.</w:t>
      </w:r>
    </w:p>
    <w:p w14:paraId="52820C14"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Conclusion:</w:t>
      </w:r>
      <w:r w:rsidRPr="00940814">
        <w:rPr>
          <w:rFonts w:ascii="Arial" w:hAnsi="Arial" w:cs="Arial"/>
          <w:sz w:val="20"/>
          <w:szCs w:val="20"/>
        </w:rPr>
        <w:t xml:space="preserve"> α-Arbutin hydrogel patches were successfully developed with safe pH, good flexibility, enhanced antioxidant activity, and controlled depigmenting agent release. F1 was identified as the most suitable formulation for cosmetic under-eye application.</w:t>
      </w:r>
    </w:p>
    <w:p w14:paraId="6216473C" w14:textId="77777777" w:rsidR="00940814" w:rsidRPr="00940814" w:rsidRDefault="00940814" w:rsidP="00940814">
      <w:pPr>
        <w:spacing w:line="240" w:lineRule="auto"/>
        <w:jc w:val="both"/>
        <w:rPr>
          <w:rFonts w:ascii="Arial" w:hAnsi="Arial" w:cs="Arial"/>
          <w:sz w:val="20"/>
          <w:szCs w:val="20"/>
        </w:rPr>
      </w:pPr>
    </w:p>
    <w:p w14:paraId="3FBF5615" w14:textId="4CC06D6A" w:rsidR="00940814" w:rsidRPr="00940814" w:rsidRDefault="00940814" w:rsidP="00940814">
      <w:pPr>
        <w:spacing w:line="240" w:lineRule="auto"/>
        <w:jc w:val="both"/>
        <w:rPr>
          <w:rFonts w:ascii="Arial" w:hAnsi="Arial" w:cs="Arial"/>
          <w:i/>
          <w:iCs/>
          <w:sz w:val="20"/>
          <w:szCs w:val="20"/>
        </w:rPr>
      </w:pPr>
      <w:r w:rsidRPr="00940814">
        <w:rPr>
          <w:rFonts w:ascii="Arial" w:hAnsi="Arial" w:cs="Arial"/>
          <w:i/>
          <w:iCs/>
          <w:sz w:val="20"/>
          <w:szCs w:val="20"/>
        </w:rPr>
        <w:t>Keywords: α-Arbutin, Hydrogel patches, Periorbital hyperpigmentation, Dark circles, Ascorbic acid.</w:t>
      </w:r>
    </w:p>
    <w:p w14:paraId="48CBDE6A" w14:textId="77777777" w:rsidR="00940814" w:rsidRPr="00940814" w:rsidRDefault="00940814" w:rsidP="00940814">
      <w:pPr>
        <w:spacing w:before="240" w:line="240" w:lineRule="auto"/>
        <w:jc w:val="both"/>
        <w:rPr>
          <w:rFonts w:ascii="Arial" w:hAnsi="Arial" w:cs="Arial"/>
          <w:b/>
          <w:bCs/>
          <w:sz w:val="22"/>
          <w:szCs w:val="22"/>
        </w:rPr>
      </w:pPr>
    </w:p>
    <w:p w14:paraId="3BC285AA" w14:textId="5C89B489" w:rsidR="00F82E94" w:rsidRPr="00940814" w:rsidRDefault="00F82E94" w:rsidP="00940814">
      <w:pPr>
        <w:spacing w:before="240" w:line="240" w:lineRule="auto"/>
        <w:jc w:val="both"/>
        <w:rPr>
          <w:rFonts w:ascii="Arial" w:hAnsi="Arial" w:cs="Arial"/>
          <w:b/>
          <w:bCs/>
          <w:sz w:val="22"/>
          <w:szCs w:val="22"/>
        </w:rPr>
      </w:pPr>
      <w:r w:rsidRPr="00940814">
        <w:rPr>
          <w:rFonts w:ascii="Arial" w:hAnsi="Arial" w:cs="Arial"/>
          <w:b/>
          <w:bCs/>
          <w:sz w:val="22"/>
          <w:szCs w:val="22"/>
        </w:rPr>
        <w:t>INTRODUCTION</w:t>
      </w:r>
    </w:p>
    <w:p w14:paraId="6B089D82" w14:textId="77777777" w:rsidR="00346247" w:rsidRPr="00BF7268" w:rsidRDefault="00346247" w:rsidP="00346247">
      <w:pPr>
        <w:pStyle w:val="ListParagraph"/>
        <w:spacing w:before="240" w:line="240" w:lineRule="auto"/>
        <w:ind w:left="270"/>
        <w:jc w:val="both"/>
        <w:rPr>
          <w:rFonts w:ascii="Arial" w:hAnsi="Arial" w:cs="Arial"/>
          <w:b/>
          <w:bCs/>
          <w:sz w:val="22"/>
          <w:szCs w:val="22"/>
        </w:rPr>
      </w:pPr>
    </w:p>
    <w:p w14:paraId="698727AF" w14:textId="42FCDCE0" w:rsidR="00F82E94" w:rsidRPr="00BF7268" w:rsidRDefault="00F82E94" w:rsidP="00FC2C6A">
      <w:pPr>
        <w:pStyle w:val="ListParagraph"/>
        <w:spacing w:before="240" w:line="240" w:lineRule="auto"/>
        <w:ind w:left="0" w:firstLine="720"/>
        <w:jc w:val="both"/>
        <w:rPr>
          <w:rFonts w:ascii="Arial" w:hAnsi="Arial" w:cs="Arial"/>
          <w:b/>
          <w:bCs/>
          <w:sz w:val="20"/>
          <w:szCs w:val="20"/>
          <w:vertAlign w:val="superscript"/>
        </w:rPr>
      </w:pPr>
      <w:r w:rsidRPr="00BF7268">
        <w:rPr>
          <w:rFonts w:ascii="Arial" w:hAnsi="Arial" w:cs="Arial"/>
          <w:sz w:val="20"/>
          <w:szCs w:val="20"/>
        </w:rPr>
        <w:t xml:space="preserve">Dark circles are </w:t>
      </w:r>
      <w:r w:rsidR="00A67CF9" w:rsidRPr="00BF7268">
        <w:rPr>
          <w:rFonts w:ascii="Arial" w:hAnsi="Arial" w:cs="Arial"/>
          <w:sz w:val="20"/>
          <w:szCs w:val="20"/>
        </w:rPr>
        <w:t>known</w:t>
      </w:r>
      <w:r w:rsidRPr="00BF7268">
        <w:rPr>
          <w:rFonts w:ascii="Arial" w:hAnsi="Arial" w:cs="Arial"/>
          <w:sz w:val="20"/>
          <w:szCs w:val="20"/>
        </w:rPr>
        <w:t xml:space="preserve"> as bilateral, homogeneous hyper chromic macules and patches primarily involving the lower eyelids but also sometimes extending towards the upper eyelids, eyebrows, malar regions, temporal regions and the lateral nasal root. It is also termed as ‘periorbital melanosis’.</w:t>
      </w:r>
      <w:r w:rsidR="002042F4" w:rsidRPr="00BF7268">
        <w:rPr>
          <w:rFonts w:ascii="Arial" w:hAnsi="Arial" w:cs="Arial"/>
          <w:sz w:val="20"/>
          <w:szCs w:val="20"/>
        </w:rPr>
        <w:t xml:space="preserve"> </w:t>
      </w:r>
      <w:r w:rsidRPr="00BF7268">
        <w:rPr>
          <w:rFonts w:ascii="Arial" w:hAnsi="Arial" w:cs="Arial"/>
          <w:sz w:val="20"/>
          <w:szCs w:val="20"/>
        </w:rPr>
        <w:t>Periorbital hyperpigmentation (POH), commonly referred to as under-eye dark circles, characterized by increased pigmentation or shadowing beneath the eyes and is a frequent cosmetic concern.</w:t>
      </w:r>
      <w:r w:rsidR="004B18D5" w:rsidRPr="00BF7268">
        <w:rPr>
          <w:rFonts w:ascii="Arial" w:hAnsi="Arial" w:cs="Arial"/>
          <w:sz w:val="20"/>
          <w:szCs w:val="20"/>
          <w:vertAlign w:val="superscript"/>
        </w:rPr>
        <w:t>1</w:t>
      </w:r>
      <w:r w:rsidRPr="00BF7268">
        <w:rPr>
          <w:rFonts w:ascii="Arial" w:hAnsi="Arial" w:cs="Arial"/>
          <w:sz w:val="20"/>
          <w:szCs w:val="20"/>
        </w:rPr>
        <w:t xml:space="preserve"> Its </w:t>
      </w:r>
      <w:proofErr w:type="spellStart"/>
      <w:r w:rsidRPr="00BF7268">
        <w:rPr>
          <w:rFonts w:ascii="Arial" w:hAnsi="Arial" w:cs="Arial"/>
          <w:sz w:val="20"/>
          <w:szCs w:val="20"/>
        </w:rPr>
        <w:t>etiology</w:t>
      </w:r>
      <w:proofErr w:type="spellEnd"/>
      <w:r w:rsidRPr="00BF7268">
        <w:rPr>
          <w:rFonts w:ascii="Arial" w:hAnsi="Arial" w:cs="Arial"/>
          <w:sz w:val="20"/>
          <w:szCs w:val="20"/>
        </w:rPr>
        <w:t xml:space="preserve"> includes melanin overproduction, vascular congestion, structural shadow formation, aging,</w:t>
      </w:r>
      <w:r w:rsidR="00B20B57" w:rsidRPr="00BF7268">
        <w:rPr>
          <w:rFonts w:ascii="Arial" w:hAnsi="Arial" w:cs="Arial"/>
          <w:sz w:val="20"/>
          <w:szCs w:val="20"/>
        </w:rPr>
        <w:t xml:space="preserve"> stress</w:t>
      </w:r>
      <w:r w:rsidR="00A157EB" w:rsidRPr="00BF7268">
        <w:rPr>
          <w:rFonts w:ascii="Arial" w:hAnsi="Arial" w:cs="Arial"/>
          <w:sz w:val="20"/>
          <w:szCs w:val="20"/>
        </w:rPr>
        <w:t>, sun exposure, dehydration, vitamin deficiency</w:t>
      </w:r>
      <w:r w:rsidR="0084240E" w:rsidRPr="00BF7268">
        <w:rPr>
          <w:rFonts w:ascii="Arial" w:hAnsi="Arial" w:cs="Arial"/>
          <w:sz w:val="20"/>
          <w:szCs w:val="20"/>
        </w:rPr>
        <w:t>,</w:t>
      </w:r>
      <w:r w:rsidRPr="00BF7268">
        <w:rPr>
          <w:rFonts w:ascii="Arial" w:hAnsi="Arial" w:cs="Arial"/>
          <w:sz w:val="20"/>
          <w:szCs w:val="20"/>
        </w:rPr>
        <w:t xml:space="preserve"> lifestyle and</w:t>
      </w:r>
      <w:r w:rsidR="00557284" w:rsidRPr="00BF7268">
        <w:rPr>
          <w:rFonts w:ascii="Arial" w:hAnsi="Arial" w:cs="Arial"/>
          <w:sz w:val="20"/>
          <w:szCs w:val="20"/>
        </w:rPr>
        <w:t xml:space="preserve"> genetic factors.</w:t>
      </w:r>
      <w:r w:rsidR="0084240E" w:rsidRPr="00BF7268">
        <w:rPr>
          <w:rFonts w:ascii="Arial" w:hAnsi="Arial" w:cs="Arial"/>
          <w:sz w:val="20"/>
          <w:szCs w:val="20"/>
          <w:vertAlign w:val="superscript"/>
        </w:rPr>
        <w:t>2</w:t>
      </w:r>
    </w:p>
    <w:p w14:paraId="13607BBD" w14:textId="3E577F5E" w:rsidR="0047487A" w:rsidRPr="00BF7268" w:rsidRDefault="00F82E94" w:rsidP="00BF7268">
      <w:pPr>
        <w:spacing w:line="240" w:lineRule="auto"/>
        <w:ind w:right="84" w:firstLine="720"/>
        <w:jc w:val="both"/>
        <w:rPr>
          <w:rFonts w:ascii="Arial" w:hAnsi="Arial" w:cs="Arial"/>
          <w:sz w:val="20"/>
          <w:szCs w:val="20"/>
          <w:vertAlign w:val="superscript"/>
        </w:rPr>
      </w:pPr>
      <w:r w:rsidRPr="00BF7268">
        <w:rPr>
          <w:rFonts w:ascii="Arial" w:hAnsi="Arial" w:cs="Arial"/>
          <w:sz w:val="20"/>
          <w:szCs w:val="20"/>
        </w:rPr>
        <w:t>Hydrogel patches are advanced topical carriers composed of hydrophilic polymer networks capable of holding significant water content. They provide hydration, cooling, improved penetration, and release of active agents</w:t>
      </w:r>
      <w:r w:rsidR="00E05317" w:rsidRPr="00BF7268">
        <w:rPr>
          <w:rFonts w:ascii="Arial" w:hAnsi="Arial" w:cs="Arial"/>
          <w:sz w:val="20"/>
          <w:szCs w:val="20"/>
        </w:rPr>
        <w:t xml:space="preserve"> </w:t>
      </w:r>
      <w:r w:rsidRPr="00BF7268">
        <w:rPr>
          <w:rFonts w:ascii="Arial" w:hAnsi="Arial" w:cs="Arial"/>
          <w:sz w:val="20"/>
          <w:szCs w:val="20"/>
        </w:rPr>
        <w:t>making them ideal for delicate periorbital skin.</w:t>
      </w:r>
      <w:r w:rsidR="0047487A" w:rsidRPr="00BF7268">
        <w:rPr>
          <w:rFonts w:ascii="Arial" w:hAnsi="Arial" w:cs="Arial"/>
          <w:sz w:val="20"/>
          <w:szCs w:val="20"/>
        </w:rPr>
        <w:t xml:space="preserve"> These are mini sheet masks that are made of hydrogel material and curve to fit the contours of the face. The hydrogel material helps maximize nutrient absorption and provide fast acting results.</w:t>
      </w:r>
      <w:r w:rsidR="008A3992" w:rsidRPr="00BF7268">
        <w:rPr>
          <w:rFonts w:ascii="Arial" w:hAnsi="Arial" w:cs="Arial"/>
          <w:sz w:val="20"/>
          <w:szCs w:val="20"/>
          <w:vertAlign w:val="superscript"/>
        </w:rPr>
        <w:t>3</w:t>
      </w:r>
    </w:p>
    <w:p w14:paraId="07032EA5" w14:textId="77777777" w:rsidR="002E6A28" w:rsidRPr="00BF7268" w:rsidRDefault="00F82E94"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lastRenderedPageBreak/>
        <w:t>α-Arbutin is a potent and safe tyrosinase inhibitor widely used for cosmetic depigmentation. Combined with ascorbic acid, its antioxidant and brightening effects are amplified.</w:t>
      </w:r>
      <w:r w:rsidR="00D00DDF" w:rsidRPr="00BF7268">
        <w:rPr>
          <w:rFonts w:ascii="Arial" w:hAnsi="Arial" w:cs="Arial"/>
          <w:sz w:val="20"/>
          <w:szCs w:val="20"/>
        </w:rPr>
        <w:t xml:space="preserve"> I</w:t>
      </w:r>
      <w:r w:rsidR="00CB7A4D" w:rsidRPr="00BF7268">
        <w:rPr>
          <w:rFonts w:ascii="Arial" w:hAnsi="Arial" w:cs="Arial"/>
          <w:sz w:val="20"/>
          <w:szCs w:val="20"/>
        </w:rPr>
        <w:t xml:space="preserve">t is a naturally derived hydroquinone glycoside widely used as a safe and effective skin-lightening and depigmenting agent. It acts primarily by inhibiting tyrosinase, the key enzyme involved in melanin biosynthesis, thereby reducing excess pigmentation and improving overall skin tone. Compared to conventional depigmenting agents such as hydroquinone, </w:t>
      </w:r>
      <w:r w:rsidR="00D00DDF" w:rsidRPr="00BF7268">
        <w:rPr>
          <w:rFonts w:ascii="Arial" w:hAnsi="Arial" w:cs="Arial"/>
          <w:sz w:val="20"/>
          <w:szCs w:val="20"/>
        </w:rPr>
        <w:t>α</w:t>
      </w:r>
      <w:r w:rsidR="00CB7A4D" w:rsidRPr="00BF7268">
        <w:rPr>
          <w:rFonts w:ascii="Arial" w:hAnsi="Arial" w:cs="Arial"/>
          <w:sz w:val="20"/>
          <w:szCs w:val="20"/>
        </w:rPr>
        <w:t>-arbutin exhibits superior stability, reduced cytotoxicity, and a lower risk of irritation, making it suitable for long-term cosmetic use.</w:t>
      </w:r>
      <w:r w:rsidR="002E6A28" w:rsidRPr="00BF7268">
        <w:rPr>
          <w:rFonts w:ascii="Arial" w:hAnsi="Arial" w:cs="Arial"/>
          <w:sz w:val="20"/>
          <w:szCs w:val="20"/>
          <w:vertAlign w:val="superscript"/>
        </w:rPr>
        <w:t>4</w:t>
      </w:r>
    </w:p>
    <w:p w14:paraId="1FE96823" w14:textId="2558CCFA" w:rsidR="00336BFE" w:rsidRPr="00336BFE" w:rsidRDefault="00336BFE" w:rsidP="00336BFE">
      <w:pPr>
        <w:spacing w:before="240" w:line="240" w:lineRule="auto"/>
        <w:ind w:firstLine="720"/>
        <w:jc w:val="both"/>
        <w:rPr>
          <w:rFonts w:ascii="Arial" w:hAnsi="Arial" w:cs="Arial"/>
          <w:sz w:val="20"/>
          <w:szCs w:val="20"/>
        </w:rPr>
      </w:pPr>
      <w:r w:rsidRPr="00336BFE">
        <w:rPr>
          <w:rFonts w:ascii="Arial" w:hAnsi="Arial" w:cs="Arial"/>
          <w:sz w:val="20"/>
          <w:szCs w:val="20"/>
          <w:highlight w:val="yellow"/>
        </w:rPr>
        <w:t>Hydrogel patches offer a promising alternative delivery system due to their ability to provide prolonged contact, sustained release, enhanced hydration, and improved permeation across delicate skin regions. Their cooling and soothing properties also make them particularly beneficial for the periorbital area, where the skin is thin and prone to irritation. The present research focuses on developing α-arbutin loaded periorbital hydrogel patches and evaluating their physicochemical characteristics, release profile, and depigmenting potential. This approach aims to provide a targeted, safe, and effective therapeutic option for managing periorbital hyperpigmentation, enhancing both patient comfort and treatment outcomes.</w:t>
      </w:r>
    </w:p>
    <w:p w14:paraId="488A1C4A" w14:textId="77777777" w:rsidR="00336BFE" w:rsidRDefault="00336BFE" w:rsidP="00BF7268">
      <w:pPr>
        <w:spacing w:before="240" w:line="240" w:lineRule="auto"/>
        <w:ind w:firstLine="720"/>
        <w:jc w:val="both"/>
        <w:rPr>
          <w:rFonts w:ascii="Arial" w:hAnsi="Arial" w:cs="Arial"/>
          <w:sz w:val="20"/>
          <w:szCs w:val="20"/>
        </w:rPr>
      </w:pPr>
    </w:p>
    <w:p w14:paraId="5E862FA7" w14:textId="5EBD1461" w:rsidR="00E401AC" w:rsidRPr="00BF7268" w:rsidRDefault="00DF5795" w:rsidP="00BF7268">
      <w:pPr>
        <w:spacing w:before="240" w:line="240" w:lineRule="auto"/>
        <w:jc w:val="both"/>
        <w:rPr>
          <w:rFonts w:ascii="Arial" w:hAnsi="Arial" w:cs="Arial"/>
          <w:b/>
          <w:bCs/>
          <w:sz w:val="22"/>
          <w:szCs w:val="22"/>
        </w:rPr>
      </w:pPr>
      <w:r w:rsidRPr="00BF7268">
        <w:rPr>
          <w:rFonts w:ascii="Arial" w:hAnsi="Arial" w:cs="Arial"/>
          <w:b/>
          <w:bCs/>
          <w:sz w:val="22"/>
          <w:szCs w:val="22"/>
        </w:rPr>
        <w:t xml:space="preserve">2 </w:t>
      </w:r>
      <w:r w:rsidR="00E401AC" w:rsidRPr="00BF7268">
        <w:rPr>
          <w:rFonts w:ascii="Arial" w:hAnsi="Arial" w:cs="Arial"/>
          <w:b/>
          <w:bCs/>
          <w:sz w:val="22"/>
          <w:szCs w:val="22"/>
        </w:rPr>
        <w:t>MATERIALS AND METHODS</w:t>
      </w:r>
    </w:p>
    <w:p w14:paraId="5CDF14C6" w14:textId="19A1872E" w:rsidR="00E401AC" w:rsidRPr="00BF7268" w:rsidRDefault="009F1F73"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2.1 </w:t>
      </w:r>
      <w:r w:rsidR="00E401AC" w:rsidRPr="00BF7268">
        <w:rPr>
          <w:rFonts w:ascii="Arial" w:hAnsi="Arial" w:cs="Arial"/>
          <w:b/>
          <w:bCs/>
          <w:sz w:val="20"/>
          <w:szCs w:val="20"/>
        </w:rPr>
        <w:t>Materials</w:t>
      </w:r>
    </w:p>
    <w:p w14:paraId="752CDA7A" w14:textId="739EC5A8"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α-Arbutin was </w:t>
      </w:r>
      <w:r w:rsidR="00B872AB" w:rsidRPr="00BF7268">
        <w:rPr>
          <w:rFonts w:ascii="Arial" w:hAnsi="Arial" w:cs="Arial"/>
          <w:sz w:val="20"/>
          <w:szCs w:val="20"/>
        </w:rPr>
        <w:t>purchased</w:t>
      </w:r>
      <w:r w:rsidRPr="00BF7268">
        <w:rPr>
          <w:rFonts w:ascii="Arial" w:hAnsi="Arial" w:cs="Arial"/>
          <w:sz w:val="20"/>
          <w:szCs w:val="20"/>
        </w:rPr>
        <w:t xml:space="preserve"> from BRM Chemicals (Delhi), L-ascorbic acid from </w:t>
      </w:r>
      <w:proofErr w:type="spellStart"/>
      <w:r w:rsidRPr="00BF7268">
        <w:rPr>
          <w:rFonts w:ascii="Arial" w:hAnsi="Arial" w:cs="Arial"/>
          <w:sz w:val="20"/>
          <w:szCs w:val="20"/>
        </w:rPr>
        <w:t>Molychem</w:t>
      </w:r>
      <w:proofErr w:type="spellEnd"/>
      <w:r w:rsidRPr="00BF7268">
        <w:rPr>
          <w:rFonts w:ascii="Arial" w:hAnsi="Arial" w:cs="Arial"/>
          <w:sz w:val="20"/>
          <w:szCs w:val="20"/>
        </w:rPr>
        <w:t xml:space="preserve"> (Mumbai), agar and polyvinyl alcohol (PVA) from Thermo Fisher Scientific India </w:t>
      </w:r>
      <w:proofErr w:type="spellStart"/>
      <w:r w:rsidRPr="00BF7268">
        <w:rPr>
          <w:rFonts w:ascii="Arial" w:hAnsi="Arial" w:cs="Arial"/>
          <w:sz w:val="20"/>
          <w:szCs w:val="20"/>
        </w:rPr>
        <w:t>Pvt.</w:t>
      </w:r>
      <w:proofErr w:type="spellEnd"/>
      <w:r w:rsidRPr="00BF7268">
        <w:rPr>
          <w:rFonts w:ascii="Arial" w:hAnsi="Arial" w:cs="Arial"/>
          <w:sz w:val="20"/>
          <w:szCs w:val="20"/>
        </w:rPr>
        <w:t xml:space="preserve"> Ltd. (Mumbai), gelatine and pectin from </w:t>
      </w:r>
      <w:proofErr w:type="spellStart"/>
      <w:r w:rsidRPr="00BF7268">
        <w:rPr>
          <w:rFonts w:ascii="Arial" w:hAnsi="Arial" w:cs="Arial"/>
          <w:sz w:val="20"/>
          <w:szCs w:val="20"/>
        </w:rPr>
        <w:t>Loba</w:t>
      </w:r>
      <w:proofErr w:type="spellEnd"/>
      <w:r w:rsidRPr="00BF7268">
        <w:rPr>
          <w:rFonts w:ascii="Arial" w:hAnsi="Arial" w:cs="Arial"/>
          <w:sz w:val="20"/>
          <w:szCs w:val="20"/>
        </w:rPr>
        <w:t xml:space="preserve"> Chemical </w:t>
      </w:r>
      <w:proofErr w:type="spellStart"/>
      <w:r w:rsidRPr="00BF7268">
        <w:rPr>
          <w:rFonts w:ascii="Arial" w:hAnsi="Arial" w:cs="Arial"/>
          <w:sz w:val="20"/>
          <w:szCs w:val="20"/>
        </w:rPr>
        <w:t>Pvt.</w:t>
      </w:r>
      <w:proofErr w:type="spellEnd"/>
      <w:r w:rsidRPr="00BF7268">
        <w:rPr>
          <w:rFonts w:ascii="Arial" w:hAnsi="Arial" w:cs="Arial"/>
          <w:sz w:val="20"/>
          <w:szCs w:val="20"/>
        </w:rPr>
        <w:t xml:space="preserve"> Ltd. (Mumbai), and vitamin E from Procter &amp; Gamble Health Ltd. (Goa). Glycerol, propylene glycol, butylated </w:t>
      </w:r>
      <w:proofErr w:type="spellStart"/>
      <w:r w:rsidRPr="00BF7268">
        <w:rPr>
          <w:rFonts w:ascii="Arial" w:hAnsi="Arial" w:cs="Arial"/>
          <w:sz w:val="20"/>
          <w:szCs w:val="20"/>
        </w:rPr>
        <w:t>hydroxyanisole</w:t>
      </w:r>
      <w:proofErr w:type="spellEnd"/>
      <w:r w:rsidRPr="00BF7268">
        <w:rPr>
          <w:rFonts w:ascii="Arial" w:hAnsi="Arial" w:cs="Arial"/>
          <w:sz w:val="20"/>
          <w:szCs w:val="20"/>
        </w:rPr>
        <w:t xml:space="preserve"> (BHA), benzalkonium chloride, sodium hydroxide pellets, and potassium dihydrogen orthophosphate were obtained from standard commercial suppliers. All chemicals used were of analytical grade.</w:t>
      </w:r>
    </w:p>
    <w:p w14:paraId="54C65F66" w14:textId="34136C39" w:rsidR="00E401AC" w:rsidRPr="00BF7268" w:rsidRDefault="00DB1F28"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2.2 </w:t>
      </w:r>
      <w:r w:rsidR="00E401AC" w:rsidRPr="00BF7268">
        <w:rPr>
          <w:rFonts w:ascii="Arial" w:hAnsi="Arial" w:cs="Arial"/>
          <w:b/>
          <w:bCs/>
          <w:sz w:val="20"/>
          <w:szCs w:val="20"/>
        </w:rPr>
        <w:t>Instruments</w:t>
      </w:r>
    </w:p>
    <w:p w14:paraId="068AD18A" w14:textId="1476D1E1"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A UV–Visible spectrophotometer (Shimadzu, Japan), hot air oven (Oswald, Mumbai), </w:t>
      </w:r>
      <w:proofErr w:type="spellStart"/>
      <w:r w:rsidRPr="00BF7268">
        <w:rPr>
          <w:rFonts w:ascii="Arial" w:hAnsi="Arial" w:cs="Arial"/>
          <w:sz w:val="20"/>
          <w:szCs w:val="20"/>
        </w:rPr>
        <w:t>sonicator</w:t>
      </w:r>
      <w:proofErr w:type="spellEnd"/>
      <w:r w:rsidRPr="00BF7268">
        <w:rPr>
          <w:rFonts w:ascii="Arial" w:hAnsi="Arial" w:cs="Arial"/>
          <w:sz w:val="20"/>
          <w:szCs w:val="20"/>
        </w:rPr>
        <w:t xml:space="preserve"> (</w:t>
      </w:r>
      <w:proofErr w:type="spellStart"/>
      <w:r w:rsidRPr="00BF7268">
        <w:rPr>
          <w:rFonts w:ascii="Arial" w:hAnsi="Arial" w:cs="Arial"/>
          <w:sz w:val="20"/>
          <w:szCs w:val="20"/>
        </w:rPr>
        <w:t>Equitron</w:t>
      </w:r>
      <w:proofErr w:type="spellEnd"/>
      <w:r w:rsidRPr="00BF7268">
        <w:rPr>
          <w:rFonts w:ascii="Arial" w:hAnsi="Arial" w:cs="Arial"/>
          <w:sz w:val="20"/>
          <w:szCs w:val="20"/>
        </w:rPr>
        <w:t>), electronic balance (</w:t>
      </w:r>
      <w:proofErr w:type="spellStart"/>
      <w:r w:rsidRPr="00BF7268">
        <w:rPr>
          <w:rFonts w:ascii="Arial" w:hAnsi="Arial" w:cs="Arial"/>
          <w:sz w:val="20"/>
          <w:szCs w:val="20"/>
        </w:rPr>
        <w:t>Essae-Teraoka</w:t>
      </w:r>
      <w:proofErr w:type="spellEnd"/>
      <w:r w:rsidRPr="00BF7268">
        <w:rPr>
          <w:rFonts w:ascii="Arial" w:hAnsi="Arial" w:cs="Arial"/>
          <w:sz w:val="20"/>
          <w:szCs w:val="20"/>
        </w:rPr>
        <w:t xml:space="preserve"> FB-600), magnetic stirrer (REMI 1MLH) and heating mantle (Sunrise Scientific Inc.) were utilized in the study.</w:t>
      </w:r>
    </w:p>
    <w:p w14:paraId="169550B6" w14:textId="278A6896" w:rsidR="00E401AC" w:rsidRPr="00BF7268" w:rsidRDefault="00EB786E"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2.3 </w:t>
      </w:r>
      <w:r w:rsidR="00E401AC" w:rsidRPr="00BF7268">
        <w:rPr>
          <w:rFonts w:ascii="Arial" w:hAnsi="Arial" w:cs="Arial"/>
          <w:b/>
          <w:bCs/>
          <w:sz w:val="20"/>
          <w:szCs w:val="20"/>
        </w:rPr>
        <w:t>FTIR Compatibility Studies</w:t>
      </w:r>
    </w:p>
    <w:p w14:paraId="64EE69A8" w14:textId="7216853C" w:rsidR="008269A7"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FTIR spectra of α-arbutin, PVA, agar, ascorbic acid, and the formulated patches were recorded using an ATR-FTIR spectrophotometer. Approximately 10 mg of each sample was scanned over a wavelength range of 4000</w:t>
      </w:r>
      <w:r w:rsidR="002F1ABE" w:rsidRPr="00BF7268">
        <w:rPr>
          <w:rFonts w:ascii="Arial" w:hAnsi="Arial" w:cs="Arial"/>
          <w:sz w:val="20"/>
          <w:szCs w:val="20"/>
        </w:rPr>
        <w:t xml:space="preserve"> to </w:t>
      </w:r>
      <w:r w:rsidRPr="00BF7268">
        <w:rPr>
          <w:rFonts w:ascii="Arial" w:hAnsi="Arial" w:cs="Arial"/>
          <w:sz w:val="20"/>
          <w:szCs w:val="20"/>
        </w:rPr>
        <w:t>800 cm</w:t>
      </w:r>
      <w:r w:rsidRPr="00BF7268">
        <w:rPr>
          <w:rFonts w:ascii="Cambria Math" w:hAnsi="Cambria Math" w:cs="Cambria Math"/>
          <w:sz w:val="20"/>
          <w:szCs w:val="20"/>
        </w:rPr>
        <w:t>⁻</w:t>
      </w:r>
      <w:r w:rsidRPr="00BF7268">
        <w:rPr>
          <w:rFonts w:ascii="Arial" w:hAnsi="Arial" w:cs="Arial"/>
          <w:sz w:val="20"/>
          <w:szCs w:val="20"/>
        </w:rPr>
        <w:t>¹ at a resolution of 10 cm</w:t>
      </w:r>
      <w:r w:rsidRPr="00BF7268">
        <w:rPr>
          <w:rFonts w:ascii="Cambria Math" w:hAnsi="Cambria Math" w:cs="Cambria Math"/>
          <w:sz w:val="20"/>
          <w:szCs w:val="20"/>
        </w:rPr>
        <w:t>⁻</w:t>
      </w:r>
      <w:r w:rsidRPr="00BF7268">
        <w:rPr>
          <w:rFonts w:ascii="Arial" w:hAnsi="Arial" w:cs="Arial"/>
          <w:sz w:val="20"/>
          <w:szCs w:val="20"/>
        </w:rPr>
        <w:t>¹ to assess drug</w:t>
      </w:r>
      <w:r w:rsidR="002F1ABE" w:rsidRPr="00BF7268">
        <w:rPr>
          <w:rFonts w:ascii="Arial" w:hAnsi="Arial" w:cs="Arial"/>
          <w:sz w:val="20"/>
          <w:szCs w:val="20"/>
        </w:rPr>
        <w:t xml:space="preserve"> </w:t>
      </w:r>
      <w:r w:rsidRPr="00BF7268">
        <w:rPr>
          <w:rFonts w:ascii="Arial" w:hAnsi="Arial" w:cs="Arial"/>
          <w:sz w:val="20"/>
          <w:szCs w:val="20"/>
        </w:rPr>
        <w:t>excipient interactions.</w:t>
      </w:r>
      <w:r w:rsidR="008269A7" w:rsidRPr="00BF7268">
        <w:rPr>
          <w:rFonts w:ascii="Arial" w:hAnsi="Arial" w:cs="Arial"/>
          <w:sz w:val="20"/>
          <w:szCs w:val="20"/>
          <w:vertAlign w:val="superscript"/>
        </w:rPr>
        <w:t>5</w:t>
      </w:r>
    </w:p>
    <w:p w14:paraId="636E6A66" w14:textId="509C37FF" w:rsidR="00E401AC" w:rsidRPr="00BF7268" w:rsidRDefault="0082595A"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2.4 </w:t>
      </w:r>
      <w:r w:rsidR="00E401AC" w:rsidRPr="00BF7268">
        <w:rPr>
          <w:rFonts w:ascii="Arial" w:hAnsi="Arial" w:cs="Arial"/>
          <w:b/>
          <w:bCs/>
          <w:sz w:val="20"/>
          <w:szCs w:val="20"/>
        </w:rPr>
        <w:t>Preparation of Standard Calibration Curve of α-Arbutin</w:t>
      </w:r>
    </w:p>
    <w:p w14:paraId="4ECE06B2" w14:textId="6F35847A"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A stock solution of α-arbutin (1000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was prepared by dissolving 10 mg in 10 m</w:t>
      </w:r>
      <w:r w:rsidR="0082595A" w:rsidRPr="00BF7268">
        <w:rPr>
          <w:rFonts w:ascii="Arial" w:hAnsi="Arial" w:cs="Arial"/>
          <w:sz w:val="20"/>
          <w:szCs w:val="20"/>
        </w:rPr>
        <w:t>l</w:t>
      </w:r>
      <w:r w:rsidRPr="00BF7268">
        <w:rPr>
          <w:rFonts w:ascii="Arial" w:hAnsi="Arial" w:cs="Arial"/>
          <w:sz w:val="20"/>
          <w:szCs w:val="20"/>
        </w:rPr>
        <w:t xml:space="preserve"> of pH 7.2 phosphate buffer. A secondary stock (100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was obtained by diluting 1 m</w:t>
      </w:r>
      <w:r w:rsidR="0082595A" w:rsidRPr="00BF7268">
        <w:rPr>
          <w:rFonts w:ascii="Arial" w:hAnsi="Arial" w:cs="Arial"/>
          <w:sz w:val="20"/>
          <w:szCs w:val="20"/>
        </w:rPr>
        <w:t>l</w:t>
      </w:r>
      <w:r w:rsidRPr="00BF7268">
        <w:rPr>
          <w:rFonts w:ascii="Arial" w:hAnsi="Arial" w:cs="Arial"/>
          <w:sz w:val="20"/>
          <w:szCs w:val="20"/>
        </w:rPr>
        <w:t xml:space="preserve"> of the primary stock to 10 m</w:t>
      </w:r>
      <w:r w:rsidR="0082595A" w:rsidRPr="00BF7268">
        <w:rPr>
          <w:rFonts w:ascii="Arial" w:hAnsi="Arial" w:cs="Arial"/>
          <w:sz w:val="20"/>
          <w:szCs w:val="20"/>
        </w:rPr>
        <w:t>l</w:t>
      </w:r>
      <w:r w:rsidRPr="00BF7268">
        <w:rPr>
          <w:rFonts w:ascii="Arial" w:hAnsi="Arial" w:cs="Arial"/>
          <w:sz w:val="20"/>
          <w:szCs w:val="20"/>
        </w:rPr>
        <w:t xml:space="preserve"> with the same buffer. Working standards (10–50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were prepared by further dilution.</w:t>
      </w:r>
      <w:r w:rsidR="00A934AC" w:rsidRPr="00BF7268">
        <w:rPr>
          <w:rFonts w:ascii="Arial" w:hAnsi="Arial" w:cs="Arial"/>
          <w:sz w:val="20"/>
          <w:szCs w:val="20"/>
        </w:rPr>
        <w:t xml:space="preserve"> </w:t>
      </w:r>
      <w:r w:rsidRPr="00BF7268">
        <w:rPr>
          <w:rFonts w:ascii="Arial" w:hAnsi="Arial" w:cs="Arial"/>
          <w:sz w:val="20"/>
          <w:szCs w:val="20"/>
        </w:rPr>
        <w:t xml:space="preserve">A UV scan of a 30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xml:space="preserve"> solution (200–400 nm) was performed to determine </w:t>
      </w:r>
      <w:proofErr w:type="spellStart"/>
      <w:r w:rsidRPr="00BF7268">
        <w:rPr>
          <w:rFonts w:ascii="Arial" w:hAnsi="Arial" w:cs="Arial"/>
          <w:sz w:val="20"/>
          <w:szCs w:val="20"/>
        </w:rPr>
        <w:t>λ</w:t>
      </w:r>
      <w:r w:rsidRPr="00BF7268">
        <w:rPr>
          <w:rFonts w:ascii="Arial" w:hAnsi="Arial" w:cs="Arial"/>
          <w:sz w:val="20"/>
          <w:szCs w:val="20"/>
          <w:vertAlign w:val="subscript"/>
        </w:rPr>
        <w:t>max</w:t>
      </w:r>
      <w:proofErr w:type="spellEnd"/>
      <w:r w:rsidRPr="00BF7268">
        <w:rPr>
          <w:rFonts w:ascii="Arial" w:hAnsi="Arial" w:cs="Arial"/>
          <w:sz w:val="20"/>
          <w:szCs w:val="20"/>
          <w:vertAlign w:val="subscript"/>
        </w:rPr>
        <w:t xml:space="preserve"> </w:t>
      </w:r>
      <w:r w:rsidRPr="00BF7268">
        <w:rPr>
          <w:rFonts w:ascii="Arial" w:hAnsi="Arial" w:cs="Arial"/>
          <w:sz w:val="20"/>
          <w:szCs w:val="20"/>
        </w:rPr>
        <w:t xml:space="preserve">using pH 7.2 buffer as blank. Absorbances of all working standards were measured at </w:t>
      </w:r>
      <w:proofErr w:type="spellStart"/>
      <w:r w:rsidRPr="00BF7268">
        <w:rPr>
          <w:rFonts w:ascii="Arial" w:hAnsi="Arial" w:cs="Arial"/>
          <w:sz w:val="20"/>
          <w:szCs w:val="20"/>
        </w:rPr>
        <w:t>λ</w:t>
      </w:r>
      <w:r w:rsidRPr="00BF7268">
        <w:rPr>
          <w:rFonts w:ascii="Arial" w:hAnsi="Arial" w:cs="Arial"/>
          <w:sz w:val="20"/>
          <w:szCs w:val="20"/>
          <w:vertAlign w:val="subscript"/>
        </w:rPr>
        <w:t>max</w:t>
      </w:r>
      <w:proofErr w:type="spellEnd"/>
      <w:r w:rsidRPr="00BF7268">
        <w:rPr>
          <w:rFonts w:ascii="Arial" w:hAnsi="Arial" w:cs="Arial"/>
          <w:sz w:val="20"/>
          <w:szCs w:val="20"/>
        </w:rPr>
        <w:t>, and a calibration curve (absorbance vs concentration) was plotted. Linearity was assessed using regression analysis.</w:t>
      </w:r>
      <w:r w:rsidR="007D4302" w:rsidRPr="00BF7268">
        <w:rPr>
          <w:rFonts w:ascii="Arial" w:hAnsi="Arial" w:cs="Arial"/>
          <w:sz w:val="20"/>
          <w:szCs w:val="20"/>
          <w:vertAlign w:val="superscript"/>
        </w:rPr>
        <w:t>6</w:t>
      </w:r>
    </w:p>
    <w:p w14:paraId="239230DA" w14:textId="77777777" w:rsidR="00BF7268" w:rsidRDefault="00BF7268" w:rsidP="00BF7268">
      <w:pPr>
        <w:spacing w:before="240" w:line="240" w:lineRule="auto"/>
        <w:jc w:val="both"/>
        <w:rPr>
          <w:rFonts w:ascii="Arial" w:hAnsi="Arial" w:cs="Arial"/>
          <w:b/>
          <w:bCs/>
          <w:sz w:val="20"/>
          <w:szCs w:val="20"/>
        </w:rPr>
      </w:pPr>
    </w:p>
    <w:p w14:paraId="4DC9856B" w14:textId="65024807" w:rsidR="00E401AC" w:rsidRPr="00BF7268" w:rsidRDefault="00C022CE"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2.5 </w:t>
      </w:r>
      <w:r w:rsidR="00E401AC" w:rsidRPr="00BF7268">
        <w:rPr>
          <w:rFonts w:ascii="Arial" w:hAnsi="Arial" w:cs="Arial"/>
          <w:b/>
          <w:bCs/>
          <w:sz w:val="20"/>
          <w:szCs w:val="20"/>
        </w:rPr>
        <w:t>Formulation of Periorbital Depigmenting</w:t>
      </w:r>
      <w:r w:rsidR="00A934AC" w:rsidRPr="00BF7268">
        <w:rPr>
          <w:rFonts w:ascii="Arial" w:hAnsi="Arial" w:cs="Arial"/>
          <w:b/>
          <w:bCs/>
          <w:sz w:val="20"/>
          <w:szCs w:val="20"/>
        </w:rPr>
        <w:t xml:space="preserve"> </w:t>
      </w:r>
      <w:r w:rsidRPr="00BF7268">
        <w:rPr>
          <w:rFonts w:ascii="Arial" w:hAnsi="Arial" w:cs="Arial"/>
          <w:b/>
          <w:bCs/>
          <w:sz w:val="20"/>
          <w:szCs w:val="20"/>
        </w:rPr>
        <w:t>H</w:t>
      </w:r>
      <w:r w:rsidR="00A934AC" w:rsidRPr="00BF7268">
        <w:rPr>
          <w:rFonts w:ascii="Arial" w:hAnsi="Arial" w:cs="Arial"/>
          <w:b/>
          <w:bCs/>
          <w:sz w:val="20"/>
          <w:szCs w:val="20"/>
        </w:rPr>
        <w:t>ydrogel</w:t>
      </w:r>
      <w:r w:rsidR="00E401AC" w:rsidRPr="00BF7268">
        <w:rPr>
          <w:rFonts w:ascii="Arial" w:hAnsi="Arial" w:cs="Arial"/>
          <w:b/>
          <w:bCs/>
          <w:sz w:val="20"/>
          <w:szCs w:val="20"/>
        </w:rPr>
        <w:t xml:space="preserve"> Patches</w:t>
      </w:r>
    </w:p>
    <w:p w14:paraId="0F872E7E" w14:textId="6D616A9E" w:rsidR="00D57F17"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Three formulations (F1–F3) were prepared using different polymer combinations: agar/PVA (F1), gelatine/PVA (F2), and pectin (F3). The compositions are presented in Table </w:t>
      </w:r>
      <w:r w:rsidR="00D57F17" w:rsidRPr="00BF7268">
        <w:rPr>
          <w:rFonts w:ascii="Arial" w:hAnsi="Arial" w:cs="Arial"/>
          <w:sz w:val="20"/>
          <w:szCs w:val="20"/>
        </w:rPr>
        <w:t>1</w:t>
      </w:r>
      <w:r w:rsidRPr="00BF7268">
        <w:rPr>
          <w:rFonts w:ascii="Arial" w:hAnsi="Arial" w:cs="Arial"/>
          <w:sz w:val="20"/>
          <w:szCs w:val="20"/>
        </w:rPr>
        <w:t>.</w:t>
      </w:r>
    </w:p>
    <w:p w14:paraId="54857450" w14:textId="2313CFDA" w:rsidR="00E401AC" w:rsidRPr="00BF7268" w:rsidRDefault="002D6CFB"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t xml:space="preserve">2.5.1 </w:t>
      </w:r>
      <w:r w:rsidR="00E401AC" w:rsidRPr="00BF7268">
        <w:rPr>
          <w:rFonts w:ascii="Arial" w:hAnsi="Arial" w:cs="Arial"/>
          <w:b/>
          <w:bCs/>
          <w:sz w:val="20"/>
          <w:szCs w:val="20"/>
          <w:u w:val="single"/>
        </w:rPr>
        <w:t>Preparation Procedure</w:t>
      </w:r>
    </w:p>
    <w:p w14:paraId="52156215" w14:textId="675773A8" w:rsidR="00E557C8" w:rsidRPr="00BF7268" w:rsidRDefault="00E557C8" w:rsidP="00BF7268">
      <w:pPr>
        <w:pStyle w:val="ListParagraph"/>
        <w:spacing w:before="240" w:after="0" w:line="240" w:lineRule="auto"/>
        <w:ind w:left="0" w:right="95" w:firstLine="720"/>
        <w:jc w:val="both"/>
        <w:rPr>
          <w:rFonts w:ascii="Arial" w:hAnsi="Arial" w:cs="Arial"/>
          <w:sz w:val="20"/>
          <w:szCs w:val="20"/>
          <w:vertAlign w:val="superscript"/>
        </w:rPr>
      </w:pPr>
      <w:r w:rsidRPr="00BF7268">
        <w:rPr>
          <w:rFonts w:ascii="Arial" w:hAnsi="Arial" w:cs="Arial"/>
          <w:sz w:val="20"/>
          <w:szCs w:val="20"/>
        </w:rPr>
        <w:lastRenderedPageBreak/>
        <w:t xml:space="preserve"> Weigh required </w:t>
      </w:r>
      <w:proofErr w:type="gramStart"/>
      <w:r w:rsidRPr="00BF7268">
        <w:rPr>
          <w:rFonts w:ascii="Arial" w:hAnsi="Arial" w:cs="Arial"/>
          <w:sz w:val="20"/>
          <w:szCs w:val="20"/>
        </w:rPr>
        <w:t>amount</w:t>
      </w:r>
      <w:proofErr w:type="gramEnd"/>
      <w:r w:rsidRPr="00BF7268">
        <w:rPr>
          <w:rFonts w:ascii="Arial" w:hAnsi="Arial" w:cs="Arial"/>
          <w:sz w:val="20"/>
          <w:szCs w:val="20"/>
        </w:rPr>
        <w:t xml:space="preserve"> of polymers like agar &amp; polyvinyl alcohol (PVA), add agar slowly to hot distilled water heated to ~85-90°C with continuous stirring until fully dissolved and clear. Now slowly add PVA to the solution until homogenous, stir continuously for 20-30 minutes maintaining temperature to prevent formation of lumps and accelerate the dissolution and then slowly add all other excipients (F1).</w:t>
      </w:r>
      <w:r w:rsidR="00F70309" w:rsidRPr="00BF7268">
        <w:rPr>
          <w:rFonts w:ascii="Arial" w:hAnsi="Arial" w:cs="Arial"/>
          <w:sz w:val="20"/>
          <w:szCs w:val="20"/>
          <w:vertAlign w:val="superscript"/>
        </w:rPr>
        <w:t>7</w:t>
      </w:r>
    </w:p>
    <w:p w14:paraId="1960A41C" w14:textId="3E8DE431" w:rsidR="00E557C8" w:rsidRPr="00BF7268" w:rsidRDefault="00E557C8" w:rsidP="00BF7268">
      <w:pPr>
        <w:pStyle w:val="ListParagraph"/>
        <w:spacing w:before="240" w:after="0" w:line="240" w:lineRule="auto"/>
        <w:ind w:left="0" w:right="95" w:firstLine="720"/>
        <w:jc w:val="both"/>
        <w:rPr>
          <w:rFonts w:ascii="Arial" w:hAnsi="Arial" w:cs="Arial"/>
          <w:sz w:val="20"/>
          <w:szCs w:val="20"/>
          <w:vertAlign w:val="superscript"/>
        </w:rPr>
      </w:pPr>
      <w:r w:rsidRPr="00BF7268">
        <w:rPr>
          <w:rFonts w:ascii="Arial" w:hAnsi="Arial" w:cs="Arial"/>
          <w:sz w:val="20"/>
          <w:szCs w:val="20"/>
        </w:rPr>
        <w:t>Weigh required amount of polymers Gelatine and PVA, add gelatine slowly to hot distilled water with continuous stirring until completely dissolved, now slowly add PVA to the solution until homogeneous, stir continuously for few minutes and then add all other excipients (F2).</w:t>
      </w:r>
      <w:r w:rsidR="00F70309" w:rsidRPr="00BF7268">
        <w:rPr>
          <w:rFonts w:ascii="Arial" w:hAnsi="Arial" w:cs="Arial"/>
          <w:sz w:val="20"/>
          <w:szCs w:val="20"/>
          <w:vertAlign w:val="superscript"/>
        </w:rPr>
        <w:t>8</w:t>
      </w:r>
    </w:p>
    <w:p w14:paraId="2B848FE7" w14:textId="709EB2B0" w:rsidR="00E557C8" w:rsidRPr="00BF7268" w:rsidRDefault="00E557C8" w:rsidP="00BF7268">
      <w:pPr>
        <w:pStyle w:val="ListParagraph"/>
        <w:spacing w:before="240" w:after="0" w:line="240" w:lineRule="auto"/>
        <w:ind w:left="0" w:right="95" w:firstLine="720"/>
        <w:jc w:val="both"/>
        <w:rPr>
          <w:rFonts w:ascii="Arial" w:hAnsi="Arial" w:cs="Arial"/>
          <w:sz w:val="20"/>
          <w:szCs w:val="20"/>
          <w:vertAlign w:val="superscript"/>
        </w:rPr>
      </w:pPr>
      <w:r w:rsidRPr="00BF7268">
        <w:rPr>
          <w:rFonts w:ascii="Arial" w:hAnsi="Arial" w:cs="Arial"/>
          <w:sz w:val="20"/>
          <w:szCs w:val="20"/>
        </w:rPr>
        <w:t>Weigh required amount of Polymer pectin and slowly dissolve it in the preheated distilled water by slow and continuous stirring until the liquid is clear than add all other recipients (F3).</w:t>
      </w:r>
      <w:r w:rsidR="00F70309" w:rsidRPr="00BF7268">
        <w:rPr>
          <w:rFonts w:ascii="Arial" w:hAnsi="Arial" w:cs="Arial"/>
          <w:sz w:val="20"/>
          <w:szCs w:val="20"/>
          <w:vertAlign w:val="superscript"/>
        </w:rPr>
        <w:t>9</w:t>
      </w:r>
    </w:p>
    <w:p w14:paraId="2D2FED9A" w14:textId="77777777" w:rsidR="00BA105F" w:rsidRPr="00BF7268" w:rsidRDefault="00BA105F" w:rsidP="00BF7268">
      <w:pPr>
        <w:pStyle w:val="ListParagraph"/>
        <w:spacing w:before="240" w:after="0" w:line="240" w:lineRule="auto"/>
        <w:ind w:left="0" w:firstLine="720"/>
        <w:jc w:val="both"/>
        <w:rPr>
          <w:rFonts w:ascii="Arial" w:hAnsi="Arial" w:cs="Arial"/>
          <w:sz w:val="20"/>
          <w:szCs w:val="20"/>
        </w:rPr>
      </w:pPr>
      <w:r w:rsidRPr="00BF7268">
        <w:rPr>
          <w:rFonts w:ascii="Arial" w:hAnsi="Arial" w:cs="Arial"/>
          <w:sz w:val="20"/>
          <w:szCs w:val="20"/>
        </w:rPr>
        <w:t xml:space="preserve">Vitamin E and BHA were pre-dissolved in propylene glycol, followed by the addition of </w:t>
      </w:r>
      <w:proofErr w:type="spellStart"/>
      <w:r w:rsidRPr="00BF7268">
        <w:rPr>
          <w:rFonts w:ascii="Arial" w:hAnsi="Arial" w:cs="Arial"/>
          <w:sz w:val="20"/>
          <w:szCs w:val="20"/>
        </w:rPr>
        <w:t>glycerin</w:t>
      </w:r>
      <w:proofErr w:type="spellEnd"/>
      <w:r w:rsidRPr="00BF7268">
        <w:rPr>
          <w:rFonts w:ascii="Arial" w:hAnsi="Arial" w:cs="Arial"/>
          <w:sz w:val="20"/>
          <w:szCs w:val="20"/>
        </w:rPr>
        <w:t>. α-Arbutin and ascorbic acid were dissolved separately in small volumes of distilled water. Due to thermal sensitivity, α-arbutin was incorporated only after cooling the polymer solutions below 40°C. Benzalkonium chloride was added as a preservative. All formulations were sonicated to remove entrapped air.</w:t>
      </w:r>
    </w:p>
    <w:p w14:paraId="2400E52D" w14:textId="2991C0F7" w:rsidR="00E401AC" w:rsidRPr="00BF7268" w:rsidRDefault="00BA105F" w:rsidP="00BF7268">
      <w:pPr>
        <w:pStyle w:val="ListParagraph"/>
        <w:spacing w:before="240" w:after="0" w:line="240" w:lineRule="auto"/>
        <w:ind w:left="0" w:firstLine="720"/>
        <w:jc w:val="both"/>
        <w:rPr>
          <w:rFonts w:ascii="Arial" w:hAnsi="Arial" w:cs="Arial"/>
          <w:sz w:val="20"/>
          <w:szCs w:val="20"/>
          <w:vertAlign w:val="superscript"/>
        </w:rPr>
      </w:pPr>
      <w:r w:rsidRPr="00BF7268">
        <w:rPr>
          <w:rFonts w:ascii="Arial" w:hAnsi="Arial" w:cs="Arial"/>
          <w:sz w:val="20"/>
          <w:szCs w:val="20"/>
        </w:rPr>
        <w:t>The mixtures were poured into Petri dishes and dried in a hot air oven at 40°C for 4–5 hours. Dried patches were carefully removed and cut into standard periorbital shapes using mould</w:t>
      </w:r>
      <w:r w:rsidR="00BD7C5D" w:rsidRPr="00BF7268">
        <w:rPr>
          <w:rFonts w:ascii="Arial" w:hAnsi="Arial" w:cs="Arial"/>
          <w:sz w:val="20"/>
          <w:szCs w:val="20"/>
        </w:rPr>
        <w:t>.</w:t>
      </w:r>
      <w:r w:rsidR="005E0E81" w:rsidRPr="00BF7268">
        <w:rPr>
          <w:rFonts w:ascii="Arial" w:hAnsi="Arial" w:cs="Arial"/>
          <w:sz w:val="20"/>
          <w:szCs w:val="20"/>
          <w:vertAlign w:val="superscript"/>
        </w:rPr>
        <w:t>10</w:t>
      </w:r>
    </w:p>
    <w:tbl>
      <w:tblPr>
        <w:tblStyle w:val="TableGrid"/>
        <w:tblpPr w:leftFromText="180" w:rightFromText="180" w:vertAnchor="text" w:horzAnchor="margin" w:tblpXSpec="center" w:tblpY="160"/>
        <w:tblW w:w="0" w:type="auto"/>
        <w:tblLook w:val="04A0" w:firstRow="1" w:lastRow="0" w:firstColumn="1" w:lastColumn="0" w:noHBand="0" w:noVBand="1"/>
      </w:tblPr>
      <w:tblGrid>
        <w:gridCol w:w="3794"/>
        <w:gridCol w:w="1559"/>
        <w:gridCol w:w="1559"/>
        <w:gridCol w:w="1418"/>
      </w:tblGrid>
      <w:tr w:rsidR="0006516C" w:rsidRPr="00BF7268" w14:paraId="45E411E2" w14:textId="77777777" w:rsidTr="0041213F">
        <w:tc>
          <w:tcPr>
            <w:tcW w:w="3794" w:type="dxa"/>
          </w:tcPr>
          <w:p w14:paraId="16852639" w14:textId="24710860" w:rsidR="0006516C" w:rsidRPr="00BF7268" w:rsidRDefault="0006516C" w:rsidP="00BF7268">
            <w:pPr>
              <w:pStyle w:val="ListParagraph"/>
              <w:spacing w:before="240"/>
              <w:ind w:left="0" w:right="95"/>
              <w:jc w:val="both"/>
              <w:rPr>
                <w:rFonts w:ascii="Arial" w:hAnsi="Arial" w:cs="Arial"/>
                <w:b/>
                <w:sz w:val="20"/>
                <w:szCs w:val="20"/>
              </w:rPr>
            </w:pPr>
            <w:r w:rsidRPr="00BF7268">
              <w:rPr>
                <w:rFonts w:ascii="Arial" w:hAnsi="Arial" w:cs="Arial"/>
                <w:b/>
                <w:sz w:val="20"/>
                <w:szCs w:val="20"/>
              </w:rPr>
              <w:t>INGREDIENTS (100g)</w:t>
            </w:r>
          </w:p>
        </w:tc>
        <w:tc>
          <w:tcPr>
            <w:tcW w:w="1559" w:type="dxa"/>
          </w:tcPr>
          <w:p w14:paraId="0D182450" w14:textId="3A499F2F" w:rsidR="0006516C" w:rsidRPr="00336BFE" w:rsidRDefault="0006516C" w:rsidP="00BF7268">
            <w:pPr>
              <w:pStyle w:val="ListParagraph"/>
              <w:spacing w:before="240"/>
              <w:ind w:left="0" w:right="95"/>
              <w:jc w:val="both"/>
              <w:rPr>
                <w:rFonts w:ascii="Arial" w:hAnsi="Arial" w:cs="Arial"/>
                <w:b/>
                <w:sz w:val="20"/>
                <w:szCs w:val="20"/>
                <w:highlight w:val="yellow"/>
              </w:rPr>
            </w:pPr>
            <w:r w:rsidRPr="00336BFE">
              <w:rPr>
                <w:rFonts w:ascii="Arial" w:hAnsi="Arial" w:cs="Arial"/>
                <w:b/>
                <w:sz w:val="20"/>
                <w:szCs w:val="20"/>
                <w:highlight w:val="yellow"/>
              </w:rPr>
              <w:t>F1(g)</w:t>
            </w:r>
          </w:p>
        </w:tc>
        <w:tc>
          <w:tcPr>
            <w:tcW w:w="1559" w:type="dxa"/>
          </w:tcPr>
          <w:p w14:paraId="7235CF1A" w14:textId="237E38AD" w:rsidR="0006516C" w:rsidRPr="00336BFE" w:rsidRDefault="0006516C" w:rsidP="00BF7268">
            <w:pPr>
              <w:pStyle w:val="ListParagraph"/>
              <w:spacing w:before="240"/>
              <w:ind w:left="0" w:right="95"/>
              <w:jc w:val="both"/>
              <w:rPr>
                <w:rFonts w:ascii="Arial" w:hAnsi="Arial" w:cs="Arial"/>
                <w:b/>
                <w:sz w:val="20"/>
                <w:szCs w:val="20"/>
                <w:highlight w:val="yellow"/>
              </w:rPr>
            </w:pPr>
            <w:r w:rsidRPr="00336BFE">
              <w:rPr>
                <w:rFonts w:ascii="Arial" w:hAnsi="Arial" w:cs="Arial"/>
                <w:b/>
                <w:sz w:val="20"/>
                <w:szCs w:val="20"/>
                <w:highlight w:val="yellow"/>
              </w:rPr>
              <w:t>F2(g)</w:t>
            </w:r>
          </w:p>
        </w:tc>
        <w:tc>
          <w:tcPr>
            <w:tcW w:w="1418" w:type="dxa"/>
          </w:tcPr>
          <w:p w14:paraId="15570193" w14:textId="356CA18C" w:rsidR="0006516C" w:rsidRPr="00336BFE" w:rsidRDefault="0006516C" w:rsidP="00BF7268">
            <w:pPr>
              <w:pStyle w:val="ListParagraph"/>
              <w:spacing w:before="240"/>
              <w:ind w:left="0" w:right="95"/>
              <w:jc w:val="both"/>
              <w:rPr>
                <w:rFonts w:ascii="Arial" w:hAnsi="Arial" w:cs="Arial"/>
                <w:b/>
                <w:sz w:val="20"/>
                <w:szCs w:val="20"/>
                <w:highlight w:val="yellow"/>
              </w:rPr>
            </w:pPr>
            <w:r w:rsidRPr="00336BFE">
              <w:rPr>
                <w:rFonts w:ascii="Arial" w:hAnsi="Arial" w:cs="Arial"/>
                <w:b/>
                <w:sz w:val="20"/>
                <w:szCs w:val="20"/>
                <w:highlight w:val="yellow"/>
              </w:rPr>
              <w:t>F3(g)</w:t>
            </w:r>
          </w:p>
        </w:tc>
      </w:tr>
      <w:tr w:rsidR="0006516C" w:rsidRPr="00BF7268" w14:paraId="4F0863CA" w14:textId="77777777" w:rsidTr="0041213F">
        <w:tc>
          <w:tcPr>
            <w:tcW w:w="3794" w:type="dxa"/>
          </w:tcPr>
          <w:p w14:paraId="598EEEC1"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α-arbutin</w:t>
            </w:r>
          </w:p>
        </w:tc>
        <w:tc>
          <w:tcPr>
            <w:tcW w:w="1559" w:type="dxa"/>
          </w:tcPr>
          <w:p w14:paraId="5B6A5248"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2</w:t>
            </w:r>
          </w:p>
        </w:tc>
        <w:tc>
          <w:tcPr>
            <w:tcW w:w="1559" w:type="dxa"/>
          </w:tcPr>
          <w:p w14:paraId="18E36AC7"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2</w:t>
            </w:r>
          </w:p>
        </w:tc>
        <w:tc>
          <w:tcPr>
            <w:tcW w:w="1418" w:type="dxa"/>
          </w:tcPr>
          <w:p w14:paraId="678406DE"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2</w:t>
            </w:r>
          </w:p>
        </w:tc>
      </w:tr>
      <w:tr w:rsidR="0006516C" w:rsidRPr="00BF7268" w14:paraId="4E6AB880" w14:textId="77777777" w:rsidTr="0041213F">
        <w:tc>
          <w:tcPr>
            <w:tcW w:w="3794" w:type="dxa"/>
          </w:tcPr>
          <w:p w14:paraId="0FE920D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L-Ascorbic Acid</w:t>
            </w:r>
          </w:p>
        </w:tc>
        <w:tc>
          <w:tcPr>
            <w:tcW w:w="1559" w:type="dxa"/>
          </w:tcPr>
          <w:p w14:paraId="7D9E8803"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559" w:type="dxa"/>
          </w:tcPr>
          <w:p w14:paraId="45D4D11A"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418" w:type="dxa"/>
          </w:tcPr>
          <w:p w14:paraId="1066AF9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r>
      <w:tr w:rsidR="0006516C" w:rsidRPr="00BF7268" w14:paraId="07533253" w14:textId="77777777" w:rsidTr="0041213F">
        <w:tc>
          <w:tcPr>
            <w:tcW w:w="3794" w:type="dxa"/>
          </w:tcPr>
          <w:p w14:paraId="6F34EA60"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Agar</w:t>
            </w:r>
          </w:p>
        </w:tc>
        <w:tc>
          <w:tcPr>
            <w:tcW w:w="1559" w:type="dxa"/>
          </w:tcPr>
          <w:p w14:paraId="5C1069F2"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1.5</w:t>
            </w:r>
          </w:p>
        </w:tc>
        <w:tc>
          <w:tcPr>
            <w:tcW w:w="1559" w:type="dxa"/>
          </w:tcPr>
          <w:p w14:paraId="7CBD5987"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418" w:type="dxa"/>
          </w:tcPr>
          <w:p w14:paraId="0720907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r>
      <w:tr w:rsidR="0006516C" w:rsidRPr="00BF7268" w14:paraId="79FA14AC" w14:textId="77777777" w:rsidTr="0041213F">
        <w:tc>
          <w:tcPr>
            <w:tcW w:w="3794" w:type="dxa"/>
          </w:tcPr>
          <w:p w14:paraId="1DBE4EC1"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Poly Vinyl Alcohol</w:t>
            </w:r>
          </w:p>
        </w:tc>
        <w:tc>
          <w:tcPr>
            <w:tcW w:w="1559" w:type="dxa"/>
          </w:tcPr>
          <w:p w14:paraId="28E0093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10</w:t>
            </w:r>
          </w:p>
        </w:tc>
        <w:tc>
          <w:tcPr>
            <w:tcW w:w="1559" w:type="dxa"/>
          </w:tcPr>
          <w:p w14:paraId="35CE91A5"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10</w:t>
            </w:r>
          </w:p>
        </w:tc>
        <w:tc>
          <w:tcPr>
            <w:tcW w:w="1418" w:type="dxa"/>
          </w:tcPr>
          <w:p w14:paraId="50B63AC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r>
      <w:tr w:rsidR="0006516C" w:rsidRPr="00BF7268" w14:paraId="36FA1FA0" w14:textId="77777777" w:rsidTr="0041213F">
        <w:tc>
          <w:tcPr>
            <w:tcW w:w="3794" w:type="dxa"/>
          </w:tcPr>
          <w:p w14:paraId="09F7FAA8"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Gelatine</w:t>
            </w:r>
          </w:p>
        </w:tc>
        <w:tc>
          <w:tcPr>
            <w:tcW w:w="1559" w:type="dxa"/>
          </w:tcPr>
          <w:p w14:paraId="0957AF5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559" w:type="dxa"/>
          </w:tcPr>
          <w:p w14:paraId="03EF3C5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3</w:t>
            </w:r>
          </w:p>
        </w:tc>
        <w:tc>
          <w:tcPr>
            <w:tcW w:w="1418" w:type="dxa"/>
          </w:tcPr>
          <w:p w14:paraId="0BEA4F8A"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r>
      <w:tr w:rsidR="0006516C" w:rsidRPr="00BF7268" w14:paraId="1AC404D3" w14:textId="77777777" w:rsidTr="0041213F">
        <w:tc>
          <w:tcPr>
            <w:tcW w:w="3794" w:type="dxa"/>
          </w:tcPr>
          <w:p w14:paraId="349C0355"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pectin</w:t>
            </w:r>
          </w:p>
        </w:tc>
        <w:tc>
          <w:tcPr>
            <w:tcW w:w="1559" w:type="dxa"/>
          </w:tcPr>
          <w:p w14:paraId="6038B54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559" w:type="dxa"/>
          </w:tcPr>
          <w:p w14:paraId="7A8F9073"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418" w:type="dxa"/>
          </w:tcPr>
          <w:p w14:paraId="70A5914C"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6</w:t>
            </w:r>
          </w:p>
        </w:tc>
      </w:tr>
      <w:tr w:rsidR="0006516C" w:rsidRPr="00BF7268" w14:paraId="01DC1FB2" w14:textId="77777777" w:rsidTr="0041213F">
        <w:tc>
          <w:tcPr>
            <w:tcW w:w="3794" w:type="dxa"/>
          </w:tcPr>
          <w:p w14:paraId="6CF9E200"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Vitamin E</w:t>
            </w:r>
          </w:p>
        </w:tc>
        <w:tc>
          <w:tcPr>
            <w:tcW w:w="1559" w:type="dxa"/>
          </w:tcPr>
          <w:p w14:paraId="4960018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559" w:type="dxa"/>
          </w:tcPr>
          <w:p w14:paraId="03285944"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418" w:type="dxa"/>
          </w:tcPr>
          <w:p w14:paraId="3DF52D6A"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r>
      <w:tr w:rsidR="0006516C" w:rsidRPr="00BF7268" w14:paraId="7800D217" w14:textId="77777777" w:rsidTr="0041213F">
        <w:tc>
          <w:tcPr>
            <w:tcW w:w="3794" w:type="dxa"/>
          </w:tcPr>
          <w:p w14:paraId="74B88E28"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Glycerin</w:t>
            </w:r>
            <w:proofErr w:type="spellEnd"/>
          </w:p>
        </w:tc>
        <w:tc>
          <w:tcPr>
            <w:tcW w:w="1559" w:type="dxa"/>
          </w:tcPr>
          <w:p w14:paraId="673291F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7</w:t>
            </w:r>
          </w:p>
        </w:tc>
        <w:tc>
          <w:tcPr>
            <w:tcW w:w="1559" w:type="dxa"/>
          </w:tcPr>
          <w:p w14:paraId="1A167DD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7</w:t>
            </w:r>
          </w:p>
        </w:tc>
        <w:tc>
          <w:tcPr>
            <w:tcW w:w="1418" w:type="dxa"/>
          </w:tcPr>
          <w:p w14:paraId="6BE62AB2"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7</w:t>
            </w:r>
          </w:p>
        </w:tc>
      </w:tr>
      <w:tr w:rsidR="0006516C" w:rsidRPr="00BF7268" w14:paraId="4F10EC07" w14:textId="77777777" w:rsidTr="0041213F">
        <w:tc>
          <w:tcPr>
            <w:tcW w:w="3794" w:type="dxa"/>
          </w:tcPr>
          <w:p w14:paraId="5288BE0E"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Propylene Glycol</w:t>
            </w:r>
          </w:p>
        </w:tc>
        <w:tc>
          <w:tcPr>
            <w:tcW w:w="1559" w:type="dxa"/>
          </w:tcPr>
          <w:p w14:paraId="62F0091C"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5</w:t>
            </w:r>
          </w:p>
        </w:tc>
        <w:tc>
          <w:tcPr>
            <w:tcW w:w="1559" w:type="dxa"/>
          </w:tcPr>
          <w:p w14:paraId="2D9A51D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5</w:t>
            </w:r>
          </w:p>
        </w:tc>
        <w:tc>
          <w:tcPr>
            <w:tcW w:w="1418" w:type="dxa"/>
          </w:tcPr>
          <w:p w14:paraId="14425058"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5</w:t>
            </w:r>
          </w:p>
        </w:tc>
      </w:tr>
      <w:tr w:rsidR="0006516C" w:rsidRPr="00BF7268" w14:paraId="6CC52DCE" w14:textId="77777777" w:rsidTr="0041213F">
        <w:tc>
          <w:tcPr>
            <w:tcW w:w="3794" w:type="dxa"/>
          </w:tcPr>
          <w:p w14:paraId="573B9AE3"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Butylated Hydroxy Anisole (BHA)</w:t>
            </w:r>
          </w:p>
        </w:tc>
        <w:tc>
          <w:tcPr>
            <w:tcW w:w="1559" w:type="dxa"/>
          </w:tcPr>
          <w:p w14:paraId="24B1E835"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559" w:type="dxa"/>
          </w:tcPr>
          <w:p w14:paraId="582608C0"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418" w:type="dxa"/>
          </w:tcPr>
          <w:p w14:paraId="462AA33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r>
      <w:tr w:rsidR="0006516C" w:rsidRPr="00BF7268" w14:paraId="49198F77" w14:textId="77777777" w:rsidTr="0041213F">
        <w:tc>
          <w:tcPr>
            <w:tcW w:w="3794" w:type="dxa"/>
          </w:tcPr>
          <w:p w14:paraId="637B1F1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Benzalkonium Chloride</w:t>
            </w:r>
          </w:p>
        </w:tc>
        <w:tc>
          <w:tcPr>
            <w:tcW w:w="1559" w:type="dxa"/>
          </w:tcPr>
          <w:p w14:paraId="0564748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559" w:type="dxa"/>
          </w:tcPr>
          <w:p w14:paraId="79D6F0DF"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418" w:type="dxa"/>
          </w:tcPr>
          <w:p w14:paraId="45E3A40E"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r>
      <w:tr w:rsidR="0006516C" w:rsidRPr="00BF7268" w14:paraId="56FCFF96" w14:textId="77777777" w:rsidTr="0041213F">
        <w:tc>
          <w:tcPr>
            <w:tcW w:w="3794" w:type="dxa"/>
          </w:tcPr>
          <w:p w14:paraId="74A1B50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Distilled Water</w:t>
            </w:r>
          </w:p>
        </w:tc>
        <w:tc>
          <w:tcPr>
            <w:tcW w:w="1559" w:type="dxa"/>
          </w:tcPr>
          <w:p w14:paraId="7AAA9D7D"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qs</w:t>
            </w:r>
            <w:proofErr w:type="spellEnd"/>
          </w:p>
        </w:tc>
        <w:tc>
          <w:tcPr>
            <w:tcW w:w="1559" w:type="dxa"/>
          </w:tcPr>
          <w:p w14:paraId="7E68BD6A"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qs</w:t>
            </w:r>
            <w:proofErr w:type="spellEnd"/>
          </w:p>
        </w:tc>
        <w:tc>
          <w:tcPr>
            <w:tcW w:w="1418" w:type="dxa"/>
          </w:tcPr>
          <w:p w14:paraId="13379933"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qs</w:t>
            </w:r>
            <w:proofErr w:type="spellEnd"/>
          </w:p>
        </w:tc>
      </w:tr>
    </w:tbl>
    <w:p w14:paraId="75544252" w14:textId="711B4893" w:rsidR="002B32D7" w:rsidRPr="00BF7268" w:rsidRDefault="002B32D7" w:rsidP="00EA6DAB">
      <w:pPr>
        <w:spacing w:before="240" w:after="0" w:line="240" w:lineRule="auto"/>
        <w:ind w:right="95"/>
        <w:jc w:val="center"/>
        <w:rPr>
          <w:rFonts w:ascii="Arial" w:hAnsi="Arial" w:cs="Arial"/>
          <w:b/>
          <w:sz w:val="20"/>
          <w:szCs w:val="20"/>
        </w:rPr>
      </w:pPr>
      <w:r w:rsidRPr="00BF7268">
        <w:rPr>
          <w:rFonts w:ascii="Arial" w:hAnsi="Arial" w:cs="Arial"/>
          <w:b/>
          <w:sz w:val="20"/>
          <w:szCs w:val="20"/>
        </w:rPr>
        <w:t xml:space="preserve">Table </w:t>
      </w:r>
      <w:r w:rsidR="00CE0D73" w:rsidRPr="00BF7268">
        <w:rPr>
          <w:rFonts w:ascii="Arial" w:hAnsi="Arial" w:cs="Arial"/>
          <w:b/>
          <w:sz w:val="20"/>
          <w:szCs w:val="20"/>
        </w:rPr>
        <w:t>1</w:t>
      </w:r>
      <w:r w:rsidRPr="00BF7268">
        <w:rPr>
          <w:rFonts w:ascii="Arial" w:hAnsi="Arial" w:cs="Arial"/>
          <w:b/>
          <w:sz w:val="20"/>
          <w:szCs w:val="20"/>
        </w:rPr>
        <w:t>: Composition of hy</w:t>
      </w:r>
      <w:r w:rsidR="00CE0D73" w:rsidRPr="00BF7268">
        <w:rPr>
          <w:rFonts w:ascii="Arial" w:hAnsi="Arial" w:cs="Arial"/>
          <w:b/>
          <w:sz w:val="20"/>
          <w:szCs w:val="20"/>
        </w:rPr>
        <w:t>drogel</w:t>
      </w:r>
      <w:r w:rsidRPr="00BF7268">
        <w:rPr>
          <w:rFonts w:ascii="Arial" w:hAnsi="Arial" w:cs="Arial"/>
          <w:b/>
          <w:sz w:val="20"/>
          <w:szCs w:val="20"/>
        </w:rPr>
        <w:t xml:space="preserve"> patch</w:t>
      </w:r>
    </w:p>
    <w:p w14:paraId="049E7873" w14:textId="77777777" w:rsidR="00BF7268" w:rsidRDefault="00BF7268" w:rsidP="00BF7268">
      <w:pPr>
        <w:spacing w:before="240" w:line="240" w:lineRule="auto"/>
        <w:jc w:val="both"/>
        <w:rPr>
          <w:rFonts w:ascii="Arial" w:hAnsi="Arial" w:cs="Arial"/>
          <w:b/>
          <w:bCs/>
          <w:sz w:val="20"/>
          <w:szCs w:val="20"/>
        </w:rPr>
      </w:pPr>
    </w:p>
    <w:p w14:paraId="5164A7EB" w14:textId="032A30CA" w:rsidR="00E401AC" w:rsidRPr="00BF7268" w:rsidRDefault="0082004B"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t xml:space="preserve">2.5.2 </w:t>
      </w:r>
      <w:r w:rsidR="00E401AC" w:rsidRPr="00BF7268">
        <w:rPr>
          <w:rFonts w:ascii="Arial" w:hAnsi="Arial" w:cs="Arial"/>
          <w:b/>
          <w:bCs/>
          <w:sz w:val="20"/>
          <w:szCs w:val="20"/>
          <w:u w:val="single"/>
        </w:rPr>
        <w:t>Preparation of Storage Serum</w:t>
      </w:r>
    </w:p>
    <w:p w14:paraId="6F2F4C1B" w14:textId="0F56B8F8"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A serum was prepared by dissolving α-arbutin in a small amount of water and subsequently mixing with </w:t>
      </w:r>
      <w:proofErr w:type="spellStart"/>
      <w:r w:rsidRPr="00BF7268">
        <w:rPr>
          <w:rFonts w:ascii="Arial" w:hAnsi="Arial" w:cs="Arial"/>
          <w:sz w:val="20"/>
          <w:szCs w:val="20"/>
        </w:rPr>
        <w:t>glycerin</w:t>
      </w:r>
      <w:proofErr w:type="spellEnd"/>
      <w:r w:rsidRPr="00BF7268">
        <w:rPr>
          <w:rFonts w:ascii="Arial" w:hAnsi="Arial" w:cs="Arial"/>
          <w:sz w:val="20"/>
          <w:szCs w:val="20"/>
        </w:rPr>
        <w:t>. The patches were stored in this serum in airtight containers to maintain hydration and prevent drug loss.</w:t>
      </w:r>
    </w:p>
    <w:p w14:paraId="04878F83" w14:textId="590832C4" w:rsidR="00E401AC" w:rsidRPr="00BF7268" w:rsidRDefault="0082004B"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2.6 </w:t>
      </w:r>
      <w:r w:rsidR="00E401AC" w:rsidRPr="00BF7268">
        <w:rPr>
          <w:rFonts w:ascii="Arial" w:hAnsi="Arial" w:cs="Arial"/>
          <w:b/>
          <w:bCs/>
          <w:sz w:val="20"/>
          <w:szCs w:val="20"/>
        </w:rPr>
        <w:t>Evaluation of Formulated Patches</w:t>
      </w:r>
    </w:p>
    <w:p w14:paraId="5F99570D" w14:textId="76C12D5C" w:rsidR="00E401AC" w:rsidRPr="00BF7268" w:rsidRDefault="00511669"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t xml:space="preserve">2.6.1 </w:t>
      </w:r>
      <w:r w:rsidR="00E401AC" w:rsidRPr="00BF7268">
        <w:rPr>
          <w:rFonts w:ascii="Arial" w:hAnsi="Arial" w:cs="Arial"/>
          <w:b/>
          <w:bCs/>
          <w:sz w:val="20"/>
          <w:szCs w:val="20"/>
          <w:u w:val="single"/>
        </w:rPr>
        <w:t>Organoleptic Properties</w:t>
      </w:r>
    </w:p>
    <w:p w14:paraId="18AD6BFC" w14:textId="77777777"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Formulations were examined visually for colour, odour, and texture.</w:t>
      </w:r>
    </w:p>
    <w:p w14:paraId="5014695A" w14:textId="2BD69C52" w:rsidR="00E401AC" w:rsidRPr="00BF7268" w:rsidRDefault="00007166"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lastRenderedPageBreak/>
        <w:t xml:space="preserve">2.6.2 </w:t>
      </w:r>
      <w:r w:rsidR="00E401AC" w:rsidRPr="00BF7268">
        <w:rPr>
          <w:rFonts w:ascii="Arial" w:hAnsi="Arial" w:cs="Arial"/>
          <w:b/>
          <w:bCs/>
          <w:sz w:val="20"/>
          <w:szCs w:val="20"/>
          <w:u w:val="single"/>
        </w:rPr>
        <w:t>pH Measurement</w:t>
      </w:r>
    </w:p>
    <w:p w14:paraId="45A81888" w14:textId="3E2DD6D9" w:rsidR="00CE0D73"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The surface of each patch was moistened with distilled water and pH was determined by contacting </w:t>
      </w:r>
      <w:r w:rsidRPr="00336BFE">
        <w:rPr>
          <w:rFonts w:ascii="Arial" w:hAnsi="Arial" w:cs="Arial"/>
          <w:sz w:val="20"/>
          <w:szCs w:val="20"/>
          <w:highlight w:val="yellow"/>
        </w:rPr>
        <w:t>pH indicator paper</w:t>
      </w:r>
      <w:r w:rsidRPr="00BF7268">
        <w:rPr>
          <w:rFonts w:ascii="Arial" w:hAnsi="Arial" w:cs="Arial"/>
          <w:sz w:val="20"/>
          <w:szCs w:val="20"/>
        </w:rPr>
        <w:t xml:space="preserve"> with the patch surface.</w:t>
      </w:r>
      <w:r w:rsidR="00A102FD" w:rsidRPr="00BF7268">
        <w:rPr>
          <w:rFonts w:ascii="Arial" w:hAnsi="Arial" w:cs="Arial"/>
          <w:sz w:val="20"/>
          <w:szCs w:val="20"/>
          <w:vertAlign w:val="superscript"/>
        </w:rPr>
        <w:t>11</w:t>
      </w:r>
    </w:p>
    <w:p w14:paraId="28BF3D61" w14:textId="2E27CC36" w:rsidR="00E401AC" w:rsidRPr="00E42A8A" w:rsidRDefault="0019097F"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2.6.3 </w:t>
      </w:r>
      <w:r w:rsidR="00E401AC" w:rsidRPr="00E42A8A">
        <w:rPr>
          <w:rFonts w:ascii="Arial" w:hAnsi="Arial" w:cs="Arial"/>
          <w:b/>
          <w:bCs/>
          <w:sz w:val="20"/>
          <w:szCs w:val="20"/>
          <w:u w:val="single"/>
        </w:rPr>
        <w:t>Patch Weight and Thickness</w:t>
      </w:r>
    </w:p>
    <w:p w14:paraId="4BA26E08" w14:textId="20AA2329"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Three patches from each formulation were weighed using an analytical balance. Thickness was measured at three different positions on each patch using Vernier </w:t>
      </w:r>
      <w:r w:rsidR="00EA6DAB" w:rsidRPr="00BF7268">
        <w:rPr>
          <w:rFonts w:ascii="Arial" w:hAnsi="Arial" w:cs="Arial"/>
          <w:sz w:val="20"/>
          <w:szCs w:val="20"/>
        </w:rPr>
        <w:t>callipers</w:t>
      </w:r>
      <w:r w:rsidRPr="00BF7268">
        <w:rPr>
          <w:rFonts w:ascii="Arial" w:hAnsi="Arial" w:cs="Arial"/>
          <w:sz w:val="20"/>
          <w:szCs w:val="20"/>
        </w:rPr>
        <w:t>, and mean values were calculated.</w:t>
      </w:r>
      <w:r w:rsidR="0084393C" w:rsidRPr="00BF7268">
        <w:rPr>
          <w:rFonts w:ascii="Arial" w:hAnsi="Arial" w:cs="Arial"/>
          <w:sz w:val="20"/>
          <w:szCs w:val="20"/>
          <w:vertAlign w:val="superscript"/>
        </w:rPr>
        <w:t>12</w:t>
      </w:r>
    </w:p>
    <w:p w14:paraId="316400CC" w14:textId="79492495" w:rsidR="00E401AC" w:rsidRPr="00E42A8A" w:rsidRDefault="0084393C"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2.6.4 </w:t>
      </w:r>
      <w:r w:rsidR="00E401AC" w:rsidRPr="00E42A8A">
        <w:rPr>
          <w:rFonts w:ascii="Arial" w:hAnsi="Arial" w:cs="Arial"/>
          <w:b/>
          <w:bCs/>
          <w:sz w:val="20"/>
          <w:szCs w:val="20"/>
          <w:u w:val="single"/>
        </w:rPr>
        <w:t>Swelling Index</w:t>
      </w:r>
    </w:p>
    <w:p w14:paraId="647F6E6B" w14:textId="67C0029B"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Dried patches were weighed (</w:t>
      </w:r>
      <w:proofErr w:type="spellStart"/>
      <w:r w:rsidRPr="00BF7268">
        <w:rPr>
          <w:rFonts w:ascii="Arial" w:hAnsi="Arial" w:cs="Arial"/>
          <w:sz w:val="20"/>
          <w:szCs w:val="20"/>
        </w:rPr>
        <w:t>W</w:t>
      </w:r>
      <w:r w:rsidRPr="00BF7268">
        <w:rPr>
          <w:rFonts w:ascii="Arial" w:hAnsi="Arial" w:cs="Arial"/>
          <w:sz w:val="20"/>
          <w:szCs w:val="20"/>
          <w:vertAlign w:val="subscript"/>
        </w:rPr>
        <w:t>d</w:t>
      </w:r>
      <w:proofErr w:type="spellEnd"/>
      <w:r w:rsidRPr="00BF7268">
        <w:rPr>
          <w:rFonts w:ascii="Arial" w:hAnsi="Arial" w:cs="Arial"/>
          <w:sz w:val="20"/>
          <w:szCs w:val="20"/>
        </w:rPr>
        <w:t>), immersed in storage serum for 2 h, blotted, and reweighed (</w:t>
      </w:r>
      <w:proofErr w:type="spellStart"/>
      <w:r w:rsidRPr="00BF7268">
        <w:rPr>
          <w:rFonts w:ascii="Arial" w:hAnsi="Arial" w:cs="Arial"/>
          <w:sz w:val="20"/>
          <w:szCs w:val="20"/>
        </w:rPr>
        <w:t>W</w:t>
      </w:r>
      <w:r w:rsidRPr="00BF7268">
        <w:rPr>
          <w:rFonts w:ascii="Arial" w:hAnsi="Arial" w:cs="Arial"/>
          <w:sz w:val="20"/>
          <w:szCs w:val="20"/>
          <w:vertAlign w:val="subscript"/>
        </w:rPr>
        <w:t>s</w:t>
      </w:r>
      <w:proofErr w:type="spellEnd"/>
      <w:r w:rsidRPr="00BF7268">
        <w:rPr>
          <w:rFonts w:ascii="Arial" w:hAnsi="Arial" w:cs="Arial"/>
          <w:sz w:val="20"/>
          <w:szCs w:val="20"/>
        </w:rPr>
        <w:t>). Swelling index was calculated using:</w:t>
      </w:r>
      <w:r w:rsidR="00A57E6B" w:rsidRPr="00BF7268">
        <w:rPr>
          <w:rFonts w:ascii="Arial" w:hAnsi="Arial" w:cs="Arial"/>
          <w:sz w:val="20"/>
          <w:szCs w:val="20"/>
          <w:vertAlign w:val="superscript"/>
        </w:rPr>
        <w:t>13</w:t>
      </w:r>
    </w:p>
    <w:p w14:paraId="07BBF6AF" w14:textId="1691FFCB" w:rsidR="00E401AC" w:rsidRPr="00BF7268" w:rsidRDefault="00E401AC" w:rsidP="00BF7268">
      <w:pPr>
        <w:spacing w:before="240" w:line="240" w:lineRule="auto"/>
        <w:jc w:val="both"/>
        <w:rPr>
          <w:rFonts w:ascii="Arial" w:hAnsi="Arial" w:cs="Arial"/>
          <w:sz w:val="20"/>
          <w:szCs w:val="20"/>
        </w:rPr>
      </w:pPr>
      <m:oMathPara>
        <m:oMath>
          <m:r>
            <m:rPr>
              <m:nor/>
            </m:rPr>
            <w:rPr>
              <w:rFonts w:ascii="Arial" w:hAnsi="Arial" w:cs="Arial"/>
              <w:sz w:val="20"/>
              <w:szCs w:val="20"/>
            </w:rPr>
            <m:t>Swelling Index (%)</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s</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d</m:t>
                  </m:r>
                </m:sub>
              </m:sSub>
            </m:num>
            <m:den>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d</m:t>
                  </m:r>
                </m:sub>
              </m:sSub>
            </m:den>
          </m:f>
          <m:r>
            <w:rPr>
              <w:rFonts w:ascii="Cambria Math" w:hAnsi="Cambria Math" w:cs="Arial"/>
              <w:sz w:val="20"/>
              <w:szCs w:val="20"/>
            </w:rPr>
            <m:t>×100</m:t>
          </m:r>
        </m:oMath>
      </m:oMathPara>
    </w:p>
    <w:p w14:paraId="50F35C0F" w14:textId="2DC990A1" w:rsidR="00E401AC" w:rsidRPr="00E42A8A" w:rsidRDefault="004B76DF"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2.6.5 </w:t>
      </w:r>
      <w:r w:rsidR="00E401AC" w:rsidRPr="00E42A8A">
        <w:rPr>
          <w:rFonts w:ascii="Arial" w:hAnsi="Arial" w:cs="Arial"/>
          <w:b/>
          <w:bCs/>
          <w:sz w:val="20"/>
          <w:szCs w:val="20"/>
          <w:u w:val="single"/>
        </w:rPr>
        <w:t>Shrinkage Study</w:t>
      </w:r>
    </w:p>
    <w:p w14:paraId="231F860A" w14:textId="0AEAD0BE"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Patches were weighed initially and dried in a hot air oven at 40°C for 24 h. The percentage shrinkage was calculated from the weight loss.</w:t>
      </w:r>
      <w:r w:rsidR="00A57E6B" w:rsidRPr="00BF7268">
        <w:rPr>
          <w:rFonts w:ascii="Arial" w:hAnsi="Arial" w:cs="Arial"/>
          <w:sz w:val="20"/>
          <w:szCs w:val="20"/>
          <w:vertAlign w:val="superscript"/>
        </w:rPr>
        <w:t>14</w:t>
      </w:r>
    </w:p>
    <w:p w14:paraId="0B65F844" w14:textId="1695003F" w:rsidR="00E401AC" w:rsidRPr="00E42A8A" w:rsidRDefault="00F60C32"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2.</w:t>
      </w:r>
      <w:r w:rsidR="00612F41" w:rsidRPr="00E42A8A">
        <w:rPr>
          <w:rFonts w:ascii="Arial" w:hAnsi="Arial" w:cs="Arial"/>
          <w:b/>
          <w:bCs/>
          <w:sz w:val="20"/>
          <w:szCs w:val="20"/>
          <w:u w:val="single"/>
        </w:rPr>
        <w:t xml:space="preserve">6.6 </w:t>
      </w:r>
      <w:r w:rsidR="00E401AC" w:rsidRPr="00E42A8A">
        <w:rPr>
          <w:rFonts w:ascii="Arial" w:hAnsi="Arial" w:cs="Arial"/>
          <w:b/>
          <w:bCs/>
          <w:sz w:val="20"/>
          <w:szCs w:val="20"/>
          <w:u w:val="single"/>
        </w:rPr>
        <w:t>Folding Endurance</w:t>
      </w:r>
    </w:p>
    <w:p w14:paraId="61F1F8E1" w14:textId="5207D8D0"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Patches were repeatedly folded at the same point until breakage occurred. The number of folds sustained before breaking represented folding endurance.</w:t>
      </w:r>
      <w:r w:rsidR="00A57A66" w:rsidRPr="00BF7268">
        <w:rPr>
          <w:rFonts w:ascii="Arial" w:hAnsi="Arial" w:cs="Arial"/>
          <w:sz w:val="20"/>
          <w:szCs w:val="20"/>
          <w:vertAlign w:val="superscript"/>
        </w:rPr>
        <w:t>15</w:t>
      </w:r>
    </w:p>
    <w:p w14:paraId="1AE5C813" w14:textId="619980C6" w:rsidR="00E401AC"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2.6.7 </w:t>
      </w:r>
      <w:r w:rsidR="00E401AC" w:rsidRPr="00E42A8A">
        <w:rPr>
          <w:rFonts w:ascii="Arial" w:hAnsi="Arial" w:cs="Arial"/>
          <w:b/>
          <w:bCs/>
          <w:sz w:val="20"/>
          <w:szCs w:val="20"/>
          <w:u w:val="single"/>
        </w:rPr>
        <w:t>Tensile Strength</w:t>
      </w:r>
    </w:p>
    <w:p w14:paraId="1721EF1F" w14:textId="32EC23FF" w:rsidR="00CE0D73" w:rsidRPr="00BF7268" w:rsidRDefault="00E401AC" w:rsidP="00E42A8A">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Tensile strength was measured using a tensiometer with fixed and movable grips. The force required to break the patch was recorded and expressed in kg.</w:t>
      </w:r>
      <w:r w:rsidR="00A57A66" w:rsidRPr="00BF7268">
        <w:rPr>
          <w:rFonts w:ascii="Arial" w:hAnsi="Arial" w:cs="Arial"/>
          <w:sz w:val="20"/>
          <w:szCs w:val="20"/>
          <w:vertAlign w:val="superscript"/>
        </w:rPr>
        <w:t>16</w:t>
      </w:r>
    </w:p>
    <w:p w14:paraId="3DB74F94" w14:textId="49876625" w:rsidR="00E401AC"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2.6.8 </w:t>
      </w:r>
      <w:r w:rsidR="00E401AC" w:rsidRPr="00E42A8A">
        <w:rPr>
          <w:rFonts w:ascii="Arial" w:hAnsi="Arial" w:cs="Arial"/>
          <w:b/>
          <w:bCs/>
          <w:sz w:val="20"/>
          <w:szCs w:val="20"/>
          <w:u w:val="single"/>
        </w:rPr>
        <w:t>Drug Content</w:t>
      </w:r>
    </w:p>
    <w:p w14:paraId="6FA7FA73" w14:textId="038E4DBE" w:rsidR="00F60C32" w:rsidRPr="00BF7268" w:rsidRDefault="00E401AC" w:rsidP="001715D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Patch samples (2 × 2 cm²) were triturated with pH 7.2 buffer, transferred to volumetric flasks, diluted stepwise (Stock 1 → Stock 2 → Stock 3), and </w:t>
      </w:r>
      <w:r w:rsidR="00A57A66" w:rsidRPr="00BF7268">
        <w:rPr>
          <w:rFonts w:ascii="Arial" w:hAnsi="Arial" w:cs="Arial"/>
          <w:sz w:val="20"/>
          <w:szCs w:val="20"/>
        </w:rPr>
        <w:t>analysed</w:t>
      </w:r>
      <w:r w:rsidRPr="00BF7268">
        <w:rPr>
          <w:rFonts w:ascii="Arial" w:hAnsi="Arial" w:cs="Arial"/>
          <w:sz w:val="20"/>
          <w:szCs w:val="20"/>
        </w:rPr>
        <w:t xml:space="preserve"> spectrophotometrically at </w:t>
      </w:r>
      <w:proofErr w:type="spellStart"/>
      <w:r w:rsidRPr="00BF7268">
        <w:rPr>
          <w:rFonts w:ascii="Arial" w:hAnsi="Arial" w:cs="Arial"/>
          <w:sz w:val="20"/>
          <w:szCs w:val="20"/>
        </w:rPr>
        <w:t>λ</w:t>
      </w:r>
      <w:r w:rsidRPr="00BF7268">
        <w:rPr>
          <w:rFonts w:ascii="Arial" w:hAnsi="Arial" w:cs="Arial"/>
          <w:sz w:val="20"/>
          <w:szCs w:val="20"/>
          <w:vertAlign w:val="subscript"/>
        </w:rPr>
        <w:t>max</w:t>
      </w:r>
      <w:proofErr w:type="spellEnd"/>
      <w:r w:rsidRPr="00BF7268">
        <w:rPr>
          <w:rFonts w:ascii="Arial" w:hAnsi="Arial" w:cs="Arial"/>
          <w:sz w:val="20"/>
          <w:szCs w:val="20"/>
          <w:vertAlign w:val="subscript"/>
        </w:rPr>
        <w:t xml:space="preserve"> </w:t>
      </w:r>
      <w:r w:rsidRPr="00BF7268">
        <w:rPr>
          <w:rFonts w:ascii="Arial" w:hAnsi="Arial" w:cs="Arial"/>
          <w:sz w:val="20"/>
          <w:szCs w:val="20"/>
        </w:rPr>
        <w:t xml:space="preserve">(282.5 nm). Drug content was </w:t>
      </w:r>
      <w:r w:rsidR="003D02A3" w:rsidRPr="00BF7268">
        <w:rPr>
          <w:rFonts w:ascii="Arial" w:hAnsi="Arial" w:cs="Arial"/>
          <w:sz w:val="20"/>
          <w:szCs w:val="20"/>
        </w:rPr>
        <w:t xml:space="preserve">determined </w:t>
      </w:r>
      <w:r w:rsidRPr="00BF7268">
        <w:rPr>
          <w:rFonts w:ascii="Arial" w:hAnsi="Arial" w:cs="Arial"/>
          <w:sz w:val="20"/>
          <w:szCs w:val="20"/>
        </w:rPr>
        <w:t>from the calibration curve.</w:t>
      </w:r>
      <w:r w:rsidR="007F6C99" w:rsidRPr="00BF7268">
        <w:rPr>
          <w:rFonts w:ascii="Arial" w:hAnsi="Arial" w:cs="Arial"/>
          <w:sz w:val="20"/>
          <w:szCs w:val="20"/>
          <w:vertAlign w:val="superscript"/>
        </w:rPr>
        <w:t>17</w:t>
      </w:r>
    </w:p>
    <w:p w14:paraId="511A495F" w14:textId="08D9A9B1" w:rsidR="007F6C99"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2.6.9 </w:t>
      </w:r>
      <w:r w:rsidR="00E401AC" w:rsidRPr="00E42A8A">
        <w:rPr>
          <w:rFonts w:ascii="Arial" w:hAnsi="Arial" w:cs="Arial"/>
          <w:b/>
          <w:bCs/>
          <w:i/>
          <w:iCs/>
          <w:sz w:val="20"/>
          <w:szCs w:val="20"/>
          <w:u w:val="single"/>
        </w:rPr>
        <w:t xml:space="preserve">In Vitro </w:t>
      </w:r>
      <w:r w:rsidR="00E401AC" w:rsidRPr="00E42A8A">
        <w:rPr>
          <w:rFonts w:ascii="Arial" w:hAnsi="Arial" w:cs="Arial"/>
          <w:b/>
          <w:bCs/>
          <w:sz w:val="20"/>
          <w:szCs w:val="20"/>
          <w:u w:val="single"/>
        </w:rPr>
        <w:t>Drug Release</w:t>
      </w:r>
    </w:p>
    <w:p w14:paraId="5DAF01F1" w14:textId="1716C28B" w:rsidR="00E401AC" w:rsidRPr="00BF7268" w:rsidRDefault="007E5F53" w:rsidP="00BF7268">
      <w:pPr>
        <w:spacing w:before="240" w:line="240" w:lineRule="auto"/>
        <w:ind w:firstLine="720"/>
        <w:jc w:val="both"/>
        <w:rPr>
          <w:rFonts w:ascii="Arial" w:hAnsi="Arial" w:cs="Arial"/>
          <w:b/>
          <w:bCs/>
          <w:sz w:val="20"/>
          <w:szCs w:val="20"/>
          <w:vertAlign w:val="superscript"/>
        </w:rPr>
      </w:pPr>
      <w:r>
        <w:rPr>
          <w:rFonts w:ascii="Arial" w:hAnsi="Arial" w:cs="Arial"/>
          <w:sz w:val="20"/>
          <w:szCs w:val="20"/>
        </w:rPr>
        <w:t xml:space="preserve">                                                                                                                                                                             </w:t>
      </w:r>
      <w:r w:rsidR="00E401AC" w:rsidRPr="00BF7268">
        <w:rPr>
          <w:rFonts w:ascii="Arial" w:hAnsi="Arial" w:cs="Arial"/>
          <w:sz w:val="20"/>
          <w:szCs w:val="20"/>
        </w:rPr>
        <w:t>A modified diffusion cell setup was used. Patches were placed on pre-soaked diffusion membranes and mounted in diffusion tubes. The receptor compartment contained 100 m</w:t>
      </w:r>
      <w:r w:rsidR="00F60C32" w:rsidRPr="00BF7268">
        <w:rPr>
          <w:rFonts w:ascii="Arial" w:hAnsi="Arial" w:cs="Arial"/>
          <w:sz w:val="20"/>
          <w:szCs w:val="20"/>
        </w:rPr>
        <w:t>l</w:t>
      </w:r>
      <w:r w:rsidR="00E401AC" w:rsidRPr="00BF7268">
        <w:rPr>
          <w:rFonts w:ascii="Arial" w:hAnsi="Arial" w:cs="Arial"/>
          <w:sz w:val="20"/>
          <w:szCs w:val="20"/>
        </w:rPr>
        <w:t xml:space="preserve"> pH 7.2 buffer, stirred at 120 rpm. Samples (1 m</w:t>
      </w:r>
      <w:r w:rsidR="00F60C32" w:rsidRPr="00BF7268">
        <w:rPr>
          <w:rFonts w:ascii="Arial" w:hAnsi="Arial" w:cs="Arial"/>
          <w:sz w:val="20"/>
          <w:szCs w:val="20"/>
        </w:rPr>
        <w:t>l</w:t>
      </w:r>
      <w:r w:rsidR="00E401AC" w:rsidRPr="00BF7268">
        <w:rPr>
          <w:rFonts w:ascii="Arial" w:hAnsi="Arial" w:cs="Arial"/>
          <w:sz w:val="20"/>
          <w:szCs w:val="20"/>
        </w:rPr>
        <w:t>) were withdrawn at 15-minute intervals up to 90 minutes and replaced with fresh buffer. Absorbance was measured at 282.5 nm,</w:t>
      </w:r>
      <w:r w:rsidR="001D52A3">
        <w:rPr>
          <w:rFonts w:ascii="Arial" w:hAnsi="Arial" w:cs="Arial"/>
          <w:sz w:val="20"/>
          <w:szCs w:val="20"/>
        </w:rPr>
        <w:t xml:space="preserve"> </w:t>
      </w:r>
      <w:r w:rsidR="001D52A3" w:rsidRPr="00AF4AC4">
        <w:rPr>
          <w:rFonts w:ascii="Arial" w:hAnsi="Arial" w:cs="Arial"/>
          <w:sz w:val="20"/>
          <w:szCs w:val="20"/>
          <w:highlight w:val="yellow"/>
        </w:rPr>
        <w:t xml:space="preserve">UV visible </w:t>
      </w:r>
      <w:proofErr w:type="spellStart"/>
      <w:r w:rsidR="001D52A3" w:rsidRPr="00AF4AC4">
        <w:rPr>
          <w:rFonts w:ascii="Arial" w:hAnsi="Arial" w:cs="Arial"/>
          <w:sz w:val="20"/>
          <w:szCs w:val="20"/>
          <w:highlight w:val="yellow"/>
        </w:rPr>
        <w:t>spectophotometer</w:t>
      </w:r>
      <w:proofErr w:type="spellEnd"/>
      <w:r w:rsidR="00E401AC" w:rsidRPr="00AF4AC4">
        <w:rPr>
          <w:rFonts w:ascii="Arial" w:hAnsi="Arial" w:cs="Arial"/>
          <w:sz w:val="20"/>
          <w:szCs w:val="20"/>
          <w:highlight w:val="yellow"/>
        </w:rPr>
        <w:t xml:space="preserve"> </w:t>
      </w:r>
      <w:r w:rsidR="00E401AC" w:rsidRPr="001D52A3">
        <w:rPr>
          <w:rFonts w:ascii="Arial" w:hAnsi="Arial" w:cs="Arial"/>
          <w:sz w:val="20"/>
          <w:szCs w:val="20"/>
        </w:rPr>
        <w:t>and</w:t>
      </w:r>
      <w:r w:rsidR="00E401AC" w:rsidRPr="00BF7268">
        <w:rPr>
          <w:rFonts w:ascii="Arial" w:hAnsi="Arial" w:cs="Arial"/>
          <w:sz w:val="20"/>
          <w:szCs w:val="20"/>
        </w:rPr>
        <w:t xml:space="preserve"> cumulative drug release was calculated. Experiments were conducted in triplicate.</w:t>
      </w:r>
      <w:r w:rsidR="00552055" w:rsidRPr="00BF7268">
        <w:rPr>
          <w:rFonts w:ascii="Arial" w:hAnsi="Arial" w:cs="Arial"/>
          <w:sz w:val="20"/>
          <w:szCs w:val="20"/>
          <w:vertAlign w:val="superscript"/>
        </w:rPr>
        <w:t>18-19</w:t>
      </w:r>
    </w:p>
    <w:p w14:paraId="1DEA5691" w14:textId="1A751A53" w:rsidR="00E401AC"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2.6.10 </w:t>
      </w:r>
      <w:r w:rsidR="00E401AC" w:rsidRPr="00E42A8A">
        <w:rPr>
          <w:rFonts w:ascii="Arial" w:hAnsi="Arial" w:cs="Arial"/>
          <w:b/>
          <w:bCs/>
          <w:sz w:val="20"/>
          <w:szCs w:val="20"/>
          <w:u w:val="single"/>
        </w:rPr>
        <w:t>Antioxidant Activity (DPPH Assay)</w:t>
      </w:r>
    </w:p>
    <w:p w14:paraId="4207AE40" w14:textId="5EB7D5E8"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Each patch was cut into small pieces, dissolved in 10 m</w:t>
      </w:r>
      <w:r w:rsidR="00612F41" w:rsidRPr="00BF7268">
        <w:rPr>
          <w:rFonts w:ascii="Arial" w:hAnsi="Arial" w:cs="Arial"/>
          <w:sz w:val="20"/>
          <w:szCs w:val="20"/>
        </w:rPr>
        <w:t>l</w:t>
      </w:r>
      <w:r w:rsidRPr="00BF7268">
        <w:rPr>
          <w:rFonts w:ascii="Arial" w:hAnsi="Arial" w:cs="Arial"/>
          <w:sz w:val="20"/>
          <w:szCs w:val="20"/>
        </w:rPr>
        <w:t xml:space="preserve"> water, filtered, and mixed with 1 m</w:t>
      </w:r>
      <w:r w:rsidR="0078649E" w:rsidRPr="00BF7268">
        <w:rPr>
          <w:rFonts w:ascii="Arial" w:hAnsi="Arial" w:cs="Arial"/>
          <w:sz w:val="20"/>
          <w:szCs w:val="20"/>
        </w:rPr>
        <w:t>l</w:t>
      </w:r>
      <w:r w:rsidRPr="00BF7268">
        <w:rPr>
          <w:rFonts w:ascii="Arial" w:hAnsi="Arial" w:cs="Arial"/>
          <w:sz w:val="20"/>
          <w:szCs w:val="20"/>
        </w:rPr>
        <w:t xml:space="preserve"> DPPH ethanol solution to obtain final concentrations of 10–100 </w:t>
      </w:r>
      <w:proofErr w:type="spellStart"/>
      <w:r w:rsidRPr="00BF7268">
        <w:rPr>
          <w:rFonts w:ascii="Arial" w:hAnsi="Arial" w:cs="Arial"/>
          <w:sz w:val="20"/>
          <w:szCs w:val="20"/>
        </w:rPr>
        <w:t>μg</w:t>
      </w:r>
      <w:proofErr w:type="spellEnd"/>
      <w:r w:rsidRPr="00BF7268">
        <w:rPr>
          <w:rFonts w:ascii="Arial" w:hAnsi="Arial" w:cs="Arial"/>
          <w:sz w:val="20"/>
          <w:szCs w:val="20"/>
        </w:rPr>
        <w:t>/m</w:t>
      </w:r>
      <w:r w:rsidR="0078649E" w:rsidRPr="00BF7268">
        <w:rPr>
          <w:rFonts w:ascii="Arial" w:hAnsi="Arial" w:cs="Arial"/>
          <w:sz w:val="20"/>
          <w:szCs w:val="20"/>
        </w:rPr>
        <w:t>l</w:t>
      </w:r>
      <w:r w:rsidRPr="00BF7268">
        <w:rPr>
          <w:rFonts w:ascii="Arial" w:hAnsi="Arial" w:cs="Arial"/>
          <w:sz w:val="20"/>
          <w:szCs w:val="20"/>
        </w:rPr>
        <w:t>. After 30 minutes of incubation at room temperature, absorbance was measured at 517 nm. Ascorbic acid served as the standard. Radical scavenging activity was calculated using:</w:t>
      </w:r>
    </w:p>
    <w:p w14:paraId="3BB4A238" w14:textId="4D95FFDE" w:rsidR="00E401AC" w:rsidRPr="00BF7268" w:rsidRDefault="00E401AC" w:rsidP="00BF7268">
      <w:pPr>
        <w:spacing w:before="240" w:line="240" w:lineRule="auto"/>
        <w:ind w:firstLine="720"/>
        <w:jc w:val="both"/>
        <w:rPr>
          <w:rFonts w:ascii="Arial" w:hAnsi="Arial" w:cs="Arial"/>
          <w:sz w:val="20"/>
          <w:szCs w:val="20"/>
        </w:rPr>
      </w:pPr>
      <m:oMathPara>
        <m:oMath>
          <m:r>
            <m:rPr>
              <m:nor/>
            </m:rPr>
            <w:rPr>
              <w:rFonts w:ascii="Arial" w:hAnsi="Arial" w:cs="Arial"/>
              <w:sz w:val="20"/>
              <w:szCs w:val="20"/>
            </w:rPr>
            <m:t>Scavenging Activity (%)</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c</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s</m:t>
                  </m:r>
                </m:sub>
              </m:sSub>
            </m:num>
            <m:den>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c</m:t>
                  </m:r>
                </m:sub>
              </m:sSub>
            </m:den>
          </m:f>
          <m:r>
            <w:rPr>
              <w:rFonts w:ascii="Cambria Math" w:hAnsi="Cambria Math" w:cs="Arial"/>
              <w:sz w:val="20"/>
              <w:szCs w:val="20"/>
            </w:rPr>
            <m:t>×100</m:t>
          </m:r>
        </m:oMath>
      </m:oMathPara>
    </w:p>
    <w:p w14:paraId="6EA549CD" w14:textId="10A55654" w:rsidR="00DB4312" w:rsidRDefault="00E401AC" w:rsidP="00E42A8A">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lastRenderedPageBreak/>
        <w:t xml:space="preserve">where </w:t>
      </w:r>
      <w:r w:rsidRPr="00BF7268">
        <w:rPr>
          <w:rFonts w:ascii="Arial" w:hAnsi="Arial" w:cs="Arial"/>
          <w:i/>
          <w:iCs/>
          <w:sz w:val="20"/>
          <w:szCs w:val="20"/>
        </w:rPr>
        <w:t>A</w:t>
      </w:r>
      <w:r w:rsidRPr="00BF7268">
        <w:rPr>
          <w:rFonts w:ascii="Arial" w:hAnsi="Arial" w:cs="Arial"/>
          <w:sz w:val="20"/>
          <w:szCs w:val="20"/>
          <w:vertAlign w:val="subscript"/>
        </w:rPr>
        <w:t>c</w:t>
      </w:r>
      <w:r w:rsidRPr="00BF7268">
        <w:rPr>
          <w:rFonts w:ascii="Arial" w:hAnsi="Arial" w:cs="Arial"/>
          <w:sz w:val="20"/>
          <w:szCs w:val="20"/>
        </w:rPr>
        <w:t xml:space="preserve"> is control absorbance and </w:t>
      </w:r>
      <w:proofErr w:type="gramStart"/>
      <w:r w:rsidRPr="00BF7268">
        <w:rPr>
          <w:rFonts w:ascii="Arial" w:hAnsi="Arial" w:cs="Arial"/>
          <w:i/>
          <w:iCs/>
          <w:sz w:val="20"/>
          <w:szCs w:val="20"/>
        </w:rPr>
        <w:t>A</w:t>
      </w:r>
      <w:r w:rsidRPr="00BF7268">
        <w:rPr>
          <w:rFonts w:ascii="Arial" w:hAnsi="Arial" w:cs="Arial"/>
          <w:sz w:val="20"/>
          <w:szCs w:val="20"/>
          <w:vertAlign w:val="subscript"/>
        </w:rPr>
        <w:t>s</w:t>
      </w:r>
      <w:proofErr w:type="gramEnd"/>
      <w:r w:rsidRPr="00BF7268">
        <w:rPr>
          <w:rFonts w:ascii="Arial" w:hAnsi="Arial" w:cs="Arial"/>
          <w:sz w:val="20"/>
          <w:szCs w:val="20"/>
        </w:rPr>
        <w:t xml:space="preserve"> is sample absorbance.</w:t>
      </w:r>
      <w:r w:rsidR="00552055" w:rsidRPr="00BF7268">
        <w:rPr>
          <w:rFonts w:ascii="Arial" w:hAnsi="Arial" w:cs="Arial"/>
          <w:sz w:val="20"/>
          <w:szCs w:val="20"/>
          <w:vertAlign w:val="superscript"/>
        </w:rPr>
        <w:t>20-21</w:t>
      </w:r>
    </w:p>
    <w:p w14:paraId="31ED970E" w14:textId="77777777" w:rsidR="0083602B" w:rsidRPr="00E42A8A" w:rsidRDefault="0083602B" w:rsidP="00E42A8A">
      <w:pPr>
        <w:spacing w:before="240" w:line="240" w:lineRule="auto"/>
        <w:ind w:firstLine="720"/>
        <w:jc w:val="both"/>
        <w:rPr>
          <w:rFonts w:ascii="Arial" w:hAnsi="Arial" w:cs="Arial"/>
          <w:sz w:val="20"/>
          <w:szCs w:val="20"/>
          <w:vertAlign w:val="superscript"/>
        </w:rPr>
      </w:pPr>
    </w:p>
    <w:p w14:paraId="2534CEE6" w14:textId="77777777" w:rsidR="00D448E8" w:rsidRDefault="00D448E8" w:rsidP="00E42A8A">
      <w:pPr>
        <w:spacing w:before="240" w:line="240" w:lineRule="auto"/>
        <w:jc w:val="both"/>
        <w:rPr>
          <w:rFonts w:ascii="Arial" w:hAnsi="Arial" w:cs="Arial"/>
          <w:b/>
          <w:bCs/>
          <w:sz w:val="22"/>
          <w:szCs w:val="22"/>
        </w:rPr>
      </w:pPr>
    </w:p>
    <w:p w14:paraId="63CA5749" w14:textId="77777777" w:rsidR="00D448E8" w:rsidRDefault="00D448E8" w:rsidP="00E42A8A">
      <w:pPr>
        <w:spacing w:before="240" w:line="240" w:lineRule="auto"/>
        <w:jc w:val="both"/>
        <w:rPr>
          <w:rFonts w:ascii="Arial" w:hAnsi="Arial" w:cs="Arial"/>
          <w:b/>
          <w:bCs/>
          <w:sz w:val="22"/>
          <w:szCs w:val="22"/>
        </w:rPr>
      </w:pPr>
    </w:p>
    <w:p w14:paraId="24CAD2EF" w14:textId="77777777" w:rsidR="00D448E8" w:rsidRDefault="00D448E8" w:rsidP="00E42A8A">
      <w:pPr>
        <w:spacing w:before="240" w:line="240" w:lineRule="auto"/>
        <w:jc w:val="both"/>
        <w:rPr>
          <w:rFonts w:ascii="Arial" w:hAnsi="Arial" w:cs="Arial"/>
          <w:b/>
          <w:bCs/>
          <w:sz w:val="22"/>
          <w:szCs w:val="22"/>
        </w:rPr>
      </w:pPr>
    </w:p>
    <w:p w14:paraId="00849006" w14:textId="77777777" w:rsidR="00D448E8" w:rsidRDefault="00D448E8" w:rsidP="00E42A8A">
      <w:pPr>
        <w:spacing w:before="240" w:line="240" w:lineRule="auto"/>
        <w:jc w:val="both"/>
        <w:rPr>
          <w:rFonts w:ascii="Arial" w:hAnsi="Arial" w:cs="Arial"/>
          <w:b/>
          <w:bCs/>
          <w:sz w:val="22"/>
          <w:szCs w:val="22"/>
        </w:rPr>
      </w:pPr>
    </w:p>
    <w:p w14:paraId="2A87DFD3" w14:textId="77777777" w:rsidR="00D448E8" w:rsidRDefault="00D448E8" w:rsidP="00E42A8A">
      <w:pPr>
        <w:spacing w:before="240" w:line="240" w:lineRule="auto"/>
        <w:jc w:val="both"/>
        <w:rPr>
          <w:rFonts w:ascii="Arial" w:hAnsi="Arial" w:cs="Arial"/>
          <w:b/>
          <w:bCs/>
          <w:sz w:val="22"/>
          <w:szCs w:val="22"/>
        </w:rPr>
      </w:pPr>
    </w:p>
    <w:p w14:paraId="29CA1E0D" w14:textId="77777777" w:rsidR="00D448E8" w:rsidRDefault="00D448E8" w:rsidP="00E42A8A">
      <w:pPr>
        <w:spacing w:before="240" w:line="240" w:lineRule="auto"/>
        <w:jc w:val="both"/>
        <w:rPr>
          <w:rFonts w:ascii="Arial" w:hAnsi="Arial" w:cs="Arial"/>
          <w:b/>
          <w:bCs/>
          <w:sz w:val="22"/>
          <w:szCs w:val="22"/>
        </w:rPr>
      </w:pPr>
    </w:p>
    <w:p w14:paraId="07D0BBF5" w14:textId="77777777" w:rsidR="00D448E8" w:rsidRDefault="00D448E8" w:rsidP="00E42A8A">
      <w:pPr>
        <w:spacing w:before="240" w:line="240" w:lineRule="auto"/>
        <w:jc w:val="both"/>
        <w:rPr>
          <w:rFonts w:ascii="Arial" w:hAnsi="Arial" w:cs="Arial"/>
          <w:b/>
          <w:bCs/>
          <w:sz w:val="22"/>
          <w:szCs w:val="22"/>
        </w:rPr>
      </w:pPr>
    </w:p>
    <w:p w14:paraId="16B1B37A" w14:textId="1A784D6B" w:rsidR="00D448E8" w:rsidRDefault="0083602B" w:rsidP="00E42A8A">
      <w:pPr>
        <w:spacing w:before="240" w:line="240" w:lineRule="auto"/>
        <w:jc w:val="both"/>
        <w:rPr>
          <w:rFonts w:ascii="Arial" w:hAnsi="Arial" w:cs="Arial"/>
          <w:b/>
          <w:bCs/>
          <w:sz w:val="22"/>
          <w:szCs w:val="22"/>
        </w:rPr>
      </w:pPr>
      <w:r>
        <w:rPr>
          <w:rFonts w:ascii="Arial" w:hAnsi="Arial" w:cs="Arial"/>
          <w:b/>
          <w:bCs/>
          <w:sz w:val="22"/>
          <w:szCs w:val="22"/>
        </w:rPr>
        <w:t xml:space="preserve">Table 2: </w:t>
      </w:r>
      <w:r w:rsidR="00E01503">
        <w:rPr>
          <w:rFonts w:ascii="Arial" w:hAnsi="Arial" w:cs="Arial"/>
          <w:b/>
          <w:bCs/>
          <w:sz w:val="22"/>
          <w:szCs w:val="22"/>
        </w:rPr>
        <w:t xml:space="preserve">Variation in absorbance with different concentrations </w:t>
      </w:r>
    </w:p>
    <w:p w14:paraId="0365B020" w14:textId="6DC76D1C" w:rsidR="00A60E1A" w:rsidRDefault="00A60E1A" w:rsidP="00E42A8A">
      <w:pPr>
        <w:spacing w:before="240" w:line="240" w:lineRule="auto"/>
        <w:jc w:val="both"/>
        <w:rPr>
          <w:rFonts w:ascii="Arial" w:hAnsi="Arial" w:cs="Arial"/>
          <w:b/>
          <w:bCs/>
          <w:sz w:val="22"/>
          <w:szCs w:val="22"/>
        </w:rPr>
      </w:pPr>
      <w:r w:rsidRPr="00E42A8A">
        <w:rPr>
          <w:rFonts w:ascii="Arial" w:hAnsi="Arial" w:cs="Arial"/>
          <w:b/>
          <w:bCs/>
          <w:sz w:val="22"/>
          <w:szCs w:val="22"/>
        </w:rPr>
        <w:t>3. RESULTS AND DISCUSSION</w:t>
      </w:r>
    </w:p>
    <w:p w14:paraId="5E7F263F" w14:textId="77777777" w:rsidR="00E42A8A" w:rsidRDefault="00E42A8A" w:rsidP="00E42A8A">
      <w:pPr>
        <w:spacing w:before="240" w:line="240" w:lineRule="auto"/>
        <w:jc w:val="both"/>
        <w:rPr>
          <w:rFonts w:ascii="Arial" w:hAnsi="Arial" w:cs="Arial"/>
          <w:b/>
          <w:bCs/>
          <w:sz w:val="20"/>
          <w:szCs w:val="20"/>
        </w:rPr>
      </w:pPr>
      <w:r w:rsidRPr="00E42A8A">
        <w:rPr>
          <w:rFonts w:ascii="Arial" w:hAnsi="Arial" w:cs="Arial"/>
          <w:b/>
          <w:bCs/>
          <w:sz w:val="20"/>
          <w:szCs w:val="20"/>
        </w:rPr>
        <w:t>3.1 Calibration Curve of α-Arbutin</w:t>
      </w:r>
    </w:p>
    <w:p w14:paraId="66286E92" w14:textId="7B754FB1" w:rsidR="00E42A8A" w:rsidRDefault="00E42A8A" w:rsidP="00E42A8A">
      <w:pPr>
        <w:spacing w:before="240" w:line="240" w:lineRule="auto"/>
        <w:ind w:firstLine="720"/>
        <w:jc w:val="both"/>
        <w:rPr>
          <w:rFonts w:ascii="Arial" w:hAnsi="Arial" w:cs="Arial"/>
          <w:sz w:val="20"/>
          <w:szCs w:val="20"/>
        </w:rPr>
      </w:pPr>
      <w:r w:rsidRPr="00E42A8A">
        <w:rPr>
          <w:rFonts w:ascii="Arial" w:hAnsi="Arial" w:cs="Arial"/>
          <w:sz w:val="20"/>
          <w:szCs w:val="20"/>
        </w:rPr>
        <w:t>The standard calibration curve of α-arbutin (1–5 µg/mL) showed a linear increase in absorbance with concentration (Table 2; Fig. 1), confirming adherence to Beer–Lambert’s law and suitability of the method for quantitative analysis. This linearity ensured accurate determination of drug content and release from the hydrogel formulations.</w:t>
      </w:r>
    </w:p>
    <w:p w14:paraId="65083955" w14:textId="747BD4B6" w:rsidR="007E5F53" w:rsidRPr="00E42A8A" w:rsidRDefault="007E5F53" w:rsidP="00E42A8A">
      <w:pPr>
        <w:spacing w:before="240" w:line="240" w:lineRule="auto"/>
        <w:ind w:firstLine="720"/>
        <w:jc w:val="both"/>
        <w:rPr>
          <w:rFonts w:ascii="Arial" w:hAnsi="Arial" w:cs="Arial"/>
          <w:b/>
          <w:bCs/>
          <w:sz w:val="20"/>
          <w:szCs w:val="20"/>
        </w:rPr>
      </w:pPr>
      <w:r w:rsidRPr="007E5F53">
        <w:rPr>
          <w:rFonts w:ascii="Arial" w:hAnsi="Arial" w:cs="Arial"/>
          <w:b/>
          <w:bCs/>
          <w:sz w:val="20"/>
          <w:szCs w:val="20"/>
        </w:rPr>
        <w:t xml:space="preserve">          Table 2: Absorbance data of Standard calibration of α-arbutin</w:t>
      </w:r>
    </w:p>
    <w:tbl>
      <w:tblPr>
        <w:tblStyle w:val="TableGrid"/>
        <w:tblpPr w:leftFromText="180" w:rightFromText="180" w:vertAnchor="page" w:horzAnchor="page" w:tblpX="1885" w:tblpY="2113"/>
        <w:tblW w:w="0" w:type="auto"/>
        <w:tblLook w:val="04A0" w:firstRow="1" w:lastRow="0" w:firstColumn="1" w:lastColumn="0" w:noHBand="0" w:noVBand="1"/>
      </w:tblPr>
      <w:tblGrid>
        <w:gridCol w:w="3815"/>
        <w:gridCol w:w="3249"/>
      </w:tblGrid>
      <w:tr w:rsidR="007E5F53" w:rsidRPr="00E42A8A" w14:paraId="05FD12A7" w14:textId="77777777" w:rsidTr="00D448E8">
        <w:trPr>
          <w:trHeight w:val="573"/>
        </w:trPr>
        <w:tc>
          <w:tcPr>
            <w:tcW w:w="3815" w:type="dxa"/>
          </w:tcPr>
          <w:p w14:paraId="181A1E42" w14:textId="77777777" w:rsidR="007E5F53" w:rsidRPr="00E42A8A" w:rsidRDefault="007E5F53" w:rsidP="00D448E8">
            <w:pPr>
              <w:tabs>
                <w:tab w:val="left" w:pos="8459"/>
              </w:tabs>
              <w:ind w:right="567"/>
              <w:jc w:val="center"/>
              <w:rPr>
                <w:rFonts w:ascii="Arial" w:hAnsi="Arial" w:cs="Arial"/>
                <w:b/>
                <w:bCs/>
                <w:sz w:val="20"/>
                <w:szCs w:val="20"/>
              </w:rPr>
            </w:pPr>
            <w:r w:rsidRPr="00E42A8A">
              <w:rPr>
                <w:rFonts w:ascii="Arial" w:hAnsi="Arial" w:cs="Arial"/>
                <w:b/>
                <w:bCs/>
                <w:sz w:val="20"/>
                <w:szCs w:val="20"/>
              </w:rPr>
              <w:t>Concentration</w:t>
            </w:r>
          </w:p>
        </w:tc>
        <w:tc>
          <w:tcPr>
            <w:tcW w:w="3249" w:type="dxa"/>
          </w:tcPr>
          <w:p w14:paraId="3D078CBD" w14:textId="77777777" w:rsidR="007E5F53" w:rsidRPr="00E42A8A" w:rsidRDefault="007E5F53" w:rsidP="00D448E8">
            <w:pPr>
              <w:tabs>
                <w:tab w:val="left" w:pos="8459"/>
              </w:tabs>
              <w:ind w:right="567"/>
              <w:jc w:val="center"/>
              <w:rPr>
                <w:rFonts w:ascii="Arial" w:hAnsi="Arial" w:cs="Arial"/>
                <w:b/>
                <w:bCs/>
                <w:sz w:val="20"/>
                <w:szCs w:val="20"/>
              </w:rPr>
            </w:pPr>
            <w:r w:rsidRPr="00E42A8A">
              <w:rPr>
                <w:rFonts w:ascii="Arial" w:hAnsi="Arial" w:cs="Arial"/>
                <w:b/>
                <w:bCs/>
                <w:sz w:val="20"/>
                <w:szCs w:val="20"/>
              </w:rPr>
              <w:t>Absorbance</w:t>
            </w:r>
          </w:p>
          <w:p w14:paraId="65AF026E" w14:textId="77777777" w:rsidR="007E5F53" w:rsidRPr="00E42A8A" w:rsidRDefault="007E5F53" w:rsidP="00D448E8">
            <w:pPr>
              <w:tabs>
                <w:tab w:val="left" w:pos="8459"/>
              </w:tabs>
              <w:ind w:right="567"/>
              <w:jc w:val="center"/>
              <w:rPr>
                <w:rFonts w:ascii="Arial" w:hAnsi="Arial" w:cs="Arial"/>
                <w:b/>
                <w:bCs/>
                <w:sz w:val="20"/>
                <w:szCs w:val="20"/>
              </w:rPr>
            </w:pPr>
          </w:p>
        </w:tc>
      </w:tr>
      <w:tr w:rsidR="007E5F53" w:rsidRPr="00E42A8A" w14:paraId="6949A815" w14:textId="77777777" w:rsidTr="00D448E8">
        <w:trPr>
          <w:trHeight w:val="281"/>
        </w:trPr>
        <w:tc>
          <w:tcPr>
            <w:tcW w:w="3815" w:type="dxa"/>
          </w:tcPr>
          <w:p w14:paraId="58C1383B"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w:t>
            </w:r>
          </w:p>
          <w:p w14:paraId="079705AE" w14:textId="77777777" w:rsidR="007E5F53" w:rsidRPr="00E42A8A" w:rsidRDefault="007E5F53" w:rsidP="00D448E8">
            <w:pPr>
              <w:tabs>
                <w:tab w:val="left" w:pos="8459"/>
              </w:tabs>
              <w:ind w:right="567"/>
              <w:jc w:val="center"/>
              <w:rPr>
                <w:rFonts w:ascii="Arial" w:hAnsi="Arial" w:cs="Arial"/>
                <w:bCs/>
                <w:sz w:val="20"/>
                <w:szCs w:val="20"/>
              </w:rPr>
            </w:pPr>
          </w:p>
        </w:tc>
        <w:tc>
          <w:tcPr>
            <w:tcW w:w="3249" w:type="dxa"/>
          </w:tcPr>
          <w:p w14:paraId="47C19A4F"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w:t>
            </w:r>
          </w:p>
        </w:tc>
      </w:tr>
      <w:tr w:rsidR="007E5F53" w:rsidRPr="00E42A8A" w14:paraId="2695C8AB" w14:textId="77777777" w:rsidTr="00D448E8">
        <w:trPr>
          <w:trHeight w:val="148"/>
        </w:trPr>
        <w:tc>
          <w:tcPr>
            <w:tcW w:w="3815" w:type="dxa"/>
          </w:tcPr>
          <w:p w14:paraId="49C2103C"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1</w:t>
            </w:r>
          </w:p>
          <w:p w14:paraId="34F5A923" w14:textId="77777777" w:rsidR="007E5F53" w:rsidRPr="00E42A8A" w:rsidRDefault="007E5F53" w:rsidP="00D448E8">
            <w:pPr>
              <w:tabs>
                <w:tab w:val="left" w:pos="8459"/>
              </w:tabs>
              <w:ind w:right="567"/>
              <w:jc w:val="center"/>
              <w:rPr>
                <w:rFonts w:ascii="Arial" w:hAnsi="Arial" w:cs="Arial"/>
                <w:bCs/>
                <w:sz w:val="20"/>
                <w:szCs w:val="20"/>
              </w:rPr>
            </w:pPr>
          </w:p>
        </w:tc>
        <w:tc>
          <w:tcPr>
            <w:tcW w:w="3249" w:type="dxa"/>
          </w:tcPr>
          <w:p w14:paraId="4F66674D"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0.125</w:t>
            </w:r>
          </w:p>
        </w:tc>
      </w:tr>
      <w:tr w:rsidR="007E5F53" w:rsidRPr="00E42A8A" w14:paraId="0952DA42" w14:textId="77777777" w:rsidTr="00D448E8">
        <w:trPr>
          <w:trHeight w:val="148"/>
        </w:trPr>
        <w:tc>
          <w:tcPr>
            <w:tcW w:w="3815" w:type="dxa"/>
          </w:tcPr>
          <w:p w14:paraId="5B401DD6"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2</w:t>
            </w:r>
          </w:p>
          <w:p w14:paraId="45C59327" w14:textId="77777777" w:rsidR="007E5F53" w:rsidRPr="00E42A8A" w:rsidRDefault="007E5F53" w:rsidP="00D448E8">
            <w:pPr>
              <w:tabs>
                <w:tab w:val="left" w:pos="8459"/>
              </w:tabs>
              <w:ind w:right="567"/>
              <w:jc w:val="center"/>
              <w:rPr>
                <w:rFonts w:ascii="Arial" w:hAnsi="Arial" w:cs="Arial"/>
                <w:bCs/>
                <w:sz w:val="20"/>
                <w:szCs w:val="20"/>
              </w:rPr>
            </w:pPr>
          </w:p>
        </w:tc>
        <w:tc>
          <w:tcPr>
            <w:tcW w:w="3249" w:type="dxa"/>
          </w:tcPr>
          <w:p w14:paraId="47AB1509"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0.210</w:t>
            </w:r>
          </w:p>
        </w:tc>
      </w:tr>
      <w:tr w:rsidR="007E5F53" w:rsidRPr="00E42A8A" w14:paraId="614FB9F7" w14:textId="77777777" w:rsidTr="00D448E8">
        <w:trPr>
          <w:trHeight w:val="148"/>
        </w:trPr>
        <w:tc>
          <w:tcPr>
            <w:tcW w:w="3815" w:type="dxa"/>
          </w:tcPr>
          <w:p w14:paraId="4A8BBD3D"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3</w:t>
            </w:r>
          </w:p>
          <w:p w14:paraId="6DE7ADE4" w14:textId="77777777" w:rsidR="007E5F53" w:rsidRPr="00E42A8A" w:rsidRDefault="007E5F53" w:rsidP="00D448E8">
            <w:pPr>
              <w:tabs>
                <w:tab w:val="left" w:pos="8459"/>
              </w:tabs>
              <w:ind w:right="567"/>
              <w:jc w:val="center"/>
              <w:rPr>
                <w:rFonts w:ascii="Arial" w:hAnsi="Arial" w:cs="Arial"/>
                <w:bCs/>
                <w:sz w:val="20"/>
                <w:szCs w:val="20"/>
              </w:rPr>
            </w:pPr>
          </w:p>
        </w:tc>
        <w:tc>
          <w:tcPr>
            <w:tcW w:w="3249" w:type="dxa"/>
          </w:tcPr>
          <w:p w14:paraId="6C06F0C6"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0.275</w:t>
            </w:r>
          </w:p>
        </w:tc>
      </w:tr>
      <w:tr w:rsidR="007E5F53" w:rsidRPr="00E42A8A" w14:paraId="2E256466" w14:textId="77777777" w:rsidTr="00D448E8">
        <w:trPr>
          <w:trHeight w:val="148"/>
        </w:trPr>
        <w:tc>
          <w:tcPr>
            <w:tcW w:w="3815" w:type="dxa"/>
          </w:tcPr>
          <w:p w14:paraId="4A9E1112"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4</w:t>
            </w:r>
          </w:p>
          <w:p w14:paraId="2D01BF4D" w14:textId="77777777" w:rsidR="007E5F53" w:rsidRPr="00E42A8A" w:rsidRDefault="007E5F53" w:rsidP="00D448E8">
            <w:pPr>
              <w:tabs>
                <w:tab w:val="left" w:pos="8459"/>
              </w:tabs>
              <w:ind w:right="567"/>
              <w:jc w:val="center"/>
              <w:rPr>
                <w:rFonts w:ascii="Arial" w:hAnsi="Arial" w:cs="Arial"/>
                <w:bCs/>
                <w:sz w:val="20"/>
                <w:szCs w:val="20"/>
              </w:rPr>
            </w:pPr>
          </w:p>
        </w:tc>
        <w:tc>
          <w:tcPr>
            <w:tcW w:w="3249" w:type="dxa"/>
          </w:tcPr>
          <w:p w14:paraId="3714A5B2"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0.380</w:t>
            </w:r>
          </w:p>
        </w:tc>
      </w:tr>
      <w:tr w:rsidR="007E5F53" w:rsidRPr="00E42A8A" w14:paraId="0E6EFEAA" w14:textId="77777777" w:rsidTr="00D448E8">
        <w:trPr>
          <w:trHeight w:val="573"/>
        </w:trPr>
        <w:tc>
          <w:tcPr>
            <w:tcW w:w="3815" w:type="dxa"/>
          </w:tcPr>
          <w:p w14:paraId="6B896283"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5</w:t>
            </w:r>
          </w:p>
          <w:p w14:paraId="1095240B" w14:textId="77777777" w:rsidR="007E5F53" w:rsidRPr="00E42A8A" w:rsidRDefault="007E5F53" w:rsidP="00D448E8">
            <w:pPr>
              <w:tabs>
                <w:tab w:val="left" w:pos="8459"/>
              </w:tabs>
              <w:ind w:right="567"/>
              <w:jc w:val="center"/>
              <w:rPr>
                <w:rFonts w:ascii="Arial" w:hAnsi="Arial" w:cs="Arial"/>
                <w:bCs/>
                <w:sz w:val="20"/>
                <w:szCs w:val="20"/>
              </w:rPr>
            </w:pPr>
          </w:p>
        </w:tc>
        <w:tc>
          <w:tcPr>
            <w:tcW w:w="3249" w:type="dxa"/>
          </w:tcPr>
          <w:p w14:paraId="44947590" w14:textId="77777777" w:rsidR="007E5F53" w:rsidRPr="00E42A8A" w:rsidRDefault="007E5F53" w:rsidP="00D448E8">
            <w:pPr>
              <w:tabs>
                <w:tab w:val="left" w:pos="8459"/>
              </w:tabs>
              <w:ind w:right="567"/>
              <w:jc w:val="center"/>
              <w:rPr>
                <w:rFonts w:ascii="Arial" w:hAnsi="Arial" w:cs="Arial"/>
                <w:bCs/>
                <w:sz w:val="20"/>
                <w:szCs w:val="20"/>
              </w:rPr>
            </w:pPr>
            <w:r w:rsidRPr="00E42A8A">
              <w:rPr>
                <w:rFonts w:ascii="Arial" w:hAnsi="Arial" w:cs="Arial"/>
                <w:bCs/>
                <w:sz w:val="20"/>
                <w:szCs w:val="20"/>
              </w:rPr>
              <w:t>0.471</w:t>
            </w:r>
          </w:p>
        </w:tc>
      </w:tr>
    </w:tbl>
    <w:p w14:paraId="223E8C51" w14:textId="23721E98" w:rsidR="00E42A8A" w:rsidRDefault="00E42A8A" w:rsidP="00A60E1A">
      <w:pPr>
        <w:spacing w:before="240" w:line="480" w:lineRule="auto"/>
        <w:jc w:val="both"/>
        <w:rPr>
          <w:rFonts w:ascii="Times New Roman" w:hAnsi="Times New Roman" w:cs="Times New Roman"/>
          <w:b/>
          <w:bCs/>
        </w:rPr>
      </w:pPr>
    </w:p>
    <w:p w14:paraId="027276A5" w14:textId="4883875C" w:rsidR="007B5344" w:rsidRDefault="007B5344" w:rsidP="00E42A8A">
      <w:pPr>
        <w:spacing w:before="240" w:line="480" w:lineRule="auto"/>
        <w:jc w:val="center"/>
        <w:rPr>
          <w:rFonts w:ascii="Times New Roman" w:hAnsi="Times New Roman" w:cs="Times New Roman"/>
          <w:b/>
          <w:bCs/>
        </w:rPr>
      </w:pPr>
    </w:p>
    <w:p w14:paraId="7C89DD6C" w14:textId="5C72C422" w:rsidR="007B5344" w:rsidRDefault="007B5344" w:rsidP="00E42A8A">
      <w:pPr>
        <w:spacing w:before="240" w:line="480" w:lineRule="auto"/>
        <w:jc w:val="center"/>
        <w:rPr>
          <w:rFonts w:ascii="Times New Roman" w:hAnsi="Times New Roman" w:cs="Times New Roman"/>
          <w:b/>
          <w:bCs/>
        </w:rPr>
      </w:pPr>
    </w:p>
    <w:p w14:paraId="3C053EDA" w14:textId="78ECB5E7" w:rsidR="007B5344" w:rsidRDefault="00D448E8" w:rsidP="00E42A8A">
      <w:pPr>
        <w:spacing w:before="240" w:line="480" w:lineRule="auto"/>
        <w:jc w:val="center"/>
        <w:rPr>
          <w:rFonts w:ascii="Times New Roman" w:hAnsi="Times New Roman" w:cs="Times New Roman"/>
          <w:b/>
          <w:bCs/>
        </w:rPr>
      </w:pPr>
      <w:r>
        <w:rPr>
          <w:noProof/>
        </w:rPr>
        <w:drawing>
          <wp:anchor distT="0" distB="0" distL="114300" distR="114300" simplePos="0" relativeHeight="251595264" behindDoc="1" locked="0" layoutInCell="1" allowOverlap="1" wp14:anchorId="147E79A3" wp14:editId="50F7563F">
            <wp:simplePos x="0" y="0"/>
            <wp:positionH relativeFrom="page">
              <wp:posOffset>2059940</wp:posOffset>
            </wp:positionH>
            <wp:positionV relativeFrom="paragraph">
              <wp:posOffset>-1022985</wp:posOffset>
            </wp:positionV>
            <wp:extent cx="3331845" cy="2029460"/>
            <wp:effectExtent l="0" t="0" r="1905" b="8890"/>
            <wp:wrapTight wrapText="bothSides">
              <wp:wrapPolygon edited="0">
                <wp:start x="0" y="0"/>
                <wp:lineTo x="0" y="21492"/>
                <wp:lineTo x="21489" y="21492"/>
                <wp:lineTo x="21489" y="0"/>
                <wp:lineTo x="0" y="0"/>
              </wp:wrapPolygon>
            </wp:wrapTight>
            <wp:docPr id="1795070046" name="Chart 1">
              <a:extLst xmlns:a="http://schemas.openxmlformats.org/drawingml/2006/main">
                <a:ext uri="{FF2B5EF4-FFF2-40B4-BE49-F238E27FC236}">
                  <a16:creationId xmlns:a16="http://schemas.microsoft.com/office/drawing/2014/main" id="{EC4973EB-3212-9B08-BDC2-CCB2AEBE7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09F47C7" w14:textId="415A4415" w:rsidR="007B5344" w:rsidRDefault="007B5344" w:rsidP="00E42A8A">
      <w:pPr>
        <w:tabs>
          <w:tab w:val="left" w:pos="8459"/>
        </w:tabs>
        <w:ind w:right="567"/>
        <w:jc w:val="center"/>
        <w:rPr>
          <w:rFonts w:ascii="Times New Roman" w:hAnsi="Times New Roman" w:cs="Times New Roman"/>
          <w:b/>
          <w:bCs/>
        </w:rPr>
      </w:pPr>
    </w:p>
    <w:p w14:paraId="4F6BDE41" w14:textId="09B71B9F" w:rsidR="007B5344" w:rsidRDefault="007B5344" w:rsidP="00E42A8A">
      <w:pPr>
        <w:tabs>
          <w:tab w:val="left" w:pos="8459"/>
        </w:tabs>
        <w:ind w:right="567"/>
        <w:jc w:val="center"/>
        <w:rPr>
          <w:rFonts w:ascii="Times New Roman" w:hAnsi="Times New Roman" w:cs="Times New Roman"/>
          <w:b/>
          <w:bCs/>
        </w:rPr>
      </w:pPr>
    </w:p>
    <w:p w14:paraId="13C88016" w14:textId="6EB40DD2" w:rsidR="007B5344" w:rsidRPr="00E42A8A" w:rsidRDefault="007B5344" w:rsidP="00E42A8A">
      <w:pPr>
        <w:tabs>
          <w:tab w:val="left" w:pos="8459"/>
        </w:tabs>
        <w:ind w:right="567"/>
        <w:jc w:val="center"/>
        <w:rPr>
          <w:rFonts w:ascii="Arial" w:hAnsi="Arial" w:cs="Arial"/>
          <w:b/>
          <w:sz w:val="20"/>
          <w:szCs w:val="20"/>
        </w:rPr>
      </w:pPr>
      <w:r w:rsidRPr="00E42A8A">
        <w:rPr>
          <w:rFonts w:ascii="Arial" w:hAnsi="Arial" w:cs="Arial"/>
          <w:b/>
          <w:bCs/>
          <w:sz w:val="20"/>
          <w:szCs w:val="20"/>
        </w:rPr>
        <w:t xml:space="preserve">Fig </w:t>
      </w:r>
      <w:r w:rsidR="00EE1B96" w:rsidRPr="00E42A8A">
        <w:rPr>
          <w:rFonts w:ascii="Arial" w:hAnsi="Arial" w:cs="Arial"/>
          <w:b/>
          <w:bCs/>
          <w:sz w:val="20"/>
          <w:szCs w:val="20"/>
        </w:rPr>
        <w:t>1</w:t>
      </w:r>
      <w:r w:rsidRPr="00E42A8A">
        <w:rPr>
          <w:rFonts w:ascii="Arial" w:hAnsi="Arial" w:cs="Arial"/>
          <w:b/>
          <w:bCs/>
          <w:sz w:val="20"/>
          <w:szCs w:val="20"/>
        </w:rPr>
        <w:t xml:space="preserve">: </w:t>
      </w:r>
      <w:r w:rsidRPr="00E42A8A">
        <w:rPr>
          <w:rFonts w:ascii="Arial" w:hAnsi="Arial" w:cs="Arial"/>
          <w:b/>
          <w:sz w:val="20"/>
          <w:szCs w:val="20"/>
        </w:rPr>
        <w:t>Standard Calibration Curve</w:t>
      </w:r>
      <w:r w:rsidR="00EE1B96" w:rsidRPr="00E42A8A">
        <w:rPr>
          <w:rFonts w:ascii="Arial" w:hAnsi="Arial" w:cs="Arial"/>
          <w:b/>
          <w:sz w:val="20"/>
          <w:szCs w:val="20"/>
        </w:rPr>
        <w:t xml:space="preserve"> </w:t>
      </w:r>
      <w:r w:rsidRPr="00E42A8A">
        <w:rPr>
          <w:rFonts w:ascii="Arial" w:hAnsi="Arial" w:cs="Arial"/>
          <w:b/>
          <w:sz w:val="20"/>
          <w:szCs w:val="20"/>
        </w:rPr>
        <w:t>of α-arbutin</w:t>
      </w:r>
    </w:p>
    <w:p w14:paraId="78F264A2" w14:textId="77777777" w:rsidR="00C75F03" w:rsidRDefault="00C75F03" w:rsidP="00740505">
      <w:pPr>
        <w:spacing w:before="240" w:line="480" w:lineRule="auto"/>
        <w:jc w:val="both"/>
        <w:rPr>
          <w:rFonts w:ascii="Times New Roman" w:hAnsi="Times New Roman" w:cs="Times New Roman"/>
        </w:rPr>
      </w:pPr>
    </w:p>
    <w:p w14:paraId="0E2C0CF9" w14:textId="5F346ACF" w:rsidR="00A60E1A" w:rsidRPr="00E42A8A" w:rsidRDefault="00AF357B" w:rsidP="00E42A8A">
      <w:pPr>
        <w:spacing w:before="240" w:line="240" w:lineRule="auto"/>
        <w:jc w:val="both"/>
        <w:rPr>
          <w:rFonts w:ascii="Arial" w:hAnsi="Arial" w:cs="Arial"/>
          <w:sz w:val="20"/>
          <w:szCs w:val="20"/>
        </w:rPr>
      </w:pPr>
      <w:r w:rsidRPr="00E42A8A">
        <w:rPr>
          <w:rFonts w:ascii="Arial" w:hAnsi="Arial" w:cs="Arial"/>
          <w:b/>
          <w:bCs/>
          <w:sz w:val="20"/>
          <w:szCs w:val="20"/>
        </w:rPr>
        <w:t>3</w:t>
      </w:r>
      <w:r w:rsidR="00A60E1A" w:rsidRPr="00E42A8A">
        <w:rPr>
          <w:rFonts w:ascii="Arial" w:hAnsi="Arial" w:cs="Arial"/>
          <w:b/>
          <w:bCs/>
          <w:sz w:val="20"/>
          <w:szCs w:val="20"/>
        </w:rPr>
        <w:t>.2 FTIR Interaction Studies</w:t>
      </w:r>
    </w:p>
    <w:p w14:paraId="7F05471E" w14:textId="153D5268" w:rsidR="00740505" w:rsidRDefault="00E42A8A" w:rsidP="00E42A8A">
      <w:pPr>
        <w:spacing w:before="240" w:line="240" w:lineRule="auto"/>
        <w:ind w:firstLine="720"/>
        <w:jc w:val="both"/>
        <w:rPr>
          <w:rFonts w:ascii="Arial" w:hAnsi="Arial" w:cs="Arial"/>
          <w:sz w:val="20"/>
          <w:szCs w:val="20"/>
        </w:rPr>
      </w:pPr>
      <w:r w:rsidRPr="00E42A8A">
        <w:rPr>
          <w:rFonts w:ascii="Arial" w:hAnsi="Arial" w:cs="Arial"/>
          <w:noProof/>
          <w:sz w:val="20"/>
          <w:szCs w:val="20"/>
        </w:rPr>
        <w:lastRenderedPageBreak/>
        <w:drawing>
          <wp:anchor distT="0" distB="0" distL="114300" distR="114300" simplePos="0" relativeHeight="251730432" behindDoc="1" locked="0" layoutInCell="1" allowOverlap="1" wp14:anchorId="756C34F8" wp14:editId="6B4960FF">
            <wp:simplePos x="0" y="0"/>
            <wp:positionH relativeFrom="margin">
              <wp:align>right</wp:align>
            </wp:positionH>
            <wp:positionV relativeFrom="paragraph">
              <wp:posOffset>1367790</wp:posOffset>
            </wp:positionV>
            <wp:extent cx="5867400" cy="2694305"/>
            <wp:effectExtent l="0" t="0" r="0" b="0"/>
            <wp:wrapTight wrapText="bothSides">
              <wp:wrapPolygon edited="0">
                <wp:start x="0" y="0"/>
                <wp:lineTo x="0" y="21381"/>
                <wp:lineTo x="21530" y="21381"/>
                <wp:lineTo x="21530" y="0"/>
                <wp:lineTo x="0" y="0"/>
              </wp:wrapPolygon>
            </wp:wrapTight>
            <wp:docPr id="108380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44143" name="Picture 654444143"/>
                    <pic:cNvPicPr/>
                  </pic:nvPicPr>
                  <pic:blipFill rotWithShape="1">
                    <a:blip r:embed="rId8">
                      <a:extLst>
                        <a:ext uri="{28A0092B-C50C-407E-A947-70E740481C1C}">
                          <a14:useLocalDpi xmlns:a14="http://schemas.microsoft.com/office/drawing/2010/main" val="0"/>
                        </a:ext>
                      </a:extLst>
                    </a:blip>
                    <a:srcRect t="5400" r="373" b="20578"/>
                    <a:stretch>
                      <a:fillRect/>
                    </a:stretch>
                  </pic:blipFill>
                  <pic:spPr bwMode="auto">
                    <a:xfrm>
                      <a:off x="0" y="0"/>
                      <a:ext cx="5867400" cy="2694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0E1A" w:rsidRPr="00E42A8A">
        <w:rPr>
          <w:rFonts w:ascii="Arial" w:hAnsi="Arial" w:cs="Arial"/>
          <w:sz w:val="20"/>
          <w:szCs w:val="20"/>
        </w:rPr>
        <w:t>FTIR spectra of α-arbutin, ascorbic acid, PVA, agar, and the final hydrogel patch were compared</w:t>
      </w:r>
      <w:r w:rsidR="001715D8">
        <w:rPr>
          <w:rFonts w:ascii="Arial" w:hAnsi="Arial" w:cs="Arial"/>
          <w:sz w:val="20"/>
          <w:szCs w:val="20"/>
        </w:rPr>
        <w:t xml:space="preserve"> to assess possible interactions </w:t>
      </w:r>
      <w:r w:rsidR="00A60E1A" w:rsidRPr="00E42A8A">
        <w:rPr>
          <w:rFonts w:ascii="Arial" w:hAnsi="Arial" w:cs="Arial"/>
          <w:sz w:val="20"/>
          <w:szCs w:val="20"/>
        </w:rPr>
        <w:t>(Figs.</w:t>
      </w:r>
      <w:r w:rsidR="0054067F" w:rsidRPr="00E42A8A">
        <w:rPr>
          <w:rFonts w:ascii="Arial" w:hAnsi="Arial" w:cs="Arial"/>
          <w:sz w:val="20"/>
          <w:szCs w:val="20"/>
        </w:rPr>
        <w:t xml:space="preserve"> 2</w:t>
      </w:r>
      <w:r w:rsidR="00A60E1A" w:rsidRPr="00E42A8A">
        <w:rPr>
          <w:rFonts w:ascii="Arial" w:hAnsi="Arial" w:cs="Arial"/>
          <w:sz w:val="20"/>
          <w:szCs w:val="20"/>
        </w:rPr>
        <w:t>–</w:t>
      </w:r>
      <w:r w:rsidR="0054067F" w:rsidRPr="00E42A8A">
        <w:rPr>
          <w:rFonts w:ascii="Arial" w:hAnsi="Arial" w:cs="Arial"/>
          <w:sz w:val="20"/>
          <w:szCs w:val="20"/>
        </w:rPr>
        <w:t>6</w:t>
      </w:r>
      <w:r w:rsidR="00A60E1A" w:rsidRPr="00E42A8A">
        <w:rPr>
          <w:rFonts w:ascii="Arial" w:hAnsi="Arial" w:cs="Arial"/>
          <w:sz w:val="20"/>
          <w:szCs w:val="20"/>
        </w:rPr>
        <w:t>).</w:t>
      </w:r>
      <w:r w:rsidR="001715D8">
        <w:rPr>
          <w:rFonts w:ascii="Arial" w:hAnsi="Arial" w:cs="Arial"/>
          <w:sz w:val="20"/>
          <w:szCs w:val="20"/>
        </w:rPr>
        <w:t xml:space="preserve"> Individual components exhibited characteristic </w:t>
      </w:r>
      <w:r w:rsidR="00A60E1A" w:rsidRPr="00E42A8A">
        <w:rPr>
          <w:rFonts w:ascii="Arial" w:hAnsi="Arial" w:cs="Arial"/>
          <w:sz w:val="20"/>
          <w:szCs w:val="20"/>
        </w:rPr>
        <w:br/>
        <w:t>O–H, C–O, C=O and C–H stretching vibrations. In the hydrogel patch, the O–H band appeared broader and shifted to lower wavenumbers, indicating hydrogen bonding between the drug and polymers. Minor shifts in C–O–C and C=O peaks also suggested physical interactions. No new peaks were observed, confirming the absence of chemical incompatibility and retention of drug functionality within the patch matrix. This confirms a stable hydrogel network formed by intermolecular hydrogen bonding among PVA, agar, α-arbutin, and ascorbic acid.</w:t>
      </w:r>
    </w:p>
    <w:p w14:paraId="43FEAB61" w14:textId="4772225A" w:rsidR="00506F88" w:rsidRPr="00E42A8A" w:rsidRDefault="00506F88" w:rsidP="00506F88">
      <w:pPr>
        <w:spacing w:before="240" w:line="240" w:lineRule="auto"/>
        <w:ind w:firstLine="720"/>
        <w:jc w:val="center"/>
        <w:rPr>
          <w:rFonts w:ascii="Arial" w:hAnsi="Arial" w:cs="Arial"/>
          <w:sz w:val="20"/>
          <w:szCs w:val="20"/>
        </w:rPr>
      </w:pPr>
      <w:r>
        <w:rPr>
          <w:rFonts w:ascii="Arial" w:hAnsi="Arial" w:cs="Arial"/>
          <w:sz w:val="20"/>
          <w:szCs w:val="20"/>
        </w:rPr>
        <w:t>F</w:t>
      </w:r>
      <w:r w:rsidRPr="00506F88">
        <w:rPr>
          <w:rFonts w:ascii="Arial" w:hAnsi="Arial" w:cs="Arial"/>
          <w:sz w:val="20"/>
          <w:szCs w:val="20"/>
        </w:rPr>
        <w:t>ig 2: FTIR Spectroscopy of α-arbutin</w:t>
      </w:r>
    </w:p>
    <w:p w14:paraId="7F78FE26" w14:textId="2D699B28" w:rsidR="009849CA" w:rsidRPr="009849CA" w:rsidRDefault="009849CA" w:rsidP="00506F88">
      <w:pPr>
        <w:spacing w:before="240" w:line="480" w:lineRule="auto"/>
        <w:ind w:firstLine="720"/>
        <w:jc w:val="center"/>
        <w:rPr>
          <w:rFonts w:ascii="Arial" w:hAnsi="Arial" w:cs="Arial"/>
          <w:b/>
          <w:bCs/>
          <w:sz w:val="20"/>
          <w:szCs w:val="20"/>
          <w:lang w:val="en-US"/>
        </w:rPr>
      </w:pPr>
      <w:r>
        <w:rPr>
          <w:rFonts w:ascii="Times New Roman" w:hAnsi="Times New Roman" w:cs="Times New Roman"/>
          <w:b/>
          <w:bCs/>
          <w:noProof/>
        </w:rPr>
        <w:drawing>
          <wp:anchor distT="0" distB="0" distL="114300" distR="114300" simplePos="0" relativeHeight="251630080" behindDoc="1" locked="0" layoutInCell="1" allowOverlap="1" wp14:anchorId="51D8F31D" wp14:editId="24A3F52E">
            <wp:simplePos x="0" y="0"/>
            <wp:positionH relativeFrom="margin">
              <wp:align>center</wp:align>
            </wp:positionH>
            <wp:positionV relativeFrom="paragraph">
              <wp:posOffset>3048000</wp:posOffset>
            </wp:positionV>
            <wp:extent cx="6281420" cy="2618105"/>
            <wp:effectExtent l="0" t="0" r="5080" b="0"/>
            <wp:wrapTight wrapText="bothSides">
              <wp:wrapPolygon edited="0">
                <wp:start x="0" y="0"/>
                <wp:lineTo x="0" y="21375"/>
                <wp:lineTo x="21552" y="21375"/>
                <wp:lineTo x="21552" y="0"/>
                <wp:lineTo x="0" y="0"/>
              </wp:wrapPolygon>
            </wp:wrapTight>
            <wp:docPr id="491647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47998" name="Picture 491647998"/>
                    <pic:cNvPicPr/>
                  </pic:nvPicPr>
                  <pic:blipFill rotWithShape="1">
                    <a:blip r:embed="rId9">
                      <a:extLst>
                        <a:ext uri="{28A0092B-C50C-407E-A947-70E740481C1C}">
                          <a14:useLocalDpi xmlns:a14="http://schemas.microsoft.com/office/drawing/2010/main" val="0"/>
                        </a:ext>
                      </a:extLst>
                    </a:blip>
                    <a:srcRect t="4051" r="-786" b="21001"/>
                    <a:stretch>
                      <a:fillRect/>
                    </a:stretch>
                  </pic:blipFill>
                  <pic:spPr bwMode="auto">
                    <a:xfrm>
                      <a:off x="0" y="0"/>
                      <a:ext cx="6281420" cy="2618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9CA">
        <w:rPr>
          <w:rFonts w:ascii="Arial" w:hAnsi="Arial" w:cs="Arial"/>
          <w:b/>
          <w:bCs/>
          <w:sz w:val="20"/>
          <w:szCs w:val="20"/>
          <w:lang w:val="en-US"/>
        </w:rPr>
        <w:t>Fig 3: FTIR Spectroscopy of Ascorbic acid</w:t>
      </w:r>
    </w:p>
    <w:p w14:paraId="23533045" w14:textId="77777777" w:rsidR="009849CA" w:rsidRPr="009849CA" w:rsidRDefault="009849CA" w:rsidP="009849CA">
      <w:pPr>
        <w:jc w:val="center"/>
        <w:rPr>
          <w:rFonts w:ascii="Arial" w:hAnsi="Arial" w:cs="Arial"/>
          <w:b/>
          <w:bCs/>
          <w:sz w:val="20"/>
          <w:szCs w:val="20"/>
          <w:lang w:val="en-US"/>
        </w:rPr>
      </w:pPr>
    </w:p>
    <w:p w14:paraId="54D11743" w14:textId="77777777" w:rsidR="009849CA" w:rsidRPr="009849CA" w:rsidRDefault="009849CA" w:rsidP="009849CA">
      <w:pPr>
        <w:rPr>
          <w:rFonts w:ascii="Arial" w:hAnsi="Arial" w:cs="Arial"/>
          <w:sz w:val="20"/>
          <w:szCs w:val="20"/>
          <w:lang w:val="en-US"/>
        </w:rPr>
      </w:pPr>
    </w:p>
    <w:p w14:paraId="78BE69BB" w14:textId="77777777" w:rsidR="009849CA" w:rsidRPr="009849CA" w:rsidRDefault="009849CA" w:rsidP="009849CA">
      <w:pPr>
        <w:rPr>
          <w:rFonts w:ascii="Arial" w:hAnsi="Arial" w:cs="Arial"/>
          <w:sz w:val="20"/>
          <w:szCs w:val="20"/>
          <w:lang w:val="en-US"/>
        </w:rPr>
      </w:pPr>
    </w:p>
    <w:p w14:paraId="47D72FFB" w14:textId="77777777" w:rsidR="009849CA" w:rsidRPr="009849CA" w:rsidRDefault="009849CA" w:rsidP="009849CA">
      <w:pPr>
        <w:rPr>
          <w:rFonts w:ascii="Arial" w:hAnsi="Arial" w:cs="Arial"/>
          <w:sz w:val="20"/>
          <w:szCs w:val="20"/>
          <w:lang w:val="en-US"/>
        </w:rPr>
      </w:pPr>
    </w:p>
    <w:p w14:paraId="4E66945D" w14:textId="77777777" w:rsidR="009849CA" w:rsidRPr="009849CA" w:rsidRDefault="009849CA" w:rsidP="009849CA">
      <w:pPr>
        <w:rPr>
          <w:rFonts w:ascii="Arial" w:hAnsi="Arial" w:cs="Arial"/>
          <w:sz w:val="20"/>
          <w:szCs w:val="20"/>
          <w:lang w:val="en-US"/>
        </w:rPr>
      </w:pPr>
    </w:p>
    <w:p w14:paraId="23926427" w14:textId="7FCF59B3" w:rsidR="009849CA" w:rsidRPr="009849CA" w:rsidRDefault="009849CA" w:rsidP="009849CA">
      <w:pPr>
        <w:jc w:val="center"/>
        <w:rPr>
          <w:rFonts w:ascii="Arial" w:hAnsi="Arial" w:cs="Arial"/>
          <w:sz w:val="20"/>
          <w:szCs w:val="20"/>
          <w:lang w:val="en-US"/>
        </w:rPr>
      </w:pPr>
      <w:r w:rsidRPr="009849CA">
        <w:rPr>
          <w:rFonts w:ascii="Arial" w:hAnsi="Arial" w:cs="Arial"/>
          <w:b/>
          <w:bCs/>
          <w:noProof/>
          <w:sz w:val="20"/>
          <w:szCs w:val="20"/>
        </w:rPr>
        <w:lastRenderedPageBreak/>
        <w:drawing>
          <wp:anchor distT="0" distB="0" distL="114300" distR="114300" simplePos="0" relativeHeight="251701760" behindDoc="1" locked="0" layoutInCell="1" allowOverlap="1" wp14:anchorId="7157BA77" wp14:editId="0F74DC3D">
            <wp:simplePos x="0" y="0"/>
            <wp:positionH relativeFrom="margin">
              <wp:posOffset>-165908</wp:posOffset>
            </wp:positionH>
            <wp:positionV relativeFrom="paragraph">
              <wp:posOffset>2999105</wp:posOffset>
            </wp:positionV>
            <wp:extent cx="6170295" cy="2438400"/>
            <wp:effectExtent l="0" t="0" r="1905" b="0"/>
            <wp:wrapTight wrapText="bothSides">
              <wp:wrapPolygon edited="0">
                <wp:start x="0" y="0"/>
                <wp:lineTo x="0" y="21431"/>
                <wp:lineTo x="21540" y="21431"/>
                <wp:lineTo x="21540" y="0"/>
                <wp:lineTo x="0" y="0"/>
              </wp:wrapPolygon>
            </wp:wrapTight>
            <wp:docPr id="1004887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87396" name="Picture 1004887396"/>
                    <pic:cNvPicPr/>
                  </pic:nvPicPr>
                  <pic:blipFill rotWithShape="1">
                    <a:blip r:embed="rId10">
                      <a:extLst>
                        <a:ext uri="{28A0092B-C50C-407E-A947-70E740481C1C}">
                          <a14:useLocalDpi xmlns:a14="http://schemas.microsoft.com/office/drawing/2010/main" val="0"/>
                        </a:ext>
                      </a:extLst>
                    </a:blip>
                    <a:srcRect l="1" t="4366" r="246" b="20850"/>
                    <a:stretch>
                      <a:fillRect/>
                    </a:stretch>
                  </pic:blipFill>
                  <pic:spPr bwMode="auto">
                    <a:xfrm>
                      <a:off x="0" y="0"/>
                      <a:ext cx="6170295" cy="243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9CA">
        <w:rPr>
          <w:rFonts w:ascii="Arial" w:hAnsi="Arial" w:cs="Arial"/>
          <w:b/>
          <w:bCs/>
          <w:sz w:val="20"/>
          <w:szCs w:val="20"/>
          <w:lang w:val="en-US"/>
        </w:rPr>
        <w:t>Fig 4: FTIR Spectroscopy of Poly vinyl alcoho</w:t>
      </w:r>
      <w:r w:rsidRPr="00E42A8A">
        <w:rPr>
          <w:rFonts w:ascii="Arial" w:hAnsi="Arial" w:cs="Arial"/>
          <w:b/>
          <w:bCs/>
          <w:noProof/>
          <w:sz w:val="20"/>
          <w:szCs w:val="20"/>
        </w:rPr>
        <w:drawing>
          <wp:anchor distT="0" distB="0" distL="114300" distR="114300" simplePos="0" relativeHeight="251736576" behindDoc="1" locked="0" layoutInCell="1" allowOverlap="1" wp14:anchorId="626AE5F4" wp14:editId="4654A270">
            <wp:simplePos x="0" y="0"/>
            <wp:positionH relativeFrom="margin">
              <wp:align>center</wp:align>
            </wp:positionH>
            <wp:positionV relativeFrom="paragraph">
              <wp:posOffset>0</wp:posOffset>
            </wp:positionV>
            <wp:extent cx="6118225" cy="2736215"/>
            <wp:effectExtent l="0" t="0" r="0" b="6985"/>
            <wp:wrapTight wrapText="bothSides">
              <wp:wrapPolygon edited="0">
                <wp:start x="0" y="0"/>
                <wp:lineTo x="0" y="21505"/>
                <wp:lineTo x="21522" y="21505"/>
                <wp:lineTo x="21522" y="0"/>
                <wp:lineTo x="0" y="0"/>
              </wp:wrapPolygon>
            </wp:wrapTight>
            <wp:docPr id="16072001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01196" name="Picture 1025301196"/>
                    <pic:cNvPicPr/>
                  </pic:nvPicPr>
                  <pic:blipFill rotWithShape="1">
                    <a:blip r:embed="rId11">
                      <a:extLst>
                        <a:ext uri="{28A0092B-C50C-407E-A947-70E740481C1C}">
                          <a14:useLocalDpi xmlns:a14="http://schemas.microsoft.com/office/drawing/2010/main" val="0"/>
                        </a:ext>
                      </a:extLst>
                    </a:blip>
                    <a:srcRect t="3694" r="-251" b="21057"/>
                    <a:stretch>
                      <a:fillRect/>
                    </a:stretch>
                  </pic:blipFill>
                  <pic:spPr bwMode="auto">
                    <a:xfrm>
                      <a:off x="0" y="0"/>
                      <a:ext cx="6118225" cy="2736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lang w:val="en-US"/>
        </w:rPr>
        <w:t>l</w:t>
      </w:r>
    </w:p>
    <w:p w14:paraId="788E2994" w14:textId="50B11319" w:rsidR="009849CA" w:rsidRPr="009849CA" w:rsidRDefault="009849CA" w:rsidP="009849CA">
      <w:pPr>
        <w:tabs>
          <w:tab w:val="left" w:pos="1967"/>
        </w:tabs>
        <w:jc w:val="center"/>
        <w:rPr>
          <w:rFonts w:ascii="Arial" w:hAnsi="Arial" w:cs="Arial"/>
          <w:b/>
          <w:bCs/>
          <w:sz w:val="20"/>
          <w:szCs w:val="20"/>
          <w:lang w:val="en-US"/>
        </w:rPr>
      </w:pPr>
      <w:r>
        <w:rPr>
          <w:rFonts w:ascii="Times New Roman" w:hAnsi="Times New Roman" w:cs="Times New Roman"/>
          <w:b/>
          <w:bCs/>
          <w:noProof/>
        </w:rPr>
        <w:drawing>
          <wp:anchor distT="0" distB="0" distL="114300" distR="114300" simplePos="0" relativeHeight="251725312" behindDoc="1" locked="0" layoutInCell="1" allowOverlap="1" wp14:anchorId="4C70C336" wp14:editId="53747C04">
            <wp:simplePos x="0" y="0"/>
            <wp:positionH relativeFrom="margin">
              <wp:posOffset>-69503</wp:posOffset>
            </wp:positionH>
            <wp:positionV relativeFrom="paragraph">
              <wp:posOffset>2733791</wp:posOffset>
            </wp:positionV>
            <wp:extent cx="6172200" cy="2451735"/>
            <wp:effectExtent l="0" t="0" r="0" b="5715"/>
            <wp:wrapTight wrapText="bothSides">
              <wp:wrapPolygon edited="0">
                <wp:start x="0" y="0"/>
                <wp:lineTo x="0" y="21483"/>
                <wp:lineTo x="21533" y="21483"/>
                <wp:lineTo x="21533" y="0"/>
                <wp:lineTo x="0" y="0"/>
              </wp:wrapPolygon>
            </wp:wrapTight>
            <wp:docPr id="651318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18698" name="Picture 651318698"/>
                    <pic:cNvPicPr/>
                  </pic:nvPicPr>
                  <pic:blipFill rotWithShape="1">
                    <a:blip r:embed="rId12">
                      <a:extLst>
                        <a:ext uri="{28A0092B-C50C-407E-A947-70E740481C1C}">
                          <a14:useLocalDpi xmlns:a14="http://schemas.microsoft.com/office/drawing/2010/main" val="0"/>
                        </a:ext>
                      </a:extLst>
                    </a:blip>
                    <a:srcRect t="3849" r="370" b="21304"/>
                    <a:stretch>
                      <a:fillRect/>
                    </a:stretch>
                  </pic:blipFill>
                  <pic:spPr bwMode="auto">
                    <a:xfrm>
                      <a:off x="0" y="0"/>
                      <a:ext cx="6172200" cy="2451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9CA">
        <w:rPr>
          <w:rFonts w:ascii="Arial" w:hAnsi="Arial" w:cs="Arial"/>
          <w:b/>
          <w:bCs/>
          <w:sz w:val="20"/>
          <w:szCs w:val="20"/>
          <w:lang w:val="en-US"/>
        </w:rPr>
        <w:t>Fig 5: FTIR Spectroscopy of Agar</w:t>
      </w:r>
    </w:p>
    <w:p w14:paraId="2A1AD67E" w14:textId="343695A7" w:rsidR="009849CA" w:rsidRPr="009849CA" w:rsidRDefault="009849CA" w:rsidP="009849CA">
      <w:pPr>
        <w:spacing w:before="240" w:line="480" w:lineRule="auto"/>
        <w:jc w:val="center"/>
        <w:rPr>
          <w:rFonts w:ascii="Arial" w:hAnsi="Arial" w:cs="Arial"/>
          <w:b/>
          <w:bCs/>
          <w:sz w:val="20"/>
          <w:szCs w:val="20"/>
        </w:rPr>
      </w:pPr>
      <w:r w:rsidRPr="009849CA">
        <w:rPr>
          <w:rFonts w:ascii="Arial" w:hAnsi="Arial" w:cs="Arial"/>
          <w:b/>
          <w:bCs/>
          <w:sz w:val="20"/>
          <w:szCs w:val="20"/>
          <w:lang w:val="en-US"/>
        </w:rPr>
        <w:t>Fig 6: FTIR Spectroscopy of hydrogel patch</w:t>
      </w:r>
    </w:p>
    <w:p w14:paraId="66E97A0F" w14:textId="6265C0CB" w:rsidR="00A60E1A" w:rsidRPr="009849CA" w:rsidRDefault="00225ABC" w:rsidP="009849CA">
      <w:pPr>
        <w:spacing w:line="240" w:lineRule="auto"/>
        <w:rPr>
          <w:rFonts w:ascii="Arial" w:hAnsi="Arial" w:cs="Arial"/>
          <w:sz w:val="20"/>
          <w:szCs w:val="20"/>
        </w:rPr>
      </w:pPr>
      <w:r w:rsidRPr="009849CA">
        <w:rPr>
          <w:rFonts w:ascii="Arial" w:hAnsi="Arial" w:cs="Arial"/>
          <w:b/>
          <w:bCs/>
          <w:sz w:val="20"/>
          <w:szCs w:val="20"/>
        </w:rPr>
        <w:lastRenderedPageBreak/>
        <w:t>3</w:t>
      </w:r>
      <w:r w:rsidR="00A60E1A" w:rsidRPr="009849CA">
        <w:rPr>
          <w:rFonts w:ascii="Arial" w:hAnsi="Arial" w:cs="Arial"/>
          <w:b/>
          <w:bCs/>
          <w:sz w:val="20"/>
          <w:szCs w:val="20"/>
        </w:rPr>
        <w:t>.3 Organoleptic Evaluation</w:t>
      </w:r>
    </w:p>
    <w:p w14:paraId="790A7040" w14:textId="79FD310E" w:rsidR="00882367"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All formulations (F1–F3) appeared smooth, flexible, and free from cracks</w:t>
      </w:r>
      <w:r w:rsidR="00D751A5" w:rsidRPr="009849CA">
        <w:rPr>
          <w:rFonts w:ascii="Arial" w:hAnsi="Arial" w:cs="Arial"/>
          <w:sz w:val="20"/>
          <w:szCs w:val="20"/>
        </w:rPr>
        <w:t>.</w:t>
      </w:r>
      <w:r w:rsidRPr="009849CA">
        <w:rPr>
          <w:rFonts w:ascii="Arial" w:hAnsi="Arial" w:cs="Arial"/>
          <w:sz w:val="20"/>
          <w:szCs w:val="20"/>
        </w:rPr>
        <w:t xml:space="preserve"> F1 and F2 were white, while F3 exhibited a </w:t>
      </w:r>
      <w:r w:rsidR="00882367" w:rsidRPr="009849CA">
        <w:rPr>
          <w:rFonts w:ascii="Arial" w:hAnsi="Arial" w:cs="Arial"/>
          <w:sz w:val="20"/>
          <w:szCs w:val="20"/>
        </w:rPr>
        <w:t>pale-yellow</w:t>
      </w:r>
      <w:r w:rsidRPr="009849CA">
        <w:rPr>
          <w:rFonts w:ascii="Arial" w:hAnsi="Arial" w:cs="Arial"/>
          <w:sz w:val="20"/>
          <w:szCs w:val="20"/>
        </w:rPr>
        <w:t xml:space="preserve"> </w:t>
      </w:r>
      <w:proofErr w:type="spellStart"/>
      <w:r w:rsidRPr="009849CA">
        <w:rPr>
          <w:rFonts w:ascii="Arial" w:hAnsi="Arial" w:cs="Arial"/>
          <w:sz w:val="20"/>
          <w:szCs w:val="20"/>
        </w:rPr>
        <w:t>color</w:t>
      </w:r>
      <w:proofErr w:type="spellEnd"/>
      <w:r w:rsidRPr="009849CA">
        <w:rPr>
          <w:rFonts w:ascii="Arial" w:hAnsi="Arial" w:cs="Arial"/>
          <w:sz w:val="20"/>
          <w:szCs w:val="20"/>
        </w:rPr>
        <w:t xml:space="preserve">. All patches were </w:t>
      </w:r>
      <w:proofErr w:type="spellStart"/>
      <w:r w:rsidRPr="009849CA">
        <w:rPr>
          <w:rFonts w:ascii="Arial" w:hAnsi="Arial" w:cs="Arial"/>
          <w:sz w:val="20"/>
          <w:szCs w:val="20"/>
        </w:rPr>
        <w:t>odorless</w:t>
      </w:r>
      <w:proofErr w:type="spellEnd"/>
      <w:r w:rsidRPr="009849CA">
        <w:rPr>
          <w:rFonts w:ascii="Arial" w:hAnsi="Arial" w:cs="Arial"/>
          <w:sz w:val="20"/>
          <w:szCs w:val="20"/>
        </w:rPr>
        <w:t>, which is desirable for cosmetic and dermatological applications.</w:t>
      </w:r>
    </w:p>
    <w:p w14:paraId="1E11A588" w14:textId="0CFDA0B1" w:rsidR="00D751A5" w:rsidRPr="009849CA" w:rsidRDefault="00D751A5" w:rsidP="009849CA">
      <w:pPr>
        <w:spacing w:before="240" w:line="240" w:lineRule="auto"/>
        <w:jc w:val="both"/>
        <w:rPr>
          <w:rFonts w:ascii="Arial" w:hAnsi="Arial" w:cs="Arial"/>
          <w:sz w:val="20"/>
          <w:szCs w:val="20"/>
        </w:rPr>
      </w:pPr>
      <w:r w:rsidRPr="009849CA">
        <w:rPr>
          <w:rFonts w:ascii="Arial" w:hAnsi="Arial" w:cs="Arial"/>
          <w:b/>
          <w:bCs/>
          <w:sz w:val="20"/>
          <w:szCs w:val="20"/>
        </w:rPr>
        <w:t>3</w:t>
      </w:r>
      <w:r w:rsidR="00A60E1A" w:rsidRPr="009849CA">
        <w:rPr>
          <w:rFonts w:ascii="Arial" w:hAnsi="Arial" w:cs="Arial"/>
          <w:b/>
          <w:bCs/>
          <w:sz w:val="20"/>
          <w:szCs w:val="20"/>
        </w:rPr>
        <w:t>.4 pH Evaluation</w:t>
      </w:r>
    </w:p>
    <w:p w14:paraId="06A12833" w14:textId="5C5A6AA5" w:rsidR="00A60E1A" w:rsidRPr="009849CA" w:rsidRDefault="00A60E1A" w:rsidP="009849CA">
      <w:pPr>
        <w:spacing w:before="240" w:line="240" w:lineRule="auto"/>
        <w:ind w:firstLine="720"/>
        <w:jc w:val="both"/>
        <w:rPr>
          <w:rFonts w:ascii="Arial" w:hAnsi="Arial" w:cs="Arial"/>
          <w:b/>
          <w:bCs/>
          <w:sz w:val="20"/>
          <w:szCs w:val="20"/>
        </w:rPr>
      </w:pPr>
      <w:r w:rsidRPr="009849CA">
        <w:rPr>
          <w:rFonts w:ascii="Arial" w:hAnsi="Arial" w:cs="Arial"/>
          <w:sz w:val="20"/>
          <w:szCs w:val="20"/>
        </w:rPr>
        <w:t>The pH of patches ranged from 5 to 8. F1 exhibited a pH of 6, close to skin’s natural pH (5.5–7), indicating minimal risk of irritation and suitability for periorbital application. F2 was slightly alkaline (pH 8), potentially less suitable for sensitive under-eye skin.</w:t>
      </w:r>
    </w:p>
    <w:p w14:paraId="7AE816AF" w14:textId="28C4C027" w:rsidR="00A60E1A" w:rsidRPr="009849CA" w:rsidRDefault="00D751A5"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.5 Patch Weight</w:t>
      </w:r>
      <w:r w:rsidR="003F5025" w:rsidRPr="009849CA">
        <w:rPr>
          <w:rFonts w:ascii="Arial" w:hAnsi="Arial" w:cs="Arial"/>
          <w:b/>
          <w:bCs/>
          <w:sz w:val="20"/>
          <w:szCs w:val="20"/>
        </w:rPr>
        <w:t xml:space="preserve"> and thickness</w:t>
      </w:r>
    </w:p>
    <w:p w14:paraId="3AA3DB33" w14:textId="61DE3983"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 xml:space="preserve">Patch weight varied between </w:t>
      </w:r>
      <w:r w:rsidRPr="00AF4AC4">
        <w:rPr>
          <w:rFonts w:ascii="Arial" w:hAnsi="Arial" w:cs="Arial"/>
          <w:sz w:val="20"/>
          <w:szCs w:val="20"/>
          <w:highlight w:val="yellow"/>
        </w:rPr>
        <w:t>0.58</w:t>
      </w:r>
      <w:r w:rsidR="00AF4AC4" w:rsidRPr="00AF4AC4">
        <w:rPr>
          <w:rFonts w:ascii="Arial" w:hAnsi="Arial" w:cs="Arial"/>
          <w:sz w:val="20"/>
          <w:szCs w:val="20"/>
          <w:highlight w:val="yellow"/>
        </w:rPr>
        <w:t>g</w:t>
      </w:r>
      <w:r w:rsidRPr="009849CA">
        <w:rPr>
          <w:rFonts w:ascii="Arial" w:hAnsi="Arial" w:cs="Arial"/>
          <w:sz w:val="20"/>
          <w:szCs w:val="20"/>
        </w:rPr>
        <w:t xml:space="preserve"> and </w:t>
      </w:r>
      <w:r w:rsidRPr="00AF4AC4">
        <w:rPr>
          <w:rFonts w:ascii="Arial" w:hAnsi="Arial" w:cs="Arial"/>
          <w:sz w:val="20"/>
          <w:szCs w:val="20"/>
          <w:highlight w:val="yellow"/>
        </w:rPr>
        <w:t>0.63g</w:t>
      </w:r>
      <w:r w:rsidRPr="009849CA">
        <w:rPr>
          <w:rFonts w:ascii="Arial" w:hAnsi="Arial" w:cs="Arial"/>
          <w:sz w:val="20"/>
          <w:szCs w:val="20"/>
        </w:rPr>
        <w:t xml:space="preserve"> across formulations</w:t>
      </w:r>
      <w:r w:rsidR="00D751A5" w:rsidRPr="009849CA">
        <w:rPr>
          <w:rFonts w:ascii="Arial" w:hAnsi="Arial" w:cs="Arial"/>
          <w:sz w:val="20"/>
          <w:szCs w:val="20"/>
        </w:rPr>
        <w:t xml:space="preserve">. </w:t>
      </w:r>
      <w:r w:rsidRPr="009849CA">
        <w:rPr>
          <w:rFonts w:ascii="Arial" w:hAnsi="Arial" w:cs="Arial"/>
          <w:sz w:val="20"/>
          <w:szCs w:val="20"/>
        </w:rPr>
        <w:t>The low variability in F1 indicated uniform casting and consistent polymer distribution. F3 showed comparatively higher deviation, suggesting uneven polymer dispersion.</w:t>
      </w:r>
      <w:r w:rsidR="00E4043F" w:rsidRPr="009849CA">
        <w:rPr>
          <w:rFonts w:ascii="Arial" w:hAnsi="Arial" w:cs="Arial"/>
          <w:sz w:val="20"/>
          <w:szCs w:val="20"/>
        </w:rPr>
        <w:t xml:space="preserve"> </w:t>
      </w:r>
      <w:r w:rsidRPr="009849CA">
        <w:rPr>
          <w:rFonts w:ascii="Arial" w:hAnsi="Arial" w:cs="Arial"/>
          <w:sz w:val="20"/>
          <w:szCs w:val="20"/>
        </w:rPr>
        <w:t xml:space="preserve">Thickness ranged </w:t>
      </w:r>
      <w:r w:rsidRPr="00AF4AC4">
        <w:rPr>
          <w:rFonts w:ascii="Arial" w:hAnsi="Arial" w:cs="Arial"/>
          <w:sz w:val="20"/>
          <w:szCs w:val="20"/>
          <w:highlight w:val="yellow"/>
        </w:rPr>
        <w:t>from 0.55 to 1.12 mm</w:t>
      </w:r>
      <w:r w:rsidR="009657D3" w:rsidRPr="009849CA">
        <w:rPr>
          <w:rFonts w:ascii="Arial" w:hAnsi="Arial" w:cs="Arial"/>
          <w:sz w:val="20"/>
          <w:szCs w:val="20"/>
        </w:rPr>
        <w:t xml:space="preserve">. </w:t>
      </w:r>
      <w:r w:rsidRPr="009849CA">
        <w:rPr>
          <w:rFonts w:ascii="Arial" w:hAnsi="Arial" w:cs="Arial"/>
          <w:sz w:val="20"/>
          <w:szCs w:val="20"/>
        </w:rPr>
        <w:t>F1 and F3 were uniformly thin (≈0.55 mm), whereas F2 had a greater thickness (1.12 mm), likely due to higher viscosity of the gel mixture. Uniform thickness in F1 enhances both comfort and drug release consistency.</w:t>
      </w:r>
    </w:p>
    <w:p w14:paraId="61E4BFDB" w14:textId="21965561" w:rsidR="00A60E1A" w:rsidRPr="009849CA" w:rsidRDefault="009657D3"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6</w:t>
      </w:r>
      <w:r w:rsidR="00A60E1A" w:rsidRPr="009849CA">
        <w:rPr>
          <w:rFonts w:ascii="Arial" w:hAnsi="Arial" w:cs="Arial"/>
          <w:b/>
          <w:bCs/>
          <w:sz w:val="20"/>
          <w:szCs w:val="20"/>
        </w:rPr>
        <w:t xml:space="preserve"> Swelling Index</w:t>
      </w:r>
    </w:p>
    <w:p w14:paraId="7AA600F4" w14:textId="00DBD84D" w:rsidR="00DB7DAD"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 xml:space="preserve">Swelling </w:t>
      </w:r>
      <w:r w:rsidR="00EA6DAB" w:rsidRPr="009849CA">
        <w:rPr>
          <w:rFonts w:ascii="Arial" w:hAnsi="Arial" w:cs="Arial"/>
          <w:sz w:val="20"/>
          <w:szCs w:val="20"/>
        </w:rPr>
        <w:t>behaviour</w:t>
      </w:r>
      <w:r w:rsidRPr="009849CA">
        <w:rPr>
          <w:rFonts w:ascii="Arial" w:hAnsi="Arial" w:cs="Arial"/>
          <w:sz w:val="20"/>
          <w:szCs w:val="20"/>
        </w:rPr>
        <w:t xml:space="preserve"> is crucial for hydrogel hydration and drug diffusion. F1 exhibited the highest swelling index (72.97%), followed by F2 (70.34%)</w:t>
      </w:r>
      <w:r w:rsidR="001B0E97" w:rsidRPr="009849CA">
        <w:rPr>
          <w:rFonts w:ascii="Arial" w:hAnsi="Arial" w:cs="Arial"/>
          <w:sz w:val="20"/>
          <w:szCs w:val="20"/>
        </w:rPr>
        <w:t>,</w:t>
      </w:r>
      <w:r w:rsidRPr="009849CA">
        <w:rPr>
          <w:rFonts w:ascii="Arial" w:hAnsi="Arial" w:cs="Arial"/>
          <w:sz w:val="20"/>
          <w:szCs w:val="20"/>
        </w:rPr>
        <w:t xml:space="preserve"> F3 showed significantly lower swelling (29.28%), </w:t>
      </w:r>
      <w:r w:rsidR="001715D8">
        <w:rPr>
          <w:rFonts w:ascii="Arial" w:hAnsi="Arial" w:cs="Arial"/>
          <w:sz w:val="20"/>
          <w:szCs w:val="20"/>
        </w:rPr>
        <w:t>which indicates a denser polymer network. The optimal swelling index of F1 supports improved hydration</w:t>
      </w:r>
      <w:r w:rsidRPr="009849CA">
        <w:rPr>
          <w:rFonts w:ascii="Arial" w:hAnsi="Arial" w:cs="Arial"/>
          <w:sz w:val="20"/>
          <w:szCs w:val="20"/>
        </w:rPr>
        <w:t xml:space="preserve"> of the under-eye region and enhances drug release.</w:t>
      </w:r>
    </w:p>
    <w:p w14:paraId="076321E3" w14:textId="4AEA473E" w:rsidR="00A60E1A" w:rsidRPr="009849CA" w:rsidRDefault="001B0E97"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7</w:t>
      </w:r>
      <w:r w:rsidR="00A60E1A" w:rsidRPr="009849CA">
        <w:rPr>
          <w:rFonts w:ascii="Arial" w:hAnsi="Arial" w:cs="Arial"/>
          <w:b/>
          <w:bCs/>
          <w:sz w:val="20"/>
          <w:szCs w:val="20"/>
        </w:rPr>
        <w:t xml:space="preserve"> Shrinkage Study</w:t>
      </w:r>
    </w:p>
    <w:p w14:paraId="0117A37D" w14:textId="5919504C" w:rsidR="00A60E1A" w:rsidRPr="009849CA" w:rsidRDefault="00A60E1A" w:rsidP="00AE0D45">
      <w:pPr>
        <w:spacing w:before="240" w:line="240" w:lineRule="auto"/>
        <w:ind w:firstLine="720"/>
        <w:jc w:val="both"/>
        <w:rPr>
          <w:rFonts w:ascii="Arial" w:hAnsi="Arial" w:cs="Arial"/>
          <w:sz w:val="20"/>
          <w:szCs w:val="20"/>
        </w:rPr>
      </w:pPr>
      <w:r w:rsidRPr="009849CA">
        <w:rPr>
          <w:rFonts w:ascii="Arial" w:hAnsi="Arial" w:cs="Arial"/>
          <w:sz w:val="20"/>
          <w:szCs w:val="20"/>
        </w:rPr>
        <w:t>Shrinkage occurred due to water loss during drying. F1 demonstrated the lowest shrinkage thus maintaining flexibility and shape better than F2 and F3. The stable polymeric network in F1 contributes to improved structural integrity during storage.</w:t>
      </w:r>
    </w:p>
    <w:p w14:paraId="08C02A94" w14:textId="4DEF6C55" w:rsidR="00A60E1A" w:rsidRPr="009849CA" w:rsidRDefault="00DB7DAD"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8</w:t>
      </w:r>
      <w:r w:rsidR="00A60E1A" w:rsidRPr="009849CA">
        <w:rPr>
          <w:rFonts w:ascii="Arial" w:hAnsi="Arial" w:cs="Arial"/>
          <w:b/>
          <w:bCs/>
          <w:sz w:val="20"/>
          <w:szCs w:val="20"/>
        </w:rPr>
        <w:t xml:space="preserve"> Folding Endurance</w:t>
      </w:r>
    </w:p>
    <w:p w14:paraId="4F2E1890" w14:textId="5CE7796E"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Folding endurance ranged from 96 to 321. F1 showed the highest value (321 folds), indicative of superior flexibility and mechanical stability. F2 also showed good endurance (260), whereas F3 had poor folding capacity (96), making it unsuitable for repetitive handling.</w:t>
      </w:r>
    </w:p>
    <w:p w14:paraId="2CB0F0D0" w14:textId="35E91761" w:rsidR="00A60E1A" w:rsidRPr="009849CA" w:rsidRDefault="00DB7DAD"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9</w:t>
      </w:r>
      <w:r w:rsidR="00A60E1A" w:rsidRPr="009849CA">
        <w:rPr>
          <w:rFonts w:ascii="Arial" w:hAnsi="Arial" w:cs="Arial"/>
          <w:b/>
          <w:bCs/>
          <w:sz w:val="20"/>
          <w:szCs w:val="20"/>
        </w:rPr>
        <w:t xml:space="preserve"> Tensile Strength</w:t>
      </w:r>
    </w:p>
    <w:p w14:paraId="2B58CD12" w14:textId="77C7A75A" w:rsidR="00E4043F"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Tensile strength values ranged from 2.00–2.97 kg. F1 showed the highest tensile strength (2.97 kg), attributed to PVA's elasticity and agar's rigidity. Strong tensile properties also ensure ease of handling and application without tearing.</w:t>
      </w:r>
    </w:p>
    <w:p w14:paraId="0FB429DA" w14:textId="5522991D" w:rsidR="00A60E1A" w:rsidRPr="009849CA" w:rsidRDefault="00DB7DAD"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.1</w:t>
      </w:r>
      <w:r w:rsidR="00E4043F" w:rsidRPr="009849CA">
        <w:rPr>
          <w:rFonts w:ascii="Arial" w:hAnsi="Arial" w:cs="Arial"/>
          <w:b/>
          <w:bCs/>
          <w:sz w:val="20"/>
          <w:szCs w:val="20"/>
        </w:rPr>
        <w:t>0</w:t>
      </w:r>
      <w:r w:rsidR="00A60E1A" w:rsidRPr="009849CA">
        <w:rPr>
          <w:rFonts w:ascii="Arial" w:hAnsi="Arial" w:cs="Arial"/>
          <w:b/>
          <w:bCs/>
          <w:sz w:val="20"/>
          <w:szCs w:val="20"/>
        </w:rPr>
        <w:t xml:space="preserve"> Drug Content</w:t>
      </w:r>
    </w:p>
    <w:p w14:paraId="0DB65475" w14:textId="0E779B4D"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Drug content uniformity ranged between 85.10% and 89.12%. All formulations remained within acceptable pharmaceutical limits, indicating homogeneous dispersion of α-arbutin in the hydrogels. F3 showed the highest drug content but weaker mechanical properties.</w:t>
      </w:r>
    </w:p>
    <w:p w14:paraId="00D6526F" w14:textId="74D731AB" w:rsidR="00A60E1A" w:rsidRPr="009849CA" w:rsidRDefault="00A60E1A" w:rsidP="009849CA">
      <w:pPr>
        <w:pStyle w:val="ListParagraph"/>
        <w:numPr>
          <w:ilvl w:val="1"/>
          <w:numId w:val="5"/>
        </w:numPr>
        <w:spacing w:before="240" w:line="240" w:lineRule="auto"/>
        <w:jc w:val="both"/>
        <w:rPr>
          <w:rFonts w:ascii="Arial" w:hAnsi="Arial" w:cs="Arial"/>
          <w:b/>
          <w:bCs/>
          <w:sz w:val="20"/>
          <w:szCs w:val="20"/>
        </w:rPr>
      </w:pPr>
      <w:r w:rsidRPr="00AF4AC4">
        <w:rPr>
          <w:rFonts w:ascii="Arial" w:hAnsi="Arial" w:cs="Arial"/>
          <w:b/>
          <w:bCs/>
          <w:i/>
          <w:iCs/>
          <w:sz w:val="20"/>
          <w:szCs w:val="20"/>
          <w:highlight w:val="yellow"/>
        </w:rPr>
        <w:t>In Vitro</w:t>
      </w:r>
      <w:r w:rsidRPr="009849CA">
        <w:rPr>
          <w:rFonts w:ascii="Arial" w:hAnsi="Arial" w:cs="Arial"/>
          <w:b/>
          <w:bCs/>
          <w:sz w:val="20"/>
          <w:szCs w:val="20"/>
        </w:rPr>
        <w:t xml:space="preserve"> Drug Release</w:t>
      </w:r>
    </w:p>
    <w:p w14:paraId="309266B7" w14:textId="416C11DE" w:rsidR="00A60E1A" w:rsidRPr="009849CA" w:rsidRDefault="00A60E1A" w:rsidP="009849CA">
      <w:pPr>
        <w:spacing w:before="240" w:line="240" w:lineRule="auto"/>
        <w:ind w:firstLine="360"/>
        <w:jc w:val="both"/>
        <w:rPr>
          <w:rFonts w:ascii="Arial" w:hAnsi="Arial" w:cs="Arial"/>
          <w:sz w:val="20"/>
          <w:szCs w:val="20"/>
        </w:rPr>
      </w:pPr>
      <w:r w:rsidRPr="00AF4AC4">
        <w:rPr>
          <w:rFonts w:ascii="Arial" w:hAnsi="Arial" w:cs="Arial"/>
          <w:i/>
          <w:iCs/>
          <w:sz w:val="20"/>
          <w:szCs w:val="20"/>
          <w:highlight w:val="yellow"/>
        </w:rPr>
        <w:t>In vitro</w:t>
      </w:r>
      <w:r w:rsidRPr="009849CA">
        <w:rPr>
          <w:rFonts w:ascii="Arial" w:hAnsi="Arial" w:cs="Arial"/>
          <w:sz w:val="20"/>
          <w:szCs w:val="20"/>
        </w:rPr>
        <w:t xml:space="preserve"> release </w:t>
      </w:r>
      <w:r w:rsidR="00CF41F4" w:rsidRPr="009849CA">
        <w:rPr>
          <w:rFonts w:ascii="Arial" w:hAnsi="Arial" w:cs="Arial"/>
          <w:sz w:val="20"/>
          <w:szCs w:val="20"/>
        </w:rPr>
        <w:t xml:space="preserve">studies for 90 minutes </w:t>
      </w:r>
      <w:r w:rsidRPr="009849CA">
        <w:rPr>
          <w:rFonts w:ascii="Arial" w:hAnsi="Arial" w:cs="Arial"/>
          <w:sz w:val="20"/>
          <w:szCs w:val="20"/>
        </w:rPr>
        <w:t xml:space="preserve">(Fig. </w:t>
      </w:r>
      <w:r w:rsidR="00467B46" w:rsidRPr="009849CA">
        <w:rPr>
          <w:rFonts w:ascii="Arial" w:hAnsi="Arial" w:cs="Arial"/>
          <w:sz w:val="20"/>
          <w:szCs w:val="20"/>
        </w:rPr>
        <w:t>7</w:t>
      </w:r>
      <w:r w:rsidRPr="009849CA">
        <w:rPr>
          <w:rFonts w:ascii="Arial" w:hAnsi="Arial" w:cs="Arial"/>
          <w:sz w:val="20"/>
          <w:szCs w:val="20"/>
        </w:rPr>
        <w:t>) revealed that</w:t>
      </w:r>
      <w:r w:rsidR="00CF41F4" w:rsidRPr="009849CA">
        <w:rPr>
          <w:rFonts w:ascii="Arial" w:hAnsi="Arial" w:cs="Arial"/>
          <w:sz w:val="20"/>
          <w:szCs w:val="20"/>
        </w:rPr>
        <w:t xml:space="preserve"> </w:t>
      </w:r>
      <w:r w:rsidRPr="009849CA">
        <w:rPr>
          <w:rFonts w:ascii="Arial" w:hAnsi="Arial" w:cs="Arial"/>
          <w:sz w:val="20"/>
          <w:szCs w:val="20"/>
        </w:rPr>
        <w:t>F1 exhibited the highest cumulative drug release 95</w:t>
      </w:r>
      <w:r w:rsidR="00C25D3B" w:rsidRPr="009849CA">
        <w:rPr>
          <w:rFonts w:ascii="Arial" w:hAnsi="Arial" w:cs="Arial"/>
          <w:sz w:val="20"/>
          <w:szCs w:val="20"/>
        </w:rPr>
        <w:t>.72</w:t>
      </w:r>
      <w:r w:rsidRPr="009849CA">
        <w:rPr>
          <w:rFonts w:ascii="Arial" w:hAnsi="Arial" w:cs="Arial"/>
          <w:sz w:val="20"/>
          <w:szCs w:val="20"/>
        </w:rPr>
        <w:t>%</w:t>
      </w:r>
      <w:r w:rsidR="00CF41F4" w:rsidRPr="009849CA">
        <w:rPr>
          <w:rFonts w:ascii="Arial" w:hAnsi="Arial" w:cs="Arial"/>
          <w:sz w:val="20"/>
          <w:szCs w:val="20"/>
        </w:rPr>
        <w:t xml:space="preserve">, </w:t>
      </w:r>
      <w:r w:rsidRPr="009849CA">
        <w:rPr>
          <w:rFonts w:ascii="Arial" w:hAnsi="Arial" w:cs="Arial"/>
          <w:sz w:val="20"/>
          <w:szCs w:val="20"/>
        </w:rPr>
        <w:t>F2 released about 7</w:t>
      </w:r>
      <w:r w:rsidR="00C25D3B" w:rsidRPr="009849CA">
        <w:rPr>
          <w:rFonts w:ascii="Arial" w:hAnsi="Arial" w:cs="Arial"/>
          <w:sz w:val="20"/>
          <w:szCs w:val="20"/>
        </w:rPr>
        <w:t>0.61</w:t>
      </w:r>
      <w:r w:rsidRPr="009849CA">
        <w:rPr>
          <w:rFonts w:ascii="Arial" w:hAnsi="Arial" w:cs="Arial"/>
          <w:sz w:val="20"/>
          <w:szCs w:val="20"/>
        </w:rPr>
        <w:t>% of the drug</w:t>
      </w:r>
      <w:r w:rsidR="00CF41F4" w:rsidRPr="009849CA">
        <w:rPr>
          <w:rFonts w:ascii="Arial" w:hAnsi="Arial" w:cs="Arial"/>
          <w:sz w:val="20"/>
          <w:szCs w:val="20"/>
        </w:rPr>
        <w:t xml:space="preserve">, </w:t>
      </w:r>
      <w:r w:rsidRPr="009849CA">
        <w:rPr>
          <w:rFonts w:ascii="Arial" w:hAnsi="Arial" w:cs="Arial"/>
          <w:sz w:val="20"/>
          <w:szCs w:val="20"/>
        </w:rPr>
        <w:t xml:space="preserve">F3 released about </w:t>
      </w:r>
      <w:r w:rsidR="00C25D3B" w:rsidRPr="009849CA">
        <w:rPr>
          <w:rFonts w:ascii="Arial" w:hAnsi="Arial" w:cs="Arial"/>
          <w:sz w:val="20"/>
          <w:szCs w:val="20"/>
        </w:rPr>
        <w:t>69.89</w:t>
      </w:r>
      <w:r w:rsidRPr="009849CA">
        <w:rPr>
          <w:rFonts w:ascii="Arial" w:hAnsi="Arial" w:cs="Arial"/>
          <w:sz w:val="20"/>
          <w:szCs w:val="20"/>
        </w:rPr>
        <w:t>% of the drug.</w:t>
      </w:r>
      <w:r w:rsidR="009849CA">
        <w:rPr>
          <w:rFonts w:ascii="Arial" w:hAnsi="Arial" w:cs="Arial"/>
          <w:sz w:val="20"/>
          <w:szCs w:val="20"/>
        </w:rPr>
        <w:t xml:space="preserve"> </w:t>
      </w:r>
      <w:r w:rsidRPr="009849CA">
        <w:rPr>
          <w:rFonts w:ascii="Arial" w:hAnsi="Arial" w:cs="Arial"/>
          <w:sz w:val="20"/>
          <w:szCs w:val="20"/>
        </w:rPr>
        <w:t>The faster release from F1 is attributed to its optimal swelling capacity, uniform thickness, and efficient polymer-drug compatibility. The network formed by PVA and agar allowed controlled hydration and enhanced diffusion of α-arbutin.</w:t>
      </w:r>
    </w:p>
    <w:p w14:paraId="153E4100" w14:textId="4DB8DF45" w:rsidR="002D4936" w:rsidRDefault="00C25D3B" w:rsidP="00A60E1A">
      <w:pPr>
        <w:spacing w:before="240" w:line="480" w:lineRule="auto"/>
        <w:ind w:firstLine="720"/>
        <w:jc w:val="both"/>
        <w:rPr>
          <w:rFonts w:ascii="Times New Roman" w:hAnsi="Times New Roman" w:cs="Times New Roman"/>
        </w:rPr>
      </w:pPr>
      <w:r>
        <w:rPr>
          <w:noProof/>
        </w:rPr>
        <w:lastRenderedPageBreak/>
        <w:drawing>
          <wp:inline distT="0" distB="0" distL="0" distR="0" wp14:anchorId="485A4763" wp14:editId="101D8555">
            <wp:extent cx="5396345" cy="2784475"/>
            <wp:effectExtent l="0" t="0" r="13970" b="15875"/>
            <wp:docPr id="2112083766" name="Chart 1">
              <a:extLst xmlns:a="http://schemas.openxmlformats.org/drawingml/2006/main">
                <a:ext uri="{FF2B5EF4-FFF2-40B4-BE49-F238E27FC236}">
                  <a16:creationId xmlns:a16="http://schemas.microsoft.com/office/drawing/2014/main" id="{CB2A2E9E-2F22-A77C-5B22-D317EB8E7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7BCC73" w14:textId="5EEA2E49" w:rsidR="00C25D3B" w:rsidRPr="009849CA" w:rsidRDefault="00C25D3B" w:rsidP="009849CA">
      <w:pPr>
        <w:spacing w:line="240" w:lineRule="auto"/>
        <w:rPr>
          <w:rFonts w:ascii="Arial" w:hAnsi="Arial" w:cs="Arial"/>
          <w:sz w:val="20"/>
          <w:szCs w:val="20"/>
        </w:rPr>
      </w:pPr>
      <w:r w:rsidRPr="009849CA">
        <w:rPr>
          <w:rFonts w:ascii="Arial" w:hAnsi="Arial" w:cs="Arial"/>
          <w:sz w:val="20"/>
          <w:szCs w:val="20"/>
        </w:rPr>
        <w:t xml:space="preserve">                           </w:t>
      </w:r>
      <w:r w:rsidRPr="009849CA">
        <w:rPr>
          <w:rFonts w:ascii="Arial" w:hAnsi="Arial" w:cs="Arial"/>
          <w:b/>
          <w:bCs/>
          <w:sz w:val="20"/>
          <w:szCs w:val="20"/>
        </w:rPr>
        <w:t xml:space="preserve"> Fig </w:t>
      </w:r>
      <w:r w:rsidR="00467B46" w:rsidRPr="009849CA">
        <w:rPr>
          <w:rFonts w:ascii="Arial" w:hAnsi="Arial" w:cs="Arial"/>
          <w:b/>
          <w:bCs/>
          <w:sz w:val="20"/>
          <w:szCs w:val="20"/>
        </w:rPr>
        <w:t>7</w:t>
      </w:r>
      <w:r w:rsidRPr="009849CA">
        <w:rPr>
          <w:rFonts w:ascii="Arial" w:hAnsi="Arial" w:cs="Arial"/>
          <w:b/>
          <w:bCs/>
          <w:sz w:val="20"/>
          <w:szCs w:val="20"/>
        </w:rPr>
        <w:t xml:space="preserve">: Evaluation of </w:t>
      </w:r>
      <w:r w:rsidRPr="009849CA">
        <w:rPr>
          <w:rFonts w:ascii="Arial" w:hAnsi="Arial" w:cs="Arial"/>
          <w:b/>
          <w:i/>
          <w:sz w:val="20"/>
          <w:szCs w:val="20"/>
        </w:rPr>
        <w:t>In vitro</w:t>
      </w:r>
      <w:r w:rsidRPr="009849CA">
        <w:rPr>
          <w:rFonts w:ascii="Arial" w:hAnsi="Arial" w:cs="Arial"/>
          <w:b/>
          <w:sz w:val="20"/>
          <w:szCs w:val="20"/>
        </w:rPr>
        <w:t xml:space="preserve"> drug release of Hydrogel patches</w:t>
      </w:r>
    </w:p>
    <w:p w14:paraId="40AFF564" w14:textId="3AA143B6" w:rsidR="00A60E1A" w:rsidRPr="009849CA" w:rsidRDefault="00E4043F"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.1</w:t>
      </w:r>
      <w:r w:rsidRPr="009849CA">
        <w:rPr>
          <w:rFonts w:ascii="Arial" w:hAnsi="Arial" w:cs="Arial"/>
          <w:b/>
          <w:bCs/>
          <w:sz w:val="20"/>
          <w:szCs w:val="20"/>
        </w:rPr>
        <w:t>2</w:t>
      </w:r>
      <w:r w:rsidR="00A60E1A" w:rsidRPr="009849CA">
        <w:rPr>
          <w:rFonts w:ascii="Arial" w:hAnsi="Arial" w:cs="Arial"/>
          <w:b/>
          <w:bCs/>
          <w:sz w:val="20"/>
          <w:szCs w:val="20"/>
        </w:rPr>
        <w:t xml:space="preserve"> Antioxidant Activity</w:t>
      </w:r>
    </w:p>
    <w:p w14:paraId="3965CEED" w14:textId="32744508"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 xml:space="preserve">Antioxidant studies comparing α-arbutin, the hydrogel patch, and ascorbic acid (standard) demonstrated that the hydrogel patch retained significant antioxidant </w:t>
      </w:r>
      <w:proofErr w:type="gramStart"/>
      <w:r w:rsidRPr="009849CA">
        <w:rPr>
          <w:rFonts w:ascii="Arial" w:hAnsi="Arial" w:cs="Arial"/>
          <w:sz w:val="20"/>
          <w:szCs w:val="20"/>
        </w:rPr>
        <w:t>activity</w:t>
      </w:r>
      <w:r w:rsidR="00D448E8">
        <w:rPr>
          <w:rFonts w:ascii="Arial" w:hAnsi="Arial" w:cs="Arial"/>
          <w:sz w:val="20"/>
          <w:szCs w:val="20"/>
        </w:rPr>
        <w:t xml:space="preserve"> </w:t>
      </w:r>
      <w:r w:rsidRPr="009849CA">
        <w:rPr>
          <w:rFonts w:ascii="Arial" w:hAnsi="Arial" w:cs="Arial"/>
          <w:sz w:val="20"/>
          <w:szCs w:val="20"/>
        </w:rPr>
        <w:t xml:space="preserve"> (</w:t>
      </w:r>
      <w:proofErr w:type="gramEnd"/>
      <w:r w:rsidRPr="009849CA">
        <w:rPr>
          <w:rFonts w:ascii="Arial" w:hAnsi="Arial" w:cs="Arial"/>
          <w:sz w:val="20"/>
          <w:szCs w:val="20"/>
        </w:rPr>
        <w:t xml:space="preserve">Fig. </w:t>
      </w:r>
      <w:r w:rsidR="00C65C4B" w:rsidRPr="009849CA">
        <w:rPr>
          <w:rFonts w:ascii="Arial" w:hAnsi="Arial" w:cs="Arial"/>
          <w:sz w:val="20"/>
          <w:szCs w:val="20"/>
        </w:rPr>
        <w:t>8</w:t>
      </w:r>
      <w:r w:rsidRPr="009849CA">
        <w:rPr>
          <w:rFonts w:ascii="Arial" w:hAnsi="Arial" w:cs="Arial"/>
          <w:sz w:val="20"/>
          <w:szCs w:val="20"/>
        </w:rPr>
        <w:t xml:space="preserve">). </w:t>
      </w:r>
      <w:r w:rsidR="00D448E8" w:rsidRPr="00AF4AC4">
        <w:rPr>
          <w:rFonts w:ascii="Arial" w:hAnsi="Arial" w:cs="Arial"/>
          <w:sz w:val="20"/>
          <w:szCs w:val="20"/>
          <w:highlight w:val="yellow"/>
        </w:rPr>
        <w:t xml:space="preserve">Ascorbic acid was having IC50 of 44.46µg/ml, </w:t>
      </w:r>
      <w:r w:rsidR="00D448E8" w:rsidRPr="00AF4AC4">
        <w:rPr>
          <w:rFonts w:ascii="Arial" w:hAnsi="Arial" w:cs="Arial"/>
          <w:sz w:val="20"/>
          <w:szCs w:val="20"/>
          <w:highlight w:val="yellow"/>
          <w:lang w:val="en-GB"/>
        </w:rPr>
        <w:t>α-arbutin</w:t>
      </w:r>
      <w:r w:rsidR="00D448E8" w:rsidRPr="00AF4AC4">
        <w:rPr>
          <w:rFonts w:ascii="Arial" w:hAnsi="Arial" w:cs="Arial"/>
          <w:b/>
          <w:bCs/>
          <w:sz w:val="20"/>
          <w:szCs w:val="20"/>
          <w:highlight w:val="yellow"/>
          <w:lang w:val="en-GB"/>
        </w:rPr>
        <w:t xml:space="preserve"> </w:t>
      </w:r>
      <w:r w:rsidR="00D448E8" w:rsidRPr="00AF4AC4">
        <w:rPr>
          <w:rFonts w:ascii="Arial" w:hAnsi="Arial" w:cs="Arial"/>
          <w:sz w:val="20"/>
          <w:szCs w:val="20"/>
          <w:highlight w:val="yellow"/>
          <w:lang w:val="en-GB"/>
        </w:rPr>
        <w:t>57.36</w:t>
      </w:r>
      <w:r w:rsidR="00D448E8" w:rsidRPr="00AF4AC4">
        <w:rPr>
          <w:rFonts w:ascii="Arial" w:hAnsi="Arial" w:cs="Arial"/>
          <w:sz w:val="20"/>
          <w:szCs w:val="20"/>
          <w:highlight w:val="yellow"/>
        </w:rPr>
        <w:t xml:space="preserve"> µg/ml </w:t>
      </w:r>
      <w:proofErr w:type="spellStart"/>
      <w:r w:rsidR="00D448E8" w:rsidRPr="00AF4AC4">
        <w:rPr>
          <w:rFonts w:ascii="Arial" w:hAnsi="Arial" w:cs="Arial"/>
          <w:sz w:val="20"/>
          <w:szCs w:val="20"/>
          <w:highlight w:val="yellow"/>
        </w:rPr>
        <w:t>where as</w:t>
      </w:r>
      <w:proofErr w:type="spellEnd"/>
      <w:r w:rsidR="00D448E8" w:rsidRPr="00AF4AC4">
        <w:rPr>
          <w:rFonts w:ascii="Arial" w:hAnsi="Arial" w:cs="Arial"/>
          <w:sz w:val="20"/>
          <w:szCs w:val="20"/>
          <w:highlight w:val="yellow"/>
        </w:rPr>
        <w:t xml:space="preserve"> hydrogel patch was having IC50 value of 51.005 µg/ml.</w:t>
      </w:r>
      <w:r w:rsidR="00D448E8">
        <w:rPr>
          <w:b/>
          <w:bCs/>
          <w:sz w:val="20"/>
          <w:szCs w:val="20"/>
          <w:lang w:val="en-GB"/>
        </w:rPr>
        <w:t xml:space="preserve"> </w:t>
      </w:r>
      <w:r w:rsidRPr="009849CA">
        <w:rPr>
          <w:rFonts w:ascii="Arial" w:hAnsi="Arial" w:cs="Arial"/>
          <w:sz w:val="20"/>
          <w:szCs w:val="20"/>
        </w:rPr>
        <w:t>This may be due to the stabilizing effect of the polymer matrix on α-arbutin and the synergistic presence of ascorbic acid. Such activity supports the patch’s potential for reducing oxidative stress and pigmentation around the eyes.</w:t>
      </w:r>
    </w:p>
    <w:p w14:paraId="6DA0F2E7" w14:textId="52E9536F" w:rsidR="00F82E94" w:rsidRDefault="000F0E8B" w:rsidP="00B872AB">
      <w:pPr>
        <w:jc w:val="both"/>
        <w:rPr>
          <w:rFonts w:ascii="Times New Roman" w:hAnsi="Times New Roman" w:cs="Times New Roman"/>
        </w:rPr>
      </w:pPr>
      <w:r>
        <w:rPr>
          <w:noProof/>
        </w:rPr>
        <w:drawing>
          <wp:anchor distT="0" distB="0" distL="114300" distR="114300" simplePos="0" relativeHeight="251726336" behindDoc="1" locked="0" layoutInCell="1" allowOverlap="1" wp14:anchorId="391AAF44" wp14:editId="19A4BC3E">
            <wp:simplePos x="0" y="0"/>
            <wp:positionH relativeFrom="column">
              <wp:posOffset>3102957</wp:posOffset>
            </wp:positionH>
            <wp:positionV relativeFrom="paragraph">
              <wp:posOffset>58</wp:posOffset>
            </wp:positionV>
            <wp:extent cx="2929890" cy="2050473"/>
            <wp:effectExtent l="0" t="0" r="3810" b="6985"/>
            <wp:wrapTight wrapText="bothSides">
              <wp:wrapPolygon edited="0">
                <wp:start x="0" y="0"/>
                <wp:lineTo x="0" y="21473"/>
                <wp:lineTo x="21488" y="21473"/>
                <wp:lineTo x="21488" y="0"/>
                <wp:lineTo x="0" y="0"/>
              </wp:wrapPolygon>
            </wp:wrapTight>
            <wp:docPr id="2000630505" name="Chart 1">
              <a:extLst xmlns:a="http://schemas.openxmlformats.org/drawingml/2006/main">
                <a:ext uri="{FF2B5EF4-FFF2-40B4-BE49-F238E27FC236}">
                  <a16:creationId xmlns:a16="http://schemas.microsoft.com/office/drawing/2014/main" id="{48A598D3-0341-462A-99E9-9EFAD68F9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w:drawing>
          <wp:inline distT="0" distB="0" distL="0" distR="0" wp14:anchorId="3A8996D1" wp14:editId="5FD64919">
            <wp:extent cx="2929890" cy="2043430"/>
            <wp:effectExtent l="0" t="0" r="3810" b="13970"/>
            <wp:docPr id="2095492637" name="Chart 1">
              <a:extLst xmlns:a="http://schemas.openxmlformats.org/drawingml/2006/main">
                <a:ext uri="{FF2B5EF4-FFF2-40B4-BE49-F238E27FC236}">
                  <a16:creationId xmlns:a16="http://schemas.microsoft.com/office/drawing/2014/main" id="{7AB5A1CA-D5C3-49B2-9264-235D1EE0A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DAD644" w14:textId="5F36C325" w:rsidR="000F0E8B" w:rsidRDefault="000F0E8B" w:rsidP="00B872AB">
      <w:pPr>
        <w:jc w:val="both"/>
        <w:rPr>
          <w:rFonts w:ascii="Times New Roman" w:hAnsi="Times New Roman" w:cs="Times New Roman"/>
        </w:rPr>
      </w:pPr>
    </w:p>
    <w:p w14:paraId="0EA07DE5" w14:textId="1E3B7708" w:rsidR="000F0E8B" w:rsidRDefault="000F0E8B" w:rsidP="000F0E8B">
      <w:pPr>
        <w:jc w:val="center"/>
        <w:rPr>
          <w:rFonts w:ascii="Times New Roman" w:hAnsi="Times New Roman" w:cs="Times New Roman"/>
        </w:rPr>
      </w:pPr>
      <w:r>
        <w:rPr>
          <w:noProof/>
        </w:rPr>
        <w:lastRenderedPageBreak/>
        <w:drawing>
          <wp:inline distT="0" distB="0" distL="0" distR="0" wp14:anchorId="6A523D8E" wp14:editId="6344ED2D">
            <wp:extent cx="2957830" cy="2195946"/>
            <wp:effectExtent l="0" t="0" r="13970" b="13970"/>
            <wp:docPr id="1298043742" name="Chart 1">
              <a:extLst xmlns:a="http://schemas.openxmlformats.org/drawingml/2006/main">
                <a:ext uri="{FF2B5EF4-FFF2-40B4-BE49-F238E27FC236}">
                  <a16:creationId xmlns:a16="http://schemas.microsoft.com/office/drawing/2014/main" id="{9C9EED3B-32F9-4A64-A0EC-EC3FDFB12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51ADDD" w14:textId="35BD9F80" w:rsidR="00FE5ED2" w:rsidRPr="009849CA" w:rsidRDefault="00467B46" w:rsidP="00467B46">
      <w:pPr>
        <w:spacing w:line="480" w:lineRule="auto"/>
        <w:jc w:val="center"/>
        <w:rPr>
          <w:rFonts w:ascii="Arial" w:hAnsi="Arial" w:cs="Arial"/>
          <w:b/>
          <w:bCs/>
          <w:sz w:val="20"/>
          <w:szCs w:val="20"/>
        </w:rPr>
      </w:pPr>
      <w:r w:rsidRPr="009849CA">
        <w:rPr>
          <w:rFonts w:ascii="Arial" w:hAnsi="Arial" w:cs="Arial"/>
          <w:b/>
          <w:bCs/>
          <w:sz w:val="20"/>
          <w:szCs w:val="20"/>
        </w:rPr>
        <w:t>Fig 8: Anti-oxidant activity of Ascorbic acid, α-arbutin and Hydrogel patch</w:t>
      </w:r>
    </w:p>
    <w:p w14:paraId="49ECA770" w14:textId="112AD087" w:rsidR="00FE5ED2" w:rsidRPr="009849CA" w:rsidRDefault="006B7F54" w:rsidP="009849CA">
      <w:pPr>
        <w:spacing w:line="240" w:lineRule="auto"/>
        <w:jc w:val="both"/>
        <w:rPr>
          <w:rFonts w:ascii="Arial" w:hAnsi="Arial" w:cs="Arial"/>
          <w:b/>
          <w:bCs/>
          <w:sz w:val="22"/>
          <w:szCs w:val="22"/>
        </w:rPr>
      </w:pPr>
      <w:r w:rsidRPr="009849CA">
        <w:rPr>
          <w:rFonts w:ascii="Arial" w:hAnsi="Arial" w:cs="Arial"/>
          <w:b/>
          <w:bCs/>
          <w:sz w:val="22"/>
          <w:szCs w:val="22"/>
        </w:rPr>
        <w:t>4</w:t>
      </w:r>
      <w:r w:rsidR="00FE5ED2" w:rsidRPr="009849CA">
        <w:rPr>
          <w:rFonts w:ascii="Arial" w:hAnsi="Arial" w:cs="Arial"/>
          <w:b/>
          <w:bCs/>
          <w:sz w:val="22"/>
          <w:szCs w:val="22"/>
        </w:rPr>
        <w:t>. CONCLUSION</w:t>
      </w:r>
    </w:p>
    <w:p w14:paraId="16E042BD" w14:textId="77777777" w:rsidR="00FE5ED2" w:rsidRPr="009849CA" w:rsidRDefault="00FE5ED2" w:rsidP="009849CA">
      <w:pPr>
        <w:spacing w:line="240" w:lineRule="auto"/>
        <w:ind w:firstLine="720"/>
        <w:jc w:val="both"/>
        <w:rPr>
          <w:rFonts w:ascii="Arial" w:hAnsi="Arial" w:cs="Arial"/>
          <w:sz w:val="20"/>
          <w:szCs w:val="20"/>
        </w:rPr>
      </w:pPr>
      <w:r w:rsidRPr="009849CA">
        <w:rPr>
          <w:rFonts w:ascii="Arial" w:hAnsi="Arial" w:cs="Arial"/>
          <w:sz w:val="20"/>
          <w:szCs w:val="20"/>
        </w:rPr>
        <w:t xml:space="preserve">In the present study, periorbital depigmenting hydrogel patches containing α-arbutin, ascorbic acid and vitamin E were successfully formulated using different polymeric combinations of PVA, agar, </w:t>
      </w:r>
      <w:proofErr w:type="spellStart"/>
      <w:r w:rsidRPr="009849CA">
        <w:rPr>
          <w:rFonts w:ascii="Arial" w:hAnsi="Arial" w:cs="Arial"/>
          <w:sz w:val="20"/>
          <w:szCs w:val="20"/>
        </w:rPr>
        <w:t>gelatin</w:t>
      </w:r>
      <w:proofErr w:type="spellEnd"/>
      <w:r w:rsidRPr="009849CA">
        <w:rPr>
          <w:rFonts w:ascii="Arial" w:hAnsi="Arial" w:cs="Arial"/>
          <w:sz w:val="20"/>
          <w:szCs w:val="20"/>
        </w:rPr>
        <w:t xml:space="preserve"> and pectin. FTIR analysis confirmed the absence of chemical interactions between the drug and excipients, indicating good compatibility and stability of the formulations. All prepared patches were evaluated for their physicochemical, mechanical, and performance characteristics.</w:t>
      </w:r>
    </w:p>
    <w:p w14:paraId="346D1857" w14:textId="650DF39A" w:rsidR="00FE5ED2" w:rsidRPr="009849CA" w:rsidRDefault="00FE5ED2" w:rsidP="009849CA">
      <w:pPr>
        <w:spacing w:line="240" w:lineRule="auto"/>
        <w:jc w:val="both"/>
        <w:rPr>
          <w:rFonts w:ascii="Arial" w:hAnsi="Arial" w:cs="Arial"/>
          <w:sz w:val="20"/>
          <w:szCs w:val="20"/>
        </w:rPr>
      </w:pPr>
      <w:r w:rsidRPr="009849CA">
        <w:rPr>
          <w:rFonts w:ascii="Arial" w:hAnsi="Arial" w:cs="Arial"/>
          <w:sz w:val="20"/>
          <w:szCs w:val="20"/>
        </w:rPr>
        <w:t>Among the developed formulations, F1 (PVA–</w:t>
      </w:r>
      <w:r w:rsidR="00D95375" w:rsidRPr="009849CA">
        <w:rPr>
          <w:rFonts w:ascii="Arial" w:hAnsi="Arial" w:cs="Arial"/>
          <w:sz w:val="20"/>
          <w:szCs w:val="20"/>
        </w:rPr>
        <w:t>agar-based</w:t>
      </w:r>
      <w:r w:rsidRPr="009849CA">
        <w:rPr>
          <w:rFonts w:ascii="Arial" w:hAnsi="Arial" w:cs="Arial"/>
          <w:sz w:val="20"/>
          <w:szCs w:val="20"/>
        </w:rPr>
        <w:t xml:space="preserve"> patch) exhibited the most desirable properties, including acceptable pH (6–7), uniform thickness, superior tensile strength, high folding endurance, optimum swelling </w:t>
      </w:r>
      <w:r w:rsidR="00EA6DAB" w:rsidRPr="009849CA">
        <w:rPr>
          <w:rFonts w:ascii="Arial" w:hAnsi="Arial" w:cs="Arial"/>
          <w:sz w:val="20"/>
          <w:szCs w:val="20"/>
        </w:rPr>
        <w:t>behaviour</w:t>
      </w:r>
      <w:r w:rsidRPr="009849CA">
        <w:rPr>
          <w:rFonts w:ascii="Arial" w:hAnsi="Arial" w:cs="Arial"/>
          <w:sz w:val="20"/>
          <w:szCs w:val="20"/>
        </w:rPr>
        <w:t xml:space="preserve">, and enhanced drug release. The patch also demonstrated good aesthetic appeal and flexibility, making it suitable for application on the delicate under-eye region. Storage of the patches in a </w:t>
      </w:r>
      <w:proofErr w:type="spellStart"/>
      <w:r w:rsidRPr="009849CA">
        <w:rPr>
          <w:rFonts w:ascii="Arial" w:hAnsi="Arial" w:cs="Arial"/>
          <w:sz w:val="20"/>
          <w:szCs w:val="20"/>
        </w:rPr>
        <w:t>glycerin</w:t>
      </w:r>
      <w:proofErr w:type="spellEnd"/>
      <w:r w:rsidRPr="009849CA">
        <w:rPr>
          <w:rFonts w:ascii="Arial" w:hAnsi="Arial" w:cs="Arial"/>
          <w:sz w:val="20"/>
          <w:szCs w:val="20"/>
        </w:rPr>
        <w:t>-based serum ensured adequate hydration and maintained their integrity throughout handling.</w:t>
      </w:r>
    </w:p>
    <w:p w14:paraId="584B869D" w14:textId="77777777" w:rsidR="00FE5ED2" w:rsidRDefault="00FE5ED2" w:rsidP="009849CA">
      <w:pPr>
        <w:spacing w:line="240" w:lineRule="auto"/>
        <w:jc w:val="both"/>
        <w:rPr>
          <w:rFonts w:ascii="Arial" w:hAnsi="Arial" w:cs="Arial"/>
          <w:sz w:val="20"/>
          <w:szCs w:val="20"/>
        </w:rPr>
      </w:pPr>
      <w:r w:rsidRPr="009849CA">
        <w:rPr>
          <w:rFonts w:ascii="Arial" w:hAnsi="Arial" w:cs="Arial"/>
          <w:sz w:val="20"/>
          <w:szCs w:val="20"/>
        </w:rPr>
        <w:t>Overall, the findings indicate that the formulated hydrogel patches are stable, non-irritant, and efficient carriers for the topical delivery of α-arbutin. The study supports the potential use of such hydrogel-based systems as an effective, convenient, and cosmetically acceptable alternative to conventional topical depigmenting formulations for periorbital hyperpigmentation.</w:t>
      </w:r>
    </w:p>
    <w:p w14:paraId="1597894A" w14:textId="77777777" w:rsidR="00DF64D7" w:rsidRDefault="00DF64D7" w:rsidP="009849CA">
      <w:pPr>
        <w:spacing w:line="240" w:lineRule="auto"/>
        <w:jc w:val="both"/>
        <w:rPr>
          <w:rFonts w:ascii="Arial" w:hAnsi="Arial" w:cs="Arial"/>
          <w:sz w:val="20"/>
          <w:szCs w:val="20"/>
        </w:rPr>
      </w:pPr>
    </w:p>
    <w:p w14:paraId="3AC9D4D7" w14:textId="77777777" w:rsidR="00DF64D7" w:rsidRPr="00DF64D7" w:rsidRDefault="00DF64D7" w:rsidP="00DF64D7">
      <w:pPr>
        <w:spacing w:line="240" w:lineRule="auto"/>
        <w:jc w:val="both"/>
        <w:rPr>
          <w:rFonts w:ascii="Arial" w:hAnsi="Arial" w:cs="Arial"/>
          <w:sz w:val="20"/>
          <w:szCs w:val="20"/>
        </w:rPr>
      </w:pPr>
      <w:r w:rsidRPr="00DF64D7">
        <w:rPr>
          <w:rFonts w:ascii="Arial" w:hAnsi="Arial" w:cs="Arial"/>
          <w:sz w:val="20"/>
          <w:szCs w:val="20"/>
        </w:rPr>
        <w:t>COMPETING INTERESTS DISCLAIMER:</w:t>
      </w:r>
    </w:p>
    <w:p w14:paraId="50BBF60E" w14:textId="664833BB" w:rsidR="00DF64D7" w:rsidRDefault="00DF64D7" w:rsidP="00DF64D7">
      <w:pPr>
        <w:spacing w:line="240" w:lineRule="auto"/>
        <w:jc w:val="both"/>
        <w:rPr>
          <w:rFonts w:ascii="Arial" w:hAnsi="Arial" w:cs="Arial"/>
          <w:sz w:val="20"/>
          <w:szCs w:val="20"/>
        </w:rPr>
      </w:pPr>
      <w:r w:rsidRPr="00DF64D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AF56904" w14:textId="33CAC7B9" w:rsidR="002C15A5" w:rsidRDefault="002C15A5" w:rsidP="00DF64D7">
      <w:pPr>
        <w:spacing w:line="240" w:lineRule="auto"/>
        <w:jc w:val="both"/>
        <w:rPr>
          <w:rFonts w:ascii="Arial" w:hAnsi="Arial" w:cs="Arial"/>
          <w:sz w:val="20"/>
          <w:szCs w:val="20"/>
        </w:rPr>
      </w:pPr>
    </w:p>
    <w:p w14:paraId="5566538D" w14:textId="77777777" w:rsidR="002C15A5" w:rsidRPr="009C5487" w:rsidRDefault="002C15A5" w:rsidP="002C15A5">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lang w:val="en-US"/>
        </w:rPr>
        <w:t>Disclaimer (Artificial intelligence)</w:t>
      </w:r>
    </w:p>
    <w:p w14:paraId="055CD50F" w14:textId="5790BB49" w:rsidR="002C15A5" w:rsidRPr="00AF4AC4" w:rsidRDefault="002C15A5" w:rsidP="00AF4AC4">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bookmarkEnd w:id="0"/>
      <w:bookmarkEnd w:id="1"/>
      <w:bookmarkEnd w:id="2"/>
      <w:bookmarkEnd w:id="3"/>
    </w:p>
    <w:p w14:paraId="7B395D7B" w14:textId="77777777" w:rsidR="00DF64D7" w:rsidRPr="009849CA" w:rsidRDefault="00DF64D7" w:rsidP="009849CA">
      <w:pPr>
        <w:spacing w:line="240" w:lineRule="auto"/>
        <w:jc w:val="both"/>
        <w:rPr>
          <w:rFonts w:ascii="Arial" w:hAnsi="Arial" w:cs="Arial"/>
          <w:sz w:val="20"/>
          <w:szCs w:val="20"/>
        </w:rPr>
      </w:pPr>
    </w:p>
    <w:p w14:paraId="55AD5D77" w14:textId="2696205A" w:rsidR="000F0E8B" w:rsidRPr="00EA6DAB" w:rsidRDefault="006B7F54" w:rsidP="000F0E8B">
      <w:pPr>
        <w:rPr>
          <w:rFonts w:ascii="Arial" w:hAnsi="Arial" w:cs="Arial"/>
          <w:b/>
          <w:bCs/>
          <w:sz w:val="22"/>
          <w:szCs w:val="22"/>
        </w:rPr>
      </w:pPr>
      <w:r w:rsidRPr="00EA6DAB">
        <w:rPr>
          <w:rFonts w:ascii="Arial" w:hAnsi="Arial" w:cs="Arial"/>
          <w:b/>
          <w:bCs/>
          <w:sz w:val="22"/>
          <w:szCs w:val="22"/>
        </w:rPr>
        <w:t>5</w:t>
      </w:r>
      <w:r w:rsidR="00AE0D45">
        <w:rPr>
          <w:rFonts w:ascii="Arial" w:hAnsi="Arial" w:cs="Arial"/>
          <w:b/>
          <w:bCs/>
          <w:sz w:val="22"/>
          <w:szCs w:val="22"/>
        </w:rPr>
        <w:t>.</w:t>
      </w:r>
      <w:r w:rsidRPr="00EA6DAB">
        <w:rPr>
          <w:rFonts w:ascii="Arial" w:hAnsi="Arial" w:cs="Arial"/>
          <w:b/>
          <w:bCs/>
          <w:sz w:val="22"/>
          <w:szCs w:val="22"/>
        </w:rPr>
        <w:t xml:space="preserve"> REFERENCE</w:t>
      </w:r>
    </w:p>
    <w:p w14:paraId="360D6394" w14:textId="6527506C" w:rsidR="0098398D" w:rsidRPr="001715D8" w:rsidRDefault="0098398D" w:rsidP="00EA6DAB">
      <w:pPr>
        <w:pStyle w:val="ListParagraph"/>
        <w:numPr>
          <w:ilvl w:val="0"/>
          <w:numId w:val="4"/>
        </w:numPr>
        <w:tabs>
          <w:tab w:val="left" w:pos="851"/>
        </w:tabs>
        <w:spacing w:line="240" w:lineRule="auto"/>
        <w:ind w:left="540" w:right="-46" w:hanging="540"/>
        <w:jc w:val="both"/>
        <w:rPr>
          <w:rFonts w:ascii="Helvetica" w:hAnsi="Helvetica" w:cs="Helvetica"/>
          <w:sz w:val="20"/>
          <w:szCs w:val="20"/>
        </w:rPr>
      </w:pPr>
      <w:r w:rsidRPr="001715D8">
        <w:rPr>
          <w:rFonts w:ascii="Helvetica" w:hAnsi="Helvetica" w:cs="Helvetica"/>
          <w:sz w:val="20"/>
          <w:szCs w:val="20"/>
        </w:rPr>
        <w:t xml:space="preserve">Bhat S, Amirthalingam M, </w:t>
      </w:r>
      <w:proofErr w:type="spellStart"/>
      <w:r w:rsidRPr="001715D8">
        <w:rPr>
          <w:rFonts w:ascii="Helvetica" w:hAnsi="Helvetica" w:cs="Helvetica"/>
          <w:sz w:val="20"/>
          <w:szCs w:val="20"/>
        </w:rPr>
        <w:t>Ballambat</w:t>
      </w:r>
      <w:proofErr w:type="spellEnd"/>
      <w:r w:rsidRPr="001715D8">
        <w:rPr>
          <w:rFonts w:ascii="Helvetica" w:hAnsi="Helvetica" w:cs="Helvetica"/>
          <w:sz w:val="20"/>
          <w:szCs w:val="20"/>
        </w:rPr>
        <w:t xml:space="preserve"> SP, </w:t>
      </w:r>
      <w:proofErr w:type="spellStart"/>
      <w:r w:rsidRPr="001715D8">
        <w:rPr>
          <w:rFonts w:ascii="Helvetica" w:hAnsi="Helvetica" w:cs="Helvetica"/>
          <w:sz w:val="20"/>
          <w:szCs w:val="20"/>
        </w:rPr>
        <w:t>Bhupasandra</w:t>
      </w:r>
      <w:proofErr w:type="spellEnd"/>
      <w:r w:rsidRPr="001715D8">
        <w:rPr>
          <w:rFonts w:ascii="Helvetica" w:hAnsi="Helvetica" w:cs="Helvetica"/>
          <w:sz w:val="20"/>
          <w:szCs w:val="20"/>
        </w:rPr>
        <w:t xml:space="preserve"> Vasudev M, Gupta PK, </w:t>
      </w:r>
      <w:proofErr w:type="spellStart"/>
      <w:r w:rsidRPr="001715D8">
        <w:rPr>
          <w:rFonts w:ascii="Helvetica" w:hAnsi="Helvetica" w:cs="Helvetica"/>
          <w:sz w:val="20"/>
          <w:szCs w:val="20"/>
        </w:rPr>
        <w:t>Padya</w:t>
      </w:r>
      <w:proofErr w:type="spellEnd"/>
      <w:r w:rsidRPr="001715D8">
        <w:rPr>
          <w:rFonts w:ascii="Helvetica" w:hAnsi="Helvetica" w:cs="Helvetica"/>
          <w:sz w:val="20"/>
          <w:szCs w:val="20"/>
        </w:rPr>
        <w:t xml:space="preserve"> BS, </w:t>
      </w:r>
      <w:proofErr w:type="spellStart"/>
      <w:r w:rsidRPr="001715D8">
        <w:rPr>
          <w:rFonts w:ascii="Helvetica" w:hAnsi="Helvetica" w:cs="Helvetica"/>
          <w:sz w:val="20"/>
          <w:szCs w:val="20"/>
        </w:rPr>
        <w:t>Mutalik</w:t>
      </w:r>
      <w:proofErr w:type="spellEnd"/>
      <w:r w:rsidRPr="001715D8">
        <w:rPr>
          <w:rFonts w:ascii="Helvetica" w:hAnsi="Helvetica" w:cs="Helvetica"/>
          <w:sz w:val="20"/>
          <w:szCs w:val="20"/>
        </w:rPr>
        <w:t xml:space="preserve"> S, </w:t>
      </w:r>
      <w:proofErr w:type="spellStart"/>
      <w:r w:rsidRPr="001715D8">
        <w:rPr>
          <w:rFonts w:ascii="Helvetica" w:hAnsi="Helvetica" w:cs="Helvetica"/>
          <w:sz w:val="20"/>
          <w:szCs w:val="20"/>
        </w:rPr>
        <w:t>Seetharam</w:t>
      </w:r>
      <w:proofErr w:type="spellEnd"/>
      <w:r w:rsidRPr="001715D8">
        <w:rPr>
          <w:rFonts w:ascii="Helvetica" w:hAnsi="Helvetica" w:cs="Helvetica"/>
          <w:sz w:val="20"/>
          <w:szCs w:val="20"/>
        </w:rPr>
        <w:t xml:space="preserve"> RN.</w:t>
      </w:r>
      <w:r w:rsidR="00C63376" w:rsidRPr="001715D8">
        <w:rPr>
          <w:rFonts w:ascii="Helvetica" w:hAnsi="Helvetica" w:cs="Helvetica"/>
          <w:sz w:val="20"/>
          <w:szCs w:val="20"/>
        </w:rPr>
        <w:t xml:space="preserve"> (2022).</w:t>
      </w:r>
      <w:r w:rsidRPr="001715D8">
        <w:rPr>
          <w:rFonts w:ascii="Helvetica" w:hAnsi="Helvetica" w:cs="Helvetica"/>
          <w:sz w:val="20"/>
          <w:szCs w:val="20"/>
        </w:rPr>
        <w:t xml:space="preserve"> Novel bioactive formulation derived from the conditioned medium of mesenchymal stromal cells reduces under</w:t>
      </w:r>
      <w:r w:rsidRPr="001715D8">
        <w:rPr>
          <w:rFonts w:ascii="Cambria Math" w:hAnsi="Cambria Math" w:cs="Cambria Math"/>
          <w:sz w:val="20"/>
          <w:szCs w:val="20"/>
        </w:rPr>
        <w:t>‐</w:t>
      </w:r>
      <w:r w:rsidRPr="001715D8">
        <w:rPr>
          <w:rFonts w:ascii="Helvetica" w:hAnsi="Helvetica" w:cs="Helvetica"/>
          <w:sz w:val="20"/>
          <w:szCs w:val="20"/>
        </w:rPr>
        <w:t>eye dark circles in human volunteers. Journal of Cosmetic Dermatology.</w:t>
      </w:r>
      <w:r w:rsidR="00C63376" w:rsidRPr="001715D8">
        <w:rPr>
          <w:rFonts w:ascii="Helvetica" w:hAnsi="Helvetica" w:cs="Helvetica"/>
          <w:sz w:val="20"/>
          <w:szCs w:val="20"/>
        </w:rPr>
        <w:t xml:space="preserve"> </w:t>
      </w:r>
      <w:r w:rsidRPr="001715D8">
        <w:rPr>
          <w:rFonts w:ascii="Helvetica" w:hAnsi="Helvetica" w:cs="Helvetica"/>
          <w:sz w:val="20"/>
          <w:szCs w:val="20"/>
        </w:rPr>
        <w:t>21(2):814-26.</w:t>
      </w:r>
    </w:p>
    <w:p w14:paraId="77FED789" w14:textId="7EE222D2" w:rsidR="00DA3E79" w:rsidRPr="001715D8" w:rsidRDefault="009B4EB1" w:rsidP="00EA6DAB">
      <w:pPr>
        <w:pStyle w:val="ListParagraph"/>
        <w:numPr>
          <w:ilvl w:val="0"/>
          <w:numId w:val="4"/>
        </w:numPr>
        <w:spacing w:line="240" w:lineRule="auto"/>
        <w:ind w:left="540" w:right="-64" w:hanging="540"/>
        <w:jc w:val="both"/>
        <w:rPr>
          <w:rFonts w:ascii="Helvetica" w:hAnsi="Helvetica" w:cs="Helvetica"/>
          <w:sz w:val="20"/>
          <w:szCs w:val="20"/>
        </w:rPr>
      </w:pPr>
      <w:hyperlink r:id="rId17" w:history="1">
        <w:r w:rsidR="00CF41F4" w:rsidRPr="001715D8">
          <w:rPr>
            <w:rStyle w:val="Hyperlink"/>
            <w:rFonts w:ascii="Helvetica" w:hAnsi="Helvetica" w:cs="Helvetica"/>
            <w:sz w:val="20"/>
            <w:szCs w:val="20"/>
          </w:rPr>
          <w:t>https://share.google/KtV9PRecYv60AbIX3</w:t>
        </w:r>
      </w:hyperlink>
    </w:p>
    <w:p w14:paraId="44E34FCD" w14:textId="77777777" w:rsidR="00BD1068" w:rsidRPr="001715D8" w:rsidRDefault="009B4EB1" w:rsidP="00EA6DAB">
      <w:pPr>
        <w:pStyle w:val="ListParagraph"/>
        <w:numPr>
          <w:ilvl w:val="0"/>
          <w:numId w:val="4"/>
        </w:numPr>
        <w:spacing w:line="240" w:lineRule="auto"/>
        <w:ind w:left="540" w:right="-64" w:hanging="540"/>
        <w:jc w:val="both"/>
        <w:rPr>
          <w:rFonts w:ascii="Helvetica" w:hAnsi="Helvetica" w:cs="Helvetica"/>
          <w:sz w:val="20"/>
          <w:szCs w:val="20"/>
        </w:rPr>
      </w:pPr>
      <w:hyperlink r:id="rId18" w:history="1">
        <w:r w:rsidR="00BD1068" w:rsidRPr="001715D8">
          <w:rPr>
            <w:rStyle w:val="Hyperlink"/>
            <w:rFonts w:ascii="Helvetica" w:hAnsi="Helvetica" w:cs="Helvetica"/>
            <w:sz w:val="20"/>
            <w:szCs w:val="20"/>
          </w:rPr>
          <w:t>https://share.google/4utMERLuMk12pP1UP</w:t>
        </w:r>
      </w:hyperlink>
    </w:p>
    <w:p w14:paraId="4B34A1ED" w14:textId="7BBB59CD" w:rsidR="00DF4031" w:rsidRPr="001715D8" w:rsidRDefault="00DF4031" w:rsidP="00EA6DAB">
      <w:pPr>
        <w:pStyle w:val="ListParagraph"/>
        <w:numPr>
          <w:ilvl w:val="0"/>
          <w:numId w:val="4"/>
        </w:numPr>
        <w:spacing w:line="240" w:lineRule="auto"/>
        <w:ind w:left="540" w:right="-64" w:hanging="540"/>
        <w:jc w:val="both"/>
        <w:rPr>
          <w:rFonts w:ascii="Helvetica" w:hAnsi="Helvetica" w:cs="Helvetica"/>
          <w:sz w:val="20"/>
          <w:szCs w:val="20"/>
        </w:rPr>
      </w:pPr>
      <w:r w:rsidRPr="001715D8">
        <w:rPr>
          <w:rFonts w:ascii="Helvetica" w:hAnsi="Helvetica" w:cs="Helvetica"/>
          <w:sz w:val="20"/>
          <w:szCs w:val="20"/>
        </w:rPr>
        <w:t xml:space="preserve">Boo YC. </w:t>
      </w:r>
      <w:r w:rsidR="00C63376" w:rsidRPr="001715D8">
        <w:rPr>
          <w:rFonts w:ascii="Helvetica" w:hAnsi="Helvetica" w:cs="Helvetica"/>
          <w:sz w:val="20"/>
          <w:szCs w:val="20"/>
        </w:rPr>
        <w:t xml:space="preserve">(2021). </w:t>
      </w:r>
      <w:r w:rsidRPr="001715D8">
        <w:rPr>
          <w:rFonts w:ascii="Helvetica" w:hAnsi="Helvetica" w:cs="Helvetica"/>
          <w:sz w:val="20"/>
          <w:szCs w:val="20"/>
        </w:rPr>
        <w:t xml:space="preserve">Arbutin as a skin depigmenting agent with </w:t>
      </w:r>
      <w:proofErr w:type="spellStart"/>
      <w:r w:rsidRPr="001715D8">
        <w:rPr>
          <w:rFonts w:ascii="Helvetica" w:hAnsi="Helvetica" w:cs="Helvetica"/>
          <w:sz w:val="20"/>
          <w:szCs w:val="20"/>
        </w:rPr>
        <w:t>antimelanogenic</w:t>
      </w:r>
      <w:proofErr w:type="spellEnd"/>
      <w:r w:rsidRPr="001715D8">
        <w:rPr>
          <w:rFonts w:ascii="Helvetica" w:hAnsi="Helvetica" w:cs="Helvetica"/>
          <w:sz w:val="20"/>
          <w:szCs w:val="20"/>
        </w:rPr>
        <w:t xml:space="preserve"> and antioxidant properties. Antioxidants.10(7):1129</w:t>
      </w:r>
    </w:p>
    <w:p w14:paraId="23FA5AC9" w14:textId="77777777" w:rsidR="006C6AA2" w:rsidRPr="001715D8" w:rsidRDefault="009B4EB1" w:rsidP="00EA6DAB">
      <w:pPr>
        <w:pStyle w:val="ListParagraph"/>
        <w:numPr>
          <w:ilvl w:val="0"/>
          <w:numId w:val="4"/>
        </w:numPr>
        <w:spacing w:line="240" w:lineRule="auto"/>
        <w:ind w:left="540" w:right="-64" w:hanging="540"/>
        <w:jc w:val="both"/>
        <w:rPr>
          <w:rFonts w:ascii="Helvetica" w:hAnsi="Helvetica" w:cs="Helvetica"/>
          <w:sz w:val="20"/>
          <w:szCs w:val="20"/>
        </w:rPr>
      </w:pPr>
      <w:hyperlink r:id="rId19" w:history="1">
        <w:r w:rsidR="006C6AA2" w:rsidRPr="001715D8">
          <w:rPr>
            <w:rStyle w:val="Hyperlink"/>
            <w:rFonts w:ascii="Helvetica" w:hAnsi="Helvetica" w:cs="Helvetica"/>
            <w:sz w:val="20"/>
            <w:szCs w:val="20"/>
          </w:rPr>
          <w:t>https://share.google/q2uoerU9yD3RFlfmz</w:t>
        </w:r>
      </w:hyperlink>
    </w:p>
    <w:p w14:paraId="56799A99" w14:textId="0AC65A57"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Repert</w:t>
      </w:r>
      <w:proofErr w:type="spellEnd"/>
      <w:r w:rsidRPr="001715D8">
        <w:rPr>
          <w:rFonts w:ascii="Helvetica" w:hAnsi="Helvetica" w:cs="Helvetica"/>
          <w:sz w:val="20"/>
          <w:szCs w:val="20"/>
        </w:rPr>
        <w:t xml:space="preserve"> S, </w:t>
      </w:r>
      <w:proofErr w:type="spellStart"/>
      <w:r w:rsidRPr="001715D8">
        <w:rPr>
          <w:rFonts w:ascii="Helvetica" w:hAnsi="Helvetica" w:cs="Helvetica"/>
          <w:sz w:val="20"/>
          <w:szCs w:val="20"/>
        </w:rPr>
        <w:t>Matthes</w:t>
      </w:r>
      <w:proofErr w:type="spellEnd"/>
      <w:r w:rsidRPr="001715D8">
        <w:rPr>
          <w:rFonts w:ascii="Helvetica" w:hAnsi="Helvetica" w:cs="Helvetica"/>
          <w:sz w:val="20"/>
          <w:szCs w:val="20"/>
        </w:rPr>
        <w:t xml:space="preserve"> S, </w:t>
      </w:r>
      <w:proofErr w:type="spellStart"/>
      <w:r w:rsidRPr="001715D8">
        <w:rPr>
          <w:rFonts w:ascii="Helvetica" w:hAnsi="Helvetica" w:cs="Helvetica"/>
          <w:sz w:val="20"/>
          <w:szCs w:val="20"/>
        </w:rPr>
        <w:t>Rozhon</w:t>
      </w:r>
      <w:proofErr w:type="spellEnd"/>
      <w:r w:rsidRPr="001715D8">
        <w:rPr>
          <w:rFonts w:ascii="Helvetica" w:hAnsi="Helvetica" w:cs="Helvetica"/>
          <w:sz w:val="20"/>
          <w:szCs w:val="20"/>
        </w:rPr>
        <w:t xml:space="preserve"> W.</w:t>
      </w:r>
      <w:r w:rsidR="00C63376" w:rsidRPr="001715D8">
        <w:rPr>
          <w:rFonts w:ascii="Helvetica" w:hAnsi="Helvetica" w:cs="Helvetica"/>
          <w:sz w:val="20"/>
          <w:szCs w:val="20"/>
        </w:rPr>
        <w:t xml:space="preserve"> (2022).</w:t>
      </w:r>
      <w:r w:rsidRPr="001715D8">
        <w:rPr>
          <w:rFonts w:ascii="Helvetica" w:hAnsi="Helvetica" w:cs="Helvetica"/>
          <w:sz w:val="20"/>
          <w:szCs w:val="20"/>
        </w:rPr>
        <w:t xml:space="preserve"> Quantification of arbutin in cosmetics, drugs and food supplements by hydrophilic-interaction chromatography. Molecules.</w:t>
      </w:r>
      <w:r w:rsidR="00C63376" w:rsidRPr="001715D8">
        <w:rPr>
          <w:rFonts w:ascii="Helvetica" w:hAnsi="Helvetica" w:cs="Helvetica"/>
          <w:sz w:val="20"/>
          <w:szCs w:val="20"/>
        </w:rPr>
        <w:t xml:space="preserve"> </w:t>
      </w:r>
      <w:r w:rsidRPr="001715D8">
        <w:rPr>
          <w:rFonts w:ascii="Helvetica" w:hAnsi="Helvetica" w:cs="Helvetica"/>
          <w:sz w:val="20"/>
          <w:szCs w:val="20"/>
        </w:rPr>
        <w:t>2;27(17):5673.</w:t>
      </w:r>
    </w:p>
    <w:p w14:paraId="14DEA981" w14:textId="77777777" w:rsidR="009B4EB1" w:rsidRPr="009B4EB1" w:rsidRDefault="009B4EB1" w:rsidP="00EA6DAB">
      <w:pPr>
        <w:pStyle w:val="ListParagraph"/>
        <w:numPr>
          <w:ilvl w:val="0"/>
          <w:numId w:val="4"/>
        </w:numPr>
        <w:spacing w:line="240" w:lineRule="auto"/>
        <w:ind w:left="567" w:right="-64" w:hanging="567"/>
        <w:jc w:val="both"/>
        <w:rPr>
          <w:rFonts w:ascii="Helvetica" w:hAnsi="Helvetica" w:cs="Helvetica"/>
          <w:sz w:val="20"/>
          <w:szCs w:val="20"/>
        </w:rPr>
      </w:pPr>
      <w:r>
        <w:rPr>
          <w:rFonts w:ascii="Arial" w:hAnsi="Arial" w:cs="Arial"/>
          <w:color w:val="222222"/>
          <w:sz w:val="20"/>
          <w:szCs w:val="20"/>
          <w:shd w:val="clear" w:color="auto" w:fill="FFFFFF"/>
        </w:rPr>
        <w:t>Behera, L., &amp; Mohapatra, S. (2025). A stretchable PVA–agar hydrogel patch embedded with metal-doped carbon dots (MCD) for monitoring the Ca 2+ biomarker. </w:t>
      </w:r>
      <w:r>
        <w:rPr>
          <w:rFonts w:ascii="Arial" w:hAnsi="Arial" w:cs="Arial"/>
          <w:i/>
          <w:iCs/>
          <w:color w:val="222222"/>
          <w:sz w:val="20"/>
          <w:szCs w:val="20"/>
          <w:shd w:val="clear" w:color="auto" w:fill="FFFFFF"/>
        </w:rPr>
        <w:t>Materials Advances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(4), 1392-1402.</w:t>
      </w:r>
      <w:r w:rsidRPr="00D448E8">
        <w:rPr>
          <w:rFonts w:ascii="Helvetica" w:hAnsi="Helvetica" w:cs="Helvetica"/>
          <w:sz w:val="20"/>
          <w:szCs w:val="20"/>
          <w:lang w:val="pt-BR"/>
        </w:rPr>
        <w:t xml:space="preserve"> </w:t>
      </w:r>
    </w:p>
    <w:p w14:paraId="5AF45D55" w14:textId="030FEC08"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r w:rsidRPr="00D448E8">
        <w:rPr>
          <w:rFonts w:ascii="Helvetica" w:hAnsi="Helvetica" w:cs="Helvetica"/>
          <w:sz w:val="20"/>
          <w:szCs w:val="20"/>
          <w:lang w:val="pt-BR"/>
        </w:rPr>
        <w:t>Jain D, Carvalho E, Banthia AK, Banerjee R.</w:t>
      </w:r>
      <w:r w:rsidR="00C63376" w:rsidRPr="00D448E8">
        <w:rPr>
          <w:rFonts w:ascii="Helvetica" w:hAnsi="Helvetica" w:cs="Helvetica"/>
          <w:sz w:val="20"/>
          <w:szCs w:val="20"/>
          <w:lang w:val="pt-BR"/>
        </w:rPr>
        <w:t xml:space="preserve"> (2011).</w:t>
      </w:r>
      <w:r w:rsidR="00D632AB" w:rsidRPr="00D448E8">
        <w:rPr>
          <w:rFonts w:ascii="Helvetica" w:hAnsi="Helvetica" w:cs="Helvetica"/>
          <w:sz w:val="20"/>
          <w:szCs w:val="20"/>
          <w:lang w:val="pt-BR"/>
        </w:rPr>
        <w:t xml:space="preserve"> </w:t>
      </w:r>
      <w:r w:rsidRPr="001715D8">
        <w:rPr>
          <w:rFonts w:ascii="Helvetica" w:hAnsi="Helvetica" w:cs="Helvetica"/>
          <w:sz w:val="20"/>
          <w:szCs w:val="20"/>
        </w:rPr>
        <w:t>Development of polyvinyl alcohol–</w:t>
      </w:r>
      <w:proofErr w:type="spellStart"/>
      <w:r w:rsidRPr="001715D8">
        <w:rPr>
          <w:rFonts w:ascii="Helvetica" w:hAnsi="Helvetica" w:cs="Helvetica"/>
          <w:sz w:val="20"/>
          <w:szCs w:val="20"/>
        </w:rPr>
        <w:t>gelatin</w:t>
      </w:r>
      <w:proofErr w:type="spellEnd"/>
      <w:r w:rsidRPr="001715D8">
        <w:rPr>
          <w:rFonts w:ascii="Helvetica" w:hAnsi="Helvetica" w:cs="Helvetica"/>
          <w:sz w:val="20"/>
          <w:szCs w:val="20"/>
        </w:rPr>
        <w:t xml:space="preserve"> membranes for antibiotic delivery in the eye. Drug development and industrial pharmacy. 37(2):167-77.</w:t>
      </w:r>
    </w:p>
    <w:p w14:paraId="6DD49514" w14:textId="308E947D" w:rsidR="00EA6DAB" w:rsidRPr="00D632AB"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Musabayane</w:t>
      </w:r>
      <w:proofErr w:type="spellEnd"/>
      <w:r w:rsidRPr="001715D8">
        <w:rPr>
          <w:rFonts w:ascii="Helvetica" w:hAnsi="Helvetica" w:cs="Helvetica"/>
          <w:sz w:val="20"/>
          <w:szCs w:val="20"/>
        </w:rPr>
        <w:t xml:space="preserve"> CT, </w:t>
      </w:r>
      <w:proofErr w:type="spellStart"/>
      <w:r w:rsidRPr="001715D8">
        <w:rPr>
          <w:rFonts w:ascii="Helvetica" w:hAnsi="Helvetica" w:cs="Helvetica"/>
          <w:sz w:val="20"/>
          <w:szCs w:val="20"/>
        </w:rPr>
        <w:t>Munjeri</w:t>
      </w:r>
      <w:proofErr w:type="spellEnd"/>
      <w:r w:rsidRPr="001715D8">
        <w:rPr>
          <w:rFonts w:ascii="Helvetica" w:hAnsi="Helvetica" w:cs="Helvetica"/>
          <w:sz w:val="20"/>
          <w:szCs w:val="20"/>
        </w:rPr>
        <w:t xml:space="preserve"> O, </w:t>
      </w:r>
      <w:proofErr w:type="spellStart"/>
      <w:r w:rsidRPr="001715D8">
        <w:rPr>
          <w:rFonts w:ascii="Helvetica" w:hAnsi="Helvetica" w:cs="Helvetica"/>
          <w:sz w:val="20"/>
          <w:szCs w:val="20"/>
        </w:rPr>
        <w:t>Matavire</w:t>
      </w:r>
      <w:proofErr w:type="spellEnd"/>
      <w:r w:rsidRPr="001715D8">
        <w:rPr>
          <w:rFonts w:ascii="Helvetica" w:hAnsi="Helvetica" w:cs="Helvetica"/>
          <w:sz w:val="20"/>
          <w:szCs w:val="20"/>
        </w:rPr>
        <w:t xml:space="preserve"> TP.</w:t>
      </w:r>
      <w:r w:rsidR="00C63376" w:rsidRPr="001715D8">
        <w:rPr>
          <w:rFonts w:ascii="Helvetica" w:hAnsi="Helvetica" w:cs="Helvetica"/>
          <w:sz w:val="20"/>
          <w:szCs w:val="20"/>
        </w:rPr>
        <w:t xml:space="preserve"> (2003). </w:t>
      </w:r>
      <w:r w:rsidRPr="001715D8">
        <w:rPr>
          <w:rFonts w:ascii="Helvetica" w:hAnsi="Helvetica" w:cs="Helvetica"/>
          <w:sz w:val="20"/>
          <w:szCs w:val="20"/>
        </w:rPr>
        <w:t xml:space="preserve"> Transdermal delivery of chloroquine by amidated pectin hydrogel matrix patch in the rat. Renal failure. 25(4):525-34.</w:t>
      </w:r>
    </w:p>
    <w:p w14:paraId="24303BA7" w14:textId="77777777" w:rsidR="009B4EB1" w:rsidRDefault="009B4EB1"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Pr>
          <w:rFonts w:ascii="Arial" w:hAnsi="Arial" w:cs="Arial"/>
          <w:color w:val="222222"/>
          <w:sz w:val="20"/>
          <w:szCs w:val="20"/>
          <w:shd w:val="clear" w:color="auto" w:fill="FFFFFF"/>
        </w:rPr>
        <w:t>Bernauer</w:t>
      </w:r>
      <w:proofErr w:type="spellEnd"/>
      <w:r>
        <w:rPr>
          <w:rFonts w:ascii="Arial" w:hAnsi="Arial" w:cs="Arial"/>
          <w:color w:val="222222"/>
          <w:sz w:val="20"/>
          <w:szCs w:val="20"/>
          <w:shd w:val="clear" w:color="auto" w:fill="FFFFFF"/>
        </w:rPr>
        <w:t xml:space="preserve">, U., </w:t>
      </w:r>
      <w:proofErr w:type="spellStart"/>
      <w:r>
        <w:rPr>
          <w:rFonts w:ascii="Arial" w:hAnsi="Arial" w:cs="Arial"/>
          <w:color w:val="222222"/>
          <w:sz w:val="20"/>
          <w:szCs w:val="20"/>
          <w:shd w:val="clear" w:color="auto" w:fill="FFFFFF"/>
        </w:rPr>
        <w:t>Bodin</w:t>
      </w:r>
      <w:proofErr w:type="spellEnd"/>
      <w:r>
        <w:rPr>
          <w:rFonts w:ascii="Arial" w:hAnsi="Arial" w:cs="Arial"/>
          <w:color w:val="222222"/>
          <w:sz w:val="20"/>
          <w:szCs w:val="20"/>
          <w:shd w:val="clear" w:color="auto" w:fill="FFFFFF"/>
        </w:rPr>
        <w:t xml:space="preserve">, L., Chaudhry, Q., Coenraad, P. J., </w:t>
      </w:r>
      <w:proofErr w:type="spellStart"/>
      <w:r>
        <w:rPr>
          <w:rFonts w:ascii="Arial" w:hAnsi="Arial" w:cs="Arial"/>
          <w:color w:val="222222"/>
          <w:sz w:val="20"/>
          <w:szCs w:val="20"/>
          <w:shd w:val="clear" w:color="auto" w:fill="FFFFFF"/>
        </w:rPr>
        <w:t>Dusinska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Ezendam</w:t>
      </w:r>
      <w:proofErr w:type="spellEnd"/>
      <w:r>
        <w:rPr>
          <w:rFonts w:ascii="Arial" w:hAnsi="Arial" w:cs="Arial"/>
          <w:color w:val="222222"/>
          <w:sz w:val="20"/>
          <w:szCs w:val="20"/>
          <w:shd w:val="clear" w:color="auto" w:fill="FFFFFF"/>
        </w:rPr>
        <w:t>, J., ... &amp; Von Goetz, N. (2022). SCCS OPINION on the safety of alpha-arbutin and beta-arbutin in cosmetic products-SCCS/1642/22–Preliminary Opinion.</w:t>
      </w:r>
      <w:r w:rsidRPr="001715D8">
        <w:rPr>
          <w:rFonts w:ascii="Helvetica" w:hAnsi="Helvetica" w:cs="Helvetica"/>
          <w:sz w:val="20"/>
          <w:szCs w:val="20"/>
        </w:rPr>
        <w:t xml:space="preserve"> </w:t>
      </w:r>
    </w:p>
    <w:p w14:paraId="6451FC20" w14:textId="555E780C"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RiyaZS</w:t>
      </w:r>
      <w:proofErr w:type="spellEnd"/>
      <w:r w:rsidRPr="001715D8">
        <w:rPr>
          <w:rFonts w:ascii="Helvetica" w:hAnsi="Helvetica" w:cs="Helvetica"/>
          <w:sz w:val="20"/>
          <w:szCs w:val="20"/>
        </w:rPr>
        <w:t xml:space="preserve">, Nair D, </w:t>
      </w:r>
      <w:proofErr w:type="spellStart"/>
      <w:r w:rsidRPr="001715D8">
        <w:rPr>
          <w:rFonts w:ascii="Helvetica" w:hAnsi="Helvetica" w:cs="Helvetica"/>
          <w:sz w:val="20"/>
          <w:szCs w:val="20"/>
        </w:rPr>
        <w:t>Abhirami</w:t>
      </w:r>
      <w:proofErr w:type="spellEnd"/>
      <w:r w:rsidRPr="001715D8">
        <w:rPr>
          <w:rFonts w:ascii="Helvetica" w:hAnsi="Helvetica" w:cs="Helvetica"/>
          <w:sz w:val="20"/>
          <w:szCs w:val="20"/>
        </w:rPr>
        <w:t xml:space="preserve"> JR, </w:t>
      </w:r>
      <w:proofErr w:type="spellStart"/>
      <w:r w:rsidRPr="001715D8">
        <w:rPr>
          <w:rFonts w:ascii="Helvetica" w:hAnsi="Helvetica" w:cs="Helvetica"/>
          <w:sz w:val="20"/>
          <w:szCs w:val="20"/>
        </w:rPr>
        <w:t>Abhirami</w:t>
      </w:r>
      <w:proofErr w:type="spellEnd"/>
      <w:r w:rsidRPr="001715D8">
        <w:rPr>
          <w:rFonts w:ascii="Helvetica" w:hAnsi="Helvetica" w:cs="Helvetica"/>
          <w:sz w:val="20"/>
          <w:szCs w:val="20"/>
        </w:rPr>
        <w:t xml:space="preserve"> JP, Ramesh NK. </w:t>
      </w:r>
      <w:r w:rsidR="00C63376" w:rsidRPr="001715D8">
        <w:rPr>
          <w:rFonts w:ascii="Helvetica" w:hAnsi="Helvetica" w:cs="Helvetica"/>
          <w:sz w:val="20"/>
          <w:szCs w:val="20"/>
        </w:rPr>
        <w:t xml:space="preserve">(2025). </w:t>
      </w:r>
      <w:r w:rsidR="00CF41F4" w:rsidRPr="001715D8">
        <w:rPr>
          <w:rFonts w:ascii="Helvetica" w:hAnsi="Helvetica" w:cs="Helvetica"/>
          <w:sz w:val="20"/>
          <w:szCs w:val="20"/>
        </w:rPr>
        <w:t>Formulation and evaluation of herbal hydrogel under eye patch.</w:t>
      </w:r>
      <w:r w:rsidR="00C63376" w:rsidRPr="001715D8">
        <w:rPr>
          <w:rFonts w:ascii="Helvetica" w:hAnsi="Helvetica" w:cs="Helvetica"/>
          <w:sz w:val="20"/>
          <w:szCs w:val="20"/>
        </w:rPr>
        <w:t xml:space="preserve"> </w:t>
      </w:r>
      <w:r w:rsidR="00CF41F4" w:rsidRPr="001715D8">
        <w:rPr>
          <w:rFonts w:ascii="Helvetica" w:hAnsi="Helvetica" w:cs="Helvetica"/>
          <w:sz w:val="20"/>
          <w:szCs w:val="20"/>
        </w:rPr>
        <w:t>14(5):779-798.</w:t>
      </w:r>
    </w:p>
    <w:p w14:paraId="38425608" w14:textId="6D7B6EB2"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El-</w:t>
      </w:r>
      <w:proofErr w:type="spellStart"/>
      <w:r w:rsidRPr="001715D8">
        <w:rPr>
          <w:rFonts w:ascii="Helvetica" w:hAnsi="Helvetica" w:cs="Helvetica"/>
          <w:sz w:val="20"/>
          <w:szCs w:val="20"/>
        </w:rPr>
        <w:t>Gendy</w:t>
      </w:r>
      <w:proofErr w:type="spellEnd"/>
      <w:r w:rsidRPr="001715D8">
        <w:rPr>
          <w:rFonts w:ascii="Helvetica" w:hAnsi="Helvetica" w:cs="Helvetica"/>
          <w:sz w:val="20"/>
          <w:szCs w:val="20"/>
        </w:rPr>
        <w:t xml:space="preserve"> N, </w:t>
      </w:r>
      <w:proofErr w:type="spellStart"/>
      <w:r w:rsidRPr="001715D8">
        <w:rPr>
          <w:rFonts w:ascii="Helvetica" w:hAnsi="Helvetica" w:cs="Helvetica"/>
          <w:sz w:val="20"/>
          <w:szCs w:val="20"/>
        </w:rPr>
        <w:t>Abdelbary</w:t>
      </w:r>
      <w:proofErr w:type="spellEnd"/>
      <w:r w:rsidRPr="001715D8">
        <w:rPr>
          <w:rFonts w:ascii="Helvetica" w:hAnsi="Helvetica" w:cs="Helvetica"/>
          <w:sz w:val="20"/>
          <w:szCs w:val="20"/>
        </w:rPr>
        <w:t xml:space="preserve"> G, El-</w:t>
      </w:r>
      <w:proofErr w:type="spellStart"/>
      <w:r w:rsidRPr="001715D8">
        <w:rPr>
          <w:rFonts w:ascii="Helvetica" w:hAnsi="Helvetica" w:cs="Helvetica"/>
          <w:sz w:val="20"/>
          <w:szCs w:val="20"/>
        </w:rPr>
        <w:t>Komy</w:t>
      </w:r>
      <w:proofErr w:type="spellEnd"/>
      <w:r w:rsidRPr="001715D8">
        <w:rPr>
          <w:rFonts w:ascii="Helvetica" w:hAnsi="Helvetica" w:cs="Helvetica"/>
          <w:sz w:val="20"/>
          <w:szCs w:val="20"/>
        </w:rPr>
        <w:t xml:space="preserve"> M, </w:t>
      </w:r>
      <w:proofErr w:type="spellStart"/>
      <w:r w:rsidRPr="001715D8">
        <w:rPr>
          <w:rFonts w:ascii="Helvetica" w:hAnsi="Helvetica" w:cs="Helvetica"/>
          <w:sz w:val="20"/>
          <w:szCs w:val="20"/>
        </w:rPr>
        <w:t>S</w:t>
      </w:r>
      <w:bookmarkStart w:id="4" w:name="_GoBack"/>
      <w:bookmarkEnd w:id="4"/>
      <w:r w:rsidRPr="001715D8">
        <w:rPr>
          <w:rFonts w:ascii="Helvetica" w:hAnsi="Helvetica" w:cs="Helvetica"/>
          <w:sz w:val="20"/>
          <w:szCs w:val="20"/>
        </w:rPr>
        <w:t>aafan</w:t>
      </w:r>
      <w:proofErr w:type="spellEnd"/>
      <w:r w:rsidRPr="001715D8">
        <w:rPr>
          <w:rFonts w:ascii="Helvetica" w:hAnsi="Helvetica" w:cs="Helvetica"/>
          <w:sz w:val="20"/>
          <w:szCs w:val="20"/>
        </w:rPr>
        <w:t xml:space="preserve"> A.</w:t>
      </w:r>
      <w:r w:rsidR="00C63376" w:rsidRPr="001715D8">
        <w:rPr>
          <w:rFonts w:ascii="Helvetica" w:hAnsi="Helvetica" w:cs="Helvetica"/>
          <w:sz w:val="20"/>
          <w:szCs w:val="20"/>
        </w:rPr>
        <w:t xml:space="preserve"> (2009). </w:t>
      </w:r>
      <w:r w:rsidRPr="001715D8">
        <w:rPr>
          <w:rFonts w:ascii="Helvetica" w:hAnsi="Helvetica" w:cs="Helvetica"/>
          <w:sz w:val="20"/>
          <w:szCs w:val="20"/>
        </w:rPr>
        <w:t xml:space="preserve"> Design and evaluation of a bio adhesive patch for topical delivery of gentamicin sulphate. </w:t>
      </w:r>
      <w:proofErr w:type="spellStart"/>
      <w:r w:rsidRPr="001715D8">
        <w:rPr>
          <w:rFonts w:ascii="Helvetica" w:hAnsi="Helvetica" w:cs="Helvetica"/>
          <w:sz w:val="20"/>
          <w:szCs w:val="20"/>
        </w:rPr>
        <w:t>Curr</w:t>
      </w:r>
      <w:proofErr w:type="spellEnd"/>
      <w:r w:rsidRPr="001715D8">
        <w:rPr>
          <w:rFonts w:ascii="Helvetica" w:hAnsi="Helvetica" w:cs="Helvetica"/>
          <w:sz w:val="20"/>
          <w:szCs w:val="20"/>
        </w:rPr>
        <w:t xml:space="preserve"> Drug Delivery. 6(1):50–7.</w:t>
      </w:r>
    </w:p>
    <w:p w14:paraId="00455E53" w14:textId="65348AD2"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r w:rsidRPr="00D448E8">
        <w:rPr>
          <w:rFonts w:ascii="Helvetica" w:hAnsi="Helvetica" w:cs="Helvetica"/>
          <w:sz w:val="20"/>
          <w:szCs w:val="20"/>
          <w:lang w:val="pt-BR"/>
        </w:rPr>
        <w:t>Karadaǧ E, Saraydin D, Çetinkaya S, Güven O.</w:t>
      </w:r>
      <w:r w:rsidR="00C63376" w:rsidRPr="00D448E8">
        <w:rPr>
          <w:rFonts w:ascii="Helvetica" w:hAnsi="Helvetica" w:cs="Helvetica"/>
          <w:sz w:val="20"/>
          <w:szCs w:val="20"/>
          <w:lang w:val="pt-BR"/>
        </w:rPr>
        <w:t xml:space="preserve"> (1996). </w:t>
      </w:r>
      <w:r w:rsidRPr="00D448E8">
        <w:rPr>
          <w:rFonts w:ascii="Helvetica" w:hAnsi="Helvetica" w:cs="Helvetica"/>
          <w:sz w:val="20"/>
          <w:szCs w:val="20"/>
          <w:lang w:val="pt-BR"/>
        </w:rPr>
        <w:t xml:space="preserve"> </w:t>
      </w:r>
      <w:r w:rsidRPr="001715D8">
        <w:rPr>
          <w:rFonts w:ascii="Helvetica" w:hAnsi="Helvetica" w:cs="Helvetica"/>
          <w:sz w:val="20"/>
          <w:szCs w:val="20"/>
        </w:rPr>
        <w:t xml:space="preserve">In vitro swelling studies and preliminary biocompatibility evaluation of </w:t>
      </w:r>
      <w:r w:rsidR="000739FC" w:rsidRPr="001715D8">
        <w:rPr>
          <w:rFonts w:ascii="Helvetica" w:hAnsi="Helvetica" w:cs="Helvetica"/>
          <w:sz w:val="20"/>
          <w:szCs w:val="20"/>
        </w:rPr>
        <w:t>acrylamide-based</w:t>
      </w:r>
      <w:r w:rsidRPr="001715D8">
        <w:rPr>
          <w:rFonts w:ascii="Helvetica" w:hAnsi="Helvetica" w:cs="Helvetica"/>
          <w:sz w:val="20"/>
          <w:szCs w:val="20"/>
        </w:rPr>
        <w:t xml:space="preserve"> hydrogels. Biomaterials. 17(1):67–70.</w:t>
      </w:r>
    </w:p>
    <w:p w14:paraId="00404AAE" w14:textId="2BBE96BF"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 </w:t>
      </w:r>
      <w:proofErr w:type="spellStart"/>
      <w:r w:rsidRPr="001715D8">
        <w:rPr>
          <w:rFonts w:ascii="Helvetica" w:hAnsi="Helvetica" w:cs="Helvetica"/>
          <w:sz w:val="20"/>
          <w:szCs w:val="20"/>
        </w:rPr>
        <w:t>Mawalia</w:t>
      </w:r>
      <w:proofErr w:type="spellEnd"/>
      <w:r w:rsidRPr="001715D8">
        <w:rPr>
          <w:rFonts w:ascii="Helvetica" w:hAnsi="Helvetica" w:cs="Helvetica"/>
          <w:sz w:val="20"/>
          <w:szCs w:val="20"/>
        </w:rPr>
        <w:t xml:space="preserve">, </w:t>
      </w:r>
      <w:proofErr w:type="spellStart"/>
      <w:r w:rsidRPr="001715D8">
        <w:rPr>
          <w:rFonts w:ascii="Helvetica" w:hAnsi="Helvetica" w:cs="Helvetica"/>
          <w:sz w:val="20"/>
          <w:szCs w:val="20"/>
        </w:rPr>
        <w:t>Mawalia</w:t>
      </w:r>
      <w:proofErr w:type="spellEnd"/>
      <w:r w:rsidRPr="001715D8">
        <w:rPr>
          <w:rFonts w:ascii="Helvetica" w:hAnsi="Helvetica" w:cs="Helvetica"/>
          <w:sz w:val="20"/>
          <w:szCs w:val="20"/>
        </w:rPr>
        <w:t>, et al.</w:t>
      </w:r>
      <w:r w:rsidR="00C63376" w:rsidRPr="001715D8">
        <w:rPr>
          <w:rFonts w:ascii="Helvetica" w:hAnsi="Helvetica" w:cs="Helvetica"/>
          <w:sz w:val="20"/>
          <w:szCs w:val="20"/>
        </w:rPr>
        <w:t xml:space="preserve"> (2022). </w:t>
      </w:r>
      <w:r w:rsidRPr="001715D8">
        <w:rPr>
          <w:rFonts w:ascii="Helvetica" w:hAnsi="Helvetica" w:cs="Helvetica"/>
          <w:sz w:val="20"/>
          <w:szCs w:val="20"/>
        </w:rPr>
        <w:t xml:space="preserve"> “Utilization of water extract of yellow potato (solanum tuberosum L.) in Hydrogel Eye Mask as anti-aging formulation.” </w:t>
      </w:r>
      <w:proofErr w:type="spellStart"/>
      <w:r w:rsidRPr="001715D8">
        <w:rPr>
          <w:rFonts w:ascii="Helvetica" w:hAnsi="Helvetica" w:cs="Helvetica"/>
          <w:sz w:val="20"/>
          <w:szCs w:val="20"/>
        </w:rPr>
        <w:t>ScienceRise</w:t>
      </w:r>
      <w:proofErr w:type="spellEnd"/>
      <w:r w:rsidRPr="001715D8">
        <w:rPr>
          <w:rFonts w:ascii="Helvetica" w:hAnsi="Helvetica" w:cs="Helvetica"/>
          <w:sz w:val="20"/>
          <w:szCs w:val="20"/>
        </w:rPr>
        <w:t xml:space="preserve">: Pharmaceutical Science, 4(38): 80–88. </w:t>
      </w:r>
    </w:p>
    <w:p w14:paraId="3D7DB55A" w14:textId="53D401AD"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r w:rsidRPr="00D448E8">
        <w:rPr>
          <w:rFonts w:ascii="Helvetica" w:hAnsi="Helvetica" w:cs="Helvetica"/>
          <w:sz w:val="20"/>
          <w:szCs w:val="20"/>
          <w:lang w:val="pt-BR"/>
        </w:rPr>
        <w:t xml:space="preserve">Khan N, Pawar AP, Patil S, Patil PR, Patil PV, Patil PN, Dalvi SR, Kshirsagar SV, Kale M. </w:t>
      </w:r>
      <w:r w:rsidR="00C63376" w:rsidRPr="00D448E8">
        <w:rPr>
          <w:rFonts w:ascii="Helvetica" w:hAnsi="Helvetica" w:cs="Helvetica"/>
          <w:sz w:val="20"/>
          <w:szCs w:val="20"/>
          <w:lang w:val="pt-BR"/>
        </w:rPr>
        <w:t xml:space="preserve">(2024). </w:t>
      </w:r>
      <w:r w:rsidRPr="001715D8">
        <w:rPr>
          <w:rFonts w:ascii="Helvetica" w:hAnsi="Helvetica" w:cs="Helvetica"/>
          <w:sz w:val="20"/>
          <w:szCs w:val="20"/>
        </w:rPr>
        <w:t>Formulation and evaluation of polyherbal anti-acne patch. MGM Journal of Medical Sciences. 11(2):234-41.</w:t>
      </w:r>
    </w:p>
    <w:p w14:paraId="49989394" w14:textId="108BE699" w:rsidR="00637D6C" w:rsidRPr="001715D8" w:rsidRDefault="00637D6C"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lang w:val="pt-BR"/>
        </w:rPr>
        <w:t>Keleb E, Sharma RK, Mosa EB, Aljahwi AA.</w:t>
      </w:r>
      <w:r w:rsidR="00C63376" w:rsidRPr="00D448E8">
        <w:rPr>
          <w:rFonts w:ascii="Helvetica" w:hAnsi="Helvetica" w:cs="Helvetica"/>
          <w:sz w:val="20"/>
          <w:szCs w:val="20"/>
          <w:lang w:val="pt-BR"/>
        </w:rPr>
        <w:t xml:space="preserve"> </w:t>
      </w:r>
      <w:r w:rsidR="00C63376" w:rsidRPr="001715D8">
        <w:rPr>
          <w:rFonts w:ascii="Helvetica" w:hAnsi="Helvetica" w:cs="Helvetica"/>
          <w:sz w:val="20"/>
          <w:szCs w:val="20"/>
        </w:rPr>
        <w:t xml:space="preserve">(2010). </w:t>
      </w:r>
      <w:r w:rsidRPr="00D448E8">
        <w:rPr>
          <w:rFonts w:ascii="Helvetica" w:hAnsi="Helvetica" w:cs="Helvetica"/>
          <w:sz w:val="20"/>
          <w:szCs w:val="20"/>
        </w:rPr>
        <w:t xml:space="preserve"> </w:t>
      </w:r>
      <w:r w:rsidRPr="001715D8">
        <w:rPr>
          <w:rFonts w:ascii="Helvetica" w:hAnsi="Helvetica" w:cs="Helvetica"/>
          <w:sz w:val="20"/>
          <w:szCs w:val="20"/>
        </w:rPr>
        <w:t>Transdermal drug delivery system-design and evaluation. International journal of advances in pharmaceutical sciences</w:t>
      </w:r>
      <w:r w:rsidR="00EA6DAB" w:rsidRPr="001715D8">
        <w:rPr>
          <w:rFonts w:ascii="Helvetica" w:hAnsi="Helvetica" w:cs="Helvetica"/>
          <w:sz w:val="20"/>
          <w:szCs w:val="20"/>
        </w:rPr>
        <w:t xml:space="preserve"> 1:1</w:t>
      </w:r>
      <w:r w:rsidRPr="001715D8">
        <w:rPr>
          <w:rFonts w:ascii="Helvetica" w:hAnsi="Helvetica" w:cs="Helvetica"/>
          <w:sz w:val="20"/>
          <w:szCs w:val="20"/>
        </w:rPr>
        <w:t>(3).</w:t>
      </w:r>
    </w:p>
    <w:p w14:paraId="7CFB450A" w14:textId="060DBE89"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Pardhi</w:t>
      </w:r>
      <w:proofErr w:type="spellEnd"/>
      <w:r w:rsidRPr="001715D8">
        <w:rPr>
          <w:rFonts w:ascii="Helvetica" w:hAnsi="Helvetica" w:cs="Helvetica"/>
          <w:sz w:val="20"/>
          <w:szCs w:val="20"/>
        </w:rPr>
        <w:t xml:space="preserve"> S, </w:t>
      </w:r>
      <w:proofErr w:type="spellStart"/>
      <w:r w:rsidRPr="001715D8">
        <w:rPr>
          <w:rFonts w:ascii="Helvetica" w:hAnsi="Helvetica" w:cs="Helvetica"/>
          <w:sz w:val="20"/>
          <w:szCs w:val="20"/>
        </w:rPr>
        <w:t>Bisen</w:t>
      </w:r>
      <w:proofErr w:type="spellEnd"/>
      <w:r w:rsidRPr="001715D8">
        <w:rPr>
          <w:rFonts w:ascii="Helvetica" w:hAnsi="Helvetica" w:cs="Helvetica"/>
          <w:sz w:val="20"/>
          <w:szCs w:val="20"/>
        </w:rPr>
        <w:t xml:space="preserve"> MP, </w:t>
      </w:r>
      <w:proofErr w:type="spellStart"/>
      <w:r w:rsidRPr="001715D8">
        <w:rPr>
          <w:rFonts w:ascii="Helvetica" w:hAnsi="Helvetica" w:cs="Helvetica"/>
          <w:sz w:val="20"/>
          <w:szCs w:val="20"/>
        </w:rPr>
        <w:t>Bawankar</w:t>
      </w:r>
      <w:proofErr w:type="spellEnd"/>
      <w:r w:rsidRPr="001715D8">
        <w:rPr>
          <w:rFonts w:ascii="Helvetica" w:hAnsi="Helvetica" w:cs="Helvetica"/>
          <w:sz w:val="20"/>
          <w:szCs w:val="20"/>
        </w:rPr>
        <w:t xml:space="preserve"> MS, Vishwakarma MA, Upadhyay MT, </w:t>
      </w:r>
      <w:proofErr w:type="spellStart"/>
      <w:r w:rsidRPr="001715D8">
        <w:rPr>
          <w:rFonts w:ascii="Helvetica" w:hAnsi="Helvetica" w:cs="Helvetica"/>
          <w:sz w:val="20"/>
          <w:szCs w:val="20"/>
        </w:rPr>
        <w:t>Marwade</w:t>
      </w:r>
      <w:proofErr w:type="spellEnd"/>
      <w:r w:rsidRPr="001715D8">
        <w:rPr>
          <w:rFonts w:ascii="Helvetica" w:hAnsi="Helvetica" w:cs="Helvetica"/>
          <w:sz w:val="20"/>
          <w:szCs w:val="20"/>
        </w:rPr>
        <w:t xml:space="preserve"> MS. </w:t>
      </w:r>
      <w:r w:rsidR="00C63376" w:rsidRPr="001715D8">
        <w:rPr>
          <w:rFonts w:ascii="Helvetica" w:hAnsi="Helvetica" w:cs="Helvetica"/>
          <w:sz w:val="20"/>
          <w:szCs w:val="20"/>
        </w:rPr>
        <w:t xml:space="preserve">(2024). </w:t>
      </w:r>
      <w:r w:rsidRPr="001715D8">
        <w:rPr>
          <w:rFonts w:ascii="Helvetica" w:hAnsi="Helvetica" w:cs="Helvetica"/>
          <w:sz w:val="20"/>
          <w:szCs w:val="20"/>
        </w:rPr>
        <w:t>Fabrication of Transdermal Patches.</w:t>
      </w:r>
      <w:r w:rsidR="00C63376" w:rsidRPr="001715D8">
        <w:rPr>
          <w:rFonts w:ascii="Helvetica" w:hAnsi="Helvetica" w:cs="Helvetica"/>
          <w:sz w:val="20"/>
          <w:szCs w:val="20"/>
        </w:rPr>
        <w:t xml:space="preserve"> </w:t>
      </w:r>
      <w:r w:rsidR="00637D6C" w:rsidRPr="001715D8">
        <w:rPr>
          <w:rFonts w:ascii="Helvetica" w:hAnsi="Helvetica" w:cs="Helvetica"/>
          <w:sz w:val="20"/>
          <w:szCs w:val="20"/>
        </w:rPr>
        <w:t>6(6):1-8.</w:t>
      </w:r>
    </w:p>
    <w:p w14:paraId="1785E3C9" w14:textId="0CC7625D" w:rsidR="0096134A" w:rsidRPr="001715D8" w:rsidRDefault="0096134A"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Van der </w:t>
      </w:r>
      <w:proofErr w:type="spellStart"/>
      <w:r w:rsidRPr="001715D8">
        <w:rPr>
          <w:rFonts w:ascii="Helvetica" w:hAnsi="Helvetica" w:cs="Helvetica"/>
          <w:sz w:val="20"/>
          <w:szCs w:val="20"/>
        </w:rPr>
        <w:t>Harst</w:t>
      </w:r>
      <w:proofErr w:type="spellEnd"/>
      <w:r w:rsidRPr="001715D8">
        <w:rPr>
          <w:rFonts w:ascii="Helvetica" w:hAnsi="Helvetica" w:cs="Helvetica"/>
          <w:sz w:val="20"/>
          <w:szCs w:val="20"/>
        </w:rPr>
        <w:t xml:space="preserve"> M, Bull S, </w:t>
      </w:r>
      <w:proofErr w:type="spellStart"/>
      <w:r w:rsidRPr="001715D8">
        <w:rPr>
          <w:rFonts w:ascii="Helvetica" w:hAnsi="Helvetica" w:cs="Helvetica"/>
          <w:sz w:val="20"/>
          <w:szCs w:val="20"/>
        </w:rPr>
        <w:t>Laffont</w:t>
      </w:r>
      <w:proofErr w:type="spellEnd"/>
      <w:r w:rsidRPr="001715D8">
        <w:rPr>
          <w:rFonts w:ascii="Helvetica" w:hAnsi="Helvetica" w:cs="Helvetica"/>
          <w:sz w:val="20"/>
          <w:szCs w:val="20"/>
        </w:rPr>
        <w:t xml:space="preserve"> C, Klein W.</w:t>
      </w:r>
      <w:r w:rsidR="00C63376" w:rsidRPr="001715D8">
        <w:rPr>
          <w:rFonts w:ascii="Helvetica" w:hAnsi="Helvetica" w:cs="Helvetica"/>
          <w:sz w:val="20"/>
          <w:szCs w:val="20"/>
        </w:rPr>
        <w:t xml:space="preserve"> (2005). </w:t>
      </w:r>
      <w:r w:rsidRPr="001715D8">
        <w:rPr>
          <w:rFonts w:ascii="Helvetica" w:hAnsi="Helvetica" w:cs="Helvetica"/>
          <w:sz w:val="20"/>
          <w:szCs w:val="20"/>
        </w:rPr>
        <w:t xml:space="preserve"> Gentamicin </w:t>
      </w:r>
      <w:proofErr w:type="spellStart"/>
      <w:r w:rsidRPr="001715D8">
        <w:rPr>
          <w:rFonts w:ascii="Helvetica" w:hAnsi="Helvetica" w:cs="Helvetica"/>
          <w:sz w:val="20"/>
          <w:szCs w:val="20"/>
        </w:rPr>
        <w:t>nephro</w:t>
      </w:r>
      <w:proofErr w:type="spellEnd"/>
      <w:r w:rsidRPr="001715D8">
        <w:rPr>
          <w:rFonts w:ascii="Helvetica" w:hAnsi="Helvetica" w:cs="Helvetica"/>
          <w:sz w:val="20"/>
          <w:szCs w:val="20"/>
        </w:rPr>
        <w:t xml:space="preserve"> toxicity–a comparison of in vitro findings with in vivo experiments in equines. Vet Res </w:t>
      </w:r>
      <w:proofErr w:type="spellStart"/>
      <w:r w:rsidRPr="001715D8">
        <w:rPr>
          <w:rFonts w:ascii="Helvetica" w:hAnsi="Helvetica" w:cs="Helvetica"/>
          <w:sz w:val="20"/>
          <w:szCs w:val="20"/>
        </w:rPr>
        <w:t>Commun</w:t>
      </w:r>
      <w:proofErr w:type="spellEnd"/>
      <w:r w:rsidRPr="001715D8">
        <w:rPr>
          <w:rFonts w:ascii="Helvetica" w:hAnsi="Helvetica" w:cs="Helvetica"/>
          <w:sz w:val="20"/>
          <w:szCs w:val="20"/>
        </w:rPr>
        <w:t>. 29:247–61</w:t>
      </w:r>
    </w:p>
    <w:p w14:paraId="0680533D" w14:textId="55E3F19F" w:rsidR="0096134A" w:rsidRPr="001715D8" w:rsidRDefault="0096134A"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El-</w:t>
      </w:r>
      <w:proofErr w:type="spellStart"/>
      <w:r w:rsidRPr="001715D8">
        <w:rPr>
          <w:rFonts w:ascii="Helvetica" w:hAnsi="Helvetica" w:cs="Helvetica"/>
          <w:sz w:val="20"/>
          <w:szCs w:val="20"/>
        </w:rPr>
        <w:t>Gendy</w:t>
      </w:r>
      <w:proofErr w:type="spellEnd"/>
      <w:r w:rsidRPr="001715D8">
        <w:rPr>
          <w:rFonts w:ascii="Helvetica" w:hAnsi="Helvetica" w:cs="Helvetica"/>
          <w:sz w:val="20"/>
          <w:szCs w:val="20"/>
        </w:rPr>
        <w:t xml:space="preserve"> N, </w:t>
      </w:r>
      <w:proofErr w:type="spellStart"/>
      <w:r w:rsidRPr="001715D8">
        <w:rPr>
          <w:rFonts w:ascii="Helvetica" w:hAnsi="Helvetica" w:cs="Helvetica"/>
          <w:sz w:val="20"/>
          <w:szCs w:val="20"/>
        </w:rPr>
        <w:t>Abdelbary</w:t>
      </w:r>
      <w:proofErr w:type="spellEnd"/>
      <w:r w:rsidRPr="001715D8">
        <w:rPr>
          <w:rFonts w:ascii="Helvetica" w:hAnsi="Helvetica" w:cs="Helvetica"/>
          <w:sz w:val="20"/>
          <w:szCs w:val="20"/>
        </w:rPr>
        <w:t xml:space="preserve"> G, El-</w:t>
      </w:r>
      <w:proofErr w:type="spellStart"/>
      <w:r w:rsidRPr="001715D8">
        <w:rPr>
          <w:rFonts w:ascii="Helvetica" w:hAnsi="Helvetica" w:cs="Helvetica"/>
          <w:sz w:val="20"/>
          <w:szCs w:val="20"/>
        </w:rPr>
        <w:t>Komy</w:t>
      </w:r>
      <w:proofErr w:type="spellEnd"/>
      <w:r w:rsidRPr="001715D8">
        <w:rPr>
          <w:rFonts w:ascii="Helvetica" w:hAnsi="Helvetica" w:cs="Helvetica"/>
          <w:sz w:val="20"/>
          <w:szCs w:val="20"/>
        </w:rPr>
        <w:t xml:space="preserve"> M, </w:t>
      </w:r>
      <w:proofErr w:type="spellStart"/>
      <w:r w:rsidRPr="001715D8">
        <w:rPr>
          <w:rFonts w:ascii="Helvetica" w:hAnsi="Helvetica" w:cs="Helvetica"/>
          <w:sz w:val="20"/>
          <w:szCs w:val="20"/>
        </w:rPr>
        <w:t>Saafan</w:t>
      </w:r>
      <w:proofErr w:type="spellEnd"/>
      <w:r w:rsidRPr="001715D8">
        <w:rPr>
          <w:rFonts w:ascii="Helvetica" w:hAnsi="Helvetica" w:cs="Helvetica"/>
          <w:sz w:val="20"/>
          <w:szCs w:val="20"/>
        </w:rPr>
        <w:t xml:space="preserve"> A. </w:t>
      </w:r>
      <w:r w:rsidR="001715D8" w:rsidRPr="001715D8">
        <w:rPr>
          <w:rFonts w:ascii="Helvetica" w:hAnsi="Helvetica" w:cs="Helvetica"/>
          <w:sz w:val="20"/>
          <w:szCs w:val="20"/>
        </w:rPr>
        <w:t xml:space="preserve">(2009). </w:t>
      </w:r>
      <w:r w:rsidRPr="001715D8">
        <w:rPr>
          <w:rFonts w:ascii="Helvetica" w:hAnsi="Helvetica" w:cs="Helvetica"/>
          <w:sz w:val="20"/>
          <w:szCs w:val="20"/>
        </w:rPr>
        <w:t xml:space="preserve">Design and evaluation of a </w:t>
      </w:r>
      <w:proofErr w:type="spellStart"/>
      <w:r w:rsidRPr="001715D8">
        <w:rPr>
          <w:rFonts w:ascii="Helvetica" w:hAnsi="Helvetica" w:cs="Helvetica"/>
          <w:sz w:val="20"/>
          <w:szCs w:val="20"/>
        </w:rPr>
        <w:t>bioadhesive</w:t>
      </w:r>
      <w:proofErr w:type="spellEnd"/>
      <w:r w:rsidRPr="001715D8">
        <w:rPr>
          <w:rFonts w:ascii="Helvetica" w:hAnsi="Helvetica" w:cs="Helvetica"/>
          <w:sz w:val="20"/>
          <w:szCs w:val="20"/>
        </w:rPr>
        <w:t xml:space="preserve"> patch for topical delivery of gentamicin sulphate. </w:t>
      </w:r>
      <w:proofErr w:type="spellStart"/>
      <w:r w:rsidRPr="001715D8">
        <w:rPr>
          <w:rFonts w:ascii="Helvetica" w:hAnsi="Helvetica" w:cs="Helvetica"/>
          <w:sz w:val="20"/>
          <w:szCs w:val="20"/>
        </w:rPr>
        <w:t>Curr</w:t>
      </w:r>
      <w:proofErr w:type="spellEnd"/>
      <w:r w:rsidRPr="001715D8">
        <w:rPr>
          <w:rFonts w:ascii="Helvetica" w:hAnsi="Helvetica" w:cs="Helvetica"/>
          <w:sz w:val="20"/>
          <w:szCs w:val="20"/>
        </w:rPr>
        <w:t xml:space="preserve"> Drug Delivery. 6(1):50–7.</w:t>
      </w:r>
    </w:p>
    <w:p w14:paraId="7A5B8F1C" w14:textId="34F50F58" w:rsidR="008022F8" w:rsidRPr="001715D8" w:rsidRDefault="0096134A" w:rsidP="00EA6DAB">
      <w:pPr>
        <w:pStyle w:val="ListParagraph"/>
        <w:numPr>
          <w:ilvl w:val="0"/>
          <w:numId w:val="4"/>
        </w:numPr>
        <w:spacing w:line="240" w:lineRule="auto"/>
        <w:ind w:left="567" w:right="-64" w:hanging="567"/>
        <w:jc w:val="both"/>
        <w:rPr>
          <w:rFonts w:ascii="Helvetica" w:hAnsi="Helvetica" w:cs="Helvetica"/>
          <w:sz w:val="20"/>
          <w:szCs w:val="20"/>
        </w:rPr>
      </w:pPr>
      <w:r w:rsidRPr="00D448E8">
        <w:rPr>
          <w:rFonts w:ascii="Helvetica" w:hAnsi="Helvetica" w:cs="Helvetica"/>
          <w:sz w:val="20"/>
          <w:szCs w:val="20"/>
          <w:lang w:val="pt-BR"/>
        </w:rPr>
        <w:t xml:space="preserve">Siddiqui N, Rauf A, Latif A, Mahmood Z. </w:t>
      </w:r>
      <w:r w:rsidR="001715D8" w:rsidRPr="00D448E8">
        <w:rPr>
          <w:rFonts w:ascii="Helvetica" w:hAnsi="Helvetica" w:cs="Helvetica"/>
          <w:sz w:val="20"/>
          <w:szCs w:val="20"/>
          <w:lang w:val="pt-BR"/>
        </w:rPr>
        <w:t xml:space="preserve">(2017). </w:t>
      </w:r>
      <w:r w:rsidRPr="001715D8">
        <w:rPr>
          <w:rFonts w:ascii="Helvetica" w:hAnsi="Helvetica" w:cs="Helvetica"/>
          <w:sz w:val="20"/>
          <w:szCs w:val="20"/>
        </w:rPr>
        <w:t>Spectrophotometric determination of the total phenolic content, spectral and fluorescence study of the herbal Unani drug Gul-e-</w:t>
      </w:r>
      <w:proofErr w:type="spellStart"/>
      <w:r w:rsidRPr="001715D8">
        <w:rPr>
          <w:rFonts w:ascii="Helvetica" w:hAnsi="Helvetica" w:cs="Helvetica"/>
          <w:sz w:val="20"/>
          <w:szCs w:val="20"/>
        </w:rPr>
        <w:t>Zoofa</w:t>
      </w:r>
      <w:proofErr w:type="spellEnd"/>
      <w:r w:rsidRPr="001715D8">
        <w:rPr>
          <w:rFonts w:ascii="Helvetica" w:hAnsi="Helvetica" w:cs="Helvetica"/>
          <w:sz w:val="20"/>
          <w:szCs w:val="20"/>
        </w:rPr>
        <w:t xml:space="preserve"> (Nepeta </w:t>
      </w:r>
      <w:proofErr w:type="spellStart"/>
      <w:r w:rsidRPr="001715D8">
        <w:rPr>
          <w:rFonts w:ascii="Helvetica" w:hAnsi="Helvetica" w:cs="Helvetica"/>
          <w:sz w:val="20"/>
          <w:szCs w:val="20"/>
        </w:rPr>
        <w:t>bracteata</w:t>
      </w:r>
      <w:proofErr w:type="spellEnd"/>
      <w:r w:rsidRPr="001715D8">
        <w:rPr>
          <w:rFonts w:ascii="Helvetica" w:hAnsi="Helvetica" w:cs="Helvetica"/>
          <w:sz w:val="20"/>
          <w:szCs w:val="20"/>
        </w:rPr>
        <w:t xml:space="preserve"> </w:t>
      </w:r>
      <w:proofErr w:type="spellStart"/>
      <w:r w:rsidRPr="001715D8">
        <w:rPr>
          <w:rFonts w:ascii="Helvetica" w:hAnsi="Helvetica" w:cs="Helvetica"/>
          <w:sz w:val="20"/>
          <w:szCs w:val="20"/>
        </w:rPr>
        <w:t>Benth</w:t>
      </w:r>
      <w:proofErr w:type="spellEnd"/>
      <w:r w:rsidRPr="001715D8">
        <w:rPr>
          <w:rFonts w:ascii="Helvetica" w:hAnsi="Helvetica" w:cs="Helvetica"/>
          <w:sz w:val="20"/>
          <w:szCs w:val="20"/>
        </w:rPr>
        <w:t>). Journal of Taibah university medical sciences. 1;12(4):360-3.</w:t>
      </w:r>
    </w:p>
    <w:p w14:paraId="65773BE2" w14:textId="63666867" w:rsidR="0098398D" w:rsidRPr="001715D8" w:rsidRDefault="008022F8"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Roy A, Khan A, Ahmad I, Alghamdi S, Rajab BS, </w:t>
      </w:r>
      <w:proofErr w:type="spellStart"/>
      <w:r w:rsidRPr="001715D8">
        <w:rPr>
          <w:rFonts w:ascii="Helvetica" w:hAnsi="Helvetica" w:cs="Helvetica"/>
          <w:sz w:val="20"/>
          <w:szCs w:val="20"/>
        </w:rPr>
        <w:t>Babalghith</w:t>
      </w:r>
      <w:proofErr w:type="spellEnd"/>
      <w:r w:rsidRPr="001715D8">
        <w:rPr>
          <w:rFonts w:ascii="Helvetica" w:hAnsi="Helvetica" w:cs="Helvetica"/>
          <w:sz w:val="20"/>
          <w:szCs w:val="20"/>
        </w:rPr>
        <w:t xml:space="preserve"> AO, </w:t>
      </w:r>
      <w:proofErr w:type="spellStart"/>
      <w:r w:rsidRPr="001715D8">
        <w:rPr>
          <w:rFonts w:ascii="Helvetica" w:hAnsi="Helvetica" w:cs="Helvetica"/>
          <w:sz w:val="20"/>
          <w:szCs w:val="20"/>
        </w:rPr>
        <w:t>Alshahrani</w:t>
      </w:r>
      <w:proofErr w:type="spellEnd"/>
      <w:r w:rsidRPr="001715D8">
        <w:rPr>
          <w:rFonts w:ascii="Helvetica" w:hAnsi="Helvetica" w:cs="Helvetica"/>
          <w:sz w:val="20"/>
          <w:szCs w:val="20"/>
        </w:rPr>
        <w:t xml:space="preserve"> MY, Islam S, Islam MR. </w:t>
      </w:r>
      <w:r w:rsidR="001715D8" w:rsidRPr="001715D8">
        <w:rPr>
          <w:rFonts w:ascii="Helvetica" w:hAnsi="Helvetica" w:cs="Helvetica"/>
          <w:sz w:val="20"/>
          <w:szCs w:val="20"/>
        </w:rPr>
        <w:t xml:space="preserve">(2022). </w:t>
      </w:r>
      <w:r w:rsidRPr="001715D8">
        <w:rPr>
          <w:rFonts w:ascii="Helvetica" w:hAnsi="Helvetica" w:cs="Helvetica"/>
          <w:sz w:val="20"/>
          <w:szCs w:val="20"/>
        </w:rPr>
        <w:t>Flavonoids a bioactive compound from medicinal plants and its therapeutic applications. BioMed research international. (1):5445291.</w:t>
      </w:r>
    </w:p>
    <w:p w14:paraId="3F818D85" w14:textId="6AD9E729" w:rsidR="006B7F54" w:rsidRPr="001715D8" w:rsidRDefault="006B7F54" w:rsidP="00EA6DAB">
      <w:pPr>
        <w:pStyle w:val="ListParagraph"/>
        <w:spacing w:line="240" w:lineRule="auto"/>
        <w:ind w:right="-64"/>
        <w:jc w:val="both"/>
        <w:rPr>
          <w:rFonts w:ascii="Helvetica" w:hAnsi="Helvetica" w:cs="Helvetica"/>
          <w:sz w:val="20"/>
          <w:szCs w:val="20"/>
        </w:rPr>
      </w:pPr>
    </w:p>
    <w:sectPr w:rsidR="006B7F54" w:rsidRPr="001715D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DAE7E" w14:textId="77777777" w:rsidR="00E16C6D" w:rsidRDefault="00E16C6D" w:rsidP="001B0E97">
      <w:pPr>
        <w:spacing w:after="0" w:line="240" w:lineRule="auto"/>
      </w:pPr>
      <w:r>
        <w:separator/>
      </w:r>
    </w:p>
  </w:endnote>
  <w:endnote w:type="continuationSeparator" w:id="0">
    <w:p w14:paraId="2C3C864C" w14:textId="77777777" w:rsidR="00E16C6D" w:rsidRDefault="00E16C6D" w:rsidP="001B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5300" w14:textId="77777777" w:rsidR="00D4623F" w:rsidRDefault="00D46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AC7E" w14:textId="77777777" w:rsidR="00D4623F" w:rsidRDefault="00D46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2302" w14:textId="77777777" w:rsidR="00D4623F" w:rsidRDefault="00D4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9A1BA" w14:textId="77777777" w:rsidR="00E16C6D" w:rsidRDefault="00E16C6D" w:rsidP="001B0E97">
      <w:pPr>
        <w:spacing w:after="0" w:line="240" w:lineRule="auto"/>
      </w:pPr>
      <w:r>
        <w:separator/>
      </w:r>
    </w:p>
  </w:footnote>
  <w:footnote w:type="continuationSeparator" w:id="0">
    <w:p w14:paraId="20C1F1E1" w14:textId="77777777" w:rsidR="00E16C6D" w:rsidRDefault="00E16C6D" w:rsidP="001B0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4ECF" w14:textId="54C25FB4" w:rsidR="00D4623F" w:rsidRDefault="009B4EB1">
    <w:pPr>
      <w:pStyle w:val="Header"/>
    </w:pPr>
    <w:r>
      <w:rPr>
        <w:noProof/>
      </w:rPr>
      <w:pict w14:anchorId="447B9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1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3104" w14:textId="36152404" w:rsidR="00D4623F" w:rsidRDefault="009B4EB1">
    <w:pPr>
      <w:pStyle w:val="Header"/>
    </w:pPr>
    <w:r>
      <w:rPr>
        <w:noProof/>
      </w:rPr>
      <w:pict w14:anchorId="10555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1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A38B" w14:textId="3C3CA8B4" w:rsidR="00D4623F" w:rsidRDefault="009B4EB1">
    <w:pPr>
      <w:pStyle w:val="Header"/>
    </w:pPr>
    <w:r>
      <w:rPr>
        <w:noProof/>
      </w:rPr>
      <w:pict w14:anchorId="0DDB9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1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13EE"/>
    <w:multiLevelType w:val="multilevel"/>
    <w:tmpl w:val="A92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E6EA0"/>
    <w:multiLevelType w:val="hybridMultilevel"/>
    <w:tmpl w:val="61F8F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193408"/>
    <w:multiLevelType w:val="hybridMultilevel"/>
    <w:tmpl w:val="403210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D4041F"/>
    <w:multiLevelType w:val="hybridMultilevel"/>
    <w:tmpl w:val="B44C7BC0"/>
    <w:lvl w:ilvl="0" w:tplc="4009000F">
      <w:start w:val="1"/>
      <w:numFmt w:val="decimal"/>
      <w:lvlText w:val="%1."/>
      <w:lvlJc w:val="left"/>
      <w:pPr>
        <w:ind w:left="1211"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89B199C"/>
    <w:multiLevelType w:val="multilevel"/>
    <w:tmpl w:val="34367428"/>
    <w:lvl w:ilvl="0">
      <w:start w:val="3"/>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wNzA3NDIwMDY0MjdX0lEKTi0uzszPAykwrAUA7eitHywAAAA="/>
  </w:docVars>
  <w:rsids>
    <w:rsidRoot w:val="00F82E94"/>
    <w:rsid w:val="00007166"/>
    <w:rsid w:val="00012AAB"/>
    <w:rsid w:val="0006309C"/>
    <w:rsid w:val="0006516C"/>
    <w:rsid w:val="000739FC"/>
    <w:rsid w:val="00084A75"/>
    <w:rsid w:val="000A0D6E"/>
    <w:rsid w:val="000A3AA9"/>
    <w:rsid w:val="000F0E8B"/>
    <w:rsid w:val="00105E14"/>
    <w:rsid w:val="00126E2C"/>
    <w:rsid w:val="00136C51"/>
    <w:rsid w:val="00142E64"/>
    <w:rsid w:val="00143F61"/>
    <w:rsid w:val="00156843"/>
    <w:rsid w:val="001715D8"/>
    <w:rsid w:val="0019097F"/>
    <w:rsid w:val="001B0E97"/>
    <w:rsid w:val="001C697E"/>
    <w:rsid w:val="001D52A3"/>
    <w:rsid w:val="002042F4"/>
    <w:rsid w:val="00225ABC"/>
    <w:rsid w:val="00253B76"/>
    <w:rsid w:val="002634F4"/>
    <w:rsid w:val="00281F10"/>
    <w:rsid w:val="00290F46"/>
    <w:rsid w:val="00291000"/>
    <w:rsid w:val="002B32D7"/>
    <w:rsid w:val="002C00D9"/>
    <w:rsid w:val="002C15A5"/>
    <w:rsid w:val="002D4936"/>
    <w:rsid w:val="002D6CFB"/>
    <w:rsid w:val="002E6A28"/>
    <w:rsid w:val="002F1ABE"/>
    <w:rsid w:val="002F6C84"/>
    <w:rsid w:val="00336BFE"/>
    <w:rsid w:val="00346247"/>
    <w:rsid w:val="00351957"/>
    <w:rsid w:val="003575B7"/>
    <w:rsid w:val="00360EF0"/>
    <w:rsid w:val="0036276C"/>
    <w:rsid w:val="0036683E"/>
    <w:rsid w:val="00373019"/>
    <w:rsid w:val="003A0AA2"/>
    <w:rsid w:val="003B2EEA"/>
    <w:rsid w:val="003B5096"/>
    <w:rsid w:val="003C1A66"/>
    <w:rsid w:val="003D02A3"/>
    <w:rsid w:val="003F5025"/>
    <w:rsid w:val="00441C60"/>
    <w:rsid w:val="00467B46"/>
    <w:rsid w:val="00473F0E"/>
    <w:rsid w:val="0047487A"/>
    <w:rsid w:val="00497271"/>
    <w:rsid w:val="004B18D5"/>
    <w:rsid w:val="004B76DF"/>
    <w:rsid w:val="004C0601"/>
    <w:rsid w:val="004D3E2C"/>
    <w:rsid w:val="00504AB3"/>
    <w:rsid w:val="00506F88"/>
    <w:rsid w:val="00511669"/>
    <w:rsid w:val="00531AAB"/>
    <w:rsid w:val="0054067F"/>
    <w:rsid w:val="00552055"/>
    <w:rsid w:val="00557284"/>
    <w:rsid w:val="005B22E3"/>
    <w:rsid w:val="005C12B6"/>
    <w:rsid w:val="005E0E81"/>
    <w:rsid w:val="00612F41"/>
    <w:rsid w:val="006143D3"/>
    <w:rsid w:val="00625ADB"/>
    <w:rsid w:val="00637D6C"/>
    <w:rsid w:val="006505ED"/>
    <w:rsid w:val="006B7F54"/>
    <w:rsid w:val="006C2FB2"/>
    <w:rsid w:val="006C6AA2"/>
    <w:rsid w:val="006D4C78"/>
    <w:rsid w:val="006D4EF4"/>
    <w:rsid w:val="006E2C8C"/>
    <w:rsid w:val="00740505"/>
    <w:rsid w:val="007421CC"/>
    <w:rsid w:val="0078649E"/>
    <w:rsid w:val="007957A0"/>
    <w:rsid w:val="007B5344"/>
    <w:rsid w:val="007D4302"/>
    <w:rsid w:val="007E5F53"/>
    <w:rsid w:val="007F6C99"/>
    <w:rsid w:val="008022F8"/>
    <w:rsid w:val="0082004B"/>
    <w:rsid w:val="00823FDF"/>
    <w:rsid w:val="0082595A"/>
    <w:rsid w:val="008269A7"/>
    <w:rsid w:val="0083602B"/>
    <w:rsid w:val="0084240E"/>
    <w:rsid w:val="0084393C"/>
    <w:rsid w:val="00846C09"/>
    <w:rsid w:val="00882367"/>
    <w:rsid w:val="0089083E"/>
    <w:rsid w:val="008A3992"/>
    <w:rsid w:val="008A781F"/>
    <w:rsid w:val="008C630F"/>
    <w:rsid w:val="009061F6"/>
    <w:rsid w:val="00906F02"/>
    <w:rsid w:val="00911596"/>
    <w:rsid w:val="00913F8D"/>
    <w:rsid w:val="00917F41"/>
    <w:rsid w:val="00940814"/>
    <w:rsid w:val="00954564"/>
    <w:rsid w:val="0096134A"/>
    <w:rsid w:val="009657D3"/>
    <w:rsid w:val="00966FA3"/>
    <w:rsid w:val="00967FF5"/>
    <w:rsid w:val="00972FB6"/>
    <w:rsid w:val="00975DB1"/>
    <w:rsid w:val="0098398D"/>
    <w:rsid w:val="009849CA"/>
    <w:rsid w:val="00987DB4"/>
    <w:rsid w:val="00997848"/>
    <w:rsid w:val="009B4EB1"/>
    <w:rsid w:val="009F1F73"/>
    <w:rsid w:val="00A102FD"/>
    <w:rsid w:val="00A10AF7"/>
    <w:rsid w:val="00A157EB"/>
    <w:rsid w:val="00A57A66"/>
    <w:rsid w:val="00A57E6B"/>
    <w:rsid w:val="00A60E1A"/>
    <w:rsid w:val="00A67CF9"/>
    <w:rsid w:val="00A842B2"/>
    <w:rsid w:val="00A934AC"/>
    <w:rsid w:val="00A96DBC"/>
    <w:rsid w:val="00AC0316"/>
    <w:rsid w:val="00AD0FD5"/>
    <w:rsid w:val="00AE0D45"/>
    <w:rsid w:val="00AF0AF2"/>
    <w:rsid w:val="00AF357B"/>
    <w:rsid w:val="00AF4AC4"/>
    <w:rsid w:val="00AF6381"/>
    <w:rsid w:val="00B20363"/>
    <w:rsid w:val="00B20B57"/>
    <w:rsid w:val="00B75451"/>
    <w:rsid w:val="00B872AB"/>
    <w:rsid w:val="00BA105F"/>
    <w:rsid w:val="00BD1068"/>
    <w:rsid w:val="00BD58A4"/>
    <w:rsid w:val="00BD7C5D"/>
    <w:rsid w:val="00BE1E3C"/>
    <w:rsid w:val="00BF7268"/>
    <w:rsid w:val="00C022CE"/>
    <w:rsid w:val="00C10211"/>
    <w:rsid w:val="00C25D3B"/>
    <w:rsid w:val="00C35A70"/>
    <w:rsid w:val="00C414B6"/>
    <w:rsid w:val="00C41846"/>
    <w:rsid w:val="00C63376"/>
    <w:rsid w:val="00C65C4B"/>
    <w:rsid w:val="00C70B03"/>
    <w:rsid w:val="00C75F03"/>
    <w:rsid w:val="00C94343"/>
    <w:rsid w:val="00CB7A4D"/>
    <w:rsid w:val="00CE0D73"/>
    <w:rsid w:val="00CF165E"/>
    <w:rsid w:val="00CF41F4"/>
    <w:rsid w:val="00D00DDF"/>
    <w:rsid w:val="00D32CFB"/>
    <w:rsid w:val="00D448E8"/>
    <w:rsid w:val="00D4623F"/>
    <w:rsid w:val="00D57F17"/>
    <w:rsid w:val="00D61557"/>
    <w:rsid w:val="00D632AB"/>
    <w:rsid w:val="00D751A5"/>
    <w:rsid w:val="00D95375"/>
    <w:rsid w:val="00DA3E79"/>
    <w:rsid w:val="00DB1F28"/>
    <w:rsid w:val="00DB4312"/>
    <w:rsid w:val="00DB7DAD"/>
    <w:rsid w:val="00DE2278"/>
    <w:rsid w:val="00DF4031"/>
    <w:rsid w:val="00DF5795"/>
    <w:rsid w:val="00DF64D7"/>
    <w:rsid w:val="00E01503"/>
    <w:rsid w:val="00E05317"/>
    <w:rsid w:val="00E07D2F"/>
    <w:rsid w:val="00E16C6D"/>
    <w:rsid w:val="00E401AC"/>
    <w:rsid w:val="00E4043F"/>
    <w:rsid w:val="00E42A8A"/>
    <w:rsid w:val="00E44403"/>
    <w:rsid w:val="00E557C8"/>
    <w:rsid w:val="00EA6DAB"/>
    <w:rsid w:val="00EB7603"/>
    <w:rsid w:val="00EB786E"/>
    <w:rsid w:val="00EE1B96"/>
    <w:rsid w:val="00EF7555"/>
    <w:rsid w:val="00F14579"/>
    <w:rsid w:val="00F46E50"/>
    <w:rsid w:val="00F53622"/>
    <w:rsid w:val="00F60C32"/>
    <w:rsid w:val="00F70309"/>
    <w:rsid w:val="00F82E94"/>
    <w:rsid w:val="00FB6179"/>
    <w:rsid w:val="00FC2C6A"/>
    <w:rsid w:val="00FE5ED2"/>
    <w:rsid w:val="00FF5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D5A42"/>
  <w15:chartTrackingRefBased/>
  <w15:docId w15:val="{E90DF62C-3D2D-49AB-A03F-7F5CC544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9CA"/>
  </w:style>
  <w:style w:type="paragraph" w:styleId="Heading1">
    <w:name w:val="heading 1"/>
    <w:basedOn w:val="Normal"/>
    <w:next w:val="Normal"/>
    <w:link w:val="Heading1Char"/>
    <w:uiPriority w:val="9"/>
    <w:qFormat/>
    <w:rsid w:val="00F82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E94"/>
    <w:rPr>
      <w:rFonts w:eastAsiaTheme="majorEastAsia" w:cstheme="majorBidi"/>
      <w:color w:val="272727" w:themeColor="text1" w:themeTint="D8"/>
    </w:rPr>
  </w:style>
  <w:style w:type="paragraph" w:styleId="Title">
    <w:name w:val="Title"/>
    <w:basedOn w:val="Normal"/>
    <w:next w:val="Normal"/>
    <w:link w:val="TitleChar"/>
    <w:uiPriority w:val="10"/>
    <w:qFormat/>
    <w:rsid w:val="00F82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E94"/>
    <w:pPr>
      <w:spacing w:before="160"/>
      <w:jc w:val="center"/>
    </w:pPr>
    <w:rPr>
      <w:i/>
      <w:iCs/>
      <w:color w:val="404040" w:themeColor="text1" w:themeTint="BF"/>
    </w:rPr>
  </w:style>
  <w:style w:type="character" w:customStyle="1" w:styleId="QuoteChar">
    <w:name w:val="Quote Char"/>
    <w:basedOn w:val="DefaultParagraphFont"/>
    <w:link w:val="Quote"/>
    <w:uiPriority w:val="29"/>
    <w:rsid w:val="00F82E94"/>
    <w:rPr>
      <w:i/>
      <w:iCs/>
      <w:color w:val="404040" w:themeColor="text1" w:themeTint="BF"/>
    </w:rPr>
  </w:style>
  <w:style w:type="paragraph" w:styleId="ListParagraph">
    <w:name w:val="List Paragraph"/>
    <w:basedOn w:val="Normal"/>
    <w:uiPriority w:val="34"/>
    <w:qFormat/>
    <w:rsid w:val="00F82E94"/>
    <w:pPr>
      <w:ind w:left="720"/>
      <w:contextualSpacing/>
    </w:pPr>
  </w:style>
  <w:style w:type="character" w:styleId="IntenseEmphasis">
    <w:name w:val="Intense Emphasis"/>
    <w:basedOn w:val="DefaultParagraphFont"/>
    <w:uiPriority w:val="21"/>
    <w:qFormat/>
    <w:rsid w:val="00F82E94"/>
    <w:rPr>
      <w:i/>
      <w:iCs/>
      <w:color w:val="2F5496" w:themeColor="accent1" w:themeShade="BF"/>
    </w:rPr>
  </w:style>
  <w:style w:type="paragraph" w:styleId="IntenseQuote">
    <w:name w:val="Intense Quote"/>
    <w:basedOn w:val="Normal"/>
    <w:next w:val="Normal"/>
    <w:link w:val="IntenseQuoteChar"/>
    <w:uiPriority w:val="30"/>
    <w:qFormat/>
    <w:rsid w:val="00F82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E94"/>
    <w:rPr>
      <w:i/>
      <w:iCs/>
      <w:color w:val="2F5496" w:themeColor="accent1" w:themeShade="BF"/>
    </w:rPr>
  </w:style>
  <w:style w:type="character" w:styleId="IntenseReference">
    <w:name w:val="Intense Reference"/>
    <w:basedOn w:val="DefaultParagraphFont"/>
    <w:uiPriority w:val="32"/>
    <w:qFormat/>
    <w:rsid w:val="00F82E94"/>
    <w:rPr>
      <w:b/>
      <w:bCs/>
      <w:smallCaps/>
      <w:color w:val="2F5496" w:themeColor="accent1" w:themeShade="BF"/>
      <w:spacing w:val="5"/>
    </w:rPr>
  </w:style>
  <w:style w:type="table" w:styleId="TableGrid">
    <w:name w:val="Table Grid"/>
    <w:basedOn w:val="TableNormal"/>
    <w:uiPriority w:val="39"/>
    <w:rsid w:val="0006516C"/>
    <w:pPr>
      <w:spacing w:after="0" w:line="240" w:lineRule="auto"/>
    </w:pPr>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B0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97"/>
  </w:style>
  <w:style w:type="paragraph" w:styleId="Footer">
    <w:name w:val="footer"/>
    <w:basedOn w:val="Normal"/>
    <w:link w:val="FooterChar"/>
    <w:uiPriority w:val="99"/>
    <w:unhideWhenUsed/>
    <w:rsid w:val="001B0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E97"/>
  </w:style>
  <w:style w:type="character" w:styleId="Hyperlink">
    <w:name w:val="Hyperlink"/>
    <w:basedOn w:val="DefaultParagraphFont"/>
    <w:uiPriority w:val="99"/>
    <w:unhideWhenUsed/>
    <w:rsid w:val="00DA3E79"/>
    <w:rPr>
      <w:color w:val="0563C1" w:themeColor="hyperlink"/>
      <w:u w:val="single"/>
    </w:rPr>
  </w:style>
  <w:style w:type="character" w:styleId="UnresolvedMention">
    <w:name w:val="Unresolved Mention"/>
    <w:basedOn w:val="DefaultParagraphFont"/>
    <w:uiPriority w:val="99"/>
    <w:semiHidden/>
    <w:unhideWhenUsed/>
    <w:rsid w:val="00CF41F4"/>
    <w:rPr>
      <w:color w:val="605E5C"/>
      <w:shd w:val="clear" w:color="auto" w:fill="E1DFDD"/>
    </w:rPr>
  </w:style>
  <w:style w:type="table" w:customStyle="1" w:styleId="TableGrid1">
    <w:name w:val="Table Grid1"/>
    <w:basedOn w:val="TableNormal"/>
    <w:next w:val="TableGrid"/>
    <w:uiPriority w:val="39"/>
    <w:rsid w:val="00987DB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share.google/4utMERLuMk12pP1U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hyperlink" Target="https://share.google/KtV9PRecYv60AbIX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share.google/q2uoerU9yD3RFlfm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alpha%20arbutin%20sc%20buff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eye%20patch\images\drug%20releas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Copy%20of%20METTI%20UG%20antioxidan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Copy%20of%20METTI%20UG%20antioxidan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D:\Copy%20of%20METTI%20UG%20antioxidan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45581540722956"/>
          <c:y val="8.7591240875912413E-2"/>
          <c:w val="0.78314508145375694"/>
          <c:h val="0.6764770389102822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6308011264399911"/>
                  <c:y val="-3.5133088658189926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Sheet1!$A$57:$A$62</c:f>
              <c:numCache>
                <c:formatCode>General</c:formatCode>
                <c:ptCount val="6"/>
                <c:pt idx="0">
                  <c:v>0</c:v>
                </c:pt>
                <c:pt idx="1">
                  <c:v>1</c:v>
                </c:pt>
                <c:pt idx="2">
                  <c:v>2</c:v>
                </c:pt>
                <c:pt idx="3">
                  <c:v>3</c:v>
                </c:pt>
                <c:pt idx="4">
                  <c:v>4</c:v>
                </c:pt>
                <c:pt idx="5">
                  <c:v>5</c:v>
                </c:pt>
              </c:numCache>
            </c:numRef>
          </c:xVal>
          <c:yVal>
            <c:numRef>
              <c:f>Sheet1!$B$57:$B$62</c:f>
              <c:numCache>
                <c:formatCode>General</c:formatCode>
                <c:ptCount val="6"/>
                <c:pt idx="0">
                  <c:v>0</c:v>
                </c:pt>
                <c:pt idx="1">
                  <c:v>0.125</c:v>
                </c:pt>
                <c:pt idx="2">
                  <c:v>0.21</c:v>
                </c:pt>
                <c:pt idx="3">
                  <c:v>0.27500000000000002</c:v>
                </c:pt>
                <c:pt idx="4">
                  <c:v>0.38</c:v>
                </c:pt>
                <c:pt idx="5">
                  <c:v>0.47099999999999997</c:v>
                </c:pt>
              </c:numCache>
            </c:numRef>
          </c:yVal>
          <c:smooth val="0"/>
          <c:extLst>
            <c:ext xmlns:c16="http://schemas.microsoft.com/office/drawing/2014/chart" uri="{C3380CC4-5D6E-409C-BE32-E72D297353CC}">
              <c16:uniqueId val="{00000001-32C5-428D-8D43-664D6349E3E3}"/>
            </c:ext>
          </c:extLst>
        </c:ser>
        <c:dLbls>
          <c:showLegendKey val="0"/>
          <c:showVal val="0"/>
          <c:showCatName val="0"/>
          <c:showSerName val="0"/>
          <c:showPercent val="0"/>
          <c:showBubbleSize val="0"/>
        </c:dLbls>
        <c:axId val="765283152"/>
        <c:axId val="765293232"/>
      </c:scatterChart>
      <c:valAx>
        <c:axId val="76528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Concentration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293232"/>
        <c:crosses val="autoZero"/>
        <c:crossBetween val="midCat"/>
      </c:valAx>
      <c:valAx>
        <c:axId val="76529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2831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312453323894649E-2"/>
          <c:y val="9.4696486770396576E-2"/>
          <c:w val="0.87119685039370098"/>
          <c:h val="0.73577136191309433"/>
        </c:manualLayout>
      </c:layout>
      <c:scatterChart>
        <c:scatterStyle val="lineMarker"/>
        <c:varyColors val="0"/>
        <c:ser>
          <c:idx val="0"/>
          <c:order val="0"/>
          <c:tx>
            <c:strRef>
              <c:f>Sheet1!$G$33</c:f>
              <c:strCache>
                <c:ptCount val="1"/>
                <c:pt idx="0">
                  <c:v>F1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Sheet1!$F$34:$F$40</c:f>
              <c:numCache>
                <c:formatCode>General</c:formatCode>
                <c:ptCount val="7"/>
                <c:pt idx="0">
                  <c:v>0</c:v>
                </c:pt>
                <c:pt idx="1">
                  <c:v>15</c:v>
                </c:pt>
                <c:pt idx="2">
                  <c:v>30</c:v>
                </c:pt>
                <c:pt idx="3">
                  <c:v>45</c:v>
                </c:pt>
                <c:pt idx="4">
                  <c:v>60</c:v>
                </c:pt>
                <c:pt idx="5">
                  <c:v>75</c:v>
                </c:pt>
                <c:pt idx="6">
                  <c:v>90</c:v>
                </c:pt>
              </c:numCache>
            </c:numRef>
          </c:xVal>
          <c:yVal>
            <c:numRef>
              <c:f>Sheet1!$G$34:$G$40</c:f>
              <c:numCache>
                <c:formatCode>General</c:formatCode>
                <c:ptCount val="7"/>
                <c:pt idx="0">
                  <c:v>0</c:v>
                </c:pt>
                <c:pt idx="1">
                  <c:v>27.07</c:v>
                </c:pt>
                <c:pt idx="2">
                  <c:v>48.48</c:v>
                </c:pt>
                <c:pt idx="3">
                  <c:v>64.87</c:v>
                </c:pt>
                <c:pt idx="4">
                  <c:v>75.290000000000006</c:v>
                </c:pt>
                <c:pt idx="5">
                  <c:v>84.07</c:v>
                </c:pt>
                <c:pt idx="6">
                  <c:v>95.72</c:v>
                </c:pt>
              </c:numCache>
            </c:numRef>
          </c:yVal>
          <c:smooth val="0"/>
          <c:extLst>
            <c:ext xmlns:c16="http://schemas.microsoft.com/office/drawing/2014/chart" uri="{C3380CC4-5D6E-409C-BE32-E72D297353CC}">
              <c16:uniqueId val="{00000000-F7D3-4F08-A718-2D2CAA11E050}"/>
            </c:ext>
          </c:extLst>
        </c:ser>
        <c:ser>
          <c:idx val="1"/>
          <c:order val="1"/>
          <c:tx>
            <c:strRef>
              <c:f>Sheet1!$H$33</c:f>
              <c:strCache>
                <c:ptCount val="1"/>
                <c:pt idx="0">
                  <c:v>F2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Sheet1!$F$34:$F$40</c:f>
              <c:numCache>
                <c:formatCode>General</c:formatCode>
                <c:ptCount val="7"/>
                <c:pt idx="0">
                  <c:v>0</c:v>
                </c:pt>
                <c:pt idx="1">
                  <c:v>15</c:v>
                </c:pt>
                <c:pt idx="2">
                  <c:v>30</c:v>
                </c:pt>
                <c:pt idx="3">
                  <c:v>45</c:v>
                </c:pt>
                <c:pt idx="4">
                  <c:v>60</c:v>
                </c:pt>
                <c:pt idx="5">
                  <c:v>75</c:v>
                </c:pt>
                <c:pt idx="6">
                  <c:v>90</c:v>
                </c:pt>
              </c:numCache>
            </c:numRef>
          </c:xVal>
          <c:yVal>
            <c:numRef>
              <c:f>Sheet1!$H$34:$H$40</c:f>
              <c:numCache>
                <c:formatCode>General</c:formatCode>
                <c:ptCount val="7"/>
                <c:pt idx="0">
                  <c:v>0</c:v>
                </c:pt>
                <c:pt idx="1">
                  <c:v>17.12</c:v>
                </c:pt>
                <c:pt idx="2">
                  <c:v>31.61</c:v>
                </c:pt>
                <c:pt idx="3">
                  <c:v>38.57</c:v>
                </c:pt>
                <c:pt idx="4">
                  <c:v>56.94</c:v>
                </c:pt>
                <c:pt idx="5">
                  <c:v>70.61</c:v>
                </c:pt>
                <c:pt idx="6">
                  <c:v>75.489999999999995</c:v>
                </c:pt>
              </c:numCache>
            </c:numRef>
          </c:yVal>
          <c:smooth val="0"/>
          <c:extLst>
            <c:ext xmlns:c16="http://schemas.microsoft.com/office/drawing/2014/chart" uri="{C3380CC4-5D6E-409C-BE32-E72D297353CC}">
              <c16:uniqueId val="{00000001-F7D3-4F08-A718-2D2CAA11E050}"/>
            </c:ext>
          </c:extLst>
        </c:ser>
        <c:ser>
          <c:idx val="2"/>
          <c:order val="2"/>
          <c:tx>
            <c:strRef>
              <c:f>Sheet1!$I$33</c:f>
              <c:strCache>
                <c:ptCount val="1"/>
                <c:pt idx="0">
                  <c:v>F3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Sheet1!$F$34:$F$40</c:f>
              <c:numCache>
                <c:formatCode>General</c:formatCode>
                <c:ptCount val="7"/>
                <c:pt idx="0">
                  <c:v>0</c:v>
                </c:pt>
                <c:pt idx="1">
                  <c:v>15</c:v>
                </c:pt>
                <c:pt idx="2">
                  <c:v>30</c:v>
                </c:pt>
                <c:pt idx="3">
                  <c:v>45</c:v>
                </c:pt>
                <c:pt idx="4">
                  <c:v>60</c:v>
                </c:pt>
                <c:pt idx="5">
                  <c:v>75</c:v>
                </c:pt>
                <c:pt idx="6">
                  <c:v>90</c:v>
                </c:pt>
              </c:numCache>
            </c:numRef>
          </c:xVal>
          <c:yVal>
            <c:numRef>
              <c:f>Sheet1!$I$34:$I$40</c:f>
              <c:numCache>
                <c:formatCode>General</c:formatCode>
                <c:ptCount val="7"/>
                <c:pt idx="0">
                  <c:v>0</c:v>
                </c:pt>
                <c:pt idx="1">
                  <c:v>16.59</c:v>
                </c:pt>
                <c:pt idx="2">
                  <c:v>31.08</c:v>
                </c:pt>
                <c:pt idx="3">
                  <c:v>34.71</c:v>
                </c:pt>
                <c:pt idx="4">
                  <c:v>55.85</c:v>
                </c:pt>
                <c:pt idx="5">
                  <c:v>57.79</c:v>
                </c:pt>
                <c:pt idx="6">
                  <c:v>69.89</c:v>
                </c:pt>
              </c:numCache>
            </c:numRef>
          </c:yVal>
          <c:smooth val="0"/>
          <c:extLst>
            <c:ext xmlns:c16="http://schemas.microsoft.com/office/drawing/2014/chart" uri="{C3380CC4-5D6E-409C-BE32-E72D297353CC}">
              <c16:uniqueId val="{00000002-F7D3-4F08-A718-2D2CAA11E050}"/>
            </c:ext>
          </c:extLst>
        </c:ser>
        <c:dLbls>
          <c:showLegendKey val="0"/>
          <c:showVal val="0"/>
          <c:showCatName val="0"/>
          <c:showSerName val="0"/>
          <c:showPercent val="0"/>
          <c:showBubbleSize val="0"/>
        </c:dLbls>
        <c:axId val="130508288"/>
        <c:axId val="130510208"/>
      </c:scatterChart>
      <c:valAx>
        <c:axId val="130508288"/>
        <c:scaling>
          <c:orientation val="minMax"/>
        </c:scaling>
        <c:delete val="0"/>
        <c:axPos val="b"/>
        <c:title>
          <c:tx>
            <c:rich>
              <a:bodyPr rot="0" vert="horz"/>
              <a:lstStyle/>
              <a:p>
                <a:pPr>
                  <a:defRPr/>
                </a:pPr>
                <a:r>
                  <a:rPr lang="en-US"/>
                  <a:t>time(min)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30510208"/>
        <c:crosses val="autoZero"/>
        <c:crossBetween val="midCat"/>
      </c:valAx>
      <c:valAx>
        <c:axId val="130510208"/>
        <c:scaling>
          <c:orientation val="minMax"/>
        </c:scaling>
        <c:delete val="0"/>
        <c:axPos val="l"/>
        <c:title>
          <c:tx>
            <c:rich>
              <a:bodyPr rot="-5400000" vert="horz"/>
              <a:lstStyle/>
              <a:p>
                <a:pPr>
                  <a:defRPr/>
                </a:pPr>
                <a:r>
                  <a:rPr lang="en-US">
                    <a:highlight>
                      <a:srgbClr val="FFFF00"/>
                    </a:highlight>
                  </a:rPr>
                  <a:t>%Cumulative</a:t>
                </a:r>
                <a:r>
                  <a:rPr lang="en-US" baseline="0">
                    <a:highlight>
                      <a:srgbClr val="FFFF00"/>
                    </a:highlight>
                  </a:rPr>
                  <a:t> drug release</a:t>
                </a:r>
                <a:endParaRPr lang="en-US">
                  <a:highlight>
                    <a:srgbClr val="FFFF00"/>
                  </a:highligh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30508288"/>
        <c:crosses val="autoZero"/>
        <c:crossBetween val="midCat"/>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64056671069562"/>
          <c:y val="0.13626509755342212"/>
          <c:w val="0.72580165125653184"/>
          <c:h val="0.66875193558377211"/>
        </c:manualLayout>
      </c:layout>
      <c:scatterChart>
        <c:scatterStyle val="lineMarker"/>
        <c:varyColors val="0"/>
        <c:ser>
          <c:idx val="0"/>
          <c:order val="0"/>
          <c:tx>
            <c:strRef>
              <c:f>Sheet2!$I$3</c:f>
              <c:strCache>
                <c:ptCount val="1"/>
                <c:pt idx="0">
                  <c:v>%SA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5212550641832972E-3"/>
                  <c:y val="-3.0969340353050479E-2"/>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y = 0.8011x + 4.0487</a:t>
                    </a:r>
                    <a:br>
                      <a:rPr lang="en-US"/>
                    </a:br>
                    <a:r>
                      <a:rPr lang="en-US"/>
                      <a:t>R² = 0.9781</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Sheet2!$H$4:$H$11</c:f>
              <c:numCache>
                <c:formatCode>General</c:formatCode>
                <c:ptCount val="8"/>
                <c:pt idx="0">
                  <c:v>0</c:v>
                </c:pt>
                <c:pt idx="1">
                  <c:v>10</c:v>
                </c:pt>
                <c:pt idx="2">
                  <c:v>20</c:v>
                </c:pt>
                <c:pt idx="3">
                  <c:v>30</c:v>
                </c:pt>
                <c:pt idx="4">
                  <c:v>40</c:v>
                </c:pt>
                <c:pt idx="5">
                  <c:v>50</c:v>
                </c:pt>
                <c:pt idx="6">
                  <c:v>75</c:v>
                </c:pt>
                <c:pt idx="7">
                  <c:v>100</c:v>
                </c:pt>
              </c:numCache>
            </c:numRef>
          </c:xVal>
          <c:yVal>
            <c:numRef>
              <c:f>Sheet2!$I$4:$I$11</c:f>
              <c:numCache>
                <c:formatCode>General</c:formatCode>
                <c:ptCount val="8"/>
                <c:pt idx="0">
                  <c:v>0</c:v>
                </c:pt>
                <c:pt idx="1">
                  <c:v>10.87</c:v>
                </c:pt>
                <c:pt idx="2">
                  <c:v>20.82</c:v>
                </c:pt>
                <c:pt idx="3">
                  <c:v>26.18</c:v>
                </c:pt>
                <c:pt idx="4">
                  <c:v>39.659999999999997</c:v>
                </c:pt>
                <c:pt idx="5">
                  <c:v>50.22</c:v>
                </c:pt>
                <c:pt idx="6">
                  <c:v>66.760000000000005</c:v>
                </c:pt>
                <c:pt idx="7">
                  <c:v>78.25</c:v>
                </c:pt>
              </c:numCache>
            </c:numRef>
          </c:yVal>
          <c:smooth val="0"/>
          <c:extLst>
            <c:ext xmlns:c16="http://schemas.microsoft.com/office/drawing/2014/chart" uri="{C3380CC4-5D6E-409C-BE32-E72D297353CC}">
              <c16:uniqueId val="{00000001-858A-4D8A-B8BD-0DE9C8ABD7E1}"/>
            </c:ext>
          </c:extLst>
        </c:ser>
        <c:dLbls>
          <c:showLegendKey val="0"/>
          <c:showVal val="0"/>
          <c:showCatName val="0"/>
          <c:showSerName val="0"/>
          <c:showPercent val="0"/>
          <c:showBubbleSize val="0"/>
        </c:dLbls>
        <c:axId val="292057728"/>
        <c:axId val="1688198976"/>
      </c:scatterChart>
      <c:valAx>
        <c:axId val="29205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in µg/ml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88198976"/>
        <c:crosses val="autoZero"/>
        <c:crossBetween val="midCat"/>
      </c:valAx>
      <c:valAx>
        <c:axId val="1688198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%Scavenging 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20577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Ascorbic acid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7638621746709143"/>
          <c:y val="0.16712962962962963"/>
          <c:w val="0.78277408787642"/>
          <c:h val="0.61991542723826187"/>
        </c:manualLayout>
      </c:layout>
      <c:scatterChart>
        <c:scatterStyle val="lineMarker"/>
        <c:varyColors val="0"/>
        <c:ser>
          <c:idx val="0"/>
          <c:order val="0"/>
          <c:tx>
            <c:strRef>
              <c:f>[Book1]Sheet1!$N$4</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2922259880063779E-2"/>
                  <c:y val="-4.282896893947921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[Book1]Sheet1!$M$5:$M$12</c:f>
              <c:numCache>
                <c:formatCode>General</c:formatCode>
                <c:ptCount val="8"/>
                <c:pt idx="0">
                  <c:v>0</c:v>
                </c:pt>
                <c:pt idx="1">
                  <c:v>10</c:v>
                </c:pt>
                <c:pt idx="2">
                  <c:v>20</c:v>
                </c:pt>
                <c:pt idx="3">
                  <c:v>30</c:v>
                </c:pt>
                <c:pt idx="4">
                  <c:v>40</c:v>
                </c:pt>
                <c:pt idx="5">
                  <c:v>50</c:v>
                </c:pt>
                <c:pt idx="6">
                  <c:v>75</c:v>
                </c:pt>
                <c:pt idx="7">
                  <c:v>100</c:v>
                </c:pt>
              </c:numCache>
            </c:numRef>
          </c:xVal>
          <c:yVal>
            <c:numRef>
              <c:f>[Book1]Sheet1!$N$5:$N$12</c:f>
              <c:numCache>
                <c:formatCode>General</c:formatCode>
                <c:ptCount val="8"/>
                <c:pt idx="0">
                  <c:v>0</c:v>
                </c:pt>
                <c:pt idx="1">
                  <c:v>15.46</c:v>
                </c:pt>
                <c:pt idx="2">
                  <c:v>25.11</c:v>
                </c:pt>
                <c:pt idx="3">
                  <c:v>38.89</c:v>
                </c:pt>
                <c:pt idx="4">
                  <c:v>53.75</c:v>
                </c:pt>
                <c:pt idx="5">
                  <c:v>61.4</c:v>
                </c:pt>
                <c:pt idx="6">
                  <c:v>77.180000000000007</c:v>
                </c:pt>
                <c:pt idx="7">
                  <c:v>98.62</c:v>
                </c:pt>
              </c:numCache>
            </c:numRef>
          </c:yVal>
          <c:smooth val="0"/>
          <c:extLst>
            <c:ext xmlns:c16="http://schemas.microsoft.com/office/drawing/2014/chart" uri="{C3380CC4-5D6E-409C-BE32-E72D297353CC}">
              <c16:uniqueId val="{00000001-EC70-492B-A97F-33D39DDCCDEA}"/>
            </c:ext>
          </c:extLst>
        </c:ser>
        <c:dLbls>
          <c:showLegendKey val="0"/>
          <c:showVal val="0"/>
          <c:showCatName val="0"/>
          <c:showSerName val="0"/>
          <c:showPercent val="0"/>
          <c:showBubbleSize val="0"/>
        </c:dLbls>
        <c:axId val="187985664"/>
        <c:axId val="185211056"/>
      </c:scatterChart>
      <c:valAx>
        <c:axId val="18798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in µg/ml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211056"/>
        <c:crosses val="autoZero"/>
        <c:crossBetween val="midCat"/>
      </c:valAx>
      <c:valAx>
        <c:axId val="185211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%Scavenging 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798566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HYDROGEL PATCH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[Book1]Sheet3!$I$7</c:f>
              <c:strCache>
                <c:ptCount val="1"/>
                <c:pt idx="0">
                  <c:v>%SA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6934171335066587E-2"/>
                  <c:y val="-9.3059572006940428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y = 0.8135x + 8.5072</a:t>
                    </a:r>
                    <a:br>
                      <a:rPr lang="en-US"/>
                    </a:br>
                    <a:r>
                      <a:rPr lang="en-US"/>
                      <a:t>R² = 0.973</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[Book1]Sheet3!$H$8:$H$15</c:f>
              <c:numCache>
                <c:formatCode>General</c:formatCode>
                <c:ptCount val="8"/>
                <c:pt idx="0">
                  <c:v>0</c:v>
                </c:pt>
                <c:pt idx="1">
                  <c:v>10</c:v>
                </c:pt>
                <c:pt idx="2">
                  <c:v>20</c:v>
                </c:pt>
                <c:pt idx="3">
                  <c:v>30</c:v>
                </c:pt>
                <c:pt idx="4">
                  <c:v>40</c:v>
                </c:pt>
                <c:pt idx="5">
                  <c:v>50</c:v>
                </c:pt>
                <c:pt idx="6">
                  <c:v>75</c:v>
                </c:pt>
                <c:pt idx="7">
                  <c:v>100</c:v>
                </c:pt>
              </c:numCache>
            </c:numRef>
          </c:xVal>
          <c:yVal>
            <c:numRef>
              <c:f>[Book1]Sheet3!$I$8:$I$15</c:f>
              <c:numCache>
                <c:formatCode>General</c:formatCode>
                <c:ptCount val="8"/>
                <c:pt idx="0">
                  <c:v>0</c:v>
                </c:pt>
                <c:pt idx="1">
                  <c:v>17.61</c:v>
                </c:pt>
                <c:pt idx="2">
                  <c:v>29.24</c:v>
                </c:pt>
                <c:pt idx="3">
                  <c:v>34.909999999999997</c:v>
                </c:pt>
                <c:pt idx="4">
                  <c:v>41.04</c:v>
                </c:pt>
                <c:pt idx="5">
                  <c:v>53.75</c:v>
                </c:pt>
                <c:pt idx="6">
                  <c:v>71.05</c:v>
                </c:pt>
                <c:pt idx="7">
                  <c:v>84.83</c:v>
                </c:pt>
              </c:numCache>
            </c:numRef>
          </c:yVal>
          <c:smooth val="0"/>
          <c:extLst>
            <c:ext xmlns:c16="http://schemas.microsoft.com/office/drawing/2014/chart" uri="{C3380CC4-5D6E-409C-BE32-E72D297353CC}">
              <c16:uniqueId val="{00000001-B8FB-4D22-BFD4-0586AD518E63}"/>
            </c:ext>
          </c:extLst>
        </c:ser>
        <c:dLbls>
          <c:showLegendKey val="0"/>
          <c:showVal val="0"/>
          <c:showCatName val="0"/>
          <c:showSerName val="0"/>
          <c:showPercent val="0"/>
          <c:showBubbleSize val="0"/>
        </c:dLbls>
        <c:axId val="379465904"/>
        <c:axId val="287142112"/>
      </c:scatterChart>
      <c:valAx>
        <c:axId val="37946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in µg/ml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7142112"/>
        <c:crosses val="autoZero"/>
        <c:crossBetween val="midCat"/>
      </c:valAx>
      <c:valAx>
        <c:axId val="287142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%Scavenging 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659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0.55562</cdr:x>
      <cdr:y>0.52222</cdr:y>
    </cdr:from>
    <cdr:to>
      <cdr:x>0.905</cdr:x>
      <cdr:y>0.64167</cdr:y>
    </cdr:to>
    <cdr:sp macro="" textlink="">
      <cdr:nvSpPr>
        <cdr:cNvPr id="3" name="TextBox 2">
          <a:extLst xmlns:a="http://schemas.openxmlformats.org/drawingml/2006/main">
            <a:ext uri="{FF2B5EF4-FFF2-40B4-BE49-F238E27FC236}">
              <a16:creationId xmlns:a16="http://schemas.microsoft.com/office/drawing/2014/main" id="{CBC0DD2F-1F50-40EE-E456-E0C52173A97E}"/>
            </a:ext>
          </a:extLst>
        </cdr:cNvPr>
        <cdr:cNvSpPr txBox="1"/>
      </cdr:nvSpPr>
      <cdr:spPr>
        <a:xfrm xmlns:a="http://schemas.openxmlformats.org/drawingml/2006/main">
          <a:off x="1627905" y="1070768"/>
          <a:ext cx="1023645" cy="2449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IN" sz="900">
              <a:effectLst/>
              <a:latin typeface="Times New Roman" panose="02020603050405020304" pitchFamily="18" charset="0"/>
              <a:ea typeface="+mn-ea"/>
              <a:cs typeface="Times New Roman" panose="02020603050405020304" pitchFamily="18" charset="0"/>
            </a:rPr>
            <a:t>IC50- 57.36µg/ml</a:t>
          </a:r>
          <a:endParaRPr lang="en-IN" sz="900">
            <a:effectLst/>
            <a:latin typeface="Times New Roman" panose="02020603050405020304" pitchFamily="18" charset="0"/>
            <a:cs typeface="Times New Roman" panose="02020603050405020304" pitchFamily="18" charset="0"/>
          </a:endParaRPr>
        </a:p>
        <a:p xmlns:a="http://schemas.openxmlformats.org/drawingml/2006/main">
          <a:endParaRPr lang="en-IN" sz="1100" kern="1200"/>
        </a:p>
      </cdr:txBody>
    </cdr:sp>
  </cdr:relSizeAnchor>
  <cdr:relSizeAnchor xmlns:cdr="http://schemas.openxmlformats.org/drawingml/2006/chartDrawing">
    <cdr:from>
      <cdr:x>0.37593</cdr:x>
      <cdr:y>0.00676</cdr:y>
    </cdr:from>
    <cdr:to>
      <cdr:x>0.64644</cdr:x>
      <cdr:y>0.15245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01437" y="13854"/>
          <a:ext cx="792549"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0.56744</cdr:x>
      <cdr:y>0.5763</cdr:y>
    </cdr:from>
    <cdr:to>
      <cdr:x>0.88789</cdr:x>
      <cdr:y>0.69266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62537" y="1177629"/>
          <a:ext cx="938883" cy="237773"/>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0.56208</cdr:x>
      <cdr:y>0.53</cdr:y>
    </cdr:from>
    <cdr:to>
      <cdr:x>0.89805</cdr:x>
      <cdr:y>0.63828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62545" y="1163782"/>
          <a:ext cx="993734" cy="23776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KUMAR</dc:creator>
  <cp:keywords/>
  <dc:description/>
  <cp:lastModifiedBy>SDI PC New 16</cp:lastModifiedBy>
  <cp:revision>46</cp:revision>
  <dcterms:created xsi:type="dcterms:W3CDTF">2025-11-18T08:11:00Z</dcterms:created>
  <dcterms:modified xsi:type="dcterms:W3CDTF">2025-11-29T06:24:00Z</dcterms:modified>
</cp:coreProperties>
</file>