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7668F" w14:textId="77777777" w:rsidR="00DE02F4" w:rsidRPr="00DE02F4" w:rsidRDefault="00DE02F4" w:rsidP="00DE02F4">
      <w:pPr>
        <w:rPr>
          <w:b/>
          <w:color w:val="EE0000"/>
        </w:rPr>
      </w:pPr>
      <w:r w:rsidRPr="00DE02F4">
        <w:rPr>
          <w:b/>
          <w:color w:val="EE0000"/>
        </w:rPr>
        <w:t xml:space="preserve">Modulatory effect of </w:t>
      </w:r>
      <w:proofErr w:type="spellStart"/>
      <w:r w:rsidRPr="00DE02F4">
        <w:rPr>
          <w:b/>
          <w:i/>
          <w:iCs/>
          <w:color w:val="EE0000"/>
        </w:rPr>
        <w:t>Pausinystalia</w:t>
      </w:r>
      <w:proofErr w:type="spellEnd"/>
      <w:r w:rsidRPr="00DE02F4">
        <w:rPr>
          <w:b/>
          <w:i/>
          <w:iCs/>
          <w:color w:val="EE0000"/>
        </w:rPr>
        <w:t xml:space="preserve"> yohimbe</w:t>
      </w:r>
      <w:r w:rsidRPr="00DE02F4">
        <w:rPr>
          <w:b/>
          <w:color w:val="EE0000"/>
        </w:rPr>
        <w:t xml:space="preserve"> on Nitric Oxide/PDE-5 Pathway and Hormonal Profile in Clonidine-Induced Erectile Dysfunction in Wistar Rats </w:t>
      </w:r>
    </w:p>
    <w:p w14:paraId="16D3B9C1" w14:textId="77777777" w:rsidR="00061647" w:rsidRPr="00F14EAC" w:rsidRDefault="00061647" w:rsidP="00061647">
      <w:pPr>
        <w:spacing w:line="240" w:lineRule="auto"/>
        <w:rPr>
          <w:rFonts w:ascii="Times New Roman" w:hAnsi="Times New Roman" w:cs="Times New Roman"/>
          <w:b/>
          <w:bCs/>
          <w:sz w:val="24"/>
          <w:szCs w:val="24"/>
        </w:rPr>
      </w:pPr>
      <w:r w:rsidRPr="00F14EAC">
        <w:rPr>
          <w:rFonts w:ascii="Times New Roman" w:hAnsi="Times New Roman" w:cs="Times New Roman"/>
          <w:b/>
          <w:bCs/>
          <w:sz w:val="24"/>
          <w:szCs w:val="24"/>
        </w:rPr>
        <w:t>Abstract</w:t>
      </w:r>
    </w:p>
    <w:p w14:paraId="5389E84B" w14:textId="13D1DDB5" w:rsidR="00061647" w:rsidRPr="00F14EAC" w:rsidRDefault="00061647" w:rsidP="00061647">
      <w:pPr>
        <w:spacing w:line="240" w:lineRule="auto"/>
        <w:jc w:val="both"/>
        <w:rPr>
          <w:rFonts w:ascii="Times New Roman" w:hAnsi="Times New Roman" w:cs="Times New Roman"/>
          <w:sz w:val="24"/>
          <w:szCs w:val="24"/>
        </w:rPr>
      </w:pPr>
      <w:r w:rsidRPr="00F14EAC">
        <w:rPr>
          <w:rFonts w:ascii="Times New Roman" w:hAnsi="Times New Roman" w:cs="Times New Roman"/>
          <w:b/>
          <w:bCs/>
          <w:sz w:val="24"/>
          <w:szCs w:val="24"/>
        </w:rPr>
        <w:t>Introduction</w:t>
      </w:r>
      <w:r w:rsidRPr="00F14EAC">
        <w:rPr>
          <w:rFonts w:ascii="Times New Roman" w:hAnsi="Times New Roman" w:cs="Times New Roman"/>
          <w:sz w:val="24"/>
          <w:szCs w:val="24"/>
        </w:rPr>
        <w:t xml:space="preserve">: Erectile dysfunction (ED) is common among men in developing countries of the World.   Medicinal plants offer an effective, alternative treatment for Erectile Dysfunction (ED), addressing the drawbacks of existing prescription drugs. </w:t>
      </w:r>
      <w:proofErr w:type="spellStart"/>
      <w:r w:rsidRPr="00F14EAC">
        <w:rPr>
          <w:rFonts w:ascii="Times New Roman" w:hAnsi="Times New Roman" w:cs="Times New Roman"/>
          <w:sz w:val="24"/>
          <w:szCs w:val="24"/>
        </w:rPr>
        <w:t>Burantashi</w:t>
      </w:r>
      <w:proofErr w:type="spellEnd"/>
      <w:r w:rsidRPr="00F14EAC">
        <w:rPr>
          <w:rFonts w:ascii="Times New Roman" w:hAnsi="Times New Roman" w:cs="Times New Roman"/>
          <w:sz w:val="24"/>
          <w:szCs w:val="24"/>
        </w:rPr>
        <w:t xml:space="preserve"> (</w:t>
      </w:r>
      <w:bookmarkStart w:id="0" w:name="_Hlk215166424"/>
      <w:proofErr w:type="spellStart"/>
      <w:r w:rsidRPr="00F14EAC">
        <w:rPr>
          <w:rFonts w:ascii="Times New Roman" w:hAnsi="Times New Roman" w:cs="Times New Roman"/>
          <w:i/>
          <w:iCs/>
          <w:sz w:val="24"/>
          <w:szCs w:val="24"/>
        </w:rPr>
        <w:t>Pausinystalia</w:t>
      </w:r>
      <w:proofErr w:type="spellEnd"/>
      <w:r w:rsidRPr="00F14EAC">
        <w:rPr>
          <w:rFonts w:ascii="Times New Roman" w:hAnsi="Times New Roman" w:cs="Times New Roman"/>
          <w:i/>
          <w:iCs/>
          <w:sz w:val="24"/>
          <w:szCs w:val="24"/>
        </w:rPr>
        <w:t xml:space="preserve"> yohimbe</w:t>
      </w:r>
      <w:bookmarkEnd w:id="0"/>
      <w:r w:rsidRPr="00F14EAC">
        <w:rPr>
          <w:rFonts w:ascii="Times New Roman" w:hAnsi="Times New Roman" w:cs="Times New Roman"/>
          <w:i/>
          <w:iCs/>
          <w:sz w:val="24"/>
          <w:szCs w:val="24"/>
        </w:rPr>
        <w:t>)</w:t>
      </w:r>
      <w:r w:rsidRPr="00F14EAC">
        <w:rPr>
          <w:rFonts w:ascii="Times New Roman" w:hAnsi="Times New Roman" w:cs="Times New Roman"/>
          <w:sz w:val="24"/>
          <w:szCs w:val="24"/>
        </w:rPr>
        <w:t xml:space="preserve"> plant extracts have been used as aphrodisiac to enhance male potency and management of ED, but the reported modulation of biochemical parameters associated with the use is inconsistent. </w:t>
      </w:r>
      <w:bookmarkStart w:id="1" w:name="_Hlk207221823"/>
      <w:r w:rsidRPr="00F14EAC">
        <w:rPr>
          <w:rFonts w:ascii="Times New Roman" w:hAnsi="Times New Roman" w:cs="Times New Roman"/>
          <w:b/>
          <w:bCs/>
          <w:sz w:val="24"/>
          <w:szCs w:val="24"/>
        </w:rPr>
        <w:t>Aim and Objectives</w:t>
      </w:r>
      <w:r w:rsidRPr="00F14EAC">
        <w:rPr>
          <w:rFonts w:ascii="Times New Roman" w:hAnsi="Times New Roman" w:cs="Times New Roman"/>
          <w:sz w:val="24"/>
          <w:szCs w:val="24"/>
        </w:rPr>
        <w:t>: This study aims to investigate the modulatory effects of Burantashi extract on the penile nitric oxide (NO) and phosphodiesterase 5 (PDE-5) pathway and reproductive hormonal profile in Wistar rats with clonidine-induced ED</w:t>
      </w:r>
      <w:bookmarkEnd w:id="1"/>
      <w:r w:rsidRPr="00F14EAC">
        <w:rPr>
          <w:rFonts w:ascii="Times New Roman" w:hAnsi="Times New Roman" w:cs="Times New Roman"/>
          <w:sz w:val="24"/>
          <w:szCs w:val="24"/>
        </w:rPr>
        <w:t xml:space="preserve">. </w:t>
      </w:r>
      <w:r w:rsidRPr="00F14EAC">
        <w:rPr>
          <w:rFonts w:ascii="Times New Roman" w:hAnsi="Times New Roman" w:cs="Times New Roman"/>
          <w:b/>
          <w:bCs/>
          <w:sz w:val="24"/>
          <w:szCs w:val="24"/>
        </w:rPr>
        <w:t>Materials and</w:t>
      </w:r>
      <w:r w:rsidRPr="00F14EAC">
        <w:rPr>
          <w:rFonts w:ascii="Times New Roman" w:hAnsi="Times New Roman" w:cs="Times New Roman"/>
          <w:sz w:val="24"/>
          <w:szCs w:val="24"/>
        </w:rPr>
        <w:t xml:space="preserve"> </w:t>
      </w:r>
      <w:r w:rsidRPr="00F14EAC">
        <w:rPr>
          <w:rFonts w:ascii="Times New Roman" w:hAnsi="Times New Roman" w:cs="Times New Roman"/>
          <w:b/>
          <w:bCs/>
          <w:sz w:val="24"/>
          <w:szCs w:val="24"/>
        </w:rPr>
        <w:t>Methods</w:t>
      </w:r>
      <w:r w:rsidRPr="00F14EAC">
        <w:rPr>
          <w:rFonts w:ascii="Times New Roman" w:hAnsi="Times New Roman" w:cs="Times New Roman"/>
          <w:sz w:val="24"/>
          <w:szCs w:val="24"/>
        </w:rPr>
        <w:t xml:space="preserve">: Penile NO, PDE-5 and serum Testosterone, luteinizing hormone (LH), and follicle-stimulating hormone (FSH) were assayed </w:t>
      </w:r>
      <w:r w:rsidR="006E762E" w:rsidRPr="00F14EAC">
        <w:rPr>
          <w:rFonts w:ascii="Times New Roman" w:hAnsi="Times New Roman" w:cs="Times New Roman"/>
          <w:color w:val="EE0000"/>
          <w:sz w:val="24"/>
          <w:szCs w:val="24"/>
        </w:rPr>
        <w:t xml:space="preserve">in </w:t>
      </w:r>
      <w:r w:rsidR="006128D6">
        <w:rPr>
          <w:rFonts w:ascii="Times New Roman" w:hAnsi="Times New Roman" w:cs="Times New Roman"/>
          <w:color w:val="EE0000"/>
          <w:sz w:val="24"/>
          <w:szCs w:val="24"/>
        </w:rPr>
        <w:t>six</w:t>
      </w:r>
      <w:r w:rsidR="006E762E" w:rsidRPr="00F14EAC">
        <w:rPr>
          <w:rFonts w:ascii="Times New Roman" w:hAnsi="Times New Roman" w:cs="Times New Roman"/>
          <w:color w:val="EE0000"/>
          <w:sz w:val="24"/>
          <w:szCs w:val="24"/>
        </w:rPr>
        <w:t xml:space="preserve"> groups (of f</w:t>
      </w:r>
      <w:r w:rsidR="006128D6">
        <w:rPr>
          <w:rFonts w:ascii="Times New Roman" w:hAnsi="Times New Roman" w:cs="Times New Roman"/>
          <w:color w:val="EE0000"/>
          <w:sz w:val="24"/>
          <w:szCs w:val="24"/>
        </w:rPr>
        <w:t>ive</w:t>
      </w:r>
      <w:r w:rsidR="006E762E" w:rsidRPr="00F14EAC">
        <w:rPr>
          <w:rFonts w:ascii="Times New Roman" w:hAnsi="Times New Roman" w:cs="Times New Roman"/>
          <w:color w:val="EE0000"/>
          <w:sz w:val="24"/>
          <w:szCs w:val="24"/>
        </w:rPr>
        <w:t xml:space="preserve"> rats </w:t>
      </w:r>
      <w:proofErr w:type="gramStart"/>
      <w:r w:rsidR="006E762E" w:rsidRPr="00F14EAC">
        <w:rPr>
          <w:rFonts w:ascii="Times New Roman" w:hAnsi="Times New Roman" w:cs="Times New Roman"/>
          <w:color w:val="EE0000"/>
          <w:sz w:val="24"/>
          <w:szCs w:val="24"/>
        </w:rPr>
        <w:t xml:space="preserve">each)  </w:t>
      </w:r>
      <w:r w:rsidRPr="00F14EAC">
        <w:rPr>
          <w:rFonts w:ascii="Times New Roman" w:hAnsi="Times New Roman" w:cs="Times New Roman"/>
          <w:sz w:val="24"/>
          <w:szCs w:val="24"/>
        </w:rPr>
        <w:t>by</w:t>
      </w:r>
      <w:proofErr w:type="gramEnd"/>
      <w:r w:rsidRPr="00F14EAC">
        <w:rPr>
          <w:rFonts w:ascii="Times New Roman" w:hAnsi="Times New Roman" w:cs="Times New Roman"/>
          <w:sz w:val="24"/>
          <w:szCs w:val="24"/>
        </w:rPr>
        <w:t xml:space="preserve"> Enzyme-linked Immunosorbent assay technique. </w:t>
      </w:r>
      <w:r w:rsidR="006E762E" w:rsidRPr="00F14EAC">
        <w:rPr>
          <w:rFonts w:ascii="Times New Roman" w:hAnsi="Times New Roman" w:cs="Times New Roman"/>
          <w:color w:val="EE0000"/>
          <w:sz w:val="24"/>
          <w:szCs w:val="24"/>
        </w:rPr>
        <w:t xml:space="preserve">Paired t-test and analysis of variance were used to </w:t>
      </w:r>
      <w:proofErr w:type="spellStart"/>
      <w:r w:rsidR="006E762E" w:rsidRPr="00F14EAC">
        <w:rPr>
          <w:rFonts w:ascii="Times New Roman" w:hAnsi="Times New Roman" w:cs="Times New Roman"/>
          <w:color w:val="EE0000"/>
          <w:sz w:val="24"/>
          <w:szCs w:val="24"/>
        </w:rPr>
        <w:t>analy</w:t>
      </w:r>
      <w:r w:rsidR="00F14EAC" w:rsidRPr="00F14EAC">
        <w:rPr>
          <w:rFonts w:ascii="Times New Roman" w:hAnsi="Times New Roman" w:cs="Times New Roman"/>
          <w:color w:val="EE0000"/>
          <w:sz w:val="24"/>
          <w:szCs w:val="24"/>
        </w:rPr>
        <w:t>s</w:t>
      </w:r>
      <w:r w:rsidR="006E762E" w:rsidRPr="00F14EAC">
        <w:rPr>
          <w:rFonts w:ascii="Times New Roman" w:hAnsi="Times New Roman" w:cs="Times New Roman"/>
          <w:color w:val="EE0000"/>
          <w:sz w:val="24"/>
          <w:szCs w:val="24"/>
        </w:rPr>
        <w:t>e</w:t>
      </w:r>
      <w:proofErr w:type="spellEnd"/>
      <w:r w:rsidR="006E762E" w:rsidRPr="00F14EAC">
        <w:rPr>
          <w:rFonts w:ascii="Times New Roman" w:hAnsi="Times New Roman" w:cs="Times New Roman"/>
          <w:color w:val="EE0000"/>
          <w:sz w:val="24"/>
          <w:szCs w:val="24"/>
        </w:rPr>
        <w:t xml:space="preserve"> the data</w:t>
      </w:r>
      <w:r w:rsidR="006E762E" w:rsidRPr="00F14EAC">
        <w:rPr>
          <w:rFonts w:ascii="Times New Roman" w:hAnsi="Times New Roman" w:cs="Times New Roman"/>
          <w:sz w:val="24"/>
          <w:szCs w:val="24"/>
        </w:rPr>
        <w:t xml:space="preserve">. </w:t>
      </w:r>
      <w:r w:rsidRPr="00F14EAC">
        <w:rPr>
          <w:rFonts w:ascii="Times New Roman" w:hAnsi="Times New Roman" w:cs="Times New Roman"/>
          <w:b/>
          <w:bCs/>
          <w:sz w:val="24"/>
          <w:szCs w:val="24"/>
        </w:rPr>
        <w:t>Results</w:t>
      </w:r>
      <w:r w:rsidRPr="00F14EAC">
        <w:rPr>
          <w:rFonts w:ascii="Times New Roman" w:hAnsi="Times New Roman" w:cs="Times New Roman"/>
          <w:sz w:val="24"/>
          <w:szCs w:val="24"/>
        </w:rPr>
        <w:t>: Serum levels of Testosterone</w:t>
      </w:r>
      <w:r w:rsidR="006E762E" w:rsidRPr="00F14EAC">
        <w:rPr>
          <w:rFonts w:ascii="Times New Roman" w:hAnsi="Times New Roman" w:cs="Times New Roman"/>
          <w:sz w:val="24"/>
          <w:szCs w:val="24"/>
        </w:rPr>
        <w:t xml:space="preserve">, </w:t>
      </w:r>
      <w:r w:rsidRPr="00F14EAC">
        <w:rPr>
          <w:rFonts w:ascii="Times New Roman" w:hAnsi="Times New Roman" w:cs="Times New Roman"/>
          <w:sz w:val="24"/>
          <w:szCs w:val="24"/>
        </w:rPr>
        <w:t xml:space="preserve">LH, FSH and Penile NO were significantly reduced (p&lt;0.05), while PDE-5 was increased in clonidine-induced ED in Wistar rats compared with control groups. Upon treatment with Burantashi extract, the levels of Testosterone (41.9%), LH (40%), FSH (66.9%) and NO (82.2%) were increased, while PDE-5 concentrations (98.3%) in clonidine-induced ED Wistar rats was markedly reduced (p&lt;0.05) in a dose dependent manner. The increase NO levels in the group given 100 mg/kg Burantashi extract was higher than the group given 5.0 mg/kg sildenafil. </w:t>
      </w:r>
      <w:r w:rsidRPr="00F14EAC">
        <w:rPr>
          <w:rFonts w:ascii="Times New Roman" w:hAnsi="Times New Roman" w:cs="Times New Roman"/>
          <w:b/>
          <w:bCs/>
          <w:sz w:val="24"/>
          <w:szCs w:val="24"/>
        </w:rPr>
        <w:t>Conclusion:</w:t>
      </w:r>
      <w:r w:rsidRPr="00F14EAC">
        <w:rPr>
          <w:rFonts w:ascii="Times New Roman" w:hAnsi="Times New Roman" w:cs="Times New Roman"/>
          <w:sz w:val="24"/>
          <w:szCs w:val="24"/>
        </w:rPr>
        <w:t xml:space="preserve"> Burantashi extract effectively reverses clonidine-induced ED in Wistar rats by restoring hormonal balance, increasing penile NO levels, and inhibiting PDE-5 activity. Further studies are warranted to elucidate the precise mechanisms and efficacy of Burantashi extract in clinical settings.</w:t>
      </w:r>
    </w:p>
    <w:p w14:paraId="6CA17483" w14:textId="77777777" w:rsidR="00061647" w:rsidRPr="00F14EAC" w:rsidRDefault="00061647" w:rsidP="00061647">
      <w:pPr>
        <w:spacing w:line="240" w:lineRule="auto"/>
        <w:jc w:val="both"/>
        <w:rPr>
          <w:rFonts w:ascii="Times New Roman" w:hAnsi="Times New Roman" w:cs="Times New Roman"/>
          <w:sz w:val="24"/>
          <w:szCs w:val="24"/>
        </w:rPr>
      </w:pPr>
      <w:r w:rsidRPr="00F14EAC">
        <w:rPr>
          <w:rFonts w:ascii="Times New Roman" w:hAnsi="Times New Roman" w:cs="Times New Roman"/>
          <w:b/>
          <w:bCs/>
          <w:sz w:val="24"/>
          <w:szCs w:val="24"/>
        </w:rPr>
        <w:t>Keywords:</w:t>
      </w:r>
      <w:r w:rsidRPr="00F14EAC">
        <w:rPr>
          <w:rFonts w:ascii="Times New Roman" w:hAnsi="Times New Roman" w:cs="Times New Roman"/>
          <w:sz w:val="24"/>
          <w:szCs w:val="24"/>
        </w:rPr>
        <w:t xml:space="preserve"> Erectile Dysfunction, Male Wistar Rats, Clonidine, </w:t>
      </w:r>
      <w:proofErr w:type="spellStart"/>
      <w:r w:rsidRPr="00F14EAC">
        <w:rPr>
          <w:rFonts w:ascii="Times New Roman" w:hAnsi="Times New Roman" w:cs="Times New Roman"/>
          <w:sz w:val="24"/>
          <w:szCs w:val="24"/>
        </w:rPr>
        <w:t>Pausinystalia</w:t>
      </w:r>
      <w:proofErr w:type="spellEnd"/>
      <w:r w:rsidRPr="00F14EAC">
        <w:rPr>
          <w:rFonts w:ascii="Times New Roman" w:hAnsi="Times New Roman" w:cs="Times New Roman"/>
          <w:sz w:val="24"/>
          <w:szCs w:val="24"/>
        </w:rPr>
        <w:t xml:space="preserve">, Nitric Oxide, PDE-5 inhibitor, herbal therapy, </w:t>
      </w:r>
      <w:proofErr w:type="spellStart"/>
      <w:proofErr w:type="gramStart"/>
      <w:r w:rsidRPr="00F14EAC">
        <w:rPr>
          <w:rFonts w:ascii="Times New Roman" w:hAnsi="Times New Roman" w:cs="Times New Roman"/>
          <w:sz w:val="24"/>
          <w:szCs w:val="24"/>
        </w:rPr>
        <w:t>testosterone,yohimbine</w:t>
      </w:r>
      <w:proofErr w:type="spellEnd"/>
      <w:proofErr w:type="gramEnd"/>
      <w:r w:rsidRPr="00F14EAC">
        <w:rPr>
          <w:rFonts w:ascii="Times New Roman" w:hAnsi="Times New Roman" w:cs="Times New Roman"/>
          <w:sz w:val="24"/>
          <w:szCs w:val="24"/>
        </w:rPr>
        <w:t>.</w:t>
      </w:r>
    </w:p>
    <w:p w14:paraId="5830DB70" w14:textId="77777777" w:rsidR="00061647" w:rsidRPr="00F14EAC" w:rsidRDefault="00061647" w:rsidP="00061647">
      <w:pPr>
        <w:pStyle w:val="ListParagraph"/>
        <w:numPr>
          <w:ilvl w:val="0"/>
          <w:numId w:val="2"/>
        </w:numPr>
        <w:spacing w:line="240" w:lineRule="auto"/>
        <w:rPr>
          <w:rFonts w:ascii="Times New Roman" w:hAnsi="Times New Roman" w:cs="Times New Roman"/>
          <w:b/>
          <w:bCs/>
          <w:sz w:val="24"/>
          <w:szCs w:val="24"/>
        </w:rPr>
      </w:pPr>
      <w:r w:rsidRPr="00F14EAC">
        <w:rPr>
          <w:rFonts w:ascii="Times New Roman" w:hAnsi="Times New Roman" w:cs="Times New Roman"/>
          <w:b/>
          <w:bCs/>
          <w:sz w:val="24"/>
          <w:szCs w:val="24"/>
        </w:rPr>
        <w:t>Introduction</w:t>
      </w:r>
    </w:p>
    <w:p w14:paraId="655F4275" w14:textId="76CF67FC" w:rsidR="00061647" w:rsidRPr="00F14EAC" w:rsidRDefault="00061647" w:rsidP="00061647">
      <w:pPr>
        <w:spacing w:line="240" w:lineRule="auto"/>
        <w:jc w:val="both"/>
        <w:rPr>
          <w:rFonts w:ascii="Times New Roman" w:hAnsi="Times New Roman" w:cs="Times New Roman"/>
          <w:sz w:val="24"/>
          <w:szCs w:val="24"/>
        </w:rPr>
      </w:pPr>
      <w:r w:rsidRPr="00F14EAC">
        <w:rPr>
          <w:rFonts w:ascii="Times New Roman" w:hAnsi="Times New Roman" w:cs="Times New Roman"/>
          <w:sz w:val="24"/>
          <w:szCs w:val="24"/>
        </w:rPr>
        <w:t>Erectile dysfunction (ED) is a common sexual disorder among men and the prevalence rates in subjects attending primary care clinics was reported to be 57.4% in Nigeria, 63.6% in Egypt, and 80.8% in Pakistan</w:t>
      </w:r>
      <w:r w:rsidR="00C65508" w:rsidRPr="00F14EAC">
        <w:rPr>
          <w:rFonts w:ascii="Times New Roman" w:hAnsi="Times New Roman" w:cs="Times New Roman"/>
          <w:sz w:val="24"/>
          <w:szCs w:val="24"/>
        </w:rPr>
        <w:t xml:space="preserve"> (</w:t>
      </w:r>
      <w:proofErr w:type="spellStart"/>
      <w:r w:rsidR="00C65508" w:rsidRPr="00F14EAC">
        <w:rPr>
          <w:rFonts w:ascii="Times New Roman" w:hAnsi="Times New Roman" w:cs="Times New Roman"/>
          <w:sz w:val="24"/>
          <w:szCs w:val="24"/>
        </w:rPr>
        <w:t>Oyelade</w:t>
      </w:r>
      <w:proofErr w:type="spellEnd"/>
      <w:r w:rsidR="00C65508" w:rsidRPr="00F14EAC">
        <w:rPr>
          <w:rFonts w:ascii="Times New Roman" w:hAnsi="Times New Roman" w:cs="Times New Roman"/>
          <w:sz w:val="24"/>
          <w:szCs w:val="24"/>
        </w:rPr>
        <w:t xml:space="preserve"> </w:t>
      </w:r>
      <w:r w:rsidR="00C65508" w:rsidRPr="00F14EAC">
        <w:rPr>
          <w:rFonts w:ascii="Times New Roman" w:hAnsi="Times New Roman" w:cs="Times New Roman"/>
          <w:i/>
          <w:iCs/>
          <w:sz w:val="24"/>
          <w:szCs w:val="24"/>
        </w:rPr>
        <w:t>et al.,</w:t>
      </w:r>
      <w:r w:rsidR="00C65508" w:rsidRPr="00F14EAC">
        <w:rPr>
          <w:rFonts w:ascii="Times New Roman" w:hAnsi="Times New Roman" w:cs="Times New Roman"/>
          <w:sz w:val="24"/>
          <w:szCs w:val="24"/>
        </w:rPr>
        <w:t xml:space="preserve"> 2016)</w:t>
      </w:r>
      <w:r w:rsidRPr="00F14EAC">
        <w:rPr>
          <w:rFonts w:ascii="Times New Roman" w:hAnsi="Times New Roman" w:cs="Times New Roman"/>
          <w:sz w:val="24"/>
          <w:szCs w:val="24"/>
        </w:rPr>
        <w:t>. The global estimates of ED prevalence vary with age ranging from 2% in men younger than 40 years to 86% in men 80 years or older</w:t>
      </w:r>
      <w:r w:rsidR="00C65508" w:rsidRPr="00F14EAC">
        <w:rPr>
          <w:rFonts w:ascii="Times New Roman" w:hAnsi="Times New Roman" w:cs="Times New Roman"/>
          <w:sz w:val="24"/>
          <w:szCs w:val="24"/>
        </w:rPr>
        <w:t xml:space="preserve"> (</w:t>
      </w:r>
      <w:proofErr w:type="spellStart"/>
      <w:r w:rsidR="00C65508" w:rsidRPr="00F14EAC">
        <w:rPr>
          <w:rFonts w:ascii="Times New Roman" w:hAnsi="Times New Roman" w:cs="Times New Roman"/>
          <w:sz w:val="24"/>
          <w:szCs w:val="24"/>
        </w:rPr>
        <w:t>Oyelade</w:t>
      </w:r>
      <w:proofErr w:type="spellEnd"/>
      <w:r w:rsidR="00C65508" w:rsidRPr="00F14EAC">
        <w:rPr>
          <w:rFonts w:ascii="Times New Roman" w:hAnsi="Times New Roman" w:cs="Times New Roman"/>
          <w:sz w:val="24"/>
          <w:szCs w:val="24"/>
        </w:rPr>
        <w:t xml:space="preserve"> </w:t>
      </w:r>
      <w:r w:rsidR="00C65508" w:rsidRPr="00F14EAC">
        <w:rPr>
          <w:rFonts w:ascii="Times New Roman" w:hAnsi="Times New Roman" w:cs="Times New Roman"/>
          <w:i/>
          <w:iCs/>
          <w:sz w:val="24"/>
          <w:szCs w:val="24"/>
        </w:rPr>
        <w:t>et al.,</w:t>
      </w:r>
      <w:r w:rsidR="00C65508" w:rsidRPr="00F14EAC">
        <w:rPr>
          <w:rFonts w:ascii="Times New Roman" w:hAnsi="Times New Roman" w:cs="Times New Roman"/>
          <w:sz w:val="24"/>
          <w:szCs w:val="24"/>
        </w:rPr>
        <w:t xml:space="preserve"> 2016; Miller et al., 2020)</w:t>
      </w:r>
      <w:r w:rsidRPr="00F14EAC">
        <w:rPr>
          <w:rFonts w:ascii="Times New Roman" w:hAnsi="Times New Roman" w:cs="Times New Roman"/>
          <w:sz w:val="24"/>
          <w:szCs w:val="24"/>
        </w:rPr>
        <w:t xml:space="preserve">. Beyond its physical manifestations, ED profoundly impacts quality of life, self-esteem, and interpersonal relationships, placing a substantial psychosocial burden on affected individuals and their partners. </w:t>
      </w:r>
    </w:p>
    <w:p w14:paraId="12857C7E" w14:textId="0C53D2AF" w:rsidR="00061647" w:rsidRPr="00F14EAC" w:rsidRDefault="00061647" w:rsidP="00061647">
      <w:pPr>
        <w:spacing w:line="240" w:lineRule="auto"/>
        <w:jc w:val="both"/>
        <w:rPr>
          <w:rFonts w:ascii="Times New Roman" w:hAnsi="Times New Roman" w:cs="Times New Roman"/>
          <w:sz w:val="24"/>
          <w:szCs w:val="24"/>
        </w:rPr>
      </w:pPr>
      <w:r w:rsidRPr="00F14EAC">
        <w:rPr>
          <w:rFonts w:ascii="Times New Roman" w:hAnsi="Times New Roman" w:cs="Times New Roman"/>
          <w:sz w:val="24"/>
          <w:szCs w:val="24"/>
        </w:rPr>
        <w:t>One of the essential physiological processes that facilitate penile erection is the nitric oxide (NO)/cyclic guanosine monophosphate (cGMP) pathway. NO, which is released from both endothelial and neuronal sources, activates guanylate cyclase, leading to an increase in cGMP levels. The rise in cGMP levels promotes the relaxation of smooth muscle, which allows for enhanced blood flow into the lacunar spaces of the corpus cavernosum, ultimately resulting in penile engorgement and rigidity. The process of erection is concluded by the action of phosphodiesterase-5 (PDE-5), an enzyme that converts cGMP into inactive 5'-GMP, thereby causing smooth muscle contraction and detumescence</w:t>
      </w:r>
      <w:r w:rsidR="00C65508" w:rsidRPr="00F14EAC">
        <w:rPr>
          <w:rFonts w:ascii="Times New Roman" w:hAnsi="Times New Roman" w:cs="Times New Roman"/>
          <w:sz w:val="24"/>
          <w:szCs w:val="24"/>
        </w:rPr>
        <w:t xml:space="preserve"> (</w:t>
      </w:r>
      <w:proofErr w:type="spellStart"/>
      <w:r w:rsidR="00C65508" w:rsidRPr="00F14EAC">
        <w:rPr>
          <w:rFonts w:ascii="Times New Roman" w:hAnsi="Times New Roman" w:cs="Times New Roman"/>
          <w:sz w:val="24"/>
          <w:szCs w:val="24"/>
        </w:rPr>
        <w:t>Chantakill</w:t>
      </w:r>
      <w:proofErr w:type="spellEnd"/>
      <w:r w:rsidR="00C65508" w:rsidRPr="00F14EAC">
        <w:rPr>
          <w:rFonts w:ascii="Times New Roman" w:hAnsi="Times New Roman" w:cs="Times New Roman"/>
          <w:sz w:val="24"/>
          <w:szCs w:val="24"/>
        </w:rPr>
        <w:t xml:space="preserve"> </w:t>
      </w:r>
      <w:r w:rsidR="00C65508" w:rsidRPr="00F14EAC">
        <w:rPr>
          <w:rFonts w:ascii="Times New Roman" w:hAnsi="Times New Roman" w:cs="Times New Roman"/>
          <w:i/>
          <w:iCs/>
          <w:sz w:val="24"/>
          <w:szCs w:val="24"/>
        </w:rPr>
        <w:t>et al.,</w:t>
      </w:r>
      <w:r w:rsidR="00C65508" w:rsidRPr="00F14EAC">
        <w:rPr>
          <w:rFonts w:ascii="Times New Roman" w:hAnsi="Times New Roman" w:cs="Times New Roman"/>
          <w:sz w:val="24"/>
          <w:szCs w:val="24"/>
        </w:rPr>
        <w:t xml:space="preserve"> 2025)</w:t>
      </w:r>
      <w:r w:rsidRPr="00F14EAC">
        <w:rPr>
          <w:rFonts w:ascii="Times New Roman" w:hAnsi="Times New Roman" w:cs="Times New Roman"/>
          <w:sz w:val="24"/>
          <w:szCs w:val="24"/>
        </w:rPr>
        <w:t>. Any disruption within this complex pathway can result in erectile dysfunction (ED).</w:t>
      </w:r>
    </w:p>
    <w:p w14:paraId="26059629" w14:textId="4D964817" w:rsidR="00061647" w:rsidRPr="00F14EAC" w:rsidRDefault="00061647" w:rsidP="00061647">
      <w:pPr>
        <w:spacing w:line="240" w:lineRule="auto"/>
        <w:jc w:val="both"/>
        <w:rPr>
          <w:rFonts w:ascii="Times New Roman" w:hAnsi="Times New Roman" w:cs="Times New Roman"/>
          <w:sz w:val="24"/>
          <w:szCs w:val="24"/>
        </w:rPr>
      </w:pPr>
      <w:r w:rsidRPr="00F14EAC">
        <w:rPr>
          <w:rFonts w:ascii="Times New Roman" w:hAnsi="Times New Roman" w:cs="Times New Roman"/>
          <w:sz w:val="24"/>
          <w:szCs w:val="24"/>
        </w:rPr>
        <w:lastRenderedPageBreak/>
        <w:t xml:space="preserve">Furthermore, hormonal balance, especially the presence of adequate testosterone levels, is vital for sustaining erectile function. Testosterone affects libido, has a direct impact on the structural and functional integrity of the corpus cavernosum, and modulates the NO/cGMP pathway by influencing the expression and activity of nitric oxide synthase (NOS) and PDE-5 enzymes </w:t>
      </w:r>
      <w:r w:rsidR="00C65508" w:rsidRPr="00F14EAC">
        <w:rPr>
          <w:rFonts w:ascii="Times New Roman" w:hAnsi="Times New Roman" w:cs="Times New Roman"/>
          <w:sz w:val="24"/>
          <w:szCs w:val="24"/>
        </w:rPr>
        <w:t xml:space="preserve">(Gur et al., 2020; </w:t>
      </w:r>
      <w:proofErr w:type="spellStart"/>
      <w:r w:rsidR="00C65508" w:rsidRPr="00F14EAC">
        <w:rPr>
          <w:rFonts w:ascii="Times New Roman" w:hAnsi="Times New Roman" w:cs="Times New Roman"/>
          <w:sz w:val="24"/>
          <w:szCs w:val="24"/>
        </w:rPr>
        <w:t>Pignanelli</w:t>
      </w:r>
      <w:proofErr w:type="spellEnd"/>
      <w:r w:rsidR="00C65508" w:rsidRPr="00F14EAC">
        <w:rPr>
          <w:rFonts w:ascii="Times New Roman" w:hAnsi="Times New Roman" w:cs="Times New Roman"/>
          <w:sz w:val="24"/>
          <w:szCs w:val="24"/>
        </w:rPr>
        <w:t xml:space="preserve"> </w:t>
      </w:r>
      <w:r w:rsidR="00C65508" w:rsidRPr="00F14EAC">
        <w:rPr>
          <w:rFonts w:ascii="Times New Roman" w:hAnsi="Times New Roman" w:cs="Times New Roman"/>
          <w:i/>
          <w:iCs/>
          <w:sz w:val="24"/>
          <w:szCs w:val="24"/>
        </w:rPr>
        <w:t>et al</w:t>
      </w:r>
      <w:r w:rsidR="00C65508" w:rsidRPr="00F14EAC">
        <w:rPr>
          <w:rFonts w:ascii="Times New Roman" w:hAnsi="Times New Roman" w:cs="Times New Roman"/>
          <w:sz w:val="24"/>
          <w:szCs w:val="24"/>
        </w:rPr>
        <w:t>., 2023)</w:t>
      </w:r>
      <w:r w:rsidRPr="00F14EAC">
        <w:rPr>
          <w:rFonts w:ascii="Times New Roman" w:hAnsi="Times New Roman" w:cs="Times New Roman"/>
          <w:sz w:val="24"/>
          <w:szCs w:val="24"/>
        </w:rPr>
        <w:t>. Consequently, hypogonadism may lead to ED, and hormonal imbalances can worsen deficiencies in the NO/PDE-5 pathway.</w:t>
      </w:r>
    </w:p>
    <w:p w14:paraId="3F5E7910" w14:textId="183D7945" w:rsidR="00061647" w:rsidRPr="00F14EAC" w:rsidRDefault="00061647" w:rsidP="00061647">
      <w:pPr>
        <w:spacing w:line="240" w:lineRule="auto"/>
        <w:jc w:val="both"/>
        <w:rPr>
          <w:rFonts w:ascii="Times New Roman" w:hAnsi="Times New Roman" w:cs="Times New Roman"/>
          <w:sz w:val="24"/>
          <w:szCs w:val="24"/>
        </w:rPr>
      </w:pPr>
      <w:r w:rsidRPr="00F14EAC">
        <w:rPr>
          <w:rFonts w:ascii="Times New Roman" w:hAnsi="Times New Roman" w:cs="Times New Roman"/>
          <w:sz w:val="24"/>
          <w:szCs w:val="24"/>
        </w:rPr>
        <w:t>Clonidine, an alpha-2 adrenergic receptor agonist, is frequently utilized in research to induce erectile dysfunction in animal models due to its inhibitory effects on central sympathetic outflow and peripheral vasodilation, which mimic characteristics of neurogenic and vascular ED. This inhibition of sympathetic outflow can result in diminished NO release within the penile vasculature, indirectly impacting the NO/cGMP pathway and hindering erectile responses</w:t>
      </w:r>
      <w:r w:rsidR="00C65508" w:rsidRPr="00F14EAC">
        <w:rPr>
          <w:rFonts w:ascii="Times New Roman" w:hAnsi="Times New Roman" w:cs="Times New Roman"/>
          <w:sz w:val="24"/>
          <w:szCs w:val="24"/>
        </w:rPr>
        <w:t xml:space="preserve"> (Argiolas </w:t>
      </w:r>
      <w:r w:rsidR="00C65508" w:rsidRPr="00F14EAC">
        <w:rPr>
          <w:rFonts w:ascii="Times New Roman" w:hAnsi="Times New Roman" w:cs="Times New Roman"/>
          <w:i/>
          <w:iCs/>
          <w:sz w:val="24"/>
          <w:szCs w:val="24"/>
        </w:rPr>
        <w:t>et al.,</w:t>
      </w:r>
      <w:r w:rsidR="00C65508" w:rsidRPr="00F14EAC">
        <w:rPr>
          <w:rFonts w:ascii="Times New Roman" w:hAnsi="Times New Roman" w:cs="Times New Roman"/>
          <w:sz w:val="24"/>
          <w:szCs w:val="24"/>
        </w:rPr>
        <w:t xml:space="preserve"> 2023)</w:t>
      </w:r>
      <w:r w:rsidRPr="00F14EAC">
        <w:rPr>
          <w:rFonts w:ascii="Times New Roman" w:hAnsi="Times New Roman" w:cs="Times New Roman"/>
          <w:sz w:val="24"/>
          <w:szCs w:val="24"/>
        </w:rPr>
        <w:t>. The clonidine-induced ED model serves as a significant tool for investigating neurogenic or drug-induced forms of ED and for assessing the effectiveness of potential therapeutic agents.</w:t>
      </w:r>
    </w:p>
    <w:p w14:paraId="2657304F" w14:textId="48994743" w:rsidR="00061647" w:rsidRPr="00F14EAC" w:rsidRDefault="00061647" w:rsidP="00061647">
      <w:pPr>
        <w:spacing w:line="240" w:lineRule="auto"/>
        <w:jc w:val="both"/>
        <w:rPr>
          <w:rFonts w:ascii="Times New Roman" w:hAnsi="Times New Roman" w:cs="Times New Roman"/>
          <w:sz w:val="24"/>
          <w:szCs w:val="24"/>
        </w:rPr>
      </w:pPr>
      <w:proofErr w:type="spellStart"/>
      <w:r w:rsidRPr="00F14EAC">
        <w:rPr>
          <w:rFonts w:ascii="Times New Roman" w:hAnsi="Times New Roman" w:cs="Times New Roman"/>
          <w:sz w:val="24"/>
          <w:szCs w:val="24"/>
        </w:rPr>
        <w:t>Burantashi</w:t>
      </w:r>
      <w:proofErr w:type="spellEnd"/>
      <w:r w:rsidRPr="00F14EAC">
        <w:rPr>
          <w:rFonts w:ascii="Times New Roman" w:hAnsi="Times New Roman" w:cs="Times New Roman"/>
          <w:sz w:val="24"/>
          <w:szCs w:val="24"/>
        </w:rPr>
        <w:t xml:space="preserve"> (</w:t>
      </w:r>
      <w:proofErr w:type="spellStart"/>
      <w:r w:rsidRPr="00F14EAC">
        <w:rPr>
          <w:rFonts w:ascii="Times New Roman" w:hAnsi="Times New Roman" w:cs="Times New Roman"/>
          <w:i/>
          <w:iCs/>
          <w:sz w:val="24"/>
          <w:szCs w:val="24"/>
        </w:rPr>
        <w:t>Pausinystalia</w:t>
      </w:r>
      <w:proofErr w:type="spellEnd"/>
      <w:r w:rsidRPr="00F14EAC">
        <w:rPr>
          <w:rFonts w:ascii="Times New Roman" w:hAnsi="Times New Roman" w:cs="Times New Roman"/>
          <w:i/>
          <w:iCs/>
          <w:sz w:val="24"/>
          <w:szCs w:val="24"/>
        </w:rPr>
        <w:t xml:space="preserve"> yohimbe</w:t>
      </w:r>
      <w:r w:rsidRPr="00F14EAC">
        <w:rPr>
          <w:rFonts w:ascii="Times New Roman" w:hAnsi="Times New Roman" w:cs="Times New Roman"/>
          <w:sz w:val="24"/>
          <w:szCs w:val="24"/>
        </w:rPr>
        <w:t>), a medicinal herb indigenous to West Africa, has been historically utilized as an aphrodisiac and a remedy for male sexual dysfunction</w:t>
      </w:r>
      <w:r w:rsidR="008232CD">
        <w:rPr>
          <w:rFonts w:ascii="Times New Roman" w:hAnsi="Times New Roman" w:cs="Times New Roman"/>
          <w:sz w:val="24"/>
          <w:szCs w:val="24"/>
        </w:rPr>
        <w:t xml:space="preserve"> (</w:t>
      </w:r>
      <w:r w:rsidR="008232CD" w:rsidRPr="008232CD">
        <w:rPr>
          <w:rFonts w:ascii="Times New Roman" w:hAnsi="Times New Roman" w:cs="Times New Roman"/>
          <w:color w:val="EE0000"/>
          <w:sz w:val="24"/>
          <w:szCs w:val="24"/>
        </w:rPr>
        <w:t xml:space="preserve">Wibowo </w:t>
      </w:r>
      <w:r w:rsidR="008232CD" w:rsidRPr="008232CD">
        <w:rPr>
          <w:rFonts w:ascii="Times New Roman" w:hAnsi="Times New Roman" w:cs="Times New Roman"/>
          <w:i/>
          <w:iCs/>
          <w:color w:val="EE0000"/>
          <w:sz w:val="24"/>
          <w:szCs w:val="24"/>
        </w:rPr>
        <w:t>et al.,</w:t>
      </w:r>
      <w:r w:rsidR="008232CD" w:rsidRPr="008232CD">
        <w:rPr>
          <w:rFonts w:ascii="Times New Roman" w:hAnsi="Times New Roman" w:cs="Times New Roman"/>
          <w:color w:val="EE0000"/>
          <w:sz w:val="24"/>
          <w:szCs w:val="24"/>
        </w:rPr>
        <w:t xml:space="preserve"> 2021)</w:t>
      </w:r>
      <w:r w:rsidRPr="008232CD">
        <w:rPr>
          <w:rFonts w:ascii="Times New Roman" w:hAnsi="Times New Roman" w:cs="Times New Roman"/>
          <w:color w:val="EE0000"/>
          <w:sz w:val="24"/>
          <w:szCs w:val="24"/>
        </w:rPr>
        <w:t>.</w:t>
      </w:r>
      <w:r w:rsidRPr="00F14EAC">
        <w:rPr>
          <w:rFonts w:ascii="Times New Roman" w:hAnsi="Times New Roman" w:cs="Times New Roman"/>
          <w:sz w:val="24"/>
          <w:szCs w:val="24"/>
        </w:rPr>
        <w:t xml:space="preserve"> The primary active ingredient, </w:t>
      </w:r>
      <w:r w:rsidRPr="00F14EAC">
        <w:rPr>
          <w:rFonts w:ascii="Times New Roman" w:hAnsi="Times New Roman" w:cs="Times New Roman"/>
          <w:i/>
          <w:iCs/>
          <w:sz w:val="24"/>
          <w:szCs w:val="24"/>
        </w:rPr>
        <w:t>yohimbine</w:t>
      </w:r>
      <w:r w:rsidRPr="00F14EAC">
        <w:rPr>
          <w:rFonts w:ascii="Times New Roman" w:hAnsi="Times New Roman" w:cs="Times New Roman"/>
          <w:sz w:val="24"/>
          <w:szCs w:val="24"/>
        </w:rPr>
        <w:t xml:space="preserve">, functions as an alpha-2 adrenergic receptor antagonist, which is recognized for its ability to improve erectile function by enhancing blood circulation, boosting libido, and promoting the release of nitric oxide (NO). Nevertheless, the molecular mechanisms, especially concerning its impact on the NO/PDE-5 pathway and hormonal regulation in the context of pharmacologically induced erectile dysfunction (ED), are not well understood. The bark of Burantashi is rich in various indole alkaloids, with yohimbine being the most prominent active component </w:t>
      </w:r>
      <w:r w:rsidR="00C65508" w:rsidRPr="00F14EAC">
        <w:rPr>
          <w:rFonts w:ascii="Times New Roman" w:hAnsi="Times New Roman" w:cs="Times New Roman"/>
          <w:sz w:val="24"/>
          <w:szCs w:val="24"/>
        </w:rPr>
        <w:t xml:space="preserve">(Ibeh </w:t>
      </w:r>
      <w:r w:rsidR="00C65508" w:rsidRPr="00F14EAC">
        <w:rPr>
          <w:rFonts w:ascii="Times New Roman" w:hAnsi="Times New Roman" w:cs="Times New Roman"/>
          <w:i/>
          <w:iCs/>
          <w:sz w:val="24"/>
          <w:szCs w:val="24"/>
        </w:rPr>
        <w:t>et al.,</w:t>
      </w:r>
      <w:r w:rsidR="00C65508" w:rsidRPr="00F14EAC">
        <w:rPr>
          <w:rFonts w:ascii="Times New Roman" w:hAnsi="Times New Roman" w:cs="Times New Roman"/>
          <w:sz w:val="24"/>
          <w:szCs w:val="24"/>
        </w:rPr>
        <w:t xml:space="preserve"> 2020)</w:t>
      </w:r>
      <w:r w:rsidRPr="00F14EAC">
        <w:rPr>
          <w:rFonts w:ascii="Times New Roman" w:hAnsi="Times New Roman" w:cs="Times New Roman"/>
          <w:sz w:val="24"/>
          <w:szCs w:val="24"/>
        </w:rPr>
        <w:t>. Although Burantashi has been locally employed as an aphrodisiac, it is crucial to scientifically validate its safety and comprehend how the complete extract influences the specific molecular pathways associated with erection.</w:t>
      </w:r>
    </w:p>
    <w:p w14:paraId="79E503D6" w14:textId="77777777" w:rsidR="00061647" w:rsidRPr="00F14EAC" w:rsidRDefault="00061647" w:rsidP="00061647">
      <w:pPr>
        <w:spacing w:line="240" w:lineRule="auto"/>
        <w:jc w:val="both"/>
        <w:rPr>
          <w:rFonts w:ascii="Times New Roman" w:hAnsi="Times New Roman" w:cs="Times New Roman"/>
          <w:sz w:val="24"/>
          <w:szCs w:val="24"/>
        </w:rPr>
      </w:pPr>
    </w:p>
    <w:p w14:paraId="61D13156" w14:textId="110B2072" w:rsidR="00061647" w:rsidRPr="00F14EAC" w:rsidRDefault="00061647" w:rsidP="00061647">
      <w:pPr>
        <w:spacing w:line="240" w:lineRule="auto"/>
        <w:jc w:val="both"/>
        <w:rPr>
          <w:rFonts w:ascii="Times New Roman" w:hAnsi="Times New Roman" w:cs="Times New Roman"/>
          <w:sz w:val="24"/>
          <w:szCs w:val="24"/>
        </w:rPr>
      </w:pPr>
      <w:r w:rsidRPr="00F14EAC">
        <w:rPr>
          <w:rFonts w:ascii="Times New Roman" w:hAnsi="Times New Roman" w:cs="Times New Roman"/>
          <w:sz w:val="24"/>
          <w:szCs w:val="24"/>
        </w:rPr>
        <w:t>Current pharmacological treatments, mainly phosphodiesterase-5 (PDE-5) inhibitors, are effective for many individuals but come with side effects, contraindications, and may not work for all patients</w:t>
      </w:r>
      <w:r w:rsidR="00C65508" w:rsidRPr="00F14EAC">
        <w:rPr>
          <w:rFonts w:ascii="Times New Roman" w:hAnsi="Times New Roman" w:cs="Times New Roman"/>
          <w:sz w:val="24"/>
          <w:szCs w:val="24"/>
        </w:rPr>
        <w:t xml:space="preserve"> (</w:t>
      </w:r>
      <w:proofErr w:type="spellStart"/>
      <w:r w:rsidR="00C65508" w:rsidRPr="00F14EAC">
        <w:rPr>
          <w:rFonts w:ascii="Times New Roman" w:hAnsi="Times New Roman" w:cs="Times New Roman"/>
          <w:sz w:val="24"/>
          <w:szCs w:val="24"/>
        </w:rPr>
        <w:t>Auso</w:t>
      </w:r>
      <w:proofErr w:type="spellEnd"/>
      <w:r w:rsidR="00C65508" w:rsidRPr="00F14EAC">
        <w:rPr>
          <w:rFonts w:ascii="Times New Roman" w:hAnsi="Times New Roman" w:cs="Times New Roman"/>
          <w:sz w:val="24"/>
          <w:szCs w:val="24"/>
        </w:rPr>
        <w:t xml:space="preserve"> </w:t>
      </w:r>
      <w:r w:rsidR="00C65508" w:rsidRPr="00F14EAC">
        <w:rPr>
          <w:rFonts w:ascii="Times New Roman" w:hAnsi="Times New Roman" w:cs="Times New Roman"/>
          <w:i/>
          <w:iCs/>
          <w:sz w:val="24"/>
          <w:szCs w:val="24"/>
        </w:rPr>
        <w:t>et al.,</w:t>
      </w:r>
      <w:r w:rsidR="00C65508" w:rsidRPr="00F14EAC">
        <w:rPr>
          <w:rFonts w:ascii="Times New Roman" w:hAnsi="Times New Roman" w:cs="Times New Roman"/>
          <w:sz w:val="24"/>
          <w:szCs w:val="24"/>
        </w:rPr>
        <w:t xml:space="preserve"> 2021)</w:t>
      </w:r>
      <w:r w:rsidRPr="00F14EAC">
        <w:rPr>
          <w:rFonts w:ascii="Times New Roman" w:hAnsi="Times New Roman" w:cs="Times New Roman"/>
          <w:sz w:val="24"/>
          <w:szCs w:val="24"/>
        </w:rPr>
        <w:t xml:space="preserve">, particularly those suffering from severe neurogenic or vascular damage, or those whose ED is affected by intricate hormonal imbalances. Although yohimbine, the active ingredient in </w:t>
      </w:r>
      <w:proofErr w:type="spellStart"/>
      <w:r w:rsidRPr="00F14EAC">
        <w:rPr>
          <w:rFonts w:ascii="Times New Roman" w:hAnsi="Times New Roman" w:cs="Times New Roman"/>
          <w:i/>
          <w:iCs/>
          <w:sz w:val="24"/>
          <w:szCs w:val="24"/>
        </w:rPr>
        <w:t>Pausinystalia</w:t>
      </w:r>
      <w:proofErr w:type="spellEnd"/>
      <w:r w:rsidRPr="00F14EAC">
        <w:rPr>
          <w:rFonts w:ascii="Times New Roman" w:hAnsi="Times New Roman" w:cs="Times New Roman"/>
          <w:i/>
          <w:iCs/>
          <w:sz w:val="24"/>
          <w:szCs w:val="24"/>
        </w:rPr>
        <w:t xml:space="preserve"> yohimbe</w:t>
      </w:r>
      <w:r w:rsidRPr="00F14EAC">
        <w:rPr>
          <w:rFonts w:ascii="Times New Roman" w:hAnsi="Times New Roman" w:cs="Times New Roman"/>
          <w:sz w:val="24"/>
          <w:szCs w:val="24"/>
        </w:rPr>
        <w:t xml:space="preserve">, is recognized as an alpha-2 adrenergic receptor antagonist and has been utilized in the treatment of erectile dysfunction (ED), the full extent of its impact on the subsequent molecular and hormonal processes related to erectile function, particularly in a pharmacologically induced ED model, remains inadequately understood. There is a notable lack of clarity regarding the exact mechanism through which </w:t>
      </w:r>
      <w:proofErr w:type="spellStart"/>
      <w:r w:rsidRPr="00F14EAC">
        <w:rPr>
          <w:rFonts w:ascii="Times New Roman" w:hAnsi="Times New Roman" w:cs="Times New Roman"/>
          <w:i/>
          <w:iCs/>
          <w:sz w:val="24"/>
          <w:szCs w:val="24"/>
        </w:rPr>
        <w:t>Pausinystalia</w:t>
      </w:r>
      <w:proofErr w:type="spellEnd"/>
      <w:r w:rsidRPr="00F14EAC">
        <w:rPr>
          <w:rFonts w:ascii="Times New Roman" w:hAnsi="Times New Roman" w:cs="Times New Roman"/>
          <w:i/>
          <w:iCs/>
          <w:sz w:val="24"/>
          <w:szCs w:val="24"/>
        </w:rPr>
        <w:t xml:space="preserve"> yohimbe</w:t>
      </w:r>
      <w:r w:rsidRPr="00F14EAC">
        <w:rPr>
          <w:rFonts w:ascii="Times New Roman" w:hAnsi="Times New Roman" w:cs="Times New Roman"/>
          <w:sz w:val="24"/>
          <w:szCs w:val="24"/>
        </w:rPr>
        <w:t xml:space="preserve"> enhances erectile function, especially its direct effect on the NO/PDE-5 pathway and its relationship with essential hormones such as testosterone and luteinizing hormone (LH). This research aims to address this deficiency by offering a more detailed understanding of how this herbal extract operates at both molecular and endocrine levels. Consequently, this study aims to investigate the modulatory effects of Burantashi extract on the nitric oxide (NO) and phosphodiesterase 5 (PDE-5) pathway and reproductive hormonal profile in Wistar rats with clonidine-induced ED. </w:t>
      </w:r>
    </w:p>
    <w:p w14:paraId="315E8F2D" w14:textId="77777777" w:rsidR="00061647" w:rsidRPr="00F14EAC" w:rsidRDefault="00061647" w:rsidP="00061647">
      <w:pPr>
        <w:spacing w:line="240" w:lineRule="auto"/>
        <w:rPr>
          <w:rFonts w:ascii="Times New Roman" w:hAnsi="Times New Roman" w:cs="Times New Roman"/>
          <w:b/>
          <w:bCs/>
          <w:sz w:val="24"/>
          <w:szCs w:val="24"/>
        </w:rPr>
      </w:pPr>
      <w:r w:rsidRPr="00F14EAC">
        <w:rPr>
          <w:rFonts w:ascii="Times New Roman" w:hAnsi="Times New Roman" w:cs="Times New Roman"/>
          <w:b/>
          <w:bCs/>
          <w:sz w:val="24"/>
          <w:szCs w:val="24"/>
        </w:rPr>
        <w:t>2.0 Materials and Methods</w:t>
      </w:r>
    </w:p>
    <w:p w14:paraId="13A79082" w14:textId="77777777" w:rsidR="00061647" w:rsidRPr="00F14EAC" w:rsidRDefault="00061647" w:rsidP="00061647">
      <w:pPr>
        <w:pStyle w:val="Default"/>
        <w:rPr>
          <w:b/>
          <w:bCs/>
          <w:color w:val="auto"/>
        </w:rPr>
      </w:pPr>
      <w:r w:rsidRPr="00F14EAC">
        <w:rPr>
          <w:b/>
          <w:bCs/>
          <w:color w:val="auto"/>
        </w:rPr>
        <w:lastRenderedPageBreak/>
        <w:t>2.1 Collection and Preparation of Burantashi</w:t>
      </w:r>
    </w:p>
    <w:p w14:paraId="1E5F98EE" w14:textId="7BA07764" w:rsidR="00061647" w:rsidRPr="00F14EAC" w:rsidRDefault="00061647" w:rsidP="00061647">
      <w:pPr>
        <w:pStyle w:val="Default"/>
        <w:jc w:val="both"/>
        <w:rPr>
          <w:color w:val="auto"/>
        </w:rPr>
      </w:pPr>
      <w:r w:rsidRPr="00F14EAC">
        <w:rPr>
          <w:color w:val="auto"/>
        </w:rPr>
        <w:t>The Burantashi stem was acquired from reputable herbal drug vendors at the Lagos Street market, Ring Road, Benin City. This was verified by a plant taxonomist at Plant Biology and Biotechnology, Faculty of Life Sciences, University of Benin, who assigned it the herbarium number UBH-P371. The preparation of the stem bark followed a modified technique based on Bolarinwa et al</w:t>
      </w:r>
      <w:r w:rsidR="00A175D1" w:rsidRPr="00F14EAC">
        <w:rPr>
          <w:color w:val="auto"/>
        </w:rPr>
        <w:t xml:space="preserve"> (2016</w:t>
      </w:r>
      <w:proofErr w:type="gramStart"/>
      <w:r w:rsidR="00A175D1" w:rsidRPr="00F14EAC">
        <w:rPr>
          <w:color w:val="auto"/>
        </w:rPr>
        <w:t>).</w:t>
      </w:r>
      <w:r w:rsidRPr="00F14EAC">
        <w:rPr>
          <w:color w:val="auto"/>
          <w:vertAlign w:val="superscript"/>
        </w:rPr>
        <w:t>.</w:t>
      </w:r>
      <w:proofErr w:type="gramEnd"/>
      <w:r w:rsidRPr="00F14EAC">
        <w:rPr>
          <w:color w:val="auto"/>
        </w:rPr>
        <w:t xml:space="preserve"> To prepare the extract, the stem bark was meticulously cleaned, free from debris, and rinsed in water. After rinsing, the clean stem bark was placed in a large clean bowl, and excess water was drained. The bark was then scraped off the stem and air-dried. Once dried, it was ground into a powder using a mortar and pestle. The resulting powder was stored in an airtight container.</w:t>
      </w:r>
    </w:p>
    <w:p w14:paraId="547AA3CC" w14:textId="77777777" w:rsidR="00061647" w:rsidRPr="00F14EAC" w:rsidRDefault="00061647" w:rsidP="00061647">
      <w:pPr>
        <w:pStyle w:val="Default"/>
        <w:rPr>
          <w:b/>
          <w:bCs/>
          <w:color w:val="auto"/>
        </w:rPr>
      </w:pPr>
      <w:r w:rsidRPr="00F14EAC">
        <w:rPr>
          <w:b/>
          <w:bCs/>
          <w:color w:val="auto"/>
        </w:rPr>
        <w:t>2.2 Extraction of the Stem bark of Burantashi extract</w:t>
      </w:r>
    </w:p>
    <w:p w14:paraId="7FEAB1EE" w14:textId="078AC10E" w:rsidR="00061647" w:rsidRPr="00F14EAC" w:rsidRDefault="00061647" w:rsidP="00061647">
      <w:pPr>
        <w:pStyle w:val="Default"/>
        <w:jc w:val="both"/>
        <w:rPr>
          <w:color w:val="auto"/>
        </w:rPr>
      </w:pPr>
      <w:r w:rsidRPr="00F14EAC">
        <w:rPr>
          <w:color w:val="auto"/>
        </w:rPr>
        <w:t xml:space="preserve">The extraction method utilized was adapted from </w:t>
      </w:r>
      <w:proofErr w:type="spellStart"/>
      <w:r w:rsidRPr="00F14EAC">
        <w:rPr>
          <w:color w:val="auto"/>
        </w:rPr>
        <w:t>Cvejic</w:t>
      </w:r>
      <w:proofErr w:type="spellEnd"/>
      <w:r w:rsidRPr="00F14EAC">
        <w:rPr>
          <w:color w:val="auto"/>
        </w:rPr>
        <w:t xml:space="preserve"> </w:t>
      </w:r>
      <w:r w:rsidRPr="00F14EAC">
        <w:rPr>
          <w:i/>
          <w:iCs/>
          <w:color w:val="auto"/>
        </w:rPr>
        <w:t>et al</w:t>
      </w:r>
      <w:r w:rsidR="00A175D1" w:rsidRPr="00F14EAC">
        <w:rPr>
          <w:color w:val="auto"/>
        </w:rPr>
        <w:t xml:space="preserve"> (2009)</w:t>
      </w:r>
      <w:r w:rsidRPr="00F14EAC">
        <w:rPr>
          <w:color w:val="auto"/>
        </w:rPr>
        <w:t>. A specific amount of Burantashi powder was placed into a thimble and positioned in the Soxhlet extractor chamber, where it was extracted with methanol. This process was carried out using the Soxhlet extractor to obtain 17.45% yield of methanol extract of Burantashi. The extract was then concentrated with a rotary evaporator and completely dried using a thermostatically controlled hot air oven. A small portion of this extract underwent HPLC/MS and GC/MS analysis to identify its phytochemical constituents, while the remainder (stored in the refrigerator protected from light) was allocated for animal studies.</w:t>
      </w:r>
    </w:p>
    <w:p w14:paraId="69B8FC15" w14:textId="77777777" w:rsidR="00061647" w:rsidRPr="00F14EAC" w:rsidRDefault="00061647" w:rsidP="00061647">
      <w:pPr>
        <w:pStyle w:val="Default"/>
        <w:rPr>
          <w:b/>
          <w:bCs/>
          <w:color w:val="auto"/>
        </w:rPr>
      </w:pPr>
      <w:r w:rsidRPr="00F14EAC">
        <w:rPr>
          <w:b/>
          <w:bCs/>
          <w:color w:val="auto"/>
        </w:rPr>
        <w:t>2.3 Experimental Animals</w:t>
      </w:r>
    </w:p>
    <w:p w14:paraId="78AB9EF2" w14:textId="7D802A6F" w:rsidR="00061647" w:rsidRPr="00F14EAC" w:rsidRDefault="00061647" w:rsidP="00061647">
      <w:pPr>
        <w:pStyle w:val="Default"/>
        <w:jc w:val="both"/>
        <w:rPr>
          <w:color w:val="auto"/>
        </w:rPr>
      </w:pPr>
      <w:r w:rsidRPr="00F14EAC">
        <w:rPr>
          <w:color w:val="auto"/>
        </w:rPr>
        <w:t>One hundred (100) Wistar rats (70 male and 30 females) of average weight 150-170 g (for males) and 120-150 g (for females) were purchased from the Animal House of the Department of Pharmacology, Faculty of Pharmacy, University of Benin, Nigeria. The rats were allowed a two-week acclimatization period and were provided with standard pelleted livestock feed (</w:t>
      </w:r>
      <w:proofErr w:type="spellStart"/>
      <w:r w:rsidRPr="00F14EAC">
        <w:rPr>
          <w:color w:val="auto"/>
        </w:rPr>
        <w:t>Primier</w:t>
      </w:r>
      <w:proofErr w:type="spellEnd"/>
      <w:r w:rsidRPr="00F14EAC">
        <w:rPr>
          <w:color w:val="auto"/>
        </w:rPr>
        <w:t xml:space="preserve"> Feed Mill Ltd, Edo State) and tap water </w:t>
      </w:r>
      <w:r w:rsidRPr="00F14EAC">
        <w:rPr>
          <w:i/>
          <w:iCs/>
          <w:color w:val="auto"/>
        </w:rPr>
        <w:t>ad libitum</w:t>
      </w:r>
      <w:r w:rsidRPr="00F14EAC">
        <w:rPr>
          <w:color w:val="auto"/>
        </w:rPr>
        <w:t xml:space="preserve">. All experimental procedures adhered to the guidelines set forth by the National Research Council and the American Association of Accreditation for Laboratory Animal Care </w:t>
      </w:r>
      <w:r w:rsidR="00A175D1" w:rsidRPr="00F14EAC">
        <w:rPr>
          <w:color w:val="auto"/>
        </w:rPr>
        <w:t>(NRC, 2011</w:t>
      </w:r>
      <w:proofErr w:type="gramStart"/>
      <w:r w:rsidR="00A175D1" w:rsidRPr="00F14EAC">
        <w:rPr>
          <w:color w:val="auto"/>
        </w:rPr>
        <w:t>).</w:t>
      </w:r>
      <w:r w:rsidRPr="00F14EAC">
        <w:rPr>
          <w:color w:val="auto"/>
          <w:vertAlign w:val="superscript"/>
        </w:rPr>
        <w:t>.</w:t>
      </w:r>
      <w:proofErr w:type="gramEnd"/>
    </w:p>
    <w:p w14:paraId="6AFDAAA3" w14:textId="77777777" w:rsidR="00061647" w:rsidRPr="00F14EAC" w:rsidRDefault="00061647" w:rsidP="00061647">
      <w:pPr>
        <w:pStyle w:val="Default"/>
        <w:jc w:val="both"/>
        <w:rPr>
          <w:color w:val="auto"/>
        </w:rPr>
      </w:pPr>
    </w:p>
    <w:p w14:paraId="208831D1" w14:textId="77777777" w:rsidR="00061647" w:rsidRPr="00F14EAC" w:rsidRDefault="00061647" w:rsidP="00061647">
      <w:pPr>
        <w:pStyle w:val="Default"/>
        <w:jc w:val="both"/>
        <w:rPr>
          <w:color w:val="auto"/>
        </w:rPr>
      </w:pPr>
      <w:r w:rsidRPr="00F14EAC">
        <w:rPr>
          <w:color w:val="auto"/>
        </w:rPr>
        <w:t xml:space="preserve">                                                 100 Wistar Rats were procured</w:t>
      </w:r>
    </w:p>
    <w:p w14:paraId="23EBE97B" w14:textId="77777777" w:rsidR="00061647" w:rsidRPr="00F14EAC" w:rsidRDefault="00061647" w:rsidP="00061647">
      <w:pPr>
        <w:pStyle w:val="Default"/>
        <w:jc w:val="both"/>
        <w:rPr>
          <w:color w:val="auto"/>
        </w:rPr>
      </w:pPr>
      <w:r w:rsidRPr="00F14EAC">
        <w:rPr>
          <w:noProof/>
          <w:color w:val="auto"/>
          <w14:ligatures w14:val="none"/>
        </w:rPr>
        <mc:AlternateContent>
          <mc:Choice Requires="wps">
            <w:drawing>
              <wp:anchor distT="0" distB="0" distL="114300" distR="114300" simplePos="0" relativeHeight="251659264" behindDoc="0" locked="0" layoutInCell="1" allowOverlap="1" wp14:anchorId="5F5E7BC2" wp14:editId="46BEADBF">
                <wp:simplePos x="0" y="0"/>
                <wp:positionH relativeFrom="column">
                  <wp:posOffset>323850</wp:posOffset>
                </wp:positionH>
                <wp:positionV relativeFrom="paragraph">
                  <wp:posOffset>59690</wp:posOffset>
                </wp:positionV>
                <wp:extent cx="1524000" cy="1606550"/>
                <wp:effectExtent l="38100" t="0" r="19050" b="50800"/>
                <wp:wrapNone/>
                <wp:docPr id="1162471240" name="Straight Arrow Connector 1"/>
                <wp:cNvGraphicFramePr/>
                <a:graphic xmlns:a="http://schemas.openxmlformats.org/drawingml/2006/main">
                  <a:graphicData uri="http://schemas.microsoft.com/office/word/2010/wordprocessingShape">
                    <wps:wsp>
                      <wps:cNvCnPr/>
                      <wps:spPr>
                        <a:xfrm flipH="1">
                          <a:off x="0" y="0"/>
                          <a:ext cx="1524000" cy="1606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34745E1" id="_x0000_t32" coordsize="21600,21600" o:spt="32" o:oned="t" path="m,l21600,21600e" filled="f">
                <v:path arrowok="t" fillok="f" o:connecttype="none"/>
                <o:lock v:ext="edit" shapetype="t"/>
              </v:shapetype>
              <v:shape id="Straight Arrow Connector 1" o:spid="_x0000_s1026" type="#_x0000_t32" style="position:absolute;margin-left:25.5pt;margin-top:4.7pt;width:120pt;height:126.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" strokecolor="#5b9bd5 [3204]" strokeweight=".5pt">
                <v:stroke endarrow="block" joinstyle="miter"/>
              </v:shape>
            </w:pict>
          </mc:Fallback>
        </mc:AlternateContent>
      </w:r>
      <w:r w:rsidRPr="00F14EAC">
        <w:rPr>
          <w:noProof/>
          <w:color w:val="auto"/>
          <w14:ligatures w14:val="none"/>
        </w:rPr>
        <mc:AlternateContent>
          <mc:Choice Requires="wps">
            <w:drawing>
              <wp:anchor distT="0" distB="0" distL="114300" distR="114300" simplePos="0" relativeHeight="251660288" behindDoc="0" locked="0" layoutInCell="1" allowOverlap="1" wp14:anchorId="1C1C6449" wp14:editId="08400D94">
                <wp:simplePos x="0" y="0"/>
                <wp:positionH relativeFrom="column">
                  <wp:posOffset>1962150</wp:posOffset>
                </wp:positionH>
                <wp:positionV relativeFrom="paragraph">
                  <wp:posOffset>59690</wp:posOffset>
                </wp:positionV>
                <wp:extent cx="800100" cy="311150"/>
                <wp:effectExtent l="0" t="0" r="95250" b="69850"/>
                <wp:wrapNone/>
                <wp:docPr id="1213797184" name="Straight Arrow Connector 2"/>
                <wp:cNvGraphicFramePr/>
                <a:graphic xmlns:a="http://schemas.openxmlformats.org/drawingml/2006/main">
                  <a:graphicData uri="http://schemas.microsoft.com/office/word/2010/wordprocessingShape">
                    <wps:wsp>
                      <wps:cNvCnPr/>
                      <wps:spPr>
                        <a:xfrm>
                          <a:off x="0" y="0"/>
                          <a:ext cx="800100" cy="311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76ACCE" id="Straight Arrow Connector 2" o:spid="_x0000_s1026" type="#_x0000_t32" style="position:absolute;margin-left:154.5pt;margin-top:4.7pt;width:63pt;height:2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" strokecolor="#5b9bd5 [3204]" strokeweight=".5pt">
                <v:stroke endarrow="block" joinstyle="miter"/>
              </v:shape>
            </w:pict>
          </mc:Fallback>
        </mc:AlternateContent>
      </w:r>
    </w:p>
    <w:p w14:paraId="2C68E342" w14:textId="77777777" w:rsidR="00061647" w:rsidRPr="00F14EAC" w:rsidRDefault="00061647" w:rsidP="00061647">
      <w:pPr>
        <w:pStyle w:val="Default"/>
        <w:jc w:val="both"/>
        <w:rPr>
          <w:color w:val="auto"/>
        </w:rPr>
      </w:pPr>
    </w:p>
    <w:p w14:paraId="4EE33112" w14:textId="77777777" w:rsidR="00061647" w:rsidRPr="00F14EAC" w:rsidRDefault="00061647" w:rsidP="00061647">
      <w:pPr>
        <w:pStyle w:val="Default"/>
        <w:jc w:val="both"/>
        <w:rPr>
          <w:color w:val="auto"/>
        </w:rPr>
      </w:pPr>
      <w:r w:rsidRPr="00F14EAC">
        <w:rPr>
          <w:color w:val="auto"/>
        </w:rPr>
        <w:t xml:space="preserve">                                                                       70 males</w:t>
      </w:r>
    </w:p>
    <w:p w14:paraId="7CDE4E0F" w14:textId="77777777" w:rsidR="00061647" w:rsidRPr="00F14EAC" w:rsidRDefault="00061647" w:rsidP="00061647">
      <w:pPr>
        <w:pStyle w:val="Default"/>
        <w:jc w:val="both"/>
        <w:rPr>
          <w:color w:val="auto"/>
        </w:rPr>
      </w:pPr>
      <w:r w:rsidRPr="00F14EAC">
        <w:rPr>
          <w:noProof/>
          <w:color w:val="auto"/>
          <w14:ligatures w14:val="none"/>
        </w:rPr>
        <mc:AlternateContent>
          <mc:Choice Requires="wps">
            <w:drawing>
              <wp:anchor distT="0" distB="0" distL="114300" distR="114300" simplePos="0" relativeHeight="251662336" behindDoc="0" locked="0" layoutInCell="1" allowOverlap="1" wp14:anchorId="1C559E11" wp14:editId="1B9DA79A">
                <wp:simplePos x="0" y="0"/>
                <wp:positionH relativeFrom="column">
                  <wp:posOffset>3155950</wp:posOffset>
                </wp:positionH>
                <wp:positionV relativeFrom="paragraph">
                  <wp:posOffset>76200</wp:posOffset>
                </wp:positionV>
                <wp:extent cx="723900" cy="406400"/>
                <wp:effectExtent l="0" t="0" r="76200" b="50800"/>
                <wp:wrapNone/>
                <wp:docPr id="1265727277" name="Straight Arrow Connector 4"/>
                <wp:cNvGraphicFramePr/>
                <a:graphic xmlns:a="http://schemas.openxmlformats.org/drawingml/2006/main">
                  <a:graphicData uri="http://schemas.microsoft.com/office/word/2010/wordprocessingShape">
                    <wps:wsp>
                      <wps:cNvCnPr/>
                      <wps:spPr>
                        <a:xfrm>
                          <a:off x="0" y="0"/>
                          <a:ext cx="723900" cy="406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5BA1DF1" id="Straight Arrow Connector 4" o:spid="_x0000_s1026" type="#_x0000_t32" style="position:absolute;margin-left:248.5pt;margin-top:6pt;width:57pt;height:32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" strokecolor="#5b9bd5 [3204]" strokeweight=".5pt">
                <v:stroke endarrow="block" joinstyle="miter"/>
              </v:shape>
            </w:pict>
          </mc:Fallback>
        </mc:AlternateContent>
      </w:r>
      <w:r w:rsidRPr="00F14EAC">
        <w:rPr>
          <w:noProof/>
          <w:color w:val="auto"/>
          <w14:ligatures w14:val="none"/>
        </w:rPr>
        <mc:AlternateContent>
          <mc:Choice Requires="wps">
            <w:drawing>
              <wp:anchor distT="0" distB="0" distL="114300" distR="114300" simplePos="0" relativeHeight="251661312" behindDoc="0" locked="0" layoutInCell="1" allowOverlap="1" wp14:anchorId="0A3385FB" wp14:editId="75A7A926">
                <wp:simplePos x="0" y="0"/>
                <wp:positionH relativeFrom="column">
                  <wp:posOffset>1784350</wp:posOffset>
                </wp:positionH>
                <wp:positionV relativeFrom="paragraph">
                  <wp:posOffset>19050</wp:posOffset>
                </wp:positionV>
                <wp:extent cx="1250950" cy="463550"/>
                <wp:effectExtent l="38100" t="0" r="25400" b="69850"/>
                <wp:wrapNone/>
                <wp:docPr id="795060307" name="Straight Arrow Connector 3"/>
                <wp:cNvGraphicFramePr/>
                <a:graphic xmlns:a="http://schemas.openxmlformats.org/drawingml/2006/main">
                  <a:graphicData uri="http://schemas.microsoft.com/office/word/2010/wordprocessingShape">
                    <wps:wsp>
                      <wps:cNvCnPr/>
                      <wps:spPr>
                        <a:xfrm flipH="1">
                          <a:off x="0" y="0"/>
                          <a:ext cx="1250950" cy="463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F2A0511" id="Straight Arrow Connector 3" o:spid="_x0000_s1026" type="#_x0000_t32" style="position:absolute;margin-left:140.5pt;margin-top:1.5pt;width:98.5pt;height:36.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" strokecolor="#5b9bd5 [3204]" strokeweight=".5pt">
                <v:stroke endarrow="block" joinstyle="miter"/>
              </v:shape>
            </w:pict>
          </mc:Fallback>
        </mc:AlternateContent>
      </w:r>
    </w:p>
    <w:p w14:paraId="7765A36F" w14:textId="77777777" w:rsidR="00061647" w:rsidRPr="00F14EAC" w:rsidRDefault="00061647" w:rsidP="00061647">
      <w:pPr>
        <w:pStyle w:val="Default"/>
        <w:jc w:val="both"/>
        <w:rPr>
          <w:color w:val="auto"/>
        </w:rPr>
      </w:pPr>
    </w:p>
    <w:p w14:paraId="113BE19F" w14:textId="77777777" w:rsidR="00061647" w:rsidRPr="00F14EAC" w:rsidRDefault="00061647" w:rsidP="00061647">
      <w:pPr>
        <w:pStyle w:val="Default"/>
        <w:jc w:val="both"/>
        <w:rPr>
          <w:color w:val="auto"/>
        </w:rPr>
      </w:pPr>
    </w:p>
    <w:p w14:paraId="414B53D3" w14:textId="77777777" w:rsidR="00061647" w:rsidRPr="00F14EAC" w:rsidRDefault="00061647" w:rsidP="00061647">
      <w:pPr>
        <w:pStyle w:val="Default"/>
        <w:jc w:val="both"/>
        <w:rPr>
          <w:color w:val="auto"/>
        </w:rPr>
      </w:pPr>
      <w:r w:rsidRPr="00F14EAC">
        <w:rPr>
          <w:color w:val="auto"/>
        </w:rPr>
        <w:t xml:space="preserve">                           20 rats were used for toxicity study         50 were clonidine-induced ED</w:t>
      </w:r>
    </w:p>
    <w:p w14:paraId="01DB8EF0" w14:textId="77777777" w:rsidR="00061647" w:rsidRPr="00F14EAC" w:rsidRDefault="00061647" w:rsidP="00061647">
      <w:pPr>
        <w:pStyle w:val="Default"/>
        <w:jc w:val="both"/>
        <w:rPr>
          <w:color w:val="auto"/>
        </w:rPr>
      </w:pPr>
      <w:r w:rsidRPr="00F14EAC">
        <w:rPr>
          <w:noProof/>
          <w:color w:val="auto"/>
          <w14:ligatures w14:val="none"/>
        </w:rPr>
        <mc:AlternateContent>
          <mc:Choice Requires="wps">
            <w:drawing>
              <wp:anchor distT="0" distB="0" distL="114300" distR="114300" simplePos="0" relativeHeight="251664384" behindDoc="0" locked="0" layoutInCell="1" allowOverlap="1" wp14:anchorId="3C111522" wp14:editId="76649CC7">
                <wp:simplePos x="0" y="0"/>
                <wp:positionH relativeFrom="column">
                  <wp:posOffset>2012950</wp:posOffset>
                </wp:positionH>
                <wp:positionV relativeFrom="paragraph">
                  <wp:posOffset>20320</wp:posOffset>
                </wp:positionV>
                <wp:extent cx="1492250" cy="1238250"/>
                <wp:effectExtent l="38100" t="0" r="31750" b="57150"/>
                <wp:wrapNone/>
                <wp:docPr id="311269300" name="Straight Arrow Connector 6"/>
                <wp:cNvGraphicFramePr/>
                <a:graphic xmlns:a="http://schemas.openxmlformats.org/drawingml/2006/main">
                  <a:graphicData uri="http://schemas.microsoft.com/office/word/2010/wordprocessingShape">
                    <wps:wsp>
                      <wps:cNvCnPr/>
                      <wps:spPr>
                        <a:xfrm flipH="1">
                          <a:off x="0" y="0"/>
                          <a:ext cx="1492250" cy="1238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F93E488" id="Straight Arrow Connector 6" o:spid="_x0000_s1026" type="#_x0000_t32" style="position:absolute;margin-left:158.5pt;margin-top:1.6pt;width:117.5pt;height:97.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" strokecolor="#5b9bd5 [3204]" strokeweight=".5pt">
                <v:stroke endarrow="block" joinstyle="miter"/>
              </v:shape>
            </w:pict>
          </mc:Fallback>
        </mc:AlternateContent>
      </w:r>
      <w:r w:rsidRPr="00F14EAC">
        <w:rPr>
          <w:noProof/>
          <w:color w:val="auto"/>
          <w14:ligatures w14:val="none"/>
        </w:rPr>
        <mc:AlternateContent>
          <mc:Choice Requires="wps">
            <w:drawing>
              <wp:anchor distT="0" distB="0" distL="114300" distR="114300" simplePos="0" relativeHeight="251663360" behindDoc="0" locked="0" layoutInCell="1" allowOverlap="1" wp14:anchorId="0CDF7FEC" wp14:editId="753B3D80">
                <wp:simplePos x="0" y="0"/>
                <wp:positionH relativeFrom="column">
                  <wp:posOffset>3613150</wp:posOffset>
                </wp:positionH>
                <wp:positionV relativeFrom="paragraph">
                  <wp:posOffset>58420</wp:posOffset>
                </wp:positionV>
                <wp:extent cx="6350" cy="508000"/>
                <wp:effectExtent l="76200" t="0" r="69850" b="63500"/>
                <wp:wrapNone/>
                <wp:docPr id="1122170362" name="Straight Arrow Connector 5"/>
                <wp:cNvGraphicFramePr/>
                <a:graphic xmlns:a="http://schemas.openxmlformats.org/drawingml/2006/main">
                  <a:graphicData uri="http://schemas.microsoft.com/office/word/2010/wordprocessingShape">
                    <wps:wsp>
                      <wps:cNvCnPr/>
                      <wps:spPr>
                        <a:xfrm>
                          <a:off x="0" y="0"/>
                          <a:ext cx="6350" cy="508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13D0A61" id="Straight Arrow Connector 5" o:spid="_x0000_s1026" type="#_x0000_t32" style="position:absolute;margin-left:284.5pt;margin-top:4.6pt;width:.5pt;height:40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" strokecolor="#5b9bd5 [3204]" strokeweight=".5pt">
                <v:stroke endarrow="block" joinstyle="miter"/>
              </v:shape>
            </w:pict>
          </mc:Fallback>
        </mc:AlternateContent>
      </w:r>
    </w:p>
    <w:p w14:paraId="5F073306" w14:textId="77777777" w:rsidR="00061647" w:rsidRPr="00F14EAC" w:rsidRDefault="00061647" w:rsidP="00061647">
      <w:pPr>
        <w:pStyle w:val="Default"/>
        <w:jc w:val="both"/>
        <w:rPr>
          <w:color w:val="auto"/>
        </w:rPr>
      </w:pPr>
    </w:p>
    <w:p w14:paraId="323D62F8" w14:textId="77777777" w:rsidR="00061647" w:rsidRPr="00F14EAC" w:rsidRDefault="00061647" w:rsidP="00061647">
      <w:pPr>
        <w:pStyle w:val="Default"/>
        <w:jc w:val="both"/>
        <w:rPr>
          <w:color w:val="auto"/>
        </w:rPr>
      </w:pPr>
    </w:p>
    <w:p w14:paraId="780AA340" w14:textId="77777777" w:rsidR="00061647" w:rsidRPr="00F14EAC" w:rsidRDefault="00061647" w:rsidP="00061647">
      <w:pPr>
        <w:pStyle w:val="Default"/>
        <w:jc w:val="both"/>
        <w:rPr>
          <w:color w:val="auto"/>
        </w:rPr>
      </w:pPr>
      <w:r w:rsidRPr="00F14EAC">
        <w:rPr>
          <w:color w:val="auto"/>
        </w:rPr>
        <w:t>30 females</w:t>
      </w:r>
    </w:p>
    <w:p w14:paraId="4B25C250" w14:textId="77777777" w:rsidR="00061647" w:rsidRPr="00F14EAC" w:rsidRDefault="00061647" w:rsidP="00061647">
      <w:pPr>
        <w:pStyle w:val="Default"/>
        <w:jc w:val="both"/>
        <w:rPr>
          <w:color w:val="auto"/>
        </w:rPr>
      </w:pPr>
      <w:r w:rsidRPr="00F14EAC">
        <w:rPr>
          <w:noProof/>
          <w:color w:val="auto"/>
          <w14:ligatures w14:val="none"/>
        </w:rPr>
        <mc:AlternateContent>
          <mc:Choice Requires="wps">
            <w:drawing>
              <wp:anchor distT="0" distB="0" distL="114300" distR="114300" simplePos="0" relativeHeight="251665408" behindDoc="0" locked="0" layoutInCell="1" allowOverlap="1" wp14:anchorId="7CB33D40" wp14:editId="0341B3DE">
                <wp:simplePos x="0" y="0"/>
                <wp:positionH relativeFrom="column">
                  <wp:posOffset>412750</wp:posOffset>
                </wp:positionH>
                <wp:positionV relativeFrom="paragraph">
                  <wp:posOffset>53340</wp:posOffset>
                </wp:positionV>
                <wp:extent cx="1181100" cy="654050"/>
                <wp:effectExtent l="0" t="0" r="57150" b="50800"/>
                <wp:wrapNone/>
                <wp:docPr id="1486396040" name="Straight Arrow Connector 7"/>
                <wp:cNvGraphicFramePr/>
                <a:graphic xmlns:a="http://schemas.openxmlformats.org/drawingml/2006/main">
                  <a:graphicData uri="http://schemas.microsoft.com/office/word/2010/wordprocessingShape">
                    <wps:wsp>
                      <wps:cNvCnPr/>
                      <wps:spPr>
                        <a:xfrm>
                          <a:off x="0" y="0"/>
                          <a:ext cx="1181100" cy="654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5F355ED" id="Straight Arrow Connector 7" o:spid="_x0000_s1026" type="#_x0000_t32" style="position:absolute;margin-left:32.5pt;margin-top:4.2pt;width:93pt;height:51.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" strokecolor="#5b9bd5 [3204]" strokeweight=".5pt">
                <v:stroke endarrow="block" joinstyle="miter"/>
              </v:shape>
            </w:pict>
          </mc:Fallback>
        </mc:AlternateContent>
      </w:r>
      <w:r w:rsidRPr="00F14EAC">
        <w:rPr>
          <w:color w:val="auto"/>
        </w:rPr>
        <w:t xml:space="preserve">                                                                                             30 Clonidine-induced ED Wistar rats were </w:t>
      </w:r>
    </w:p>
    <w:p w14:paraId="029C5ED8" w14:textId="77777777" w:rsidR="00061647" w:rsidRPr="00F14EAC" w:rsidRDefault="00061647" w:rsidP="00061647">
      <w:pPr>
        <w:pStyle w:val="Default"/>
        <w:jc w:val="both"/>
        <w:rPr>
          <w:color w:val="auto"/>
        </w:rPr>
      </w:pPr>
      <w:r w:rsidRPr="00F14EAC">
        <w:rPr>
          <w:color w:val="auto"/>
        </w:rPr>
        <w:t xml:space="preserve">                                                                                                  Administered with Burantashi, sildenafil</w:t>
      </w:r>
    </w:p>
    <w:p w14:paraId="43EF2789" w14:textId="77777777" w:rsidR="00061647" w:rsidRPr="00F14EAC" w:rsidRDefault="00061647" w:rsidP="00061647">
      <w:pPr>
        <w:pStyle w:val="Default"/>
        <w:jc w:val="both"/>
        <w:rPr>
          <w:color w:val="auto"/>
        </w:rPr>
      </w:pPr>
      <w:r w:rsidRPr="00F14EAC">
        <w:rPr>
          <w:color w:val="auto"/>
        </w:rPr>
        <w:t xml:space="preserve">                                                                                                   and controls</w:t>
      </w:r>
    </w:p>
    <w:p w14:paraId="48CC8CE9" w14:textId="77777777" w:rsidR="00061647" w:rsidRPr="00F14EAC" w:rsidRDefault="00061647" w:rsidP="00061647">
      <w:pPr>
        <w:pStyle w:val="Default"/>
        <w:jc w:val="both"/>
        <w:rPr>
          <w:color w:val="auto"/>
        </w:rPr>
      </w:pPr>
    </w:p>
    <w:p w14:paraId="6A46A4D4" w14:textId="77777777" w:rsidR="00061647" w:rsidRPr="00F14EAC" w:rsidRDefault="00061647" w:rsidP="00061647">
      <w:pPr>
        <w:pStyle w:val="Default"/>
        <w:jc w:val="both"/>
        <w:rPr>
          <w:color w:val="auto"/>
        </w:rPr>
      </w:pPr>
      <w:r w:rsidRPr="00F14EAC">
        <w:rPr>
          <w:color w:val="auto"/>
        </w:rPr>
        <w:lastRenderedPageBreak/>
        <w:t xml:space="preserve">              Rats were paired 1:1 to verify successful induction of ED       </w:t>
      </w:r>
    </w:p>
    <w:p w14:paraId="332E3F38" w14:textId="77777777" w:rsidR="00061647" w:rsidRPr="00F14EAC" w:rsidRDefault="00061647" w:rsidP="00061647">
      <w:pPr>
        <w:pStyle w:val="Default"/>
        <w:jc w:val="both"/>
        <w:rPr>
          <w:color w:val="auto"/>
        </w:rPr>
      </w:pPr>
    </w:p>
    <w:p w14:paraId="103C17E5" w14:textId="77777777" w:rsidR="00061647" w:rsidRPr="00F14EAC" w:rsidRDefault="00061647" w:rsidP="00061647">
      <w:pPr>
        <w:pStyle w:val="Default"/>
        <w:jc w:val="both"/>
        <w:rPr>
          <w:i/>
          <w:iCs/>
          <w:color w:val="auto"/>
        </w:rPr>
      </w:pPr>
      <w:r w:rsidRPr="00F14EAC">
        <w:rPr>
          <w:b/>
          <w:bCs/>
          <w:color w:val="auto"/>
        </w:rPr>
        <w:t xml:space="preserve">Figure 1: A Flow Diagram of Animal Allocation in the study.   </w:t>
      </w:r>
      <w:r w:rsidRPr="00F14EAC">
        <w:rPr>
          <w:i/>
          <w:iCs/>
          <w:color w:val="auto"/>
        </w:rPr>
        <w:t>This diagram illustrates the sequential process of animal selection, randomization, and assignment to the different experimental and control groups, detailing the number of animals at each stage (e.g., initial pool, toxicity study, induction, final treatment groups).</w:t>
      </w:r>
    </w:p>
    <w:p w14:paraId="6C6D69C8" w14:textId="77777777" w:rsidR="00061647" w:rsidRPr="00F14EAC" w:rsidRDefault="00061647" w:rsidP="00061647">
      <w:pPr>
        <w:pStyle w:val="Default"/>
        <w:jc w:val="both"/>
        <w:rPr>
          <w:i/>
          <w:iCs/>
          <w:color w:val="auto"/>
        </w:rPr>
      </w:pPr>
    </w:p>
    <w:p w14:paraId="3C800356" w14:textId="77777777" w:rsidR="00061647" w:rsidRPr="00F14EAC" w:rsidRDefault="00061647" w:rsidP="00061647">
      <w:pPr>
        <w:pStyle w:val="Default"/>
        <w:jc w:val="both"/>
        <w:rPr>
          <w:i/>
          <w:iCs/>
          <w:color w:val="auto"/>
        </w:rPr>
      </w:pPr>
    </w:p>
    <w:p w14:paraId="160CC074" w14:textId="77777777" w:rsidR="00061647" w:rsidRPr="00F14EAC" w:rsidRDefault="00061647" w:rsidP="00061647">
      <w:pPr>
        <w:pStyle w:val="Default"/>
        <w:jc w:val="both"/>
        <w:rPr>
          <w:b/>
          <w:bCs/>
          <w:color w:val="auto"/>
        </w:rPr>
      </w:pPr>
    </w:p>
    <w:p w14:paraId="023FDD30" w14:textId="77777777" w:rsidR="00061647" w:rsidRPr="00F14EAC" w:rsidRDefault="00061647" w:rsidP="00061647">
      <w:pPr>
        <w:pStyle w:val="Default"/>
        <w:jc w:val="both"/>
        <w:rPr>
          <w:b/>
          <w:bCs/>
          <w:color w:val="auto"/>
        </w:rPr>
      </w:pPr>
    </w:p>
    <w:p w14:paraId="67153302" w14:textId="77777777" w:rsidR="00061647" w:rsidRPr="00F14EAC" w:rsidRDefault="00061647" w:rsidP="00061647">
      <w:pPr>
        <w:pStyle w:val="Default"/>
        <w:jc w:val="both"/>
        <w:rPr>
          <w:b/>
          <w:bCs/>
          <w:color w:val="auto"/>
        </w:rPr>
      </w:pPr>
    </w:p>
    <w:p w14:paraId="3352B2E4" w14:textId="77777777" w:rsidR="00061647" w:rsidRPr="00F14EAC" w:rsidRDefault="00061647" w:rsidP="00061647">
      <w:pPr>
        <w:pStyle w:val="Default"/>
        <w:jc w:val="both"/>
        <w:rPr>
          <w:b/>
          <w:bCs/>
          <w:color w:val="auto"/>
        </w:rPr>
      </w:pPr>
      <w:r w:rsidRPr="00F14EAC">
        <w:rPr>
          <w:b/>
          <w:bCs/>
          <w:color w:val="auto"/>
        </w:rPr>
        <w:t>2.4 Ethical Consideration</w:t>
      </w:r>
    </w:p>
    <w:p w14:paraId="06A5932C" w14:textId="77777777" w:rsidR="00061647" w:rsidRPr="00F14EAC" w:rsidRDefault="00061647" w:rsidP="00061647">
      <w:pPr>
        <w:pStyle w:val="Default"/>
        <w:jc w:val="both"/>
        <w:rPr>
          <w:color w:val="auto"/>
        </w:rPr>
      </w:pPr>
      <w:r w:rsidRPr="00F14EAC">
        <w:rPr>
          <w:color w:val="auto"/>
        </w:rPr>
        <w:t xml:space="preserve">Research approval was granted by the Research Ethics Committee of the Faculty of Pharmacy, University of Benin, Benin City. The approval with Reference no: (EC/FP/022/19) was issued after experimental protocol was reviewed. </w:t>
      </w:r>
    </w:p>
    <w:p w14:paraId="190BB742" w14:textId="77777777" w:rsidR="00061647" w:rsidRPr="00F14EAC" w:rsidRDefault="00061647" w:rsidP="00061647">
      <w:pPr>
        <w:pStyle w:val="Default"/>
        <w:rPr>
          <w:b/>
          <w:bCs/>
          <w:color w:val="auto"/>
        </w:rPr>
      </w:pPr>
      <w:r w:rsidRPr="00F14EAC">
        <w:rPr>
          <w:b/>
          <w:bCs/>
          <w:color w:val="auto"/>
        </w:rPr>
        <w:t>2.5 Drugs and Assay Kits</w:t>
      </w:r>
    </w:p>
    <w:p w14:paraId="71822242" w14:textId="77777777" w:rsidR="00061647" w:rsidRPr="00F14EAC" w:rsidRDefault="00061647" w:rsidP="00061647">
      <w:pPr>
        <w:pStyle w:val="Default"/>
        <w:jc w:val="both"/>
        <w:rPr>
          <w:color w:val="auto"/>
        </w:rPr>
      </w:pPr>
      <w:r w:rsidRPr="00F14EAC">
        <w:rPr>
          <w:color w:val="auto"/>
        </w:rPr>
        <w:t xml:space="preserve">The pharmaceuticals used in this study include Clonidine, identified by PL4418/0380, which was produced by Sandoz Limited, Surrey, England and Viagra, with marketing authorization no: EU/1/98/077/002-004, manufactured by Pfizer Limited in Kent, United Kingdom. The following assay kits were employed for testing in this research: ELISA kits designed for measuring Rat </w:t>
      </w:r>
      <w:bookmarkStart w:id="2" w:name="_Hlk203588756"/>
      <w:r w:rsidRPr="00F14EAC">
        <w:rPr>
          <w:color w:val="auto"/>
        </w:rPr>
        <w:t xml:space="preserve">Total Nitric Oxide, Phosphodiesterase 5, testosterone, luteinizing hormone, and follicle-stimulating hormone, all sourced from </w:t>
      </w:r>
      <w:proofErr w:type="spellStart"/>
      <w:r w:rsidRPr="00F14EAC">
        <w:rPr>
          <w:color w:val="auto"/>
        </w:rPr>
        <w:t>MyBiosource</w:t>
      </w:r>
      <w:proofErr w:type="spellEnd"/>
      <w:r w:rsidRPr="00F14EAC">
        <w:rPr>
          <w:color w:val="auto"/>
        </w:rPr>
        <w:t>, San Diego, California, USA.</w:t>
      </w:r>
    </w:p>
    <w:bookmarkEnd w:id="2"/>
    <w:p w14:paraId="28694287" w14:textId="77777777" w:rsidR="00061647" w:rsidRPr="00F14EAC" w:rsidRDefault="00061647" w:rsidP="00061647">
      <w:pPr>
        <w:pStyle w:val="Default"/>
        <w:jc w:val="both"/>
        <w:rPr>
          <w:b/>
          <w:bCs/>
          <w:color w:val="auto"/>
        </w:rPr>
      </w:pPr>
      <w:r w:rsidRPr="00F14EAC">
        <w:rPr>
          <w:b/>
          <w:bCs/>
          <w:color w:val="auto"/>
        </w:rPr>
        <w:t xml:space="preserve">2.6 Acute Toxicity Study of </w:t>
      </w:r>
      <w:proofErr w:type="spellStart"/>
      <w:r w:rsidRPr="00F14EAC">
        <w:rPr>
          <w:b/>
          <w:bCs/>
          <w:color w:val="auto"/>
        </w:rPr>
        <w:t>Burantashi</w:t>
      </w:r>
      <w:proofErr w:type="spellEnd"/>
      <w:r w:rsidRPr="00F14EAC">
        <w:rPr>
          <w:b/>
          <w:bCs/>
          <w:color w:val="auto"/>
        </w:rPr>
        <w:t xml:space="preserve"> (</w:t>
      </w:r>
      <w:proofErr w:type="spellStart"/>
      <w:r w:rsidRPr="00F14EAC">
        <w:rPr>
          <w:b/>
          <w:bCs/>
          <w:i/>
          <w:iCs/>
          <w:color w:val="auto"/>
        </w:rPr>
        <w:t>Pausinystalia</w:t>
      </w:r>
      <w:proofErr w:type="spellEnd"/>
      <w:r w:rsidRPr="00F14EAC">
        <w:rPr>
          <w:b/>
          <w:bCs/>
          <w:i/>
          <w:iCs/>
          <w:color w:val="auto"/>
        </w:rPr>
        <w:t xml:space="preserve"> yohimbe</w:t>
      </w:r>
      <w:r w:rsidRPr="00F14EAC">
        <w:rPr>
          <w:b/>
          <w:bCs/>
          <w:color w:val="auto"/>
        </w:rPr>
        <w:t>) Extract on Wistar Rats</w:t>
      </w:r>
    </w:p>
    <w:p w14:paraId="6929F4F4" w14:textId="77777777" w:rsidR="00061647" w:rsidRPr="00F14EAC" w:rsidRDefault="00061647" w:rsidP="00061647">
      <w:pPr>
        <w:pStyle w:val="Default"/>
        <w:jc w:val="both"/>
        <w:rPr>
          <w:color w:val="auto"/>
        </w:rPr>
      </w:pPr>
      <w:r w:rsidRPr="00F14EAC">
        <w:rPr>
          <w:color w:val="auto"/>
        </w:rPr>
        <w:t>A total of twenty (20) rats, each weighing between 150-170g, were randomly divided into five groups, with four (4) rats in each group.</w:t>
      </w:r>
    </w:p>
    <w:p w14:paraId="09A73286" w14:textId="77777777" w:rsidR="00061647" w:rsidRPr="00F14EAC" w:rsidRDefault="00061647" w:rsidP="00061647">
      <w:pPr>
        <w:pStyle w:val="Default"/>
        <w:jc w:val="both"/>
        <w:rPr>
          <w:color w:val="auto"/>
        </w:rPr>
      </w:pPr>
      <w:r w:rsidRPr="00F14EAC">
        <w:rPr>
          <w:color w:val="auto"/>
        </w:rPr>
        <w:t>Group T1 received 1.0 mL/kg of saline (control group).</w:t>
      </w:r>
    </w:p>
    <w:p w14:paraId="6E49F826" w14:textId="77777777" w:rsidR="00061647" w:rsidRPr="00F14EAC" w:rsidRDefault="00061647" w:rsidP="00061647">
      <w:pPr>
        <w:pStyle w:val="Default"/>
        <w:jc w:val="both"/>
        <w:rPr>
          <w:color w:val="auto"/>
        </w:rPr>
      </w:pPr>
      <w:r w:rsidRPr="00F14EAC">
        <w:rPr>
          <w:color w:val="auto"/>
        </w:rPr>
        <w:t xml:space="preserve">Group T2 was administered 125 mg/kg of </w:t>
      </w:r>
      <w:proofErr w:type="spellStart"/>
      <w:r w:rsidRPr="00F14EAC">
        <w:rPr>
          <w:color w:val="auto"/>
        </w:rPr>
        <w:t>Burantashi</w:t>
      </w:r>
      <w:proofErr w:type="spellEnd"/>
      <w:r w:rsidRPr="00F14EAC">
        <w:rPr>
          <w:color w:val="auto"/>
        </w:rPr>
        <w:t xml:space="preserve"> (</w:t>
      </w:r>
      <w:proofErr w:type="spellStart"/>
      <w:r w:rsidRPr="00F14EAC">
        <w:rPr>
          <w:color w:val="auto"/>
        </w:rPr>
        <w:t>Pausinystalia</w:t>
      </w:r>
      <w:proofErr w:type="spellEnd"/>
      <w:r w:rsidRPr="00F14EAC">
        <w:rPr>
          <w:color w:val="auto"/>
        </w:rPr>
        <w:t xml:space="preserve"> yohimbe).</w:t>
      </w:r>
    </w:p>
    <w:p w14:paraId="26C1AFDC" w14:textId="77777777" w:rsidR="00061647" w:rsidRPr="00F14EAC" w:rsidRDefault="00061647" w:rsidP="00061647">
      <w:pPr>
        <w:pStyle w:val="Default"/>
        <w:jc w:val="both"/>
        <w:rPr>
          <w:color w:val="auto"/>
        </w:rPr>
      </w:pPr>
      <w:r w:rsidRPr="00F14EAC">
        <w:rPr>
          <w:color w:val="auto"/>
        </w:rPr>
        <w:t xml:space="preserve">Group T3 received 250 mg/kg of </w:t>
      </w:r>
      <w:proofErr w:type="spellStart"/>
      <w:r w:rsidRPr="00F14EAC">
        <w:rPr>
          <w:color w:val="auto"/>
        </w:rPr>
        <w:t>Burantashi</w:t>
      </w:r>
      <w:proofErr w:type="spellEnd"/>
      <w:r w:rsidRPr="00F14EAC">
        <w:rPr>
          <w:color w:val="auto"/>
        </w:rPr>
        <w:t xml:space="preserve"> (</w:t>
      </w:r>
      <w:proofErr w:type="spellStart"/>
      <w:r w:rsidRPr="00F14EAC">
        <w:rPr>
          <w:color w:val="auto"/>
        </w:rPr>
        <w:t>Pausinystalia</w:t>
      </w:r>
      <w:proofErr w:type="spellEnd"/>
      <w:r w:rsidRPr="00F14EAC">
        <w:rPr>
          <w:color w:val="auto"/>
        </w:rPr>
        <w:t xml:space="preserve"> yohimbe).</w:t>
      </w:r>
    </w:p>
    <w:p w14:paraId="6F844DAE" w14:textId="77777777" w:rsidR="00061647" w:rsidRPr="00F14EAC" w:rsidRDefault="00061647" w:rsidP="00061647">
      <w:pPr>
        <w:pStyle w:val="Default"/>
        <w:jc w:val="both"/>
        <w:rPr>
          <w:color w:val="auto"/>
        </w:rPr>
      </w:pPr>
      <w:r w:rsidRPr="00F14EAC">
        <w:rPr>
          <w:color w:val="auto"/>
        </w:rPr>
        <w:t xml:space="preserve">Group T4 was given 500 mg/kg of </w:t>
      </w:r>
      <w:proofErr w:type="spellStart"/>
      <w:r w:rsidRPr="00F14EAC">
        <w:rPr>
          <w:color w:val="auto"/>
        </w:rPr>
        <w:t>Burantashi</w:t>
      </w:r>
      <w:proofErr w:type="spellEnd"/>
      <w:r w:rsidRPr="00F14EAC">
        <w:rPr>
          <w:color w:val="auto"/>
        </w:rPr>
        <w:t xml:space="preserve"> (</w:t>
      </w:r>
      <w:proofErr w:type="spellStart"/>
      <w:r w:rsidRPr="00F14EAC">
        <w:rPr>
          <w:color w:val="auto"/>
        </w:rPr>
        <w:t>Pausinystalia</w:t>
      </w:r>
      <w:proofErr w:type="spellEnd"/>
      <w:r w:rsidRPr="00F14EAC">
        <w:rPr>
          <w:color w:val="auto"/>
        </w:rPr>
        <w:t xml:space="preserve"> yohimbe).</w:t>
      </w:r>
    </w:p>
    <w:p w14:paraId="41A50658" w14:textId="77777777" w:rsidR="00061647" w:rsidRPr="00F14EAC" w:rsidRDefault="00061647" w:rsidP="00061647">
      <w:pPr>
        <w:pStyle w:val="Default"/>
        <w:jc w:val="both"/>
        <w:rPr>
          <w:color w:val="auto"/>
        </w:rPr>
      </w:pPr>
      <w:r w:rsidRPr="00F14EAC">
        <w:rPr>
          <w:color w:val="auto"/>
        </w:rPr>
        <w:t xml:space="preserve">Group T5 received 1000 mg/kg of </w:t>
      </w:r>
      <w:proofErr w:type="spellStart"/>
      <w:r w:rsidRPr="00F14EAC">
        <w:rPr>
          <w:color w:val="auto"/>
        </w:rPr>
        <w:t>Burantashi</w:t>
      </w:r>
      <w:proofErr w:type="spellEnd"/>
      <w:r w:rsidRPr="00F14EAC">
        <w:rPr>
          <w:color w:val="auto"/>
        </w:rPr>
        <w:t xml:space="preserve"> (</w:t>
      </w:r>
      <w:proofErr w:type="spellStart"/>
      <w:r w:rsidRPr="00F14EAC">
        <w:rPr>
          <w:color w:val="auto"/>
        </w:rPr>
        <w:t>Pausinystalia</w:t>
      </w:r>
      <w:proofErr w:type="spellEnd"/>
      <w:r w:rsidRPr="00F14EAC">
        <w:rPr>
          <w:color w:val="auto"/>
        </w:rPr>
        <w:t xml:space="preserve"> yohimbe).</w:t>
      </w:r>
    </w:p>
    <w:p w14:paraId="72F13ACD" w14:textId="1448ADC6" w:rsidR="00061647" w:rsidRPr="00F14EAC" w:rsidRDefault="00061647" w:rsidP="00061647">
      <w:pPr>
        <w:pStyle w:val="Default"/>
        <w:jc w:val="both"/>
        <w:rPr>
          <w:color w:val="auto"/>
        </w:rPr>
      </w:pPr>
      <w:r w:rsidRPr="00F14EAC">
        <w:rPr>
          <w:color w:val="auto"/>
        </w:rPr>
        <w:t xml:space="preserve">Signs of toxicity, including diarrhea, tremors, convulsions, raised fur, salivation, decreased movement, and eventual death, were monitored. The </w:t>
      </w:r>
      <w:proofErr w:type="spellStart"/>
      <w:r w:rsidRPr="00F14EAC">
        <w:rPr>
          <w:color w:val="auto"/>
        </w:rPr>
        <w:t>Burantashi</w:t>
      </w:r>
      <w:proofErr w:type="spellEnd"/>
      <w:r w:rsidRPr="00F14EAC">
        <w:rPr>
          <w:color w:val="auto"/>
        </w:rPr>
        <w:t xml:space="preserve"> (</w:t>
      </w:r>
      <w:proofErr w:type="spellStart"/>
      <w:r w:rsidRPr="00F14EAC">
        <w:rPr>
          <w:i/>
          <w:iCs/>
          <w:color w:val="auto"/>
        </w:rPr>
        <w:t>Pausinystalia</w:t>
      </w:r>
      <w:proofErr w:type="spellEnd"/>
      <w:r w:rsidRPr="00F14EAC">
        <w:rPr>
          <w:i/>
          <w:iCs/>
          <w:color w:val="auto"/>
        </w:rPr>
        <w:t xml:space="preserve"> yohimbe</w:t>
      </w:r>
      <w:r w:rsidRPr="00F14EAC">
        <w:rPr>
          <w:color w:val="auto"/>
        </w:rPr>
        <w:t xml:space="preserve">) was </w:t>
      </w:r>
      <w:r w:rsidR="006128D6" w:rsidRPr="006128D6">
        <w:rPr>
          <w:color w:val="EE0000"/>
        </w:rPr>
        <w:t xml:space="preserve">dissolved in water and </w:t>
      </w:r>
      <w:r w:rsidRPr="00F14EAC">
        <w:rPr>
          <w:color w:val="auto"/>
        </w:rPr>
        <w:t xml:space="preserve">administered via oral route. The Wistar rats were returned to their cages, given unrestricted access to food and water, and observed for signs of toxicity, including any fatalities within 24 hours. The acute toxicity value was calculated using Karber’s arithmetic method as described by </w:t>
      </w:r>
      <w:r w:rsidR="00AC593D" w:rsidRPr="00F14EAC">
        <w:rPr>
          <w:color w:val="auto"/>
        </w:rPr>
        <w:t>Chinedu</w:t>
      </w:r>
      <w:r w:rsidRPr="00F14EAC">
        <w:rPr>
          <w:color w:val="auto"/>
        </w:rPr>
        <w:t xml:space="preserve"> </w:t>
      </w:r>
      <w:r w:rsidRPr="00F14EAC">
        <w:rPr>
          <w:i/>
          <w:iCs/>
          <w:color w:val="auto"/>
        </w:rPr>
        <w:t>et al</w:t>
      </w:r>
      <w:r w:rsidR="00A175D1" w:rsidRPr="00F14EAC">
        <w:rPr>
          <w:color w:val="auto"/>
        </w:rPr>
        <w:t xml:space="preserve"> (</w:t>
      </w:r>
      <w:r w:rsidR="00AC593D" w:rsidRPr="00F14EAC">
        <w:rPr>
          <w:color w:val="auto"/>
        </w:rPr>
        <w:t>2013</w:t>
      </w:r>
      <w:proofErr w:type="gramStart"/>
      <w:r w:rsidR="00AC593D" w:rsidRPr="00F14EAC">
        <w:rPr>
          <w:color w:val="auto"/>
        </w:rPr>
        <w:t>).</w:t>
      </w:r>
      <w:r w:rsidRPr="00F14EAC">
        <w:rPr>
          <w:color w:val="auto"/>
          <w:vertAlign w:val="superscript"/>
        </w:rPr>
        <w:t>.</w:t>
      </w:r>
      <w:proofErr w:type="gramEnd"/>
    </w:p>
    <w:p w14:paraId="2B69CCB3" w14:textId="77777777" w:rsidR="00061647" w:rsidRPr="00F14EAC" w:rsidRDefault="00061647" w:rsidP="00061647">
      <w:pPr>
        <w:pStyle w:val="Default"/>
        <w:rPr>
          <w:b/>
          <w:bCs/>
          <w:color w:val="auto"/>
        </w:rPr>
      </w:pPr>
      <w:r w:rsidRPr="00F14EAC">
        <w:rPr>
          <w:b/>
          <w:bCs/>
          <w:color w:val="auto"/>
        </w:rPr>
        <w:t>2.6.1 Induction of male sexual dysfunction</w:t>
      </w:r>
    </w:p>
    <w:p w14:paraId="14DEBD2E" w14:textId="235FA546" w:rsidR="00061647" w:rsidRPr="00F14EAC" w:rsidRDefault="00061647" w:rsidP="00061647">
      <w:pPr>
        <w:pStyle w:val="Default"/>
        <w:jc w:val="both"/>
        <w:rPr>
          <w:color w:val="auto"/>
        </w:rPr>
      </w:pPr>
      <w:r w:rsidRPr="00F14EAC">
        <w:rPr>
          <w:color w:val="auto"/>
        </w:rPr>
        <w:t xml:space="preserve">Erectile Dysfunction (ED) was induced in mature sexually experienced male rats through a single oral dose of 0.5 mg/kg BW clonidine (Sandoz Limited, Surrey, </w:t>
      </w:r>
      <w:proofErr w:type="gramStart"/>
      <w:r w:rsidRPr="00F14EAC">
        <w:rPr>
          <w:color w:val="auto"/>
        </w:rPr>
        <w:t>England)</w:t>
      </w:r>
      <w:r w:rsidR="00AC593D" w:rsidRPr="00F14EAC">
        <w:rPr>
          <w:color w:val="auto"/>
        </w:rPr>
        <w:t>(</w:t>
      </w:r>
      <w:proofErr w:type="gramEnd"/>
      <w:r w:rsidR="00AC593D" w:rsidRPr="00F14EAC">
        <w:rPr>
          <w:color w:val="auto"/>
        </w:rPr>
        <w:t>Clark and Smith,1990).</w:t>
      </w:r>
      <w:r w:rsidRPr="00F14EAC">
        <w:rPr>
          <w:color w:val="auto"/>
          <w:vertAlign w:val="superscript"/>
        </w:rPr>
        <w:t>.</w:t>
      </w:r>
      <w:r w:rsidRPr="00F14EAC">
        <w:rPr>
          <w:color w:val="auto"/>
        </w:rPr>
        <w:t xml:space="preserve"> The use of 0.5 mg/kg clonidine dose to induce erectile dysfunction in rats is based on its demonstrated efficacy in producing reliable and significant impairments in sexual behavior and erectile function. This dose has been frequently used in research and is considered a standard in the development of a pharmacological rat model of ED. The successful induction of ED was verified by pairing male rats (in a 1:1 ratio) with sexually mature and experienced female rats that had been primed with sequential subcutaneous doses of 10 </w:t>
      </w:r>
      <w:proofErr w:type="spellStart"/>
      <w:r w:rsidRPr="00F14EAC">
        <w:rPr>
          <w:color w:val="auto"/>
        </w:rPr>
        <w:t>μg</w:t>
      </w:r>
      <w:proofErr w:type="spellEnd"/>
      <w:r w:rsidRPr="00F14EAC">
        <w:rPr>
          <w:color w:val="auto"/>
        </w:rPr>
        <w:t xml:space="preserve">/100 g BW of </w:t>
      </w:r>
      <w:proofErr w:type="spellStart"/>
      <w:r w:rsidRPr="00F14EAC">
        <w:rPr>
          <w:color w:val="auto"/>
        </w:rPr>
        <w:t>oestradiol</w:t>
      </w:r>
      <w:proofErr w:type="spellEnd"/>
      <w:r w:rsidRPr="00F14EAC">
        <w:rPr>
          <w:color w:val="auto"/>
        </w:rPr>
        <w:t xml:space="preserve"> conjugate (Pfizer Limited, Kent, United Kingdom) (48 hours prior to pairing) and intramuscular </w:t>
      </w:r>
      <w:r w:rsidRPr="00F14EAC">
        <w:rPr>
          <w:color w:val="auto"/>
        </w:rPr>
        <w:lastRenderedPageBreak/>
        <w:t xml:space="preserve">administration of 0.5 mg/100 g BW of progesterone (4 hours before pairing) </w:t>
      </w:r>
      <w:r w:rsidR="00AC593D" w:rsidRPr="00F14EAC">
        <w:rPr>
          <w:color w:val="auto"/>
        </w:rPr>
        <w:t>(Amin et al., 1996</w:t>
      </w:r>
      <w:proofErr w:type="gramStart"/>
      <w:r w:rsidR="00AC593D" w:rsidRPr="00F14EAC">
        <w:rPr>
          <w:color w:val="auto"/>
        </w:rPr>
        <w:t>).</w:t>
      </w:r>
      <w:r w:rsidRPr="00F14EAC">
        <w:rPr>
          <w:color w:val="auto"/>
          <w:vertAlign w:val="superscript"/>
        </w:rPr>
        <w:t>.</w:t>
      </w:r>
      <w:proofErr w:type="gramEnd"/>
      <w:r w:rsidRPr="00F14EAC">
        <w:rPr>
          <w:color w:val="auto"/>
        </w:rPr>
        <w:t xml:space="preserve"> Vaginal smear examinations confirmed the </w:t>
      </w:r>
      <w:proofErr w:type="spellStart"/>
      <w:r w:rsidRPr="00F14EAC">
        <w:rPr>
          <w:color w:val="auto"/>
        </w:rPr>
        <w:t>oestrous</w:t>
      </w:r>
      <w:proofErr w:type="spellEnd"/>
      <w:r w:rsidRPr="00F14EAC">
        <w:rPr>
          <w:color w:val="auto"/>
        </w:rPr>
        <w:t xml:space="preserve"> phase in female rats in accordance with OECD-106 guidelines</w:t>
      </w:r>
      <w:r w:rsidR="00AC593D" w:rsidRPr="00F14EAC">
        <w:rPr>
          <w:color w:val="auto"/>
        </w:rPr>
        <w:t xml:space="preserve"> (OECD, 2009)</w:t>
      </w:r>
      <w:r w:rsidRPr="00F14EAC">
        <w:rPr>
          <w:color w:val="auto"/>
        </w:rPr>
        <w:t>. Vaginal smear cytology is a proven and dependable technique for tracking the reproductive cycle in rodents. This method is based on the understanding that the female rat's reproductive cycle, usually spanning 4 to 5 days, features specific hormonal variations. These hormonal shifts, mainly influenced by estrogen and progesterone, lead to a consistent and noticeable alteration in the type and quantity of cells shed from the vaginal epithelium. By analyzing these cells microscopically, researchers can precisely identify the stage of the estrous cycle. The rats were paired for 30 minutes, during which two observers monitored sexual behavior, and a video recording was made. This video was later reviewed to critically assess the sexual behavior parameters. The assessment of sexual behavior parameters is as follows:</w:t>
      </w:r>
    </w:p>
    <w:p w14:paraId="400C527F" w14:textId="77777777" w:rsidR="00061647" w:rsidRPr="00F14EAC" w:rsidRDefault="00061647" w:rsidP="00061647">
      <w:pPr>
        <w:pStyle w:val="Default"/>
        <w:rPr>
          <w:color w:val="auto"/>
        </w:rPr>
      </w:pPr>
      <w:r w:rsidRPr="00F14EAC">
        <w:rPr>
          <w:color w:val="auto"/>
        </w:rPr>
        <w:t>• Mount Frequency (MF): The count of mounts without intromission from the introduction of the female until ejaculation</w:t>
      </w:r>
    </w:p>
    <w:p w14:paraId="33C5A23C" w14:textId="77777777" w:rsidR="00061647" w:rsidRPr="00F14EAC" w:rsidRDefault="00061647" w:rsidP="00061647">
      <w:pPr>
        <w:pStyle w:val="Default"/>
        <w:rPr>
          <w:color w:val="auto"/>
        </w:rPr>
      </w:pPr>
      <w:r w:rsidRPr="00F14EAC">
        <w:rPr>
          <w:color w:val="auto"/>
        </w:rPr>
        <w:t>• Intromission Frequency (IF): The count of intromissions from the introduction of the female until ejaculation</w:t>
      </w:r>
    </w:p>
    <w:p w14:paraId="3FEDB84E" w14:textId="77777777" w:rsidR="00061647" w:rsidRPr="00F14EAC" w:rsidRDefault="00061647" w:rsidP="00061647">
      <w:pPr>
        <w:pStyle w:val="Default"/>
        <w:rPr>
          <w:color w:val="auto"/>
        </w:rPr>
      </w:pPr>
      <w:r w:rsidRPr="00F14EAC">
        <w:rPr>
          <w:color w:val="auto"/>
        </w:rPr>
        <w:t>• Ejaculation Frequency (EF): The total number of ejaculations during the observation period</w:t>
      </w:r>
    </w:p>
    <w:p w14:paraId="1DC46061" w14:textId="77777777" w:rsidR="00061647" w:rsidRPr="00F14EAC" w:rsidRDefault="00061647" w:rsidP="00061647">
      <w:pPr>
        <w:pStyle w:val="Default"/>
        <w:rPr>
          <w:color w:val="auto"/>
        </w:rPr>
      </w:pPr>
      <w:r w:rsidRPr="00F14EAC">
        <w:rPr>
          <w:color w:val="auto"/>
        </w:rPr>
        <w:t>• Mount Latency (ML): The time interval from the introduction of the female to the first mount by the male</w:t>
      </w:r>
    </w:p>
    <w:p w14:paraId="11B22D20" w14:textId="77777777" w:rsidR="00061647" w:rsidRPr="00F14EAC" w:rsidRDefault="00061647" w:rsidP="00061647">
      <w:pPr>
        <w:pStyle w:val="Default"/>
        <w:rPr>
          <w:color w:val="auto"/>
        </w:rPr>
      </w:pPr>
      <w:r w:rsidRPr="00F14EAC">
        <w:rPr>
          <w:color w:val="auto"/>
        </w:rPr>
        <w:t>• Intromission Latency (IL): The interval from the introduction of the female to the first intromission by the male</w:t>
      </w:r>
    </w:p>
    <w:p w14:paraId="7B79EDD4" w14:textId="77777777" w:rsidR="00061647" w:rsidRPr="00F14EAC" w:rsidRDefault="00061647" w:rsidP="00061647">
      <w:pPr>
        <w:pStyle w:val="Default"/>
        <w:rPr>
          <w:color w:val="auto"/>
        </w:rPr>
      </w:pPr>
      <w:r w:rsidRPr="00F14EAC">
        <w:rPr>
          <w:color w:val="auto"/>
        </w:rPr>
        <w:t>• Ejaculation Latency (EL): The time interval from the first intromission to ejaculation. (This is characterized by prolonged, deeper pelvic thrusting and a slow dismount, followed by a period of inactivity)</w:t>
      </w:r>
    </w:p>
    <w:p w14:paraId="0FA5C99E" w14:textId="31989D2B" w:rsidR="00061647" w:rsidRPr="00F14EAC" w:rsidRDefault="00061647" w:rsidP="00061647">
      <w:pPr>
        <w:pStyle w:val="Default"/>
        <w:rPr>
          <w:color w:val="auto"/>
        </w:rPr>
      </w:pPr>
      <w:r w:rsidRPr="00F14EAC">
        <w:rPr>
          <w:color w:val="auto"/>
        </w:rPr>
        <w:t xml:space="preserve">• Post Ejaculatory Interval (PEI): The time interval between ejaculation and the erection of the male copulatory organ for the subsequent phase of the sexual cycle </w:t>
      </w:r>
      <w:r w:rsidR="00AC593D" w:rsidRPr="00F14EAC">
        <w:rPr>
          <w:color w:val="auto"/>
        </w:rPr>
        <w:t xml:space="preserve">(Amin </w:t>
      </w:r>
      <w:r w:rsidR="00AC593D" w:rsidRPr="00F14EAC">
        <w:rPr>
          <w:i/>
          <w:iCs/>
          <w:color w:val="auto"/>
        </w:rPr>
        <w:t>et al.,</w:t>
      </w:r>
      <w:r w:rsidR="00AC593D" w:rsidRPr="00F14EAC">
        <w:rPr>
          <w:color w:val="auto"/>
        </w:rPr>
        <w:t xml:space="preserve"> 1996; </w:t>
      </w:r>
      <w:proofErr w:type="spellStart"/>
      <w:r w:rsidR="00AC593D" w:rsidRPr="00F14EAC">
        <w:rPr>
          <w:color w:val="auto"/>
        </w:rPr>
        <w:t>Omoniwa</w:t>
      </w:r>
      <w:proofErr w:type="spellEnd"/>
      <w:r w:rsidR="00AC593D" w:rsidRPr="00F14EAC">
        <w:rPr>
          <w:color w:val="auto"/>
        </w:rPr>
        <w:t xml:space="preserve"> </w:t>
      </w:r>
      <w:r w:rsidR="00AC593D" w:rsidRPr="00F14EAC">
        <w:rPr>
          <w:i/>
          <w:iCs/>
          <w:color w:val="auto"/>
        </w:rPr>
        <w:t>et al.,</w:t>
      </w:r>
      <w:r w:rsidR="00AC593D" w:rsidRPr="00F14EAC">
        <w:rPr>
          <w:color w:val="auto"/>
        </w:rPr>
        <w:t xml:space="preserve"> 2022)</w:t>
      </w:r>
      <w:r w:rsidRPr="00F14EAC">
        <w:rPr>
          <w:color w:val="auto"/>
        </w:rPr>
        <w:t>. Sexual dysfunction was successfully induced in male rats, evidenced by a minimum 25% decrease in MF, IF, and EF, along with at least a 25% increase in ML, IL, EL, and PEI</w:t>
      </w:r>
      <w:r w:rsidR="00AC593D" w:rsidRPr="00F14EAC">
        <w:rPr>
          <w:color w:val="auto"/>
        </w:rPr>
        <w:t xml:space="preserve"> (Malviya </w:t>
      </w:r>
      <w:r w:rsidR="00AC593D" w:rsidRPr="00F14EAC">
        <w:rPr>
          <w:i/>
          <w:iCs/>
          <w:color w:val="auto"/>
        </w:rPr>
        <w:t xml:space="preserve">et al., </w:t>
      </w:r>
      <w:r w:rsidR="00AC593D" w:rsidRPr="00F14EAC">
        <w:rPr>
          <w:color w:val="auto"/>
        </w:rPr>
        <w:t>2011</w:t>
      </w:r>
      <w:proofErr w:type="gramStart"/>
      <w:r w:rsidR="00AC593D" w:rsidRPr="00F14EAC">
        <w:rPr>
          <w:color w:val="auto"/>
        </w:rPr>
        <w:t>).</w:t>
      </w:r>
      <w:r w:rsidRPr="00F14EAC">
        <w:rPr>
          <w:color w:val="auto"/>
          <w:vertAlign w:val="superscript"/>
        </w:rPr>
        <w:t>.</w:t>
      </w:r>
      <w:proofErr w:type="gramEnd"/>
    </w:p>
    <w:p w14:paraId="66345F94" w14:textId="77777777" w:rsidR="00061647" w:rsidRPr="00F14EAC" w:rsidRDefault="00061647" w:rsidP="00061647">
      <w:pPr>
        <w:pStyle w:val="Default"/>
        <w:rPr>
          <w:b/>
          <w:bCs/>
          <w:color w:val="auto"/>
        </w:rPr>
      </w:pPr>
      <w:r w:rsidRPr="00F14EAC">
        <w:rPr>
          <w:b/>
          <w:bCs/>
          <w:color w:val="auto"/>
        </w:rPr>
        <w:t>2.6.2 Animal grouping and extract administration on ED-induced Rats</w:t>
      </w:r>
    </w:p>
    <w:p w14:paraId="02439EEA" w14:textId="77777777" w:rsidR="00061647" w:rsidRPr="00F14EAC" w:rsidRDefault="00061647" w:rsidP="00061647">
      <w:pPr>
        <w:pStyle w:val="Default"/>
        <w:jc w:val="both"/>
        <w:rPr>
          <w:color w:val="auto"/>
        </w:rPr>
      </w:pPr>
      <w:r w:rsidRPr="00F14EAC">
        <w:rPr>
          <w:color w:val="auto"/>
        </w:rPr>
        <w:t xml:space="preserve">A total of thirty male Wistar rats were utilized for this research. Group 6, consisting of 5 rats, included those that did not experience induced erectile dysfunction and were administered only distilled water. From the pool of Wistar rats that had erectile dysfunction induced with clonidine, 25 were selected based on optimal erection-related physical parameters of male sexual behavior (specifically IF, IL, and PEI) and were randomly divided into groups 1, 2, 3, 4, and 5. </w:t>
      </w:r>
    </w:p>
    <w:p w14:paraId="77342AEE" w14:textId="77777777" w:rsidR="00061647" w:rsidRPr="00F14EAC" w:rsidRDefault="00061647" w:rsidP="00061647">
      <w:pPr>
        <w:pStyle w:val="Default"/>
        <w:rPr>
          <w:color w:val="auto"/>
        </w:rPr>
      </w:pPr>
      <w:r w:rsidRPr="00F14EAC">
        <w:rPr>
          <w:color w:val="auto"/>
        </w:rPr>
        <w:t xml:space="preserve">Group E1: received 25 mg/kg </w:t>
      </w:r>
      <w:proofErr w:type="spellStart"/>
      <w:r w:rsidRPr="00F14EAC">
        <w:rPr>
          <w:color w:val="auto"/>
        </w:rPr>
        <w:t>Burantashi</w:t>
      </w:r>
      <w:proofErr w:type="spellEnd"/>
      <w:r w:rsidRPr="00F14EAC">
        <w:rPr>
          <w:color w:val="auto"/>
        </w:rPr>
        <w:t xml:space="preserve"> (</w:t>
      </w:r>
      <w:proofErr w:type="spellStart"/>
      <w:r w:rsidRPr="00F14EAC">
        <w:rPr>
          <w:i/>
          <w:iCs/>
          <w:color w:val="auto"/>
        </w:rPr>
        <w:t>Pausinystalia</w:t>
      </w:r>
      <w:proofErr w:type="spellEnd"/>
      <w:r w:rsidRPr="00F14EAC">
        <w:rPr>
          <w:i/>
          <w:iCs/>
          <w:color w:val="auto"/>
        </w:rPr>
        <w:t xml:space="preserve"> yohimbe) </w:t>
      </w:r>
      <w:r w:rsidRPr="00F14EAC">
        <w:rPr>
          <w:color w:val="auto"/>
        </w:rPr>
        <w:t>stem bark extract</w:t>
      </w:r>
    </w:p>
    <w:p w14:paraId="275FE7F2" w14:textId="77777777" w:rsidR="00061647" w:rsidRPr="00F14EAC" w:rsidRDefault="00061647" w:rsidP="00061647">
      <w:pPr>
        <w:pStyle w:val="Default"/>
        <w:rPr>
          <w:color w:val="auto"/>
        </w:rPr>
      </w:pPr>
      <w:r w:rsidRPr="00F14EAC">
        <w:rPr>
          <w:color w:val="auto"/>
        </w:rPr>
        <w:t xml:space="preserve">Group E2: received 50 mg/kg </w:t>
      </w:r>
      <w:proofErr w:type="spellStart"/>
      <w:r w:rsidRPr="00F14EAC">
        <w:rPr>
          <w:color w:val="auto"/>
        </w:rPr>
        <w:t>Burantashi</w:t>
      </w:r>
      <w:proofErr w:type="spellEnd"/>
      <w:r w:rsidRPr="00F14EAC">
        <w:rPr>
          <w:color w:val="auto"/>
        </w:rPr>
        <w:t xml:space="preserve"> (</w:t>
      </w:r>
      <w:proofErr w:type="spellStart"/>
      <w:r w:rsidRPr="00F14EAC">
        <w:rPr>
          <w:i/>
          <w:iCs/>
          <w:color w:val="auto"/>
        </w:rPr>
        <w:t>Pausinystalia</w:t>
      </w:r>
      <w:proofErr w:type="spellEnd"/>
      <w:r w:rsidRPr="00F14EAC">
        <w:rPr>
          <w:i/>
          <w:iCs/>
          <w:color w:val="auto"/>
        </w:rPr>
        <w:t xml:space="preserve"> yohimbe) </w:t>
      </w:r>
      <w:r w:rsidRPr="00F14EAC">
        <w:rPr>
          <w:color w:val="auto"/>
        </w:rPr>
        <w:t>stem bark extract</w:t>
      </w:r>
    </w:p>
    <w:p w14:paraId="255206A8" w14:textId="77777777" w:rsidR="00061647" w:rsidRPr="00F14EAC" w:rsidRDefault="00061647" w:rsidP="00061647">
      <w:pPr>
        <w:pStyle w:val="Default"/>
        <w:rPr>
          <w:color w:val="auto"/>
        </w:rPr>
      </w:pPr>
      <w:r w:rsidRPr="00F14EAC">
        <w:rPr>
          <w:color w:val="auto"/>
        </w:rPr>
        <w:t xml:space="preserve">Group E3: was given 100 mg/kg </w:t>
      </w:r>
      <w:proofErr w:type="spellStart"/>
      <w:r w:rsidRPr="00F14EAC">
        <w:rPr>
          <w:color w:val="auto"/>
        </w:rPr>
        <w:t>Burantashi</w:t>
      </w:r>
      <w:proofErr w:type="spellEnd"/>
      <w:r w:rsidRPr="00F14EAC">
        <w:rPr>
          <w:color w:val="auto"/>
        </w:rPr>
        <w:t xml:space="preserve"> (</w:t>
      </w:r>
      <w:proofErr w:type="spellStart"/>
      <w:r w:rsidRPr="00F14EAC">
        <w:rPr>
          <w:i/>
          <w:iCs/>
          <w:color w:val="auto"/>
        </w:rPr>
        <w:t>Pausinystalia</w:t>
      </w:r>
      <w:proofErr w:type="spellEnd"/>
      <w:r w:rsidRPr="00F14EAC">
        <w:rPr>
          <w:i/>
          <w:iCs/>
          <w:color w:val="auto"/>
        </w:rPr>
        <w:t xml:space="preserve"> yohimbe) </w:t>
      </w:r>
      <w:r w:rsidRPr="00F14EAC">
        <w:rPr>
          <w:color w:val="auto"/>
        </w:rPr>
        <w:t>stem bark extract</w:t>
      </w:r>
    </w:p>
    <w:p w14:paraId="56D62968" w14:textId="77777777" w:rsidR="00061647" w:rsidRPr="00F14EAC" w:rsidRDefault="00061647" w:rsidP="00061647">
      <w:pPr>
        <w:pStyle w:val="Default"/>
        <w:rPr>
          <w:color w:val="auto"/>
        </w:rPr>
      </w:pPr>
      <w:r w:rsidRPr="00F14EAC">
        <w:rPr>
          <w:color w:val="auto"/>
        </w:rPr>
        <w:t>Group E4: was given 5 mg/kg Sildenafil (Positive Control)</w:t>
      </w:r>
    </w:p>
    <w:p w14:paraId="70FF5478" w14:textId="77777777" w:rsidR="00061647" w:rsidRPr="00F14EAC" w:rsidRDefault="00061647" w:rsidP="00061647">
      <w:pPr>
        <w:pStyle w:val="Default"/>
        <w:rPr>
          <w:color w:val="auto"/>
        </w:rPr>
      </w:pPr>
      <w:r w:rsidRPr="00F14EAC">
        <w:rPr>
          <w:color w:val="auto"/>
        </w:rPr>
        <w:t>Group E5: was not treated post-induction, but received water and feed only (Negative control)</w:t>
      </w:r>
    </w:p>
    <w:p w14:paraId="0E5869B2" w14:textId="77777777" w:rsidR="00061647" w:rsidRPr="00F14EAC" w:rsidRDefault="00061647" w:rsidP="00061647">
      <w:pPr>
        <w:pStyle w:val="Default"/>
        <w:rPr>
          <w:color w:val="auto"/>
        </w:rPr>
      </w:pPr>
      <w:r w:rsidRPr="00F14EAC">
        <w:rPr>
          <w:color w:val="auto"/>
        </w:rPr>
        <w:t>Group E6: Uninduced Wistar rats and received water and feeds only (Control)</w:t>
      </w:r>
    </w:p>
    <w:p w14:paraId="70DB8CEE" w14:textId="77777777" w:rsidR="00061647" w:rsidRPr="00F14EAC" w:rsidRDefault="00061647" w:rsidP="00061647">
      <w:pPr>
        <w:pStyle w:val="Default"/>
        <w:jc w:val="both"/>
        <w:rPr>
          <w:color w:val="auto"/>
        </w:rPr>
      </w:pPr>
      <w:r w:rsidRPr="00F14EAC">
        <w:rPr>
          <w:color w:val="auto"/>
        </w:rPr>
        <w:t xml:space="preserve">The rats were administered varying concentrations of </w:t>
      </w:r>
      <w:proofErr w:type="spellStart"/>
      <w:r w:rsidRPr="00F14EAC">
        <w:rPr>
          <w:color w:val="auto"/>
        </w:rPr>
        <w:t>Burantashi</w:t>
      </w:r>
      <w:proofErr w:type="spellEnd"/>
      <w:r w:rsidRPr="00F14EAC">
        <w:rPr>
          <w:color w:val="auto"/>
        </w:rPr>
        <w:t xml:space="preserve"> (</w:t>
      </w:r>
      <w:proofErr w:type="spellStart"/>
      <w:r w:rsidRPr="00F14EAC">
        <w:rPr>
          <w:i/>
          <w:iCs/>
          <w:color w:val="auto"/>
        </w:rPr>
        <w:t>Pausinystalia</w:t>
      </w:r>
      <w:proofErr w:type="spellEnd"/>
      <w:r w:rsidRPr="00F14EAC">
        <w:rPr>
          <w:i/>
          <w:iCs/>
          <w:color w:val="auto"/>
        </w:rPr>
        <w:t xml:space="preserve"> yohimbe</w:t>
      </w:r>
      <w:r w:rsidRPr="00F14EAC">
        <w:rPr>
          <w:color w:val="auto"/>
        </w:rPr>
        <w:t>) stem bark extracts and sildenafil respectively every other day for a duration of 30 days via an oral gastric tube. They were euthanized 24 hours following the final treatment, and their penises and blood samples were collected for the analysis of specific biochemical indices related to erectile function.</w:t>
      </w:r>
    </w:p>
    <w:p w14:paraId="31BA7A4D" w14:textId="77777777" w:rsidR="00061647" w:rsidRPr="00F14EAC" w:rsidRDefault="00061647" w:rsidP="00061647">
      <w:pPr>
        <w:pStyle w:val="Default"/>
        <w:jc w:val="both"/>
        <w:rPr>
          <w:b/>
          <w:bCs/>
          <w:color w:val="auto"/>
        </w:rPr>
      </w:pPr>
      <w:r w:rsidRPr="00F14EAC">
        <w:rPr>
          <w:b/>
          <w:bCs/>
          <w:color w:val="auto"/>
        </w:rPr>
        <w:t>2.7 Preparation and Storage of Serum</w:t>
      </w:r>
    </w:p>
    <w:p w14:paraId="59F2AEEB" w14:textId="77777777" w:rsidR="00061647" w:rsidRPr="00F14EAC" w:rsidRDefault="00061647" w:rsidP="00061647">
      <w:pPr>
        <w:pStyle w:val="Default"/>
        <w:jc w:val="both"/>
        <w:rPr>
          <w:color w:val="auto"/>
        </w:rPr>
      </w:pPr>
      <w:r w:rsidRPr="00F14EAC">
        <w:rPr>
          <w:color w:val="auto"/>
        </w:rPr>
        <w:lastRenderedPageBreak/>
        <w:t>Collected blood samples placed in sterile vacutainer bottles were allowed to clot for 10 minutes, followed by centrifugation at 3000 rpm for 10 minutes. The serum samples, which were obtained as the supernatant, were then transferred into plain tubes using a Pasteur pipette. The serum was subsequently stored frozen at -80</w:t>
      </w:r>
      <w:r w:rsidRPr="00F14EAC">
        <w:rPr>
          <w:color w:val="auto"/>
          <w:vertAlign w:val="superscript"/>
        </w:rPr>
        <w:t>o</w:t>
      </w:r>
      <w:r w:rsidRPr="00F14EAC">
        <w:rPr>
          <w:color w:val="auto"/>
        </w:rPr>
        <w:t>C in a freezer.</w:t>
      </w:r>
    </w:p>
    <w:p w14:paraId="4E2D4A22" w14:textId="77777777" w:rsidR="00061647" w:rsidRPr="00F14EAC" w:rsidRDefault="00061647" w:rsidP="00061647">
      <w:pPr>
        <w:pStyle w:val="Default"/>
        <w:jc w:val="both"/>
        <w:rPr>
          <w:b/>
          <w:bCs/>
          <w:color w:val="auto"/>
        </w:rPr>
      </w:pPr>
      <w:r w:rsidRPr="00F14EAC">
        <w:rPr>
          <w:b/>
          <w:bCs/>
          <w:color w:val="auto"/>
        </w:rPr>
        <w:t>2.8 Preparation and Storage of Tissue</w:t>
      </w:r>
    </w:p>
    <w:p w14:paraId="3A81CF3F" w14:textId="77777777" w:rsidR="00061647" w:rsidRPr="00F14EAC" w:rsidRDefault="00061647" w:rsidP="00061647">
      <w:pPr>
        <w:pStyle w:val="Default"/>
        <w:jc w:val="both"/>
        <w:rPr>
          <w:color w:val="auto"/>
        </w:rPr>
      </w:pPr>
      <w:r w:rsidRPr="00F14EAC">
        <w:rPr>
          <w:color w:val="auto"/>
        </w:rPr>
        <w:t>Penile tissues were immediately stored in sterile bottles filled with ice-cold 0.25 M sucrose solution upon harvesting and were kept refrigerated at 4 °C prior to homogenization. The tissue samples were mechanically homogenized in ice-cold 0.25 M sucrose at a ratio of 1:5 (1g of tissue to 5 ml of sucrose) in an ice bath. The homogenates were then centrifuged at 7000 rpm for 5 minutes at 4 °C, and the supernatant was used right away for biochemical analysis.</w:t>
      </w:r>
    </w:p>
    <w:p w14:paraId="20F87603" w14:textId="77777777" w:rsidR="00061647" w:rsidRPr="00F14EAC" w:rsidRDefault="00061647" w:rsidP="00061647">
      <w:pPr>
        <w:pStyle w:val="Default"/>
        <w:rPr>
          <w:b/>
          <w:bCs/>
          <w:color w:val="auto"/>
        </w:rPr>
      </w:pPr>
      <w:r w:rsidRPr="00F14EAC">
        <w:rPr>
          <w:b/>
          <w:bCs/>
          <w:color w:val="auto"/>
        </w:rPr>
        <w:t>2.9 Determination of Serum Testosterone, FSH and LH</w:t>
      </w:r>
    </w:p>
    <w:p w14:paraId="76D4078F" w14:textId="77777777" w:rsidR="00061647" w:rsidRPr="00F14EAC" w:rsidRDefault="00061647" w:rsidP="00061647">
      <w:pPr>
        <w:pStyle w:val="Default"/>
        <w:rPr>
          <w:color w:val="auto"/>
        </w:rPr>
      </w:pPr>
      <w:r w:rsidRPr="00F14EAC">
        <w:rPr>
          <w:color w:val="auto"/>
        </w:rPr>
        <w:t xml:space="preserve">Serum testosterone, FSH and LH were determined using Enzyme Linked Immunosorbent Assay technique using reagent supplied by </w:t>
      </w:r>
      <w:proofErr w:type="spellStart"/>
      <w:r w:rsidRPr="00F14EAC">
        <w:rPr>
          <w:color w:val="auto"/>
        </w:rPr>
        <w:t>MyBiosource</w:t>
      </w:r>
      <w:proofErr w:type="spellEnd"/>
      <w:r w:rsidRPr="00F14EAC">
        <w:rPr>
          <w:color w:val="auto"/>
        </w:rPr>
        <w:t xml:space="preserve"> Inc as previously described</w:t>
      </w:r>
      <w:r w:rsidRPr="00F14EAC">
        <w:rPr>
          <w:color w:val="auto"/>
          <w:vertAlign w:val="superscript"/>
        </w:rPr>
        <w:t xml:space="preserve"> [18]. </w:t>
      </w:r>
    </w:p>
    <w:p w14:paraId="3F32FB2D" w14:textId="77777777" w:rsidR="00061647" w:rsidRPr="00F14EAC" w:rsidRDefault="00061647" w:rsidP="00061647">
      <w:pPr>
        <w:pStyle w:val="Default"/>
        <w:rPr>
          <w:b/>
          <w:bCs/>
          <w:color w:val="auto"/>
        </w:rPr>
      </w:pPr>
      <w:r w:rsidRPr="00F14EAC">
        <w:rPr>
          <w:b/>
          <w:bCs/>
          <w:color w:val="auto"/>
        </w:rPr>
        <w:t>2.9.1 Determination of Total Nitric oxide and PDE-5 inhibitor</w:t>
      </w:r>
    </w:p>
    <w:p w14:paraId="21DABB80" w14:textId="77777777" w:rsidR="00061647" w:rsidRPr="00F14EAC" w:rsidRDefault="00061647" w:rsidP="00061647">
      <w:pPr>
        <w:pStyle w:val="Default"/>
        <w:jc w:val="both"/>
        <w:rPr>
          <w:color w:val="auto"/>
        </w:rPr>
      </w:pPr>
      <w:r w:rsidRPr="00F14EAC">
        <w:rPr>
          <w:color w:val="auto"/>
        </w:rPr>
        <w:t xml:space="preserve">Penile Tissue homogenates Total Nitric Acid and PDE-5 were assayed using rat Elisa kits supplied by </w:t>
      </w:r>
      <w:proofErr w:type="spellStart"/>
      <w:r w:rsidRPr="00F14EAC">
        <w:rPr>
          <w:color w:val="auto"/>
        </w:rPr>
        <w:t>MyBiosource</w:t>
      </w:r>
      <w:proofErr w:type="spellEnd"/>
      <w:r w:rsidRPr="00F14EAC">
        <w:rPr>
          <w:color w:val="auto"/>
        </w:rPr>
        <w:t xml:space="preserve">. Inc, following the manufacturer’s protocol. </w:t>
      </w:r>
    </w:p>
    <w:p w14:paraId="5F57E248" w14:textId="77777777" w:rsidR="00061647" w:rsidRPr="00F14EAC" w:rsidRDefault="00061647" w:rsidP="00061647">
      <w:pPr>
        <w:pStyle w:val="Default"/>
        <w:jc w:val="both"/>
        <w:rPr>
          <w:b/>
          <w:bCs/>
          <w:color w:val="auto"/>
        </w:rPr>
      </w:pPr>
      <w:r w:rsidRPr="00F14EAC">
        <w:rPr>
          <w:b/>
          <w:bCs/>
          <w:color w:val="auto"/>
        </w:rPr>
        <w:t>2.10 Statistical Analysis</w:t>
      </w:r>
    </w:p>
    <w:p w14:paraId="4990DA9E" w14:textId="77777777" w:rsidR="00061647" w:rsidRPr="00F14EAC" w:rsidRDefault="00061647" w:rsidP="00061647">
      <w:pPr>
        <w:pStyle w:val="Default"/>
        <w:jc w:val="both"/>
        <w:rPr>
          <w:color w:val="auto"/>
        </w:rPr>
      </w:pPr>
      <w:r w:rsidRPr="00F14EAC">
        <w:rPr>
          <w:color w:val="auto"/>
        </w:rPr>
        <w:t>Data collected from laboratory examinations underwent statistical analysis utilizing the IBM® Statistical Package for Social Sciences (SPSS) software version 26, and results were expressed as the mean (of 5 replicates) ± standard error of the mean (SEM). All significant differences were assessed using one-way Analysis of Variance (ANOVA), and Post Hoc multiple comparisons were conducted employing Duncan's multiple test. The threshold for significance was established at p &lt; 0.05.</w:t>
      </w:r>
    </w:p>
    <w:p w14:paraId="551FBFE8" w14:textId="77777777" w:rsidR="00061647" w:rsidRPr="00F14EAC" w:rsidRDefault="00061647" w:rsidP="00061647">
      <w:pPr>
        <w:pStyle w:val="Default"/>
        <w:jc w:val="both"/>
        <w:rPr>
          <w:b/>
          <w:bCs/>
          <w:color w:val="auto"/>
        </w:rPr>
      </w:pPr>
      <w:r w:rsidRPr="00F14EAC">
        <w:rPr>
          <w:b/>
          <w:bCs/>
          <w:color w:val="auto"/>
        </w:rPr>
        <w:t>3.0 Results</w:t>
      </w:r>
    </w:p>
    <w:p w14:paraId="3E11FF53" w14:textId="77777777" w:rsidR="00061647" w:rsidRPr="00F14EAC" w:rsidRDefault="00061647" w:rsidP="00061647">
      <w:pPr>
        <w:pStyle w:val="Default"/>
        <w:jc w:val="both"/>
        <w:rPr>
          <w:color w:val="auto"/>
        </w:rPr>
      </w:pPr>
      <w:r w:rsidRPr="00F14EAC">
        <w:rPr>
          <w:color w:val="auto"/>
        </w:rPr>
        <w:t>Male rats given 0.5 mg/kg BW of clonidine had a 45.46%, 38.99% and 43.41% decrease in MF, EF and IF respectively. Also, a 50%, 160.7% and 43.59% prolongation of IL, PEI, and EL respectively, in comparison to the uninduced and distilled water-treated control groups (Table 1).</w:t>
      </w:r>
    </w:p>
    <w:p w14:paraId="537CD709" w14:textId="77777777" w:rsidR="00061647" w:rsidRPr="00F14EAC" w:rsidRDefault="00061647" w:rsidP="00061647">
      <w:pPr>
        <w:pStyle w:val="Default"/>
        <w:jc w:val="both"/>
        <w:rPr>
          <w:color w:val="auto"/>
        </w:rPr>
      </w:pPr>
      <w:r w:rsidRPr="00F14EAC">
        <w:rPr>
          <w:color w:val="auto"/>
        </w:rPr>
        <w:t xml:space="preserve">Table 2 represents the phytochemical constituents of Burantashi extract. The highest phytoconstituent is Yohimbine 206.42 ppm, while the lowest was </w:t>
      </w:r>
      <w:proofErr w:type="spellStart"/>
      <w:r w:rsidRPr="00F14EAC">
        <w:rPr>
          <w:color w:val="auto"/>
        </w:rPr>
        <w:t>corynanthine</w:t>
      </w:r>
      <w:proofErr w:type="spellEnd"/>
      <w:r w:rsidRPr="00F14EAC">
        <w:rPr>
          <w:color w:val="auto"/>
        </w:rPr>
        <w:t xml:space="preserve"> 39.97 ppm. Others include </w:t>
      </w:r>
      <w:proofErr w:type="spellStart"/>
      <w:r w:rsidRPr="00F14EAC">
        <w:rPr>
          <w:color w:val="auto"/>
        </w:rPr>
        <w:t>alloyohimbine</w:t>
      </w:r>
      <w:proofErr w:type="spellEnd"/>
      <w:r w:rsidRPr="00F14EAC">
        <w:rPr>
          <w:color w:val="auto"/>
        </w:rPr>
        <w:t xml:space="preserve"> 99.27 ppm, </w:t>
      </w:r>
      <w:proofErr w:type="spellStart"/>
      <w:r w:rsidRPr="00F14EAC">
        <w:rPr>
          <w:color w:val="auto"/>
        </w:rPr>
        <w:t>rauwolscine</w:t>
      </w:r>
      <w:proofErr w:type="spellEnd"/>
      <w:r w:rsidRPr="00F14EAC">
        <w:rPr>
          <w:color w:val="auto"/>
        </w:rPr>
        <w:t xml:space="preserve"> 78.51 ppm, beta yohimbine 63.52 ppm and ajmaline 79.95 ppm. Others are 19-dehydroyohimbine 30.99 ppm and </w:t>
      </w:r>
      <w:proofErr w:type="spellStart"/>
      <w:r w:rsidRPr="00F14EAC">
        <w:rPr>
          <w:color w:val="auto"/>
        </w:rPr>
        <w:t>dihydrositsinkine</w:t>
      </w:r>
      <w:proofErr w:type="spellEnd"/>
      <w:r w:rsidRPr="00F14EAC">
        <w:rPr>
          <w:color w:val="auto"/>
        </w:rPr>
        <w:t xml:space="preserve"> 45.50 ppm.</w:t>
      </w:r>
    </w:p>
    <w:p w14:paraId="775263D6" w14:textId="77777777" w:rsidR="00061647" w:rsidRPr="00F14EAC" w:rsidRDefault="00061647" w:rsidP="00061647">
      <w:pPr>
        <w:pStyle w:val="Default"/>
        <w:jc w:val="both"/>
        <w:rPr>
          <w:color w:val="auto"/>
        </w:rPr>
      </w:pPr>
      <w:bookmarkStart w:id="3" w:name="_Hlk203589029"/>
      <w:r w:rsidRPr="00F14EAC">
        <w:rPr>
          <w:color w:val="auto"/>
        </w:rPr>
        <w:t>Serum levels of testosterone, LH and FSH were significantly reduced (p&lt;0.05) in clonidine-induced ED in Wistar rats compared with controls. Upon treatment with Burantashi extract, the levels of Testosterone, LH and FSH increased in a dose dependent manner. The levels of testosterone, LH and FSH in clonidine-induced ED in Wistar rats given 5 mg/kg sildenafil were comparable with those administered with Burantashi extract (Table 3). Penile NO and PDE-5 concentrations in clonidine-induced ED in Wistar rats is presented in Table 4. Penile NO levels were significantly reduced (p&lt;0.05), while PDE-5 was increased in clonidine-induced ED in Wistar rats compared with control groups. Upon treatment with Burantashi extract, penile NO levels were increased (p&lt;0.05) in a dose dependent manner, with the group given 100 mg/kg Burantashi extract higher than the group given 5.0 mg/kg sildenafil. On the other hand, the levels of PDE-5 concentration in clonidine-induced ED Wistar rats treated with the extract were markedly reduced (p&lt;0.05) in a dose-dependent manner even lower than the group given 5.0 mg/kg sildenafil.</w:t>
      </w:r>
    </w:p>
    <w:bookmarkEnd w:id="3"/>
    <w:p w14:paraId="2ECCF457" w14:textId="77777777" w:rsidR="00061647" w:rsidRPr="00F14EAC" w:rsidRDefault="00061647" w:rsidP="00061647">
      <w:pPr>
        <w:pStyle w:val="Default"/>
        <w:jc w:val="both"/>
        <w:rPr>
          <w:color w:val="auto"/>
        </w:rPr>
      </w:pPr>
    </w:p>
    <w:p w14:paraId="07C68127" w14:textId="77777777" w:rsidR="00061647" w:rsidRPr="00F14EAC" w:rsidRDefault="00061647" w:rsidP="00061647">
      <w:pPr>
        <w:pStyle w:val="Default"/>
        <w:jc w:val="both"/>
        <w:rPr>
          <w:color w:val="auto"/>
        </w:rPr>
      </w:pPr>
      <w:r w:rsidRPr="00F14EAC">
        <w:rPr>
          <w:color w:val="auto"/>
        </w:rPr>
        <w:lastRenderedPageBreak/>
        <w:t>Table 1: Erection-related sexual behavior parameters in clonidine-induced Erectile Dysfunction</w:t>
      </w:r>
    </w:p>
    <w:tbl>
      <w:tblPr>
        <w:tblStyle w:val="TableGrid"/>
        <w:tblW w:w="0" w:type="auto"/>
        <w:tblLook w:val="04A0" w:firstRow="1" w:lastRow="0" w:firstColumn="1" w:lastColumn="0" w:noHBand="0" w:noVBand="1"/>
      </w:tblPr>
      <w:tblGrid>
        <w:gridCol w:w="4405"/>
        <w:gridCol w:w="1530"/>
        <w:gridCol w:w="1890"/>
        <w:gridCol w:w="1525"/>
      </w:tblGrid>
      <w:tr w:rsidR="00061647" w:rsidRPr="00F14EAC" w14:paraId="0FB0B547" w14:textId="77777777" w:rsidTr="0011645A">
        <w:tc>
          <w:tcPr>
            <w:tcW w:w="4405" w:type="dxa"/>
          </w:tcPr>
          <w:p w14:paraId="65557CF3" w14:textId="77777777" w:rsidR="00061647" w:rsidRPr="00F14EAC" w:rsidRDefault="00061647" w:rsidP="0011645A">
            <w:pPr>
              <w:pStyle w:val="Default"/>
              <w:jc w:val="both"/>
              <w:rPr>
                <w:color w:val="auto"/>
              </w:rPr>
            </w:pPr>
            <w:r w:rsidRPr="00F14EAC">
              <w:rPr>
                <w:color w:val="auto"/>
              </w:rPr>
              <w:t>Parameters</w:t>
            </w:r>
          </w:p>
        </w:tc>
        <w:tc>
          <w:tcPr>
            <w:tcW w:w="1530" w:type="dxa"/>
          </w:tcPr>
          <w:p w14:paraId="1BA75092" w14:textId="77777777" w:rsidR="00061647" w:rsidRPr="00F14EAC" w:rsidRDefault="00061647" w:rsidP="0011645A">
            <w:pPr>
              <w:pStyle w:val="Default"/>
              <w:jc w:val="both"/>
              <w:rPr>
                <w:color w:val="auto"/>
              </w:rPr>
            </w:pPr>
            <w:r w:rsidRPr="00F14EAC">
              <w:rPr>
                <w:color w:val="auto"/>
              </w:rPr>
              <w:t>Wistar Rats Uninduced</w:t>
            </w:r>
          </w:p>
          <w:p w14:paraId="7CCA9FCA" w14:textId="77777777" w:rsidR="00061647" w:rsidRPr="00F14EAC" w:rsidRDefault="00061647" w:rsidP="0011645A">
            <w:pPr>
              <w:pStyle w:val="Default"/>
              <w:jc w:val="both"/>
              <w:rPr>
                <w:color w:val="auto"/>
              </w:rPr>
            </w:pPr>
            <w:r w:rsidRPr="00F14EAC">
              <w:rPr>
                <w:color w:val="auto"/>
              </w:rPr>
              <w:t>(Controls)</w:t>
            </w:r>
          </w:p>
        </w:tc>
        <w:tc>
          <w:tcPr>
            <w:tcW w:w="1890" w:type="dxa"/>
          </w:tcPr>
          <w:p w14:paraId="046115C7" w14:textId="77777777" w:rsidR="00061647" w:rsidRPr="00F14EAC" w:rsidRDefault="00061647" w:rsidP="0011645A">
            <w:pPr>
              <w:pStyle w:val="Default"/>
              <w:jc w:val="both"/>
              <w:rPr>
                <w:color w:val="auto"/>
              </w:rPr>
            </w:pPr>
            <w:r w:rsidRPr="00F14EAC">
              <w:rPr>
                <w:color w:val="auto"/>
              </w:rPr>
              <w:t>Wistar Rats with Clonidine-Induced ED</w:t>
            </w:r>
          </w:p>
        </w:tc>
        <w:tc>
          <w:tcPr>
            <w:tcW w:w="1525" w:type="dxa"/>
          </w:tcPr>
          <w:p w14:paraId="1B8D1D7B" w14:textId="77777777" w:rsidR="00061647" w:rsidRPr="00F14EAC" w:rsidRDefault="00061647" w:rsidP="0011645A">
            <w:pPr>
              <w:pStyle w:val="Default"/>
              <w:jc w:val="both"/>
              <w:rPr>
                <w:color w:val="auto"/>
              </w:rPr>
            </w:pPr>
            <w:r w:rsidRPr="00F14EAC">
              <w:rPr>
                <w:color w:val="auto"/>
              </w:rPr>
              <w:t>Percentage Change</w:t>
            </w:r>
          </w:p>
        </w:tc>
      </w:tr>
      <w:tr w:rsidR="00061647" w:rsidRPr="00F14EAC" w14:paraId="0E67CE56" w14:textId="77777777" w:rsidTr="0011645A">
        <w:tc>
          <w:tcPr>
            <w:tcW w:w="4405" w:type="dxa"/>
          </w:tcPr>
          <w:p w14:paraId="0927241C" w14:textId="77777777" w:rsidR="00061647" w:rsidRPr="00F14EAC" w:rsidRDefault="00061647" w:rsidP="0011645A">
            <w:pPr>
              <w:pStyle w:val="Default"/>
              <w:jc w:val="both"/>
              <w:rPr>
                <w:color w:val="auto"/>
              </w:rPr>
            </w:pPr>
            <w:r w:rsidRPr="00F14EAC">
              <w:rPr>
                <w:color w:val="auto"/>
              </w:rPr>
              <w:t>Mount Frequency (time/Sec)</w:t>
            </w:r>
          </w:p>
        </w:tc>
        <w:tc>
          <w:tcPr>
            <w:tcW w:w="1530" w:type="dxa"/>
          </w:tcPr>
          <w:p w14:paraId="3DA10C4E" w14:textId="77777777" w:rsidR="00061647" w:rsidRPr="00F14EAC" w:rsidRDefault="00061647" w:rsidP="0011645A">
            <w:pPr>
              <w:pStyle w:val="Default"/>
              <w:jc w:val="both"/>
              <w:rPr>
                <w:color w:val="auto"/>
              </w:rPr>
            </w:pPr>
            <w:r w:rsidRPr="00F14EAC">
              <w:rPr>
                <w:color w:val="auto"/>
              </w:rPr>
              <w:t>1.32 ± 0.10</w:t>
            </w:r>
          </w:p>
        </w:tc>
        <w:tc>
          <w:tcPr>
            <w:tcW w:w="1890" w:type="dxa"/>
          </w:tcPr>
          <w:p w14:paraId="6661E6C6" w14:textId="77777777" w:rsidR="00061647" w:rsidRPr="00F14EAC" w:rsidRDefault="00061647" w:rsidP="0011645A">
            <w:pPr>
              <w:pStyle w:val="Default"/>
              <w:jc w:val="both"/>
              <w:rPr>
                <w:color w:val="auto"/>
                <w:vertAlign w:val="superscript"/>
              </w:rPr>
            </w:pPr>
            <w:r w:rsidRPr="00F14EAC">
              <w:rPr>
                <w:color w:val="auto"/>
              </w:rPr>
              <w:t>0.72 ± 0.04</w:t>
            </w:r>
            <w:r w:rsidRPr="00F14EAC">
              <w:rPr>
                <w:color w:val="auto"/>
                <w:vertAlign w:val="superscript"/>
              </w:rPr>
              <w:t>*</w:t>
            </w:r>
          </w:p>
        </w:tc>
        <w:tc>
          <w:tcPr>
            <w:tcW w:w="1525" w:type="dxa"/>
          </w:tcPr>
          <w:p w14:paraId="54DF1CFC" w14:textId="77777777" w:rsidR="00061647" w:rsidRPr="00F14EAC" w:rsidRDefault="00061647" w:rsidP="0011645A">
            <w:pPr>
              <w:pStyle w:val="Default"/>
              <w:jc w:val="both"/>
              <w:rPr>
                <w:color w:val="auto"/>
              </w:rPr>
            </w:pPr>
            <w:r w:rsidRPr="00F14EAC">
              <w:rPr>
                <w:color w:val="auto"/>
              </w:rPr>
              <w:t>- 45.46</w:t>
            </w:r>
          </w:p>
        </w:tc>
      </w:tr>
      <w:tr w:rsidR="00061647" w:rsidRPr="00F14EAC" w14:paraId="19FD597C" w14:textId="77777777" w:rsidTr="0011645A">
        <w:tc>
          <w:tcPr>
            <w:tcW w:w="4405" w:type="dxa"/>
          </w:tcPr>
          <w:p w14:paraId="3F63641A" w14:textId="77777777" w:rsidR="00061647" w:rsidRPr="00F14EAC" w:rsidRDefault="00061647" w:rsidP="0011645A">
            <w:pPr>
              <w:pStyle w:val="Default"/>
              <w:jc w:val="both"/>
              <w:rPr>
                <w:color w:val="auto"/>
              </w:rPr>
            </w:pPr>
            <w:r w:rsidRPr="00F14EAC">
              <w:rPr>
                <w:color w:val="auto"/>
              </w:rPr>
              <w:t>Ejaculatory frequency (time/Sec)</w:t>
            </w:r>
          </w:p>
        </w:tc>
        <w:tc>
          <w:tcPr>
            <w:tcW w:w="1530" w:type="dxa"/>
          </w:tcPr>
          <w:p w14:paraId="63040F63" w14:textId="77777777" w:rsidR="00061647" w:rsidRPr="00F14EAC" w:rsidRDefault="00061647" w:rsidP="0011645A">
            <w:pPr>
              <w:pStyle w:val="Default"/>
              <w:jc w:val="both"/>
              <w:rPr>
                <w:color w:val="auto"/>
              </w:rPr>
            </w:pPr>
            <w:proofErr w:type="gramStart"/>
            <w:r w:rsidRPr="00F14EAC">
              <w:rPr>
                <w:color w:val="auto"/>
              </w:rPr>
              <w:t>15.80  ±</w:t>
            </w:r>
            <w:proofErr w:type="gramEnd"/>
            <w:r w:rsidRPr="00F14EAC">
              <w:rPr>
                <w:color w:val="auto"/>
              </w:rPr>
              <w:t xml:space="preserve"> 0.10</w:t>
            </w:r>
          </w:p>
        </w:tc>
        <w:tc>
          <w:tcPr>
            <w:tcW w:w="1890" w:type="dxa"/>
          </w:tcPr>
          <w:p w14:paraId="2DCF2FEB" w14:textId="77777777" w:rsidR="00061647" w:rsidRPr="00F14EAC" w:rsidRDefault="00061647" w:rsidP="0011645A">
            <w:pPr>
              <w:pStyle w:val="Default"/>
              <w:jc w:val="both"/>
              <w:rPr>
                <w:color w:val="auto"/>
                <w:vertAlign w:val="superscript"/>
              </w:rPr>
            </w:pPr>
            <w:proofErr w:type="gramStart"/>
            <w:r w:rsidRPr="00F14EAC">
              <w:rPr>
                <w:color w:val="auto"/>
              </w:rPr>
              <w:t>10.43  ±</w:t>
            </w:r>
            <w:proofErr w:type="gramEnd"/>
            <w:r w:rsidRPr="00F14EAC">
              <w:rPr>
                <w:color w:val="auto"/>
              </w:rPr>
              <w:t>0.10</w:t>
            </w:r>
            <w:r w:rsidRPr="00F14EAC">
              <w:rPr>
                <w:color w:val="auto"/>
                <w:vertAlign w:val="superscript"/>
              </w:rPr>
              <w:t>*</w:t>
            </w:r>
          </w:p>
        </w:tc>
        <w:tc>
          <w:tcPr>
            <w:tcW w:w="1525" w:type="dxa"/>
          </w:tcPr>
          <w:p w14:paraId="006E13E1" w14:textId="77777777" w:rsidR="00061647" w:rsidRPr="00F14EAC" w:rsidRDefault="00061647" w:rsidP="0011645A">
            <w:pPr>
              <w:pStyle w:val="Default"/>
              <w:jc w:val="both"/>
              <w:rPr>
                <w:color w:val="auto"/>
              </w:rPr>
            </w:pPr>
            <w:r w:rsidRPr="00F14EAC">
              <w:rPr>
                <w:color w:val="auto"/>
              </w:rPr>
              <w:t>- 38.99</w:t>
            </w:r>
          </w:p>
        </w:tc>
      </w:tr>
      <w:tr w:rsidR="00061647" w:rsidRPr="00F14EAC" w14:paraId="76A936C6" w14:textId="77777777" w:rsidTr="0011645A">
        <w:tc>
          <w:tcPr>
            <w:tcW w:w="4405" w:type="dxa"/>
          </w:tcPr>
          <w:p w14:paraId="275EAD1C" w14:textId="77777777" w:rsidR="00061647" w:rsidRPr="00F14EAC" w:rsidRDefault="00061647" w:rsidP="0011645A">
            <w:pPr>
              <w:pStyle w:val="Default"/>
              <w:jc w:val="both"/>
              <w:rPr>
                <w:color w:val="auto"/>
              </w:rPr>
            </w:pPr>
            <w:r w:rsidRPr="00F14EAC">
              <w:rPr>
                <w:color w:val="auto"/>
              </w:rPr>
              <w:t>Intromission Frequency (time/Sec)</w:t>
            </w:r>
          </w:p>
        </w:tc>
        <w:tc>
          <w:tcPr>
            <w:tcW w:w="1530" w:type="dxa"/>
          </w:tcPr>
          <w:p w14:paraId="7623DFF3" w14:textId="77777777" w:rsidR="00061647" w:rsidRPr="00F14EAC" w:rsidRDefault="00061647" w:rsidP="0011645A">
            <w:pPr>
              <w:pStyle w:val="Default"/>
              <w:jc w:val="both"/>
              <w:rPr>
                <w:color w:val="auto"/>
              </w:rPr>
            </w:pPr>
            <w:r w:rsidRPr="00F14EAC">
              <w:rPr>
                <w:color w:val="auto"/>
              </w:rPr>
              <w:t>4.10 ± 0.50</w:t>
            </w:r>
          </w:p>
        </w:tc>
        <w:tc>
          <w:tcPr>
            <w:tcW w:w="1890" w:type="dxa"/>
          </w:tcPr>
          <w:p w14:paraId="59536E7D" w14:textId="77777777" w:rsidR="00061647" w:rsidRPr="00F14EAC" w:rsidRDefault="00061647" w:rsidP="0011645A">
            <w:pPr>
              <w:pStyle w:val="Default"/>
              <w:jc w:val="both"/>
              <w:rPr>
                <w:color w:val="auto"/>
                <w:vertAlign w:val="superscript"/>
              </w:rPr>
            </w:pPr>
            <w:r w:rsidRPr="00F14EAC">
              <w:rPr>
                <w:color w:val="auto"/>
              </w:rPr>
              <w:t>2.32 ± 0.2</w:t>
            </w:r>
            <w:r w:rsidRPr="00F14EAC">
              <w:rPr>
                <w:color w:val="auto"/>
                <w:vertAlign w:val="superscript"/>
              </w:rPr>
              <w:t>*</w:t>
            </w:r>
          </w:p>
        </w:tc>
        <w:tc>
          <w:tcPr>
            <w:tcW w:w="1525" w:type="dxa"/>
          </w:tcPr>
          <w:p w14:paraId="70C2A7B8" w14:textId="77777777" w:rsidR="00061647" w:rsidRPr="00F14EAC" w:rsidRDefault="00061647" w:rsidP="0011645A">
            <w:pPr>
              <w:pStyle w:val="Default"/>
              <w:jc w:val="both"/>
              <w:rPr>
                <w:color w:val="auto"/>
              </w:rPr>
            </w:pPr>
            <w:r w:rsidRPr="00F14EAC">
              <w:rPr>
                <w:color w:val="auto"/>
              </w:rPr>
              <w:t>-43.41</w:t>
            </w:r>
          </w:p>
        </w:tc>
      </w:tr>
      <w:tr w:rsidR="00061647" w:rsidRPr="00F14EAC" w14:paraId="5B91DB21" w14:textId="77777777" w:rsidTr="0011645A">
        <w:tc>
          <w:tcPr>
            <w:tcW w:w="4405" w:type="dxa"/>
          </w:tcPr>
          <w:p w14:paraId="54A750BA" w14:textId="77777777" w:rsidR="00061647" w:rsidRPr="00F14EAC" w:rsidRDefault="00061647" w:rsidP="0011645A">
            <w:pPr>
              <w:pStyle w:val="Default"/>
              <w:jc w:val="both"/>
              <w:rPr>
                <w:color w:val="auto"/>
              </w:rPr>
            </w:pPr>
            <w:r w:rsidRPr="00F14EAC">
              <w:rPr>
                <w:color w:val="auto"/>
              </w:rPr>
              <w:t>Intromission Latency (Sec)</w:t>
            </w:r>
          </w:p>
        </w:tc>
        <w:tc>
          <w:tcPr>
            <w:tcW w:w="1530" w:type="dxa"/>
          </w:tcPr>
          <w:p w14:paraId="31D0C0B8" w14:textId="77777777" w:rsidR="00061647" w:rsidRPr="00F14EAC" w:rsidRDefault="00061647" w:rsidP="0011645A">
            <w:pPr>
              <w:pStyle w:val="Default"/>
              <w:jc w:val="both"/>
              <w:rPr>
                <w:color w:val="auto"/>
              </w:rPr>
            </w:pPr>
            <w:r w:rsidRPr="00F14EAC">
              <w:rPr>
                <w:color w:val="auto"/>
              </w:rPr>
              <w:t>17.68 ± 0.60</w:t>
            </w:r>
          </w:p>
        </w:tc>
        <w:tc>
          <w:tcPr>
            <w:tcW w:w="1890" w:type="dxa"/>
          </w:tcPr>
          <w:p w14:paraId="307E21D2" w14:textId="77777777" w:rsidR="00061647" w:rsidRPr="00F14EAC" w:rsidRDefault="00061647" w:rsidP="0011645A">
            <w:pPr>
              <w:pStyle w:val="Default"/>
              <w:jc w:val="both"/>
              <w:rPr>
                <w:color w:val="auto"/>
                <w:vertAlign w:val="superscript"/>
              </w:rPr>
            </w:pPr>
            <w:r w:rsidRPr="00F14EAC">
              <w:rPr>
                <w:color w:val="auto"/>
              </w:rPr>
              <w:t>26.52 ± 0.20</w:t>
            </w:r>
            <w:r w:rsidRPr="00F14EAC">
              <w:rPr>
                <w:color w:val="auto"/>
                <w:vertAlign w:val="superscript"/>
              </w:rPr>
              <w:t>*</w:t>
            </w:r>
          </w:p>
        </w:tc>
        <w:tc>
          <w:tcPr>
            <w:tcW w:w="1525" w:type="dxa"/>
          </w:tcPr>
          <w:p w14:paraId="71E439FF" w14:textId="77777777" w:rsidR="00061647" w:rsidRPr="00F14EAC" w:rsidRDefault="00061647" w:rsidP="0011645A">
            <w:pPr>
              <w:pStyle w:val="Default"/>
              <w:jc w:val="both"/>
              <w:rPr>
                <w:color w:val="auto"/>
              </w:rPr>
            </w:pPr>
            <w:r w:rsidRPr="00F14EAC">
              <w:rPr>
                <w:color w:val="auto"/>
              </w:rPr>
              <w:t>50.0</w:t>
            </w:r>
          </w:p>
        </w:tc>
      </w:tr>
      <w:tr w:rsidR="00061647" w:rsidRPr="00F14EAC" w14:paraId="1EB2E6EA" w14:textId="77777777" w:rsidTr="0011645A">
        <w:tc>
          <w:tcPr>
            <w:tcW w:w="4405" w:type="dxa"/>
          </w:tcPr>
          <w:p w14:paraId="0590659F" w14:textId="77777777" w:rsidR="00061647" w:rsidRPr="00F14EAC" w:rsidRDefault="00061647" w:rsidP="0011645A">
            <w:pPr>
              <w:pStyle w:val="Default"/>
              <w:jc w:val="both"/>
              <w:rPr>
                <w:color w:val="auto"/>
              </w:rPr>
            </w:pPr>
            <w:r w:rsidRPr="00F14EAC">
              <w:rPr>
                <w:color w:val="auto"/>
              </w:rPr>
              <w:t>Post-ejaculatory Interval (Sec)</w:t>
            </w:r>
          </w:p>
        </w:tc>
        <w:tc>
          <w:tcPr>
            <w:tcW w:w="1530" w:type="dxa"/>
          </w:tcPr>
          <w:p w14:paraId="0F973611" w14:textId="77777777" w:rsidR="00061647" w:rsidRPr="00F14EAC" w:rsidRDefault="00061647" w:rsidP="0011645A">
            <w:pPr>
              <w:pStyle w:val="Default"/>
              <w:jc w:val="both"/>
              <w:rPr>
                <w:color w:val="auto"/>
              </w:rPr>
            </w:pPr>
            <w:proofErr w:type="gramStart"/>
            <w:r w:rsidRPr="00F14EAC">
              <w:rPr>
                <w:color w:val="auto"/>
              </w:rPr>
              <w:t>11.65  ±</w:t>
            </w:r>
            <w:proofErr w:type="gramEnd"/>
            <w:r w:rsidRPr="00F14EAC">
              <w:rPr>
                <w:color w:val="auto"/>
              </w:rPr>
              <w:t xml:space="preserve"> 0.92</w:t>
            </w:r>
          </w:p>
        </w:tc>
        <w:tc>
          <w:tcPr>
            <w:tcW w:w="1890" w:type="dxa"/>
          </w:tcPr>
          <w:p w14:paraId="3701F195" w14:textId="77777777" w:rsidR="00061647" w:rsidRPr="00F14EAC" w:rsidRDefault="00061647" w:rsidP="0011645A">
            <w:pPr>
              <w:pStyle w:val="Default"/>
              <w:jc w:val="both"/>
              <w:rPr>
                <w:color w:val="auto"/>
                <w:vertAlign w:val="superscript"/>
              </w:rPr>
            </w:pPr>
            <w:proofErr w:type="gramStart"/>
            <w:r w:rsidRPr="00F14EAC">
              <w:rPr>
                <w:color w:val="auto"/>
              </w:rPr>
              <w:t>18.72  ±</w:t>
            </w:r>
            <w:proofErr w:type="gramEnd"/>
            <w:r w:rsidRPr="00F14EAC">
              <w:rPr>
                <w:color w:val="auto"/>
              </w:rPr>
              <w:t xml:space="preserve"> 0.40</w:t>
            </w:r>
            <w:r w:rsidRPr="00F14EAC">
              <w:rPr>
                <w:color w:val="auto"/>
                <w:vertAlign w:val="superscript"/>
              </w:rPr>
              <w:t>*</w:t>
            </w:r>
          </w:p>
        </w:tc>
        <w:tc>
          <w:tcPr>
            <w:tcW w:w="1525" w:type="dxa"/>
          </w:tcPr>
          <w:p w14:paraId="609DBEF0" w14:textId="77777777" w:rsidR="00061647" w:rsidRPr="00F14EAC" w:rsidRDefault="00061647" w:rsidP="0011645A">
            <w:pPr>
              <w:pStyle w:val="Default"/>
              <w:jc w:val="both"/>
              <w:rPr>
                <w:color w:val="auto"/>
              </w:rPr>
            </w:pPr>
            <w:r w:rsidRPr="00F14EAC">
              <w:rPr>
                <w:color w:val="auto"/>
              </w:rPr>
              <w:t>160.69</w:t>
            </w:r>
          </w:p>
        </w:tc>
      </w:tr>
      <w:tr w:rsidR="00061647" w:rsidRPr="00F14EAC" w14:paraId="014792BB" w14:textId="77777777" w:rsidTr="0011645A">
        <w:tc>
          <w:tcPr>
            <w:tcW w:w="4405" w:type="dxa"/>
          </w:tcPr>
          <w:p w14:paraId="50515DCC" w14:textId="77777777" w:rsidR="00061647" w:rsidRPr="00F14EAC" w:rsidRDefault="00061647" w:rsidP="0011645A">
            <w:pPr>
              <w:pStyle w:val="Default"/>
              <w:jc w:val="both"/>
              <w:rPr>
                <w:color w:val="auto"/>
              </w:rPr>
            </w:pPr>
            <w:r w:rsidRPr="00F14EAC">
              <w:rPr>
                <w:color w:val="auto"/>
              </w:rPr>
              <w:t>Ejaculatory latency (Sec)</w:t>
            </w:r>
          </w:p>
        </w:tc>
        <w:tc>
          <w:tcPr>
            <w:tcW w:w="1530" w:type="dxa"/>
          </w:tcPr>
          <w:p w14:paraId="5C883D30" w14:textId="77777777" w:rsidR="00061647" w:rsidRPr="00F14EAC" w:rsidRDefault="00061647" w:rsidP="0011645A">
            <w:pPr>
              <w:pStyle w:val="Default"/>
              <w:jc w:val="both"/>
              <w:rPr>
                <w:color w:val="auto"/>
              </w:rPr>
            </w:pPr>
            <w:proofErr w:type="gramStart"/>
            <w:r w:rsidRPr="00F14EAC">
              <w:rPr>
                <w:color w:val="auto"/>
              </w:rPr>
              <w:t>0.78  ±</w:t>
            </w:r>
            <w:proofErr w:type="gramEnd"/>
            <w:r w:rsidRPr="00F14EAC">
              <w:rPr>
                <w:color w:val="auto"/>
              </w:rPr>
              <w:t xml:space="preserve"> 0.01</w:t>
            </w:r>
          </w:p>
        </w:tc>
        <w:tc>
          <w:tcPr>
            <w:tcW w:w="1890" w:type="dxa"/>
          </w:tcPr>
          <w:p w14:paraId="71A051B8" w14:textId="77777777" w:rsidR="00061647" w:rsidRPr="00F14EAC" w:rsidRDefault="00061647" w:rsidP="0011645A">
            <w:pPr>
              <w:pStyle w:val="Default"/>
              <w:jc w:val="both"/>
              <w:rPr>
                <w:color w:val="auto"/>
                <w:vertAlign w:val="superscript"/>
              </w:rPr>
            </w:pPr>
            <w:proofErr w:type="gramStart"/>
            <w:r w:rsidRPr="00F14EAC">
              <w:rPr>
                <w:color w:val="auto"/>
              </w:rPr>
              <w:t>1.12  ±</w:t>
            </w:r>
            <w:proofErr w:type="gramEnd"/>
            <w:r w:rsidRPr="00F14EAC">
              <w:rPr>
                <w:color w:val="auto"/>
              </w:rPr>
              <w:t xml:space="preserve"> 0.01</w:t>
            </w:r>
            <w:r w:rsidRPr="00F14EAC">
              <w:rPr>
                <w:color w:val="auto"/>
                <w:vertAlign w:val="superscript"/>
              </w:rPr>
              <w:t>*</w:t>
            </w:r>
          </w:p>
        </w:tc>
        <w:tc>
          <w:tcPr>
            <w:tcW w:w="1525" w:type="dxa"/>
          </w:tcPr>
          <w:p w14:paraId="2E6C06A4" w14:textId="77777777" w:rsidR="00061647" w:rsidRPr="00F14EAC" w:rsidRDefault="00061647" w:rsidP="0011645A">
            <w:pPr>
              <w:pStyle w:val="Default"/>
              <w:jc w:val="both"/>
              <w:rPr>
                <w:color w:val="auto"/>
              </w:rPr>
            </w:pPr>
            <w:r w:rsidRPr="00F14EAC">
              <w:rPr>
                <w:color w:val="auto"/>
              </w:rPr>
              <w:t>43.59</w:t>
            </w:r>
          </w:p>
        </w:tc>
      </w:tr>
    </w:tbl>
    <w:p w14:paraId="31D4B88C" w14:textId="77777777" w:rsidR="00061647" w:rsidRPr="00F14EAC" w:rsidRDefault="00061647" w:rsidP="00061647">
      <w:pPr>
        <w:pStyle w:val="Default"/>
        <w:jc w:val="both"/>
        <w:rPr>
          <w:color w:val="auto"/>
        </w:rPr>
      </w:pPr>
      <w:r w:rsidRPr="00F14EAC">
        <w:rPr>
          <w:color w:val="auto"/>
          <w:vertAlign w:val="superscript"/>
        </w:rPr>
        <w:t>*</w:t>
      </w:r>
      <w:r w:rsidRPr="00F14EAC">
        <w:rPr>
          <w:color w:val="auto"/>
        </w:rPr>
        <w:t>P&lt;0.05</w:t>
      </w:r>
    </w:p>
    <w:p w14:paraId="48B89792" w14:textId="77777777" w:rsidR="00061647" w:rsidRPr="00F14EAC" w:rsidRDefault="00061647" w:rsidP="00061647">
      <w:pPr>
        <w:pStyle w:val="Default"/>
        <w:jc w:val="both"/>
        <w:rPr>
          <w:color w:val="auto"/>
        </w:rPr>
      </w:pPr>
    </w:p>
    <w:p w14:paraId="6C9B90AB" w14:textId="77777777" w:rsidR="00061647" w:rsidRPr="00F14EAC" w:rsidRDefault="00061647" w:rsidP="00061647">
      <w:pPr>
        <w:pStyle w:val="Default"/>
        <w:jc w:val="both"/>
        <w:rPr>
          <w:color w:val="auto"/>
        </w:rPr>
      </w:pPr>
      <w:r w:rsidRPr="00F14EAC">
        <w:rPr>
          <w:color w:val="auto"/>
        </w:rPr>
        <w:t>Table 2: Phytochemical Constituents of Burantashi Determined by HPLC coupled GS-MS</w:t>
      </w:r>
    </w:p>
    <w:tbl>
      <w:tblPr>
        <w:tblStyle w:val="TableGrid"/>
        <w:tblW w:w="0" w:type="auto"/>
        <w:tblLook w:val="04A0" w:firstRow="1" w:lastRow="0" w:firstColumn="1" w:lastColumn="0" w:noHBand="0" w:noVBand="1"/>
      </w:tblPr>
      <w:tblGrid>
        <w:gridCol w:w="4675"/>
        <w:gridCol w:w="4675"/>
      </w:tblGrid>
      <w:tr w:rsidR="00061647" w:rsidRPr="00F14EAC" w14:paraId="3A6CB5B3" w14:textId="77777777" w:rsidTr="0011645A">
        <w:tc>
          <w:tcPr>
            <w:tcW w:w="4675" w:type="dxa"/>
          </w:tcPr>
          <w:p w14:paraId="2709E35D" w14:textId="77777777" w:rsidR="00061647" w:rsidRPr="00F14EAC" w:rsidRDefault="00061647" w:rsidP="0011645A">
            <w:pPr>
              <w:pStyle w:val="Default"/>
              <w:jc w:val="both"/>
              <w:rPr>
                <w:color w:val="auto"/>
              </w:rPr>
            </w:pPr>
            <w:r w:rsidRPr="00F14EAC">
              <w:rPr>
                <w:color w:val="auto"/>
              </w:rPr>
              <w:t>Phytochemical Constituents of Burantashi</w:t>
            </w:r>
          </w:p>
        </w:tc>
        <w:tc>
          <w:tcPr>
            <w:tcW w:w="4675" w:type="dxa"/>
          </w:tcPr>
          <w:p w14:paraId="41642859" w14:textId="77777777" w:rsidR="00061647" w:rsidRPr="00F14EAC" w:rsidRDefault="00061647" w:rsidP="0011645A">
            <w:pPr>
              <w:pStyle w:val="Default"/>
              <w:jc w:val="both"/>
              <w:rPr>
                <w:color w:val="auto"/>
              </w:rPr>
            </w:pPr>
            <w:r w:rsidRPr="00F14EAC">
              <w:rPr>
                <w:color w:val="auto"/>
              </w:rPr>
              <w:t>Concentration (PPM)</w:t>
            </w:r>
          </w:p>
        </w:tc>
      </w:tr>
      <w:tr w:rsidR="00061647" w:rsidRPr="00F14EAC" w14:paraId="599CDDC4" w14:textId="77777777" w:rsidTr="0011645A">
        <w:tc>
          <w:tcPr>
            <w:tcW w:w="4675" w:type="dxa"/>
          </w:tcPr>
          <w:p w14:paraId="778365EC" w14:textId="77777777" w:rsidR="00061647" w:rsidRPr="00F14EAC" w:rsidRDefault="00061647" w:rsidP="0011645A">
            <w:pPr>
              <w:pStyle w:val="Default"/>
              <w:jc w:val="both"/>
              <w:rPr>
                <w:color w:val="auto"/>
              </w:rPr>
            </w:pPr>
            <w:r w:rsidRPr="00F14EAC">
              <w:rPr>
                <w:color w:val="auto"/>
              </w:rPr>
              <w:t>Yohimbine</w:t>
            </w:r>
          </w:p>
        </w:tc>
        <w:tc>
          <w:tcPr>
            <w:tcW w:w="4675" w:type="dxa"/>
          </w:tcPr>
          <w:p w14:paraId="06E9FD08" w14:textId="77777777" w:rsidR="00061647" w:rsidRPr="00F14EAC" w:rsidRDefault="00061647" w:rsidP="0011645A">
            <w:pPr>
              <w:pStyle w:val="Default"/>
              <w:jc w:val="both"/>
              <w:rPr>
                <w:color w:val="auto"/>
              </w:rPr>
            </w:pPr>
            <w:r w:rsidRPr="00F14EAC">
              <w:rPr>
                <w:color w:val="auto"/>
              </w:rPr>
              <w:t>206.42</w:t>
            </w:r>
          </w:p>
        </w:tc>
      </w:tr>
      <w:tr w:rsidR="00061647" w:rsidRPr="00F14EAC" w14:paraId="1743FF86" w14:textId="77777777" w:rsidTr="0011645A">
        <w:tc>
          <w:tcPr>
            <w:tcW w:w="4675" w:type="dxa"/>
          </w:tcPr>
          <w:p w14:paraId="71F49B71" w14:textId="77777777" w:rsidR="00061647" w:rsidRPr="00F14EAC" w:rsidRDefault="00061647" w:rsidP="0011645A">
            <w:pPr>
              <w:pStyle w:val="Default"/>
              <w:jc w:val="both"/>
              <w:rPr>
                <w:color w:val="auto"/>
              </w:rPr>
            </w:pPr>
            <w:proofErr w:type="spellStart"/>
            <w:r w:rsidRPr="00F14EAC">
              <w:rPr>
                <w:color w:val="auto"/>
              </w:rPr>
              <w:t>Alloyohimbine</w:t>
            </w:r>
            <w:proofErr w:type="spellEnd"/>
          </w:p>
        </w:tc>
        <w:tc>
          <w:tcPr>
            <w:tcW w:w="4675" w:type="dxa"/>
          </w:tcPr>
          <w:p w14:paraId="4FFC25D3" w14:textId="77777777" w:rsidR="00061647" w:rsidRPr="00F14EAC" w:rsidRDefault="00061647" w:rsidP="0011645A">
            <w:pPr>
              <w:pStyle w:val="Default"/>
              <w:jc w:val="both"/>
              <w:rPr>
                <w:color w:val="auto"/>
              </w:rPr>
            </w:pPr>
            <w:r w:rsidRPr="00F14EAC">
              <w:rPr>
                <w:color w:val="auto"/>
              </w:rPr>
              <w:t>99.27</w:t>
            </w:r>
          </w:p>
        </w:tc>
      </w:tr>
      <w:tr w:rsidR="00061647" w:rsidRPr="00F14EAC" w14:paraId="7D6956AC" w14:textId="77777777" w:rsidTr="0011645A">
        <w:tc>
          <w:tcPr>
            <w:tcW w:w="4675" w:type="dxa"/>
          </w:tcPr>
          <w:p w14:paraId="26AE726D" w14:textId="77777777" w:rsidR="00061647" w:rsidRPr="00F14EAC" w:rsidRDefault="00061647" w:rsidP="0011645A">
            <w:pPr>
              <w:pStyle w:val="Default"/>
              <w:jc w:val="both"/>
              <w:rPr>
                <w:color w:val="auto"/>
              </w:rPr>
            </w:pPr>
            <w:proofErr w:type="spellStart"/>
            <w:r w:rsidRPr="00F14EAC">
              <w:rPr>
                <w:color w:val="auto"/>
              </w:rPr>
              <w:t>Rauwolscine</w:t>
            </w:r>
            <w:proofErr w:type="spellEnd"/>
          </w:p>
        </w:tc>
        <w:tc>
          <w:tcPr>
            <w:tcW w:w="4675" w:type="dxa"/>
          </w:tcPr>
          <w:p w14:paraId="0D6882A9" w14:textId="77777777" w:rsidR="00061647" w:rsidRPr="00F14EAC" w:rsidRDefault="00061647" w:rsidP="0011645A">
            <w:pPr>
              <w:pStyle w:val="Default"/>
              <w:jc w:val="both"/>
              <w:rPr>
                <w:color w:val="auto"/>
              </w:rPr>
            </w:pPr>
            <w:r w:rsidRPr="00F14EAC">
              <w:rPr>
                <w:color w:val="auto"/>
              </w:rPr>
              <w:t>78.51</w:t>
            </w:r>
          </w:p>
        </w:tc>
      </w:tr>
      <w:tr w:rsidR="00061647" w:rsidRPr="00F14EAC" w14:paraId="2F78C2D5" w14:textId="77777777" w:rsidTr="0011645A">
        <w:tc>
          <w:tcPr>
            <w:tcW w:w="4675" w:type="dxa"/>
          </w:tcPr>
          <w:p w14:paraId="4D2EF70D" w14:textId="77777777" w:rsidR="00061647" w:rsidRPr="00F14EAC" w:rsidRDefault="00061647" w:rsidP="0011645A">
            <w:pPr>
              <w:pStyle w:val="Default"/>
              <w:jc w:val="both"/>
              <w:rPr>
                <w:color w:val="auto"/>
              </w:rPr>
            </w:pPr>
            <w:r w:rsidRPr="00F14EAC">
              <w:rPr>
                <w:color w:val="auto"/>
              </w:rPr>
              <w:t>Beta-Yohimbine</w:t>
            </w:r>
          </w:p>
        </w:tc>
        <w:tc>
          <w:tcPr>
            <w:tcW w:w="4675" w:type="dxa"/>
          </w:tcPr>
          <w:p w14:paraId="1DC87D39" w14:textId="77777777" w:rsidR="00061647" w:rsidRPr="00F14EAC" w:rsidRDefault="00061647" w:rsidP="0011645A">
            <w:pPr>
              <w:pStyle w:val="Default"/>
              <w:jc w:val="both"/>
              <w:rPr>
                <w:color w:val="auto"/>
              </w:rPr>
            </w:pPr>
            <w:r w:rsidRPr="00F14EAC">
              <w:rPr>
                <w:color w:val="auto"/>
              </w:rPr>
              <w:t>63.52</w:t>
            </w:r>
          </w:p>
        </w:tc>
      </w:tr>
      <w:tr w:rsidR="00061647" w:rsidRPr="00F14EAC" w14:paraId="46E1D257" w14:textId="77777777" w:rsidTr="0011645A">
        <w:tc>
          <w:tcPr>
            <w:tcW w:w="4675" w:type="dxa"/>
          </w:tcPr>
          <w:p w14:paraId="46D73806" w14:textId="77777777" w:rsidR="00061647" w:rsidRPr="00F14EAC" w:rsidRDefault="00061647" w:rsidP="0011645A">
            <w:pPr>
              <w:pStyle w:val="Default"/>
              <w:jc w:val="both"/>
              <w:rPr>
                <w:color w:val="auto"/>
              </w:rPr>
            </w:pPr>
            <w:r w:rsidRPr="00F14EAC">
              <w:rPr>
                <w:color w:val="auto"/>
              </w:rPr>
              <w:t>Ajmaline</w:t>
            </w:r>
          </w:p>
        </w:tc>
        <w:tc>
          <w:tcPr>
            <w:tcW w:w="4675" w:type="dxa"/>
          </w:tcPr>
          <w:p w14:paraId="498D256E" w14:textId="77777777" w:rsidR="00061647" w:rsidRPr="00F14EAC" w:rsidRDefault="00061647" w:rsidP="0011645A">
            <w:pPr>
              <w:pStyle w:val="Default"/>
              <w:jc w:val="both"/>
              <w:rPr>
                <w:color w:val="auto"/>
              </w:rPr>
            </w:pPr>
            <w:r w:rsidRPr="00F14EAC">
              <w:rPr>
                <w:color w:val="auto"/>
              </w:rPr>
              <w:t>79.95</w:t>
            </w:r>
          </w:p>
        </w:tc>
      </w:tr>
      <w:tr w:rsidR="00061647" w:rsidRPr="00F14EAC" w14:paraId="0EC584D5" w14:textId="77777777" w:rsidTr="0011645A">
        <w:tc>
          <w:tcPr>
            <w:tcW w:w="4675" w:type="dxa"/>
          </w:tcPr>
          <w:p w14:paraId="604F243A" w14:textId="77777777" w:rsidR="00061647" w:rsidRPr="00F14EAC" w:rsidRDefault="00061647" w:rsidP="0011645A">
            <w:pPr>
              <w:pStyle w:val="Default"/>
              <w:jc w:val="both"/>
              <w:rPr>
                <w:color w:val="auto"/>
              </w:rPr>
            </w:pPr>
            <w:proofErr w:type="spellStart"/>
            <w:r w:rsidRPr="00F14EAC">
              <w:rPr>
                <w:color w:val="auto"/>
              </w:rPr>
              <w:t>Corynanthine</w:t>
            </w:r>
            <w:proofErr w:type="spellEnd"/>
          </w:p>
        </w:tc>
        <w:tc>
          <w:tcPr>
            <w:tcW w:w="4675" w:type="dxa"/>
          </w:tcPr>
          <w:p w14:paraId="572DAFFE" w14:textId="77777777" w:rsidR="00061647" w:rsidRPr="00F14EAC" w:rsidRDefault="00061647" w:rsidP="0011645A">
            <w:pPr>
              <w:pStyle w:val="Default"/>
              <w:jc w:val="both"/>
              <w:rPr>
                <w:color w:val="auto"/>
              </w:rPr>
            </w:pPr>
            <w:r w:rsidRPr="00F14EAC">
              <w:rPr>
                <w:color w:val="auto"/>
              </w:rPr>
              <w:t>39.97</w:t>
            </w:r>
          </w:p>
        </w:tc>
      </w:tr>
      <w:tr w:rsidR="00061647" w:rsidRPr="00F14EAC" w14:paraId="38629A0D" w14:textId="77777777" w:rsidTr="0011645A">
        <w:tc>
          <w:tcPr>
            <w:tcW w:w="4675" w:type="dxa"/>
          </w:tcPr>
          <w:p w14:paraId="4A85A5E3" w14:textId="77777777" w:rsidR="00061647" w:rsidRPr="00F14EAC" w:rsidRDefault="00061647" w:rsidP="0011645A">
            <w:pPr>
              <w:pStyle w:val="Default"/>
              <w:jc w:val="both"/>
              <w:rPr>
                <w:color w:val="auto"/>
              </w:rPr>
            </w:pPr>
            <w:r w:rsidRPr="00F14EAC">
              <w:rPr>
                <w:color w:val="auto"/>
              </w:rPr>
              <w:t>19-dehyroyohimbine</w:t>
            </w:r>
          </w:p>
        </w:tc>
        <w:tc>
          <w:tcPr>
            <w:tcW w:w="4675" w:type="dxa"/>
          </w:tcPr>
          <w:p w14:paraId="0439CC63" w14:textId="77777777" w:rsidR="00061647" w:rsidRPr="00F14EAC" w:rsidRDefault="00061647" w:rsidP="0011645A">
            <w:pPr>
              <w:pStyle w:val="Default"/>
              <w:jc w:val="both"/>
              <w:rPr>
                <w:color w:val="auto"/>
              </w:rPr>
            </w:pPr>
            <w:r w:rsidRPr="00F14EAC">
              <w:rPr>
                <w:color w:val="auto"/>
              </w:rPr>
              <w:t>30.99</w:t>
            </w:r>
          </w:p>
        </w:tc>
      </w:tr>
      <w:tr w:rsidR="00061647" w:rsidRPr="00F14EAC" w14:paraId="342E1FFD" w14:textId="77777777" w:rsidTr="0011645A">
        <w:tc>
          <w:tcPr>
            <w:tcW w:w="4675" w:type="dxa"/>
          </w:tcPr>
          <w:p w14:paraId="39BCC562" w14:textId="77777777" w:rsidR="00061647" w:rsidRPr="00F14EAC" w:rsidRDefault="00061647" w:rsidP="0011645A">
            <w:pPr>
              <w:pStyle w:val="Default"/>
              <w:jc w:val="both"/>
              <w:rPr>
                <w:color w:val="auto"/>
              </w:rPr>
            </w:pPr>
            <w:proofErr w:type="spellStart"/>
            <w:r w:rsidRPr="00F14EAC">
              <w:rPr>
                <w:color w:val="auto"/>
              </w:rPr>
              <w:t>Dihydrositsinkine</w:t>
            </w:r>
            <w:proofErr w:type="spellEnd"/>
          </w:p>
        </w:tc>
        <w:tc>
          <w:tcPr>
            <w:tcW w:w="4675" w:type="dxa"/>
          </w:tcPr>
          <w:p w14:paraId="19ED0038" w14:textId="77777777" w:rsidR="00061647" w:rsidRPr="00F14EAC" w:rsidRDefault="00061647" w:rsidP="0011645A">
            <w:pPr>
              <w:pStyle w:val="Default"/>
              <w:jc w:val="both"/>
              <w:rPr>
                <w:color w:val="auto"/>
              </w:rPr>
            </w:pPr>
            <w:r w:rsidRPr="00F14EAC">
              <w:rPr>
                <w:color w:val="auto"/>
              </w:rPr>
              <w:t>45.50</w:t>
            </w:r>
          </w:p>
        </w:tc>
      </w:tr>
    </w:tbl>
    <w:p w14:paraId="688DF6DD" w14:textId="77777777" w:rsidR="00061647" w:rsidRPr="00F14EAC" w:rsidRDefault="00061647" w:rsidP="00061647">
      <w:pPr>
        <w:pStyle w:val="Default"/>
        <w:jc w:val="both"/>
        <w:rPr>
          <w:color w:val="auto"/>
        </w:rPr>
      </w:pPr>
    </w:p>
    <w:p w14:paraId="294460D7" w14:textId="77777777" w:rsidR="00061647" w:rsidRPr="00F14EAC" w:rsidRDefault="00061647" w:rsidP="00061647">
      <w:pPr>
        <w:pStyle w:val="Default"/>
        <w:jc w:val="both"/>
        <w:rPr>
          <w:color w:val="auto"/>
        </w:rPr>
      </w:pPr>
    </w:p>
    <w:p w14:paraId="3F43E8CE" w14:textId="77777777" w:rsidR="00061647" w:rsidRPr="00F14EAC" w:rsidRDefault="00061647" w:rsidP="00061647">
      <w:pPr>
        <w:pStyle w:val="Default"/>
        <w:jc w:val="both"/>
        <w:rPr>
          <w:color w:val="auto"/>
        </w:rPr>
      </w:pPr>
    </w:p>
    <w:p w14:paraId="2B46F25E" w14:textId="77777777" w:rsidR="00061647" w:rsidRPr="00F14EAC" w:rsidRDefault="00061647" w:rsidP="00061647">
      <w:pPr>
        <w:pStyle w:val="Default"/>
        <w:jc w:val="both"/>
        <w:rPr>
          <w:color w:val="auto"/>
        </w:rPr>
      </w:pPr>
    </w:p>
    <w:p w14:paraId="5BCCB738" w14:textId="77777777" w:rsidR="00061647" w:rsidRPr="00F14EAC" w:rsidRDefault="00061647" w:rsidP="00061647">
      <w:pPr>
        <w:pStyle w:val="Default"/>
        <w:jc w:val="both"/>
        <w:rPr>
          <w:color w:val="auto"/>
        </w:rPr>
      </w:pPr>
    </w:p>
    <w:p w14:paraId="579DCC97" w14:textId="77777777" w:rsidR="00061647" w:rsidRPr="00F14EAC" w:rsidRDefault="00061647" w:rsidP="00061647">
      <w:pPr>
        <w:pStyle w:val="Default"/>
        <w:jc w:val="both"/>
        <w:rPr>
          <w:color w:val="auto"/>
        </w:rPr>
      </w:pPr>
    </w:p>
    <w:p w14:paraId="5BBE9040" w14:textId="77777777" w:rsidR="00061647" w:rsidRPr="00F14EAC" w:rsidRDefault="00061647" w:rsidP="00061647">
      <w:pPr>
        <w:pStyle w:val="Default"/>
        <w:jc w:val="both"/>
        <w:rPr>
          <w:color w:val="auto"/>
        </w:rPr>
      </w:pPr>
      <w:r w:rsidRPr="00F14EAC">
        <w:rPr>
          <w:color w:val="auto"/>
        </w:rPr>
        <w:t>Table 3: Serum Levels of Testosterone, luteinizing hormone and follicle Stimulating hormone in clonidine-induced Wistar rats and Controls</w:t>
      </w:r>
    </w:p>
    <w:tbl>
      <w:tblPr>
        <w:tblStyle w:val="TableGrid"/>
        <w:tblW w:w="0" w:type="auto"/>
        <w:tblLook w:val="04A0" w:firstRow="1" w:lastRow="0" w:firstColumn="1" w:lastColumn="0" w:noHBand="0" w:noVBand="1"/>
      </w:tblPr>
      <w:tblGrid>
        <w:gridCol w:w="4549"/>
        <w:gridCol w:w="1443"/>
        <w:gridCol w:w="1323"/>
        <w:gridCol w:w="2035"/>
      </w:tblGrid>
      <w:tr w:rsidR="00061647" w:rsidRPr="00F14EAC" w14:paraId="506445E3" w14:textId="77777777" w:rsidTr="0011645A">
        <w:tc>
          <w:tcPr>
            <w:tcW w:w="4627" w:type="dxa"/>
          </w:tcPr>
          <w:p w14:paraId="38B0C775" w14:textId="77777777" w:rsidR="00061647" w:rsidRPr="00F14EAC" w:rsidRDefault="00061647" w:rsidP="0011645A">
            <w:pPr>
              <w:pStyle w:val="Default"/>
              <w:jc w:val="both"/>
              <w:rPr>
                <w:color w:val="auto"/>
              </w:rPr>
            </w:pPr>
            <w:r w:rsidRPr="00F14EAC">
              <w:rPr>
                <w:color w:val="auto"/>
              </w:rPr>
              <w:t>Groups</w:t>
            </w:r>
          </w:p>
        </w:tc>
        <w:tc>
          <w:tcPr>
            <w:tcW w:w="1392" w:type="dxa"/>
          </w:tcPr>
          <w:p w14:paraId="70E0B608" w14:textId="77777777" w:rsidR="00061647" w:rsidRPr="00F14EAC" w:rsidRDefault="00061647" w:rsidP="0011645A">
            <w:pPr>
              <w:pStyle w:val="Default"/>
              <w:jc w:val="both"/>
              <w:rPr>
                <w:color w:val="auto"/>
              </w:rPr>
            </w:pPr>
            <w:r w:rsidRPr="00F14EAC">
              <w:rPr>
                <w:color w:val="auto"/>
              </w:rPr>
              <w:t>Testosterone</w:t>
            </w:r>
          </w:p>
          <w:p w14:paraId="77B44BA3" w14:textId="77777777" w:rsidR="00061647" w:rsidRPr="00F14EAC" w:rsidRDefault="00061647" w:rsidP="0011645A">
            <w:pPr>
              <w:pStyle w:val="Default"/>
              <w:jc w:val="both"/>
              <w:rPr>
                <w:color w:val="auto"/>
              </w:rPr>
            </w:pPr>
          </w:p>
          <w:p w14:paraId="5AC69A6F" w14:textId="77777777" w:rsidR="00061647" w:rsidRPr="00F14EAC" w:rsidRDefault="00061647" w:rsidP="0011645A">
            <w:pPr>
              <w:pStyle w:val="Default"/>
              <w:jc w:val="both"/>
              <w:rPr>
                <w:color w:val="auto"/>
              </w:rPr>
            </w:pPr>
            <w:r w:rsidRPr="00F14EAC">
              <w:rPr>
                <w:color w:val="auto"/>
              </w:rPr>
              <w:t>(ng/mL)</w:t>
            </w:r>
          </w:p>
        </w:tc>
        <w:tc>
          <w:tcPr>
            <w:tcW w:w="1277" w:type="dxa"/>
          </w:tcPr>
          <w:p w14:paraId="101F75A9" w14:textId="77777777" w:rsidR="00061647" w:rsidRPr="00F14EAC" w:rsidRDefault="00061647" w:rsidP="0011645A">
            <w:pPr>
              <w:pStyle w:val="Default"/>
              <w:jc w:val="both"/>
              <w:rPr>
                <w:color w:val="auto"/>
              </w:rPr>
            </w:pPr>
            <w:r w:rsidRPr="00F14EAC">
              <w:rPr>
                <w:color w:val="auto"/>
              </w:rPr>
              <w:t>Luteinizing hormone</w:t>
            </w:r>
          </w:p>
          <w:p w14:paraId="21F18600" w14:textId="77777777" w:rsidR="00061647" w:rsidRPr="00F14EAC" w:rsidRDefault="00061647" w:rsidP="0011645A">
            <w:pPr>
              <w:pStyle w:val="Default"/>
              <w:jc w:val="both"/>
              <w:rPr>
                <w:color w:val="auto"/>
              </w:rPr>
            </w:pPr>
            <w:r w:rsidRPr="00F14EAC">
              <w:rPr>
                <w:color w:val="auto"/>
              </w:rPr>
              <w:t>(</w:t>
            </w:r>
            <w:proofErr w:type="spellStart"/>
            <w:r w:rsidRPr="00F14EAC">
              <w:rPr>
                <w:color w:val="auto"/>
              </w:rPr>
              <w:t>mIU</w:t>
            </w:r>
            <w:proofErr w:type="spellEnd"/>
            <w:r w:rsidRPr="00F14EAC">
              <w:rPr>
                <w:color w:val="auto"/>
              </w:rPr>
              <w:t>/mL)</w:t>
            </w:r>
          </w:p>
        </w:tc>
        <w:tc>
          <w:tcPr>
            <w:tcW w:w="2054" w:type="dxa"/>
          </w:tcPr>
          <w:p w14:paraId="49AE6AEB" w14:textId="77777777" w:rsidR="00061647" w:rsidRPr="00F14EAC" w:rsidRDefault="00061647" w:rsidP="0011645A">
            <w:pPr>
              <w:pStyle w:val="Default"/>
              <w:jc w:val="both"/>
              <w:rPr>
                <w:color w:val="auto"/>
              </w:rPr>
            </w:pPr>
            <w:r w:rsidRPr="00F14EAC">
              <w:rPr>
                <w:color w:val="auto"/>
              </w:rPr>
              <w:t>Follicle stimulating hormone</w:t>
            </w:r>
          </w:p>
          <w:p w14:paraId="434886B2" w14:textId="77777777" w:rsidR="00061647" w:rsidRPr="00F14EAC" w:rsidRDefault="00061647" w:rsidP="0011645A">
            <w:pPr>
              <w:pStyle w:val="Default"/>
              <w:jc w:val="both"/>
              <w:rPr>
                <w:color w:val="auto"/>
              </w:rPr>
            </w:pPr>
            <w:r w:rsidRPr="00F14EAC">
              <w:rPr>
                <w:color w:val="auto"/>
              </w:rPr>
              <w:t>(ng/mL)</w:t>
            </w:r>
          </w:p>
        </w:tc>
      </w:tr>
      <w:tr w:rsidR="00061647" w:rsidRPr="00F14EAC" w14:paraId="6E09EEB9" w14:textId="77777777" w:rsidTr="0011645A">
        <w:tc>
          <w:tcPr>
            <w:tcW w:w="4627" w:type="dxa"/>
          </w:tcPr>
          <w:p w14:paraId="31D9EC88" w14:textId="77777777" w:rsidR="00061647" w:rsidRPr="00F14EAC" w:rsidRDefault="00061647" w:rsidP="0011645A">
            <w:pPr>
              <w:pStyle w:val="Default"/>
              <w:jc w:val="both"/>
              <w:rPr>
                <w:color w:val="auto"/>
              </w:rPr>
            </w:pPr>
            <w:r w:rsidRPr="00F14EAC">
              <w:rPr>
                <w:color w:val="auto"/>
              </w:rPr>
              <w:t>Group E1(25 mg/kg Burantashi Extract)</w:t>
            </w:r>
          </w:p>
        </w:tc>
        <w:tc>
          <w:tcPr>
            <w:tcW w:w="1392" w:type="dxa"/>
          </w:tcPr>
          <w:p w14:paraId="1053F9CC" w14:textId="77777777" w:rsidR="00061647" w:rsidRPr="00F14EAC" w:rsidRDefault="00061647" w:rsidP="0011645A">
            <w:pPr>
              <w:pStyle w:val="Default"/>
              <w:jc w:val="both"/>
              <w:rPr>
                <w:color w:val="auto"/>
              </w:rPr>
            </w:pPr>
            <w:r w:rsidRPr="00F14EAC">
              <w:rPr>
                <w:color w:val="auto"/>
              </w:rPr>
              <w:t>0.85± 0.05</w:t>
            </w:r>
          </w:p>
        </w:tc>
        <w:tc>
          <w:tcPr>
            <w:tcW w:w="1277" w:type="dxa"/>
          </w:tcPr>
          <w:p w14:paraId="00A2B92A" w14:textId="77777777" w:rsidR="00061647" w:rsidRPr="00F14EAC" w:rsidRDefault="00061647" w:rsidP="0011645A">
            <w:pPr>
              <w:pStyle w:val="Default"/>
              <w:jc w:val="both"/>
              <w:rPr>
                <w:color w:val="auto"/>
              </w:rPr>
            </w:pPr>
            <w:r w:rsidRPr="00F14EAC">
              <w:rPr>
                <w:color w:val="auto"/>
              </w:rPr>
              <w:t>6.4±1.6</w:t>
            </w:r>
          </w:p>
        </w:tc>
        <w:tc>
          <w:tcPr>
            <w:tcW w:w="2054" w:type="dxa"/>
          </w:tcPr>
          <w:p w14:paraId="7DA6409E" w14:textId="77777777" w:rsidR="00061647" w:rsidRPr="00F14EAC" w:rsidRDefault="00061647" w:rsidP="0011645A">
            <w:pPr>
              <w:pStyle w:val="Default"/>
              <w:jc w:val="both"/>
              <w:rPr>
                <w:color w:val="auto"/>
              </w:rPr>
            </w:pPr>
            <w:r w:rsidRPr="00F14EAC">
              <w:rPr>
                <w:color w:val="auto"/>
              </w:rPr>
              <w:t>1.80±0.01</w:t>
            </w:r>
          </w:p>
        </w:tc>
      </w:tr>
      <w:tr w:rsidR="00061647" w:rsidRPr="00F14EAC" w14:paraId="5DC1CF33" w14:textId="77777777" w:rsidTr="0011645A">
        <w:tc>
          <w:tcPr>
            <w:tcW w:w="4627" w:type="dxa"/>
          </w:tcPr>
          <w:p w14:paraId="0E182838" w14:textId="77777777" w:rsidR="00061647" w:rsidRPr="00F14EAC" w:rsidRDefault="00061647" w:rsidP="0011645A">
            <w:pPr>
              <w:pStyle w:val="Default"/>
              <w:jc w:val="both"/>
              <w:rPr>
                <w:color w:val="auto"/>
              </w:rPr>
            </w:pPr>
            <w:r w:rsidRPr="00F14EAC">
              <w:rPr>
                <w:color w:val="auto"/>
              </w:rPr>
              <w:t>Group E2(50 mg/kg Burantashi Extract)</w:t>
            </w:r>
          </w:p>
        </w:tc>
        <w:tc>
          <w:tcPr>
            <w:tcW w:w="1392" w:type="dxa"/>
          </w:tcPr>
          <w:p w14:paraId="4FCBAD4E" w14:textId="77777777" w:rsidR="00061647" w:rsidRPr="00F14EAC" w:rsidRDefault="00061647" w:rsidP="0011645A">
            <w:pPr>
              <w:pStyle w:val="Default"/>
              <w:jc w:val="both"/>
              <w:rPr>
                <w:color w:val="auto"/>
              </w:rPr>
            </w:pPr>
            <w:r w:rsidRPr="00F14EAC">
              <w:rPr>
                <w:color w:val="auto"/>
              </w:rPr>
              <w:t>0.86 ± 0.02</w:t>
            </w:r>
          </w:p>
        </w:tc>
        <w:tc>
          <w:tcPr>
            <w:tcW w:w="1277" w:type="dxa"/>
          </w:tcPr>
          <w:p w14:paraId="53C475AE" w14:textId="77777777" w:rsidR="00061647" w:rsidRPr="00F14EAC" w:rsidRDefault="00061647" w:rsidP="0011645A">
            <w:pPr>
              <w:pStyle w:val="Default"/>
              <w:jc w:val="both"/>
              <w:rPr>
                <w:color w:val="auto"/>
              </w:rPr>
            </w:pPr>
            <w:r w:rsidRPr="00F14EAC">
              <w:rPr>
                <w:color w:val="auto"/>
              </w:rPr>
              <w:t>6.8±1.9</w:t>
            </w:r>
          </w:p>
        </w:tc>
        <w:tc>
          <w:tcPr>
            <w:tcW w:w="2054" w:type="dxa"/>
          </w:tcPr>
          <w:p w14:paraId="32E38714" w14:textId="77777777" w:rsidR="00061647" w:rsidRPr="00F14EAC" w:rsidRDefault="00061647" w:rsidP="0011645A">
            <w:pPr>
              <w:pStyle w:val="Default"/>
              <w:jc w:val="both"/>
              <w:rPr>
                <w:color w:val="auto"/>
              </w:rPr>
            </w:pPr>
            <w:r w:rsidRPr="00F14EAC">
              <w:rPr>
                <w:color w:val="auto"/>
              </w:rPr>
              <w:t>2.01 ± 0.02</w:t>
            </w:r>
          </w:p>
        </w:tc>
      </w:tr>
      <w:tr w:rsidR="00061647" w:rsidRPr="00F14EAC" w14:paraId="67D3DEE2" w14:textId="77777777" w:rsidTr="0011645A">
        <w:tc>
          <w:tcPr>
            <w:tcW w:w="4627" w:type="dxa"/>
          </w:tcPr>
          <w:p w14:paraId="6F36B58F" w14:textId="77777777" w:rsidR="00061647" w:rsidRPr="00F14EAC" w:rsidRDefault="00061647" w:rsidP="0011645A">
            <w:pPr>
              <w:pStyle w:val="Default"/>
              <w:jc w:val="both"/>
              <w:rPr>
                <w:color w:val="auto"/>
              </w:rPr>
            </w:pPr>
            <w:r w:rsidRPr="00F14EAC">
              <w:rPr>
                <w:color w:val="auto"/>
              </w:rPr>
              <w:t>Group E3(100 mg/kg Burantashi Extract)</w:t>
            </w:r>
          </w:p>
        </w:tc>
        <w:tc>
          <w:tcPr>
            <w:tcW w:w="1392" w:type="dxa"/>
          </w:tcPr>
          <w:p w14:paraId="20E02D95" w14:textId="77777777" w:rsidR="00061647" w:rsidRPr="00F14EAC" w:rsidRDefault="00061647" w:rsidP="0011645A">
            <w:pPr>
              <w:pStyle w:val="Default"/>
              <w:jc w:val="both"/>
              <w:rPr>
                <w:color w:val="auto"/>
              </w:rPr>
            </w:pPr>
            <w:r w:rsidRPr="00F14EAC">
              <w:rPr>
                <w:color w:val="auto"/>
              </w:rPr>
              <w:t>0.88 ± 0.03</w:t>
            </w:r>
          </w:p>
        </w:tc>
        <w:tc>
          <w:tcPr>
            <w:tcW w:w="1277" w:type="dxa"/>
          </w:tcPr>
          <w:p w14:paraId="53415FB4" w14:textId="77777777" w:rsidR="00061647" w:rsidRPr="00F14EAC" w:rsidRDefault="00061647" w:rsidP="0011645A">
            <w:pPr>
              <w:pStyle w:val="Default"/>
              <w:jc w:val="both"/>
              <w:rPr>
                <w:color w:val="auto"/>
              </w:rPr>
            </w:pPr>
            <w:r w:rsidRPr="00F14EAC">
              <w:rPr>
                <w:color w:val="auto"/>
              </w:rPr>
              <w:t>7.0±1.8</w:t>
            </w:r>
          </w:p>
        </w:tc>
        <w:tc>
          <w:tcPr>
            <w:tcW w:w="2054" w:type="dxa"/>
          </w:tcPr>
          <w:p w14:paraId="0E016D89" w14:textId="77777777" w:rsidR="00061647" w:rsidRPr="00F14EAC" w:rsidRDefault="00061647" w:rsidP="0011645A">
            <w:pPr>
              <w:pStyle w:val="Default"/>
              <w:jc w:val="both"/>
              <w:rPr>
                <w:color w:val="auto"/>
              </w:rPr>
            </w:pPr>
            <w:r w:rsidRPr="00F14EAC">
              <w:rPr>
                <w:color w:val="auto"/>
              </w:rPr>
              <w:t>2.02 ± 0.05</w:t>
            </w:r>
          </w:p>
        </w:tc>
      </w:tr>
      <w:tr w:rsidR="00061647" w:rsidRPr="00F14EAC" w14:paraId="76E693C8" w14:textId="77777777" w:rsidTr="0011645A">
        <w:tc>
          <w:tcPr>
            <w:tcW w:w="4627" w:type="dxa"/>
          </w:tcPr>
          <w:p w14:paraId="461A7432" w14:textId="77777777" w:rsidR="00061647" w:rsidRPr="00F14EAC" w:rsidRDefault="00061647" w:rsidP="0011645A">
            <w:pPr>
              <w:pStyle w:val="Default"/>
              <w:jc w:val="both"/>
              <w:rPr>
                <w:color w:val="auto"/>
              </w:rPr>
            </w:pPr>
            <w:r w:rsidRPr="00F14EAC">
              <w:rPr>
                <w:color w:val="auto"/>
              </w:rPr>
              <w:t>Group E4(5.0 mg/kg Sildenafil)</w:t>
            </w:r>
          </w:p>
        </w:tc>
        <w:tc>
          <w:tcPr>
            <w:tcW w:w="1392" w:type="dxa"/>
          </w:tcPr>
          <w:p w14:paraId="7FE871CF" w14:textId="77777777" w:rsidR="00061647" w:rsidRPr="00F14EAC" w:rsidRDefault="00061647" w:rsidP="0011645A">
            <w:pPr>
              <w:pStyle w:val="Default"/>
              <w:jc w:val="both"/>
              <w:rPr>
                <w:color w:val="auto"/>
              </w:rPr>
            </w:pPr>
            <w:r w:rsidRPr="00F14EAC">
              <w:rPr>
                <w:color w:val="auto"/>
              </w:rPr>
              <w:t>0.87± 0.13</w:t>
            </w:r>
          </w:p>
        </w:tc>
        <w:tc>
          <w:tcPr>
            <w:tcW w:w="1277" w:type="dxa"/>
          </w:tcPr>
          <w:p w14:paraId="136315A0" w14:textId="77777777" w:rsidR="00061647" w:rsidRPr="00F14EAC" w:rsidRDefault="00061647" w:rsidP="0011645A">
            <w:pPr>
              <w:pStyle w:val="Default"/>
              <w:jc w:val="both"/>
              <w:rPr>
                <w:color w:val="auto"/>
              </w:rPr>
            </w:pPr>
            <w:r w:rsidRPr="00F14EAC">
              <w:rPr>
                <w:color w:val="auto"/>
              </w:rPr>
              <w:t>6.5±1.8</w:t>
            </w:r>
          </w:p>
        </w:tc>
        <w:tc>
          <w:tcPr>
            <w:tcW w:w="2054" w:type="dxa"/>
          </w:tcPr>
          <w:p w14:paraId="5B4165AD" w14:textId="77777777" w:rsidR="00061647" w:rsidRPr="00F14EAC" w:rsidRDefault="00061647" w:rsidP="0011645A">
            <w:pPr>
              <w:pStyle w:val="Default"/>
              <w:jc w:val="both"/>
              <w:rPr>
                <w:color w:val="auto"/>
              </w:rPr>
            </w:pPr>
            <w:r w:rsidRPr="00F14EAC">
              <w:rPr>
                <w:color w:val="auto"/>
              </w:rPr>
              <w:t>1.90 ±0.02</w:t>
            </w:r>
          </w:p>
        </w:tc>
      </w:tr>
      <w:tr w:rsidR="00061647" w:rsidRPr="00F14EAC" w14:paraId="4B565522" w14:textId="77777777" w:rsidTr="0011645A">
        <w:tc>
          <w:tcPr>
            <w:tcW w:w="4627" w:type="dxa"/>
          </w:tcPr>
          <w:p w14:paraId="06C05C1E" w14:textId="77777777" w:rsidR="00061647" w:rsidRPr="00F14EAC" w:rsidRDefault="00061647" w:rsidP="0011645A">
            <w:pPr>
              <w:pStyle w:val="Default"/>
              <w:jc w:val="both"/>
              <w:rPr>
                <w:color w:val="auto"/>
              </w:rPr>
            </w:pPr>
            <w:r w:rsidRPr="00F14EAC">
              <w:rPr>
                <w:color w:val="auto"/>
              </w:rPr>
              <w:t>Group E5 (clonidine-induced and untreated)</w:t>
            </w:r>
          </w:p>
        </w:tc>
        <w:tc>
          <w:tcPr>
            <w:tcW w:w="1392" w:type="dxa"/>
          </w:tcPr>
          <w:p w14:paraId="1C9A9323" w14:textId="77777777" w:rsidR="00061647" w:rsidRPr="00F14EAC" w:rsidRDefault="00061647" w:rsidP="0011645A">
            <w:pPr>
              <w:pStyle w:val="Default"/>
              <w:jc w:val="both"/>
              <w:rPr>
                <w:color w:val="auto"/>
                <w:vertAlign w:val="superscript"/>
              </w:rPr>
            </w:pPr>
            <w:r w:rsidRPr="00F14EAC">
              <w:rPr>
                <w:color w:val="auto"/>
              </w:rPr>
              <w:t>0.62±0.10</w:t>
            </w:r>
            <w:r w:rsidRPr="00F14EAC">
              <w:rPr>
                <w:color w:val="auto"/>
                <w:vertAlign w:val="superscript"/>
              </w:rPr>
              <w:t>*</w:t>
            </w:r>
          </w:p>
        </w:tc>
        <w:tc>
          <w:tcPr>
            <w:tcW w:w="1277" w:type="dxa"/>
          </w:tcPr>
          <w:p w14:paraId="710B6DF1" w14:textId="77777777" w:rsidR="00061647" w:rsidRPr="00F14EAC" w:rsidRDefault="00061647" w:rsidP="0011645A">
            <w:pPr>
              <w:pStyle w:val="Default"/>
              <w:jc w:val="both"/>
              <w:rPr>
                <w:color w:val="auto"/>
                <w:vertAlign w:val="superscript"/>
              </w:rPr>
            </w:pPr>
            <w:r w:rsidRPr="00F14EAC">
              <w:rPr>
                <w:color w:val="auto"/>
              </w:rPr>
              <w:t>5.0±1.3</w:t>
            </w:r>
            <w:r w:rsidRPr="00F14EAC">
              <w:rPr>
                <w:color w:val="auto"/>
                <w:vertAlign w:val="superscript"/>
              </w:rPr>
              <w:t>*</w:t>
            </w:r>
          </w:p>
        </w:tc>
        <w:tc>
          <w:tcPr>
            <w:tcW w:w="2054" w:type="dxa"/>
          </w:tcPr>
          <w:p w14:paraId="5E85BAA6" w14:textId="77777777" w:rsidR="00061647" w:rsidRPr="00F14EAC" w:rsidRDefault="00061647" w:rsidP="0011645A">
            <w:pPr>
              <w:pStyle w:val="Default"/>
              <w:jc w:val="both"/>
              <w:rPr>
                <w:color w:val="auto"/>
                <w:vertAlign w:val="superscript"/>
              </w:rPr>
            </w:pPr>
            <w:r w:rsidRPr="00F14EAC">
              <w:rPr>
                <w:color w:val="auto"/>
              </w:rPr>
              <w:t>1.21±0.01</w:t>
            </w:r>
            <w:r w:rsidRPr="00F14EAC">
              <w:rPr>
                <w:color w:val="auto"/>
                <w:vertAlign w:val="superscript"/>
              </w:rPr>
              <w:t>*</w:t>
            </w:r>
          </w:p>
        </w:tc>
      </w:tr>
      <w:tr w:rsidR="00061647" w:rsidRPr="00F14EAC" w14:paraId="1240FC09" w14:textId="77777777" w:rsidTr="0011645A">
        <w:tc>
          <w:tcPr>
            <w:tcW w:w="4627" w:type="dxa"/>
          </w:tcPr>
          <w:p w14:paraId="4A0CE998" w14:textId="77777777" w:rsidR="00061647" w:rsidRPr="00F14EAC" w:rsidRDefault="00061647" w:rsidP="0011645A">
            <w:pPr>
              <w:pStyle w:val="Default"/>
              <w:jc w:val="both"/>
              <w:rPr>
                <w:color w:val="auto"/>
              </w:rPr>
            </w:pPr>
            <w:proofErr w:type="spellStart"/>
            <w:r w:rsidRPr="00F14EAC">
              <w:rPr>
                <w:color w:val="auto"/>
              </w:rPr>
              <w:t>GroupE</w:t>
            </w:r>
            <w:proofErr w:type="spellEnd"/>
            <w:r w:rsidRPr="00F14EAC">
              <w:rPr>
                <w:color w:val="auto"/>
              </w:rPr>
              <w:t xml:space="preserve"> 6(Uninduced - control)</w:t>
            </w:r>
          </w:p>
        </w:tc>
        <w:tc>
          <w:tcPr>
            <w:tcW w:w="1392" w:type="dxa"/>
          </w:tcPr>
          <w:p w14:paraId="6C6A49CD" w14:textId="77777777" w:rsidR="00061647" w:rsidRPr="00F14EAC" w:rsidRDefault="00061647" w:rsidP="0011645A">
            <w:pPr>
              <w:pStyle w:val="Default"/>
              <w:jc w:val="both"/>
              <w:rPr>
                <w:color w:val="auto"/>
              </w:rPr>
            </w:pPr>
            <w:r w:rsidRPr="00F14EAC">
              <w:rPr>
                <w:color w:val="auto"/>
              </w:rPr>
              <w:t>0.85±0.12</w:t>
            </w:r>
          </w:p>
        </w:tc>
        <w:tc>
          <w:tcPr>
            <w:tcW w:w="1277" w:type="dxa"/>
          </w:tcPr>
          <w:p w14:paraId="449E38A8" w14:textId="77777777" w:rsidR="00061647" w:rsidRPr="00F14EAC" w:rsidRDefault="00061647" w:rsidP="0011645A">
            <w:pPr>
              <w:pStyle w:val="Default"/>
              <w:jc w:val="both"/>
              <w:rPr>
                <w:color w:val="auto"/>
              </w:rPr>
            </w:pPr>
            <w:r w:rsidRPr="00F14EAC">
              <w:rPr>
                <w:color w:val="auto"/>
              </w:rPr>
              <w:t>7.6±1.2</w:t>
            </w:r>
          </w:p>
        </w:tc>
        <w:tc>
          <w:tcPr>
            <w:tcW w:w="2054" w:type="dxa"/>
          </w:tcPr>
          <w:p w14:paraId="04F05030" w14:textId="77777777" w:rsidR="00061647" w:rsidRPr="00F14EAC" w:rsidRDefault="00061647" w:rsidP="0011645A">
            <w:pPr>
              <w:pStyle w:val="Default"/>
              <w:jc w:val="both"/>
              <w:rPr>
                <w:color w:val="auto"/>
              </w:rPr>
            </w:pPr>
            <w:r w:rsidRPr="00F14EAC">
              <w:rPr>
                <w:color w:val="auto"/>
              </w:rPr>
              <w:t>2.1 ±0.02</w:t>
            </w:r>
          </w:p>
        </w:tc>
      </w:tr>
    </w:tbl>
    <w:p w14:paraId="62119A64" w14:textId="77777777" w:rsidR="00061647" w:rsidRPr="00F14EAC" w:rsidRDefault="00061647" w:rsidP="00061647">
      <w:pPr>
        <w:pStyle w:val="Default"/>
        <w:jc w:val="both"/>
        <w:rPr>
          <w:color w:val="auto"/>
        </w:rPr>
      </w:pPr>
      <w:r w:rsidRPr="00F14EAC">
        <w:rPr>
          <w:color w:val="auto"/>
        </w:rPr>
        <w:t>*Significantly different from the clonidine-induced but untreated (p&lt;0.05)</w:t>
      </w:r>
    </w:p>
    <w:p w14:paraId="585CE636" w14:textId="77777777" w:rsidR="00061647" w:rsidRPr="00F14EAC" w:rsidRDefault="00061647" w:rsidP="00061647">
      <w:pPr>
        <w:pStyle w:val="Default"/>
        <w:jc w:val="both"/>
        <w:rPr>
          <w:color w:val="auto"/>
        </w:rPr>
      </w:pPr>
    </w:p>
    <w:p w14:paraId="7EF8976E" w14:textId="77777777" w:rsidR="00061647" w:rsidRPr="00F14EAC" w:rsidRDefault="00061647" w:rsidP="00061647">
      <w:pPr>
        <w:pStyle w:val="Default"/>
        <w:jc w:val="both"/>
        <w:rPr>
          <w:color w:val="auto"/>
        </w:rPr>
      </w:pPr>
    </w:p>
    <w:p w14:paraId="21D653CB" w14:textId="77777777" w:rsidR="00061647" w:rsidRPr="00F14EAC" w:rsidRDefault="00061647" w:rsidP="00061647">
      <w:pPr>
        <w:pStyle w:val="Default"/>
        <w:jc w:val="both"/>
        <w:rPr>
          <w:color w:val="auto"/>
        </w:rPr>
      </w:pPr>
    </w:p>
    <w:p w14:paraId="36595DE6" w14:textId="77777777" w:rsidR="00061647" w:rsidRPr="00F14EAC" w:rsidRDefault="00061647" w:rsidP="00061647">
      <w:pPr>
        <w:pStyle w:val="Default"/>
        <w:jc w:val="both"/>
        <w:rPr>
          <w:color w:val="auto"/>
        </w:rPr>
      </w:pPr>
    </w:p>
    <w:p w14:paraId="1D742184" w14:textId="77777777" w:rsidR="00061647" w:rsidRPr="00F14EAC" w:rsidRDefault="00061647" w:rsidP="00061647">
      <w:pPr>
        <w:pStyle w:val="Default"/>
        <w:jc w:val="both"/>
        <w:rPr>
          <w:color w:val="auto"/>
        </w:rPr>
      </w:pPr>
      <w:r w:rsidRPr="00F14EAC">
        <w:rPr>
          <w:color w:val="auto"/>
        </w:rPr>
        <w:lastRenderedPageBreak/>
        <w:t>Table 4: Penile Nitric Oxide and Phosphodiesterase-5 activity in clonidine-induced Erectile Dysfunction in Wistar rats Administered with Extract of Burantashi</w:t>
      </w:r>
    </w:p>
    <w:p w14:paraId="0B367A15" w14:textId="77777777" w:rsidR="00061647" w:rsidRPr="00F14EAC" w:rsidRDefault="00061647" w:rsidP="00061647">
      <w:pPr>
        <w:pStyle w:val="Default"/>
        <w:jc w:val="both"/>
        <w:rPr>
          <w:color w:val="auto"/>
        </w:rPr>
      </w:pPr>
    </w:p>
    <w:tbl>
      <w:tblPr>
        <w:tblStyle w:val="TableGrid"/>
        <w:tblW w:w="0" w:type="auto"/>
        <w:tblLook w:val="04A0" w:firstRow="1" w:lastRow="0" w:firstColumn="1" w:lastColumn="0" w:noHBand="0" w:noVBand="1"/>
      </w:tblPr>
      <w:tblGrid>
        <w:gridCol w:w="4547"/>
        <w:gridCol w:w="2461"/>
        <w:gridCol w:w="2342"/>
      </w:tblGrid>
      <w:tr w:rsidR="00061647" w:rsidRPr="00F14EAC" w14:paraId="58D3649F" w14:textId="77777777" w:rsidTr="0011645A">
        <w:tc>
          <w:tcPr>
            <w:tcW w:w="4633" w:type="dxa"/>
          </w:tcPr>
          <w:p w14:paraId="43F622CA" w14:textId="77777777" w:rsidR="00061647" w:rsidRPr="00F14EAC" w:rsidRDefault="00061647" w:rsidP="0011645A">
            <w:pPr>
              <w:pStyle w:val="Default"/>
              <w:jc w:val="both"/>
              <w:rPr>
                <w:color w:val="auto"/>
              </w:rPr>
            </w:pPr>
            <w:r w:rsidRPr="00F14EAC">
              <w:rPr>
                <w:color w:val="auto"/>
              </w:rPr>
              <w:t>Groups</w:t>
            </w:r>
          </w:p>
        </w:tc>
        <w:tc>
          <w:tcPr>
            <w:tcW w:w="2367" w:type="dxa"/>
          </w:tcPr>
          <w:p w14:paraId="54A16AD6" w14:textId="77777777" w:rsidR="00061647" w:rsidRPr="00F14EAC" w:rsidRDefault="00061647" w:rsidP="0011645A">
            <w:pPr>
              <w:pStyle w:val="Default"/>
              <w:jc w:val="both"/>
              <w:rPr>
                <w:color w:val="auto"/>
              </w:rPr>
            </w:pPr>
            <w:r w:rsidRPr="00F14EAC">
              <w:rPr>
                <w:color w:val="auto"/>
              </w:rPr>
              <w:t>Total Nitric Oxide Concentration(µmol/L)</w:t>
            </w:r>
          </w:p>
        </w:tc>
        <w:tc>
          <w:tcPr>
            <w:tcW w:w="2350" w:type="dxa"/>
          </w:tcPr>
          <w:p w14:paraId="4F8C6A35" w14:textId="77777777" w:rsidR="00061647" w:rsidRPr="00F14EAC" w:rsidRDefault="00061647" w:rsidP="0011645A">
            <w:pPr>
              <w:pStyle w:val="Default"/>
              <w:jc w:val="both"/>
              <w:rPr>
                <w:color w:val="auto"/>
              </w:rPr>
            </w:pPr>
            <w:r w:rsidRPr="00F14EAC">
              <w:rPr>
                <w:color w:val="auto"/>
              </w:rPr>
              <w:t>Phosphodiesterase-5 Concentration (ng/mL)</w:t>
            </w:r>
          </w:p>
        </w:tc>
      </w:tr>
      <w:tr w:rsidR="00061647" w:rsidRPr="00F14EAC" w14:paraId="39231128" w14:textId="77777777" w:rsidTr="0011645A">
        <w:tc>
          <w:tcPr>
            <w:tcW w:w="4633" w:type="dxa"/>
          </w:tcPr>
          <w:p w14:paraId="40C7FAC8" w14:textId="77777777" w:rsidR="00061647" w:rsidRPr="00F14EAC" w:rsidRDefault="00061647" w:rsidP="0011645A">
            <w:pPr>
              <w:pStyle w:val="Default"/>
              <w:jc w:val="both"/>
              <w:rPr>
                <w:color w:val="auto"/>
              </w:rPr>
            </w:pPr>
            <w:r w:rsidRPr="00F14EAC">
              <w:rPr>
                <w:color w:val="auto"/>
              </w:rPr>
              <w:t>Group E1(Clonidine + 25 mg/kg Burantashi Extract)</w:t>
            </w:r>
          </w:p>
        </w:tc>
        <w:tc>
          <w:tcPr>
            <w:tcW w:w="2367" w:type="dxa"/>
          </w:tcPr>
          <w:p w14:paraId="52ECAE63" w14:textId="77777777" w:rsidR="00061647" w:rsidRPr="00F14EAC" w:rsidRDefault="00061647" w:rsidP="0011645A">
            <w:pPr>
              <w:pStyle w:val="Default"/>
              <w:jc w:val="both"/>
              <w:rPr>
                <w:color w:val="auto"/>
                <w:vertAlign w:val="superscript"/>
              </w:rPr>
            </w:pPr>
            <w:r w:rsidRPr="00F14EAC">
              <w:rPr>
                <w:color w:val="auto"/>
              </w:rPr>
              <w:t>2.38 ± 0.5</w:t>
            </w:r>
            <w:r w:rsidRPr="00F14EAC">
              <w:rPr>
                <w:color w:val="auto"/>
                <w:vertAlign w:val="superscript"/>
              </w:rPr>
              <w:t>*</w:t>
            </w:r>
          </w:p>
        </w:tc>
        <w:tc>
          <w:tcPr>
            <w:tcW w:w="2350" w:type="dxa"/>
          </w:tcPr>
          <w:p w14:paraId="5CEADCBC" w14:textId="77777777" w:rsidR="00061647" w:rsidRPr="00F14EAC" w:rsidRDefault="00061647" w:rsidP="0011645A">
            <w:pPr>
              <w:pStyle w:val="Default"/>
              <w:jc w:val="both"/>
              <w:rPr>
                <w:color w:val="auto"/>
              </w:rPr>
            </w:pPr>
            <w:r w:rsidRPr="00F14EAC">
              <w:rPr>
                <w:color w:val="auto"/>
              </w:rPr>
              <w:t>0.59 ± 0.02</w:t>
            </w:r>
          </w:p>
        </w:tc>
      </w:tr>
      <w:tr w:rsidR="00061647" w:rsidRPr="00F14EAC" w14:paraId="2B445D0A" w14:textId="77777777" w:rsidTr="0011645A">
        <w:tc>
          <w:tcPr>
            <w:tcW w:w="4633" w:type="dxa"/>
          </w:tcPr>
          <w:p w14:paraId="115604D9" w14:textId="77777777" w:rsidR="00061647" w:rsidRPr="00F14EAC" w:rsidRDefault="00061647" w:rsidP="0011645A">
            <w:pPr>
              <w:pStyle w:val="Default"/>
              <w:jc w:val="both"/>
              <w:rPr>
                <w:color w:val="auto"/>
              </w:rPr>
            </w:pPr>
            <w:r w:rsidRPr="00F14EAC">
              <w:rPr>
                <w:color w:val="auto"/>
              </w:rPr>
              <w:t>Group E2(Clonidine + 50 mg/kg Burantashi Extract)</w:t>
            </w:r>
          </w:p>
        </w:tc>
        <w:tc>
          <w:tcPr>
            <w:tcW w:w="2367" w:type="dxa"/>
          </w:tcPr>
          <w:p w14:paraId="2C04C017" w14:textId="77777777" w:rsidR="00061647" w:rsidRPr="00F14EAC" w:rsidRDefault="00061647" w:rsidP="0011645A">
            <w:pPr>
              <w:pStyle w:val="Default"/>
              <w:jc w:val="both"/>
              <w:rPr>
                <w:color w:val="auto"/>
                <w:vertAlign w:val="superscript"/>
              </w:rPr>
            </w:pPr>
            <w:r w:rsidRPr="00F14EAC">
              <w:rPr>
                <w:color w:val="auto"/>
              </w:rPr>
              <w:t>2.40 ± 0.2</w:t>
            </w:r>
            <w:r w:rsidRPr="00F14EAC">
              <w:rPr>
                <w:color w:val="auto"/>
                <w:vertAlign w:val="superscript"/>
              </w:rPr>
              <w:t>*</w:t>
            </w:r>
          </w:p>
        </w:tc>
        <w:tc>
          <w:tcPr>
            <w:tcW w:w="2350" w:type="dxa"/>
          </w:tcPr>
          <w:p w14:paraId="4D4A023B" w14:textId="77777777" w:rsidR="00061647" w:rsidRPr="00F14EAC" w:rsidRDefault="00061647" w:rsidP="0011645A">
            <w:pPr>
              <w:pStyle w:val="Default"/>
              <w:jc w:val="both"/>
              <w:rPr>
                <w:color w:val="auto"/>
                <w:vertAlign w:val="superscript"/>
              </w:rPr>
            </w:pPr>
            <w:r w:rsidRPr="00F14EAC">
              <w:rPr>
                <w:color w:val="auto"/>
              </w:rPr>
              <w:t>0.30 ± 0.01</w:t>
            </w:r>
            <w:r w:rsidRPr="00F14EAC">
              <w:rPr>
                <w:color w:val="auto"/>
                <w:vertAlign w:val="superscript"/>
              </w:rPr>
              <w:t>*</w:t>
            </w:r>
          </w:p>
        </w:tc>
      </w:tr>
      <w:tr w:rsidR="00061647" w:rsidRPr="00F14EAC" w14:paraId="2ABC149C" w14:textId="77777777" w:rsidTr="0011645A">
        <w:tc>
          <w:tcPr>
            <w:tcW w:w="4633" w:type="dxa"/>
          </w:tcPr>
          <w:p w14:paraId="78B206AC" w14:textId="77777777" w:rsidR="00061647" w:rsidRPr="00F14EAC" w:rsidRDefault="00061647" w:rsidP="0011645A">
            <w:pPr>
              <w:pStyle w:val="Default"/>
              <w:jc w:val="both"/>
              <w:rPr>
                <w:color w:val="auto"/>
              </w:rPr>
            </w:pPr>
            <w:r w:rsidRPr="00F14EAC">
              <w:rPr>
                <w:color w:val="auto"/>
              </w:rPr>
              <w:t>Group E3(Clonidine + 100 mg/kg Burantashi Extract)</w:t>
            </w:r>
          </w:p>
        </w:tc>
        <w:tc>
          <w:tcPr>
            <w:tcW w:w="2367" w:type="dxa"/>
          </w:tcPr>
          <w:p w14:paraId="60B6DD9B" w14:textId="77777777" w:rsidR="00061647" w:rsidRPr="00F14EAC" w:rsidRDefault="00061647" w:rsidP="0011645A">
            <w:pPr>
              <w:pStyle w:val="Default"/>
              <w:jc w:val="both"/>
              <w:rPr>
                <w:color w:val="auto"/>
                <w:vertAlign w:val="superscript"/>
              </w:rPr>
            </w:pPr>
            <w:r w:rsidRPr="00F14EAC">
              <w:rPr>
                <w:color w:val="auto"/>
              </w:rPr>
              <w:t>4.10 ± 0.4*</w:t>
            </w:r>
          </w:p>
        </w:tc>
        <w:tc>
          <w:tcPr>
            <w:tcW w:w="2350" w:type="dxa"/>
          </w:tcPr>
          <w:p w14:paraId="62607D84" w14:textId="77777777" w:rsidR="00061647" w:rsidRPr="00F14EAC" w:rsidRDefault="00061647" w:rsidP="0011645A">
            <w:pPr>
              <w:pStyle w:val="Default"/>
              <w:jc w:val="both"/>
              <w:rPr>
                <w:color w:val="auto"/>
                <w:vertAlign w:val="superscript"/>
              </w:rPr>
            </w:pPr>
            <w:r w:rsidRPr="00F14EAC">
              <w:rPr>
                <w:color w:val="auto"/>
              </w:rPr>
              <w:t>0.02 ±0.01</w:t>
            </w:r>
            <w:r w:rsidRPr="00F14EAC">
              <w:rPr>
                <w:color w:val="auto"/>
                <w:vertAlign w:val="superscript"/>
              </w:rPr>
              <w:t>*</w:t>
            </w:r>
          </w:p>
        </w:tc>
      </w:tr>
      <w:tr w:rsidR="00061647" w:rsidRPr="00F14EAC" w14:paraId="575F00C4" w14:textId="77777777" w:rsidTr="0011645A">
        <w:tc>
          <w:tcPr>
            <w:tcW w:w="4633" w:type="dxa"/>
          </w:tcPr>
          <w:p w14:paraId="0C6F6E7B" w14:textId="77777777" w:rsidR="00061647" w:rsidRPr="00F14EAC" w:rsidRDefault="00061647" w:rsidP="0011645A">
            <w:pPr>
              <w:pStyle w:val="Default"/>
              <w:jc w:val="both"/>
              <w:rPr>
                <w:color w:val="auto"/>
              </w:rPr>
            </w:pPr>
            <w:r w:rsidRPr="00F14EAC">
              <w:rPr>
                <w:color w:val="auto"/>
              </w:rPr>
              <w:t>Group E4(Clonidine +5.0 mg/kg Sildenafil)</w:t>
            </w:r>
          </w:p>
        </w:tc>
        <w:tc>
          <w:tcPr>
            <w:tcW w:w="2367" w:type="dxa"/>
          </w:tcPr>
          <w:p w14:paraId="29EE14F0" w14:textId="77777777" w:rsidR="00061647" w:rsidRPr="00F14EAC" w:rsidRDefault="00061647" w:rsidP="0011645A">
            <w:pPr>
              <w:pStyle w:val="Default"/>
              <w:jc w:val="both"/>
              <w:rPr>
                <w:color w:val="auto"/>
                <w:vertAlign w:val="superscript"/>
              </w:rPr>
            </w:pPr>
            <w:r w:rsidRPr="00F14EAC">
              <w:rPr>
                <w:color w:val="auto"/>
              </w:rPr>
              <w:t>2.40 ± 0.3</w:t>
            </w:r>
            <w:r w:rsidRPr="00F14EAC">
              <w:rPr>
                <w:color w:val="auto"/>
                <w:vertAlign w:val="superscript"/>
              </w:rPr>
              <w:t>*</w:t>
            </w:r>
          </w:p>
        </w:tc>
        <w:tc>
          <w:tcPr>
            <w:tcW w:w="2350" w:type="dxa"/>
          </w:tcPr>
          <w:p w14:paraId="2DA61421" w14:textId="77777777" w:rsidR="00061647" w:rsidRPr="00F14EAC" w:rsidRDefault="00061647" w:rsidP="0011645A">
            <w:pPr>
              <w:pStyle w:val="Default"/>
              <w:jc w:val="both"/>
              <w:rPr>
                <w:color w:val="auto"/>
              </w:rPr>
            </w:pPr>
            <w:r w:rsidRPr="00F14EAC">
              <w:rPr>
                <w:color w:val="auto"/>
              </w:rPr>
              <w:t>0.58 ± 0.02</w:t>
            </w:r>
          </w:p>
        </w:tc>
      </w:tr>
      <w:tr w:rsidR="00061647" w:rsidRPr="00F14EAC" w14:paraId="44856DAF" w14:textId="77777777" w:rsidTr="0011645A">
        <w:tc>
          <w:tcPr>
            <w:tcW w:w="4633" w:type="dxa"/>
          </w:tcPr>
          <w:p w14:paraId="72AD43AE" w14:textId="77777777" w:rsidR="00061647" w:rsidRPr="00F14EAC" w:rsidRDefault="00061647" w:rsidP="0011645A">
            <w:pPr>
              <w:pStyle w:val="Default"/>
              <w:jc w:val="both"/>
              <w:rPr>
                <w:color w:val="auto"/>
              </w:rPr>
            </w:pPr>
            <w:r w:rsidRPr="00F14EAC">
              <w:rPr>
                <w:color w:val="auto"/>
              </w:rPr>
              <w:t>Group E5 (clonidine-and untreated)</w:t>
            </w:r>
          </w:p>
        </w:tc>
        <w:tc>
          <w:tcPr>
            <w:tcW w:w="2367" w:type="dxa"/>
          </w:tcPr>
          <w:p w14:paraId="7C0A5A4D" w14:textId="77777777" w:rsidR="00061647" w:rsidRPr="00F14EAC" w:rsidRDefault="00061647" w:rsidP="0011645A">
            <w:pPr>
              <w:pStyle w:val="Default"/>
              <w:jc w:val="both"/>
              <w:rPr>
                <w:color w:val="auto"/>
                <w:vertAlign w:val="superscript"/>
              </w:rPr>
            </w:pPr>
            <w:r w:rsidRPr="00F14EAC">
              <w:rPr>
                <w:color w:val="auto"/>
              </w:rPr>
              <w:t>2.25 ± 0.2</w:t>
            </w:r>
            <w:r w:rsidRPr="00F14EAC">
              <w:rPr>
                <w:color w:val="auto"/>
                <w:vertAlign w:val="superscript"/>
              </w:rPr>
              <w:t>*</w:t>
            </w:r>
          </w:p>
        </w:tc>
        <w:tc>
          <w:tcPr>
            <w:tcW w:w="2350" w:type="dxa"/>
          </w:tcPr>
          <w:p w14:paraId="343731FC" w14:textId="77777777" w:rsidR="00061647" w:rsidRPr="00F14EAC" w:rsidRDefault="00061647" w:rsidP="0011645A">
            <w:pPr>
              <w:pStyle w:val="Default"/>
              <w:jc w:val="both"/>
              <w:rPr>
                <w:color w:val="auto"/>
                <w:vertAlign w:val="superscript"/>
              </w:rPr>
            </w:pPr>
            <w:r w:rsidRPr="00F14EAC">
              <w:rPr>
                <w:color w:val="auto"/>
              </w:rPr>
              <w:t>1.20 ± 0.03</w:t>
            </w:r>
            <w:r w:rsidRPr="00F14EAC">
              <w:rPr>
                <w:color w:val="auto"/>
                <w:vertAlign w:val="superscript"/>
              </w:rPr>
              <w:t>*</w:t>
            </w:r>
          </w:p>
        </w:tc>
      </w:tr>
      <w:tr w:rsidR="00061647" w:rsidRPr="00F14EAC" w14:paraId="289302C2" w14:textId="77777777" w:rsidTr="0011645A">
        <w:tc>
          <w:tcPr>
            <w:tcW w:w="4633" w:type="dxa"/>
          </w:tcPr>
          <w:p w14:paraId="4DCDA3F2" w14:textId="77777777" w:rsidR="00061647" w:rsidRPr="00F14EAC" w:rsidRDefault="00061647" w:rsidP="0011645A">
            <w:pPr>
              <w:pStyle w:val="Default"/>
              <w:jc w:val="both"/>
              <w:rPr>
                <w:color w:val="auto"/>
              </w:rPr>
            </w:pPr>
            <w:r w:rsidRPr="00F14EAC">
              <w:rPr>
                <w:color w:val="auto"/>
              </w:rPr>
              <w:t>Group E6(</w:t>
            </w:r>
            <w:proofErr w:type="gramStart"/>
            <w:r w:rsidRPr="00F14EAC">
              <w:rPr>
                <w:color w:val="auto"/>
              </w:rPr>
              <w:t>Uninduced  control</w:t>
            </w:r>
            <w:proofErr w:type="gramEnd"/>
            <w:r w:rsidRPr="00F14EAC">
              <w:rPr>
                <w:color w:val="auto"/>
              </w:rPr>
              <w:t>)</w:t>
            </w:r>
          </w:p>
        </w:tc>
        <w:tc>
          <w:tcPr>
            <w:tcW w:w="2367" w:type="dxa"/>
          </w:tcPr>
          <w:p w14:paraId="65175ECB" w14:textId="77777777" w:rsidR="00061647" w:rsidRPr="00F14EAC" w:rsidRDefault="00061647" w:rsidP="0011645A">
            <w:pPr>
              <w:pStyle w:val="Default"/>
              <w:jc w:val="both"/>
              <w:rPr>
                <w:color w:val="auto"/>
              </w:rPr>
            </w:pPr>
            <w:r w:rsidRPr="00F14EAC">
              <w:rPr>
                <w:color w:val="auto"/>
              </w:rPr>
              <w:t>3.82 ± 0.5</w:t>
            </w:r>
          </w:p>
        </w:tc>
        <w:tc>
          <w:tcPr>
            <w:tcW w:w="2350" w:type="dxa"/>
          </w:tcPr>
          <w:p w14:paraId="4C9C7074" w14:textId="77777777" w:rsidR="00061647" w:rsidRPr="00F14EAC" w:rsidRDefault="00061647" w:rsidP="0011645A">
            <w:pPr>
              <w:pStyle w:val="Default"/>
              <w:jc w:val="both"/>
              <w:rPr>
                <w:color w:val="auto"/>
              </w:rPr>
            </w:pPr>
            <w:r w:rsidRPr="00F14EAC">
              <w:rPr>
                <w:color w:val="auto"/>
              </w:rPr>
              <w:t>0.52 ± 0.01</w:t>
            </w:r>
          </w:p>
        </w:tc>
      </w:tr>
    </w:tbl>
    <w:p w14:paraId="2ADDA68B" w14:textId="77777777" w:rsidR="00061647" w:rsidRPr="00F14EAC" w:rsidRDefault="00061647" w:rsidP="00061647">
      <w:pPr>
        <w:pStyle w:val="Default"/>
        <w:jc w:val="both"/>
        <w:rPr>
          <w:color w:val="auto"/>
        </w:rPr>
      </w:pPr>
      <w:r w:rsidRPr="00F14EAC">
        <w:rPr>
          <w:color w:val="auto"/>
        </w:rPr>
        <w:t>*Significantly different from uninduced control group, and group E3 was notably higher than groups E4 and E5(p&lt;0.05)</w:t>
      </w:r>
    </w:p>
    <w:p w14:paraId="144AE2B6" w14:textId="77777777" w:rsidR="00061647" w:rsidRPr="00F14EAC" w:rsidRDefault="00061647" w:rsidP="00061647">
      <w:pPr>
        <w:pStyle w:val="Default"/>
        <w:jc w:val="both"/>
        <w:rPr>
          <w:color w:val="auto"/>
        </w:rPr>
      </w:pPr>
    </w:p>
    <w:p w14:paraId="17E82D25" w14:textId="77777777" w:rsidR="00061647" w:rsidRPr="00F14EAC" w:rsidRDefault="00061647" w:rsidP="00061647">
      <w:pPr>
        <w:pStyle w:val="Default"/>
        <w:jc w:val="both"/>
        <w:rPr>
          <w:b/>
          <w:bCs/>
          <w:color w:val="auto"/>
        </w:rPr>
      </w:pPr>
      <w:r w:rsidRPr="00F14EAC">
        <w:rPr>
          <w:b/>
          <w:bCs/>
          <w:color w:val="auto"/>
        </w:rPr>
        <w:t>4.0 Discussion</w:t>
      </w:r>
    </w:p>
    <w:p w14:paraId="4118B3CA" w14:textId="77777777" w:rsidR="00061647" w:rsidRPr="00F14EAC" w:rsidRDefault="00061647" w:rsidP="00061647">
      <w:pPr>
        <w:pStyle w:val="Default"/>
        <w:jc w:val="both"/>
        <w:rPr>
          <w:color w:val="auto"/>
        </w:rPr>
      </w:pPr>
      <w:r w:rsidRPr="00F14EAC">
        <w:rPr>
          <w:color w:val="auto"/>
        </w:rPr>
        <w:t xml:space="preserve">The current research examined the modulatory effects of </w:t>
      </w:r>
      <w:proofErr w:type="spellStart"/>
      <w:r w:rsidRPr="00F14EAC">
        <w:rPr>
          <w:i/>
          <w:iCs/>
          <w:color w:val="auto"/>
        </w:rPr>
        <w:t>Pausinystalia</w:t>
      </w:r>
      <w:proofErr w:type="spellEnd"/>
      <w:r w:rsidRPr="00F14EAC">
        <w:rPr>
          <w:i/>
          <w:iCs/>
          <w:color w:val="auto"/>
        </w:rPr>
        <w:t xml:space="preserve"> yohimbe</w:t>
      </w:r>
      <w:r w:rsidRPr="00F14EAC">
        <w:rPr>
          <w:color w:val="auto"/>
        </w:rPr>
        <w:t xml:space="preserve"> (</w:t>
      </w:r>
      <w:proofErr w:type="spellStart"/>
      <w:r w:rsidRPr="00F14EAC">
        <w:rPr>
          <w:color w:val="auto"/>
        </w:rPr>
        <w:t>Burantashi</w:t>
      </w:r>
      <w:proofErr w:type="spellEnd"/>
      <w:r w:rsidRPr="00F14EAC">
        <w:rPr>
          <w:color w:val="auto"/>
        </w:rPr>
        <w:t>) extract on the penile nitric oxide (NO)/phosphodiesterase-5 (PDE-5) pathway and hormonal profile in clonidine-induced erectile dysfunction (ED) in Wistar rats. The results present strong evidence for the therapeutic potential of Burantashi extract in alleviating ED, demonstrating efficacy comparable to the standard medication, sildenafil.</w:t>
      </w:r>
    </w:p>
    <w:p w14:paraId="6BB633EE" w14:textId="77777777" w:rsidR="00061647" w:rsidRPr="00F14EAC" w:rsidRDefault="00061647" w:rsidP="00061647">
      <w:pPr>
        <w:pStyle w:val="Default"/>
        <w:jc w:val="both"/>
        <w:rPr>
          <w:color w:val="auto"/>
        </w:rPr>
      </w:pPr>
    </w:p>
    <w:p w14:paraId="47F332B6" w14:textId="77777777" w:rsidR="00061647" w:rsidRPr="00F14EAC" w:rsidRDefault="00061647" w:rsidP="00061647">
      <w:pPr>
        <w:pStyle w:val="Default"/>
        <w:jc w:val="both"/>
        <w:rPr>
          <w:color w:val="auto"/>
        </w:rPr>
      </w:pPr>
      <w:r w:rsidRPr="00F14EAC">
        <w:rPr>
          <w:color w:val="auto"/>
        </w:rPr>
        <w:t>Clonidine-induced ED was marked by a significant decline in sexual performance metrics, evidenced by a 43.41% reduction in intromission frequency (IF) and a notable extension of intromission latency (IL) and post-ejaculatory interval (PEI) by 50% and 160.7%, respectively, when compared to control groups. Clonidine interferes with penile erection via two primary mechanistic pathways: central sympathoinhibition and disruption of pro-erectile pathways. It targets alpha-2 adrenergic receptors in the brain, especially within the nucleus of the solitary tract and other brainstem areas. When these receptors are activated, the firing of sympathetic nerves is diminished. This extensive reduction in sympathetic outflow, while beneficial for lowering blood pressure, directly hampers the neurological signals essential for sexual arousal and performance. It effectively obstructs the 'go' signal for erection originating from the central nervous system.</w:t>
      </w:r>
    </w:p>
    <w:p w14:paraId="57ED56B1" w14:textId="0930EA25" w:rsidR="00061647" w:rsidRPr="00F14EAC" w:rsidRDefault="00061647" w:rsidP="00061647">
      <w:pPr>
        <w:pStyle w:val="Default"/>
        <w:jc w:val="both"/>
        <w:rPr>
          <w:color w:val="auto"/>
        </w:rPr>
      </w:pPr>
      <w:r w:rsidRPr="00F14EAC">
        <w:rPr>
          <w:color w:val="auto"/>
        </w:rPr>
        <w:t xml:space="preserve"> Clonidine administration has been found to lower Nitric Oxide (NO) levels, which is a crucial molecule for smooth muscle relaxation and erection. Additionally, it raises Phosphodiesterase V (PDE5) activity, an enzyme that degrades cGMP, the second messenger that mediates NO's pro-erectile effects. By enhancing PDE5 activity, clonidine speeds up the breakdown of cGMP, thus inhibiting smooth muscle relaxation and encouraging detumescence (normal, resting state of the penis)</w:t>
      </w:r>
      <w:r w:rsidR="00BB6734" w:rsidRPr="00F14EAC">
        <w:rPr>
          <w:color w:val="auto"/>
        </w:rPr>
        <w:t xml:space="preserve"> (Anderson, 2011; Argiolas </w:t>
      </w:r>
      <w:r w:rsidR="00BB6734" w:rsidRPr="00F14EAC">
        <w:rPr>
          <w:i/>
          <w:iCs/>
          <w:color w:val="auto"/>
        </w:rPr>
        <w:t>et al</w:t>
      </w:r>
      <w:r w:rsidR="00BB6734" w:rsidRPr="00F14EAC">
        <w:rPr>
          <w:color w:val="auto"/>
        </w:rPr>
        <w:t>., 2023)</w:t>
      </w:r>
      <w:r w:rsidRPr="00F14EAC">
        <w:rPr>
          <w:color w:val="auto"/>
        </w:rPr>
        <w:t xml:space="preserve">. These observations </w:t>
      </w:r>
      <w:proofErr w:type="gramStart"/>
      <w:r w:rsidRPr="00F14EAC">
        <w:rPr>
          <w:color w:val="auto"/>
        </w:rPr>
        <w:t>are in agreement</w:t>
      </w:r>
      <w:proofErr w:type="gramEnd"/>
      <w:r w:rsidRPr="00F14EAC">
        <w:rPr>
          <w:color w:val="auto"/>
        </w:rPr>
        <w:t xml:space="preserve"> with earlier studies conducted by </w:t>
      </w:r>
      <w:proofErr w:type="spellStart"/>
      <w:r w:rsidRPr="00F14EAC">
        <w:rPr>
          <w:color w:val="auto"/>
        </w:rPr>
        <w:t>Ojatula</w:t>
      </w:r>
      <w:proofErr w:type="spellEnd"/>
      <w:r w:rsidRPr="00F14EAC">
        <w:rPr>
          <w:color w:val="auto"/>
        </w:rPr>
        <w:t xml:space="preserve"> </w:t>
      </w:r>
      <w:r w:rsidRPr="00F14EAC">
        <w:rPr>
          <w:i/>
          <w:iCs/>
          <w:color w:val="auto"/>
        </w:rPr>
        <w:t>et al</w:t>
      </w:r>
      <w:r w:rsidR="00BB6734" w:rsidRPr="00F14EAC">
        <w:rPr>
          <w:color w:val="auto"/>
        </w:rPr>
        <w:t xml:space="preserve"> (2020)</w:t>
      </w:r>
      <w:r w:rsidRPr="00F14EAC">
        <w:rPr>
          <w:color w:val="auto"/>
        </w:rPr>
        <w:t xml:space="preserve">, who explored the aphrodisiac properties of </w:t>
      </w:r>
      <w:proofErr w:type="spellStart"/>
      <w:r w:rsidRPr="00F14EAC">
        <w:rPr>
          <w:i/>
          <w:iCs/>
          <w:color w:val="auto"/>
        </w:rPr>
        <w:t>Pausinystalia</w:t>
      </w:r>
      <w:proofErr w:type="spellEnd"/>
      <w:r w:rsidRPr="00F14EAC">
        <w:rPr>
          <w:i/>
          <w:iCs/>
          <w:color w:val="auto"/>
        </w:rPr>
        <w:t xml:space="preserve"> yohimbe</w:t>
      </w:r>
      <w:r w:rsidRPr="00F14EAC">
        <w:rPr>
          <w:color w:val="auto"/>
        </w:rPr>
        <w:t xml:space="preserve"> (K. Schum.) </w:t>
      </w:r>
      <w:proofErr w:type="spellStart"/>
      <w:r w:rsidRPr="00F14EAC">
        <w:rPr>
          <w:color w:val="auto"/>
        </w:rPr>
        <w:t>pierre</w:t>
      </w:r>
      <w:proofErr w:type="spellEnd"/>
      <w:r w:rsidRPr="00F14EAC">
        <w:rPr>
          <w:color w:val="auto"/>
        </w:rPr>
        <w:t xml:space="preserve"> ex </w:t>
      </w:r>
      <w:proofErr w:type="spellStart"/>
      <w:r w:rsidRPr="00F14EAC">
        <w:rPr>
          <w:color w:val="auto"/>
        </w:rPr>
        <w:t>beille</w:t>
      </w:r>
      <w:proofErr w:type="spellEnd"/>
      <w:r w:rsidRPr="00F14EAC">
        <w:rPr>
          <w:color w:val="auto"/>
        </w:rPr>
        <w:t xml:space="preserve"> methanol root extract in male Wistar rats, and </w:t>
      </w:r>
      <w:proofErr w:type="spellStart"/>
      <w:r w:rsidRPr="00F14EAC">
        <w:rPr>
          <w:color w:val="auto"/>
        </w:rPr>
        <w:t>Omoniwa</w:t>
      </w:r>
      <w:proofErr w:type="spellEnd"/>
      <w:r w:rsidRPr="00F14EAC">
        <w:rPr>
          <w:color w:val="auto"/>
        </w:rPr>
        <w:t xml:space="preserve"> </w:t>
      </w:r>
      <w:r w:rsidRPr="00F14EAC">
        <w:rPr>
          <w:i/>
          <w:iCs/>
          <w:color w:val="auto"/>
        </w:rPr>
        <w:t>et al</w:t>
      </w:r>
      <w:r w:rsidR="00BB6734" w:rsidRPr="00F14EAC">
        <w:rPr>
          <w:color w:val="auto"/>
        </w:rPr>
        <w:t xml:space="preserve"> (2022)</w:t>
      </w:r>
      <w:r w:rsidRPr="00F14EAC">
        <w:rPr>
          <w:color w:val="auto"/>
        </w:rPr>
        <w:t xml:space="preserve"> who investigated the effects of Gardenia </w:t>
      </w:r>
      <w:proofErr w:type="spellStart"/>
      <w:r w:rsidRPr="00F14EAC">
        <w:rPr>
          <w:color w:val="auto"/>
        </w:rPr>
        <w:t>erubescens</w:t>
      </w:r>
      <w:proofErr w:type="spellEnd"/>
      <w:r w:rsidRPr="00F14EAC">
        <w:rPr>
          <w:color w:val="auto"/>
        </w:rPr>
        <w:t xml:space="preserve"> crude extract on male sexual functions in clonidine-induced sexual dysfunction in Wistar rats. The induction of ED by clonidine is also consistent with prior findings that indicate clonidine disrupts erectile function </w:t>
      </w:r>
      <w:r w:rsidRPr="00F14EAC">
        <w:rPr>
          <w:color w:val="auto"/>
        </w:rPr>
        <w:lastRenderedPageBreak/>
        <w:t>through both central and peripheral mechanisms</w:t>
      </w:r>
      <w:r w:rsidR="00BB6734" w:rsidRPr="00F14EAC">
        <w:rPr>
          <w:color w:val="auto"/>
        </w:rPr>
        <w:t xml:space="preserve"> (Giuliano and Rampin, 2004; Anderson, 2011)</w:t>
      </w:r>
      <w:r w:rsidRPr="00F14EAC">
        <w:rPr>
          <w:color w:val="auto"/>
        </w:rPr>
        <w:t>. These findings validate the effectiveness of clonidine in inducing ED, likely due to its central sympatholytic and peripheral vasoconstrictive effects, which hinder penile hemodynamics and sexual behavior.</w:t>
      </w:r>
    </w:p>
    <w:p w14:paraId="4723B7B1" w14:textId="719C2E7C" w:rsidR="00061647" w:rsidRPr="00F14EAC" w:rsidRDefault="00061647" w:rsidP="00061647">
      <w:pPr>
        <w:pStyle w:val="Default"/>
        <w:jc w:val="both"/>
        <w:rPr>
          <w:color w:val="auto"/>
        </w:rPr>
      </w:pPr>
      <w:r w:rsidRPr="00F14EAC">
        <w:rPr>
          <w:color w:val="auto"/>
        </w:rPr>
        <w:t>The phytochemical analysis of the Burantashi extract identified Yohimbine as the primary alkaloid at a concentration of 206.42 ppm, followed by</w:t>
      </w:r>
      <w:r w:rsidRPr="00F14EAC">
        <w:rPr>
          <w:i/>
          <w:iCs/>
          <w:color w:val="auto"/>
        </w:rPr>
        <w:t xml:space="preserve"> ajmaline, </w:t>
      </w:r>
      <w:proofErr w:type="spellStart"/>
      <w:r w:rsidRPr="00F14EAC">
        <w:rPr>
          <w:i/>
          <w:iCs/>
          <w:color w:val="auto"/>
        </w:rPr>
        <w:t>alloyohimbine</w:t>
      </w:r>
      <w:proofErr w:type="spellEnd"/>
      <w:r w:rsidRPr="00F14EAC">
        <w:rPr>
          <w:i/>
          <w:iCs/>
          <w:color w:val="auto"/>
        </w:rPr>
        <w:t xml:space="preserve">, </w:t>
      </w:r>
      <w:proofErr w:type="spellStart"/>
      <w:r w:rsidRPr="00F14EAC">
        <w:rPr>
          <w:i/>
          <w:iCs/>
          <w:color w:val="auto"/>
        </w:rPr>
        <w:t>rauwolscine</w:t>
      </w:r>
      <w:proofErr w:type="spellEnd"/>
      <w:r w:rsidRPr="00F14EAC">
        <w:rPr>
          <w:i/>
          <w:iCs/>
          <w:color w:val="auto"/>
        </w:rPr>
        <w:t>,</w:t>
      </w:r>
      <w:r w:rsidRPr="00F14EAC">
        <w:rPr>
          <w:color w:val="auto"/>
        </w:rPr>
        <w:t xml:space="preserve"> and beta </w:t>
      </w:r>
      <w:r w:rsidRPr="00F14EAC">
        <w:rPr>
          <w:i/>
          <w:iCs/>
          <w:color w:val="auto"/>
        </w:rPr>
        <w:t>yohimbine</w:t>
      </w:r>
      <w:r w:rsidRPr="00F14EAC">
        <w:rPr>
          <w:color w:val="auto"/>
        </w:rPr>
        <w:t xml:space="preserve">, with </w:t>
      </w:r>
      <w:r w:rsidRPr="00F14EAC">
        <w:rPr>
          <w:i/>
          <w:iCs/>
          <w:color w:val="auto"/>
        </w:rPr>
        <w:t>19-dehydroyohimbine</w:t>
      </w:r>
      <w:r w:rsidRPr="00F14EAC">
        <w:rPr>
          <w:color w:val="auto"/>
        </w:rPr>
        <w:t xml:space="preserve"> being the least prevalent. The presence of these bioactive alkaloids, particularly yohimbine, is significant due to their recognized roles in enhancing sexual function through adrenergic receptor antagonism and increased penile blood flow</w:t>
      </w:r>
      <w:r w:rsidR="00BB6734" w:rsidRPr="00F14EAC">
        <w:rPr>
          <w:color w:val="auto"/>
        </w:rPr>
        <w:t xml:space="preserve"> (Jabir </w:t>
      </w:r>
      <w:r w:rsidR="00BB6734" w:rsidRPr="00F14EAC">
        <w:rPr>
          <w:i/>
          <w:iCs/>
          <w:color w:val="auto"/>
        </w:rPr>
        <w:t>et al.</w:t>
      </w:r>
      <w:r w:rsidR="00BB6734" w:rsidRPr="00F14EAC">
        <w:rPr>
          <w:color w:val="auto"/>
        </w:rPr>
        <w:t>,2022</w:t>
      </w:r>
      <w:proofErr w:type="gramStart"/>
      <w:r w:rsidR="00BB6734" w:rsidRPr="00F14EAC">
        <w:rPr>
          <w:color w:val="auto"/>
        </w:rPr>
        <w:t>).</w:t>
      </w:r>
      <w:r w:rsidRPr="00F14EAC">
        <w:rPr>
          <w:color w:val="auto"/>
          <w:vertAlign w:val="superscript"/>
        </w:rPr>
        <w:t>.</w:t>
      </w:r>
      <w:proofErr w:type="gramEnd"/>
      <w:r w:rsidRPr="00F14EAC">
        <w:rPr>
          <w:color w:val="auto"/>
        </w:rPr>
        <w:t xml:space="preserve"> Yohimbine’s established function as an α2-adrenergic receptor antagonist promotes increased penile blood flow and enhances erectile function</w:t>
      </w:r>
      <w:r w:rsidR="00BB6734" w:rsidRPr="00F14EAC">
        <w:rPr>
          <w:color w:val="auto"/>
        </w:rPr>
        <w:t xml:space="preserve"> (Marales </w:t>
      </w:r>
      <w:r w:rsidR="00BB6734" w:rsidRPr="00F14EAC">
        <w:rPr>
          <w:i/>
          <w:iCs/>
          <w:color w:val="auto"/>
        </w:rPr>
        <w:t>et al.,</w:t>
      </w:r>
      <w:r w:rsidR="00BB6734" w:rsidRPr="00F14EAC">
        <w:rPr>
          <w:color w:val="auto"/>
        </w:rPr>
        <w:t xml:space="preserve"> 1987)</w:t>
      </w:r>
      <w:r w:rsidRPr="00F14EAC">
        <w:rPr>
          <w:color w:val="auto"/>
        </w:rPr>
        <w:t xml:space="preserve">. Additionally, the presence of other alkaloids such as </w:t>
      </w:r>
      <w:r w:rsidRPr="00F14EAC">
        <w:rPr>
          <w:i/>
          <w:iCs/>
          <w:color w:val="auto"/>
        </w:rPr>
        <w:t xml:space="preserve">ajmaline, </w:t>
      </w:r>
      <w:proofErr w:type="spellStart"/>
      <w:r w:rsidRPr="00F14EAC">
        <w:rPr>
          <w:i/>
          <w:iCs/>
          <w:color w:val="auto"/>
        </w:rPr>
        <w:t>alloyohimbine</w:t>
      </w:r>
      <w:proofErr w:type="spellEnd"/>
      <w:r w:rsidRPr="00F14EAC">
        <w:rPr>
          <w:i/>
          <w:iCs/>
          <w:color w:val="auto"/>
        </w:rPr>
        <w:t>,</w:t>
      </w:r>
      <w:r w:rsidRPr="00F14EAC">
        <w:rPr>
          <w:color w:val="auto"/>
        </w:rPr>
        <w:t xml:space="preserve"> and </w:t>
      </w:r>
      <w:proofErr w:type="spellStart"/>
      <w:r w:rsidRPr="00F14EAC">
        <w:rPr>
          <w:i/>
          <w:iCs/>
          <w:color w:val="auto"/>
        </w:rPr>
        <w:t>rauwolscine</w:t>
      </w:r>
      <w:proofErr w:type="spellEnd"/>
      <w:r w:rsidRPr="00F14EAC">
        <w:rPr>
          <w:color w:val="auto"/>
        </w:rPr>
        <w:t xml:space="preserve"> may further augment the pharmacological effects of the extract.</w:t>
      </w:r>
    </w:p>
    <w:p w14:paraId="404AD0A6" w14:textId="77777777" w:rsidR="00061647" w:rsidRPr="00F14EAC" w:rsidRDefault="00061647" w:rsidP="00061647">
      <w:pPr>
        <w:pStyle w:val="Default"/>
        <w:jc w:val="both"/>
        <w:rPr>
          <w:color w:val="auto"/>
        </w:rPr>
      </w:pPr>
    </w:p>
    <w:p w14:paraId="113357DC" w14:textId="7AF09D00" w:rsidR="00061647" w:rsidRPr="00F14EAC" w:rsidRDefault="00061647" w:rsidP="00061647">
      <w:pPr>
        <w:pStyle w:val="Default"/>
        <w:jc w:val="both"/>
        <w:rPr>
          <w:color w:val="auto"/>
        </w:rPr>
      </w:pPr>
      <w:r w:rsidRPr="00F14EAC">
        <w:rPr>
          <w:color w:val="auto"/>
        </w:rPr>
        <w:t xml:space="preserve">Selected assays for sex hormones indicated that clonidine-induced erectile dysfunction (ED) was linked to significant decreases in serum testosterone, LH, and FSH levels. This hormonal suppression could lead to diminished libido and erectile function. These results are consistent with those reported by </w:t>
      </w:r>
      <w:proofErr w:type="spellStart"/>
      <w:r w:rsidRPr="00F14EAC">
        <w:rPr>
          <w:color w:val="auto"/>
        </w:rPr>
        <w:t>Omoniwa</w:t>
      </w:r>
      <w:proofErr w:type="spellEnd"/>
      <w:r w:rsidRPr="00F14EAC">
        <w:rPr>
          <w:color w:val="auto"/>
        </w:rPr>
        <w:t xml:space="preserve"> </w:t>
      </w:r>
      <w:r w:rsidRPr="00F14EAC">
        <w:rPr>
          <w:i/>
          <w:iCs/>
          <w:color w:val="auto"/>
        </w:rPr>
        <w:t>et al</w:t>
      </w:r>
      <w:r w:rsidR="00BB6734" w:rsidRPr="00F14EAC">
        <w:rPr>
          <w:color w:val="auto"/>
        </w:rPr>
        <w:t xml:space="preserve"> (2022),</w:t>
      </w:r>
      <w:r w:rsidRPr="00F14EAC">
        <w:rPr>
          <w:color w:val="auto"/>
        </w:rPr>
        <w:t xml:space="preserve"> which noted that clonidine administration resulted in a significant reduction (p &lt; 0.05) in testicular testosterone, serum testosterone, serum dihydrotestosterone (DHT), serum luteinizing hormone (LH), and serum nitric oxide (NO) levels. The findings presented here sharply contrast with those of </w:t>
      </w:r>
      <w:proofErr w:type="spellStart"/>
      <w:r w:rsidRPr="00F14EAC">
        <w:rPr>
          <w:color w:val="auto"/>
        </w:rPr>
        <w:t>Omoniwa</w:t>
      </w:r>
      <w:proofErr w:type="spellEnd"/>
      <w:r w:rsidRPr="00F14EAC">
        <w:rPr>
          <w:color w:val="auto"/>
        </w:rPr>
        <w:t xml:space="preserve"> </w:t>
      </w:r>
      <w:r w:rsidRPr="00F14EAC">
        <w:rPr>
          <w:i/>
          <w:iCs/>
          <w:color w:val="auto"/>
        </w:rPr>
        <w:t>et al</w:t>
      </w:r>
      <w:r w:rsidR="00BB6734" w:rsidRPr="00F14EAC">
        <w:rPr>
          <w:color w:val="auto"/>
        </w:rPr>
        <w:t xml:space="preserve"> (2024),</w:t>
      </w:r>
      <w:r w:rsidRPr="00F14EAC">
        <w:rPr>
          <w:color w:val="auto"/>
        </w:rPr>
        <w:t xml:space="preserve"> where it was found that male rats treated with clonidine showed increased levels of serum and testicular testosterone, along with elevated serum DHT, despite experiencing sexual dysfunction. Furthermore, Lin </w:t>
      </w:r>
      <w:r w:rsidRPr="00F14EAC">
        <w:rPr>
          <w:i/>
          <w:iCs/>
          <w:color w:val="auto"/>
        </w:rPr>
        <w:t>et al</w:t>
      </w:r>
      <w:r w:rsidR="00BB6734" w:rsidRPr="00F14EAC">
        <w:rPr>
          <w:color w:val="auto"/>
        </w:rPr>
        <w:t xml:space="preserve"> (2015)</w:t>
      </w:r>
      <w:r w:rsidRPr="00F14EAC">
        <w:rPr>
          <w:color w:val="auto"/>
        </w:rPr>
        <w:t xml:space="preserve"> noted that clonidine induced sexual dysfunction in male rats, yet did not affect the levels of testosterone, FSH, and LH in spontaneously hypertensive male rats. They, however, proposed that their findings emphasize the necessity of </w:t>
      </w:r>
      <w:proofErr w:type="gramStart"/>
      <w:r w:rsidRPr="00F14EAC">
        <w:rPr>
          <w:color w:val="auto"/>
        </w:rPr>
        <w:t>taking into account</w:t>
      </w:r>
      <w:proofErr w:type="gramEnd"/>
      <w:r w:rsidRPr="00F14EAC">
        <w:rPr>
          <w:color w:val="auto"/>
        </w:rPr>
        <w:t xml:space="preserve"> factors beyond merely male sex hormones and underscore the vital requirement to sustain normal levels of these hormones to facilitate sexual responsiveness in males.</w:t>
      </w:r>
    </w:p>
    <w:p w14:paraId="79BE4772" w14:textId="77777777" w:rsidR="00061647" w:rsidRPr="00F14EAC" w:rsidRDefault="00061647" w:rsidP="00061647">
      <w:pPr>
        <w:pStyle w:val="Default"/>
        <w:jc w:val="both"/>
        <w:rPr>
          <w:color w:val="auto"/>
        </w:rPr>
      </w:pPr>
      <w:r w:rsidRPr="00F14EAC">
        <w:rPr>
          <w:color w:val="auto"/>
        </w:rPr>
        <w:t xml:space="preserve">Variations in sex hormone levels related to clonidine-induced erectile dysfunction (ED) in animals can be linked to multiple factors, such as the length of treatment, the particular animal model employed, and the mechanisms through which clonidine operates, whether directly or indirectly. </w:t>
      </w:r>
    </w:p>
    <w:p w14:paraId="13C7C6EB" w14:textId="64313039" w:rsidR="00061647" w:rsidRPr="00F14EAC" w:rsidRDefault="00061647" w:rsidP="00061647">
      <w:pPr>
        <w:pStyle w:val="Default"/>
        <w:jc w:val="both"/>
        <w:rPr>
          <w:color w:val="auto"/>
        </w:rPr>
      </w:pPr>
      <w:r w:rsidRPr="00F14EAC">
        <w:rPr>
          <w:color w:val="auto"/>
        </w:rPr>
        <w:t>While short-term exposure to clonidine might not significantly impact hormone levels, prolonged use could result in cumulative effects that disrupt the HPG axis, leading to a reduction in sex hormone levels. The specific dosage of clonidine administered could also play a role. Higher doses may exert more widespread effects, including on hormonal regulation. Additionally, there is inherent variability among animal models, and genetic or environmental influences may affect how an individual animal's hormonal system reacts to the medication</w:t>
      </w:r>
      <w:r w:rsidR="00BB6734" w:rsidRPr="00F14EAC">
        <w:rPr>
          <w:color w:val="auto"/>
        </w:rPr>
        <w:t xml:space="preserve"> (Kataoka </w:t>
      </w:r>
      <w:r w:rsidR="00BB6734" w:rsidRPr="00F14EAC">
        <w:rPr>
          <w:i/>
          <w:iCs/>
          <w:color w:val="auto"/>
        </w:rPr>
        <w:t>et al.,</w:t>
      </w:r>
      <w:r w:rsidR="00BB6734" w:rsidRPr="00F14EAC">
        <w:rPr>
          <w:color w:val="auto"/>
        </w:rPr>
        <w:t xml:space="preserve"> 2023).</w:t>
      </w:r>
    </w:p>
    <w:p w14:paraId="7226EB6D" w14:textId="078AE9E6" w:rsidR="00061647" w:rsidRPr="00F14EAC" w:rsidRDefault="00061647" w:rsidP="00061647">
      <w:pPr>
        <w:pStyle w:val="Default"/>
        <w:jc w:val="both"/>
        <w:rPr>
          <w:color w:val="auto"/>
        </w:rPr>
      </w:pPr>
      <w:r w:rsidRPr="00F14EAC">
        <w:rPr>
          <w:color w:val="auto"/>
        </w:rPr>
        <w:t>Treatment with Burantashi extract resulted in a dose-dependent restoration of testosterone, LH, and FSH levels, with the highest dose group achieving hormonal profiles comparable to those treated with sildenafil. This observation is consistent with earlier studies that documented the androgenic and gonadotropic effects of yohimbine and related alkaloids</w:t>
      </w:r>
      <w:r w:rsidR="00B72EC9" w:rsidRPr="00F14EAC">
        <w:rPr>
          <w:color w:val="auto"/>
        </w:rPr>
        <w:t xml:space="preserve"> (Chauhan </w:t>
      </w:r>
      <w:r w:rsidR="00B72EC9" w:rsidRPr="00F14EAC">
        <w:rPr>
          <w:i/>
          <w:iCs/>
          <w:color w:val="auto"/>
        </w:rPr>
        <w:t>et al.,</w:t>
      </w:r>
      <w:r w:rsidR="00B72EC9" w:rsidRPr="00F14EAC">
        <w:rPr>
          <w:color w:val="auto"/>
        </w:rPr>
        <w:t xml:space="preserve"> 2014; Nowacka </w:t>
      </w:r>
      <w:r w:rsidR="00B72EC9" w:rsidRPr="00F14EAC">
        <w:rPr>
          <w:i/>
          <w:iCs/>
          <w:color w:val="auto"/>
        </w:rPr>
        <w:t>et al.,</w:t>
      </w:r>
      <w:r w:rsidR="00B72EC9" w:rsidRPr="00F14EAC">
        <w:rPr>
          <w:color w:val="auto"/>
        </w:rPr>
        <w:t xml:space="preserve"> 2024)</w:t>
      </w:r>
      <w:r w:rsidRPr="00F14EAC">
        <w:rPr>
          <w:color w:val="auto"/>
        </w:rPr>
        <w:t>. The capacity of Burantashi extract to restore hormonal equilibrium may be the basis for its beneficial effects on sexual behavior and erectile function. It also indicates that Burantashi not only mitigates the adverse effects of clonidine on the hypothalamic-pituitary-gonadal axis but may also promote endogenous androgen production, thereby enhancing sexual function.</w:t>
      </w:r>
    </w:p>
    <w:p w14:paraId="5A22AE6E" w14:textId="77777777" w:rsidR="00061647" w:rsidRPr="00F14EAC" w:rsidRDefault="00061647" w:rsidP="00061647">
      <w:pPr>
        <w:pStyle w:val="Default"/>
        <w:jc w:val="both"/>
        <w:rPr>
          <w:color w:val="auto"/>
        </w:rPr>
      </w:pPr>
      <w:r w:rsidRPr="00F14EAC">
        <w:rPr>
          <w:color w:val="auto"/>
        </w:rPr>
        <w:lastRenderedPageBreak/>
        <w:t>Penile biochemical analysis further indicated that clonidine-induced erectile dysfunction (ED) resulted in a significant reduction in penile NO levels and an elevation in PDE-5 activity. Given that NO is a crucial mediator of penile erection through smooth muscle relaxation and vasodilation, its decrease directly hinders erectile capacity. Luteinizing hormone (LH) is synthesized in response to gonadotropin-releasing hormone and is subsequently released into the bloodstream. Once in circulation, LH attaches to specific receptors on Leydig cells in the testes, stimulating testosterone production. Consequently, the decline in LH levels induced by clonidine may be associated with the reduction in testosterone levels noted in this study.</w:t>
      </w:r>
    </w:p>
    <w:p w14:paraId="7F8A9949" w14:textId="2126DBFC" w:rsidR="00061647" w:rsidRPr="00F14EAC" w:rsidRDefault="00061647" w:rsidP="00061647">
      <w:pPr>
        <w:pStyle w:val="Default"/>
        <w:jc w:val="both"/>
        <w:rPr>
          <w:color w:val="auto"/>
        </w:rPr>
      </w:pPr>
      <w:r w:rsidRPr="00F14EAC">
        <w:rPr>
          <w:color w:val="auto"/>
        </w:rPr>
        <w:t xml:space="preserve">Moreover, nitric oxide (NO) is vital for facilitating penile erection. Clonidine may have caused a decrease in NO levels by inhibiting the activity of nitric oxide synthase, the enzyme responsible for NO synthesis. These results </w:t>
      </w:r>
      <w:proofErr w:type="gramStart"/>
      <w:r w:rsidRPr="00F14EAC">
        <w:rPr>
          <w:color w:val="auto"/>
        </w:rPr>
        <w:t>are in agreement</w:t>
      </w:r>
      <w:proofErr w:type="gramEnd"/>
      <w:r w:rsidRPr="00F14EAC">
        <w:rPr>
          <w:color w:val="auto"/>
        </w:rPr>
        <w:t xml:space="preserve"> with a prior study</w:t>
      </w:r>
      <w:r w:rsidR="00B72EC9" w:rsidRPr="00F14EAC">
        <w:rPr>
          <w:color w:val="auto"/>
        </w:rPr>
        <w:t xml:space="preserve"> (</w:t>
      </w:r>
      <w:proofErr w:type="spellStart"/>
      <w:r w:rsidR="00B72EC9" w:rsidRPr="00F14EAC">
        <w:rPr>
          <w:color w:val="auto"/>
        </w:rPr>
        <w:t>Omoniwa</w:t>
      </w:r>
      <w:proofErr w:type="spellEnd"/>
      <w:r w:rsidR="00B72EC9" w:rsidRPr="00F14EAC">
        <w:rPr>
          <w:color w:val="auto"/>
        </w:rPr>
        <w:t xml:space="preserve"> </w:t>
      </w:r>
      <w:r w:rsidR="00B72EC9" w:rsidRPr="00F14EAC">
        <w:rPr>
          <w:i/>
          <w:iCs/>
          <w:color w:val="auto"/>
        </w:rPr>
        <w:t>et al.,</w:t>
      </w:r>
      <w:r w:rsidR="00B72EC9" w:rsidRPr="00F14EAC">
        <w:rPr>
          <w:color w:val="auto"/>
        </w:rPr>
        <w:t xml:space="preserve"> 2022).</w:t>
      </w:r>
    </w:p>
    <w:p w14:paraId="032771DF" w14:textId="5B175024" w:rsidR="00061647" w:rsidRPr="00F14EAC" w:rsidRDefault="00061647" w:rsidP="00061647">
      <w:pPr>
        <w:pStyle w:val="Default"/>
        <w:jc w:val="both"/>
        <w:rPr>
          <w:color w:val="auto"/>
        </w:rPr>
      </w:pPr>
      <w:r w:rsidRPr="00F14EAC">
        <w:rPr>
          <w:color w:val="auto"/>
        </w:rPr>
        <w:t>Conversely, increased PDE-5 activity hastens the degradation of cyclic GMP, which further undermines erectile function</w:t>
      </w:r>
      <w:r w:rsidR="00803AC4">
        <w:rPr>
          <w:color w:val="auto"/>
        </w:rPr>
        <w:t xml:space="preserve"> (</w:t>
      </w:r>
      <w:proofErr w:type="spellStart"/>
      <w:proofErr w:type="gramStart"/>
      <w:r w:rsidR="00803AC4" w:rsidRPr="00803AC4">
        <w:rPr>
          <w:color w:val="EE0000"/>
        </w:rPr>
        <w:t>Leisegang</w:t>
      </w:r>
      <w:proofErr w:type="spellEnd"/>
      <w:r w:rsidR="00803AC4" w:rsidRPr="00803AC4">
        <w:rPr>
          <w:color w:val="EE0000"/>
        </w:rPr>
        <w:t xml:space="preserve">  </w:t>
      </w:r>
      <w:proofErr w:type="spellStart"/>
      <w:r w:rsidR="00803AC4" w:rsidRPr="00803AC4">
        <w:rPr>
          <w:color w:val="EE0000"/>
        </w:rPr>
        <w:t>Finelli</w:t>
      </w:r>
      <w:proofErr w:type="spellEnd"/>
      <w:proofErr w:type="gramEnd"/>
      <w:r w:rsidR="00803AC4" w:rsidRPr="00803AC4">
        <w:rPr>
          <w:color w:val="EE0000"/>
        </w:rPr>
        <w:t>, 2021)</w:t>
      </w:r>
      <w:r w:rsidRPr="00803AC4">
        <w:rPr>
          <w:color w:val="EE0000"/>
        </w:rPr>
        <w:t>.</w:t>
      </w:r>
    </w:p>
    <w:p w14:paraId="1B481E4D" w14:textId="77777777" w:rsidR="00061647" w:rsidRPr="00F14EAC" w:rsidRDefault="00061647" w:rsidP="00061647">
      <w:pPr>
        <w:pStyle w:val="Default"/>
        <w:jc w:val="both"/>
        <w:rPr>
          <w:color w:val="auto"/>
        </w:rPr>
      </w:pPr>
      <w:r w:rsidRPr="00F14EAC">
        <w:rPr>
          <w:color w:val="auto"/>
        </w:rPr>
        <w:t>Treatment with Burantashi extract significantly elevated penile NO levels and decreased PDE-5 activity in a dose-dependent manner.</w:t>
      </w:r>
    </w:p>
    <w:p w14:paraId="38BF42D9" w14:textId="77777777" w:rsidR="00061647" w:rsidRPr="00F14EAC" w:rsidRDefault="00061647" w:rsidP="00061647">
      <w:pPr>
        <w:pStyle w:val="Default"/>
        <w:jc w:val="both"/>
        <w:rPr>
          <w:color w:val="auto"/>
        </w:rPr>
      </w:pPr>
      <w:r w:rsidRPr="00F14EAC">
        <w:rPr>
          <w:color w:val="auto"/>
        </w:rPr>
        <w:t>Importantly, the group that received 100 mg/kg of Burantashi extract showed higher NO levels and lower PDE-5 activity compared to the sildenafil group, indicating a greater effectiveness in restoring the NO/cGMP pathway.</w:t>
      </w:r>
    </w:p>
    <w:p w14:paraId="1C744544" w14:textId="0CCDFE3A" w:rsidR="00061647" w:rsidRPr="00F14EAC" w:rsidRDefault="00061647" w:rsidP="00061647">
      <w:pPr>
        <w:pStyle w:val="Default"/>
        <w:jc w:val="both"/>
        <w:rPr>
          <w:color w:val="auto"/>
        </w:rPr>
      </w:pPr>
      <w:r w:rsidRPr="00F14EAC">
        <w:rPr>
          <w:color w:val="auto"/>
        </w:rPr>
        <w:t>These findings align with the recognized pathophysiology of erectile dysfunction (ED), where disrupted NO signaling and heightened PDE-5 activity interfere with the NO/cGMP pathway</w:t>
      </w:r>
      <w:r w:rsidR="00B72EC9" w:rsidRPr="00F14EAC">
        <w:rPr>
          <w:color w:val="auto"/>
        </w:rPr>
        <w:t xml:space="preserve"> (Burnett, 2006)</w:t>
      </w:r>
      <w:r w:rsidRPr="00F14EAC">
        <w:rPr>
          <w:color w:val="auto"/>
        </w:rPr>
        <w:t>. The enhanced effectiveness of Burantashi extract may be due to the synergistic effects of various phytoconstituents present in the extract, as indicated by other research on plant-based treatments for ED</w:t>
      </w:r>
      <w:r w:rsidR="00B72EC9" w:rsidRPr="00F14EAC">
        <w:rPr>
          <w:color w:val="auto"/>
        </w:rPr>
        <w:t xml:space="preserve"> (Yakubu </w:t>
      </w:r>
      <w:r w:rsidR="00B72EC9" w:rsidRPr="00F14EAC">
        <w:rPr>
          <w:i/>
          <w:iCs/>
          <w:color w:val="auto"/>
        </w:rPr>
        <w:t>et al.,</w:t>
      </w:r>
      <w:r w:rsidR="00B72EC9" w:rsidRPr="00F14EAC">
        <w:rPr>
          <w:color w:val="auto"/>
        </w:rPr>
        <w:t xml:space="preserve"> 2007; </w:t>
      </w:r>
      <w:proofErr w:type="spellStart"/>
      <w:r w:rsidR="00B72EC9" w:rsidRPr="00F14EAC">
        <w:rPr>
          <w:color w:val="auto"/>
        </w:rPr>
        <w:t>Shamloul</w:t>
      </w:r>
      <w:proofErr w:type="spellEnd"/>
      <w:r w:rsidR="00B72EC9" w:rsidRPr="00F14EAC">
        <w:rPr>
          <w:color w:val="auto"/>
        </w:rPr>
        <w:t xml:space="preserve"> and Ghanem, 2013</w:t>
      </w:r>
      <w:proofErr w:type="gramStart"/>
      <w:r w:rsidR="00B72EC9" w:rsidRPr="00F14EAC">
        <w:rPr>
          <w:color w:val="auto"/>
        </w:rPr>
        <w:t>).</w:t>
      </w:r>
      <w:r w:rsidRPr="00F14EAC">
        <w:rPr>
          <w:color w:val="auto"/>
          <w:vertAlign w:val="superscript"/>
        </w:rPr>
        <w:t>.</w:t>
      </w:r>
      <w:proofErr w:type="gramEnd"/>
    </w:p>
    <w:p w14:paraId="339211A7" w14:textId="39D745D1" w:rsidR="00061647" w:rsidRPr="00F14EAC" w:rsidRDefault="00061647" w:rsidP="00061647">
      <w:pPr>
        <w:pStyle w:val="Default"/>
        <w:jc w:val="both"/>
        <w:rPr>
          <w:color w:val="auto"/>
        </w:rPr>
      </w:pPr>
      <w:r w:rsidRPr="00F14EAC">
        <w:rPr>
          <w:color w:val="auto"/>
        </w:rPr>
        <w:t>The current body of research regarding the safety of Burantashi extract for treating ED in rats reveals a distinct trade-off: its efficacy is frequently linked to considerable safety concerns especially at doses greater than 1000 mg/kg. Although it may demonstrate potential in enhancing sexual performance, the risk of organ damage (notably liver toxicity), the possibility of sperm abnormalities, and the risk of serious behavioral and physiological side effects at elevated doses raises doubts about its application. The significant discrepancies in toxicity results across various studies underscore the absence of standardized extracts and dosages, complicating the establishment of a definitive safety profile</w:t>
      </w:r>
      <w:r w:rsidR="00B72EC9" w:rsidRPr="00F14EAC">
        <w:rPr>
          <w:color w:val="auto"/>
        </w:rPr>
        <w:t xml:space="preserve"> (</w:t>
      </w:r>
      <w:proofErr w:type="spellStart"/>
      <w:r w:rsidR="00B72EC9" w:rsidRPr="00F14EAC">
        <w:rPr>
          <w:color w:val="auto"/>
        </w:rPr>
        <w:t>Odigie</w:t>
      </w:r>
      <w:proofErr w:type="spellEnd"/>
      <w:r w:rsidR="00B72EC9" w:rsidRPr="00F14EAC">
        <w:rPr>
          <w:color w:val="auto"/>
        </w:rPr>
        <w:t xml:space="preserve"> and </w:t>
      </w:r>
      <w:proofErr w:type="spellStart"/>
      <w:r w:rsidR="00B72EC9" w:rsidRPr="00F14EAC">
        <w:rPr>
          <w:color w:val="auto"/>
        </w:rPr>
        <w:t>Osula</w:t>
      </w:r>
      <w:proofErr w:type="spellEnd"/>
      <w:r w:rsidR="00B72EC9" w:rsidRPr="00F14EAC">
        <w:rPr>
          <w:color w:val="auto"/>
        </w:rPr>
        <w:t xml:space="preserve">, 2014; </w:t>
      </w:r>
      <w:proofErr w:type="spellStart"/>
      <w:r w:rsidR="00B72EC9" w:rsidRPr="00F14EAC">
        <w:rPr>
          <w:color w:val="auto"/>
        </w:rPr>
        <w:t>Nwankudu</w:t>
      </w:r>
      <w:proofErr w:type="spellEnd"/>
      <w:r w:rsidR="00B72EC9" w:rsidRPr="00F14EAC">
        <w:rPr>
          <w:color w:val="auto"/>
        </w:rPr>
        <w:t xml:space="preserve"> </w:t>
      </w:r>
      <w:r w:rsidR="00B72EC9" w:rsidRPr="00F14EAC">
        <w:rPr>
          <w:i/>
          <w:iCs/>
          <w:color w:val="auto"/>
        </w:rPr>
        <w:t>et al.,</w:t>
      </w:r>
      <w:r w:rsidR="00B72EC9" w:rsidRPr="00F14EAC">
        <w:rPr>
          <w:color w:val="auto"/>
        </w:rPr>
        <w:t xml:space="preserve"> 2015).</w:t>
      </w:r>
    </w:p>
    <w:p w14:paraId="05BC063E" w14:textId="77777777" w:rsidR="00061647" w:rsidRPr="00F14EAC" w:rsidRDefault="00061647" w:rsidP="00061647">
      <w:pPr>
        <w:pStyle w:val="Default"/>
        <w:jc w:val="both"/>
        <w:rPr>
          <w:color w:val="auto"/>
        </w:rPr>
      </w:pPr>
      <w:r w:rsidRPr="00F14EAC">
        <w:rPr>
          <w:b/>
          <w:bCs/>
          <w:color w:val="auto"/>
        </w:rPr>
        <w:t>Limitations of the study</w:t>
      </w:r>
      <w:r w:rsidRPr="00F14EAC">
        <w:rPr>
          <w:color w:val="auto"/>
        </w:rPr>
        <w:t>: The constraints of this research encompass the absence of Long-Term Toxicity Data. While a study might indicate that a substance is safe in a short-term, high-dose scenario, it fails to disclose the risks of cumulative toxicity or chronic adverse effects that may only surface with extended exposure. A study confined to a few weeks or months could overlook the onset of organ damage (such as liver, kidney, or heart), metabolic disorders, or carcinogenic effects that may take a significant amount of time to become evident.</w:t>
      </w:r>
    </w:p>
    <w:p w14:paraId="19483272" w14:textId="4EE4548D" w:rsidR="00061647" w:rsidRPr="00F14EAC" w:rsidRDefault="00061647" w:rsidP="00061647">
      <w:pPr>
        <w:pStyle w:val="Default"/>
        <w:jc w:val="both"/>
        <w:rPr>
          <w:color w:val="auto"/>
        </w:rPr>
      </w:pPr>
      <w:r w:rsidRPr="00F14EAC">
        <w:rPr>
          <w:color w:val="auto"/>
        </w:rPr>
        <w:t>The absence of Histopathological analysis data represents a crucial oversight. Although a study may indicate that an animal seems healthy or that blood markers are within normal ranges, there could be cellular and tissue-level damage occurring. Without histopathology, it may be impossible to ascertain whether a specific dose is inducing sub-clinical or silent toxicity that could result in serious health issues in the future. Histopathology is regarded as the gold standard for verifying organ-specific toxicity and is vital for a comprehensive safety evaluation.</w:t>
      </w:r>
    </w:p>
    <w:p w14:paraId="01C4028E" w14:textId="77777777" w:rsidR="00061647" w:rsidRPr="00F14EAC" w:rsidRDefault="00061647" w:rsidP="00061647">
      <w:pPr>
        <w:pStyle w:val="Default"/>
        <w:jc w:val="both"/>
        <w:rPr>
          <w:color w:val="auto"/>
        </w:rPr>
      </w:pPr>
      <w:r w:rsidRPr="00F14EAC">
        <w:rPr>
          <w:color w:val="auto"/>
        </w:rPr>
        <w:t xml:space="preserve">The lack of molecular docking or receptor-binding studies creates a notable void in comprehending the mechanism of action and possible off-target effects of the Burantashi extract. These studies offer mechanistic insights at a molecular level. Molecular docking can forecast how the active </w:t>
      </w:r>
      <w:r w:rsidRPr="00F14EAC">
        <w:rPr>
          <w:color w:val="auto"/>
        </w:rPr>
        <w:lastRenderedPageBreak/>
        <w:t>compounds in the extract, such as yohimbine, interact with their intended targets, and assist in developing a pharmacological profile of the extract's constituents.</w:t>
      </w:r>
    </w:p>
    <w:p w14:paraId="57A2AB78" w14:textId="77777777" w:rsidR="00061647" w:rsidRPr="00F14EAC" w:rsidRDefault="00061647" w:rsidP="00061647">
      <w:pPr>
        <w:pStyle w:val="Default"/>
        <w:jc w:val="both"/>
        <w:rPr>
          <w:b/>
          <w:bCs/>
          <w:color w:val="auto"/>
        </w:rPr>
      </w:pPr>
      <w:r w:rsidRPr="00F14EAC">
        <w:rPr>
          <w:b/>
          <w:bCs/>
          <w:color w:val="auto"/>
        </w:rPr>
        <w:t>Conclusion</w:t>
      </w:r>
    </w:p>
    <w:p w14:paraId="1699090B" w14:textId="77777777" w:rsidR="00061647" w:rsidRPr="00F14EAC" w:rsidRDefault="00061647" w:rsidP="00061647">
      <w:pPr>
        <w:pStyle w:val="Default"/>
        <w:jc w:val="both"/>
        <w:rPr>
          <w:color w:val="auto"/>
        </w:rPr>
      </w:pPr>
      <w:r w:rsidRPr="00F14EAC">
        <w:rPr>
          <w:color w:val="auto"/>
        </w:rPr>
        <w:t>The findings indicate that Burantashi extract successfully reverses clonidine-induced ED in Wistar rats by improving sexual behavior, restoring hormonal equilibrium, increasing penile NO levels, and inhibiting PDE-5 activity. The dose-dependent effects and comparable or superior efficacy to sildenafil underscore its potential as a natural alternative for managing ED. The phytochemical richness of the extract, especially its high yohimbine content, likely supports these positive effects.</w:t>
      </w:r>
    </w:p>
    <w:p w14:paraId="07FCAB70" w14:textId="77777777" w:rsidR="00061647" w:rsidRPr="00F14EAC" w:rsidRDefault="00061647" w:rsidP="00061647">
      <w:pPr>
        <w:pStyle w:val="Default"/>
        <w:jc w:val="both"/>
        <w:rPr>
          <w:color w:val="auto"/>
        </w:rPr>
      </w:pPr>
      <w:r w:rsidRPr="00F14EAC">
        <w:rPr>
          <w:color w:val="auto"/>
        </w:rPr>
        <w:t xml:space="preserve">Further research is necessary to clarify the specific mechanisms and effectiveness of Burantashi extract in clinical applications. The need for clinical trials and potential toxicity monitoring is suggested. </w:t>
      </w:r>
    </w:p>
    <w:p w14:paraId="27A60053" w14:textId="77777777" w:rsidR="00061647" w:rsidRPr="00F14EAC" w:rsidRDefault="00061647" w:rsidP="00061647">
      <w:pPr>
        <w:pStyle w:val="Default"/>
        <w:jc w:val="both"/>
        <w:rPr>
          <w:b/>
          <w:bCs/>
          <w:color w:val="auto"/>
        </w:rPr>
      </w:pPr>
      <w:bookmarkStart w:id="4" w:name="_Hlk203589800"/>
      <w:r w:rsidRPr="00F14EAC">
        <w:rPr>
          <w:b/>
          <w:bCs/>
          <w:color w:val="auto"/>
        </w:rPr>
        <w:t>Ethics approval</w:t>
      </w:r>
    </w:p>
    <w:p w14:paraId="26673623" w14:textId="77777777" w:rsidR="00061647" w:rsidRPr="00F14EAC" w:rsidRDefault="00061647" w:rsidP="00061647">
      <w:pPr>
        <w:pStyle w:val="Default"/>
        <w:jc w:val="both"/>
        <w:rPr>
          <w:color w:val="auto"/>
        </w:rPr>
      </w:pPr>
      <w:r w:rsidRPr="00F14EAC">
        <w:rPr>
          <w:color w:val="auto"/>
        </w:rPr>
        <w:t xml:space="preserve">The animals use in this study was approved by the Animal Research Ethical Committee of Faculty of Pharmacy, University of Benin, Benin City via letter ref no: EC/FP/022/19. </w:t>
      </w:r>
    </w:p>
    <w:p w14:paraId="6094A937" w14:textId="77777777" w:rsidR="00061647" w:rsidRPr="00F14EAC" w:rsidRDefault="00061647" w:rsidP="00061647">
      <w:pPr>
        <w:pStyle w:val="Default"/>
        <w:jc w:val="both"/>
        <w:rPr>
          <w:b/>
          <w:bCs/>
          <w:color w:val="auto"/>
        </w:rPr>
      </w:pPr>
      <w:r w:rsidRPr="00F14EAC">
        <w:rPr>
          <w:b/>
          <w:bCs/>
          <w:color w:val="auto"/>
        </w:rPr>
        <w:t>Competing Interests</w:t>
      </w:r>
    </w:p>
    <w:p w14:paraId="422C8E47" w14:textId="77777777" w:rsidR="00061647" w:rsidRPr="00F14EAC" w:rsidRDefault="00061647" w:rsidP="00061647">
      <w:pPr>
        <w:pStyle w:val="Default"/>
        <w:jc w:val="both"/>
        <w:rPr>
          <w:color w:val="auto"/>
        </w:rPr>
      </w:pPr>
      <w:r w:rsidRPr="00F14EAC">
        <w:rPr>
          <w:color w:val="auto"/>
        </w:rPr>
        <w:t>The author declares no conflict of interest. The manuscript has not been submitted for publication in another journal.</w:t>
      </w:r>
    </w:p>
    <w:p w14:paraId="425B17D4" w14:textId="77777777" w:rsidR="00061647" w:rsidRPr="00F14EAC" w:rsidRDefault="00061647" w:rsidP="00061647">
      <w:pPr>
        <w:pStyle w:val="Default"/>
        <w:jc w:val="both"/>
        <w:rPr>
          <w:b/>
          <w:bCs/>
          <w:color w:val="auto"/>
        </w:rPr>
      </w:pPr>
      <w:r w:rsidRPr="00F14EAC">
        <w:rPr>
          <w:b/>
          <w:bCs/>
          <w:color w:val="auto"/>
        </w:rPr>
        <w:t>AI Tool Declaration</w:t>
      </w:r>
    </w:p>
    <w:p w14:paraId="3BADF848" w14:textId="77777777" w:rsidR="00061647" w:rsidRPr="00F14EAC" w:rsidRDefault="00061647" w:rsidP="00061647">
      <w:pPr>
        <w:pStyle w:val="Default"/>
        <w:jc w:val="both"/>
        <w:rPr>
          <w:color w:val="auto"/>
        </w:rPr>
      </w:pPr>
      <w:r w:rsidRPr="00F14EAC">
        <w:rPr>
          <w:color w:val="auto"/>
        </w:rPr>
        <w:t xml:space="preserve">The authors </w:t>
      </w:r>
      <w:proofErr w:type="gramStart"/>
      <w:r w:rsidRPr="00F14EAC">
        <w:rPr>
          <w:color w:val="auto"/>
        </w:rPr>
        <w:t>declares</w:t>
      </w:r>
      <w:proofErr w:type="gramEnd"/>
      <w:r w:rsidRPr="00F14EAC">
        <w:rPr>
          <w:color w:val="auto"/>
        </w:rPr>
        <w:t xml:space="preserve"> that no AI and related tools are used to write the scientific content of this manuscript, but was used to check the grammar.</w:t>
      </w:r>
    </w:p>
    <w:p w14:paraId="1C1ABAF3" w14:textId="77777777" w:rsidR="00061647" w:rsidRPr="00F14EAC" w:rsidRDefault="00061647" w:rsidP="00061647">
      <w:pPr>
        <w:pStyle w:val="Default"/>
        <w:jc w:val="both"/>
        <w:rPr>
          <w:b/>
          <w:bCs/>
          <w:color w:val="auto"/>
        </w:rPr>
      </w:pPr>
      <w:r w:rsidRPr="00F14EAC">
        <w:rPr>
          <w:b/>
          <w:bCs/>
          <w:color w:val="auto"/>
        </w:rPr>
        <w:t>Data availability</w:t>
      </w:r>
    </w:p>
    <w:p w14:paraId="4882B91E" w14:textId="0108381C" w:rsidR="00061647" w:rsidRDefault="00061647" w:rsidP="00061647">
      <w:pPr>
        <w:pStyle w:val="Default"/>
        <w:jc w:val="both"/>
        <w:rPr>
          <w:color w:val="auto"/>
        </w:rPr>
      </w:pPr>
      <w:r w:rsidRPr="00F14EAC">
        <w:rPr>
          <w:color w:val="auto"/>
        </w:rPr>
        <w:t>Data will be available on request</w:t>
      </w:r>
    </w:p>
    <w:p w14:paraId="1AC9C75D" w14:textId="77777777" w:rsidR="00C34764" w:rsidRPr="00C34764" w:rsidRDefault="00C34764" w:rsidP="00C34764">
      <w:pPr>
        <w:rPr>
          <w:b/>
          <w:highlight w:val="yellow"/>
        </w:rPr>
      </w:pPr>
      <w:bookmarkStart w:id="5" w:name="_Hlk213934265"/>
      <w:r w:rsidRPr="00C34764">
        <w:rPr>
          <w:b/>
          <w:highlight w:val="yellow"/>
        </w:rPr>
        <w:t>Disclaimer (Artificial intelligence)</w:t>
      </w:r>
      <w:bookmarkStart w:id="6" w:name="_GoBack"/>
      <w:bookmarkEnd w:id="6"/>
    </w:p>
    <w:p w14:paraId="49F201BE" w14:textId="77777777" w:rsidR="00C34764" w:rsidRPr="007A4135" w:rsidRDefault="00C34764" w:rsidP="00C34764">
      <w:pPr>
        <w:rPr>
          <w:highlight w:val="yellow"/>
        </w:rPr>
      </w:pPr>
      <w:r w:rsidRPr="007A4135">
        <w:rPr>
          <w:highlight w:val="yellow"/>
        </w:rPr>
        <w:t xml:space="preserve">Option 1: </w:t>
      </w:r>
    </w:p>
    <w:p w14:paraId="6439B063" w14:textId="77777777" w:rsidR="00C34764" w:rsidRPr="007A4135" w:rsidRDefault="00C34764" w:rsidP="00C34764">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1430A20E" w14:textId="77777777" w:rsidR="00C34764" w:rsidRPr="007A4135" w:rsidRDefault="00C34764" w:rsidP="00C34764">
      <w:pPr>
        <w:rPr>
          <w:highlight w:val="yellow"/>
        </w:rPr>
      </w:pPr>
      <w:r w:rsidRPr="007A4135">
        <w:rPr>
          <w:highlight w:val="yellow"/>
        </w:rPr>
        <w:t xml:space="preserve">Option 2: </w:t>
      </w:r>
    </w:p>
    <w:p w14:paraId="28C5AFA1" w14:textId="77777777" w:rsidR="00C34764" w:rsidRPr="007A4135" w:rsidRDefault="00C34764" w:rsidP="00C34764">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2EF8456" w14:textId="77777777" w:rsidR="00C34764" w:rsidRPr="007A4135" w:rsidRDefault="00C34764" w:rsidP="00C34764">
      <w:pPr>
        <w:rPr>
          <w:highlight w:val="yellow"/>
        </w:rPr>
      </w:pPr>
      <w:r w:rsidRPr="007A4135">
        <w:rPr>
          <w:highlight w:val="yellow"/>
        </w:rPr>
        <w:t>Details of the AI usage are given below:</w:t>
      </w:r>
    </w:p>
    <w:p w14:paraId="79B4B0B4" w14:textId="77777777" w:rsidR="00C34764" w:rsidRPr="007A4135" w:rsidRDefault="00C34764" w:rsidP="00C34764">
      <w:pPr>
        <w:rPr>
          <w:highlight w:val="yellow"/>
        </w:rPr>
      </w:pPr>
      <w:r w:rsidRPr="007A4135">
        <w:rPr>
          <w:highlight w:val="yellow"/>
        </w:rPr>
        <w:t>1.</w:t>
      </w:r>
    </w:p>
    <w:p w14:paraId="23EBE4F3" w14:textId="77777777" w:rsidR="00C34764" w:rsidRPr="007A4135" w:rsidRDefault="00C34764" w:rsidP="00C34764">
      <w:pPr>
        <w:rPr>
          <w:highlight w:val="yellow"/>
        </w:rPr>
      </w:pPr>
      <w:r w:rsidRPr="007A4135">
        <w:rPr>
          <w:highlight w:val="yellow"/>
        </w:rPr>
        <w:t>2.</w:t>
      </w:r>
    </w:p>
    <w:p w14:paraId="2BBB05FC" w14:textId="77777777" w:rsidR="00C34764" w:rsidRPr="00D047BB" w:rsidRDefault="00C34764" w:rsidP="00C34764">
      <w:r w:rsidRPr="007A4135">
        <w:rPr>
          <w:highlight w:val="yellow"/>
        </w:rPr>
        <w:t>3.</w:t>
      </w:r>
      <w:bookmarkEnd w:id="5"/>
    </w:p>
    <w:p w14:paraId="335D3974" w14:textId="77777777" w:rsidR="00C34764" w:rsidRPr="00F14EAC" w:rsidRDefault="00C34764" w:rsidP="00061647">
      <w:pPr>
        <w:pStyle w:val="Default"/>
        <w:jc w:val="both"/>
        <w:rPr>
          <w:color w:val="auto"/>
        </w:rPr>
      </w:pPr>
    </w:p>
    <w:bookmarkEnd w:id="4"/>
    <w:p w14:paraId="5A04A09E" w14:textId="77777777" w:rsidR="00061647" w:rsidRPr="00F14EAC" w:rsidRDefault="00061647" w:rsidP="00061647">
      <w:pPr>
        <w:pStyle w:val="Default"/>
        <w:rPr>
          <w:b/>
          <w:bCs/>
          <w:color w:val="auto"/>
        </w:rPr>
      </w:pPr>
      <w:r w:rsidRPr="00F14EAC">
        <w:rPr>
          <w:b/>
          <w:bCs/>
          <w:color w:val="auto"/>
        </w:rPr>
        <w:t xml:space="preserve">References  </w:t>
      </w:r>
    </w:p>
    <w:p w14:paraId="000E7833" w14:textId="77777777" w:rsidR="000B05ED" w:rsidRPr="00F14EAC" w:rsidRDefault="000B05ED" w:rsidP="000B05ED">
      <w:pPr>
        <w:pStyle w:val="Default"/>
        <w:ind w:left="540" w:hanging="630"/>
        <w:rPr>
          <w:color w:val="auto"/>
        </w:rPr>
      </w:pPr>
    </w:p>
    <w:p w14:paraId="15BC81A4" w14:textId="4D68AF1D" w:rsidR="000B05ED" w:rsidRPr="00F14EAC" w:rsidRDefault="000D014F" w:rsidP="00AA2DCF">
      <w:pPr>
        <w:pStyle w:val="Default"/>
        <w:numPr>
          <w:ilvl w:val="0"/>
          <w:numId w:val="4"/>
        </w:numPr>
        <w:rPr>
          <w:color w:val="auto"/>
        </w:rPr>
      </w:pPr>
      <w:r w:rsidRPr="00F14EAC">
        <w:rPr>
          <w:color w:val="auto"/>
        </w:rPr>
        <w:t xml:space="preserve">Amin, K. M. Y., Khan, M. N., Zillur-Rehman, S., &amp; Khan, N. A. (1996). Sexual function improving effect of Mucuna pruriens in sexually normal male rats. </w:t>
      </w:r>
      <w:proofErr w:type="spellStart"/>
      <w:r w:rsidRPr="00F14EAC">
        <w:rPr>
          <w:color w:val="auto"/>
        </w:rPr>
        <w:t>Fitoterapia</w:t>
      </w:r>
      <w:proofErr w:type="spellEnd"/>
      <w:r w:rsidRPr="00F14EAC">
        <w:rPr>
          <w:color w:val="auto"/>
        </w:rPr>
        <w:t xml:space="preserve">. </w:t>
      </w:r>
    </w:p>
    <w:p w14:paraId="7BC63044" w14:textId="0A264BD5" w:rsidR="000B05ED" w:rsidRPr="00F14EAC" w:rsidRDefault="000D014F" w:rsidP="00AA2DCF">
      <w:pPr>
        <w:pStyle w:val="Default"/>
        <w:numPr>
          <w:ilvl w:val="0"/>
          <w:numId w:val="4"/>
        </w:numPr>
        <w:rPr>
          <w:color w:val="auto"/>
        </w:rPr>
      </w:pPr>
      <w:r w:rsidRPr="00F14EAC">
        <w:rPr>
          <w:color w:val="auto"/>
        </w:rPr>
        <w:lastRenderedPageBreak/>
        <w:t xml:space="preserve">Andersson, K. E. (2011). Mechanisms of penile erection and basis for pharmacological treatment of erectile dysfunction. Pharmacological Reviews, 63(4), 811-859. </w:t>
      </w:r>
      <w:hyperlink r:id="rId7" w:history="1">
        <w:r w:rsidRPr="00F14EAC">
          <w:rPr>
            <w:rStyle w:val="Hyperlink"/>
          </w:rPr>
          <w:t>https://doi.org/10.1124/pr.111.004515</w:t>
        </w:r>
      </w:hyperlink>
      <w:r w:rsidRPr="00F14EAC">
        <w:rPr>
          <w:color w:val="auto"/>
        </w:rPr>
        <w:t xml:space="preserve"> </w:t>
      </w:r>
      <w:r w:rsidR="000B05ED" w:rsidRPr="00F14EAC">
        <w:rPr>
          <w:color w:val="auto"/>
        </w:rPr>
        <w:t xml:space="preserve"> </w:t>
      </w:r>
    </w:p>
    <w:p w14:paraId="7D3689AD" w14:textId="62FBC98A" w:rsidR="000B05ED" w:rsidRPr="00F14EAC" w:rsidRDefault="00D90F96" w:rsidP="00AA2DCF">
      <w:pPr>
        <w:pStyle w:val="Default"/>
        <w:numPr>
          <w:ilvl w:val="0"/>
          <w:numId w:val="4"/>
        </w:numPr>
      </w:pPr>
      <w:r w:rsidRPr="00F14EAC">
        <w:rPr>
          <w:color w:val="auto"/>
        </w:rPr>
        <w:t xml:space="preserve">Argiolas, A., Argiolas, F. M., Argiolas, G., &amp; Melis, M. R. (2023). Erectile Dysfunction: Treatments, Advances and New Therapeutic Strategies. Brain Sciences. </w:t>
      </w:r>
      <w:hyperlink r:id="rId8" w:history="1">
        <w:r w:rsidRPr="00F14EAC">
          <w:rPr>
            <w:rStyle w:val="Hyperlink"/>
          </w:rPr>
          <w:t>https://doi.org/10.3390/brainsci13050802</w:t>
        </w:r>
      </w:hyperlink>
      <w:r w:rsidRPr="00F14EAC">
        <w:rPr>
          <w:color w:val="auto"/>
        </w:rPr>
        <w:t xml:space="preserve"> </w:t>
      </w:r>
    </w:p>
    <w:p w14:paraId="304C9E1F" w14:textId="2F473437" w:rsidR="000B05ED" w:rsidRPr="00F14EAC" w:rsidRDefault="00E41D8A" w:rsidP="00AA2DCF">
      <w:pPr>
        <w:pStyle w:val="Default"/>
        <w:numPr>
          <w:ilvl w:val="0"/>
          <w:numId w:val="4"/>
        </w:numPr>
        <w:rPr>
          <w:color w:val="auto"/>
        </w:rPr>
      </w:pPr>
      <w:proofErr w:type="spellStart"/>
      <w:r w:rsidRPr="00F14EAC">
        <w:rPr>
          <w:color w:val="auto"/>
        </w:rPr>
        <w:t>Ausó</w:t>
      </w:r>
      <w:proofErr w:type="spellEnd"/>
      <w:r w:rsidRPr="00F14EAC">
        <w:rPr>
          <w:color w:val="auto"/>
        </w:rPr>
        <w:t xml:space="preserve">, E., Gómez-Vicente, V., &amp; Esquiva, G. (2021). Visual Side Effects Linked to Sildenafil Consumption: An Update. Biomedicines, 9(3), 291. </w:t>
      </w:r>
      <w:hyperlink r:id="rId9" w:history="1">
        <w:r w:rsidRPr="00F14EAC">
          <w:rPr>
            <w:rStyle w:val="Hyperlink"/>
          </w:rPr>
          <w:t>https://doi.org/10.3390/biomedicines9030291</w:t>
        </w:r>
      </w:hyperlink>
      <w:r w:rsidRPr="00F14EAC">
        <w:rPr>
          <w:color w:val="auto"/>
        </w:rPr>
        <w:t xml:space="preserve"> </w:t>
      </w:r>
    </w:p>
    <w:p w14:paraId="065AD0E0" w14:textId="574F2322" w:rsidR="000B05ED" w:rsidRPr="00F14EAC" w:rsidRDefault="002F6940" w:rsidP="00AA2DCF">
      <w:pPr>
        <w:pStyle w:val="Default"/>
        <w:numPr>
          <w:ilvl w:val="0"/>
          <w:numId w:val="4"/>
        </w:numPr>
      </w:pPr>
      <w:r w:rsidRPr="00F14EAC">
        <w:rPr>
          <w:color w:val="auto"/>
        </w:rPr>
        <w:t xml:space="preserve">Bolarinwa, I. F., Olaniyan, S. A., </w:t>
      </w:r>
      <w:proofErr w:type="spellStart"/>
      <w:r w:rsidRPr="00F14EAC">
        <w:rPr>
          <w:color w:val="auto"/>
        </w:rPr>
        <w:t>Ayandokun</w:t>
      </w:r>
      <w:proofErr w:type="spellEnd"/>
      <w:r w:rsidRPr="00F14EAC">
        <w:rPr>
          <w:color w:val="auto"/>
        </w:rPr>
        <w:t xml:space="preserve">, F. T., &amp; </w:t>
      </w:r>
      <w:proofErr w:type="spellStart"/>
      <w:r w:rsidRPr="00F14EAC">
        <w:rPr>
          <w:color w:val="auto"/>
        </w:rPr>
        <w:t>Olaifa</w:t>
      </w:r>
      <w:proofErr w:type="spellEnd"/>
      <w:r w:rsidRPr="00F14EAC">
        <w:rPr>
          <w:color w:val="auto"/>
        </w:rPr>
        <w:t xml:space="preserve">, I. A. (2016). Effect of processing on amygdalin and cyanide contents of some Nigerian foods. Journal of Chemical and Pharmaceutical Research, 8(2), 106-113. </w:t>
      </w:r>
      <w:hyperlink r:id="rId10" w:history="1">
        <w:r w:rsidRPr="00F14EAC">
          <w:rPr>
            <w:rStyle w:val="Hyperlink"/>
          </w:rPr>
          <w:t>https://www.jocpr.com/articles/effect-of-processing-on-amygdalin-and-cyanide-contents-of-some-nigerian-foods.pdf</w:t>
        </w:r>
      </w:hyperlink>
      <w:r w:rsidRPr="00F14EAC">
        <w:rPr>
          <w:color w:val="auto"/>
        </w:rPr>
        <w:t xml:space="preserve"> </w:t>
      </w:r>
      <w:r w:rsidR="000B05ED" w:rsidRPr="00F14EAC">
        <w:t xml:space="preserve"> </w:t>
      </w:r>
    </w:p>
    <w:p w14:paraId="650BCB08" w14:textId="1E314554" w:rsidR="000B05ED" w:rsidRPr="00F14EAC" w:rsidRDefault="003717C2" w:rsidP="00AA2DCF">
      <w:pPr>
        <w:pStyle w:val="Default"/>
        <w:numPr>
          <w:ilvl w:val="0"/>
          <w:numId w:val="4"/>
        </w:numPr>
        <w:rPr>
          <w:color w:val="auto"/>
        </w:rPr>
      </w:pPr>
      <w:r w:rsidRPr="00F14EAC">
        <w:rPr>
          <w:color w:val="auto"/>
        </w:rPr>
        <w:t xml:space="preserve">Burnett, A. L. (2006). The role of nitric oxide in erectile dysfunction: implications for medical therapy. *The Journal of Clinical Hypertension*, *8*(12 Suppl 4), 53-62. </w:t>
      </w:r>
      <w:hyperlink r:id="rId11" w:history="1">
        <w:r w:rsidRPr="00F14EAC">
          <w:rPr>
            <w:rStyle w:val="Hyperlink"/>
          </w:rPr>
          <w:t>https://doi.org/10.1111/j.1524-6175.2006.06026.x</w:t>
        </w:r>
      </w:hyperlink>
      <w:r w:rsidRPr="00F14EAC">
        <w:rPr>
          <w:color w:val="auto"/>
        </w:rPr>
        <w:t xml:space="preserve"> </w:t>
      </w:r>
    </w:p>
    <w:p w14:paraId="1078F1D0" w14:textId="76066B64" w:rsidR="000B05ED" w:rsidRPr="00F14EAC" w:rsidRDefault="00E1024C" w:rsidP="00AA2DCF">
      <w:pPr>
        <w:pStyle w:val="Default"/>
        <w:numPr>
          <w:ilvl w:val="0"/>
          <w:numId w:val="4"/>
        </w:numPr>
      </w:pPr>
      <w:proofErr w:type="spellStart"/>
      <w:r w:rsidRPr="00F14EAC">
        <w:rPr>
          <w:color w:val="auto"/>
        </w:rPr>
        <w:t>Chantakul</w:t>
      </w:r>
      <w:proofErr w:type="spellEnd"/>
      <w:r w:rsidRPr="00F14EAC">
        <w:rPr>
          <w:color w:val="auto"/>
        </w:rPr>
        <w:t xml:space="preserve">, R., Girard, C., </w:t>
      </w:r>
      <w:proofErr w:type="spellStart"/>
      <w:r w:rsidRPr="00F14EAC">
        <w:rPr>
          <w:color w:val="auto"/>
        </w:rPr>
        <w:t>Senejoux</w:t>
      </w:r>
      <w:proofErr w:type="spellEnd"/>
      <w:r w:rsidRPr="00F14EAC">
        <w:rPr>
          <w:color w:val="auto"/>
        </w:rPr>
        <w:t xml:space="preserve">, F., </w:t>
      </w:r>
      <w:proofErr w:type="spellStart"/>
      <w:r w:rsidRPr="00F14EAC">
        <w:rPr>
          <w:color w:val="auto"/>
        </w:rPr>
        <w:t>Ingkaninan</w:t>
      </w:r>
      <w:proofErr w:type="spellEnd"/>
      <w:r w:rsidRPr="00F14EAC">
        <w:rPr>
          <w:color w:val="auto"/>
        </w:rPr>
        <w:t xml:space="preserve">, K., </w:t>
      </w:r>
      <w:proofErr w:type="spellStart"/>
      <w:r w:rsidRPr="00F14EAC">
        <w:rPr>
          <w:color w:val="auto"/>
        </w:rPr>
        <w:t>Nuengchamnong</w:t>
      </w:r>
      <w:proofErr w:type="spellEnd"/>
      <w:r w:rsidRPr="00F14EAC">
        <w:rPr>
          <w:color w:val="auto"/>
        </w:rPr>
        <w:t xml:space="preserve">, N., &amp; </w:t>
      </w:r>
      <w:proofErr w:type="spellStart"/>
      <w:r w:rsidRPr="00F14EAC">
        <w:rPr>
          <w:color w:val="auto"/>
        </w:rPr>
        <w:t>Temkitthawon</w:t>
      </w:r>
      <w:proofErr w:type="spellEnd"/>
      <w:r w:rsidRPr="00F14EAC">
        <w:rPr>
          <w:color w:val="auto"/>
        </w:rPr>
        <w:t xml:space="preserve">, P. (2025). Discovery of Natural Phosphodiesterase 5 Inhibitors from </w:t>
      </w:r>
      <w:proofErr w:type="spellStart"/>
      <w:r w:rsidRPr="00F14EAC">
        <w:rPr>
          <w:color w:val="auto"/>
        </w:rPr>
        <w:t>Dalbergia</w:t>
      </w:r>
      <w:proofErr w:type="spellEnd"/>
      <w:r w:rsidRPr="00F14EAC">
        <w:rPr>
          <w:color w:val="auto"/>
        </w:rPr>
        <w:t xml:space="preserve"> </w:t>
      </w:r>
      <w:proofErr w:type="spellStart"/>
      <w:r w:rsidRPr="00F14EAC">
        <w:rPr>
          <w:color w:val="auto"/>
        </w:rPr>
        <w:t>cochinchinensis</w:t>
      </w:r>
      <w:proofErr w:type="spellEnd"/>
      <w:r w:rsidRPr="00F14EAC">
        <w:rPr>
          <w:color w:val="auto"/>
        </w:rPr>
        <w:t xml:space="preserve"> Pierre Leaves Using LC-QTOF-MS2. Plants, 14(11), 1652. </w:t>
      </w:r>
      <w:hyperlink r:id="rId12" w:history="1">
        <w:r w:rsidRPr="00F14EAC">
          <w:rPr>
            <w:rStyle w:val="Hyperlink"/>
          </w:rPr>
          <w:t>https://doi.org/10.3390/plants14111652</w:t>
        </w:r>
      </w:hyperlink>
      <w:r w:rsidRPr="00F14EAC">
        <w:rPr>
          <w:color w:val="auto"/>
        </w:rPr>
        <w:t xml:space="preserve"> </w:t>
      </w:r>
    </w:p>
    <w:p w14:paraId="0AE16E5D" w14:textId="490351E1" w:rsidR="000B05ED" w:rsidRPr="00F14EAC" w:rsidRDefault="009D2D15" w:rsidP="00AA2DCF">
      <w:pPr>
        <w:pStyle w:val="Default"/>
        <w:numPr>
          <w:ilvl w:val="0"/>
          <w:numId w:val="4"/>
        </w:numPr>
        <w:rPr>
          <w:color w:val="auto"/>
        </w:rPr>
      </w:pPr>
      <w:r w:rsidRPr="00F14EAC">
        <w:rPr>
          <w:color w:val="auto"/>
        </w:rPr>
        <w:t xml:space="preserve">Chauhan, N. S., Sharma, V., Dixit, V. K., &amp; Thakur, M. (2014). A review on plants used for improvement of sexual performance and virility. Biomed Research International, 2014, Article 868062. </w:t>
      </w:r>
      <w:hyperlink r:id="rId13" w:history="1">
        <w:r w:rsidRPr="00F14EAC">
          <w:rPr>
            <w:rStyle w:val="Hyperlink"/>
          </w:rPr>
          <w:t>https://doi.org/10.1155/2014/868062</w:t>
        </w:r>
      </w:hyperlink>
      <w:r w:rsidRPr="00F14EAC">
        <w:rPr>
          <w:color w:val="auto"/>
        </w:rPr>
        <w:t xml:space="preserve"> </w:t>
      </w:r>
    </w:p>
    <w:p w14:paraId="0553A94D" w14:textId="37D54E06" w:rsidR="000B05ED" w:rsidRPr="00F14EAC" w:rsidRDefault="003165E6" w:rsidP="00AA2DCF">
      <w:pPr>
        <w:pStyle w:val="Default"/>
        <w:numPr>
          <w:ilvl w:val="0"/>
          <w:numId w:val="4"/>
        </w:numPr>
      </w:pPr>
      <w:r w:rsidRPr="00F14EAC">
        <w:rPr>
          <w:color w:val="auto"/>
        </w:rPr>
        <w:t xml:space="preserve">Chinedu, E., </w:t>
      </w:r>
      <w:proofErr w:type="spellStart"/>
      <w:r w:rsidRPr="00F14EAC">
        <w:rPr>
          <w:color w:val="auto"/>
        </w:rPr>
        <w:t>Arome</w:t>
      </w:r>
      <w:proofErr w:type="spellEnd"/>
      <w:r w:rsidRPr="00F14EAC">
        <w:rPr>
          <w:color w:val="auto"/>
        </w:rPr>
        <w:t xml:space="preserve">, D., &amp; Ameh, F. S. (2013). A new method for determining acute toxicity in animal models. Toxicology International, 20(3), 224-226. </w:t>
      </w:r>
      <w:hyperlink r:id="rId14" w:history="1">
        <w:r w:rsidRPr="00F14EAC">
          <w:rPr>
            <w:rStyle w:val="Hyperlink"/>
          </w:rPr>
          <w:t>https://doi.org/10.4103/0971-6580.121674</w:t>
        </w:r>
      </w:hyperlink>
      <w:r w:rsidRPr="00F14EAC">
        <w:rPr>
          <w:color w:val="auto"/>
        </w:rPr>
        <w:t xml:space="preserve"> </w:t>
      </w:r>
    </w:p>
    <w:p w14:paraId="75929555" w14:textId="7BE23800" w:rsidR="000B05ED" w:rsidRPr="00F14EAC" w:rsidRDefault="00160754" w:rsidP="00AA2DCF">
      <w:pPr>
        <w:pStyle w:val="Default"/>
        <w:numPr>
          <w:ilvl w:val="0"/>
          <w:numId w:val="4"/>
        </w:numPr>
        <w:rPr>
          <w:color w:val="auto"/>
        </w:rPr>
      </w:pPr>
      <w:r w:rsidRPr="00F14EAC">
        <w:rPr>
          <w:color w:val="auto"/>
        </w:rPr>
        <w:t xml:space="preserve">Clark, J. T., &amp; Smith, E. R. (1990). Clonidine suppresses copulatory behavior and erectile reflexes in male rats: Lack of effect of naloxone pretreatment. Neuroendocrinology, 51(3), 357–364. </w:t>
      </w:r>
      <w:hyperlink r:id="rId15" w:history="1">
        <w:r w:rsidRPr="00F14EAC">
          <w:rPr>
            <w:rStyle w:val="Hyperlink"/>
          </w:rPr>
          <w:t>https://doi.org/10.1159/000125361</w:t>
        </w:r>
      </w:hyperlink>
      <w:r w:rsidRPr="00F14EAC">
        <w:rPr>
          <w:color w:val="auto"/>
        </w:rPr>
        <w:t xml:space="preserve"> </w:t>
      </w:r>
    </w:p>
    <w:p w14:paraId="1377DE16" w14:textId="50E612CF" w:rsidR="000B05ED" w:rsidRPr="00F14EAC" w:rsidRDefault="001C332B" w:rsidP="00AA2DCF">
      <w:pPr>
        <w:pStyle w:val="Default"/>
        <w:numPr>
          <w:ilvl w:val="0"/>
          <w:numId w:val="4"/>
        </w:numPr>
        <w:rPr>
          <w:color w:val="auto"/>
        </w:rPr>
      </w:pPr>
      <w:proofErr w:type="spellStart"/>
      <w:r w:rsidRPr="00F14EAC">
        <w:rPr>
          <w:color w:val="auto"/>
        </w:rPr>
        <w:t>Cvejic</w:t>
      </w:r>
      <w:proofErr w:type="spellEnd"/>
      <w:r w:rsidRPr="00F14EAC">
        <w:rPr>
          <w:color w:val="auto"/>
        </w:rPr>
        <w:t xml:space="preserve">, J., </w:t>
      </w:r>
      <w:proofErr w:type="spellStart"/>
      <w:r w:rsidRPr="00F14EAC">
        <w:rPr>
          <w:color w:val="auto"/>
        </w:rPr>
        <w:t>Köpke</w:t>
      </w:r>
      <w:proofErr w:type="spellEnd"/>
      <w:r w:rsidRPr="00F14EAC">
        <w:rPr>
          <w:color w:val="auto"/>
        </w:rPr>
        <w:t xml:space="preserve">, M. A., Barnett, K. C., &amp; Harvey, R. J. (2009). Unilateral and bilateral congenital sensorineural deafness in client-owned pure-breed white cats. J Vet Intern Med, 23(2), 392-395. </w:t>
      </w:r>
      <w:hyperlink r:id="rId16" w:history="1">
        <w:r w:rsidRPr="00F14EAC">
          <w:rPr>
            <w:rStyle w:val="Hyperlink"/>
          </w:rPr>
          <w:t>https://doi.org/10.1111/j.1939-1676.2008.0262.x</w:t>
        </w:r>
      </w:hyperlink>
      <w:r w:rsidRPr="00F14EAC">
        <w:rPr>
          <w:color w:val="auto"/>
        </w:rPr>
        <w:t xml:space="preserve"> </w:t>
      </w:r>
      <w:r w:rsidR="000B05ED" w:rsidRPr="00F14EAC">
        <w:rPr>
          <w:color w:val="auto"/>
        </w:rPr>
        <w:t xml:space="preserve">.  </w:t>
      </w:r>
    </w:p>
    <w:p w14:paraId="788F9D5F" w14:textId="77777777" w:rsidR="000B05ED" w:rsidRPr="00F14EAC" w:rsidRDefault="000B05ED" w:rsidP="00AA2DCF">
      <w:pPr>
        <w:pStyle w:val="Default"/>
        <w:numPr>
          <w:ilvl w:val="0"/>
          <w:numId w:val="4"/>
        </w:numPr>
        <w:rPr>
          <w:color w:val="auto"/>
        </w:rPr>
      </w:pPr>
      <w:r w:rsidRPr="00F14EAC">
        <w:rPr>
          <w:color w:val="auto"/>
        </w:rPr>
        <w:t xml:space="preserve">Giuliano F and </w:t>
      </w:r>
      <w:proofErr w:type="spellStart"/>
      <w:r w:rsidRPr="00F14EAC">
        <w:rPr>
          <w:color w:val="auto"/>
        </w:rPr>
        <w:t>Rampin</w:t>
      </w:r>
      <w:proofErr w:type="spellEnd"/>
      <w:r w:rsidRPr="00F14EAC">
        <w:rPr>
          <w:color w:val="auto"/>
        </w:rPr>
        <w:t xml:space="preserve"> O. Central neural regulation of penile </w:t>
      </w:r>
      <w:proofErr w:type="spellStart"/>
      <w:proofErr w:type="gramStart"/>
      <w:r w:rsidRPr="00F14EAC">
        <w:rPr>
          <w:color w:val="auto"/>
        </w:rPr>
        <w:t>erection._</w:t>
      </w:r>
      <w:proofErr w:type="gramEnd"/>
      <w:r w:rsidRPr="00F14EAC">
        <w:rPr>
          <w:color w:val="auto"/>
        </w:rPr>
        <w:t>World</w:t>
      </w:r>
      <w:proofErr w:type="spellEnd"/>
      <w:r w:rsidRPr="00F14EAC">
        <w:rPr>
          <w:color w:val="auto"/>
        </w:rPr>
        <w:t xml:space="preserve"> J </w:t>
      </w:r>
      <w:proofErr w:type="spellStart"/>
      <w:r w:rsidRPr="00F14EAC">
        <w:rPr>
          <w:color w:val="auto"/>
        </w:rPr>
        <w:t>Urol</w:t>
      </w:r>
      <w:proofErr w:type="spellEnd"/>
      <w:r w:rsidRPr="00F14EAC">
        <w:rPr>
          <w:color w:val="auto"/>
        </w:rPr>
        <w:t xml:space="preserve">, 2004; 22(5), 294-302. </w:t>
      </w:r>
    </w:p>
    <w:p w14:paraId="38954C3C" w14:textId="0E1CFFD3" w:rsidR="000B05ED" w:rsidRPr="00F14EAC" w:rsidRDefault="001C332B" w:rsidP="00AA2DCF">
      <w:pPr>
        <w:pStyle w:val="Default"/>
        <w:numPr>
          <w:ilvl w:val="0"/>
          <w:numId w:val="4"/>
        </w:numPr>
        <w:rPr>
          <w:color w:val="auto"/>
        </w:rPr>
      </w:pPr>
      <w:r w:rsidRPr="00F14EAC">
        <w:rPr>
          <w:color w:val="auto"/>
        </w:rPr>
        <w:t xml:space="preserve">Gur, S., </w:t>
      </w:r>
      <w:proofErr w:type="spellStart"/>
      <w:r w:rsidRPr="00F14EAC">
        <w:rPr>
          <w:color w:val="auto"/>
        </w:rPr>
        <w:t>Alzweri</w:t>
      </w:r>
      <w:proofErr w:type="spellEnd"/>
      <w:r w:rsidRPr="00F14EAC">
        <w:rPr>
          <w:color w:val="auto"/>
        </w:rPr>
        <w:t>, L., Yilmaz-Oral, D., Kaya-</w:t>
      </w:r>
      <w:proofErr w:type="spellStart"/>
      <w:r w:rsidRPr="00F14EAC">
        <w:rPr>
          <w:color w:val="auto"/>
        </w:rPr>
        <w:t>Sezginer</w:t>
      </w:r>
      <w:proofErr w:type="spellEnd"/>
      <w:r w:rsidRPr="00F14EAC">
        <w:rPr>
          <w:color w:val="auto"/>
        </w:rPr>
        <w:t xml:space="preserve">, E., Abdel-Mageed, A. B., Dick, B., Sikka, S. C., Oztekin, C. V., &amp; Hellstrom, W. J. G. (2020). Testosterone positively regulates functional responses and nitric oxide expression in the isolated human corpus cavernosum. Andrology, 8(6), 1824-1833. </w:t>
      </w:r>
      <w:hyperlink r:id="rId17" w:history="1">
        <w:r w:rsidRPr="00F14EAC">
          <w:rPr>
            <w:rStyle w:val="Hyperlink"/>
          </w:rPr>
          <w:t>https://doi.org/10.1111/andr.12866</w:t>
        </w:r>
      </w:hyperlink>
      <w:r w:rsidRPr="00F14EAC">
        <w:rPr>
          <w:color w:val="auto"/>
        </w:rPr>
        <w:t xml:space="preserve"> </w:t>
      </w:r>
    </w:p>
    <w:p w14:paraId="529A640D" w14:textId="123B2393" w:rsidR="000B05ED" w:rsidRPr="00F14EAC" w:rsidRDefault="00470413" w:rsidP="00AA2DCF">
      <w:pPr>
        <w:pStyle w:val="Default"/>
        <w:numPr>
          <w:ilvl w:val="0"/>
          <w:numId w:val="4"/>
        </w:numPr>
        <w:rPr>
          <w:color w:val="auto"/>
        </w:rPr>
      </w:pPr>
      <w:r w:rsidRPr="00F14EAC">
        <w:rPr>
          <w:color w:val="auto"/>
        </w:rPr>
        <w:t xml:space="preserve">Ibeh, N. I., </w:t>
      </w:r>
      <w:proofErr w:type="spellStart"/>
      <w:r w:rsidRPr="00F14EAC">
        <w:rPr>
          <w:color w:val="auto"/>
        </w:rPr>
        <w:t>Okungbowa</w:t>
      </w:r>
      <w:proofErr w:type="spellEnd"/>
      <w:r w:rsidRPr="00F14EAC">
        <w:rPr>
          <w:color w:val="auto"/>
        </w:rPr>
        <w:t xml:space="preserve">, M. A., </w:t>
      </w:r>
      <w:proofErr w:type="spellStart"/>
      <w:r w:rsidRPr="00F14EAC">
        <w:rPr>
          <w:color w:val="auto"/>
        </w:rPr>
        <w:t>Omorodion</w:t>
      </w:r>
      <w:proofErr w:type="spellEnd"/>
      <w:r w:rsidRPr="00F14EAC">
        <w:rPr>
          <w:color w:val="auto"/>
        </w:rPr>
        <w:t xml:space="preserve">, N. T., &amp; Ibeh, I. N. (2020). Impact of Herbal Aphrodisiac </w:t>
      </w:r>
      <w:proofErr w:type="spellStart"/>
      <w:r w:rsidRPr="00F14EAC">
        <w:rPr>
          <w:color w:val="auto"/>
        </w:rPr>
        <w:t>Pausinytalia</w:t>
      </w:r>
      <w:proofErr w:type="spellEnd"/>
      <w:r w:rsidRPr="00F14EAC">
        <w:rPr>
          <w:color w:val="auto"/>
        </w:rPr>
        <w:t xml:space="preserve"> yohimbe (BURANTASHI) on the Morphology of Sperm Cells in Adult Male Wister Rats and Mice. *Acta Scientific Pharmaceutical Sciences*, *4*(3), 89-93. </w:t>
      </w:r>
      <w:hyperlink r:id="rId18" w:history="1">
        <w:r w:rsidRPr="00F14EAC">
          <w:rPr>
            <w:rStyle w:val="Hyperlink"/>
          </w:rPr>
          <w:t>https://www.actascientific.com/ASPS/ASPS-04-0193.php</w:t>
        </w:r>
      </w:hyperlink>
      <w:r w:rsidRPr="00F14EAC">
        <w:rPr>
          <w:color w:val="auto"/>
        </w:rPr>
        <w:t xml:space="preserve"> </w:t>
      </w:r>
    </w:p>
    <w:p w14:paraId="07FD20CA" w14:textId="0E49DC54" w:rsidR="000B05ED" w:rsidRPr="00F14EAC" w:rsidRDefault="00470413" w:rsidP="00AA2DCF">
      <w:pPr>
        <w:pStyle w:val="Default"/>
        <w:numPr>
          <w:ilvl w:val="0"/>
          <w:numId w:val="4"/>
        </w:numPr>
        <w:rPr>
          <w:color w:val="auto"/>
        </w:rPr>
      </w:pPr>
      <w:r w:rsidRPr="00F14EAC">
        <w:rPr>
          <w:color w:val="auto"/>
        </w:rPr>
        <w:t xml:space="preserve">Jabir, N. R., Firoz, C. K., </w:t>
      </w:r>
      <w:proofErr w:type="spellStart"/>
      <w:r w:rsidRPr="00F14EAC">
        <w:rPr>
          <w:color w:val="auto"/>
        </w:rPr>
        <w:t>Zughaibi</w:t>
      </w:r>
      <w:proofErr w:type="spellEnd"/>
      <w:r w:rsidRPr="00F14EAC">
        <w:rPr>
          <w:color w:val="auto"/>
        </w:rPr>
        <w:t xml:space="preserve">, T. A., Alsaadi, M. A., </w:t>
      </w:r>
      <w:proofErr w:type="spellStart"/>
      <w:r w:rsidRPr="00F14EAC">
        <w:rPr>
          <w:color w:val="auto"/>
        </w:rPr>
        <w:t>Abuzenadah</w:t>
      </w:r>
      <w:proofErr w:type="spellEnd"/>
      <w:r w:rsidRPr="00F14EAC">
        <w:rPr>
          <w:color w:val="auto"/>
        </w:rPr>
        <w:t>, A. M., Al-</w:t>
      </w:r>
      <w:proofErr w:type="spellStart"/>
      <w:r w:rsidRPr="00F14EAC">
        <w:rPr>
          <w:color w:val="auto"/>
        </w:rPr>
        <w:t>Asmari</w:t>
      </w:r>
      <w:proofErr w:type="spellEnd"/>
      <w:r w:rsidRPr="00F14EAC">
        <w:rPr>
          <w:color w:val="auto"/>
        </w:rPr>
        <w:t xml:space="preserve">, A. I., </w:t>
      </w:r>
      <w:proofErr w:type="spellStart"/>
      <w:r w:rsidRPr="00F14EAC">
        <w:rPr>
          <w:color w:val="auto"/>
        </w:rPr>
        <w:t>Alsaieedi</w:t>
      </w:r>
      <w:proofErr w:type="spellEnd"/>
      <w:r w:rsidRPr="00F14EAC">
        <w:rPr>
          <w:color w:val="auto"/>
        </w:rPr>
        <w:t xml:space="preserve">, A., Ahmed, B. A., Ramu, A. K., &amp; Tabrez, S. (2022). A </w:t>
      </w:r>
      <w:r w:rsidRPr="00F14EAC">
        <w:rPr>
          <w:color w:val="auto"/>
        </w:rPr>
        <w:lastRenderedPageBreak/>
        <w:t xml:space="preserve">literature perspective on the pharmacological applications of yohimbine. Annals of Medicine, 54(1), 2849-2863. </w:t>
      </w:r>
      <w:hyperlink r:id="rId19" w:history="1">
        <w:r w:rsidRPr="00F14EAC">
          <w:rPr>
            <w:rStyle w:val="Hyperlink"/>
          </w:rPr>
          <w:t>https://doi.org/10.1080/07853890.2022.2131330</w:t>
        </w:r>
      </w:hyperlink>
      <w:r w:rsidRPr="00F14EAC">
        <w:rPr>
          <w:color w:val="auto"/>
        </w:rPr>
        <w:t xml:space="preserve"> </w:t>
      </w:r>
    </w:p>
    <w:p w14:paraId="14DFA599" w14:textId="0FB20905" w:rsidR="000B05ED" w:rsidRDefault="00E606A1" w:rsidP="00AA2DCF">
      <w:pPr>
        <w:pStyle w:val="Default"/>
        <w:numPr>
          <w:ilvl w:val="0"/>
          <w:numId w:val="4"/>
        </w:numPr>
        <w:rPr>
          <w:color w:val="auto"/>
        </w:rPr>
      </w:pPr>
      <w:r w:rsidRPr="00F14EAC">
        <w:rPr>
          <w:color w:val="auto"/>
          <w:lang w:val="fi-FI"/>
        </w:rPr>
        <w:t xml:space="preserve">Kataoka, T., Hotta, Y., &amp; Kimura, K. (2023). </w:t>
      </w:r>
      <w:r w:rsidRPr="00F14EAC">
        <w:rPr>
          <w:color w:val="auto"/>
        </w:rPr>
        <w:t xml:space="preserve">A review of experimental techniques for erectile function researches and development of medical technology using animal erectile dysfunction models in sexual and reproductive medicine. Reproductive Medicine and Biology, 22(1), e12513. </w:t>
      </w:r>
      <w:hyperlink r:id="rId20" w:history="1">
        <w:r w:rsidRPr="00F14EAC">
          <w:rPr>
            <w:rStyle w:val="Hyperlink"/>
          </w:rPr>
          <w:t>https://doi.org/10.1002/rmb2.12513</w:t>
        </w:r>
      </w:hyperlink>
      <w:r w:rsidRPr="00F14EAC">
        <w:rPr>
          <w:color w:val="auto"/>
        </w:rPr>
        <w:t xml:space="preserve"> </w:t>
      </w:r>
    </w:p>
    <w:p w14:paraId="13D4D4D9" w14:textId="32C75C7E" w:rsidR="00803AC4" w:rsidRPr="00F14EAC" w:rsidRDefault="00803AC4" w:rsidP="00AA2DCF">
      <w:pPr>
        <w:pStyle w:val="Default"/>
        <w:numPr>
          <w:ilvl w:val="0"/>
          <w:numId w:val="4"/>
        </w:numPr>
      </w:pPr>
      <w:proofErr w:type="spellStart"/>
      <w:r w:rsidRPr="00803AC4">
        <w:rPr>
          <w:color w:val="EE0000"/>
        </w:rPr>
        <w:t>Leisegang</w:t>
      </w:r>
      <w:proofErr w:type="spellEnd"/>
      <w:r w:rsidR="008A086E">
        <w:rPr>
          <w:color w:val="EE0000"/>
        </w:rPr>
        <w:t>,</w:t>
      </w:r>
      <w:r w:rsidRPr="00803AC4">
        <w:rPr>
          <w:color w:val="EE0000"/>
        </w:rPr>
        <w:t xml:space="preserve"> K</w:t>
      </w:r>
      <w:r w:rsidR="008A086E">
        <w:rPr>
          <w:color w:val="EE0000"/>
        </w:rPr>
        <w:t>. &amp;</w:t>
      </w:r>
      <w:r w:rsidRPr="00803AC4">
        <w:rPr>
          <w:color w:val="EE0000"/>
        </w:rPr>
        <w:t xml:space="preserve"> Finelli</w:t>
      </w:r>
      <w:r w:rsidR="008A086E">
        <w:rPr>
          <w:color w:val="EE0000"/>
        </w:rPr>
        <w:t>,</w:t>
      </w:r>
      <w:r w:rsidRPr="00803AC4">
        <w:rPr>
          <w:color w:val="EE0000"/>
        </w:rPr>
        <w:t xml:space="preserve"> R. </w:t>
      </w:r>
      <w:r w:rsidR="008A086E">
        <w:rPr>
          <w:color w:val="EE0000"/>
        </w:rPr>
        <w:t xml:space="preserve">(2021). </w:t>
      </w:r>
      <w:r w:rsidRPr="00803AC4">
        <w:rPr>
          <w:color w:val="EE0000"/>
        </w:rPr>
        <w:t>Alternative medicine and herbal remedies in the treatment of erectile dysfunction: A systematic review. Arab J</w:t>
      </w:r>
      <w:r w:rsidR="008A086E">
        <w:rPr>
          <w:color w:val="EE0000"/>
        </w:rPr>
        <w:t>ournal of</w:t>
      </w:r>
      <w:r w:rsidRPr="00803AC4">
        <w:rPr>
          <w:color w:val="EE0000"/>
        </w:rPr>
        <w:t xml:space="preserve"> Urol</w:t>
      </w:r>
      <w:r w:rsidR="008A086E">
        <w:rPr>
          <w:color w:val="EE0000"/>
        </w:rPr>
        <w:t>ogy,</w:t>
      </w:r>
      <w:r w:rsidRPr="00803AC4">
        <w:rPr>
          <w:color w:val="EE0000"/>
        </w:rPr>
        <w:t xml:space="preserve">19(3):323-339. </w:t>
      </w:r>
      <w:proofErr w:type="spellStart"/>
      <w:r w:rsidRPr="00803AC4">
        <w:rPr>
          <w:color w:val="EE0000"/>
        </w:rPr>
        <w:t>doi</w:t>
      </w:r>
      <w:proofErr w:type="spellEnd"/>
      <w:r w:rsidRPr="00803AC4">
        <w:rPr>
          <w:color w:val="EE0000"/>
        </w:rPr>
        <w:t xml:space="preserve">: 10.1080/2090598X.2021.1926753. </w:t>
      </w:r>
    </w:p>
    <w:p w14:paraId="62E0AB9B" w14:textId="593417B9" w:rsidR="000B05ED" w:rsidRPr="00F14EAC" w:rsidRDefault="00EB1D81" w:rsidP="00AA2DCF">
      <w:pPr>
        <w:pStyle w:val="Default"/>
        <w:numPr>
          <w:ilvl w:val="0"/>
          <w:numId w:val="4"/>
        </w:numPr>
        <w:rPr>
          <w:color w:val="auto"/>
        </w:rPr>
      </w:pPr>
      <w:r w:rsidRPr="00F14EAC">
        <w:rPr>
          <w:color w:val="auto"/>
        </w:rPr>
        <w:t xml:space="preserve">Lin, L.-L., Wang, D., Wang, W., Cheng, Y.-Q., Su, D.-F., &amp; Liu, A.-J. (2015). Long-Term Treatment of Clonidine, Atenolol, Amlodipine and </w:t>
      </w:r>
      <w:proofErr w:type="spellStart"/>
      <w:r w:rsidRPr="00F14EAC">
        <w:rPr>
          <w:color w:val="auto"/>
        </w:rPr>
        <w:t>Dihydrochlorothiazide</w:t>
      </w:r>
      <w:proofErr w:type="spellEnd"/>
      <w:r w:rsidRPr="00F14EAC">
        <w:rPr>
          <w:color w:val="auto"/>
        </w:rPr>
        <w:t xml:space="preserve">, but Not Enalapril, Impairs the Sexual Function in Male Spontaneously Hypertensive Rats. </w:t>
      </w:r>
      <w:proofErr w:type="spellStart"/>
      <w:r w:rsidRPr="00F14EAC">
        <w:rPr>
          <w:color w:val="auto"/>
        </w:rPr>
        <w:t>PLoS</w:t>
      </w:r>
      <w:proofErr w:type="spellEnd"/>
      <w:r w:rsidRPr="00F14EAC">
        <w:rPr>
          <w:color w:val="auto"/>
        </w:rPr>
        <w:t xml:space="preserve"> ONE, 10(1), e0116155. </w:t>
      </w:r>
      <w:hyperlink r:id="rId21" w:history="1">
        <w:r w:rsidRPr="00F14EAC">
          <w:rPr>
            <w:rStyle w:val="Hyperlink"/>
          </w:rPr>
          <w:t>https://doi.org/10.1371/journal.pone.0116155</w:t>
        </w:r>
      </w:hyperlink>
      <w:r w:rsidRPr="00F14EAC">
        <w:rPr>
          <w:color w:val="auto"/>
        </w:rPr>
        <w:t xml:space="preserve"> </w:t>
      </w:r>
    </w:p>
    <w:p w14:paraId="60244F05" w14:textId="77777777" w:rsidR="000B05ED" w:rsidRPr="00F14EAC" w:rsidRDefault="000B05ED" w:rsidP="00AA2DCF">
      <w:pPr>
        <w:pStyle w:val="Default"/>
        <w:numPr>
          <w:ilvl w:val="0"/>
          <w:numId w:val="4"/>
        </w:numPr>
        <w:rPr>
          <w:color w:val="auto"/>
        </w:rPr>
      </w:pPr>
      <w:r w:rsidRPr="00F14EAC">
        <w:rPr>
          <w:color w:val="auto"/>
        </w:rPr>
        <w:t xml:space="preserve">Malviya, N., Jain, S., Gupta, V. B, Vyas S. Recent studies on aphrodisiac herbs for the management of male sexual dysfunction - a review. Acta </w:t>
      </w:r>
      <w:proofErr w:type="spellStart"/>
      <w:r w:rsidRPr="00F14EAC">
        <w:rPr>
          <w:color w:val="auto"/>
        </w:rPr>
        <w:t>Poloniae</w:t>
      </w:r>
      <w:proofErr w:type="spellEnd"/>
      <w:r w:rsidRPr="00F14EAC">
        <w:rPr>
          <w:color w:val="auto"/>
        </w:rPr>
        <w:t xml:space="preserve"> Pharm, 2011;68: 3 - 8.</w:t>
      </w:r>
    </w:p>
    <w:p w14:paraId="6BF85A5D" w14:textId="4C6EEAEA" w:rsidR="000B05ED" w:rsidRPr="00F14EAC" w:rsidRDefault="00154513" w:rsidP="00AA2DCF">
      <w:pPr>
        <w:pStyle w:val="Default"/>
        <w:numPr>
          <w:ilvl w:val="0"/>
          <w:numId w:val="4"/>
        </w:numPr>
        <w:rPr>
          <w:color w:val="auto"/>
        </w:rPr>
      </w:pPr>
      <w:r w:rsidRPr="00F14EAC">
        <w:rPr>
          <w:color w:val="auto"/>
        </w:rPr>
        <w:t xml:space="preserve">Miller, E. R., Hovey, M. T., &amp; Scheidt, K. A. (2020). A Concise, Enantioselective Approach for the Synthesis of Yohimbine Alkaloids. J Am Chem Soc, 142(5), 2187–2192. </w:t>
      </w:r>
      <w:hyperlink r:id="rId22" w:history="1">
        <w:r w:rsidRPr="00F14EAC">
          <w:rPr>
            <w:rStyle w:val="Hyperlink"/>
          </w:rPr>
          <w:t>https://doi.org/10.1021/jacs.9b12319</w:t>
        </w:r>
      </w:hyperlink>
      <w:r w:rsidRPr="00F14EAC">
        <w:rPr>
          <w:color w:val="auto"/>
        </w:rPr>
        <w:t xml:space="preserve"> </w:t>
      </w:r>
    </w:p>
    <w:p w14:paraId="31AFA30A" w14:textId="1DEE0ED7" w:rsidR="000B05ED" w:rsidRPr="00F14EAC" w:rsidRDefault="00154513" w:rsidP="00AA2DCF">
      <w:pPr>
        <w:pStyle w:val="Default"/>
        <w:numPr>
          <w:ilvl w:val="0"/>
          <w:numId w:val="4"/>
        </w:numPr>
        <w:rPr>
          <w:color w:val="auto"/>
        </w:rPr>
      </w:pPr>
      <w:r w:rsidRPr="00F14EAC">
        <w:rPr>
          <w:color w:val="auto"/>
        </w:rPr>
        <w:t xml:space="preserve">Morales, A., Condra, M., Owen, J. A., Surridge, D. H., </w:t>
      </w:r>
      <w:proofErr w:type="spellStart"/>
      <w:r w:rsidRPr="00F14EAC">
        <w:rPr>
          <w:color w:val="auto"/>
        </w:rPr>
        <w:t>Fenemore</w:t>
      </w:r>
      <w:proofErr w:type="spellEnd"/>
      <w:r w:rsidRPr="00F14EAC">
        <w:rPr>
          <w:color w:val="auto"/>
        </w:rPr>
        <w:t xml:space="preserve">, J., &amp; Harris, C. (1987). Is yohimbine effective in the treatment of organic impotence? Results of a controlled trial. Journal of Urology, 137(6), 1168-1172. </w:t>
      </w:r>
      <w:hyperlink r:id="rId23" w:history="1">
        <w:r w:rsidRPr="00F14EAC">
          <w:rPr>
            <w:rStyle w:val="Hyperlink"/>
          </w:rPr>
          <w:t>https://doi.org/10.1016/s0022-5347(17)44436-3</w:t>
        </w:r>
      </w:hyperlink>
      <w:r w:rsidRPr="00F14EAC">
        <w:rPr>
          <w:color w:val="auto"/>
        </w:rPr>
        <w:t xml:space="preserve"> </w:t>
      </w:r>
    </w:p>
    <w:p w14:paraId="3A0E76D9" w14:textId="7B1E5E12" w:rsidR="000B05ED" w:rsidRPr="00F14EAC" w:rsidRDefault="00BF3C07" w:rsidP="00AA2DCF">
      <w:pPr>
        <w:pStyle w:val="Default"/>
        <w:numPr>
          <w:ilvl w:val="0"/>
          <w:numId w:val="4"/>
        </w:numPr>
      </w:pPr>
      <w:r w:rsidRPr="00F14EAC">
        <w:rPr>
          <w:color w:val="auto"/>
        </w:rPr>
        <w:t xml:space="preserve">National Research Council (U.S.). Committee for the Update of the Guide for the Care and Use of Laboratory Animals. (2011). Guide for the care and use of laboratory animals (8th ed.). Washington, DC: National Academies Press. </w:t>
      </w:r>
      <w:hyperlink r:id="rId24" w:history="1">
        <w:r w:rsidRPr="00F14EAC">
          <w:rPr>
            <w:rStyle w:val="Hyperlink"/>
          </w:rPr>
          <w:t>https://doi.org/10.17226/12910</w:t>
        </w:r>
      </w:hyperlink>
      <w:r w:rsidRPr="00F14EAC">
        <w:rPr>
          <w:color w:val="auto"/>
        </w:rPr>
        <w:t xml:space="preserve"> </w:t>
      </w:r>
    </w:p>
    <w:p w14:paraId="57F22FDB" w14:textId="43EE2AC6" w:rsidR="000B05ED" w:rsidRPr="00F14EAC" w:rsidRDefault="00BF3C07" w:rsidP="00AA2DCF">
      <w:pPr>
        <w:pStyle w:val="Default"/>
        <w:numPr>
          <w:ilvl w:val="0"/>
          <w:numId w:val="4"/>
        </w:numPr>
      </w:pPr>
      <w:r w:rsidRPr="00F14EAC">
        <w:rPr>
          <w:color w:val="auto"/>
        </w:rPr>
        <w:t xml:space="preserve">Nowacka, A., </w:t>
      </w:r>
      <w:proofErr w:type="spellStart"/>
      <w:r w:rsidRPr="00F14EAC">
        <w:rPr>
          <w:color w:val="auto"/>
        </w:rPr>
        <w:t>Śniegocka</w:t>
      </w:r>
      <w:proofErr w:type="spellEnd"/>
      <w:r w:rsidRPr="00F14EAC">
        <w:rPr>
          <w:color w:val="auto"/>
        </w:rPr>
        <w:t xml:space="preserve">, M., Śniegocki, M., </w:t>
      </w:r>
      <w:proofErr w:type="spellStart"/>
      <w:r w:rsidRPr="00F14EAC">
        <w:rPr>
          <w:color w:val="auto"/>
        </w:rPr>
        <w:t>Ziółkowska</w:t>
      </w:r>
      <w:proofErr w:type="spellEnd"/>
      <w:r w:rsidRPr="00F14EAC">
        <w:rPr>
          <w:color w:val="auto"/>
        </w:rPr>
        <w:t xml:space="preserve">, E., </w:t>
      </w:r>
      <w:proofErr w:type="spellStart"/>
      <w:r w:rsidRPr="00F14EAC">
        <w:rPr>
          <w:color w:val="auto"/>
        </w:rPr>
        <w:t>Bożiłow</w:t>
      </w:r>
      <w:proofErr w:type="spellEnd"/>
      <w:r w:rsidRPr="00F14EAC">
        <w:rPr>
          <w:color w:val="auto"/>
        </w:rPr>
        <w:t xml:space="preserve">, D., &amp; Smuczyński, W. (2024). Multifaced Nature of Yohimbine—A Promising Therapeutic Potential or a Risk? International Journal of Molecular Sciences, 25(23), 12856. </w:t>
      </w:r>
      <w:hyperlink r:id="rId25" w:history="1">
        <w:r w:rsidRPr="00F14EAC">
          <w:rPr>
            <w:rStyle w:val="Hyperlink"/>
          </w:rPr>
          <w:t>https://doi.org/10.3390/ijms252312856</w:t>
        </w:r>
      </w:hyperlink>
      <w:r w:rsidRPr="00F14EAC">
        <w:rPr>
          <w:color w:val="auto"/>
        </w:rPr>
        <w:t xml:space="preserve"> </w:t>
      </w:r>
    </w:p>
    <w:p w14:paraId="0122DA46" w14:textId="14A3129E" w:rsidR="000B05ED" w:rsidRPr="00F14EAC" w:rsidRDefault="003570C9" w:rsidP="00AA2DCF">
      <w:pPr>
        <w:pStyle w:val="Default"/>
        <w:numPr>
          <w:ilvl w:val="0"/>
          <w:numId w:val="4"/>
        </w:numPr>
        <w:rPr>
          <w:color w:val="auto"/>
        </w:rPr>
      </w:pPr>
      <w:r w:rsidRPr="00F14EAC">
        <w:rPr>
          <w:color w:val="auto"/>
        </w:rPr>
        <w:t xml:space="preserve">Nwabudike, P., &amp; Emokpae, M. A. (2022). Thyroid Dysfunction among Hypertensive Pregnant Women in Warri, Delta State, Nigeria. Medicines, 9(4), 29. </w:t>
      </w:r>
      <w:hyperlink r:id="rId26" w:history="1">
        <w:r w:rsidRPr="00F14EAC">
          <w:rPr>
            <w:rStyle w:val="Hyperlink"/>
          </w:rPr>
          <w:t>https://doi.org/10.3390/medicines9040029</w:t>
        </w:r>
      </w:hyperlink>
      <w:r w:rsidRPr="00F14EAC">
        <w:rPr>
          <w:color w:val="auto"/>
        </w:rPr>
        <w:t xml:space="preserve"> </w:t>
      </w:r>
      <w:r w:rsidR="000B05ED" w:rsidRPr="00F14EAC">
        <w:rPr>
          <w:color w:val="auto"/>
        </w:rPr>
        <w:t xml:space="preserve"> </w:t>
      </w:r>
    </w:p>
    <w:p w14:paraId="311C709E" w14:textId="1972E9BC" w:rsidR="000B05ED" w:rsidRPr="00F14EAC" w:rsidRDefault="003570C9" w:rsidP="00AA2DCF">
      <w:pPr>
        <w:pStyle w:val="Default"/>
        <w:numPr>
          <w:ilvl w:val="0"/>
          <w:numId w:val="4"/>
        </w:numPr>
        <w:rPr>
          <w:color w:val="auto"/>
        </w:rPr>
      </w:pPr>
      <w:proofErr w:type="spellStart"/>
      <w:r w:rsidRPr="00F14EAC">
        <w:rPr>
          <w:color w:val="auto"/>
        </w:rPr>
        <w:t>Nwankudu</w:t>
      </w:r>
      <w:proofErr w:type="spellEnd"/>
      <w:r w:rsidRPr="00F14EAC">
        <w:rPr>
          <w:color w:val="auto"/>
        </w:rPr>
        <w:t xml:space="preserve">, O. N., Nwankwo, A. A., &amp; </w:t>
      </w:r>
      <w:proofErr w:type="spellStart"/>
      <w:r w:rsidRPr="00F14EAC">
        <w:rPr>
          <w:color w:val="auto"/>
        </w:rPr>
        <w:t>Ijioma</w:t>
      </w:r>
      <w:proofErr w:type="spellEnd"/>
      <w:r w:rsidRPr="00F14EAC">
        <w:rPr>
          <w:color w:val="auto"/>
        </w:rPr>
        <w:t xml:space="preserve">, S. N. (2015). Acute toxicity study and parasympatholytic effect of </w:t>
      </w:r>
      <w:proofErr w:type="spellStart"/>
      <w:r w:rsidRPr="00F14EAC">
        <w:rPr>
          <w:color w:val="auto"/>
        </w:rPr>
        <w:t>burantashi</w:t>
      </w:r>
      <w:proofErr w:type="spellEnd"/>
      <w:r w:rsidRPr="00F14EAC">
        <w:rPr>
          <w:color w:val="auto"/>
        </w:rPr>
        <w:t xml:space="preserve"> ethanol extract on an isolated smooth muscle preparation. International Journal of Current Research, 7(04), 14496-14500. </w:t>
      </w:r>
      <w:hyperlink r:id="rId27" w:history="1">
        <w:r w:rsidRPr="00F14EAC">
          <w:rPr>
            <w:rStyle w:val="Hyperlink"/>
          </w:rPr>
          <w:t>http://www.journalcra.com/sites/default/files/issue-pdf/7937.pdf</w:t>
        </w:r>
      </w:hyperlink>
      <w:r w:rsidRPr="00F14EAC">
        <w:rPr>
          <w:color w:val="auto"/>
        </w:rPr>
        <w:t xml:space="preserve"> </w:t>
      </w:r>
      <w:r w:rsidR="000B05ED" w:rsidRPr="00F14EAC">
        <w:rPr>
          <w:color w:val="auto"/>
        </w:rPr>
        <w:t xml:space="preserve"> </w:t>
      </w:r>
    </w:p>
    <w:p w14:paraId="2B19384A" w14:textId="77777777" w:rsidR="000B05ED" w:rsidRPr="00F14EAC" w:rsidRDefault="000B05ED" w:rsidP="00AA2DCF">
      <w:pPr>
        <w:pStyle w:val="Default"/>
        <w:numPr>
          <w:ilvl w:val="0"/>
          <w:numId w:val="4"/>
        </w:numPr>
        <w:rPr>
          <w:color w:val="auto"/>
        </w:rPr>
      </w:pPr>
      <w:proofErr w:type="spellStart"/>
      <w:r w:rsidRPr="00F14EAC">
        <w:rPr>
          <w:color w:val="auto"/>
        </w:rPr>
        <w:t>Odigie</w:t>
      </w:r>
      <w:proofErr w:type="spellEnd"/>
      <w:r w:rsidRPr="00F14EAC">
        <w:rPr>
          <w:color w:val="auto"/>
        </w:rPr>
        <w:t xml:space="preserve">, B and </w:t>
      </w:r>
      <w:proofErr w:type="spellStart"/>
      <w:r w:rsidRPr="00F14EAC">
        <w:rPr>
          <w:color w:val="auto"/>
        </w:rPr>
        <w:t>Osula</w:t>
      </w:r>
      <w:proofErr w:type="spellEnd"/>
      <w:r w:rsidRPr="00F14EAC">
        <w:rPr>
          <w:color w:val="auto"/>
        </w:rPr>
        <w:t xml:space="preserve">, F.  Sub-acute hepatotoxicity of </w:t>
      </w:r>
      <w:proofErr w:type="spellStart"/>
      <w:r w:rsidRPr="00F14EAC">
        <w:rPr>
          <w:color w:val="auto"/>
        </w:rPr>
        <w:t>Pausinystalia</w:t>
      </w:r>
      <w:proofErr w:type="spellEnd"/>
      <w:r w:rsidRPr="00F14EAC">
        <w:rPr>
          <w:color w:val="auto"/>
        </w:rPr>
        <w:t xml:space="preserve"> yohimbe bark extract (Burantashi) in male albino rats (Rattus </w:t>
      </w:r>
      <w:proofErr w:type="spellStart"/>
      <w:r w:rsidRPr="00F14EAC">
        <w:rPr>
          <w:color w:val="auto"/>
        </w:rPr>
        <w:t>novergicus</w:t>
      </w:r>
      <w:proofErr w:type="spellEnd"/>
      <w:r w:rsidRPr="00F14EAC">
        <w:rPr>
          <w:color w:val="auto"/>
        </w:rPr>
        <w:t>). Niger J Gastroenterol Hepatol, 2014; 6(1 &amp; 2): 13-19. https://www.ajol.info/index.php/njgh/article/view/115512</w:t>
      </w:r>
    </w:p>
    <w:p w14:paraId="01913A87" w14:textId="2ED42407" w:rsidR="000B05ED" w:rsidRPr="00F14EAC" w:rsidRDefault="00863711" w:rsidP="00AA2DCF">
      <w:pPr>
        <w:pStyle w:val="Default"/>
        <w:numPr>
          <w:ilvl w:val="0"/>
          <w:numId w:val="4"/>
        </w:numPr>
        <w:rPr>
          <w:color w:val="auto"/>
        </w:rPr>
      </w:pPr>
      <w:r w:rsidRPr="00F14EAC">
        <w:rPr>
          <w:color w:val="auto"/>
          <w:lang w:val="fi-FI"/>
        </w:rPr>
        <w:t xml:space="preserve">Ojatula, A. O., Idu, M., &amp; Timothy, O. (2020). </w:t>
      </w:r>
      <w:r w:rsidRPr="00F14EAC">
        <w:rPr>
          <w:color w:val="auto"/>
        </w:rPr>
        <w:t xml:space="preserve">Aphrodisiac potentials of </w:t>
      </w:r>
      <w:proofErr w:type="spellStart"/>
      <w:r w:rsidRPr="00F14EAC">
        <w:rPr>
          <w:color w:val="auto"/>
        </w:rPr>
        <w:t>Pausinystalia</w:t>
      </w:r>
      <w:proofErr w:type="spellEnd"/>
      <w:r w:rsidRPr="00F14EAC">
        <w:rPr>
          <w:color w:val="auto"/>
        </w:rPr>
        <w:t xml:space="preserve"> yohimbe (K. Schum.) Pierre ex Beille methanol root extract in male Wistar rats. Journal of Integrative Nephrology and Andrology, 7(2), 47-55. </w:t>
      </w:r>
      <w:hyperlink r:id="rId28" w:history="1">
        <w:r w:rsidRPr="00F14EAC">
          <w:rPr>
            <w:rStyle w:val="Hyperlink"/>
          </w:rPr>
          <w:t>https://doi.org/10.4103/jina.jina_7_20</w:t>
        </w:r>
      </w:hyperlink>
      <w:r w:rsidRPr="00F14EAC">
        <w:rPr>
          <w:color w:val="auto"/>
        </w:rPr>
        <w:t xml:space="preserve"> </w:t>
      </w:r>
      <w:r w:rsidR="000B05ED" w:rsidRPr="00F14EAC">
        <w:rPr>
          <w:color w:val="auto"/>
        </w:rPr>
        <w:t xml:space="preserve"> </w:t>
      </w:r>
    </w:p>
    <w:p w14:paraId="3B7EFB63" w14:textId="15D77964" w:rsidR="000B05ED" w:rsidRPr="00F14EAC" w:rsidRDefault="00381A83" w:rsidP="00AA2DCF">
      <w:pPr>
        <w:pStyle w:val="Default"/>
        <w:numPr>
          <w:ilvl w:val="0"/>
          <w:numId w:val="4"/>
        </w:numPr>
      </w:pPr>
      <w:r w:rsidRPr="00F14EAC">
        <w:rPr>
          <w:color w:val="auto"/>
          <w:lang w:val="fi-FI"/>
        </w:rPr>
        <w:t xml:space="preserve">Omoniwa, B. P., Okpatu, G. C., Benjamin, E. K., Okpanachi, J. O., &amp; Ayodele, C. S. (2024). </w:t>
      </w:r>
      <w:r w:rsidRPr="00F14EAC">
        <w:rPr>
          <w:color w:val="auto"/>
        </w:rPr>
        <w:t xml:space="preserve">Toxicity and modulating effect of </w:t>
      </w:r>
      <w:proofErr w:type="spellStart"/>
      <w:r w:rsidRPr="00F14EAC">
        <w:rPr>
          <w:color w:val="auto"/>
        </w:rPr>
        <w:t>Olax</w:t>
      </w:r>
      <w:proofErr w:type="spellEnd"/>
      <w:r w:rsidRPr="00F14EAC">
        <w:rPr>
          <w:color w:val="auto"/>
        </w:rPr>
        <w:t xml:space="preserve"> </w:t>
      </w:r>
      <w:proofErr w:type="spellStart"/>
      <w:r w:rsidRPr="00F14EAC">
        <w:rPr>
          <w:color w:val="auto"/>
        </w:rPr>
        <w:t>Subscorpiodea</w:t>
      </w:r>
      <w:proofErr w:type="spellEnd"/>
      <w:r w:rsidRPr="00F14EAC">
        <w:rPr>
          <w:color w:val="auto"/>
        </w:rPr>
        <w:t xml:space="preserve"> </w:t>
      </w:r>
      <w:proofErr w:type="spellStart"/>
      <w:r w:rsidRPr="00F14EAC">
        <w:rPr>
          <w:color w:val="auto"/>
        </w:rPr>
        <w:t>Oliv</w:t>
      </w:r>
      <w:proofErr w:type="spellEnd"/>
      <w:r w:rsidRPr="00F14EAC">
        <w:rPr>
          <w:color w:val="auto"/>
        </w:rPr>
        <w:t xml:space="preserve">. aqueous root extract </w:t>
      </w:r>
      <w:r w:rsidRPr="00F14EAC">
        <w:rPr>
          <w:color w:val="auto"/>
        </w:rPr>
        <w:lastRenderedPageBreak/>
        <w:t xml:space="preserve">on clonidine-induced sexual dysfunction in male Wistar rats. *Sci World J*, *19*(4), 1246-1253. </w:t>
      </w:r>
      <w:hyperlink r:id="rId29" w:history="1">
        <w:r w:rsidRPr="00F14EAC">
          <w:rPr>
            <w:rStyle w:val="Hyperlink"/>
          </w:rPr>
          <w:t>https://doi.org/10.4314/swj.v19i4.46</w:t>
        </w:r>
      </w:hyperlink>
      <w:r w:rsidRPr="00F14EAC">
        <w:rPr>
          <w:color w:val="auto"/>
        </w:rPr>
        <w:t xml:space="preserve"> </w:t>
      </w:r>
    </w:p>
    <w:p w14:paraId="117ED8DA" w14:textId="4346694D" w:rsidR="000B05ED" w:rsidRPr="00F14EAC" w:rsidRDefault="00062721" w:rsidP="00AA2DCF">
      <w:pPr>
        <w:pStyle w:val="Default"/>
        <w:numPr>
          <w:ilvl w:val="0"/>
          <w:numId w:val="4"/>
        </w:numPr>
      </w:pPr>
      <w:proofErr w:type="spellStart"/>
      <w:r w:rsidRPr="00F14EAC">
        <w:rPr>
          <w:color w:val="auto"/>
        </w:rPr>
        <w:t>Omoniwa</w:t>
      </w:r>
      <w:proofErr w:type="spellEnd"/>
      <w:r w:rsidRPr="00F14EAC">
        <w:rPr>
          <w:color w:val="auto"/>
        </w:rPr>
        <w:t xml:space="preserve">, B. P., </w:t>
      </w:r>
      <w:proofErr w:type="spellStart"/>
      <w:r w:rsidRPr="00F14EAC">
        <w:rPr>
          <w:color w:val="auto"/>
        </w:rPr>
        <w:t>Longdet</w:t>
      </w:r>
      <w:proofErr w:type="spellEnd"/>
      <w:r w:rsidRPr="00F14EAC">
        <w:rPr>
          <w:color w:val="auto"/>
        </w:rPr>
        <w:t xml:space="preserve">, I. Y., </w:t>
      </w:r>
      <w:proofErr w:type="spellStart"/>
      <w:r w:rsidRPr="00F14EAC">
        <w:rPr>
          <w:color w:val="auto"/>
        </w:rPr>
        <w:t>Okpatu</w:t>
      </w:r>
      <w:proofErr w:type="spellEnd"/>
      <w:r w:rsidRPr="00F14EAC">
        <w:rPr>
          <w:color w:val="auto"/>
        </w:rPr>
        <w:t xml:space="preserve">, G. C., &amp; Oladele, K. G. (2022). Assessment of Gardenia </w:t>
      </w:r>
      <w:proofErr w:type="spellStart"/>
      <w:r w:rsidRPr="00F14EAC">
        <w:rPr>
          <w:color w:val="auto"/>
        </w:rPr>
        <w:t>erubescens</w:t>
      </w:r>
      <w:proofErr w:type="spellEnd"/>
      <w:r w:rsidRPr="00F14EAC">
        <w:rPr>
          <w:color w:val="auto"/>
        </w:rPr>
        <w:t xml:space="preserve"> Aqueous Root Crude Extract on Male Sexual Functions-related Biochemical Parameters in Clonidine-induced Sexual Dysfunction Wistar Rats. *Science World Journal*, *17*(1), 83-97. </w:t>
      </w:r>
      <w:hyperlink r:id="rId30" w:history="1">
        <w:r w:rsidRPr="00F14EAC">
          <w:rPr>
            <w:rStyle w:val="Hyperlink"/>
          </w:rPr>
          <w:t>https://www.scienceworldjournal.org/index.php/swj/issue/view/17</w:t>
        </w:r>
      </w:hyperlink>
      <w:r w:rsidRPr="00F14EAC">
        <w:rPr>
          <w:color w:val="auto"/>
        </w:rPr>
        <w:t xml:space="preserve"> </w:t>
      </w:r>
    </w:p>
    <w:p w14:paraId="4A51DC4A" w14:textId="4A91A5D6" w:rsidR="000B05ED" w:rsidRPr="00F14EAC" w:rsidRDefault="0050687B" w:rsidP="00AA2DCF">
      <w:pPr>
        <w:pStyle w:val="Default"/>
        <w:numPr>
          <w:ilvl w:val="0"/>
          <w:numId w:val="4"/>
        </w:numPr>
        <w:rPr>
          <w:color w:val="auto"/>
        </w:rPr>
      </w:pPr>
      <w:proofErr w:type="spellStart"/>
      <w:r w:rsidRPr="00F14EAC">
        <w:rPr>
          <w:color w:val="auto"/>
        </w:rPr>
        <w:t>Organisation</w:t>
      </w:r>
      <w:proofErr w:type="spellEnd"/>
      <w:r w:rsidRPr="00F14EAC">
        <w:rPr>
          <w:color w:val="auto"/>
        </w:rPr>
        <w:t xml:space="preserve"> for Economic Co-operation and Development. (2009). Guidance Document for Histologic Evaluation of Endocrine and Reproductive Tests in Rodents. OECD Series on Testing and Assessment, No. 106. </w:t>
      </w:r>
      <w:hyperlink r:id="rId31" w:history="1">
        <w:r w:rsidRPr="00F14EAC">
          <w:rPr>
            <w:rStyle w:val="Hyperlink"/>
          </w:rPr>
          <w:t>https://doi.org/10.1787/cd68c07d-en</w:t>
        </w:r>
      </w:hyperlink>
      <w:r w:rsidRPr="00F14EAC">
        <w:rPr>
          <w:color w:val="auto"/>
        </w:rPr>
        <w:t xml:space="preserve"> </w:t>
      </w:r>
      <w:r w:rsidR="000B05ED" w:rsidRPr="00F14EAC">
        <w:rPr>
          <w:color w:val="auto"/>
        </w:rPr>
        <w:t>.</w:t>
      </w:r>
    </w:p>
    <w:p w14:paraId="417CEC75" w14:textId="0ABAE5AE" w:rsidR="000B05ED" w:rsidRPr="00F14EAC" w:rsidRDefault="009745CA" w:rsidP="00AA2DCF">
      <w:pPr>
        <w:pStyle w:val="Default"/>
        <w:numPr>
          <w:ilvl w:val="0"/>
          <w:numId w:val="4"/>
        </w:numPr>
        <w:rPr>
          <w:color w:val="auto"/>
        </w:rPr>
      </w:pPr>
      <w:proofErr w:type="spellStart"/>
      <w:r w:rsidRPr="00F14EAC">
        <w:rPr>
          <w:color w:val="auto"/>
        </w:rPr>
        <w:t>Oyelade</w:t>
      </w:r>
      <w:proofErr w:type="spellEnd"/>
      <w:r w:rsidRPr="00F14EAC">
        <w:rPr>
          <w:color w:val="auto"/>
        </w:rPr>
        <w:t xml:space="preserve">, B. O., Jemilohun, A. C., &amp; Aderibigbe, S. A. (2016). Prevalence of erectile dysfunction and possible risk factors among men of South-Western Nigeria: a </w:t>
      </w:r>
      <w:proofErr w:type="gramStart"/>
      <w:r w:rsidRPr="00F14EAC">
        <w:rPr>
          <w:color w:val="auto"/>
        </w:rPr>
        <w:t>population based</w:t>
      </w:r>
      <w:proofErr w:type="gramEnd"/>
      <w:r w:rsidRPr="00F14EAC">
        <w:rPr>
          <w:color w:val="auto"/>
        </w:rPr>
        <w:t xml:space="preserve"> study. Pan African Medical Journal, 24(124). </w:t>
      </w:r>
      <w:hyperlink r:id="rId32" w:history="1">
        <w:r w:rsidRPr="00F14EAC">
          <w:rPr>
            <w:rStyle w:val="Hyperlink"/>
          </w:rPr>
          <w:t>https://doi.org/10.11604/pamj.2016.24.124.8660</w:t>
        </w:r>
      </w:hyperlink>
      <w:r w:rsidRPr="00F14EAC">
        <w:rPr>
          <w:color w:val="auto"/>
        </w:rPr>
        <w:t xml:space="preserve"> </w:t>
      </w:r>
    </w:p>
    <w:p w14:paraId="70881BB8" w14:textId="619C28AA" w:rsidR="000B05ED" w:rsidRPr="00F14EAC" w:rsidRDefault="00504852" w:rsidP="00AA2DCF">
      <w:pPr>
        <w:pStyle w:val="Default"/>
        <w:numPr>
          <w:ilvl w:val="0"/>
          <w:numId w:val="4"/>
        </w:numPr>
      </w:pPr>
      <w:proofErr w:type="spellStart"/>
      <w:r w:rsidRPr="00F14EAC">
        <w:rPr>
          <w:color w:val="auto"/>
        </w:rPr>
        <w:t>Pignanelli</w:t>
      </w:r>
      <w:proofErr w:type="spellEnd"/>
      <w:r w:rsidRPr="00F14EAC">
        <w:rPr>
          <w:color w:val="auto"/>
        </w:rPr>
        <w:t xml:space="preserve">, M., Stern, N., &amp; Brock, G. (2023). Does Testosterone Salvage PDE5i Non-Responders? A Scoping Review. Endocrines, 4(1), 117-127. </w:t>
      </w:r>
      <w:hyperlink r:id="rId33" w:history="1">
        <w:r w:rsidRPr="00F14EAC">
          <w:rPr>
            <w:rStyle w:val="Hyperlink"/>
          </w:rPr>
          <w:t>https://doi.org/10.3390/endocrines4010011</w:t>
        </w:r>
      </w:hyperlink>
      <w:r w:rsidRPr="00F14EAC">
        <w:rPr>
          <w:color w:val="auto"/>
        </w:rPr>
        <w:t xml:space="preserve"> </w:t>
      </w:r>
    </w:p>
    <w:p w14:paraId="309C4C2B" w14:textId="253A5CC4" w:rsidR="000B05ED" w:rsidRPr="00AA2DCF" w:rsidRDefault="007F585E" w:rsidP="00AA2DCF">
      <w:pPr>
        <w:pStyle w:val="ListParagraph"/>
        <w:numPr>
          <w:ilvl w:val="0"/>
          <w:numId w:val="4"/>
        </w:numPr>
        <w:rPr>
          <w:rFonts w:ascii="Times New Roman" w:hAnsi="Times New Roman" w:cs="Times New Roman"/>
          <w:sz w:val="24"/>
          <w:szCs w:val="24"/>
          <w14:ligatures w14:val="standardContextual"/>
        </w:rPr>
      </w:pPr>
      <w:proofErr w:type="spellStart"/>
      <w:r w:rsidRPr="00AA2DCF">
        <w:rPr>
          <w:rFonts w:ascii="Times New Roman" w:hAnsi="Times New Roman" w:cs="Times New Roman"/>
          <w:sz w:val="24"/>
          <w:szCs w:val="24"/>
          <w14:ligatures w14:val="standardContextual"/>
        </w:rPr>
        <w:t>Shamloul</w:t>
      </w:r>
      <w:proofErr w:type="spellEnd"/>
      <w:r w:rsidRPr="00AA2DCF">
        <w:rPr>
          <w:rFonts w:ascii="Times New Roman" w:hAnsi="Times New Roman" w:cs="Times New Roman"/>
          <w:sz w:val="24"/>
          <w:szCs w:val="24"/>
          <w14:ligatures w14:val="standardContextual"/>
        </w:rPr>
        <w:t xml:space="preserve">, R., &amp; Ghanem, H. (2013). Erectile dysfunction. Lancet, 381(9861), 153-165. </w:t>
      </w:r>
      <w:hyperlink r:id="rId34" w:history="1">
        <w:r w:rsidRPr="00AA2DCF">
          <w:rPr>
            <w:rStyle w:val="Hyperlink"/>
            <w:rFonts w:ascii="Times New Roman" w:hAnsi="Times New Roman" w:cs="Times New Roman"/>
            <w:sz w:val="24"/>
            <w:szCs w:val="24"/>
            <w14:ligatures w14:val="standardContextual"/>
          </w:rPr>
          <w:t>https://doi.org/10.1016/S0140-6736(12)60520-0</w:t>
        </w:r>
      </w:hyperlink>
      <w:r w:rsidRPr="00AA2DCF">
        <w:rPr>
          <w:rFonts w:ascii="Times New Roman" w:hAnsi="Times New Roman" w:cs="Times New Roman"/>
          <w:sz w:val="24"/>
          <w:szCs w:val="24"/>
          <w14:ligatures w14:val="standardContextual"/>
        </w:rPr>
        <w:t xml:space="preserve"> </w:t>
      </w:r>
      <w:r w:rsidR="000B05ED" w:rsidRPr="00AA2DCF">
        <w:rPr>
          <w:rFonts w:ascii="Times New Roman" w:hAnsi="Times New Roman" w:cs="Times New Roman"/>
          <w:sz w:val="24"/>
          <w:szCs w:val="24"/>
          <w14:ligatures w14:val="standardContextual"/>
        </w:rPr>
        <w:t>.</w:t>
      </w:r>
    </w:p>
    <w:p w14:paraId="7C08BD7B" w14:textId="3A35FEE7" w:rsidR="008232CD" w:rsidRPr="00AA2DCF" w:rsidRDefault="008232CD" w:rsidP="00AA2DCF">
      <w:pPr>
        <w:pStyle w:val="ListParagraph"/>
        <w:numPr>
          <w:ilvl w:val="0"/>
          <w:numId w:val="4"/>
        </w:numPr>
        <w:rPr>
          <w:rFonts w:ascii="Times New Roman" w:hAnsi="Times New Roman" w:cs="Times New Roman"/>
          <w:color w:val="EE0000"/>
          <w:sz w:val="24"/>
          <w:szCs w:val="24"/>
          <w14:ligatures w14:val="standardContextual"/>
        </w:rPr>
      </w:pPr>
      <w:proofErr w:type="spellStart"/>
      <w:r w:rsidRPr="00AA2DCF">
        <w:rPr>
          <w:rFonts w:ascii="Times New Roman" w:hAnsi="Times New Roman" w:cs="Times New Roman"/>
          <w:color w:val="EE0000"/>
          <w:sz w:val="24"/>
          <w:szCs w:val="24"/>
          <w14:ligatures w14:val="standardContextual"/>
        </w:rPr>
        <w:t>Wibowo</w:t>
      </w:r>
      <w:proofErr w:type="spellEnd"/>
      <w:r w:rsidRPr="00AA2DCF">
        <w:rPr>
          <w:rFonts w:ascii="Times New Roman" w:hAnsi="Times New Roman" w:cs="Times New Roman"/>
          <w:color w:val="EE0000"/>
          <w:sz w:val="24"/>
          <w:szCs w:val="24"/>
          <w14:ligatures w14:val="standardContextual"/>
        </w:rPr>
        <w:t xml:space="preserve">, D.N.S.A, </w:t>
      </w:r>
      <w:proofErr w:type="spellStart"/>
      <w:r w:rsidRPr="00AA2DCF">
        <w:rPr>
          <w:rFonts w:ascii="Times New Roman" w:hAnsi="Times New Roman" w:cs="Times New Roman"/>
          <w:color w:val="EE0000"/>
          <w:sz w:val="24"/>
          <w:szCs w:val="24"/>
          <w14:ligatures w14:val="standardContextual"/>
        </w:rPr>
        <w:t>Soebadi</w:t>
      </w:r>
      <w:proofErr w:type="spellEnd"/>
      <w:r w:rsidRPr="00AA2DCF">
        <w:rPr>
          <w:rFonts w:ascii="Times New Roman" w:hAnsi="Times New Roman" w:cs="Times New Roman"/>
          <w:color w:val="EE0000"/>
          <w:sz w:val="24"/>
          <w:szCs w:val="24"/>
          <w14:ligatures w14:val="standardContextual"/>
        </w:rPr>
        <w:t xml:space="preserve">, D.M, </w:t>
      </w:r>
      <w:proofErr w:type="spellStart"/>
      <w:r w:rsidRPr="00AA2DCF">
        <w:rPr>
          <w:rFonts w:ascii="Times New Roman" w:hAnsi="Times New Roman" w:cs="Times New Roman"/>
          <w:color w:val="EE0000"/>
          <w:sz w:val="24"/>
          <w:szCs w:val="24"/>
          <w14:ligatures w14:val="standardContextual"/>
        </w:rPr>
        <w:t>Soebadi</w:t>
      </w:r>
      <w:proofErr w:type="spellEnd"/>
      <w:r w:rsidRPr="00AA2DCF">
        <w:rPr>
          <w:rFonts w:ascii="Times New Roman" w:hAnsi="Times New Roman" w:cs="Times New Roman"/>
          <w:color w:val="EE0000"/>
          <w:sz w:val="24"/>
          <w:szCs w:val="24"/>
          <w14:ligatures w14:val="standardContextual"/>
        </w:rPr>
        <w:t xml:space="preserve">, </w:t>
      </w:r>
      <w:proofErr w:type="gramStart"/>
      <w:r w:rsidRPr="00AA2DCF">
        <w:rPr>
          <w:rFonts w:ascii="Times New Roman" w:hAnsi="Times New Roman" w:cs="Times New Roman"/>
          <w:color w:val="EE0000"/>
          <w:sz w:val="24"/>
          <w:szCs w:val="24"/>
          <w14:ligatures w14:val="standardContextual"/>
        </w:rPr>
        <w:t>M.A.(</w:t>
      </w:r>
      <w:proofErr w:type="gramEnd"/>
      <w:r w:rsidRPr="00AA2DCF">
        <w:rPr>
          <w:rFonts w:ascii="Times New Roman" w:hAnsi="Times New Roman" w:cs="Times New Roman"/>
          <w:color w:val="EE0000"/>
          <w:sz w:val="24"/>
          <w:szCs w:val="24"/>
          <w14:ligatures w14:val="standardContextual"/>
        </w:rPr>
        <w:t xml:space="preserve">2021) Yohimbine as a treatment for erectile dysfunction: A systematic review and meta-analysis. Turkish Journal of Urology;47(6):482-488. </w:t>
      </w:r>
      <w:proofErr w:type="spellStart"/>
      <w:r w:rsidRPr="00AA2DCF">
        <w:rPr>
          <w:rFonts w:ascii="Times New Roman" w:hAnsi="Times New Roman" w:cs="Times New Roman"/>
          <w:color w:val="EE0000"/>
          <w:sz w:val="24"/>
          <w:szCs w:val="24"/>
          <w14:ligatures w14:val="standardContextual"/>
        </w:rPr>
        <w:t>doi</w:t>
      </w:r>
      <w:proofErr w:type="spellEnd"/>
      <w:r w:rsidRPr="00AA2DCF">
        <w:rPr>
          <w:rFonts w:ascii="Times New Roman" w:hAnsi="Times New Roman" w:cs="Times New Roman"/>
          <w:color w:val="EE0000"/>
          <w:sz w:val="24"/>
          <w:szCs w:val="24"/>
          <w14:ligatures w14:val="standardContextual"/>
        </w:rPr>
        <w:t xml:space="preserve">: 10.5152/tud.2021.21206. </w:t>
      </w:r>
    </w:p>
    <w:p w14:paraId="7722DDDE" w14:textId="4791A57B" w:rsidR="000B05ED" w:rsidRPr="00AA2DCF" w:rsidRDefault="00383231" w:rsidP="00AA2DCF">
      <w:pPr>
        <w:pStyle w:val="ListParagraph"/>
        <w:numPr>
          <w:ilvl w:val="0"/>
          <w:numId w:val="4"/>
        </w:numPr>
        <w:rPr>
          <w:rFonts w:ascii="Times New Roman" w:hAnsi="Times New Roman" w:cs="Times New Roman"/>
          <w:sz w:val="24"/>
          <w:szCs w:val="24"/>
          <w14:ligatures w14:val="standardContextual"/>
        </w:rPr>
      </w:pPr>
      <w:r w:rsidRPr="00AA2DCF">
        <w:rPr>
          <w:rFonts w:ascii="Times New Roman" w:hAnsi="Times New Roman" w:cs="Times New Roman"/>
          <w:sz w:val="24"/>
          <w:szCs w:val="24"/>
          <w:lang w:val="fi-FI"/>
          <w14:ligatures w14:val="standardContextual"/>
        </w:rPr>
        <w:t xml:space="preserve">Yakubu, M. T., Akanji, M. A., &amp; Oladiji, A. T. (2007). </w:t>
      </w:r>
      <w:r w:rsidRPr="00AA2DCF">
        <w:rPr>
          <w:rFonts w:ascii="Times New Roman" w:hAnsi="Times New Roman" w:cs="Times New Roman"/>
          <w:sz w:val="24"/>
          <w:szCs w:val="24"/>
          <w14:ligatures w14:val="standardContextual"/>
        </w:rPr>
        <w:t xml:space="preserve">Male sexual dysfunction and methods used in assessing medicinal plants with aphrodisiac potentials. </w:t>
      </w:r>
      <w:r w:rsidRPr="00AA2DCF">
        <w:rPr>
          <w:rFonts w:ascii="Times New Roman" w:hAnsi="Times New Roman" w:cs="Times New Roman"/>
          <w:sz w:val="24"/>
          <w:szCs w:val="24"/>
          <w:lang w:val="fi-FI"/>
          <w14:ligatures w14:val="standardContextual"/>
        </w:rPr>
        <w:t xml:space="preserve">Pharmacognosy Reviews, 1(1), 49-56. </w:t>
      </w:r>
      <w:hyperlink r:id="rId35" w:history="1">
        <w:r w:rsidRPr="00AA2DCF">
          <w:rPr>
            <w:rStyle w:val="Hyperlink"/>
            <w:rFonts w:ascii="Times New Roman" w:hAnsi="Times New Roman" w:cs="Times New Roman"/>
            <w:sz w:val="24"/>
            <w:szCs w:val="24"/>
            <w:lang w:val="fi-FI"/>
            <w14:ligatures w14:val="standardContextual"/>
          </w:rPr>
          <w:t>http://www.phcogrev.com/issue1/6.pdf</w:t>
        </w:r>
      </w:hyperlink>
      <w:r w:rsidRPr="00AA2DCF">
        <w:rPr>
          <w:rFonts w:ascii="Times New Roman" w:hAnsi="Times New Roman" w:cs="Times New Roman"/>
          <w:sz w:val="24"/>
          <w:szCs w:val="24"/>
          <w:lang w:val="fi-FI"/>
          <w14:ligatures w14:val="standardContextual"/>
        </w:rPr>
        <w:t xml:space="preserve"> </w:t>
      </w:r>
    </w:p>
    <w:p w14:paraId="13D3BE6D" w14:textId="77777777" w:rsidR="00061647" w:rsidRPr="00F14EAC" w:rsidRDefault="00061647" w:rsidP="00061647">
      <w:pPr>
        <w:pStyle w:val="Default"/>
        <w:ind w:left="720"/>
        <w:rPr>
          <w:color w:val="auto"/>
        </w:rPr>
      </w:pPr>
    </w:p>
    <w:p w14:paraId="3D3D11FF" w14:textId="77777777" w:rsidR="00061647" w:rsidRPr="00F14EAC" w:rsidRDefault="00061647" w:rsidP="00061647">
      <w:pPr>
        <w:pStyle w:val="Default"/>
        <w:ind w:left="720"/>
        <w:rPr>
          <w:color w:val="auto"/>
        </w:rPr>
      </w:pPr>
    </w:p>
    <w:p w14:paraId="6AE83887" w14:textId="77777777" w:rsidR="00061647" w:rsidRPr="00F14EAC" w:rsidRDefault="00061647" w:rsidP="00061647">
      <w:pPr>
        <w:pStyle w:val="Default"/>
        <w:ind w:left="360"/>
        <w:rPr>
          <w:color w:val="auto"/>
        </w:rPr>
      </w:pPr>
    </w:p>
    <w:p w14:paraId="69CD8B87" w14:textId="77777777" w:rsidR="00061647" w:rsidRPr="00F14EAC" w:rsidRDefault="00061647" w:rsidP="00061647">
      <w:pPr>
        <w:pStyle w:val="Default"/>
        <w:ind w:left="540" w:hanging="540"/>
        <w:rPr>
          <w:color w:val="auto"/>
        </w:rPr>
      </w:pPr>
    </w:p>
    <w:p w14:paraId="0D6E96E2" w14:textId="77777777" w:rsidR="00061647" w:rsidRPr="00F14EAC" w:rsidRDefault="00061647" w:rsidP="00061647">
      <w:pPr>
        <w:pStyle w:val="Default"/>
        <w:ind w:left="540" w:hanging="540"/>
        <w:rPr>
          <w:color w:val="auto"/>
        </w:rPr>
      </w:pPr>
    </w:p>
    <w:p w14:paraId="669F1199" w14:textId="77777777" w:rsidR="00061647" w:rsidRPr="00F14EAC" w:rsidRDefault="00061647" w:rsidP="00061647">
      <w:pPr>
        <w:pStyle w:val="Default"/>
        <w:ind w:left="540" w:hanging="540"/>
        <w:rPr>
          <w:color w:val="auto"/>
        </w:rPr>
      </w:pPr>
    </w:p>
    <w:p w14:paraId="7F730EF1" w14:textId="77777777" w:rsidR="00061647" w:rsidRPr="00F14EAC" w:rsidRDefault="00061647" w:rsidP="00061647">
      <w:pPr>
        <w:pStyle w:val="Default"/>
        <w:ind w:left="540" w:hanging="540"/>
        <w:rPr>
          <w:color w:val="auto"/>
        </w:rPr>
      </w:pPr>
    </w:p>
    <w:p w14:paraId="7C11371F" w14:textId="77777777" w:rsidR="00061647" w:rsidRPr="00F14EAC" w:rsidRDefault="00061647" w:rsidP="00061647">
      <w:pPr>
        <w:pStyle w:val="Default"/>
        <w:ind w:left="540" w:hanging="540"/>
        <w:rPr>
          <w:color w:val="auto"/>
        </w:rPr>
      </w:pPr>
    </w:p>
    <w:p w14:paraId="3B7C9EF7" w14:textId="77777777" w:rsidR="00061647" w:rsidRPr="00F14EAC" w:rsidRDefault="00061647" w:rsidP="00061647">
      <w:pPr>
        <w:pStyle w:val="Default"/>
        <w:rPr>
          <w:b/>
          <w:bCs/>
          <w:color w:val="auto"/>
        </w:rPr>
      </w:pPr>
    </w:p>
    <w:p w14:paraId="36EB4991" w14:textId="77777777" w:rsidR="00061647" w:rsidRPr="00F14EAC" w:rsidRDefault="00061647" w:rsidP="00061647">
      <w:pPr>
        <w:pStyle w:val="Default"/>
        <w:rPr>
          <w:b/>
          <w:bCs/>
          <w:color w:val="auto"/>
        </w:rPr>
      </w:pPr>
    </w:p>
    <w:p w14:paraId="7B71FF5D" w14:textId="77777777" w:rsidR="00061647" w:rsidRPr="00F14EAC" w:rsidRDefault="00061647" w:rsidP="00061647">
      <w:pPr>
        <w:pStyle w:val="Default"/>
        <w:rPr>
          <w:b/>
          <w:bCs/>
          <w:color w:val="auto"/>
        </w:rPr>
      </w:pPr>
    </w:p>
    <w:p w14:paraId="4C828638" w14:textId="77777777" w:rsidR="004369F3" w:rsidRPr="00F14EAC" w:rsidRDefault="004369F3">
      <w:pPr>
        <w:rPr>
          <w:rFonts w:ascii="Times New Roman" w:hAnsi="Times New Roman" w:cs="Times New Roman"/>
          <w:sz w:val="24"/>
          <w:szCs w:val="24"/>
        </w:rPr>
      </w:pPr>
    </w:p>
    <w:sectPr w:rsidR="004369F3" w:rsidRPr="00F14EAC">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F6630" w14:textId="77777777" w:rsidR="006D5360" w:rsidRDefault="006D5360" w:rsidP="0012264F">
      <w:pPr>
        <w:spacing w:after="0" w:line="240" w:lineRule="auto"/>
      </w:pPr>
      <w:r>
        <w:separator/>
      </w:r>
    </w:p>
  </w:endnote>
  <w:endnote w:type="continuationSeparator" w:id="0">
    <w:p w14:paraId="25C43787" w14:textId="77777777" w:rsidR="006D5360" w:rsidRDefault="006D5360" w:rsidP="00122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6C7A7" w14:textId="77777777" w:rsidR="0012264F" w:rsidRDefault="001226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343E5" w14:textId="77777777" w:rsidR="0012264F" w:rsidRDefault="001226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A89DE" w14:textId="77777777" w:rsidR="0012264F" w:rsidRDefault="00122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F973F" w14:textId="77777777" w:rsidR="006D5360" w:rsidRDefault="006D5360" w:rsidP="0012264F">
      <w:pPr>
        <w:spacing w:after="0" w:line="240" w:lineRule="auto"/>
      </w:pPr>
      <w:r>
        <w:separator/>
      </w:r>
    </w:p>
  </w:footnote>
  <w:footnote w:type="continuationSeparator" w:id="0">
    <w:p w14:paraId="3CC64DC1" w14:textId="77777777" w:rsidR="006D5360" w:rsidRDefault="006D5360" w:rsidP="00122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CBF60" w14:textId="27DA6617" w:rsidR="0012264F" w:rsidRDefault="006D5360">
    <w:pPr>
      <w:pStyle w:val="Header"/>
    </w:pPr>
    <w:r>
      <w:rPr>
        <w:noProof/>
      </w:rPr>
      <w:pict w14:anchorId="0FCF89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4911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79DA9" w14:textId="644D61DA" w:rsidR="0012264F" w:rsidRDefault="006D5360">
    <w:pPr>
      <w:pStyle w:val="Header"/>
    </w:pPr>
    <w:r>
      <w:rPr>
        <w:noProof/>
      </w:rPr>
      <w:pict w14:anchorId="304864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4911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BFD57" w14:textId="1F78DBF4" w:rsidR="0012264F" w:rsidRDefault="006D5360">
    <w:pPr>
      <w:pStyle w:val="Header"/>
    </w:pPr>
    <w:r>
      <w:rPr>
        <w:noProof/>
      </w:rPr>
      <w:pict w14:anchorId="10336A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4910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6222F"/>
    <w:multiLevelType w:val="hybridMultilevel"/>
    <w:tmpl w:val="57942788"/>
    <w:lvl w:ilvl="0" w:tplc="4009000F">
      <w:start w:val="1"/>
      <w:numFmt w:val="decimal"/>
      <w:lvlText w:val="%1."/>
      <w:lvlJc w:val="left"/>
      <w:pPr>
        <w:ind w:left="630" w:hanging="360"/>
      </w:p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1" w15:restartNumberingAfterBreak="0">
    <w:nsid w:val="1E1E210E"/>
    <w:multiLevelType w:val="hybridMultilevel"/>
    <w:tmpl w:val="96688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88688A"/>
    <w:multiLevelType w:val="hybridMultilevel"/>
    <w:tmpl w:val="A7887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FB737D"/>
    <w:multiLevelType w:val="multilevel"/>
    <w:tmpl w:val="B666DAD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647"/>
    <w:rsid w:val="00061647"/>
    <w:rsid w:val="00062721"/>
    <w:rsid w:val="000754D3"/>
    <w:rsid w:val="000B05ED"/>
    <w:rsid w:val="000D014F"/>
    <w:rsid w:val="000F060C"/>
    <w:rsid w:val="0012264F"/>
    <w:rsid w:val="00154513"/>
    <w:rsid w:val="00160754"/>
    <w:rsid w:val="001B7C6D"/>
    <w:rsid w:val="001C332B"/>
    <w:rsid w:val="00275714"/>
    <w:rsid w:val="002F6940"/>
    <w:rsid w:val="003165E6"/>
    <w:rsid w:val="003570C9"/>
    <w:rsid w:val="003717C2"/>
    <w:rsid w:val="00381A83"/>
    <w:rsid w:val="00383231"/>
    <w:rsid w:val="003C351C"/>
    <w:rsid w:val="004369F3"/>
    <w:rsid w:val="00437DC1"/>
    <w:rsid w:val="00470413"/>
    <w:rsid w:val="00504852"/>
    <w:rsid w:val="0050687B"/>
    <w:rsid w:val="006128D6"/>
    <w:rsid w:val="00666073"/>
    <w:rsid w:val="006B1363"/>
    <w:rsid w:val="006D5360"/>
    <w:rsid w:val="006E762E"/>
    <w:rsid w:val="007F585E"/>
    <w:rsid w:val="00803AC4"/>
    <w:rsid w:val="008232CD"/>
    <w:rsid w:val="00830C37"/>
    <w:rsid w:val="00863711"/>
    <w:rsid w:val="008A086E"/>
    <w:rsid w:val="008F2657"/>
    <w:rsid w:val="00905E3A"/>
    <w:rsid w:val="009745CA"/>
    <w:rsid w:val="009D2D15"/>
    <w:rsid w:val="00A175D1"/>
    <w:rsid w:val="00A81844"/>
    <w:rsid w:val="00AA2DCF"/>
    <w:rsid w:val="00AC593D"/>
    <w:rsid w:val="00B72EC9"/>
    <w:rsid w:val="00BB6734"/>
    <w:rsid w:val="00BF3C07"/>
    <w:rsid w:val="00C34764"/>
    <w:rsid w:val="00C65508"/>
    <w:rsid w:val="00D90F96"/>
    <w:rsid w:val="00DE02F4"/>
    <w:rsid w:val="00E1024C"/>
    <w:rsid w:val="00E41D8A"/>
    <w:rsid w:val="00E606A1"/>
    <w:rsid w:val="00EB1D81"/>
    <w:rsid w:val="00F14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65DF23"/>
  <w15:chartTrackingRefBased/>
  <w15:docId w15:val="{A13CBA4D-F30A-408D-A480-BB03166E1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1647"/>
  </w:style>
  <w:style w:type="paragraph" w:styleId="Heading1">
    <w:name w:val="heading 1"/>
    <w:basedOn w:val="Normal"/>
    <w:next w:val="Normal"/>
    <w:link w:val="Heading1Char"/>
    <w:uiPriority w:val="9"/>
    <w:qFormat/>
    <w:rsid w:val="0006164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6164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6164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6164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6164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616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6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6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6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64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6164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6164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6164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6164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61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647"/>
    <w:rPr>
      <w:rFonts w:eastAsiaTheme="majorEastAsia" w:cstheme="majorBidi"/>
      <w:color w:val="272727" w:themeColor="text1" w:themeTint="D8"/>
    </w:rPr>
  </w:style>
  <w:style w:type="paragraph" w:styleId="Title">
    <w:name w:val="Title"/>
    <w:basedOn w:val="Normal"/>
    <w:next w:val="Normal"/>
    <w:link w:val="TitleChar"/>
    <w:uiPriority w:val="10"/>
    <w:qFormat/>
    <w:rsid w:val="00061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6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1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647"/>
    <w:pPr>
      <w:spacing w:before="160"/>
      <w:jc w:val="center"/>
    </w:pPr>
    <w:rPr>
      <w:i/>
      <w:iCs/>
      <w:color w:val="404040" w:themeColor="text1" w:themeTint="BF"/>
    </w:rPr>
  </w:style>
  <w:style w:type="character" w:customStyle="1" w:styleId="QuoteChar">
    <w:name w:val="Quote Char"/>
    <w:basedOn w:val="DefaultParagraphFont"/>
    <w:link w:val="Quote"/>
    <w:uiPriority w:val="29"/>
    <w:rsid w:val="00061647"/>
    <w:rPr>
      <w:i/>
      <w:iCs/>
      <w:color w:val="404040" w:themeColor="text1" w:themeTint="BF"/>
    </w:rPr>
  </w:style>
  <w:style w:type="paragraph" w:styleId="ListParagraph">
    <w:name w:val="List Paragraph"/>
    <w:basedOn w:val="Normal"/>
    <w:uiPriority w:val="34"/>
    <w:qFormat/>
    <w:rsid w:val="00061647"/>
    <w:pPr>
      <w:ind w:left="720"/>
      <w:contextualSpacing/>
    </w:pPr>
  </w:style>
  <w:style w:type="character" w:styleId="IntenseEmphasis">
    <w:name w:val="Intense Emphasis"/>
    <w:basedOn w:val="DefaultParagraphFont"/>
    <w:uiPriority w:val="21"/>
    <w:qFormat/>
    <w:rsid w:val="00061647"/>
    <w:rPr>
      <w:i/>
      <w:iCs/>
      <w:color w:val="2E74B5" w:themeColor="accent1" w:themeShade="BF"/>
    </w:rPr>
  </w:style>
  <w:style w:type="paragraph" w:styleId="IntenseQuote">
    <w:name w:val="Intense Quote"/>
    <w:basedOn w:val="Normal"/>
    <w:next w:val="Normal"/>
    <w:link w:val="IntenseQuoteChar"/>
    <w:uiPriority w:val="30"/>
    <w:qFormat/>
    <w:rsid w:val="0006164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61647"/>
    <w:rPr>
      <w:i/>
      <w:iCs/>
      <w:color w:val="2E74B5" w:themeColor="accent1" w:themeShade="BF"/>
    </w:rPr>
  </w:style>
  <w:style w:type="character" w:styleId="IntenseReference">
    <w:name w:val="Intense Reference"/>
    <w:basedOn w:val="DefaultParagraphFont"/>
    <w:uiPriority w:val="32"/>
    <w:qFormat/>
    <w:rsid w:val="00061647"/>
    <w:rPr>
      <w:b/>
      <w:bCs/>
      <w:smallCaps/>
      <w:color w:val="2E74B5" w:themeColor="accent1" w:themeShade="BF"/>
      <w:spacing w:val="5"/>
    </w:rPr>
  </w:style>
  <w:style w:type="paragraph" w:customStyle="1" w:styleId="Default">
    <w:name w:val="Default"/>
    <w:rsid w:val="00061647"/>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table" w:styleId="TableGrid">
    <w:name w:val="Table Grid"/>
    <w:basedOn w:val="TableNormal"/>
    <w:uiPriority w:val="39"/>
    <w:rsid w:val="00061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1647"/>
    <w:rPr>
      <w:color w:val="0563C1" w:themeColor="hyperlink"/>
      <w:u w:val="single"/>
    </w:rPr>
  </w:style>
  <w:style w:type="character" w:styleId="UnresolvedMention">
    <w:name w:val="Unresolved Mention"/>
    <w:basedOn w:val="DefaultParagraphFont"/>
    <w:uiPriority w:val="99"/>
    <w:semiHidden/>
    <w:unhideWhenUsed/>
    <w:rsid w:val="000B05ED"/>
    <w:rPr>
      <w:color w:val="605E5C"/>
      <w:shd w:val="clear" w:color="auto" w:fill="E1DFDD"/>
    </w:rPr>
  </w:style>
  <w:style w:type="paragraph" w:styleId="Header">
    <w:name w:val="header"/>
    <w:basedOn w:val="Normal"/>
    <w:link w:val="HeaderChar"/>
    <w:uiPriority w:val="99"/>
    <w:unhideWhenUsed/>
    <w:rsid w:val="00122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64F"/>
  </w:style>
  <w:style w:type="paragraph" w:styleId="Footer">
    <w:name w:val="footer"/>
    <w:basedOn w:val="Normal"/>
    <w:link w:val="FooterChar"/>
    <w:uiPriority w:val="99"/>
    <w:unhideWhenUsed/>
    <w:rsid w:val="00122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55/2014/868062" TargetMode="External"/><Relationship Id="rId18" Type="http://schemas.openxmlformats.org/officeDocument/2006/relationships/hyperlink" Target="https://www.actascientific.com/ASPS/ASPS-04-0193.php" TargetMode="External"/><Relationship Id="rId26" Type="http://schemas.openxmlformats.org/officeDocument/2006/relationships/hyperlink" Target="https://doi.org/10.3390/medicines9040029" TargetMode="External"/><Relationship Id="rId39" Type="http://schemas.openxmlformats.org/officeDocument/2006/relationships/footer" Target="footer2.xml"/><Relationship Id="rId21" Type="http://schemas.openxmlformats.org/officeDocument/2006/relationships/hyperlink" Target="https://doi.org/10.1371/journal.pone.0116155" TargetMode="External"/><Relationship Id="rId34" Type="http://schemas.openxmlformats.org/officeDocument/2006/relationships/hyperlink" Target="https://doi.org/10.1016/S0140-6736(12)60520-0" TargetMode="External"/><Relationship Id="rId42" Type="http://schemas.openxmlformats.org/officeDocument/2006/relationships/fontTable" Target="fontTable.xml"/><Relationship Id="rId7" Type="http://schemas.openxmlformats.org/officeDocument/2006/relationships/hyperlink" Target="https://doi.org/10.1124/pr.111.004515" TargetMode="External"/><Relationship Id="rId2" Type="http://schemas.openxmlformats.org/officeDocument/2006/relationships/styles" Target="styles.xml"/><Relationship Id="rId16" Type="http://schemas.openxmlformats.org/officeDocument/2006/relationships/hyperlink" Target="https://doi.org/10.1111/j.1939-1676.2008.0262.x" TargetMode="External"/><Relationship Id="rId20" Type="http://schemas.openxmlformats.org/officeDocument/2006/relationships/hyperlink" Target="https://doi.org/10.1002/rmb2.12513" TargetMode="External"/><Relationship Id="rId29" Type="http://schemas.openxmlformats.org/officeDocument/2006/relationships/hyperlink" Target="https://doi.org/10.4314/swj.v19i4.46"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j.1524-6175.2006.06026.x" TargetMode="External"/><Relationship Id="rId24" Type="http://schemas.openxmlformats.org/officeDocument/2006/relationships/hyperlink" Target="https://doi.org/10.17226/12910" TargetMode="External"/><Relationship Id="rId32" Type="http://schemas.openxmlformats.org/officeDocument/2006/relationships/hyperlink" Target="https://doi.org/10.11604/pamj.2016.24.124.8660"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159/000125361" TargetMode="External"/><Relationship Id="rId23" Type="http://schemas.openxmlformats.org/officeDocument/2006/relationships/hyperlink" Target="https://doi.org/10.1016/s0022-5347(17)44436-3" TargetMode="External"/><Relationship Id="rId28" Type="http://schemas.openxmlformats.org/officeDocument/2006/relationships/hyperlink" Target="https://doi.org/10.4103/jina.jina_7_20" TargetMode="External"/><Relationship Id="rId36" Type="http://schemas.openxmlformats.org/officeDocument/2006/relationships/header" Target="header1.xml"/><Relationship Id="rId10" Type="http://schemas.openxmlformats.org/officeDocument/2006/relationships/hyperlink" Target="https://www.jocpr.com/articles/effect-of-processing-on-amygdalin-and-cyanide-contents-of-some-nigerian-foods.pdf" TargetMode="External"/><Relationship Id="rId19" Type="http://schemas.openxmlformats.org/officeDocument/2006/relationships/hyperlink" Target="https://doi.org/10.1080/07853890.2022.2131330" TargetMode="External"/><Relationship Id="rId31" Type="http://schemas.openxmlformats.org/officeDocument/2006/relationships/hyperlink" Target="https://doi.org/10.1787/cd68c07d-en" TargetMode="External"/><Relationship Id="rId4" Type="http://schemas.openxmlformats.org/officeDocument/2006/relationships/webSettings" Target="webSettings.xml"/><Relationship Id="rId9" Type="http://schemas.openxmlformats.org/officeDocument/2006/relationships/hyperlink" Target="https://doi.org/10.3390/biomedicines9030291" TargetMode="External"/><Relationship Id="rId14" Type="http://schemas.openxmlformats.org/officeDocument/2006/relationships/hyperlink" Target="https://doi.org/10.4103/0971-6580.121674" TargetMode="External"/><Relationship Id="rId22" Type="http://schemas.openxmlformats.org/officeDocument/2006/relationships/hyperlink" Target="https://doi.org/10.1021/jacs.9b12319" TargetMode="External"/><Relationship Id="rId27" Type="http://schemas.openxmlformats.org/officeDocument/2006/relationships/hyperlink" Target="http://www.journalcra.com/sites/default/files/issue-pdf/7937.pdf" TargetMode="External"/><Relationship Id="rId30" Type="http://schemas.openxmlformats.org/officeDocument/2006/relationships/hyperlink" Target="https://www.scienceworldjournal.org/index.php/swj/issue/view/17" TargetMode="External"/><Relationship Id="rId35" Type="http://schemas.openxmlformats.org/officeDocument/2006/relationships/hyperlink" Target="http://www.phcogrev.com/issue1/6.pdf" TargetMode="External"/><Relationship Id="rId43" Type="http://schemas.openxmlformats.org/officeDocument/2006/relationships/theme" Target="theme/theme1.xml"/><Relationship Id="rId8" Type="http://schemas.openxmlformats.org/officeDocument/2006/relationships/hyperlink" Target="https://doi.org/10.3390/brainsci13050802" TargetMode="External"/><Relationship Id="rId3" Type="http://schemas.openxmlformats.org/officeDocument/2006/relationships/settings" Target="settings.xml"/><Relationship Id="rId12" Type="http://schemas.openxmlformats.org/officeDocument/2006/relationships/hyperlink" Target="https://doi.org/10.3390/plants14111652" TargetMode="External"/><Relationship Id="rId17" Type="http://schemas.openxmlformats.org/officeDocument/2006/relationships/hyperlink" Target="https://doi.org/10.1111/andr.12866" TargetMode="External"/><Relationship Id="rId25" Type="http://schemas.openxmlformats.org/officeDocument/2006/relationships/hyperlink" Target="https://doi.org/10.3390/ijms252312856" TargetMode="External"/><Relationship Id="rId33" Type="http://schemas.openxmlformats.org/officeDocument/2006/relationships/hyperlink" Target="https://doi.org/10.3390/endocrines4010011"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14</Pages>
  <Words>6865</Words>
  <Characters>39134</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Abiodun Emokpae</dc:creator>
  <cp:keywords/>
  <dc:description/>
  <cp:lastModifiedBy>SDI 1137</cp:lastModifiedBy>
  <cp:revision>7</cp:revision>
  <dcterms:created xsi:type="dcterms:W3CDTF">2025-12-10T10:31:00Z</dcterms:created>
  <dcterms:modified xsi:type="dcterms:W3CDTF">2025-12-11T10:10:00Z</dcterms:modified>
</cp:coreProperties>
</file>