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37B2" w14:textId="3E626093" w:rsidR="00E7514F" w:rsidRDefault="00E7514F" w:rsidP="00CB42F7">
      <w:pPr>
        <w:pStyle w:val="Author"/>
        <w:spacing w:line="240" w:lineRule="auto"/>
        <w:rPr>
          <w:rFonts w:ascii="Arial" w:hAnsi="Arial" w:cs="Arial"/>
          <w:bCs/>
          <w:iCs/>
          <w:kern w:val="28"/>
          <w:sz w:val="36"/>
        </w:rPr>
      </w:pPr>
    </w:p>
    <w:p w14:paraId="18F69A73" w14:textId="7AAA5E69" w:rsidR="00E7514F" w:rsidRPr="00C05E82" w:rsidRDefault="00E7514F" w:rsidP="00C05E82">
      <w:pPr>
        <w:jc w:val="center"/>
        <w:rPr>
          <w:rFonts w:ascii="Times New Roman" w:hAnsi="Times New Roman"/>
          <w:b/>
          <w:bCs/>
          <w:sz w:val="28"/>
          <w:szCs w:val="28"/>
          <w:highlight w:val="yellow"/>
        </w:rPr>
      </w:pPr>
      <w:r w:rsidRPr="00C05E82">
        <w:rPr>
          <w:rFonts w:ascii="Times New Roman" w:hAnsi="Times New Roman"/>
          <w:b/>
          <w:bCs/>
          <w:sz w:val="28"/>
          <w:szCs w:val="28"/>
          <w:highlight w:val="yellow"/>
        </w:rPr>
        <w:t>Inquiry</w:t>
      </w:r>
      <w:r w:rsidR="00520FA8">
        <w:rPr>
          <w:rFonts w:ascii="Times New Roman" w:hAnsi="Times New Roman"/>
          <w:b/>
          <w:bCs/>
          <w:sz w:val="28"/>
          <w:szCs w:val="28"/>
          <w:highlight w:val="yellow"/>
        </w:rPr>
        <w:t xml:space="preserve"> </w:t>
      </w:r>
      <w:r w:rsidRPr="00C05E82">
        <w:rPr>
          <w:rFonts w:ascii="Times New Roman" w:hAnsi="Times New Roman"/>
          <w:b/>
          <w:bCs/>
          <w:sz w:val="28"/>
          <w:szCs w:val="28"/>
          <w:highlight w:val="yellow"/>
        </w:rPr>
        <w:t>Based Learning (IBL) Approach in Science Teaching:</w:t>
      </w:r>
    </w:p>
    <w:p w14:paraId="4AEAD875" w14:textId="478FEC58" w:rsidR="00E7514F" w:rsidRPr="00C05E82" w:rsidRDefault="00E7514F" w:rsidP="00C05E82">
      <w:pPr>
        <w:jc w:val="center"/>
        <w:rPr>
          <w:rFonts w:ascii="Times New Roman" w:hAnsi="Times New Roman"/>
          <w:b/>
          <w:bCs/>
          <w:iCs/>
          <w:kern w:val="28"/>
          <w:sz w:val="28"/>
          <w:szCs w:val="28"/>
        </w:rPr>
      </w:pPr>
      <w:r w:rsidRPr="00C05E82">
        <w:rPr>
          <w:rFonts w:ascii="Times New Roman" w:hAnsi="Times New Roman"/>
          <w:b/>
          <w:bCs/>
          <w:sz w:val="28"/>
          <w:szCs w:val="28"/>
          <w:highlight w:val="yellow"/>
        </w:rPr>
        <w:t>Assessing the Academic Performance of Students</w:t>
      </w:r>
    </w:p>
    <w:p w14:paraId="3C050F74" w14:textId="77777777" w:rsidR="00A258C3" w:rsidRPr="00C76E17" w:rsidRDefault="00A258C3" w:rsidP="00441B6F">
      <w:pPr>
        <w:pStyle w:val="Author"/>
        <w:spacing w:line="240" w:lineRule="auto"/>
        <w:jc w:val="both"/>
        <w:rPr>
          <w:rFonts w:ascii="Arial" w:hAnsi="Arial" w:cs="Arial"/>
          <w:sz w:val="36"/>
        </w:rPr>
      </w:pPr>
    </w:p>
    <w:p w14:paraId="03FD1E6C" w14:textId="77777777" w:rsidR="00B01FCD" w:rsidRPr="00C76E17" w:rsidRDefault="00C42901" w:rsidP="00441B6F">
      <w:pPr>
        <w:pStyle w:val="AbstHead"/>
        <w:spacing w:after="0"/>
        <w:jc w:val="both"/>
        <w:rPr>
          <w:rFonts w:ascii="Arial" w:hAnsi="Arial" w:cs="Arial"/>
        </w:rPr>
      </w:pPr>
      <w:r w:rsidRPr="00C76E17">
        <w:rPr>
          <w:rFonts w:ascii="Arial" w:hAnsi="Arial" w:cs="Arial"/>
        </w:rPr>
        <w:t>ABSTRACT</w:t>
      </w:r>
    </w:p>
    <w:p w14:paraId="2084CEBE" w14:textId="77777777" w:rsidR="00790ADA" w:rsidRPr="00C76E1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7786B" w14:paraId="75148F7A" w14:textId="77777777" w:rsidTr="00903726">
        <w:trPr>
          <w:trHeight w:val="5165"/>
        </w:trPr>
        <w:tc>
          <w:tcPr>
            <w:tcW w:w="9576" w:type="dxa"/>
            <w:shd w:val="clear" w:color="auto" w:fill="F2F2F2"/>
          </w:tcPr>
          <w:p w14:paraId="62A6776E" w14:textId="77777777" w:rsidR="006738CC" w:rsidRDefault="006738CC" w:rsidP="00903726">
            <w:pPr>
              <w:jc w:val="both"/>
              <w:rPr>
                <w:rFonts w:ascii="Arial" w:hAnsi="Arial" w:cs="Arial"/>
                <w:sz w:val="22"/>
                <w:szCs w:val="22"/>
              </w:rPr>
            </w:pPr>
          </w:p>
          <w:p w14:paraId="6400421E" w14:textId="61CF077A" w:rsidR="00A6617C" w:rsidRPr="00C05E82" w:rsidRDefault="006738CC" w:rsidP="00C05E82">
            <w:pPr>
              <w:jc w:val="both"/>
              <w:rPr>
                <w:rFonts w:ascii="Arial" w:hAnsi="Arial" w:cs="Arial"/>
                <w:sz w:val="22"/>
                <w:szCs w:val="22"/>
              </w:rPr>
            </w:pPr>
            <w:r w:rsidRPr="00C05E82">
              <w:rPr>
                <w:rFonts w:ascii="Arial" w:hAnsi="Arial" w:cs="Arial"/>
                <w:sz w:val="22"/>
                <w:szCs w:val="22"/>
                <w:highlight w:val="yellow"/>
              </w:rPr>
              <w:t>Beyond foundational knowledge, there is now an urgent need to equip learners with life skills such as critical thinking, creativity, collaboration, and communication—competencies essential for navigating complex real-world challenges. These life skills are cultivated not only through curriculum content but, more significantly, through how learning is facilitated in classrooms and how outcomes are assessed</w:t>
            </w:r>
            <w:r w:rsidRPr="00C05E82">
              <w:rPr>
                <w:rFonts w:ascii="Arial" w:hAnsi="Arial" w:cs="Arial"/>
                <w:sz w:val="22"/>
                <w:szCs w:val="22"/>
              </w:rPr>
              <w:t>.</w:t>
            </w:r>
            <w:r>
              <w:rPr>
                <w:rFonts w:ascii="Arial" w:hAnsi="Arial" w:cs="Arial"/>
              </w:rPr>
              <w:t xml:space="preserve"> </w:t>
            </w:r>
            <w:r w:rsidR="00C42901" w:rsidRPr="00E772E9">
              <w:rPr>
                <w:rFonts w:ascii="Arial" w:hAnsi="Arial" w:cs="Arial"/>
                <w:sz w:val="22"/>
                <w:szCs w:val="22"/>
              </w:rPr>
              <w:t>The study aimed to assess the Inquiry-Based Learning Approach in teaching Science</w:t>
            </w:r>
            <w:r w:rsidR="00903726" w:rsidRPr="00E772E9">
              <w:rPr>
                <w:rFonts w:ascii="Arial" w:hAnsi="Arial" w:cs="Arial"/>
                <w:sz w:val="22"/>
                <w:szCs w:val="22"/>
              </w:rPr>
              <w:t xml:space="preserve">. It was conducted in the Science class of </w:t>
            </w:r>
            <w:r w:rsidR="00C42901" w:rsidRPr="00E772E9">
              <w:rPr>
                <w:rFonts w:ascii="Arial" w:hAnsi="Arial" w:cs="Arial"/>
                <w:sz w:val="22"/>
                <w:szCs w:val="22"/>
              </w:rPr>
              <w:t>Grade VI pupils of Mote Elementary School</w:t>
            </w:r>
            <w:r w:rsidR="00903726" w:rsidRPr="00E772E9">
              <w:rPr>
                <w:rFonts w:ascii="Arial" w:hAnsi="Arial" w:cs="Arial"/>
                <w:sz w:val="22"/>
                <w:szCs w:val="22"/>
              </w:rPr>
              <w:t>, Mote, Pinalpalan, Malita, Davao Occidental, in the second quarter of the school year 2023-2024</w:t>
            </w:r>
            <w:r w:rsidR="00C42901" w:rsidRPr="00E772E9">
              <w:rPr>
                <w:rFonts w:ascii="Arial" w:hAnsi="Arial" w:cs="Arial"/>
                <w:sz w:val="22"/>
                <w:szCs w:val="22"/>
              </w:rPr>
              <w:t>. The study used a quasi-experimental research design. Forty-eight (48) pupils were used</w:t>
            </w:r>
            <w:r w:rsidR="00903726" w:rsidRPr="00E772E9">
              <w:rPr>
                <w:rFonts w:ascii="Arial" w:hAnsi="Arial" w:cs="Arial"/>
                <w:sz w:val="22"/>
                <w:szCs w:val="22"/>
              </w:rPr>
              <w:t xml:space="preserve"> as subjects of the study. Mean score</w:t>
            </w:r>
            <w:r w:rsidR="00C42901" w:rsidRPr="00E772E9">
              <w:rPr>
                <w:rFonts w:ascii="Arial" w:hAnsi="Arial" w:cs="Arial"/>
                <w:sz w:val="22"/>
                <w:szCs w:val="22"/>
              </w:rPr>
              <w:t xml:space="preserve">s were calculated to describe the information, and a t-test was used to test the </w:t>
            </w:r>
            <w:r w:rsidR="00903726" w:rsidRPr="00E772E9">
              <w:rPr>
                <w:rFonts w:ascii="Arial" w:hAnsi="Arial" w:cs="Arial"/>
                <w:sz w:val="22"/>
                <w:szCs w:val="22"/>
              </w:rPr>
              <w:t xml:space="preserve">hypothesis outlined in this study. </w:t>
            </w:r>
            <w:r w:rsidR="00C42901" w:rsidRPr="00E772E9">
              <w:rPr>
                <w:rFonts w:ascii="Arial" w:hAnsi="Arial" w:cs="Arial"/>
                <w:sz w:val="22"/>
                <w:szCs w:val="22"/>
              </w:rPr>
              <w:t>Results showed that the academic performance of pupils of both the control and experimental groups during the pretest was satisfactory. Moreover, there was no significant difference in the pretest scores of the pupils between the co</w:t>
            </w:r>
            <w:r w:rsidR="00903726" w:rsidRPr="00E772E9">
              <w:rPr>
                <w:rFonts w:ascii="Arial" w:hAnsi="Arial" w:cs="Arial"/>
                <w:sz w:val="22"/>
                <w:szCs w:val="22"/>
              </w:rPr>
              <w:t xml:space="preserve">ntrol and experimental groups. </w:t>
            </w:r>
            <w:r w:rsidR="00C42901" w:rsidRPr="00E772E9">
              <w:rPr>
                <w:rFonts w:ascii="Arial" w:hAnsi="Arial" w:cs="Arial"/>
                <w:sz w:val="22"/>
                <w:szCs w:val="22"/>
              </w:rPr>
              <w:t>However, the results of the posttest revealed a significant difference in the performance of pupils between the control and experimental groups. The experimental group, which was given the Inquiry-Based Learning Approach, performed better than the control group, which was provided with the Conventional Teaching Method</w:t>
            </w:r>
            <w:r w:rsidR="00A6617C">
              <w:rPr>
                <w:rFonts w:ascii="Arial" w:hAnsi="Arial" w:cs="Arial"/>
                <w:sz w:val="22"/>
                <w:szCs w:val="22"/>
              </w:rPr>
              <w:t xml:space="preserve">. </w:t>
            </w:r>
            <w:r w:rsidR="00C42901" w:rsidRPr="00E772E9">
              <w:t>On the other hand, a significant difference was observed between the pretest and posttest results of the Grade VI pupils taught using the Conventional Teaching Method. Furthermore, a significant difference was found between the pretest and posttest scores of the pupils exposed to the Inquiry-Based Learning Approach.</w:t>
            </w:r>
            <w:r w:rsidR="00903726" w:rsidRPr="00E772E9">
              <w:t xml:space="preserve"> </w:t>
            </w:r>
            <w:r w:rsidR="00C42901" w:rsidRPr="00E772E9">
              <w:t>Generally, the findings of the present study suggest that the Inquiry-Based Learning Approach was significantly more effective than the other method used in the study, as it substantially improved the academic performance of the Grade VI pupils in Science.</w:t>
            </w:r>
            <w:r w:rsidR="00A6617C">
              <w:t xml:space="preserve"> </w:t>
            </w:r>
            <w:r w:rsidR="00A6617C" w:rsidRPr="00C05E82">
              <w:rPr>
                <w:rFonts w:ascii="Arial" w:hAnsi="Arial" w:cs="Arial"/>
                <w:sz w:val="22"/>
                <w:szCs w:val="22"/>
                <w:highlight w:val="yellow"/>
              </w:rPr>
              <w:t>This study confirmed the positive impact of learner-</w:t>
            </w:r>
            <w:proofErr w:type="spellStart"/>
            <w:r w:rsidR="00A6617C" w:rsidRPr="00C05E82">
              <w:rPr>
                <w:rFonts w:ascii="Arial" w:hAnsi="Arial" w:cs="Arial"/>
                <w:sz w:val="22"/>
                <w:szCs w:val="22"/>
                <w:highlight w:val="yellow"/>
              </w:rPr>
              <w:t>centred</w:t>
            </w:r>
            <w:proofErr w:type="spellEnd"/>
            <w:r w:rsidR="00A6617C" w:rsidRPr="00C05E82">
              <w:rPr>
                <w:rFonts w:ascii="Arial" w:hAnsi="Arial" w:cs="Arial"/>
                <w:sz w:val="22"/>
                <w:szCs w:val="22"/>
                <w:highlight w:val="yellow"/>
              </w:rPr>
              <w:t>, inquiry-driven instruction on developing deeper understanding and critical thinking skills among Grade 6 pupils.</w:t>
            </w:r>
          </w:p>
          <w:p w14:paraId="6132CDF8" w14:textId="78F55309" w:rsidR="00505F06" w:rsidRPr="00C05E82" w:rsidRDefault="00505F06" w:rsidP="00903726">
            <w:pPr>
              <w:jc w:val="both"/>
              <w:rPr>
                <w:rFonts w:ascii="Arial" w:hAnsi="Arial" w:cs="Arial"/>
                <w:sz w:val="22"/>
                <w:szCs w:val="22"/>
                <w:lang w:val="en-PH"/>
              </w:rPr>
            </w:pPr>
          </w:p>
        </w:tc>
      </w:tr>
    </w:tbl>
    <w:p w14:paraId="30D11E87" w14:textId="77777777" w:rsidR="00636EB2" w:rsidRPr="00C76E17" w:rsidRDefault="00636EB2" w:rsidP="00441B6F">
      <w:pPr>
        <w:pStyle w:val="Body"/>
        <w:spacing w:after="0"/>
        <w:rPr>
          <w:rFonts w:ascii="Arial" w:hAnsi="Arial" w:cs="Arial"/>
          <w:i/>
        </w:rPr>
      </w:pPr>
    </w:p>
    <w:p w14:paraId="618CE766" w14:textId="77777777" w:rsidR="00A24E7E" w:rsidRPr="00C76E17" w:rsidRDefault="00C42901" w:rsidP="00441B6F">
      <w:pPr>
        <w:pStyle w:val="Body"/>
        <w:spacing w:after="0"/>
        <w:rPr>
          <w:rFonts w:ascii="Arial" w:hAnsi="Arial" w:cs="Arial"/>
          <w:i/>
        </w:rPr>
      </w:pPr>
      <w:r w:rsidRPr="00C76E17">
        <w:rPr>
          <w:rFonts w:ascii="Arial" w:hAnsi="Arial" w:cs="Arial"/>
          <w:i/>
        </w:rPr>
        <w:t>Keywords: Assessment; Conventional Teaching; Inquiry-Based Approach Learning; Science, Test</w:t>
      </w:r>
    </w:p>
    <w:p w14:paraId="75962365" w14:textId="77777777" w:rsidR="00505F06" w:rsidRPr="00C76E17" w:rsidRDefault="00505F06" w:rsidP="00441B6F">
      <w:pPr>
        <w:pStyle w:val="Body"/>
        <w:spacing w:after="0"/>
        <w:rPr>
          <w:rFonts w:ascii="Arial" w:hAnsi="Arial" w:cs="Arial"/>
          <w:i/>
        </w:rPr>
      </w:pPr>
    </w:p>
    <w:p w14:paraId="1BD8D6C0" w14:textId="77777777" w:rsidR="00790ADA" w:rsidRDefault="00C42901" w:rsidP="00441B6F">
      <w:pPr>
        <w:pStyle w:val="AbstHead"/>
        <w:spacing w:after="0"/>
        <w:jc w:val="both"/>
        <w:rPr>
          <w:rFonts w:ascii="Arial" w:hAnsi="Arial" w:cs="Arial"/>
        </w:rPr>
      </w:pPr>
      <w:r w:rsidRPr="00C76E17">
        <w:rPr>
          <w:rFonts w:ascii="Arial" w:hAnsi="Arial" w:cs="Arial"/>
        </w:rPr>
        <w:t xml:space="preserve">1. </w:t>
      </w:r>
      <w:r w:rsidR="00B01FCD" w:rsidRPr="00C76E17">
        <w:rPr>
          <w:rFonts w:ascii="Arial" w:hAnsi="Arial" w:cs="Arial"/>
        </w:rPr>
        <w:t>INTRODUCTION</w:t>
      </w:r>
      <w:r w:rsidR="007F7B32" w:rsidRPr="00C76E17">
        <w:rPr>
          <w:rFonts w:ascii="Arial" w:hAnsi="Arial" w:cs="Arial"/>
        </w:rPr>
        <w:t xml:space="preserve"> </w:t>
      </w:r>
    </w:p>
    <w:p w14:paraId="68B33D5E" w14:textId="1E9FBC99"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The rapid evolution of the 21st century has transformed the demands placed upon education systems worldwide. Beyond foundational knowledge, there is now an urgent need to equip learners with life skills such as critical thinking, creativity, collaboration, and communication—competencies essential for navigating complex real-world challenges</w:t>
      </w:r>
      <w:r w:rsidR="00871124">
        <w:rPr>
          <w:rFonts w:ascii="Arial" w:hAnsi="Arial" w:cs="Arial"/>
          <w:sz w:val="20"/>
          <w:szCs w:val="20"/>
        </w:rPr>
        <w:t xml:space="preserve"> </w:t>
      </w:r>
      <w:r w:rsidR="00871124" w:rsidRPr="00871124">
        <w:rPr>
          <w:rFonts w:ascii="Arial" w:hAnsi="Arial" w:cs="Arial"/>
          <w:sz w:val="20"/>
          <w:szCs w:val="20"/>
        </w:rPr>
        <w:t>(</w:t>
      </w:r>
      <w:proofErr w:type="spellStart"/>
      <w:r w:rsidR="00871124" w:rsidRPr="00871124">
        <w:rPr>
          <w:rFonts w:ascii="Arial" w:hAnsi="Arial" w:cs="Arial"/>
          <w:sz w:val="20"/>
          <w:szCs w:val="20"/>
        </w:rPr>
        <w:t>Gholam</w:t>
      </w:r>
      <w:proofErr w:type="spellEnd"/>
      <w:r w:rsidR="00871124" w:rsidRPr="00871124">
        <w:rPr>
          <w:rFonts w:ascii="Arial" w:hAnsi="Arial" w:cs="Arial"/>
          <w:sz w:val="20"/>
          <w:szCs w:val="20"/>
        </w:rPr>
        <w:t>, 2019)</w:t>
      </w:r>
      <w:r w:rsidRPr="00526C5B">
        <w:rPr>
          <w:rFonts w:ascii="Arial" w:hAnsi="Arial" w:cs="Arial"/>
          <w:sz w:val="20"/>
          <w:szCs w:val="20"/>
        </w:rPr>
        <w:t xml:space="preserve">. These life skills are cultivated not only through curriculum content but, more significantly, through how learning is facilitated in classrooms and how outcomes are </w:t>
      </w:r>
      <w:r w:rsidRPr="00526C5B">
        <w:rPr>
          <w:rFonts w:ascii="Arial" w:hAnsi="Arial" w:cs="Arial"/>
          <w:sz w:val="20"/>
          <w:szCs w:val="20"/>
        </w:rPr>
        <w:lastRenderedPageBreak/>
        <w:t>assessed (OECD, 2021). One of the enduring challenges in this context is the persistent gap in learning outcomes, particularly in science education, which is often attributed to the continued use of outdated and ineffective teaching strategies</w:t>
      </w:r>
      <w:r w:rsidR="00871124">
        <w:rPr>
          <w:rFonts w:ascii="Arial" w:hAnsi="Arial" w:cs="Arial"/>
          <w:sz w:val="20"/>
          <w:szCs w:val="20"/>
        </w:rPr>
        <w:t xml:space="preserve"> </w:t>
      </w:r>
      <w:r w:rsidR="00871124" w:rsidRPr="00871124">
        <w:rPr>
          <w:rFonts w:ascii="Arial" w:hAnsi="Arial" w:cs="Arial"/>
          <w:sz w:val="20"/>
          <w:szCs w:val="20"/>
        </w:rPr>
        <w:t xml:space="preserve">(Duran &amp; </w:t>
      </w:r>
      <w:proofErr w:type="spellStart"/>
      <w:r w:rsidR="00871124" w:rsidRPr="00871124">
        <w:rPr>
          <w:rFonts w:ascii="Arial" w:hAnsi="Arial" w:cs="Arial"/>
          <w:sz w:val="20"/>
          <w:szCs w:val="20"/>
        </w:rPr>
        <w:t>Dökme</w:t>
      </w:r>
      <w:proofErr w:type="spellEnd"/>
      <w:r w:rsidR="00871124" w:rsidRPr="00871124">
        <w:rPr>
          <w:rFonts w:ascii="Arial" w:hAnsi="Arial" w:cs="Arial"/>
          <w:sz w:val="20"/>
          <w:szCs w:val="20"/>
        </w:rPr>
        <w:t>, 2016)</w:t>
      </w:r>
      <w:r w:rsidRPr="00526C5B">
        <w:rPr>
          <w:rFonts w:ascii="Arial" w:hAnsi="Arial" w:cs="Arial"/>
          <w:sz w:val="20"/>
          <w:szCs w:val="20"/>
        </w:rPr>
        <w:t>.</w:t>
      </w:r>
    </w:p>
    <w:p w14:paraId="3F463323" w14:textId="3EFBFE4F"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 xml:space="preserve">A prevalent issue in many classrooms is the passivity of learners during instruction. Students are frequently reluctant, hesitant, or even afraid to participate, ask questions, or express their ideas. This passivity impedes the development of higher-order thinking skills and diminishes learner engagement. One underlying cause of this phenomenon is the dominant use of traditional, </w:t>
      </w:r>
      <w:r w:rsidR="00D92448" w:rsidRPr="00C05E82">
        <w:rPr>
          <w:rFonts w:ascii="Arial" w:hAnsi="Arial" w:cs="Arial"/>
          <w:sz w:val="20"/>
          <w:szCs w:val="20"/>
          <w:highlight w:val="yellow"/>
        </w:rPr>
        <w:t>teacher-</w:t>
      </w:r>
      <w:proofErr w:type="spellStart"/>
      <w:r w:rsidR="00D92448" w:rsidRPr="00C05E82">
        <w:rPr>
          <w:rFonts w:ascii="Arial" w:hAnsi="Arial" w:cs="Arial"/>
          <w:sz w:val="20"/>
          <w:szCs w:val="20"/>
          <w:highlight w:val="yellow"/>
        </w:rPr>
        <w:t>centred</w:t>
      </w:r>
      <w:proofErr w:type="spellEnd"/>
      <w:r w:rsidRPr="00C05E82">
        <w:rPr>
          <w:rFonts w:ascii="Arial" w:hAnsi="Arial" w:cs="Arial"/>
          <w:sz w:val="20"/>
          <w:szCs w:val="20"/>
          <w:highlight w:val="yellow"/>
        </w:rPr>
        <w:t xml:space="preserve"> </w:t>
      </w:r>
      <w:r w:rsidRPr="00526C5B">
        <w:rPr>
          <w:rFonts w:ascii="Arial" w:hAnsi="Arial" w:cs="Arial"/>
          <w:sz w:val="20"/>
          <w:szCs w:val="20"/>
        </w:rPr>
        <w:t xml:space="preserve">methods, </w:t>
      </w:r>
      <w:proofErr w:type="spellStart"/>
      <w:r w:rsidR="00D92448" w:rsidRPr="00C05E82">
        <w:rPr>
          <w:rFonts w:ascii="Arial" w:hAnsi="Arial" w:cs="Arial"/>
          <w:sz w:val="20"/>
          <w:szCs w:val="20"/>
          <w:highlight w:val="yellow"/>
        </w:rPr>
        <w:t>characterised</w:t>
      </w:r>
      <w:proofErr w:type="spellEnd"/>
      <w:r w:rsidR="00D92448" w:rsidRPr="00C05E82">
        <w:rPr>
          <w:rFonts w:ascii="Arial" w:hAnsi="Arial" w:cs="Arial"/>
          <w:sz w:val="20"/>
          <w:szCs w:val="20"/>
          <w:highlight w:val="yellow"/>
        </w:rPr>
        <w:t xml:space="preserve"> </w:t>
      </w:r>
      <w:r w:rsidRPr="00526C5B">
        <w:rPr>
          <w:rFonts w:ascii="Arial" w:hAnsi="Arial" w:cs="Arial"/>
          <w:sz w:val="20"/>
          <w:szCs w:val="20"/>
        </w:rPr>
        <w:t>by one-way transmission of knowledge with limited student interaction or inquiry-based engagement. Such pedagogical approaches limit students' ability to explore concepts meaningfully, leading to poor comprehension, decreased motivation, and reduced retention of knowledge.</w:t>
      </w:r>
    </w:p>
    <w:p w14:paraId="0324A674" w14:textId="2FD929D9"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 xml:space="preserve">Recent educational studies </w:t>
      </w:r>
      <w:proofErr w:type="spellStart"/>
      <w:r w:rsidR="00D92448" w:rsidRPr="00C05E82">
        <w:rPr>
          <w:rFonts w:ascii="Arial" w:hAnsi="Arial" w:cs="Arial"/>
          <w:sz w:val="20"/>
          <w:szCs w:val="20"/>
          <w:highlight w:val="yellow"/>
        </w:rPr>
        <w:t>emphasise</w:t>
      </w:r>
      <w:proofErr w:type="spellEnd"/>
      <w:r w:rsidR="00D92448" w:rsidRPr="00C05E82">
        <w:rPr>
          <w:rFonts w:ascii="Arial" w:hAnsi="Arial" w:cs="Arial"/>
          <w:sz w:val="20"/>
          <w:szCs w:val="20"/>
          <w:highlight w:val="yellow"/>
        </w:rPr>
        <w:t xml:space="preserve"> </w:t>
      </w:r>
      <w:r w:rsidRPr="00526C5B">
        <w:rPr>
          <w:rFonts w:ascii="Arial" w:hAnsi="Arial" w:cs="Arial"/>
          <w:sz w:val="20"/>
          <w:szCs w:val="20"/>
        </w:rPr>
        <w:t xml:space="preserve">that </w:t>
      </w:r>
      <w:r w:rsidR="00D92448" w:rsidRPr="00C05E82">
        <w:rPr>
          <w:rFonts w:ascii="Arial" w:hAnsi="Arial" w:cs="Arial"/>
          <w:sz w:val="20"/>
          <w:szCs w:val="20"/>
          <w:highlight w:val="yellow"/>
        </w:rPr>
        <w:t>student-</w:t>
      </w:r>
      <w:proofErr w:type="spellStart"/>
      <w:r w:rsidR="00D92448" w:rsidRPr="00C05E82">
        <w:rPr>
          <w:rFonts w:ascii="Arial" w:hAnsi="Arial" w:cs="Arial"/>
          <w:sz w:val="20"/>
          <w:szCs w:val="20"/>
          <w:highlight w:val="yellow"/>
        </w:rPr>
        <w:t>centred</w:t>
      </w:r>
      <w:proofErr w:type="spellEnd"/>
      <w:r w:rsidRPr="00C05E82">
        <w:rPr>
          <w:rFonts w:ascii="Arial" w:hAnsi="Arial" w:cs="Arial"/>
          <w:sz w:val="20"/>
          <w:szCs w:val="20"/>
          <w:highlight w:val="yellow"/>
        </w:rPr>
        <w:t xml:space="preserve"> </w:t>
      </w:r>
      <w:r w:rsidRPr="00526C5B">
        <w:rPr>
          <w:rFonts w:ascii="Arial" w:hAnsi="Arial" w:cs="Arial"/>
          <w:sz w:val="20"/>
          <w:szCs w:val="20"/>
        </w:rPr>
        <w:t>instructional models—particularly Inquiry-Based Learning (IBL)—foster deeper understanding, engagement, and improved academic performance. Inquiry-based learning is a constructivist approach that encourages students to actively explore questions, engage in problem-solving, and derive knowledge through investigation and experimentation</w:t>
      </w:r>
      <w:r w:rsidR="00871124">
        <w:rPr>
          <w:rFonts w:ascii="Arial" w:hAnsi="Arial" w:cs="Arial"/>
          <w:sz w:val="20"/>
          <w:szCs w:val="20"/>
        </w:rPr>
        <w:t xml:space="preserve"> </w:t>
      </w:r>
      <w:r w:rsidR="00871124" w:rsidRPr="00871124">
        <w:rPr>
          <w:rFonts w:ascii="Arial" w:hAnsi="Arial" w:cs="Arial"/>
          <w:sz w:val="20"/>
          <w:szCs w:val="20"/>
        </w:rPr>
        <w:t>(Romero-</w:t>
      </w:r>
      <w:proofErr w:type="spellStart"/>
      <w:r w:rsidR="00871124" w:rsidRPr="00871124">
        <w:rPr>
          <w:rFonts w:ascii="Arial" w:hAnsi="Arial" w:cs="Arial"/>
          <w:sz w:val="20"/>
          <w:szCs w:val="20"/>
        </w:rPr>
        <w:t>Ariza</w:t>
      </w:r>
      <w:proofErr w:type="spellEnd"/>
      <w:r w:rsidR="00871124" w:rsidRPr="00871124">
        <w:rPr>
          <w:rFonts w:ascii="Arial" w:hAnsi="Arial" w:cs="Arial"/>
          <w:sz w:val="20"/>
          <w:szCs w:val="20"/>
        </w:rPr>
        <w:t xml:space="preserve"> et al., 2020)</w:t>
      </w:r>
      <w:r w:rsidRPr="00526C5B">
        <w:rPr>
          <w:rFonts w:ascii="Arial" w:hAnsi="Arial" w:cs="Arial"/>
          <w:sz w:val="20"/>
          <w:szCs w:val="20"/>
        </w:rPr>
        <w:t xml:space="preserve">. </w:t>
      </w:r>
      <w:r w:rsidR="00AB22CF" w:rsidRPr="00C05E82">
        <w:rPr>
          <w:rFonts w:ascii="Arial" w:hAnsi="Arial" w:cs="Arial"/>
          <w:sz w:val="20"/>
          <w:szCs w:val="20"/>
          <w:highlight w:val="yellow"/>
          <w:lang w:val="en-US"/>
        </w:rPr>
        <w:t>The IBL approach develops a culture in students for discernment, problem identification and active experimentation that provides them the ability to work with scientific data where applied science becomes a routine of life</w:t>
      </w:r>
      <w:r w:rsidR="00AB22CF" w:rsidRPr="000C72E1">
        <w:rPr>
          <w:rFonts w:ascii="Arial" w:hAnsi="Arial" w:cs="Arial"/>
          <w:sz w:val="20"/>
          <w:szCs w:val="20"/>
          <w:highlight w:val="yellow"/>
          <w:lang w:val="en-US"/>
        </w:rPr>
        <w:t xml:space="preserve"> (</w:t>
      </w:r>
      <w:r w:rsidR="000C72E1" w:rsidRPr="00C05E82">
        <w:rPr>
          <w:rFonts w:ascii="Arial" w:hAnsi="Arial" w:cs="Arial"/>
          <w:sz w:val="20"/>
          <w:highlight w:val="yellow"/>
          <w:lang w:val="en-US"/>
        </w:rPr>
        <w:t>Thuan &amp; Son, 2025</w:t>
      </w:r>
      <w:r w:rsidR="00AB22CF" w:rsidRPr="000C72E1">
        <w:rPr>
          <w:rFonts w:ascii="Arial" w:hAnsi="Arial" w:cs="Arial"/>
          <w:sz w:val="20"/>
          <w:szCs w:val="20"/>
          <w:highlight w:val="yellow"/>
          <w:lang w:val="en-US"/>
        </w:rPr>
        <w:t>)</w:t>
      </w:r>
      <w:r w:rsidR="00AB22CF" w:rsidRPr="00C05E82">
        <w:rPr>
          <w:rFonts w:ascii="Arial" w:hAnsi="Arial" w:cs="Arial"/>
          <w:sz w:val="20"/>
          <w:szCs w:val="20"/>
          <w:highlight w:val="yellow"/>
          <w:lang w:val="en-US"/>
        </w:rPr>
        <w:t>. </w:t>
      </w:r>
      <w:r w:rsidR="001C2E0F" w:rsidRPr="00C05E82">
        <w:rPr>
          <w:rFonts w:ascii="Arial" w:hAnsi="Arial" w:cs="Arial"/>
          <w:sz w:val="20"/>
          <w:szCs w:val="20"/>
          <w:highlight w:val="yellow"/>
          <w:lang w:val="en-US"/>
        </w:rPr>
        <w:t>Schools that have incorporated IBL have reported positive results in improving students' academic performance, prompting education authorities to explore the approach further and consider its broader adoption</w:t>
      </w:r>
      <w:r w:rsidR="003D7B72" w:rsidRPr="003D7B72">
        <w:rPr>
          <w:rFonts w:ascii="Arial" w:hAnsi="Arial" w:cs="Arial"/>
          <w:sz w:val="20"/>
          <w:szCs w:val="20"/>
          <w:highlight w:val="yellow"/>
          <w:lang w:val="en-US"/>
        </w:rPr>
        <w:t xml:space="preserve"> (</w:t>
      </w:r>
      <w:r w:rsidR="00BE1A7C" w:rsidRPr="00BE1A7C">
        <w:rPr>
          <w:rFonts w:ascii="Arial" w:hAnsi="Arial" w:cs="Arial"/>
          <w:sz w:val="20"/>
          <w:highlight w:val="yellow"/>
          <w:lang w:val="en-US"/>
        </w:rPr>
        <w:t>Santana-Vega</w:t>
      </w:r>
      <w:r w:rsidR="00BE1A7C">
        <w:rPr>
          <w:rFonts w:ascii="Arial" w:hAnsi="Arial" w:cs="Arial"/>
          <w:sz w:val="20"/>
          <w:highlight w:val="yellow"/>
          <w:lang w:val="en-US"/>
        </w:rPr>
        <w:t xml:space="preserve"> et al., 2023; </w:t>
      </w:r>
      <w:r w:rsidR="003D7B72" w:rsidRPr="00C05E82">
        <w:rPr>
          <w:rFonts w:ascii="Arial" w:hAnsi="Arial" w:cs="Arial"/>
          <w:sz w:val="20"/>
          <w:highlight w:val="yellow"/>
          <w:lang w:val="en-US"/>
        </w:rPr>
        <w:t>Mediana et al., 2025</w:t>
      </w:r>
      <w:r w:rsidR="003D7B72" w:rsidRPr="003D7B72">
        <w:rPr>
          <w:rFonts w:ascii="Arial" w:hAnsi="Arial" w:cs="Arial"/>
          <w:sz w:val="20"/>
          <w:szCs w:val="20"/>
          <w:highlight w:val="yellow"/>
          <w:lang w:val="en-US"/>
        </w:rPr>
        <w:t>)</w:t>
      </w:r>
      <w:r w:rsidR="001C2E0F" w:rsidRPr="00C05E82">
        <w:rPr>
          <w:rFonts w:ascii="Arial" w:hAnsi="Arial" w:cs="Arial"/>
          <w:sz w:val="20"/>
          <w:szCs w:val="20"/>
          <w:highlight w:val="yellow"/>
          <w:lang w:val="en-US"/>
        </w:rPr>
        <w:t>.</w:t>
      </w:r>
      <w:r w:rsidR="001C2E0F">
        <w:rPr>
          <w:rFonts w:ascii="Arial" w:hAnsi="Arial" w:cs="Arial"/>
          <w:sz w:val="20"/>
          <w:szCs w:val="20"/>
          <w:lang w:val="en-US"/>
        </w:rPr>
        <w:t xml:space="preserve"> </w:t>
      </w:r>
      <w:r w:rsidRPr="00526C5B">
        <w:rPr>
          <w:rFonts w:ascii="Arial" w:hAnsi="Arial" w:cs="Arial"/>
          <w:sz w:val="20"/>
          <w:szCs w:val="20"/>
        </w:rPr>
        <w:t xml:space="preserve">By shifting the learning process from passive reception to active discovery, IBL empowers students to think critically, </w:t>
      </w:r>
      <w:proofErr w:type="spellStart"/>
      <w:r w:rsidR="00D92448" w:rsidRPr="00C05E82">
        <w:rPr>
          <w:rFonts w:ascii="Arial" w:hAnsi="Arial" w:cs="Arial"/>
          <w:sz w:val="20"/>
          <w:szCs w:val="20"/>
          <w:highlight w:val="yellow"/>
        </w:rPr>
        <w:t>analyse</w:t>
      </w:r>
      <w:proofErr w:type="spellEnd"/>
      <w:r w:rsidR="00D92448" w:rsidRPr="00526C5B">
        <w:rPr>
          <w:rFonts w:ascii="Arial" w:hAnsi="Arial" w:cs="Arial"/>
          <w:sz w:val="20"/>
          <w:szCs w:val="20"/>
        </w:rPr>
        <w:t xml:space="preserve"> </w:t>
      </w:r>
      <w:r w:rsidRPr="00526C5B">
        <w:rPr>
          <w:rFonts w:ascii="Arial" w:hAnsi="Arial" w:cs="Arial"/>
          <w:sz w:val="20"/>
          <w:szCs w:val="20"/>
        </w:rPr>
        <w:t>information, and develop independence in learning. In contrast, conventional methods often fail to stimulate curiosity or support the development of essential 21st-century competencies</w:t>
      </w:r>
      <w:r w:rsidR="00871124">
        <w:rPr>
          <w:rFonts w:ascii="Arial" w:hAnsi="Arial" w:cs="Arial"/>
          <w:sz w:val="20"/>
          <w:szCs w:val="20"/>
        </w:rPr>
        <w:t xml:space="preserve"> </w:t>
      </w:r>
      <w:r w:rsidR="00871124" w:rsidRPr="00871124">
        <w:rPr>
          <w:rFonts w:ascii="Arial" w:hAnsi="Arial" w:cs="Arial"/>
          <w:sz w:val="20"/>
          <w:szCs w:val="20"/>
        </w:rPr>
        <w:t>(Aparicio-Ting et al., 2019)</w:t>
      </w:r>
      <w:bookmarkStart w:id="0" w:name="_GoBack"/>
      <w:bookmarkEnd w:id="0"/>
      <w:r w:rsidRPr="00526C5B">
        <w:rPr>
          <w:rFonts w:ascii="Arial" w:hAnsi="Arial" w:cs="Arial"/>
          <w:sz w:val="20"/>
          <w:szCs w:val="20"/>
        </w:rPr>
        <w:t>.</w:t>
      </w:r>
      <w:r w:rsidR="003D7B72">
        <w:rPr>
          <w:rFonts w:ascii="Arial" w:hAnsi="Arial" w:cs="Arial"/>
          <w:sz w:val="20"/>
          <w:szCs w:val="20"/>
        </w:rPr>
        <w:t xml:space="preserve"> </w:t>
      </w:r>
      <w:r w:rsidR="003D7B72" w:rsidRPr="00C05E82">
        <w:rPr>
          <w:rFonts w:ascii="Arial" w:hAnsi="Arial" w:cs="Arial"/>
          <w:sz w:val="20"/>
          <w:szCs w:val="20"/>
          <w:highlight w:val="yellow"/>
          <w:lang w:val="en-US"/>
        </w:rPr>
        <w:t>Nevertheless, critics have raised concerns that IBL may not be the best approach for students lacking foundational knowledge, suggesting that explicit instruction might be more beneficial in such cases due to the challenges posed by self-directed learning (</w:t>
      </w:r>
      <w:r w:rsidR="00ED1D34" w:rsidRPr="00FC57BB">
        <w:rPr>
          <w:rFonts w:ascii="Arial" w:hAnsi="Arial" w:cs="Arial"/>
          <w:sz w:val="20"/>
          <w:highlight w:val="yellow"/>
          <w:lang w:val="en-US"/>
        </w:rPr>
        <w:t>Mediana et al., 2025</w:t>
      </w:r>
      <w:r w:rsidR="003D7B72" w:rsidRPr="00C05E82">
        <w:rPr>
          <w:rFonts w:ascii="Arial" w:hAnsi="Arial" w:cs="Arial"/>
          <w:sz w:val="20"/>
          <w:szCs w:val="20"/>
          <w:highlight w:val="yellow"/>
          <w:lang w:val="en-US"/>
        </w:rPr>
        <w:t>).</w:t>
      </w:r>
    </w:p>
    <w:p w14:paraId="3012505C" w14:textId="754DB1FE"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Moreover, selecting the appropriate learning model has a significant influence on students' cognitive and affective outcomes. Ineffective models can lead to disengagement, monotony, and conceptual misunderstandings, thereby undermining the entire educational process. In contrast, research supports the idea that IBL not only improves academic achievement but also enhances students' scientific literacy, collaborative skills, and confidence in expressing their ideas.</w:t>
      </w:r>
      <w:r w:rsidR="00400525">
        <w:rPr>
          <w:rFonts w:ascii="Arial" w:hAnsi="Arial" w:cs="Arial"/>
          <w:sz w:val="20"/>
          <w:szCs w:val="20"/>
        </w:rPr>
        <w:t xml:space="preserve"> </w:t>
      </w:r>
      <w:r w:rsidR="00400525" w:rsidRPr="00C05E82">
        <w:rPr>
          <w:rFonts w:ascii="Arial" w:hAnsi="Arial" w:cs="Arial"/>
          <w:sz w:val="20"/>
          <w:szCs w:val="20"/>
          <w:highlight w:val="yellow"/>
          <w:lang w:val="en-US"/>
        </w:rPr>
        <w:t>The curriculum in IBL is set up to support exploration and help develop critical thinking skills, which are key for understanding science. By creating a space where questions fuel learning, teachers can help students feel more responsible for their own education</w:t>
      </w:r>
      <w:r w:rsidR="00400525" w:rsidRPr="005A118F">
        <w:rPr>
          <w:rFonts w:ascii="Arial" w:hAnsi="Arial" w:cs="Arial"/>
          <w:sz w:val="20"/>
          <w:szCs w:val="20"/>
          <w:highlight w:val="yellow"/>
          <w:lang w:val="en-US"/>
        </w:rPr>
        <w:t xml:space="preserve"> (</w:t>
      </w:r>
      <w:proofErr w:type="spellStart"/>
      <w:r w:rsidR="005A118F" w:rsidRPr="00C05E82">
        <w:rPr>
          <w:rFonts w:ascii="Arial" w:hAnsi="Arial" w:cs="Arial"/>
          <w:sz w:val="20"/>
          <w:highlight w:val="yellow"/>
          <w:lang w:val="en-US"/>
        </w:rPr>
        <w:t>Uthaikanchanakul</w:t>
      </w:r>
      <w:proofErr w:type="spellEnd"/>
      <w:r w:rsidR="005A118F" w:rsidRPr="00C05E82">
        <w:rPr>
          <w:rFonts w:ascii="Arial" w:hAnsi="Arial" w:cs="Arial"/>
          <w:sz w:val="20"/>
          <w:highlight w:val="yellow"/>
          <w:lang w:val="en-US"/>
        </w:rPr>
        <w:t>, 2025</w:t>
      </w:r>
      <w:r w:rsidR="008A2282">
        <w:rPr>
          <w:rFonts w:ascii="Arial" w:hAnsi="Arial" w:cs="Arial"/>
          <w:sz w:val="20"/>
          <w:highlight w:val="yellow"/>
          <w:lang w:val="en-US"/>
        </w:rPr>
        <w:t xml:space="preserve">; </w:t>
      </w:r>
      <w:proofErr w:type="spellStart"/>
      <w:r w:rsidR="008A2282" w:rsidRPr="008A2282">
        <w:rPr>
          <w:rFonts w:ascii="Arial" w:hAnsi="Arial" w:cs="Arial"/>
          <w:sz w:val="20"/>
          <w:highlight w:val="yellow"/>
          <w:lang w:val="en-US"/>
        </w:rPr>
        <w:t>Safkolam</w:t>
      </w:r>
      <w:proofErr w:type="spellEnd"/>
      <w:r w:rsidR="008A2282">
        <w:rPr>
          <w:rFonts w:ascii="Arial" w:hAnsi="Arial" w:cs="Arial"/>
          <w:sz w:val="20"/>
          <w:highlight w:val="yellow"/>
          <w:lang w:val="en-US"/>
        </w:rPr>
        <w:t xml:space="preserve"> et al., 2023</w:t>
      </w:r>
      <w:r w:rsidR="00400525" w:rsidRPr="005A118F">
        <w:rPr>
          <w:rFonts w:ascii="Arial" w:hAnsi="Arial" w:cs="Arial"/>
          <w:sz w:val="20"/>
          <w:szCs w:val="20"/>
          <w:highlight w:val="yellow"/>
          <w:lang w:val="en-US"/>
        </w:rPr>
        <w:t>)</w:t>
      </w:r>
      <w:r w:rsidR="00400525" w:rsidRPr="00C05E82">
        <w:rPr>
          <w:rFonts w:ascii="Arial" w:hAnsi="Arial" w:cs="Arial"/>
          <w:sz w:val="20"/>
          <w:szCs w:val="20"/>
          <w:highlight w:val="yellow"/>
          <w:lang w:val="en-US"/>
        </w:rPr>
        <w:t>.</w:t>
      </w:r>
      <w:r w:rsidR="00400525" w:rsidRPr="00400525">
        <w:rPr>
          <w:rFonts w:ascii="Arial" w:hAnsi="Arial" w:cs="Arial"/>
          <w:sz w:val="20"/>
          <w:szCs w:val="20"/>
          <w:lang w:val="en-US"/>
        </w:rPr>
        <w:t xml:space="preserve"> </w:t>
      </w:r>
    </w:p>
    <w:p w14:paraId="49A1B74F"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Given these insights, it is imperative to reassess current instructional practices, especially in foundational subjects such as Science. This study proposes the implementation and assessment of the Inquiry-Based Learning Approach in teaching Grade VI Science. It aims to assess the effectiveness of IBL in improving learners' academic performance while also developing the critical life skills required by contemporary society.</w:t>
      </w:r>
    </w:p>
    <w:p w14:paraId="5C023308" w14:textId="2C90B3F5" w:rsidR="00E772E9" w:rsidRPr="00526C5B" w:rsidRDefault="00C42901" w:rsidP="00526C5B">
      <w:pPr>
        <w:pStyle w:val="NormalWeb"/>
        <w:jc w:val="both"/>
        <w:rPr>
          <w:rFonts w:ascii="Arial" w:hAnsi="Arial" w:cs="Arial"/>
          <w:sz w:val="20"/>
          <w:szCs w:val="20"/>
        </w:rPr>
      </w:pPr>
      <w:r w:rsidRPr="00526C5B">
        <w:rPr>
          <w:rFonts w:ascii="Arial" w:hAnsi="Arial" w:cs="Arial"/>
          <w:sz w:val="20"/>
          <w:szCs w:val="20"/>
        </w:rPr>
        <w:t xml:space="preserve">This research was conducted at Mote Elementary School, Mote, Pinalpalan, Malita, Davao Occidental, and focused on Grade VI pupils. Specifically, the study aimed to (1) compare the academic performance of learners taught using the conventional teaching method and those taught using the Inquiry-Based Learning Approach in Science VI through analysis of their </w:t>
      </w:r>
      <w:r w:rsidRPr="00526C5B">
        <w:rPr>
          <w:rFonts w:ascii="Arial" w:hAnsi="Arial" w:cs="Arial"/>
          <w:sz w:val="20"/>
          <w:szCs w:val="20"/>
        </w:rPr>
        <w:lastRenderedPageBreak/>
        <w:t xml:space="preserve">pretest and posttest scores; (2) determine the significance of the difference in academic performance between the two groups; and (3) assess the gain scores of pupils under each instructional method. The findings of this study are anticipated to offer empirical support for integrating IBL in elementary science education and to serve as a basis for pedagogical improvement toward more </w:t>
      </w:r>
      <w:r w:rsidR="00365C9C" w:rsidRPr="00C05E82">
        <w:rPr>
          <w:rFonts w:ascii="Arial" w:hAnsi="Arial" w:cs="Arial"/>
          <w:sz w:val="20"/>
          <w:szCs w:val="20"/>
          <w:highlight w:val="yellow"/>
        </w:rPr>
        <w:t>learner-</w:t>
      </w:r>
      <w:proofErr w:type="spellStart"/>
      <w:r w:rsidR="00365C9C" w:rsidRPr="00C05E82">
        <w:rPr>
          <w:rFonts w:ascii="Arial" w:hAnsi="Arial" w:cs="Arial"/>
          <w:sz w:val="20"/>
          <w:szCs w:val="20"/>
          <w:highlight w:val="yellow"/>
        </w:rPr>
        <w:t>centred</w:t>
      </w:r>
      <w:proofErr w:type="spellEnd"/>
      <w:r w:rsidRPr="00526C5B">
        <w:rPr>
          <w:rFonts w:ascii="Arial" w:hAnsi="Arial" w:cs="Arial"/>
          <w:sz w:val="20"/>
          <w:szCs w:val="20"/>
        </w:rPr>
        <w:t>, life skills-oriented instruction.</w:t>
      </w:r>
    </w:p>
    <w:p w14:paraId="5B6C91DF" w14:textId="77777777" w:rsidR="00526C5B" w:rsidRPr="00526C5B" w:rsidRDefault="00526C5B" w:rsidP="00526C5B">
      <w:pPr>
        <w:pStyle w:val="AbstHead"/>
        <w:spacing w:after="0"/>
        <w:jc w:val="both"/>
        <w:rPr>
          <w:rFonts w:ascii="Arial" w:hAnsi="Arial" w:cs="Arial"/>
          <w:sz w:val="20"/>
        </w:rPr>
      </w:pPr>
    </w:p>
    <w:p w14:paraId="6F24FB4A" w14:textId="77777777" w:rsidR="00790ADA" w:rsidRPr="00C76E17" w:rsidRDefault="00C42901" w:rsidP="00441B6F">
      <w:pPr>
        <w:pStyle w:val="AbstHead"/>
        <w:spacing w:after="0"/>
        <w:jc w:val="both"/>
        <w:rPr>
          <w:rFonts w:ascii="Arial" w:hAnsi="Arial" w:cs="Arial"/>
        </w:rPr>
      </w:pPr>
      <w:r w:rsidRPr="00C76E17">
        <w:rPr>
          <w:rFonts w:ascii="Arial" w:hAnsi="Arial" w:cs="Arial"/>
        </w:rPr>
        <w:t xml:space="preserve">2. </w:t>
      </w:r>
      <w:r w:rsidR="006B57D0" w:rsidRPr="00C76E17">
        <w:rPr>
          <w:rFonts w:ascii="Arial" w:hAnsi="Arial" w:cs="Arial"/>
        </w:rPr>
        <w:t>methodology</w:t>
      </w:r>
      <w:r w:rsidR="007F7B32" w:rsidRPr="00C76E17">
        <w:rPr>
          <w:rFonts w:ascii="Arial" w:hAnsi="Arial" w:cs="Arial"/>
        </w:rPr>
        <w:t xml:space="preserve"> </w:t>
      </w:r>
    </w:p>
    <w:p w14:paraId="78C93992" w14:textId="77777777" w:rsidR="00131C9A" w:rsidRPr="00C76E17" w:rsidRDefault="00131C9A" w:rsidP="00B3410B">
      <w:pPr>
        <w:jc w:val="both"/>
        <w:rPr>
          <w:rFonts w:ascii="Arial" w:hAnsi="Arial" w:cs="Arial"/>
          <w:b/>
          <w:caps/>
          <w:sz w:val="22"/>
        </w:rPr>
      </w:pPr>
    </w:p>
    <w:p w14:paraId="5AB28143" w14:textId="77777777" w:rsidR="00B3410B" w:rsidRPr="00C76E17" w:rsidRDefault="00C42901" w:rsidP="00B3410B">
      <w:pPr>
        <w:jc w:val="both"/>
        <w:rPr>
          <w:rFonts w:ascii="Arial" w:hAnsi="Arial" w:cs="Arial"/>
          <w:b/>
          <w:sz w:val="22"/>
          <w:szCs w:val="22"/>
        </w:rPr>
      </w:pPr>
      <w:r w:rsidRPr="00C76E17">
        <w:rPr>
          <w:rFonts w:ascii="Arial" w:hAnsi="Arial" w:cs="Arial"/>
          <w:b/>
          <w:caps/>
          <w:sz w:val="22"/>
          <w:szCs w:val="22"/>
        </w:rPr>
        <w:t xml:space="preserve">2.1 </w:t>
      </w:r>
      <w:r w:rsidRPr="00C76E17">
        <w:rPr>
          <w:rFonts w:ascii="Arial" w:hAnsi="Arial" w:cs="Arial"/>
          <w:b/>
          <w:sz w:val="22"/>
          <w:szCs w:val="22"/>
        </w:rPr>
        <w:t>Research Locale</w:t>
      </w:r>
    </w:p>
    <w:p w14:paraId="0D15BE7C" w14:textId="77777777" w:rsidR="00131C9A" w:rsidRPr="00C76E17" w:rsidRDefault="00131C9A" w:rsidP="00B3410B">
      <w:pPr>
        <w:jc w:val="both"/>
        <w:rPr>
          <w:rFonts w:ascii="Arial" w:hAnsi="Arial" w:cs="Arial"/>
        </w:rPr>
      </w:pPr>
    </w:p>
    <w:p w14:paraId="1639580B" w14:textId="3629CCF4" w:rsidR="00B3410B" w:rsidRPr="00C76E17" w:rsidRDefault="00C42901" w:rsidP="00B3410B">
      <w:pPr>
        <w:jc w:val="both"/>
        <w:rPr>
          <w:rFonts w:ascii="Arial" w:hAnsi="Arial" w:cs="Arial"/>
        </w:rPr>
      </w:pPr>
      <w:r w:rsidRPr="00C76E17">
        <w:rPr>
          <w:rFonts w:ascii="Arial" w:hAnsi="Arial" w:cs="Arial"/>
        </w:rPr>
        <w:t xml:space="preserve">The study was conducted in Mote Elementary School, Mote, Pinalpalan, Malita, Davao Occidental. The school is one of the four public schools in the said barangay. It has an area of approximately 5,000 square meters, comprising four school buildings and an open ground where pupils gather and </w:t>
      </w:r>
      <w:proofErr w:type="spellStart"/>
      <w:r w:rsidR="00365C9C" w:rsidRPr="00C05E82">
        <w:rPr>
          <w:rFonts w:ascii="Arial" w:hAnsi="Arial" w:cs="Arial"/>
          <w:highlight w:val="yellow"/>
        </w:rPr>
        <w:t>socialise</w:t>
      </w:r>
      <w:proofErr w:type="spellEnd"/>
      <w:r w:rsidRPr="00C76E17">
        <w:rPr>
          <w:rFonts w:ascii="Arial" w:hAnsi="Arial" w:cs="Arial"/>
        </w:rPr>
        <w:t xml:space="preserve">. The school was established in 1999. There are 224 pupils currently enrolled for the 2023-2024 school year, with 13 </w:t>
      </w:r>
      <w:r w:rsidR="00951102">
        <w:rPr>
          <w:rFonts w:ascii="Arial" w:hAnsi="Arial" w:cs="Arial"/>
        </w:rPr>
        <w:t xml:space="preserve">permanent </w:t>
      </w:r>
      <w:r w:rsidRPr="00C76E17">
        <w:rPr>
          <w:rFonts w:ascii="Arial" w:hAnsi="Arial" w:cs="Arial"/>
        </w:rPr>
        <w:t xml:space="preserve">teachers. The learners in this school belong to </w:t>
      </w:r>
      <w:r w:rsidR="00365C9C" w:rsidRPr="00C05E82">
        <w:rPr>
          <w:rFonts w:ascii="Arial" w:hAnsi="Arial" w:cs="Arial"/>
          <w:highlight w:val="yellow"/>
        </w:rPr>
        <w:t xml:space="preserve">the </w:t>
      </w:r>
      <w:proofErr w:type="spellStart"/>
      <w:r w:rsidRPr="00C76E17">
        <w:rPr>
          <w:rFonts w:ascii="Arial" w:hAnsi="Arial" w:cs="Arial"/>
        </w:rPr>
        <w:t>Tagakaulo</w:t>
      </w:r>
      <w:proofErr w:type="spellEnd"/>
      <w:r w:rsidRPr="00C76E17">
        <w:rPr>
          <w:rFonts w:ascii="Arial" w:hAnsi="Arial" w:cs="Arial"/>
        </w:rPr>
        <w:t xml:space="preserve"> and </w:t>
      </w:r>
      <w:proofErr w:type="spellStart"/>
      <w:r w:rsidRPr="00C76E17">
        <w:rPr>
          <w:rFonts w:ascii="Arial" w:hAnsi="Arial" w:cs="Arial"/>
        </w:rPr>
        <w:t>Bisaya</w:t>
      </w:r>
      <w:proofErr w:type="spellEnd"/>
      <w:r w:rsidRPr="00C76E17">
        <w:rPr>
          <w:rFonts w:ascii="Arial" w:hAnsi="Arial" w:cs="Arial"/>
        </w:rPr>
        <w:t xml:space="preserve"> tribal groups.</w:t>
      </w:r>
      <w:r w:rsidR="00CB42F7">
        <w:rPr>
          <w:rFonts w:ascii="Arial" w:hAnsi="Arial" w:cs="Arial"/>
        </w:rPr>
        <w:t xml:space="preserve"> The class </w:t>
      </w:r>
      <w:r w:rsidR="00365C9C">
        <w:rPr>
          <w:rFonts w:ascii="Arial" w:hAnsi="Arial" w:cs="Arial"/>
        </w:rPr>
        <w:t xml:space="preserve">is </w:t>
      </w:r>
      <w:r w:rsidR="00CB42F7">
        <w:rPr>
          <w:rFonts w:ascii="Arial" w:hAnsi="Arial" w:cs="Arial"/>
        </w:rPr>
        <w:t xml:space="preserve">heterogeneous by nature that composed of diverse types of learners with different family </w:t>
      </w:r>
      <w:r w:rsidR="00365C9C" w:rsidRPr="00C05E82">
        <w:rPr>
          <w:rFonts w:ascii="Arial" w:hAnsi="Arial" w:cs="Arial"/>
          <w:highlight w:val="yellow"/>
        </w:rPr>
        <w:t>backgrounds</w:t>
      </w:r>
      <w:r w:rsidR="00CB42F7">
        <w:rPr>
          <w:rFonts w:ascii="Arial" w:hAnsi="Arial" w:cs="Arial"/>
        </w:rPr>
        <w:t xml:space="preserve">. </w:t>
      </w:r>
    </w:p>
    <w:p w14:paraId="30F34BEE" w14:textId="77777777" w:rsidR="00B3410B" w:rsidRPr="00C76E17" w:rsidRDefault="00B3410B" w:rsidP="00B3410B">
      <w:pPr>
        <w:jc w:val="both"/>
        <w:rPr>
          <w:rFonts w:ascii="Arial" w:hAnsi="Arial" w:cs="Arial"/>
        </w:rPr>
      </w:pPr>
    </w:p>
    <w:p w14:paraId="00B4AA34" w14:textId="77777777" w:rsidR="00B3410B" w:rsidRPr="00C76E17" w:rsidRDefault="00C42901" w:rsidP="00B3410B">
      <w:pPr>
        <w:jc w:val="both"/>
        <w:rPr>
          <w:rFonts w:ascii="Arial" w:hAnsi="Arial" w:cs="Arial"/>
          <w:b/>
          <w:sz w:val="22"/>
        </w:rPr>
      </w:pPr>
      <w:r w:rsidRPr="00C76E17">
        <w:rPr>
          <w:rFonts w:ascii="Arial" w:hAnsi="Arial" w:cs="Arial"/>
          <w:b/>
          <w:sz w:val="22"/>
        </w:rPr>
        <w:t>2.2 Research Design</w:t>
      </w:r>
    </w:p>
    <w:p w14:paraId="2DF23DF8" w14:textId="77777777" w:rsidR="00B3410B" w:rsidRPr="00C76E17" w:rsidRDefault="00B3410B" w:rsidP="00B3410B">
      <w:pPr>
        <w:jc w:val="both"/>
        <w:rPr>
          <w:rFonts w:ascii="Arial" w:hAnsi="Arial" w:cs="Arial"/>
        </w:rPr>
      </w:pPr>
    </w:p>
    <w:p w14:paraId="41402BF6" w14:textId="69FD39BE" w:rsidR="00B3410B" w:rsidRPr="00C76E17" w:rsidRDefault="00C42901" w:rsidP="00B3410B">
      <w:pPr>
        <w:jc w:val="both"/>
        <w:rPr>
          <w:rFonts w:ascii="Arial" w:hAnsi="Arial" w:cs="Arial"/>
        </w:rPr>
      </w:pPr>
      <w:r w:rsidRPr="00C76E17">
        <w:rPr>
          <w:rFonts w:ascii="Arial" w:hAnsi="Arial" w:cs="Arial"/>
        </w:rPr>
        <w:t>This study employed a quasi-experimental research design comprising an experimental and a control group. Grouping was done by dividing the Science VI class into two groups</w:t>
      </w:r>
      <w:r w:rsidR="00365C9C">
        <w:rPr>
          <w:rFonts w:ascii="Arial" w:hAnsi="Arial" w:cs="Arial"/>
        </w:rPr>
        <w:t>,</w:t>
      </w:r>
      <w:r w:rsidRPr="00C76E17">
        <w:rPr>
          <w:rFonts w:ascii="Arial" w:hAnsi="Arial" w:cs="Arial"/>
        </w:rPr>
        <w:t xml:space="preserve"> where the members of each group were selected randomly through </w:t>
      </w:r>
      <w:r w:rsidR="00365C9C" w:rsidRPr="00C05E82">
        <w:rPr>
          <w:rFonts w:ascii="Arial" w:hAnsi="Arial" w:cs="Arial"/>
          <w:highlight w:val="yellow"/>
        </w:rPr>
        <w:t xml:space="preserve">the </w:t>
      </w:r>
      <w:r w:rsidRPr="00C76E17">
        <w:rPr>
          <w:rFonts w:ascii="Arial" w:hAnsi="Arial" w:cs="Arial"/>
        </w:rPr>
        <w:t xml:space="preserve">drawing of lots. Moreover, the respondents in each group were not informed that they were the subjects of the experiment, allowing them to act and behave naturally, just as in an ordinary class session. </w:t>
      </w:r>
    </w:p>
    <w:p w14:paraId="55E34BAE" w14:textId="77777777" w:rsidR="00B3410B" w:rsidRPr="00C76E17" w:rsidRDefault="00B3410B" w:rsidP="00B3410B">
      <w:pPr>
        <w:jc w:val="both"/>
        <w:rPr>
          <w:rFonts w:ascii="Arial" w:hAnsi="Arial" w:cs="Arial"/>
        </w:rPr>
      </w:pPr>
    </w:p>
    <w:p w14:paraId="0BDB2323" w14:textId="77777777" w:rsidR="00B3410B" w:rsidRPr="00C76E17" w:rsidRDefault="00C42901" w:rsidP="00B3410B">
      <w:pPr>
        <w:jc w:val="both"/>
        <w:rPr>
          <w:rFonts w:ascii="Arial" w:hAnsi="Arial" w:cs="Arial"/>
          <w:b/>
          <w:sz w:val="22"/>
        </w:rPr>
      </w:pPr>
      <w:r w:rsidRPr="00C76E17">
        <w:rPr>
          <w:rFonts w:ascii="Arial" w:hAnsi="Arial" w:cs="Arial"/>
          <w:b/>
          <w:sz w:val="22"/>
        </w:rPr>
        <w:t>2.3 Sampling Design</w:t>
      </w:r>
    </w:p>
    <w:p w14:paraId="70DFAFC8" w14:textId="77777777" w:rsidR="00B3410B" w:rsidRPr="00C76E17" w:rsidRDefault="00B3410B" w:rsidP="00B3410B">
      <w:pPr>
        <w:jc w:val="both"/>
        <w:rPr>
          <w:rFonts w:ascii="Arial" w:hAnsi="Arial" w:cs="Arial"/>
        </w:rPr>
      </w:pPr>
    </w:p>
    <w:p w14:paraId="50678317" w14:textId="7CA872FF" w:rsidR="00B3410B" w:rsidRPr="00C76E17" w:rsidRDefault="00C42901" w:rsidP="00B3410B">
      <w:pPr>
        <w:jc w:val="both"/>
        <w:rPr>
          <w:rFonts w:ascii="Arial" w:hAnsi="Arial" w:cs="Arial"/>
        </w:rPr>
      </w:pPr>
      <w:r w:rsidRPr="00C76E17">
        <w:rPr>
          <w:rFonts w:ascii="Arial" w:hAnsi="Arial" w:cs="Arial"/>
        </w:rPr>
        <w:t xml:space="preserve">A complete enumeration was employed, with the Grade VI pupils of Mote Elementary School as the subjects of the study. The study </w:t>
      </w:r>
      <w:proofErr w:type="spellStart"/>
      <w:r w:rsidR="00365C9C" w:rsidRPr="00C05E82">
        <w:rPr>
          <w:rFonts w:ascii="Arial" w:hAnsi="Arial" w:cs="Arial"/>
          <w:highlight w:val="yellow"/>
        </w:rPr>
        <w:t>utilised</w:t>
      </w:r>
      <w:proofErr w:type="spellEnd"/>
      <w:r w:rsidR="00365C9C" w:rsidRPr="00C05E82">
        <w:rPr>
          <w:rFonts w:ascii="Arial" w:hAnsi="Arial" w:cs="Arial"/>
          <w:highlight w:val="yellow"/>
        </w:rPr>
        <w:t xml:space="preserve"> </w:t>
      </w:r>
      <w:r w:rsidRPr="00C76E17">
        <w:rPr>
          <w:rFonts w:ascii="Arial" w:hAnsi="Arial" w:cs="Arial"/>
        </w:rPr>
        <w:t>forty-eight (48) Grade VI pupils who were randomly assigned to the experimental and control groups through a lottery draw.</w:t>
      </w:r>
    </w:p>
    <w:p w14:paraId="2E1CF7E0" w14:textId="77777777" w:rsidR="00131C9A" w:rsidRPr="00C76E17" w:rsidRDefault="00131C9A" w:rsidP="00B3410B">
      <w:pPr>
        <w:jc w:val="both"/>
        <w:rPr>
          <w:rFonts w:ascii="Arial" w:hAnsi="Arial" w:cs="Arial"/>
        </w:rPr>
      </w:pPr>
    </w:p>
    <w:p w14:paraId="285E2325" w14:textId="77777777" w:rsidR="00B3410B" w:rsidRPr="00C76E17" w:rsidRDefault="00C42901" w:rsidP="00B3410B">
      <w:pPr>
        <w:jc w:val="both"/>
        <w:rPr>
          <w:rFonts w:ascii="Arial" w:hAnsi="Arial" w:cs="Arial"/>
          <w:b/>
          <w:sz w:val="22"/>
        </w:rPr>
      </w:pPr>
      <w:r w:rsidRPr="00C76E17">
        <w:rPr>
          <w:rFonts w:ascii="Arial" w:hAnsi="Arial" w:cs="Arial"/>
          <w:b/>
          <w:sz w:val="22"/>
        </w:rPr>
        <w:t>2.4 Research Instrument</w:t>
      </w:r>
    </w:p>
    <w:p w14:paraId="3E7702F5" w14:textId="77777777" w:rsidR="00B3410B" w:rsidRPr="00C76E17" w:rsidRDefault="00B3410B" w:rsidP="00B3410B">
      <w:pPr>
        <w:jc w:val="both"/>
        <w:rPr>
          <w:rFonts w:ascii="Arial" w:hAnsi="Arial" w:cs="Arial"/>
        </w:rPr>
      </w:pPr>
    </w:p>
    <w:p w14:paraId="76B9338A" w14:textId="77777777" w:rsidR="00B3410B" w:rsidRPr="00C76E17" w:rsidRDefault="00C42901" w:rsidP="00131C9A">
      <w:pPr>
        <w:jc w:val="both"/>
        <w:rPr>
          <w:rFonts w:ascii="Arial" w:hAnsi="Arial" w:cs="Arial"/>
        </w:rPr>
      </w:pPr>
      <w:r w:rsidRPr="00C76E17">
        <w:rPr>
          <w:rFonts w:ascii="Arial" w:hAnsi="Arial" w:cs="Arial"/>
        </w:rPr>
        <w:t xml:space="preserve">Teacher-made pretest and posttest questionnaires based on the learning competencies in Science VI topics were used to assess the academic performance of the learners. The teacher, also serving as the researcher, administered the 30-item science test for both the pretest and posttest. These sets of tests were given to both the control and experimental groups. However, the test questionnaires were subjected to validation prior to their use in this study. </w:t>
      </w:r>
    </w:p>
    <w:p w14:paraId="39FB1A5D" w14:textId="77777777" w:rsidR="00B3410B" w:rsidRPr="00C76E17" w:rsidRDefault="00C42901" w:rsidP="00B3410B">
      <w:pPr>
        <w:jc w:val="both"/>
        <w:rPr>
          <w:rFonts w:ascii="Arial" w:hAnsi="Arial" w:cs="Arial"/>
        </w:rPr>
      </w:pPr>
      <w:r w:rsidRPr="00C76E17">
        <w:rPr>
          <w:rFonts w:ascii="Arial" w:hAnsi="Arial" w:cs="Arial"/>
        </w:rPr>
        <w:t>Respondents of the Study</w:t>
      </w:r>
    </w:p>
    <w:p w14:paraId="712F248B" w14:textId="77777777" w:rsidR="00B3410B" w:rsidRPr="00C76E17" w:rsidRDefault="00B3410B" w:rsidP="00B3410B">
      <w:pPr>
        <w:jc w:val="both"/>
        <w:rPr>
          <w:rFonts w:ascii="Arial" w:hAnsi="Arial" w:cs="Arial"/>
        </w:rPr>
      </w:pPr>
    </w:p>
    <w:p w14:paraId="3899E2A1" w14:textId="65508FFA" w:rsidR="00B3410B" w:rsidRPr="00C76E17" w:rsidRDefault="00C42901" w:rsidP="00B3410B">
      <w:pPr>
        <w:jc w:val="both"/>
        <w:rPr>
          <w:rFonts w:ascii="Arial" w:hAnsi="Arial" w:cs="Arial"/>
        </w:rPr>
      </w:pPr>
      <w:r w:rsidRPr="00C76E17">
        <w:rPr>
          <w:rFonts w:ascii="Arial" w:hAnsi="Arial" w:cs="Arial"/>
        </w:rPr>
        <w:t xml:space="preserve">The respondents in this study were forty-eight (48) Grade VI pupils, comprising 19 males and 29 females, from Mote Elementary School in Malita West District, Davao Occidental. Their distribution is shown in </w:t>
      </w:r>
      <w:r w:rsidR="00365C9C" w:rsidRPr="00C05E82">
        <w:rPr>
          <w:rFonts w:ascii="Arial" w:hAnsi="Arial" w:cs="Arial"/>
          <w:highlight w:val="yellow"/>
        </w:rPr>
        <w:t xml:space="preserve">Table </w:t>
      </w:r>
      <w:r w:rsidRPr="00C76E17">
        <w:rPr>
          <w:rFonts w:ascii="Arial" w:hAnsi="Arial" w:cs="Arial"/>
        </w:rPr>
        <w:t>1.</w:t>
      </w:r>
    </w:p>
    <w:p w14:paraId="02981754" w14:textId="77777777" w:rsidR="00B3410B" w:rsidRPr="00C76E17" w:rsidRDefault="00B3410B" w:rsidP="00B3410B">
      <w:pPr>
        <w:jc w:val="both"/>
        <w:rPr>
          <w:rFonts w:ascii="Arial" w:hAnsi="Arial" w:cs="Arial"/>
        </w:rPr>
      </w:pPr>
    </w:p>
    <w:p w14:paraId="1FC3A704" w14:textId="77777777" w:rsidR="00B3410B" w:rsidRPr="00C76E17" w:rsidRDefault="00C42901" w:rsidP="00131C9A">
      <w:pPr>
        <w:jc w:val="center"/>
        <w:rPr>
          <w:rFonts w:ascii="Arial" w:hAnsi="Arial" w:cs="Arial"/>
          <w:b/>
        </w:rPr>
      </w:pPr>
      <w:r w:rsidRPr="00C76E17">
        <w:rPr>
          <w:rFonts w:ascii="Arial" w:hAnsi="Arial" w:cs="Arial"/>
          <w:b/>
        </w:rPr>
        <w:t>Table 1. Distribution of samples and respondents of the study</w:t>
      </w:r>
    </w:p>
    <w:tbl>
      <w:tblPr>
        <w:tblStyle w:val="TableGrid"/>
        <w:tblW w:w="0" w:type="auto"/>
        <w:tblInd w:w="108" w:type="dxa"/>
        <w:tblLook w:val="04A0" w:firstRow="1" w:lastRow="0" w:firstColumn="1" w:lastColumn="0" w:noHBand="0" w:noVBand="1"/>
      </w:tblPr>
      <w:tblGrid>
        <w:gridCol w:w="1926"/>
        <w:gridCol w:w="4068"/>
        <w:gridCol w:w="2034"/>
      </w:tblGrid>
      <w:tr w:rsidR="00F7786B" w14:paraId="2C9778E1" w14:textId="77777777" w:rsidTr="00131C9A">
        <w:trPr>
          <w:trHeight w:val="20"/>
        </w:trPr>
        <w:tc>
          <w:tcPr>
            <w:tcW w:w="1926" w:type="dxa"/>
            <w:vMerge w:val="restart"/>
            <w:tcBorders>
              <w:top w:val="single" w:sz="4" w:space="0" w:color="auto"/>
              <w:left w:val="nil"/>
              <w:right w:val="nil"/>
            </w:tcBorders>
          </w:tcPr>
          <w:p w14:paraId="2FEB1275" w14:textId="77777777" w:rsidR="00B3410B" w:rsidRPr="00C76E17" w:rsidRDefault="00B3410B" w:rsidP="00131C9A">
            <w:pPr>
              <w:rPr>
                <w:rFonts w:ascii="Arial" w:hAnsi="Arial" w:cs="Arial"/>
                <w:sz w:val="20"/>
              </w:rPr>
            </w:pPr>
          </w:p>
          <w:p w14:paraId="682FE05A" w14:textId="77777777" w:rsidR="00B3410B" w:rsidRPr="00C76E17" w:rsidRDefault="00C42901" w:rsidP="00131C9A">
            <w:pPr>
              <w:rPr>
                <w:rFonts w:ascii="Arial" w:hAnsi="Arial" w:cs="Arial"/>
                <w:sz w:val="20"/>
              </w:rPr>
            </w:pPr>
            <w:r w:rsidRPr="00C76E17">
              <w:rPr>
                <w:rFonts w:ascii="Arial" w:hAnsi="Arial" w:cs="Arial"/>
                <w:sz w:val="20"/>
              </w:rPr>
              <w:t>Group</w:t>
            </w:r>
          </w:p>
        </w:tc>
        <w:tc>
          <w:tcPr>
            <w:tcW w:w="4068" w:type="dxa"/>
            <w:tcBorders>
              <w:top w:val="single" w:sz="4" w:space="0" w:color="auto"/>
              <w:left w:val="nil"/>
              <w:bottom w:val="single" w:sz="4" w:space="0" w:color="auto"/>
              <w:right w:val="nil"/>
            </w:tcBorders>
          </w:tcPr>
          <w:p w14:paraId="0FBED256" w14:textId="77777777" w:rsidR="00B3410B" w:rsidRPr="00C76E17" w:rsidRDefault="00C42901" w:rsidP="00131C9A">
            <w:pPr>
              <w:jc w:val="center"/>
              <w:rPr>
                <w:rFonts w:ascii="Arial" w:hAnsi="Arial" w:cs="Arial"/>
                <w:sz w:val="20"/>
              </w:rPr>
            </w:pPr>
            <w:r w:rsidRPr="00C76E17">
              <w:rPr>
                <w:rFonts w:ascii="Arial" w:hAnsi="Arial" w:cs="Arial"/>
                <w:sz w:val="20"/>
              </w:rPr>
              <w:t>Sexes</w:t>
            </w:r>
          </w:p>
        </w:tc>
        <w:tc>
          <w:tcPr>
            <w:tcW w:w="2034" w:type="dxa"/>
            <w:vMerge w:val="restart"/>
            <w:tcBorders>
              <w:top w:val="single" w:sz="4" w:space="0" w:color="auto"/>
              <w:left w:val="nil"/>
              <w:right w:val="nil"/>
            </w:tcBorders>
          </w:tcPr>
          <w:p w14:paraId="2697E777" w14:textId="77777777" w:rsidR="00B3410B" w:rsidRPr="00C76E17" w:rsidRDefault="00C42901" w:rsidP="00917B8C">
            <w:pPr>
              <w:jc w:val="center"/>
              <w:rPr>
                <w:rFonts w:ascii="Arial" w:hAnsi="Arial" w:cs="Arial"/>
                <w:sz w:val="20"/>
              </w:rPr>
            </w:pPr>
            <w:r w:rsidRPr="00C76E17">
              <w:rPr>
                <w:rFonts w:ascii="Arial" w:hAnsi="Arial" w:cs="Arial"/>
                <w:sz w:val="20"/>
              </w:rPr>
              <w:t>Total No. of Learners</w:t>
            </w:r>
          </w:p>
        </w:tc>
      </w:tr>
      <w:tr w:rsidR="00F7786B" w14:paraId="0A01A4EF" w14:textId="77777777" w:rsidTr="00131C9A">
        <w:trPr>
          <w:trHeight w:val="152"/>
        </w:trPr>
        <w:tc>
          <w:tcPr>
            <w:tcW w:w="1926" w:type="dxa"/>
            <w:vMerge/>
            <w:tcBorders>
              <w:left w:val="nil"/>
              <w:bottom w:val="single" w:sz="4" w:space="0" w:color="auto"/>
              <w:right w:val="nil"/>
            </w:tcBorders>
          </w:tcPr>
          <w:p w14:paraId="4A050F81" w14:textId="77777777" w:rsidR="00B3410B" w:rsidRPr="00C76E17" w:rsidRDefault="00B3410B" w:rsidP="00131C9A">
            <w:pPr>
              <w:rPr>
                <w:rFonts w:ascii="Arial" w:hAnsi="Arial" w:cs="Arial"/>
                <w:sz w:val="20"/>
              </w:rPr>
            </w:pPr>
          </w:p>
        </w:tc>
        <w:tc>
          <w:tcPr>
            <w:tcW w:w="4068" w:type="dxa"/>
            <w:tcBorders>
              <w:top w:val="single" w:sz="4" w:space="0" w:color="auto"/>
              <w:left w:val="nil"/>
              <w:bottom w:val="single" w:sz="4" w:space="0" w:color="auto"/>
              <w:right w:val="nil"/>
            </w:tcBorders>
          </w:tcPr>
          <w:p w14:paraId="3F309171" w14:textId="77777777" w:rsidR="00B3410B" w:rsidRPr="00C76E17" w:rsidRDefault="00C42901" w:rsidP="00131C9A">
            <w:pPr>
              <w:rPr>
                <w:rFonts w:ascii="Arial" w:hAnsi="Arial" w:cs="Arial"/>
                <w:sz w:val="20"/>
              </w:rPr>
            </w:pPr>
            <w:r w:rsidRPr="00C76E17">
              <w:rPr>
                <w:rFonts w:ascii="Arial" w:hAnsi="Arial" w:cs="Arial"/>
                <w:sz w:val="20"/>
              </w:rPr>
              <w:t xml:space="preserve"> </w:t>
            </w:r>
            <w:r w:rsidR="00917B8C" w:rsidRPr="00C76E17">
              <w:rPr>
                <w:rFonts w:ascii="Arial" w:hAnsi="Arial" w:cs="Arial"/>
                <w:sz w:val="20"/>
              </w:rPr>
              <w:t xml:space="preserve">       </w:t>
            </w:r>
            <w:r w:rsidRPr="00C76E17">
              <w:rPr>
                <w:rFonts w:ascii="Arial" w:hAnsi="Arial" w:cs="Arial"/>
                <w:sz w:val="20"/>
              </w:rPr>
              <w:t>Male                       Female</w:t>
            </w:r>
          </w:p>
        </w:tc>
        <w:tc>
          <w:tcPr>
            <w:tcW w:w="2034" w:type="dxa"/>
            <w:vMerge/>
            <w:tcBorders>
              <w:left w:val="nil"/>
              <w:bottom w:val="single" w:sz="4" w:space="0" w:color="auto"/>
              <w:right w:val="nil"/>
            </w:tcBorders>
          </w:tcPr>
          <w:p w14:paraId="45488420" w14:textId="77777777" w:rsidR="00B3410B" w:rsidRPr="00C76E17" w:rsidRDefault="00B3410B" w:rsidP="00131C9A">
            <w:pPr>
              <w:rPr>
                <w:rFonts w:ascii="Arial" w:hAnsi="Arial" w:cs="Arial"/>
                <w:sz w:val="20"/>
              </w:rPr>
            </w:pPr>
          </w:p>
        </w:tc>
      </w:tr>
      <w:tr w:rsidR="00F7786B" w14:paraId="395BE501" w14:textId="77777777" w:rsidTr="00131C9A">
        <w:trPr>
          <w:trHeight w:val="20"/>
        </w:trPr>
        <w:tc>
          <w:tcPr>
            <w:tcW w:w="1926" w:type="dxa"/>
            <w:tcBorders>
              <w:top w:val="single" w:sz="4" w:space="0" w:color="auto"/>
              <w:left w:val="nil"/>
              <w:bottom w:val="single" w:sz="4" w:space="0" w:color="auto"/>
              <w:right w:val="nil"/>
            </w:tcBorders>
          </w:tcPr>
          <w:p w14:paraId="7C21081D" w14:textId="77777777" w:rsidR="00B3410B" w:rsidRPr="00C76E17" w:rsidRDefault="00C42901" w:rsidP="00131C9A">
            <w:pPr>
              <w:rPr>
                <w:rFonts w:ascii="Arial" w:hAnsi="Arial" w:cs="Arial"/>
                <w:sz w:val="20"/>
              </w:rPr>
            </w:pPr>
            <w:r w:rsidRPr="00C76E17">
              <w:rPr>
                <w:rFonts w:ascii="Arial" w:hAnsi="Arial" w:cs="Arial"/>
                <w:sz w:val="20"/>
              </w:rPr>
              <w:t>Control</w:t>
            </w:r>
          </w:p>
          <w:p w14:paraId="1A412F95" w14:textId="77777777" w:rsidR="00B3410B" w:rsidRPr="00C76E17" w:rsidRDefault="00C42901" w:rsidP="00131C9A">
            <w:pPr>
              <w:rPr>
                <w:rFonts w:ascii="Arial" w:hAnsi="Arial" w:cs="Arial"/>
                <w:sz w:val="20"/>
              </w:rPr>
            </w:pPr>
            <w:r w:rsidRPr="00C76E17">
              <w:rPr>
                <w:rFonts w:ascii="Arial" w:hAnsi="Arial" w:cs="Arial"/>
                <w:sz w:val="20"/>
              </w:rPr>
              <w:t>Experimental</w:t>
            </w:r>
          </w:p>
          <w:p w14:paraId="51CB2219" w14:textId="77777777" w:rsidR="00B3410B" w:rsidRPr="00C76E17" w:rsidRDefault="00C42901" w:rsidP="00131C9A">
            <w:pPr>
              <w:rPr>
                <w:rFonts w:ascii="Arial" w:hAnsi="Arial" w:cs="Arial"/>
                <w:sz w:val="20"/>
              </w:rPr>
            </w:pPr>
            <w:r w:rsidRPr="00C76E17">
              <w:rPr>
                <w:rFonts w:ascii="Arial" w:hAnsi="Arial" w:cs="Arial"/>
                <w:sz w:val="20"/>
              </w:rPr>
              <w:lastRenderedPageBreak/>
              <w:t>Total</w:t>
            </w:r>
          </w:p>
        </w:tc>
        <w:tc>
          <w:tcPr>
            <w:tcW w:w="4068" w:type="dxa"/>
            <w:tcBorders>
              <w:top w:val="single" w:sz="4" w:space="0" w:color="auto"/>
              <w:left w:val="nil"/>
              <w:bottom w:val="single" w:sz="4" w:space="0" w:color="auto"/>
              <w:right w:val="nil"/>
            </w:tcBorders>
          </w:tcPr>
          <w:p w14:paraId="78E7F10B" w14:textId="77777777" w:rsidR="00B3410B" w:rsidRPr="00C76E17" w:rsidRDefault="00C42901" w:rsidP="00131C9A">
            <w:pPr>
              <w:rPr>
                <w:rFonts w:ascii="Arial" w:hAnsi="Arial" w:cs="Arial"/>
                <w:sz w:val="20"/>
              </w:rPr>
            </w:pPr>
            <w:r w:rsidRPr="00C76E17">
              <w:rPr>
                <w:rFonts w:ascii="Arial" w:hAnsi="Arial" w:cs="Arial"/>
                <w:sz w:val="20"/>
              </w:rPr>
              <w:lastRenderedPageBreak/>
              <w:t xml:space="preserve">         10                            14</w:t>
            </w:r>
          </w:p>
          <w:p w14:paraId="75173CA3" w14:textId="77777777" w:rsidR="00B3410B" w:rsidRPr="00C76E17" w:rsidRDefault="00C42901" w:rsidP="00131C9A">
            <w:pPr>
              <w:rPr>
                <w:rFonts w:ascii="Arial" w:hAnsi="Arial" w:cs="Arial"/>
                <w:sz w:val="20"/>
              </w:rPr>
            </w:pPr>
            <w:r w:rsidRPr="00C76E17">
              <w:rPr>
                <w:rFonts w:ascii="Arial" w:hAnsi="Arial" w:cs="Arial"/>
                <w:sz w:val="20"/>
              </w:rPr>
              <w:t xml:space="preserve">         13                            11</w:t>
            </w:r>
          </w:p>
          <w:p w14:paraId="177E2CFB" w14:textId="77777777" w:rsidR="00B3410B" w:rsidRPr="00C76E17" w:rsidRDefault="00C42901" w:rsidP="00131C9A">
            <w:pPr>
              <w:rPr>
                <w:rFonts w:ascii="Arial" w:hAnsi="Arial" w:cs="Arial"/>
                <w:sz w:val="20"/>
              </w:rPr>
            </w:pPr>
            <w:r w:rsidRPr="00C76E17">
              <w:rPr>
                <w:rFonts w:ascii="Arial" w:hAnsi="Arial" w:cs="Arial"/>
                <w:sz w:val="20"/>
              </w:rPr>
              <w:lastRenderedPageBreak/>
              <w:t xml:space="preserve">         23                            25</w:t>
            </w:r>
          </w:p>
        </w:tc>
        <w:tc>
          <w:tcPr>
            <w:tcW w:w="2034" w:type="dxa"/>
            <w:tcBorders>
              <w:top w:val="single" w:sz="4" w:space="0" w:color="auto"/>
              <w:left w:val="nil"/>
              <w:bottom w:val="single" w:sz="4" w:space="0" w:color="auto"/>
              <w:right w:val="nil"/>
            </w:tcBorders>
          </w:tcPr>
          <w:p w14:paraId="5E906516" w14:textId="77777777" w:rsidR="00B3410B" w:rsidRPr="00C76E17" w:rsidRDefault="00C42901" w:rsidP="00917B8C">
            <w:pPr>
              <w:jc w:val="center"/>
              <w:rPr>
                <w:rFonts w:ascii="Arial" w:hAnsi="Arial" w:cs="Arial"/>
                <w:sz w:val="20"/>
              </w:rPr>
            </w:pPr>
            <w:r w:rsidRPr="00C76E17">
              <w:rPr>
                <w:rFonts w:ascii="Arial" w:hAnsi="Arial" w:cs="Arial"/>
                <w:sz w:val="20"/>
              </w:rPr>
              <w:lastRenderedPageBreak/>
              <w:t>24</w:t>
            </w:r>
          </w:p>
          <w:p w14:paraId="6482D6E7" w14:textId="77777777" w:rsidR="00B3410B" w:rsidRPr="00C76E17" w:rsidRDefault="00C42901" w:rsidP="00917B8C">
            <w:pPr>
              <w:jc w:val="center"/>
              <w:rPr>
                <w:rFonts w:ascii="Arial" w:hAnsi="Arial" w:cs="Arial"/>
                <w:sz w:val="20"/>
              </w:rPr>
            </w:pPr>
            <w:r w:rsidRPr="00C76E17">
              <w:rPr>
                <w:rFonts w:ascii="Arial" w:hAnsi="Arial" w:cs="Arial"/>
                <w:sz w:val="20"/>
              </w:rPr>
              <w:t>24</w:t>
            </w:r>
          </w:p>
          <w:p w14:paraId="0A7B5AED" w14:textId="77777777" w:rsidR="00B3410B" w:rsidRPr="00C76E17" w:rsidRDefault="00C42901" w:rsidP="00917B8C">
            <w:pPr>
              <w:jc w:val="center"/>
              <w:rPr>
                <w:rFonts w:ascii="Arial" w:hAnsi="Arial" w:cs="Arial"/>
                <w:sz w:val="20"/>
              </w:rPr>
            </w:pPr>
            <w:r w:rsidRPr="00C76E17">
              <w:rPr>
                <w:rFonts w:ascii="Arial" w:hAnsi="Arial" w:cs="Arial"/>
                <w:sz w:val="20"/>
              </w:rPr>
              <w:lastRenderedPageBreak/>
              <w:t>48</w:t>
            </w:r>
          </w:p>
        </w:tc>
      </w:tr>
    </w:tbl>
    <w:p w14:paraId="156D25F7" w14:textId="77777777" w:rsidR="00B3410B" w:rsidRPr="00C76E17" w:rsidRDefault="00B3410B" w:rsidP="00B3410B">
      <w:pPr>
        <w:jc w:val="both"/>
        <w:rPr>
          <w:rFonts w:ascii="Arial" w:hAnsi="Arial" w:cs="Arial"/>
        </w:rPr>
      </w:pPr>
    </w:p>
    <w:p w14:paraId="17563CF7" w14:textId="77777777" w:rsidR="00B3410B" w:rsidRPr="00C76E17" w:rsidRDefault="00C42901" w:rsidP="00B3410B">
      <w:pPr>
        <w:jc w:val="both"/>
        <w:rPr>
          <w:rFonts w:ascii="Arial" w:hAnsi="Arial" w:cs="Arial"/>
          <w:b/>
          <w:sz w:val="22"/>
        </w:rPr>
      </w:pPr>
      <w:r w:rsidRPr="00C76E17">
        <w:rPr>
          <w:rFonts w:ascii="Arial" w:hAnsi="Arial" w:cs="Arial"/>
          <w:b/>
          <w:sz w:val="22"/>
        </w:rPr>
        <w:t>2.5 Data Gathered</w:t>
      </w:r>
    </w:p>
    <w:p w14:paraId="626D871A" w14:textId="77777777" w:rsidR="00B3410B" w:rsidRPr="00C76E17" w:rsidRDefault="00B3410B" w:rsidP="00B3410B">
      <w:pPr>
        <w:jc w:val="both"/>
        <w:rPr>
          <w:rFonts w:ascii="Arial" w:hAnsi="Arial" w:cs="Arial"/>
          <w:b/>
        </w:rPr>
      </w:pPr>
    </w:p>
    <w:p w14:paraId="1EE4D334" w14:textId="306D3F07" w:rsidR="00CB42F7" w:rsidRDefault="00C42901" w:rsidP="00B3410B">
      <w:pPr>
        <w:jc w:val="both"/>
        <w:rPr>
          <w:rFonts w:ascii="Arial" w:hAnsi="Arial" w:cs="Arial"/>
        </w:rPr>
      </w:pPr>
      <w:r w:rsidRPr="00C76E17">
        <w:rPr>
          <w:rFonts w:ascii="Arial" w:hAnsi="Arial" w:cs="Arial"/>
        </w:rPr>
        <w:t xml:space="preserve">The study employed a 30-item teacher-made test, which was administered for both the pretest and posttest. The data which arose from both tests were </w:t>
      </w:r>
      <w:proofErr w:type="spellStart"/>
      <w:r w:rsidR="00365C9C" w:rsidRPr="00C05E82">
        <w:rPr>
          <w:rFonts w:ascii="Arial" w:hAnsi="Arial" w:cs="Arial"/>
          <w:highlight w:val="yellow"/>
        </w:rPr>
        <w:t>scrutinised</w:t>
      </w:r>
      <w:proofErr w:type="spellEnd"/>
      <w:r w:rsidR="00365C9C" w:rsidRPr="00C05E82">
        <w:rPr>
          <w:rFonts w:ascii="Arial" w:hAnsi="Arial" w:cs="Arial"/>
          <w:highlight w:val="yellow"/>
        </w:rPr>
        <w:t xml:space="preserve"> </w:t>
      </w:r>
      <w:r w:rsidRPr="00C76E17">
        <w:rPr>
          <w:rFonts w:ascii="Arial" w:hAnsi="Arial" w:cs="Arial"/>
        </w:rPr>
        <w:t xml:space="preserve">and </w:t>
      </w:r>
      <w:proofErr w:type="spellStart"/>
      <w:r w:rsidR="00365C9C" w:rsidRPr="00C05E82">
        <w:rPr>
          <w:rFonts w:ascii="Arial" w:hAnsi="Arial" w:cs="Arial"/>
          <w:highlight w:val="yellow"/>
        </w:rPr>
        <w:t>analysed</w:t>
      </w:r>
      <w:proofErr w:type="spellEnd"/>
      <w:r w:rsidRPr="00C76E17">
        <w:rPr>
          <w:rFonts w:ascii="Arial" w:hAnsi="Arial" w:cs="Arial"/>
        </w:rPr>
        <w:t xml:space="preserve">. These were interpreted based on the percentage score of learners who fall under the following grading scale: </w:t>
      </w:r>
    </w:p>
    <w:p w14:paraId="4B8734CD" w14:textId="77777777" w:rsidR="00CB42F7" w:rsidRDefault="00CB42F7" w:rsidP="00B3410B">
      <w:pPr>
        <w:jc w:val="both"/>
        <w:rPr>
          <w:rFonts w:ascii="Arial" w:hAnsi="Arial" w:cs="Arial"/>
        </w:rPr>
      </w:pPr>
    </w:p>
    <w:p w14:paraId="1D017E2E" w14:textId="77777777" w:rsidR="00CB42F7" w:rsidRPr="00C76E17" w:rsidRDefault="00CB42F7" w:rsidP="00B3410B">
      <w:pPr>
        <w:jc w:val="both"/>
        <w:rPr>
          <w:rFonts w:ascii="Arial" w:hAnsi="Arial" w:cs="Arial"/>
        </w:rPr>
      </w:pPr>
    </w:p>
    <w:p w14:paraId="5D527F27" w14:textId="77777777" w:rsidR="00B3410B" w:rsidRPr="00C76E17" w:rsidRDefault="00C42901" w:rsidP="00131C9A">
      <w:pPr>
        <w:jc w:val="center"/>
        <w:rPr>
          <w:rFonts w:ascii="Arial" w:hAnsi="Arial" w:cs="Arial"/>
          <w:b/>
        </w:rPr>
      </w:pPr>
      <w:r w:rsidRPr="00C76E17">
        <w:rPr>
          <w:rFonts w:ascii="Arial" w:hAnsi="Arial" w:cs="Arial"/>
          <w:b/>
        </w:rPr>
        <w:t>Table 2.</w:t>
      </w:r>
      <w:r w:rsidR="00131C9A" w:rsidRPr="00C76E17">
        <w:rPr>
          <w:rFonts w:ascii="Arial" w:hAnsi="Arial" w:cs="Arial"/>
          <w:b/>
        </w:rPr>
        <w:t xml:space="preserve"> </w:t>
      </w:r>
      <w:r w:rsidRPr="00C76E17">
        <w:rPr>
          <w:rFonts w:ascii="Arial" w:hAnsi="Arial" w:cs="Arial"/>
          <w:b/>
        </w:rPr>
        <w:t xml:space="preserve">Level of Proficiency, Range of </w:t>
      </w:r>
      <w:r w:rsidR="00917B8C" w:rsidRPr="00C76E17">
        <w:rPr>
          <w:rFonts w:ascii="Arial" w:hAnsi="Arial" w:cs="Arial"/>
          <w:b/>
        </w:rPr>
        <w:t xml:space="preserve">Scores, and Descriptions </w:t>
      </w:r>
      <w:r w:rsidRPr="00C76E17">
        <w:rPr>
          <w:rFonts w:ascii="Arial" w:hAnsi="Arial" w:cs="Arial"/>
          <w:b/>
        </w:rPr>
        <w:t xml:space="preserve">of Test Scores </w:t>
      </w:r>
    </w:p>
    <w:p w14:paraId="40E4F035" w14:textId="77777777" w:rsidR="00B3410B" w:rsidRPr="00C76E17" w:rsidRDefault="00B3410B" w:rsidP="00B3410B">
      <w:pPr>
        <w:jc w:val="both"/>
        <w:rPr>
          <w:rFonts w:ascii="Arial" w:hAnsi="Arial" w:cs="Arial"/>
          <w:sz w:val="22"/>
        </w:rPr>
      </w:pPr>
    </w:p>
    <w:tbl>
      <w:tblPr>
        <w:tblStyle w:val="TableGrid"/>
        <w:tblW w:w="8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800"/>
        <w:gridCol w:w="4230"/>
      </w:tblGrid>
      <w:tr w:rsidR="00F7786B" w14:paraId="642B6646" w14:textId="77777777" w:rsidTr="00917B8C">
        <w:trPr>
          <w:trHeight w:val="530"/>
          <w:jc w:val="center"/>
        </w:trPr>
        <w:tc>
          <w:tcPr>
            <w:tcW w:w="2088" w:type="dxa"/>
            <w:tcBorders>
              <w:top w:val="single" w:sz="4" w:space="0" w:color="auto"/>
              <w:bottom w:val="single" w:sz="4" w:space="0" w:color="7F7F7F" w:themeColor="text1" w:themeTint="80"/>
            </w:tcBorders>
            <w:vAlign w:val="center"/>
          </w:tcPr>
          <w:p w14:paraId="29DFF074" w14:textId="77777777" w:rsidR="00B3410B" w:rsidRPr="00C76E17" w:rsidRDefault="00C42901" w:rsidP="00917B8C">
            <w:pPr>
              <w:rPr>
                <w:rFonts w:ascii="Arial" w:hAnsi="Arial" w:cs="Arial"/>
                <w:b/>
                <w:sz w:val="20"/>
                <w:szCs w:val="20"/>
              </w:rPr>
            </w:pPr>
            <w:r w:rsidRPr="00C76E17">
              <w:rPr>
                <w:rFonts w:ascii="Arial" w:hAnsi="Arial" w:cs="Arial"/>
                <w:b/>
                <w:sz w:val="20"/>
                <w:szCs w:val="20"/>
              </w:rPr>
              <w:t xml:space="preserve">Level of Proficiency </w:t>
            </w:r>
          </w:p>
        </w:tc>
        <w:tc>
          <w:tcPr>
            <w:tcW w:w="1800" w:type="dxa"/>
            <w:tcBorders>
              <w:top w:val="single" w:sz="4" w:space="0" w:color="auto"/>
              <w:bottom w:val="single" w:sz="4" w:space="0" w:color="7F7F7F" w:themeColor="text1" w:themeTint="80"/>
            </w:tcBorders>
            <w:vAlign w:val="center"/>
          </w:tcPr>
          <w:p w14:paraId="0F186BC2" w14:textId="77777777" w:rsidR="00B3410B" w:rsidRPr="00C76E17" w:rsidRDefault="00C42901" w:rsidP="00917B8C">
            <w:pPr>
              <w:rPr>
                <w:rFonts w:ascii="Arial" w:hAnsi="Arial" w:cs="Arial"/>
                <w:b/>
                <w:sz w:val="20"/>
                <w:szCs w:val="20"/>
              </w:rPr>
            </w:pPr>
            <w:r w:rsidRPr="00C76E17">
              <w:rPr>
                <w:rFonts w:ascii="Arial" w:hAnsi="Arial" w:cs="Arial"/>
                <w:b/>
                <w:sz w:val="20"/>
                <w:szCs w:val="20"/>
              </w:rPr>
              <w:t>Range of Scores</w:t>
            </w:r>
          </w:p>
        </w:tc>
        <w:tc>
          <w:tcPr>
            <w:tcW w:w="4230" w:type="dxa"/>
            <w:tcBorders>
              <w:top w:val="single" w:sz="4" w:space="0" w:color="auto"/>
              <w:bottom w:val="single" w:sz="4" w:space="0" w:color="7F7F7F" w:themeColor="text1" w:themeTint="80"/>
            </w:tcBorders>
            <w:vAlign w:val="center"/>
          </w:tcPr>
          <w:p w14:paraId="36EAAE3F" w14:textId="77777777" w:rsidR="00B3410B" w:rsidRPr="00C76E17" w:rsidRDefault="00C42901" w:rsidP="00917B8C">
            <w:pPr>
              <w:rPr>
                <w:rFonts w:ascii="Arial" w:hAnsi="Arial" w:cs="Arial"/>
                <w:b/>
                <w:sz w:val="20"/>
                <w:szCs w:val="20"/>
              </w:rPr>
            </w:pPr>
            <w:r w:rsidRPr="00C76E17">
              <w:rPr>
                <w:rFonts w:ascii="Arial" w:hAnsi="Arial" w:cs="Arial"/>
                <w:b/>
                <w:sz w:val="20"/>
                <w:szCs w:val="20"/>
              </w:rPr>
              <w:t xml:space="preserve">Descriptions </w:t>
            </w:r>
          </w:p>
        </w:tc>
      </w:tr>
      <w:tr w:rsidR="00F7786B" w14:paraId="6F947739" w14:textId="77777777" w:rsidTr="00917B8C">
        <w:trPr>
          <w:trHeight w:val="1516"/>
          <w:jc w:val="center"/>
        </w:trPr>
        <w:tc>
          <w:tcPr>
            <w:tcW w:w="2088" w:type="dxa"/>
            <w:tcBorders>
              <w:top w:val="single" w:sz="4" w:space="0" w:color="7F7F7F" w:themeColor="text1" w:themeTint="80"/>
            </w:tcBorders>
            <w:vAlign w:val="center"/>
          </w:tcPr>
          <w:p w14:paraId="6FFF7EE4"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Outstanding</w:t>
            </w:r>
          </w:p>
        </w:tc>
        <w:tc>
          <w:tcPr>
            <w:tcW w:w="1800" w:type="dxa"/>
            <w:tcBorders>
              <w:top w:val="single" w:sz="4" w:space="0" w:color="7F7F7F" w:themeColor="text1" w:themeTint="80"/>
            </w:tcBorders>
            <w:vAlign w:val="center"/>
          </w:tcPr>
          <w:p w14:paraId="37B3ED82"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27 – 30</w:t>
            </w:r>
          </w:p>
        </w:tc>
        <w:tc>
          <w:tcPr>
            <w:tcW w:w="4230" w:type="dxa"/>
            <w:tcBorders>
              <w:top w:val="single" w:sz="4" w:space="0" w:color="7F7F7F" w:themeColor="text1" w:themeTint="80"/>
            </w:tcBorders>
            <w:vAlign w:val="center"/>
          </w:tcPr>
          <w:p w14:paraId="0CAB77A9"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Exceeds the core requirements in terms of knowledge, skills, and understanding of the concept and applications and can transfer them automatically and flexibly through authentic performance tasks.</w:t>
            </w:r>
          </w:p>
          <w:p w14:paraId="291A434C" w14:textId="77777777" w:rsidR="00B3410B" w:rsidRPr="00C76E17" w:rsidRDefault="00B3410B" w:rsidP="00B3410B">
            <w:pPr>
              <w:jc w:val="both"/>
              <w:rPr>
                <w:rFonts w:ascii="Arial" w:hAnsi="Arial" w:cs="Arial"/>
                <w:sz w:val="20"/>
                <w:szCs w:val="20"/>
              </w:rPr>
            </w:pPr>
          </w:p>
        </w:tc>
      </w:tr>
      <w:tr w:rsidR="00F7786B" w14:paraId="144DE9F6" w14:textId="77777777" w:rsidTr="00917B8C">
        <w:trPr>
          <w:trHeight w:val="1129"/>
          <w:jc w:val="center"/>
        </w:trPr>
        <w:tc>
          <w:tcPr>
            <w:tcW w:w="2088" w:type="dxa"/>
            <w:vAlign w:val="center"/>
          </w:tcPr>
          <w:p w14:paraId="2DAEC3E3"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Very Satisfactory</w:t>
            </w:r>
          </w:p>
        </w:tc>
        <w:tc>
          <w:tcPr>
            <w:tcW w:w="1800" w:type="dxa"/>
            <w:vAlign w:val="center"/>
          </w:tcPr>
          <w:p w14:paraId="249DB0CF"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24 – 26</w:t>
            </w:r>
          </w:p>
        </w:tc>
        <w:tc>
          <w:tcPr>
            <w:tcW w:w="4230" w:type="dxa"/>
          </w:tcPr>
          <w:p w14:paraId="5094CAC4" w14:textId="3D298FEF" w:rsidR="00B3410B" w:rsidRPr="00C76E17" w:rsidRDefault="00C42901" w:rsidP="00B3410B">
            <w:pPr>
              <w:jc w:val="both"/>
              <w:rPr>
                <w:rFonts w:ascii="Arial" w:hAnsi="Arial" w:cs="Arial"/>
                <w:sz w:val="20"/>
                <w:szCs w:val="20"/>
              </w:rPr>
            </w:pPr>
            <w:r w:rsidRPr="00C76E17">
              <w:rPr>
                <w:rFonts w:ascii="Arial" w:hAnsi="Arial" w:cs="Arial"/>
                <w:sz w:val="20"/>
                <w:szCs w:val="20"/>
              </w:rPr>
              <w:t>Developed the fundamental knowledge</w:t>
            </w:r>
            <w:r w:rsidR="00365C9C">
              <w:rPr>
                <w:rFonts w:ascii="Arial" w:hAnsi="Arial" w:cs="Arial"/>
                <w:sz w:val="20"/>
                <w:szCs w:val="20"/>
              </w:rPr>
              <w:t>,</w:t>
            </w:r>
            <w:r w:rsidRPr="00C76E17">
              <w:rPr>
                <w:rFonts w:ascii="Arial" w:hAnsi="Arial" w:cs="Arial"/>
                <w:sz w:val="20"/>
                <w:szCs w:val="20"/>
              </w:rPr>
              <w:t xml:space="preserve"> skills</w:t>
            </w:r>
            <w:r w:rsidR="00365C9C">
              <w:rPr>
                <w:rFonts w:ascii="Arial" w:hAnsi="Arial" w:cs="Arial"/>
                <w:sz w:val="20"/>
                <w:szCs w:val="20"/>
              </w:rPr>
              <w:t>,</w:t>
            </w:r>
            <w:r w:rsidRPr="00C76E17">
              <w:rPr>
                <w:rFonts w:ascii="Arial" w:hAnsi="Arial" w:cs="Arial"/>
                <w:sz w:val="20"/>
                <w:szCs w:val="20"/>
              </w:rPr>
              <w:t xml:space="preserve"> and core understanding of the concept and applications and can transfer them independently through authentic performance tasks.</w:t>
            </w:r>
          </w:p>
          <w:p w14:paraId="7733ABAC" w14:textId="77777777" w:rsidR="00B3410B" w:rsidRPr="00C76E17" w:rsidRDefault="00B3410B" w:rsidP="00B3410B">
            <w:pPr>
              <w:jc w:val="both"/>
              <w:rPr>
                <w:rFonts w:ascii="Arial" w:hAnsi="Arial" w:cs="Arial"/>
                <w:sz w:val="20"/>
                <w:szCs w:val="20"/>
              </w:rPr>
            </w:pPr>
          </w:p>
        </w:tc>
      </w:tr>
      <w:tr w:rsidR="00F7786B" w14:paraId="4A8BBE9C" w14:textId="77777777" w:rsidTr="00917B8C">
        <w:trPr>
          <w:trHeight w:val="1129"/>
          <w:jc w:val="center"/>
        </w:trPr>
        <w:tc>
          <w:tcPr>
            <w:tcW w:w="2088" w:type="dxa"/>
            <w:vAlign w:val="center"/>
          </w:tcPr>
          <w:p w14:paraId="0C153B3E"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Satisfactory</w:t>
            </w:r>
          </w:p>
        </w:tc>
        <w:tc>
          <w:tcPr>
            <w:tcW w:w="1800" w:type="dxa"/>
            <w:vAlign w:val="center"/>
          </w:tcPr>
          <w:p w14:paraId="258E67D5"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21 – 23</w:t>
            </w:r>
          </w:p>
        </w:tc>
        <w:tc>
          <w:tcPr>
            <w:tcW w:w="4230" w:type="dxa"/>
          </w:tcPr>
          <w:p w14:paraId="63321398"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Developed the fundamental knowledge and skills and core understanding of the concept and applications, with little guidance from the teacher and peers, and can transfer the understanding through authentic performance tasks.</w:t>
            </w:r>
          </w:p>
          <w:p w14:paraId="1326976C" w14:textId="77777777" w:rsidR="00B3410B" w:rsidRPr="00C76E17" w:rsidRDefault="00B3410B" w:rsidP="00B3410B">
            <w:pPr>
              <w:jc w:val="both"/>
              <w:rPr>
                <w:rFonts w:ascii="Arial" w:hAnsi="Arial" w:cs="Arial"/>
                <w:sz w:val="20"/>
                <w:szCs w:val="20"/>
              </w:rPr>
            </w:pPr>
          </w:p>
        </w:tc>
      </w:tr>
      <w:tr w:rsidR="00F7786B" w14:paraId="270B6296" w14:textId="77777777" w:rsidTr="00917B8C">
        <w:trPr>
          <w:trHeight w:val="1430"/>
          <w:jc w:val="center"/>
        </w:trPr>
        <w:tc>
          <w:tcPr>
            <w:tcW w:w="2088" w:type="dxa"/>
            <w:vAlign w:val="center"/>
          </w:tcPr>
          <w:p w14:paraId="6E1C3F3C" w14:textId="77777777" w:rsidR="00B3410B" w:rsidRPr="00C76E17" w:rsidRDefault="00C42901" w:rsidP="00917B8C">
            <w:pPr>
              <w:rPr>
                <w:rFonts w:ascii="Arial" w:hAnsi="Arial" w:cs="Arial"/>
                <w:sz w:val="20"/>
                <w:szCs w:val="20"/>
              </w:rPr>
            </w:pPr>
            <w:r w:rsidRPr="00C76E17">
              <w:rPr>
                <w:rFonts w:ascii="Arial" w:hAnsi="Arial" w:cs="Arial"/>
                <w:sz w:val="20"/>
                <w:szCs w:val="20"/>
              </w:rPr>
              <w:t>Fairly Satisfactory</w:t>
            </w:r>
          </w:p>
        </w:tc>
        <w:tc>
          <w:tcPr>
            <w:tcW w:w="1800" w:type="dxa"/>
            <w:vAlign w:val="center"/>
          </w:tcPr>
          <w:p w14:paraId="4CB2D576"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18 – 20</w:t>
            </w:r>
          </w:p>
        </w:tc>
        <w:tc>
          <w:tcPr>
            <w:tcW w:w="4230" w:type="dxa"/>
          </w:tcPr>
          <w:p w14:paraId="03B3E2AB" w14:textId="36E03091" w:rsidR="00B3410B" w:rsidRPr="00C76E17" w:rsidRDefault="00C42901" w:rsidP="00B3410B">
            <w:pPr>
              <w:jc w:val="both"/>
              <w:rPr>
                <w:rFonts w:ascii="Arial" w:hAnsi="Arial" w:cs="Arial"/>
                <w:sz w:val="20"/>
                <w:szCs w:val="20"/>
              </w:rPr>
            </w:pPr>
            <w:r w:rsidRPr="00C76E17">
              <w:rPr>
                <w:rFonts w:ascii="Arial" w:hAnsi="Arial" w:cs="Arial"/>
                <w:sz w:val="20"/>
                <w:szCs w:val="20"/>
              </w:rPr>
              <w:t>Possesses the minimum knowledge and skills and core understanding of the concept and applications</w:t>
            </w:r>
            <w:r w:rsidR="00365C9C">
              <w:rPr>
                <w:rFonts w:ascii="Arial" w:hAnsi="Arial" w:cs="Arial"/>
                <w:sz w:val="20"/>
                <w:szCs w:val="20"/>
              </w:rPr>
              <w:t>,</w:t>
            </w:r>
            <w:r w:rsidRPr="00C76E17">
              <w:rPr>
                <w:rFonts w:ascii="Arial" w:hAnsi="Arial" w:cs="Arial"/>
                <w:sz w:val="20"/>
                <w:szCs w:val="20"/>
              </w:rPr>
              <w:t xml:space="preserve"> but needs help throughout the performance of authentic tasks</w:t>
            </w:r>
            <w:r w:rsidR="00E772E9">
              <w:rPr>
                <w:rFonts w:ascii="Arial" w:hAnsi="Arial" w:cs="Arial"/>
                <w:sz w:val="20"/>
                <w:szCs w:val="20"/>
              </w:rPr>
              <w:t>.</w:t>
            </w:r>
          </w:p>
        </w:tc>
      </w:tr>
      <w:tr w:rsidR="00F7786B" w14:paraId="230B6C1C" w14:textId="77777777" w:rsidTr="00917B8C">
        <w:trPr>
          <w:trHeight w:val="1170"/>
          <w:jc w:val="center"/>
        </w:trPr>
        <w:tc>
          <w:tcPr>
            <w:tcW w:w="2088" w:type="dxa"/>
            <w:tcBorders>
              <w:bottom w:val="single" w:sz="4" w:space="0" w:color="auto"/>
            </w:tcBorders>
            <w:vAlign w:val="center"/>
          </w:tcPr>
          <w:p w14:paraId="7AD1CB43" w14:textId="77777777" w:rsidR="00B3410B" w:rsidRPr="00C76E17" w:rsidRDefault="00C42901" w:rsidP="00917B8C">
            <w:pPr>
              <w:rPr>
                <w:rFonts w:ascii="Arial" w:hAnsi="Arial" w:cs="Arial"/>
                <w:sz w:val="20"/>
                <w:szCs w:val="20"/>
              </w:rPr>
            </w:pPr>
            <w:r w:rsidRPr="00C76E17">
              <w:rPr>
                <w:rFonts w:ascii="Arial" w:hAnsi="Arial" w:cs="Arial"/>
                <w:sz w:val="20"/>
                <w:szCs w:val="20"/>
              </w:rPr>
              <w:t>Did Not Meet Expectations</w:t>
            </w:r>
          </w:p>
        </w:tc>
        <w:tc>
          <w:tcPr>
            <w:tcW w:w="1800" w:type="dxa"/>
            <w:tcBorders>
              <w:bottom w:val="single" w:sz="4" w:space="0" w:color="auto"/>
            </w:tcBorders>
            <w:vAlign w:val="center"/>
          </w:tcPr>
          <w:p w14:paraId="5D6FC113"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17 and below</w:t>
            </w:r>
          </w:p>
        </w:tc>
        <w:tc>
          <w:tcPr>
            <w:tcW w:w="4230" w:type="dxa"/>
            <w:tcBorders>
              <w:bottom w:val="single" w:sz="4" w:space="0" w:color="auto"/>
            </w:tcBorders>
          </w:tcPr>
          <w:p w14:paraId="234ED9EF"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Struggles with understanding; prerequisite and fundamental knowledge and/or skills on the concepts and applications have not been acquired or developed adequately to aid understanding.</w:t>
            </w:r>
          </w:p>
        </w:tc>
      </w:tr>
    </w:tbl>
    <w:p w14:paraId="083F3030" w14:textId="77777777" w:rsidR="00B3410B" w:rsidRPr="00C76E17" w:rsidRDefault="00B3410B" w:rsidP="00B3410B">
      <w:pPr>
        <w:jc w:val="both"/>
        <w:rPr>
          <w:rFonts w:ascii="Arial" w:hAnsi="Arial" w:cs="Arial"/>
        </w:rPr>
      </w:pPr>
    </w:p>
    <w:p w14:paraId="7B2855E2" w14:textId="77777777" w:rsidR="00B3410B" w:rsidRPr="00C76E17" w:rsidRDefault="00C42901" w:rsidP="00B3410B">
      <w:pPr>
        <w:jc w:val="both"/>
        <w:rPr>
          <w:rFonts w:ascii="Arial" w:hAnsi="Arial" w:cs="Arial"/>
          <w:b/>
          <w:sz w:val="22"/>
        </w:rPr>
      </w:pPr>
      <w:r w:rsidRPr="00C76E17">
        <w:rPr>
          <w:rFonts w:ascii="Arial" w:hAnsi="Arial" w:cs="Arial"/>
          <w:b/>
          <w:sz w:val="22"/>
        </w:rPr>
        <w:t>2.6 Data Gathering Procedure</w:t>
      </w:r>
    </w:p>
    <w:p w14:paraId="5573C4FF" w14:textId="77777777" w:rsidR="00B3410B" w:rsidRPr="00C76E17" w:rsidRDefault="00B3410B" w:rsidP="00B3410B">
      <w:pPr>
        <w:jc w:val="both"/>
        <w:rPr>
          <w:rFonts w:ascii="Arial" w:hAnsi="Arial" w:cs="Arial"/>
        </w:rPr>
      </w:pPr>
    </w:p>
    <w:p w14:paraId="55595B41" w14:textId="77777777" w:rsidR="00917B8C" w:rsidRPr="00C76E17" w:rsidRDefault="00C42901" w:rsidP="00B3410B">
      <w:pPr>
        <w:jc w:val="both"/>
        <w:rPr>
          <w:rFonts w:ascii="Arial" w:hAnsi="Arial" w:cs="Arial"/>
        </w:rPr>
      </w:pPr>
      <w:r w:rsidRPr="00C76E17">
        <w:rPr>
          <w:rFonts w:ascii="Arial" w:hAnsi="Arial" w:cs="Arial"/>
        </w:rPr>
        <w:t>During the study, the researcher obtained permission from the Schools Division Superintendent to conduct the study at Mote Elementary School. The Public Schools District Supervisor and School Head were given a copy of the endorsement from the Schools Division Superintendent, along with a cover letter on the subject of the study, to solicit their support and cooperation. The School Head was informed of the study's duration.</w:t>
      </w:r>
    </w:p>
    <w:p w14:paraId="600EA6AD" w14:textId="77777777" w:rsidR="004617E2" w:rsidRPr="00C76E17" w:rsidRDefault="004617E2" w:rsidP="00B3410B">
      <w:pPr>
        <w:jc w:val="both"/>
        <w:rPr>
          <w:rFonts w:ascii="Arial" w:hAnsi="Arial" w:cs="Arial"/>
        </w:rPr>
      </w:pPr>
    </w:p>
    <w:p w14:paraId="2D1D216D" w14:textId="213D1AA9" w:rsidR="00B3410B" w:rsidRPr="00C76E17" w:rsidRDefault="00C42901" w:rsidP="00B3410B">
      <w:pPr>
        <w:jc w:val="both"/>
        <w:rPr>
          <w:rFonts w:ascii="Arial" w:hAnsi="Arial" w:cs="Arial"/>
        </w:rPr>
      </w:pPr>
      <w:r w:rsidRPr="00C76E17">
        <w:rPr>
          <w:rFonts w:ascii="Arial" w:hAnsi="Arial" w:cs="Arial"/>
        </w:rPr>
        <w:t xml:space="preserve">The lessons for both the experimental and control groups were designed based on the teacher-made daily lesson log plan. The topic covered in the study was the least learned competency in Science about the Motions of the Earth as identified by the Science Department of </w:t>
      </w:r>
      <w:r w:rsidR="00365C9C" w:rsidRPr="00C05E82">
        <w:rPr>
          <w:rFonts w:ascii="Arial" w:hAnsi="Arial" w:cs="Arial"/>
          <w:highlight w:val="yellow"/>
        </w:rPr>
        <w:t>the</w:t>
      </w:r>
      <w:r w:rsidR="00365C9C">
        <w:rPr>
          <w:rFonts w:ascii="Arial" w:hAnsi="Arial" w:cs="Arial"/>
        </w:rPr>
        <w:t xml:space="preserve"> </w:t>
      </w:r>
      <w:r w:rsidRPr="00C76E17">
        <w:rPr>
          <w:rFonts w:ascii="Arial" w:hAnsi="Arial" w:cs="Arial"/>
        </w:rPr>
        <w:t>Department of Education, Division of Davao Occidental.</w:t>
      </w:r>
    </w:p>
    <w:p w14:paraId="51981FA0" w14:textId="77777777" w:rsidR="004617E2" w:rsidRPr="00C76E17" w:rsidRDefault="004617E2" w:rsidP="00B3410B">
      <w:pPr>
        <w:jc w:val="both"/>
        <w:rPr>
          <w:rFonts w:ascii="Arial" w:hAnsi="Arial" w:cs="Arial"/>
        </w:rPr>
      </w:pPr>
    </w:p>
    <w:p w14:paraId="54020C79" w14:textId="77777777" w:rsidR="00B3410B" w:rsidRPr="00C76E17" w:rsidRDefault="00C42901" w:rsidP="00B3410B">
      <w:pPr>
        <w:jc w:val="both"/>
        <w:rPr>
          <w:rFonts w:ascii="Arial" w:hAnsi="Arial" w:cs="Arial"/>
        </w:rPr>
      </w:pPr>
      <w:r w:rsidRPr="00C76E17">
        <w:rPr>
          <w:rFonts w:ascii="Arial" w:hAnsi="Arial" w:cs="Arial"/>
        </w:rPr>
        <w:t xml:space="preserve">The Table of Specifications (TOS) was prepared as the basis for constructing teacher-made tests. The letter request and validation form were sent to the validators for their comments and suggestions to enhance the researcher-made test.  </w:t>
      </w:r>
    </w:p>
    <w:p w14:paraId="6DA56581" w14:textId="77777777" w:rsidR="004617E2" w:rsidRPr="00C76E17" w:rsidRDefault="004617E2" w:rsidP="00B3410B">
      <w:pPr>
        <w:jc w:val="both"/>
        <w:rPr>
          <w:rFonts w:ascii="Arial" w:hAnsi="Arial" w:cs="Arial"/>
        </w:rPr>
      </w:pPr>
    </w:p>
    <w:p w14:paraId="7D34071C" w14:textId="6A17ADF5" w:rsidR="00B3410B" w:rsidRPr="00C76E17" w:rsidRDefault="00C42901" w:rsidP="00B3410B">
      <w:pPr>
        <w:jc w:val="both"/>
        <w:rPr>
          <w:rFonts w:ascii="Arial" w:hAnsi="Arial" w:cs="Arial"/>
        </w:rPr>
      </w:pPr>
      <w:r w:rsidRPr="00C76E17">
        <w:rPr>
          <w:rFonts w:ascii="Arial" w:hAnsi="Arial" w:cs="Arial"/>
        </w:rPr>
        <w:t xml:space="preserve">The researcher personally administered the test. The pretest was administered to both control and experimental groups. The time slot for the control group was 08:10-09:00, while the experimental group was at 09:00-09:50 each morning. Both the experimental and control groups were given 50 minutes. Time allotment. At the end of the learning competency, the posttest was administered. The data gathered were tabulated, </w:t>
      </w:r>
      <w:proofErr w:type="spellStart"/>
      <w:r w:rsidR="00365C9C" w:rsidRPr="00C05E82">
        <w:rPr>
          <w:rFonts w:ascii="Arial" w:hAnsi="Arial" w:cs="Arial"/>
          <w:highlight w:val="yellow"/>
        </w:rPr>
        <w:t>analysed</w:t>
      </w:r>
      <w:proofErr w:type="spellEnd"/>
      <w:r w:rsidRPr="00C76E17">
        <w:rPr>
          <w:rFonts w:ascii="Arial" w:hAnsi="Arial" w:cs="Arial"/>
        </w:rPr>
        <w:t>, and interpreted.</w:t>
      </w:r>
    </w:p>
    <w:p w14:paraId="5001CA1D" w14:textId="77777777" w:rsidR="00B3410B" w:rsidRPr="00C76E17" w:rsidRDefault="00B3410B" w:rsidP="00B3410B">
      <w:pPr>
        <w:jc w:val="both"/>
        <w:rPr>
          <w:rFonts w:ascii="Arial" w:hAnsi="Arial" w:cs="Arial"/>
        </w:rPr>
      </w:pPr>
    </w:p>
    <w:p w14:paraId="6FB387A2" w14:textId="77777777" w:rsidR="00B3410B" w:rsidRPr="00C76E17" w:rsidRDefault="00C42901" w:rsidP="00B3410B">
      <w:pPr>
        <w:jc w:val="both"/>
        <w:rPr>
          <w:rFonts w:ascii="Arial" w:hAnsi="Arial" w:cs="Arial"/>
          <w:b/>
          <w:sz w:val="22"/>
        </w:rPr>
      </w:pPr>
      <w:r w:rsidRPr="00C76E17">
        <w:rPr>
          <w:rFonts w:ascii="Arial" w:hAnsi="Arial" w:cs="Arial"/>
          <w:b/>
          <w:sz w:val="22"/>
        </w:rPr>
        <w:t>2.7 Statistical Tools</w:t>
      </w:r>
    </w:p>
    <w:p w14:paraId="55674E88" w14:textId="77777777" w:rsidR="00B3410B" w:rsidRPr="00C76E17" w:rsidRDefault="00B3410B" w:rsidP="00B3410B">
      <w:pPr>
        <w:jc w:val="both"/>
        <w:rPr>
          <w:rFonts w:ascii="Arial" w:hAnsi="Arial" w:cs="Arial"/>
        </w:rPr>
      </w:pPr>
    </w:p>
    <w:p w14:paraId="773C9AD5" w14:textId="2979759C" w:rsidR="00B3410B" w:rsidRPr="00C76E17" w:rsidRDefault="00C42901" w:rsidP="00B3410B">
      <w:pPr>
        <w:jc w:val="both"/>
        <w:rPr>
          <w:rFonts w:ascii="Arial" w:hAnsi="Arial" w:cs="Arial"/>
        </w:rPr>
      </w:pPr>
      <w:r w:rsidRPr="00C76E17">
        <w:rPr>
          <w:rFonts w:ascii="Arial" w:hAnsi="Arial" w:cs="Arial"/>
        </w:rPr>
        <w:t xml:space="preserve">Results were </w:t>
      </w:r>
      <w:proofErr w:type="spellStart"/>
      <w:r w:rsidR="00365C9C" w:rsidRPr="00C05E82">
        <w:rPr>
          <w:rFonts w:ascii="Arial" w:hAnsi="Arial" w:cs="Arial"/>
          <w:highlight w:val="yellow"/>
        </w:rPr>
        <w:t>analysed</w:t>
      </w:r>
      <w:proofErr w:type="spellEnd"/>
      <w:r w:rsidR="00365C9C" w:rsidRPr="00C05E82">
        <w:rPr>
          <w:rFonts w:ascii="Arial" w:hAnsi="Arial" w:cs="Arial"/>
          <w:highlight w:val="yellow"/>
        </w:rPr>
        <w:t xml:space="preserve"> </w:t>
      </w:r>
      <w:r w:rsidRPr="00C76E17">
        <w:rPr>
          <w:rFonts w:ascii="Arial" w:hAnsi="Arial" w:cs="Arial"/>
        </w:rPr>
        <w:t>using the independent sample T-test and paired sample T-test. The independent sample T-test was used to determine the significant difference between the pretest and posttest of both the experimental and control groups. The paired sample T-test was used to find significant differences between the pretest and posttest scores of both the experimental and control groups.</w:t>
      </w:r>
    </w:p>
    <w:p w14:paraId="6B0CDF01" w14:textId="77777777" w:rsidR="00917B8C" w:rsidRPr="00C76E17" w:rsidRDefault="00917B8C" w:rsidP="00441B6F">
      <w:pPr>
        <w:pStyle w:val="Body"/>
        <w:spacing w:after="0"/>
        <w:rPr>
          <w:rFonts w:ascii="Arial" w:hAnsi="Arial" w:cs="Arial"/>
        </w:rPr>
      </w:pPr>
    </w:p>
    <w:p w14:paraId="67D40C7E" w14:textId="77777777" w:rsidR="00902823" w:rsidRPr="00C76E17" w:rsidRDefault="00C42901" w:rsidP="00441B6F">
      <w:pPr>
        <w:pStyle w:val="Head1"/>
        <w:spacing w:after="0"/>
        <w:jc w:val="both"/>
        <w:rPr>
          <w:rFonts w:ascii="Arial" w:hAnsi="Arial" w:cs="Arial"/>
        </w:rPr>
      </w:pPr>
      <w:r w:rsidRPr="00C76E17">
        <w:rPr>
          <w:rFonts w:ascii="Arial" w:hAnsi="Arial" w:cs="Arial"/>
        </w:rPr>
        <w:t>3. results and discussion</w:t>
      </w:r>
    </w:p>
    <w:p w14:paraId="4CF0239A" w14:textId="77777777" w:rsidR="00A02DA4" w:rsidRPr="00C76E17" w:rsidRDefault="00A02DA4" w:rsidP="00A02DA4">
      <w:pPr>
        <w:rPr>
          <w:rFonts w:ascii="Arial" w:hAnsi="Arial" w:cs="Arial"/>
          <w:b/>
          <w:caps/>
          <w:sz w:val="22"/>
        </w:rPr>
      </w:pPr>
    </w:p>
    <w:p w14:paraId="33929F04" w14:textId="77777777" w:rsidR="00A02DA4" w:rsidRPr="00C76E17" w:rsidRDefault="00C42901" w:rsidP="00A02DA4">
      <w:pPr>
        <w:rPr>
          <w:rFonts w:ascii="Arial" w:hAnsi="Arial" w:cs="Arial"/>
          <w:b/>
        </w:rPr>
      </w:pPr>
      <w:r w:rsidRPr="00C76E17">
        <w:rPr>
          <w:rFonts w:ascii="Arial" w:hAnsi="Arial" w:cs="Arial"/>
          <w:b/>
          <w:caps/>
        </w:rPr>
        <w:t xml:space="preserve">3.1 </w:t>
      </w:r>
      <w:r w:rsidRPr="00C76E17">
        <w:rPr>
          <w:rFonts w:ascii="Arial" w:hAnsi="Arial" w:cs="Arial"/>
          <w:b/>
        </w:rPr>
        <w:t>Pretest Scores of the Control and Experimental Groups</w:t>
      </w:r>
    </w:p>
    <w:p w14:paraId="1AEB2EA7" w14:textId="77777777" w:rsidR="00646450" w:rsidRPr="00C76E17" w:rsidRDefault="00C42901" w:rsidP="00646450">
      <w:pPr>
        <w:rPr>
          <w:rFonts w:ascii="Arial" w:hAnsi="Arial" w:cs="Arial"/>
        </w:rPr>
      </w:pPr>
      <w:r w:rsidRPr="00C76E17">
        <w:rPr>
          <w:rFonts w:ascii="Arial" w:hAnsi="Arial" w:cs="Arial"/>
        </w:rPr>
        <w:t xml:space="preserve"> </w:t>
      </w:r>
    </w:p>
    <w:p w14:paraId="4B697A1C" w14:textId="33A1A0D6" w:rsidR="00A02DA4" w:rsidRPr="00C76E17" w:rsidRDefault="00C42901" w:rsidP="00646450">
      <w:pPr>
        <w:jc w:val="both"/>
        <w:rPr>
          <w:rFonts w:ascii="Arial" w:hAnsi="Arial" w:cs="Arial"/>
        </w:rPr>
      </w:pPr>
      <w:r w:rsidRPr="00C76E17">
        <w:rPr>
          <w:rFonts w:ascii="Arial" w:hAnsi="Arial" w:cs="Arial"/>
        </w:rPr>
        <w:t xml:space="preserve">As shown in Table 3, the experimental group achieved a higher mean score of 10.33 with a standard deviation of ±1.95. In contrast, the control group obtained a mean score of 9.83 with a standard deviation of ±2.99. However, the performance of both groups was described as being at a fairly satisfactory level of proficiency. It indicated that the performance of the pupils at this level </w:t>
      </w:r>
      <w:r w:rsidR="00365C9C" w:rsidRPr="00C05E82">
        <w:rPr>
          <w:rFonts w:ascii="Arial" w:hAnsi="Arial" w:cs="Arial"/>
          <w:highlight w:val="yellow"/>
        </w:rPr>
        <w:t>struggles</w:t>
      </w:r>
      <w:r w:rsidR="00365C9C" w:rsidRPr="00C76E17">
        <w:rPr>
          <w:rFonts w:ascii="Arial" w:hAnsi="Arial" w:cs="Arial"/>
        </w:rPr>
        <w:t xml:space="preserve"> </w:t>
      </w:r>
      <w:r w:rsidRPr="00C76E17">
        <w:rPr>
          <w:rFonts w:ascii="Arial" w:hAnsi="Arial" w:cs="Arial"/>
        </w:rPr>
        <w:t xml:space="preserve">with his/her understanding; prerequisite and fundamental knowledge have not been acquired or developed adequately to aid understanding. More concepts are not learned. </w:t>
      </w:r>
    </w:p>
    <w:p w14:paraId="287E5BEA" w14:textId="77777777" w:rsidR="00A02DA4" w:rsidRPr="00C76E17" w:rsidRDefault="00A02DA4" w:rsidP="00A02DA4">
      <w:pPr>
        <w:rPr>
          <w:rFonts w:ascii="Arial" w:hAnsi="Arial" w:cs="Arial"/>
        </w:rPr>
      </w:pPr>
    </w:p>
    <w:p w14:paraId="1298EE63" w14:textId="77777777" w:rsidR="00A02DA4" w:rsidRPr="00C76E17" w:rsidRDefault="00C42901" w:rsidP="00646450">
      <w:pPr>
        <w:jc w:val="center"/>
        <w:rPr>
          <w:rFonts w:ascii="Arial" w:hAnsi="Arial" w:cs="Arial"/>
          <w:b/>
        </w:rPr>
      </w:pPr>
      <w:r w:rsidRPr="00C76E17">
        <w:rPr>
          <w:rFonts w:ascii="Arial" w:hAnsi="Arial" w:cs="Arial"/>
          <w:b/>
        </w:rPr>
        <w:t>Table 3. Pretest Scores of the Control and Experimental Groups</w:t>
      </w:r>
    </w:p>
    <w:tbl>
      <w:tblPr>
        <w:tblStyle w:val="TableGrid"/>
        <w:tblW w:w="0" w:type="auto"/>
        <w:tblInd w:w="108" w:type="dxa"/>
        <w:tblLook w:val="04A0" w:firstRow="1" w:lastRow="0" w:firstColumn="1" w:lastColumn="0" w:noHBand="0" w:noVBand="1"/>
      </w:tblPr>
      <w:tblGrid>
        <w:gridCol w:w="8280"/>
      </w:tblGrid>
      <w:tr w:rsidR="00F7786B" w14:paraId="1E37A3FC" w14:textId="77777777" w:rsidTr="00702B8E">
        <w:trPr>
          <w:trHeight w:val="208"/>
        </w:trPr>
        <w:tc>
          <w:tcPr>
            <w:tcW w:w="8280" w:type="dxa"/>
            <w:tcBorders>
              <w:top w:val="single" w:sz="4" w:space="0" w:color="auto"/>
              <w:left w:val="nil"/>
              <w:right w:val="nil"/>
            </w:tcBorders>
          </w:tcPr>
          <w:p w14:paraId="0FFDFF4B"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      Groups                </w:t>
            </w:r>
            <w:r w:rsidR="00646450" w:rsidRPr="00C76E17">
              <w:rPr>
                <w:rFonts w:ascii="Arial" w:hAnsi="Arial" w:cs="Arial"/>
                <w:sz w:val="20"/>
                <w:szCs w:val="20"/>
              </w:rPr>
              <w:t xml:space="preserve">           </w:t>
            </w:r>
            <w:r w:rsidRPr="00C76E17">
              <w:rPr>
                <w:rFonts w:ascii="Arial" w:hAnsi="Arial" w:cs="Arial"/>
                <w:sz w:val="20"/>
                <w:szCs w:val="20"/>
              </w:rPr>
              <w:t xml:space="preserve"> N     </w:t>
            </w:r>
            <w:r w:rsidR="00646450" w:rsidRPr="00C76E17">
              <w:rPr>
                <w:rFonts w:ascii="Arial" w:hAnsi="Arial" w:cs="Arial"/>
                <w:sz w:val="20"/>
                <w:szCs w:val="20"/>
              </w:rPr>
              <w:t xml:space="preserve">           </w:t>
            </w:r>
            <w:r w:rsidRPr="00C76E17">
              <w:rPr>
                <w:rFonts w:ascii="Arial" w:hAnsi="Arial" w:cs="Arial"/>
                <w:sz w:val="20"/>
                <w:szCs w:val="20"/>
              </w:rPr>
              <w:t xml:space="preserve">Mean   </w:t>
            </w:r>
            <w:r w:rsidR="00646450" w:rsidRPr="00C76E17">
              <w:rPr>
                <w:rFonts w:ascii="Arial" w:hAnsi="Arial" w:cs="Arial"/>
                <w:sz w:val="20"/>
                <w:szCs w:val="20"/>
              </w:rPr>
              <w:t xml:space="preserve">      </w:t>
            </w:r>
            <w:r w:rsidRPr="00C76E17">
              <w:rPr>
                <w:rFonts w:ascii="Arial" w:hAnsi="Arial" w:cs="Arial"/>
                <w:sz w:val="20"/>
                <w:szCs w:val="20"/>
              </w:rPr>
              <w:t xml:space="preserve">  SD        Descriptive Equivalent</w:t>
            </w:r>
          </w:p>
        </w:tc>
      </w:tr>
      <w:tr w:rsidR="00F7786B" w14:paraId="653DE066" w14:textId="77777777" w:rsidTr="00702B8E">
        <w:trPr>
          <w:trHeight w:val="146"/>
        </w:trPr>
        <w:tc>
          <w:tcPr>
            <w:tcW w:w="8280" w:type="dxa"/>
            <w:tcBorders>
              <w:left w:val="nil"/>
              <w:bottom w:val="nil"/>
              <w:right w:val="nil"/>
            </w:tcBorders>
          </w:tcPr>
          <w:p w14:paraId="579AB5D0"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Control Group            </w:t>
            </w:r>
            <w:r w:rsidR="00646450" w:rsidRPr="00C76E17">
              <w:rPr>
                <w:rFonts w:ascii="Arial" w:hAnsi="Arial" w:cs="Arial"/>
                <w:sz w:val="20"/>
                <w:szCs w:val="20"/>
              </w:rPr>
              <w:t xml:space="preserve">          </w:t>
            </w:r>
            <w:r w:rsidRPr="00C76E17">
              <w:rPr>
                <w:rFonts w:ascii="Arial" w:hAnsi="Arial" w:cs="Arial"/>
                <w:sz w:val="20"/>
                <w:szCs w:val="20"/>
              </w:rPr>
              <w:t xml:space="preserve"> 24    </w:t>
            </w:r>
            <w:r w:rsidR="00646450" w:rsidRPr="00C76E17">
              <w:rPr>
                <w:rFonts w:ascii="Arial" w:hAnsi="Arial" w:cs="Arial"/>
                <w:sz w:val="20"/>
                <w:szCs w:val="20"/>
              </w:rPr>
              <w:t xml:space="preserve">          </w:t>
            </w:r>
            <w:r w:rsidRPr="00C76E17">
              <w:rPr>
                <w:rFonts w:ascii="Arial" w:hAnsi="Arial" w:cs="Arial"/>
                <w:sz w:val="20"/>
                <w:szCs w:val="20"/>
              </w:rPr>
              <w:t xml:space="preserve"> 9.83   </w:t>
            </w:r>
            <w:r w:rsidR="00646450" w:rsidRPr="00C76E17">
              <w:rPr>
                <w:rFonts w:ascii="Arial" w:hAnsi="Arial" w:cs="Arial"/>
                <w:sz w:val="20"/>
                <w:szCs w:val="20"/>
              </w:rPr>
              <w:t xml:space="preserve">       </w:t>
            </w:r>
            <w:r w:rsidRPr="00C76E17">
              <w:rPr>
                <w:rFonts w:ascii="Arial" w:hAnsi="Arial" w:cs="Arial"/>
                <w:sz w:val="20"/>
                <w:szCs w:val="20"/>
              </w:rPr>
              <w:t xml:space="preserve">±2.99       </w:t>
            </w:r>
            <w:r w:rsidR="00646450" w:rsidRPr="00C76E17">
              <w:rPr>
                <w:rFonts w:ascii="Arial" w:hAnsi="Arial" w:cs="Arial"/>
                <w:sz w:val="20"/>
                <w:szCs w:val="20"/>
              </w:rPr>
              <w:t xml:space="preserve">    </w:t>
            </w:r>
            <w:r w:rsidRPr="00C76E17">
              <w:rPr>
                <w:rFonts w:ascii="Arial" w:hAnsi="Arial" w:cs="Arial"/>
                <w:sz w:val="20"/>
                <w:szCs w:val="20"/>
              </w:rPr>
              <w:t>Fairly Satisfactory</w:t>
            </w:r>
          </w:p>
        </w:tc>
      </w:tr>
      <w:tr w:rsidR="00F7786B" w14:paraId="7219E6CD" w14:textId="77777777" w:rsidTr="00702B8E">
        <w:trPr>
          <w:trHeight w:val="80"/>
        </w:trPr>
        <w:tc>
          <w:tcPr>
            <w:tcW w:w="8280" w:type="dxa"/>
            <w:tcBorders>
              <w:top w:val="nil"/>
              <w:left w:val="nil"/>
              <w:bottom w:val="single" w:sz="4" w:space="0" w:color="auto"/>
              <w:right w:val="nil"/>
            </w:tcBorders>
          </w:tcPr>
          <w:p w14:paraId="11D6A238"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Experimental Group     </w:t>
            </w:r>
            <w:r w:rsidR="00646450" w:rsidRPr="00C76E17">
              <w:rPr>
                <w:rFonts w:ascii="Arial" w:hAnsi="Arial" w:cs="Arial"/>
                <w:sz w:val="20"/>
                <w:szCs w:val="20"/>
              </w:rPr>
              <w:t xml:space="preserve">        </w:t>
            </w:r>
            <w:r w:rsidRPr="00C76E17">
              <w:rPr>
                <w:rFonts w:ascii="Arial" w:hAnsi="Arial" w:cs="Arial"/>
                <w:sz w:val="20"/>
                <w:szCs w:val="20"/>
              </w:rPr>
              <w:t xml:space="preserve">24   </w:t>
            </w:r>
            <w:r w:rsidR="00646450" w:rsidRPr="00C76E17">
              <w:rPr>
                <w:rFonts w:ascii="Arial" w:hAnsi="Arial" w:cs="Arial"/>
                <w:sz w:val="20"/>
                <w:szCs w:val="20"/>
              </w:rPr>
              <w:t xml:space="preserve">           </w:t>
            </w:r>
            <w:r w:rsidRPr="00C76E17">
              <w:rPr>
                <w:rFonts w:ascii="Arial" w:hAnsi="Arial" w:cs="Arial"/>
                <w:sz w:val="20"/>
                <w:szCs w:val="20"/>
              </w:rPr>
              <w:t>10.33</w:t>
            </w:r>
            <w:r w:rsidRPr="00C76E17">
              <w:rPr>
                <w:rFonts w:ascii="Arial" w:hAnsi="Arial" w:cs="Arial"/>
                <w:sz w:val="20"/>
                <w:szCs w:val="20"/>
                <w:vertAlign w:val="superscript"/>
              </w:rPr>
              <w:t xml:space="preserve"> </w:t>
            </w:r>
            <w:r w:rsidRPr="00C76E17">
              <w:rPr>
                <w:rFonts w:ascii="Arial" w:hAnsi="Arial" w:cs="Arial"/>
                <w:sz w:val="20"/>
                <w:szCs w:val="20"/>
              </w:rPr>
              <w:t xml:space="preserve">  </w:t>
            </w:r>
            <w:r w:rsidR="00646450" w:rsidRPr="00C76E17">
              <w:rPr>
                <w:rFonts w:ascii="Arial" w:hAnsi="Arial" w:cs="Arial"/>
                <w:sz w:val="20"/>
                <w:szCs w:val="20"/>
              </w:rPr>
              <w:t xml:space="preserve">       </w:t>
            </w:r>
            <w:r w:rsidRPr="00C76E17">
              <w:rPr>
                <w:rFonts w:ascii="Arial" w:hAnsi="Arial" w:cs="Arial"/>
                <w:sz w:val="20"/>
                <w:szCs w:val="20"/>
              </w:rPr>
              <w:t xml:space="preserve">±1.95       </w:t>
            </w:r>
            <w:r w:rsidR="00646450" w:rsidRPr="00C76E17">
              <w:rPr>
                <w:rFonts w:ascii="Arial" w:hAnsi="Arial" w:cs="Arial"/>
                <w:sz w:val="20"/>
                <w:szCs w:val="20"/>
              </w:rPr>
              <w:t xml:space="preserve">    </w:t>
            </w:r>
            <w:r w:rsidRPr="00C76E17">
              <w:rPr>
                <w:rFonts w:ascii="Arial" w:hAnsi="Arial" w:cs="Arial"/>
                <w:sz w:val="20"/>
                <w:szCs w:val="20"/>
              </w:rPr>
              <w:t>Fairly Satisfactory</w:t>
            </w:r>
          </w:p>
        </w:tc>
      </w:tr>
    </w:tbl>
    <w:p w14:paraId="66B849F8" w14:textId="77777777" w:rsidR="00A02DA4" w:rsidRPr="00C76E17" w:rsidRDefault="00A02DA4" w:rsidP="00A02DA4">
      <w:pPr>
        <w:rPr>
          <w:rFonts w:ascii="Arial" w:hAnsi="Arial" w:cs="Arial"/>
          <w:shd w:val="clear" w:color="auto" w:fill="FFFFFF"/>
        </w:rPr>
      </w:pPr>
    </w:p>
    <w:p w14:paraId="46FAA6E7" w14:textId="77777777" w:rsidR="00B571E9" w:rsidRPr="00B571E9" w:rsidRDefault="00C42901" w:rsidP="00AC37C2">
      <w:pPr>
        <w:jc w:val="both"/>
        <w:rPr>
          <w:rFonts w:ascii="Arial" w:hAnsi="Arial" w:cs="Arial"/>
        </w:rPr>
      </w:pPr>
      <w:r w:rsidRPr="00B571E9">
        <w:rPr>
          <w:rFonts w:ascii="Arial" w:hAnsi="Arial" w:cs="Arial"/>
        </w:rPr>
        <w:t>Despite this fact, the researcher found no significant difference between the pretest scores of the control and experimental groups (Table 4).</w:t>
      </w:r>
    </w:p>
    <w:p w14:paraId="18E1D6C5" w14:textId="77777777" w:rsidR="00646450" w:rsidRPr="00C76E17" w:rsidRDefault="00646450" w:rsidP="00A02DA4">
      <w:pPr>
        <w:rPr>
          <w:rFonts w:ascii="Arial" w:hAnsi="Arial" w:cs="Arial"/>
          <w:shd w:val="clear" w:color="auto" w:fill="FFFFFF"/>
        </w:rPr>
      </w:pPr>
    </w:p>
    <w:p w14:paraId="2AF8F7CB" w14:textId="77777777" w:rsidR="00A02DA4" w:rsidRPr="006C5A2D" w:rsidRDefault="00C42901" w:rsidP="00A02DA4">
      <w:pPr>
        <w:rPr>
          <w:rFonts w:ascii="Arial" w:hAnsi="Arial" w:cs="Arial"/>
          <w:b/>
          <w:bCs/>
        </w:rPr>
      </w:pPr>
      <w:r w:rsidRPr="006C5A2D">
        <w:rPr>
          <w:rFonts w:ascii="Arial" w:hAnsi="Arial" w:cs="Arial"/>
          <w:b/>
          <w:bCs/>
        </w:rPr>
        <w:t>Table 4. Test of Difference on Pretest Scores between Control and Experimental Groups</w:t>
      </w:r>
    </w:p>
    <w:tbl>
      <w:tblPr>
        <w:tblStyle w:val="TableGrid"/>
        <w:tblW w:w="0" w:type="auto"/>
        <w:tblLook w:val="04A0" w:firstRow="1" w:lastRow="0" w:firstColumn="1" w:lastColumn="0" w:noHBand="0" w:noVBand="1"/>
      </w:tblPr>
      <w:tblGrid>
        <w:gridCol w:w="1500"/>
        <w:gridCol w:w="856"/>
        <w:gridCol w:w="958"/>
        <w:gridCol w:w="988"/>
        <w:gridCol w:w="795"/>
        <w:gridCol w:w="950"/>
        <w:gridCol w:w="1317"/>
        <w:gridCol w:w="1060"/>
      </w:tblGrid>
      <w:tr w:rsidR="00F7786B" w14:paraId="424D512C" w14:textId="77777777" w:rsidTr="00646450">
        <w:trPr>
          <w:trHeight w:val="288"/>
        </w:trPr>
        <w:tc>
          <w:tcPr>
            <w:tcW w:w="1500" w:type="dxa"/>
            <w:tcBorders>
              <w:left w:val="nil"/>
              <w:bottom w:val="single" w:sz="4" w:space="0" w:color="000000"/>
              <w:right w:val="nil"/>
            </w:tcBorders>
            <w:vAlign w:val="center"/>
          </w:tcPr>
          <w:p w14:paraId="2C46F160"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Group</w:t>
            </w:r>
          </w:p>
        </w:tc>
        <w:tc>
          <w:tcPr>
            <w:tcW w:w="856" w:type="dxa"/>
            <w:tcBorders>
              <w:left w:val="nil"/>
              <w:bottom w:val="single" w:sz="4" w:space="0" w:color="000000"/>
              <w:right w:val="nil"/>
            </w:tcBorders>
            <w:vAlign w:val="center"/>
          </w:tcPr>
          <w:p w14:paraId="38A6C66B"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7116C8D7"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1223D55F"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03BD5B55"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126579BD" w14:textId="77777777" w:rsidR="00646450" w:rsidRPr="00C76E17" w:rsidRDefault="00C42901" w:rsidP="00646450">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59FC016E"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33CFB486"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Decision</w:t>
            </w:r>
          </w:p>
        </w:tc>
      </w:tr>
      <w:tr w:rsidR="00F7786B" w14:paraId="7DE13722" w14:textId="77777777" w:rsidTr="00646450">
        <w:trPr>
          <w:trHeight w:val="288"/>
        </w:trPr>
        <w:tc>
          <w:tcPr>
            <w:tcW w:w="1500" w:type="dxa"/>
            <w:tcBorders>
              <w:left w:val="nil"/>
              <w:bottom w:val="nil"/>
              <w:right w:val="nil"/>
            </w:tcBorders>
            <w:vAlign w:val="center"/>
          </w:tcPr>
          <w:p w14:paraId="2B2FCC51"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63BE1644"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0E691C8D"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9.83</w:t>
            </w:r>
          </w:p>
        </w:tc>
        <w:tc>
          <w:tcPr>
            <w:tcW w:w="988" w:type="dxa"/>
            <w:tcBorders>
              <w:left w:val="nil"/>
              <w:bottom w:val="nil"/>
              <w:right w:val="nil"/>
            </w:tcBorders>
            <w:vAlign w:val="center"/>
          </w:tcPr>
          <w:p w14:paraId="71790BA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±2.99</w:t>
            </w:r>
          </w:p>
        </w:tc>
        <w:tc>
          <w:tcPr>
            <w:tcW w:w="795" w:type="dxa"/>
            <w:vMerge w:val="restart"/>
            <w:tcBorders>
              <w:left w:val="nil"/>
              <w:right w:val="nil"/>
            </w:tcBorders>
            <w:vAlign w:val="center"/>
          </w:tcPr>
          <w:p w14:paraId="4BC051D1"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.687</w:t>
            </w:r>
          </w:p>
        </w:tc>
        <w:tc>
          <w:tcPr>
            <w:tcW w:w="950" w:type="dxa"/>
            <w:vMerge w:val="restart"/>
            <w:tcBorders>
              <w:left w:val="nil"/>
              <w:right w:val="nil"/>
            </w:tcBorders>
            <w:vAlign w:val="center"/>
          </w:tcPr>
          <w:p w14:paraId="2C0FA475"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0.68</w:t>
            </w:r>
          </w:p>
        </w:tc>
        <w:tc>
          <w:tcPr>
            <w:tcW w:w="1317" w:type="dxa"/>
            <w:vMerge w:val="restart"/>
            <w:tcBorders>
              <w:left w:val="nil"/>
              <w:right w:val="nil"/>
            </w:tcBorders>
            <w:vAlign w:val="center"/>
          </w:tcPr>
          <w:p w14:paraId="6F24D4B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Not Significant</w:t>
            </w:r>
          </w:p>
        </w:tc>
        <w:tc>
          <w:tcPr>
            <w:tcW w:w="1060" w:type="dxa"/>
            <w:vMerge w:val="restart"/>
            <w:tcBorders>
              <w:left w:val="nil"/>
              <w:right w:val="nil"/>
            </w:tcBorders>
            <w:vAlign w:val="center"/>
          </w:tcPr>
          <w:p w14:paraId="7300B9B5"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Accept Ho</w:t>
            </w:r>
            <w:r w:rsidRPr="00C76E17">
              <w:rPr>
                <w:rFonts w:ascii="Arial" w:hAnsi="Arial" w:cs="Arial"/>
                <w:sz w:val="20"/>
                <w:szCs w:val="20"/>
                <w:vertAlign w:val="subscript"/>
              </w:rPr>
              <w:t>1</w:t>
            </w:r>
          </w:p>
        </w:tc>
      </w:tr>
      <w:tr w:rsidR="00F7786B" w14:paraId="7E91F5E2" w14:textId="77777777" w:rsidTr="00646450">
        <w:trPr>
          <w:trHeight w:val="288"/>
        </w:trPr>
        <w:tc>
          <w:tcPr>
            <w:tcW w:w="1500" w:type="dxa"/>
            <w:tcBorders>
              <w:top w:val="nil"/>
              <w:left w:val="nil"/>
              <w:right w:val="nil"/>
            </w:tcBorders>
            <w:vAlign w:val="center"/>
          </w:tcPr>
          <w:p w14:paraId="440D0039"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41CE61B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2586E57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10.33</w:t>
            </w:r>
          </w:p>
        </w:tc>
        <w:tc>
          <w:tcPr>
            <w:tcW w:w="988" w:type="dxa"/>
            <w:tcBorders>
              <w:top w:val="nil"/>
              <w:left w:val="nil"/>
              <w:right w:val="nil"/>
            </w:tcBorders>
            <w:vAlign w:val="center"/>
          </w:tcPr>
          <w:p w14:paraId="431D22F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±1.95</w:t>
            </w:r>
          </w:p>
        </w:tc>
        <w:tc>
          <w:tcPr>
            <w:tcW w:w="795" w:type="dxa"/>
            <w:vMerge/>
            <w:tcBorders>
              <w:left w:val="nil"/>
              <w:right w:val="nil"/>
            </w:tcBorders>
            <w:vAlign w:val="center"/>
          </w:tcPr>
          <w:p w14:paraId="4FD2AAA1" w14:textId="77777777" w:rsidR="00646450" w:rsidRPr="00C76E17" w:rsidRDefault="00646450" w:rsidP="00646450">
            <w:pPr>
              <w:jc w:val="center"/>
              <w:rPr>
                <w:rFonts w:ascii="Arial" w:hAnsi="Arial" w:cs="Arial"/>
                <w:sz w:val="20"/>
                <w:szCs w:val="20"/>
              </w:rPr>
            </w:pPr>
          </w:p>
        </w:tc>
        <w:tc>
          <w:tcPr>
            <w:tcW w:w="950" w:type="dxa"/>
            <w:vMerge/>
            <w:tcBorders>
              <w:left w:val="nil"/>
              <w:right w:val="nil"/>
            </w:tcBorders>
            <w:vAlign w:val="center"/>
          </w:tcPr>
          <w:p w14:paraId="5FE8C0F9" w14:textId="77777777" w:rsidR="00646450" w:rsidRPr="00C76E17" w:rsidRDefault="00646450" w:rsidP="00646450">
            <w:pPr>
              <w:jc w:val="center"/>
              <w:rPr>
                <w:rFonts w:ascii="Arial" w:hAnsi="Arial" w:cs="Arial"/>
                <w:sz w:val="20"/>
                <w:szCs w:val="20"/>
              </w:rPr>
            </w:pPr>
          </w:p>
        </w:tc>
        <w:tc>
          <w:tcPr>
            <w:tcW w:w="1317" w:type="dxa"/>
            <w:vMerge/>
            <w:tcBorders>
              <w:left w:val="nil"/>
              <w:right w:val="nil"/>
            </w:tcBorders>
            <w:vAlign w:val="center"/>
          </w:tcPr>
          <w:p w14:paraId="7F3FEC2A" w14:textId="77777777" w:rsidR="00646450" w:rsidRPr="00C76E17" w:rsidRDefault="00646450" w:rsidP="00646450">
            <w:pPr>
              <w:jc w:val="center"/>
              <w:rPr>
                <w:rFonts w:ascii="Arial" w:hAnsi="Arial" w:cs="Arial"/>
                <w:sz w:val="20"/>
                <w:szCs w:val="20"/>
              </w:rPr>
            </w:pPr>
          </w:p>
        </w:tc>
        <w:tc>
          <w:tcPr>
            <w:tcW w:w="1060" w:type="dxa"/>
            <w:vMerge/>
            <w:tcBorders>
              <w:left w:val="nil"/>
              <w:right w:val="nil"/>
            </w:tcBorders>
            <w:vAlign w:val="center"/>
          </w:tcPr>
          <w:p w14:paraId="5254140C" w14:textId="77777777" w:rsidR="00646450" w:rsidRPr="00C76E17" w:rsidRDefault="00646450" w:rsidP="00646450">
            <w:pPr>
              <w:jc w:val="center"/>
              <w:rPr>
                <w:rFonts w:ascii="Arial" w:hAnsi="Arial" w:cs="Arial"/>
                <w:sz w:val="20"/>
                <w:szCs w:val="20"/>
              </w:rPr>
            </w:pPr>
          </w:p>
        </w:tc>
      </w:tr>
    </w:tbl>
    <w:p w14:paraId="4092E406" w14:textId="77777777" w:rsidR="00646450" w:rsidRPr="00C76E17" w:rsidRDefault="00646450" w:rsidP="00A02DA4">
      <w:pPr>
        <w:rPr>
          <w:rFonts w:ascii="Arial" w:hAnsi="Arial" w:cs="Arial"/>
        </w:rPr>
      </w:pPr>
    </w:p>
    <w:p w14:paraId="5E429D02" w14:textId="77777777" w:rsidR="00A02DA4" w:rsidRPr="00C76E17" w:rsidRDefault="00C42901" w:rsidP="00646450">
      <w:pPr>
        <w:jc w:val="both"/>
        <w:rPr>
          <w:rFonts w:ascii="Arial" w:hAnsi="Arial" w:cs="Arial"/>
        </w:rPr>
      </w:pPr>
      <w:r w:rsidRPr="00C76E17">
        <w:rPr>
          <w:rFonts w:ascii="Arial" w:hAnsi="Arial" w:cs="Arial"/>
        </w:rPr>
        <w:t>The results revealed that the control and experimental groups had the same level of knowledge and competence in the topic</w:t>
      </w:r>
      <w:r w:rsidRPr="00C76E17">
        <w:rPr>
          <w:rFonts w:ascii="Arial" w:hAnsi="Arial" w:cs="Arial"/>
          <w:i/>
        </w:rPr>
        <w:t xml:space="preserve"> </w:t>
      </w:r>
      <w:r w:rsidRPr="00C76E17">
        <w:rPr>
          <w:rFonts w:ascii="Arial" w:hAnsi="Arial" w:cs="Arial"/>
        </w:rPr>
        <w:t xml:space="preserve">prior to the experiment. It could be attributed to the </w:t>
      </w:r>
      <w:r w:rsidRPr="00C76E17">
        <w:rPr>
          <w:rFonts w:ascii="Arial" w:hAnsi="Arial" w:cs="Arial"/>
        </w:rPr>
        <w:lastRenderedPageBreak/>
        <w:t xml:space="preserve">knowledge acquired by pupils through their previous schooling, which they attain by reading science books.  </w:t>
      </w:r>
    </w:p>
    <w:p w14:paraId="3C8E45F8" w14:textId="77777777" w:rsidR="00A02DA4" w:rsidRPr="00C76E17" w:rsidRDefault="00A02DA4" w:rsidP="00A02DA4">
      <w:pPr>
        <w:rPr>
          <w:rFonts w:ascii="Arial" w:hAnsi="Arial" w:cs="Arial"/>
        </w:rPr>
      </w:pPr>
    </w:p>
    <w:p w14:paraId="391F18AE" w14:textId="77777777" w:rsidR="00A02DA4" w:rsidRPr="00C76E17" w:rsidRDefault="00C42901" w:rsidP="00A02DA4">
      <w:pPr>
        <w:rPr>
          <w:rFonts w:ascii="Arial" w:hAnsi="Arial" w:cs="Arial"/>
          <w:b/>
        </w:rPr>
      </w:pPr>
      <w:r w:rsidRPr="00C76E17">
        <w:rPr>
          <w:rFonts w:ascii="Arial" w:hAnsi="Arial" w:cs="Arial"/>
          <w:b/>
        </w:rPr>
        <w:t>3.2 Posttest Scores of the Control and Experimental Groups</w:t>
      </w:r>
    </w:p>
    <w:p w14:paraId="7902A007" w14:textId="77777777" w:rsidR="00A02DA4" w:rsidRPr="00C76E17" w:rsidRDefault="00A02DA4" w:rsidP="00A02DA4">
      <w:pPr>
        <w:rPr>
          <w:rFonts w:ascii="Arial" w:hAnsi="Arial" w:cs="Arial"/>
          <w:b/>
        </w:rPr>
      </w:pPr>
    </w:p>
    <w:p w14:paraId="74C21E0E" w14:textId="77777777" w:rsidR="00A02DA4" w:rsidRPr="00C76E17" w:rsidRDefault="00C42901" w:rsidP="004A342A">
      <w:pPr>
        <w:jc w:val="both"/>
        <w:rPr>
          <w:rFonts w:ascii="Arial" w:hAnsi="Arial" w:cs="Arial"/>
        </w:rPr>
      </w:pPr>
      <w:r w:rsidRPr="00C76E17">
        <w:rPr>
          <w:rFonts w:ascii="Arial" w:hAnsi="Arial" w:cs="Arial"/>
        </w:rPr>
        <w:t xml:space="preserve">At the end of the experiment, a posttest was administered, and the mean scores of the Conventional Teaching Method and the Inquiry-Based Learning Approach in teaching science, along with their standard deviations and descriptive equivalents, are shown in Table 5.   </w:t>
      </w:r>
    </w:p>
    <w:p w14:paraId="5608067B" w14:textId="77777777" w:rsidR="00A02DA4" w:rsidRPr="00C76E17" w:rsidRDefault="00A02DA4" w:rsidP="00A02DA4">
      <w:pPr>
        <w:rPr>
          <w:rFonts w:ascii="Arial" w:hAnsi="Arial" w:cs="Arial"/>
        </w:rPr>
      </w:pPr>
    </w:p>
    <w:p w14:paraId="0CED7F38" w14:textId="77777777" w:rsidR="00A02DA4" w:rsidRPr="00C76E17" w:rsidRDefault="00C42901" w:rsidP="00702B8E">
      <w:pPr>
        <w:jc w:val="center"/>
        <w:rPr>
          <w:rFonts w:ascii="Arial" w:hAnsi="Arial" w:cs="Arial"/>
          <w:b/>
        </w:rPr>
      </w:pPr>
      <w:r w:rsidRPr="00C76E17">
        <w:rPr>
          <w:rFonts w:ascii="Arial" w:hAnsi="Arial" w:cs="Arial"/>
          <w:b/>
        </w:rPr>
        <w:t>Table 5. Posttest Scores of the Control and Experimental Groups</w:t>
      </w:r>
    </w:p>
    <w:tbl>
      <w:tblPr>
        <w:tblStyle w:val="TableGrid"/>
        <w:tblW w:w="0" w:type="auto"/>
        <w:tblInd w:w="108" w:type="dxa"/>
        <w:tblLook w:val="04A0" w:firstRow="1" w:lastRow="0" w:firstColumn="1" w:lastColumn="0" w:noHBand="0" w:noVBand="1"/>
      </w:tblPr>
      <w:tblGrid>
        <w:gridCol w:w="8280"/>
      </w:tblGrid>
      <w:tr w:rsidR="00F7786B" w14:paraId="50A98567" w14:textId="77777777" w:rsidTr="00702B8E">
        <w:trPr>
          <w:trHeight w:val="208"/>
        </w:trPr>
        <w:tc>
          <w:tcPr>
            <w:tcW w:w="8280" w:type="dxa"/>
            <w:tcBorders>
              <w:top w:val="single" w:sz="4" w:space="0" w:color="auto"/>
              <w:left w:val="nil"/>
              <w:bottom w:val="nil"/>
              <w:right w:val="nil"/>
            </w:tcBorders>
          </w:tcPr>
          <w:p w14:paraId="0E36355A"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      Groups               </w:t>
            </w:r>
            <w:r w:rsidR="00702B8E" w:rsidRPr="00C76E17">
              <w:rPr>
                <w:rFonts w:ascii="Arial" w:hAnsi="Arial" w:cs="Arial"/>
                <w:sz w:val="20"/>
                <w:szCs w:val="20"/>
              </w:rPr>
              <w:t xml:space="preserve">          </w:t>
            </w:r>
            <w:r w:rsidRPr="00C76E17">
              <w:rPr>
                <w:rFonts w:ascii="Arial" w:hAnsi="Arial" w:cs="Arial"/>
                <w:sz w:val="20"/>
                <w:szCs w:val="20"/>
              </w:rPr>
              <w:t xml:space="preserve"> N     </w:t>
            </w:r>
            <w:r w:rsidR="00702B8E" w:rsidRPr="00C76E17">
              <w:rPr>
                <w:rFonts w:ascii="Arial" w:hAnsi="Arial" w:cs="Arial"/>
                <w:sz w:val="20"/>
                <w:szCs w:val="20"/>
              </w:rPr>
              <w:t xml:space="preserve">        </w:t>
            </w:r>
            <w:r w:rsidRPr="00C76E17">
              <w:rPr>
                <w:rFonts w:ascii="Arial" w:hAnsi="Arial" w:cs="Arial"/>
                <w:sz w:val="20"/>
                <w:szCs w:val="20"/>
              </w:rPr>
              <w:t xml:space="preserve">Mean  </w:t>
            </w:r>
            <w:r w:rsidR="00702B8E" w:rsidRPr="00C76E17">
              <w:rPr>
                <w:rFonts w:ascii="Arial" w:hAnsi="Arial" w:cs="Arial"/>
                <w:sz w:val="20"/>
                <w:szCs w:val="20"/>
              </w:rPr>
              <w:t xml:space="preserve">     </w:t>
            </w:r>
            <w:r w:rsidRPr="00C76E17">
              <w:rPr>
                <w:rFonts w:ascii="Arial" w:hAnsi="Arial" w:cs="Arial"/>
                <w:sz w:val="20"/>
                <w:szCs w:val="20"/>
              </w:rPr>
              <w:t xml:space="preserve">   SD        </w:t>
            </w:r>
            <w:r w:rsidR="00702B8E" w:rsidRPr="00C76E17">
              <w:rPr>
                <w:rFonts w:ascii="Arial" w:hAnsi="Arial" w:cs="Arial"/>
                <w:sz w:val="20"/>
                <w:szCs w:val="20"/>
              </w:rPr>
              <w:t xml:space="preserve">     </w:t>
            </w:r>
            <w:r w:rsidRPr="00C76E17">
              <w:rPr>
                <w:rFonts w:ascii="Arial" w:hAnsi="Arial" w:cs="Arial"/>
                <w:sz w:val="20"/>
                <w:szCs w:val="20"/>
              </w:rPr>
              <w:t>Descriptive Equivalent</w:t>
            </w:r>
          </w:p>
        </w:tc>
      </w:tr>
      <w:tr w:rsidR="00F7786B" w14:paraId="5D8392E6" w14:textId="77777777" w:rsidTr="00702B8E">
        <w:trPr>
          <w:trHeight w:val="146"/>
        </w:trPr>
        <w:tc>
          <w:tcPr>
            <w:tcW w:w="8280" w:type="dxa"/>
            <w:tcBorders>
              <w:top w:val="single" w:sz="4" w:space="0" w:color="auto"/>
              <w:left w:val="nil"/>
              <w:bottom w:val="nil"/>
              <w:right w:val="nil"/>
            </w:tcBorders>
          </w:tcPr>
          <w:p w14:paraId="126F93BE"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Control Group          </w:t>
            </w:r>
            <w:r w:rsidR="00702B8E" w:rsidRPr="00C76E17">
              <w:rPr>
                <w:rFonts w:ascii="Arial" w:hAnsi="Arial" w:cs="Arial"/>
                <w:sz w:val="20"/>
                <w:szCs w:val="20"/>
              </w:rPr>
              <w:t xml:space="preserve">        </w:t>
            </w:r>
            <w:r w:rsidRPr="00C76E17">
              <w:rPr>
                <w:rFonts w:ascii="Arial" w:hAnsi="Arial" w:cs="Arial"/>
                <w:sz w:val="20"/>
                <w:szCs w:val="20"/>
              </w:rPr>
              <w:t xml:space="preserve">  24    </w:t>
            </w:r>
            <w:r w:rsidR="00702B8E" w:rsidRPr="00C76E17">
              <w:rPr>
                <w:rFonts w:ascii="Arial" w:hAnsi="Arial" w:cs="Arial"/>
                <w:sz w:val="20"/>
                <w:szCs w:val="20"/>
              </w:rPr>
              <w:t xml:space="preserve">        </w:t>
            </w:r>
            <w:r w:rsidRPr="00C76E17">
              <w:rPr>
                <w:rFonts w:ascii="Arial" w:hAnsi="Arial" w:cs="Arial"/>
                <w:sz w:val="20"/>
                <w:szCs w:val="20"/>
              </w:rPr>
              <w:t xml:space="preserve">17.88   </w:t>
            </w:r>
            <w:r w:rsidR="00702B8E" w:rsidRPr="00C76E17">
              <w:rPr>
                <w:rFonts w:ascii="Arial" w:hAnsi="Arial" w:cs="Arial"/>
                <w:sz w:val="20"/>
                <w:szCs w:val="20"/>
              </w:rPr>
              <w:t xml:space="preserve">      </w:t>
            </w:r>
            <w:r w:rsidRPr="00C76E17">
              <w:rPr>
                <w:rFonts w:ascii="Arial" w:hAnsi="Arial" w:cs="Arial"/>
                <w:sz w:val="20"/>
                <w:szCs w:val="20"/>
              </w:rPr>
              <w:t xml:space="preserve">±3.33     </w:t>
            </w:r>
            <w:r w:rsidR="00702B8E" w:rsidRPr="00C76E17">
              <w:rPr>
                <w:rFonts w:ascii="Arial" w:hAnsi="Arial" w:cs="Arial"/>
                <w:sz w:val="20"/>
                <w:szCs w:val="20"/>
              </w:rPr>
              <w:t xml:space="preserve">              </w:t>
            </w:r>
            <w:r w:rsidRPr="00C76E17">
              <w:rPr>
                <w:rFonts w:ascii="Arial" w:hAnsi="Arial" w:cs="Arial"/>
                <w:sz w:val="20"/>
                <w:szCs w:val="20"/>
              </w:rPr>
              <w:t xml:space="preserve"> Satisfactory</w:t>
            </w:r>
          </w:p>
        </w:tc>
      </w:tr>
      <w:tr w:rsidR="00F7786B" w14:paraId="00558D41" w14:textId="77777777" w:rsidTr="00702B8E">
        <w:trPr>
          <w:trHeight w:val="270"/>
        </w:trPr>
        <w:tc>
          <w:tcPr>
            <w:tcW w:w="8280" w:type="dxa"/>
            <w:tcBorders>
              <w:top w:val="nil"/>
              <w:left w:val="nil"/>
              <w:bottom w:val="single" w:sz="4" w:space="0" w:color="auto"/>
              <w:right w:val="nil"/>
            </w:tcBorders>
          </w:tcPr>
          <w:p w14:paraId="1BA76836"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Experimental Group    </w:t>
            </w:r>
            <w:r w:rsidR="00702B8E" w:rsidRPr="00C76E17">
              <w:rPr>
                <w:rFonts w:ascii="Arial" w:hAnsi="Arial" w:cs="Arial"/>
                <w:sz w:val="20"/>
                <w:szCs w:val="20"/>
              </w:rPr>
              <w:t xml:space="preserve">       </w:t>
            </w:r>
            <w:r w:rsidRPr="00C76E17">
              <w:rPr>
                <w:rFonts w:ascii="Arial" w:hAnsi="Arial" w:cs="Arial"/>
                <w:sz w:val="20"/>
                <w:szCs w:val="20"/>
              </w:rPr>
              <w:t xml:space="preserve">24    </w:t>
            </w:r>
            <w:r w:rsidR="00702B8E" w:rsidRPr="00C76E17">
              <w:rPr>
                <w:rFonts w:ascii="Arial" w:hAnsi="Arial" w:cs="Arial"/>
                <w:sz w:val="20"/>
                <w:szCs w:val="20"/>
              </w:rPr>
              <w:t xml:space="preserve">        </w:t>
            </w:r>
            <w:r w:rsidRPr="00C76E17">
              <w:rPr>
                <w:rFonts w:ascii="Arial" w:hAnsi="Arial" w:cs="Arial"/>
                <w:sz w:val="20"/>
                <w:szCs w:val="20"/>
              </w:rPr>
              <w:t xml:space="preserve">24.00  </w:t>
            </w:r>
            <w:r w:rsidR="00702B8E" w:rsidRPr="00C76E17">
              <w:rPr>
                <w:rFonts w:ascii="Arial" w:hAnsi="Arial" w:cs="Arial"/>
                <w:sz w:val="20"/>
                <w:szCs w:val="20"/>
              </w:rPr>
              <w:t xml:space="preserve">     </w:t>
            </w:r>
            <w:r w:rsidRPr="00C76E17">
              <w:rPr>
                <w:rFonts w:ascii="Arial" w:hAnsi="Arial" w:cs="Arial"/>
                <w:sz w:val="20"/>
                <w:szCs w:val="20"/>
              </w:rPr>
              <w:t xml:space="preserve"> </w:t>
            </w:r>
            <w:r w:rsidR="00702B8E" w:rsidRPr="00C76E17">
              <w:rPr>
                <w:rFonts w:ascii="Arial" w:hAnsi="Arial" w:cs="Arial"/>
                <w:sz w:val="20"/>
                <w:szCs w:val="20"/>
              </w:rPr>
              <w:t xml:space="preserve"> </w:t>
            </w:r>
            <w:r w:rsidRPr="00C76E17">
              <w:rPr>
                <w:rFonts w:ascii="Arial" w:hAnsi="Arial" w:cs="Arial"/>
                <w:sz w:val="20"/>
                <w:szCs w:val="20"/>
              </w:rPr>
              <w:t xml:space="preserve">±2.32      </w:t>
            </w:r>
            <w:r w:rsidR="00702B8E" w:rsidRPr="00C76E17">
              <w:rPr>
                <w:rFonts w:ascii="Arial" w:hAnsi="Arial" w:cs="Arial"/>
                <w:sz w:val="20"/>
                <w:szCs w:val="20"/>
              </w:rPr>
              <w:t xml:space="preserve">         </w:t>
            </w:r>
            <w:r w:rsidRPr="00C76E17">
              <w:rPr>
                <w:rFonts w:ascii="Arial" w:hAnsi="Arial" w:cs="Arial"/>
                <w:sz w:val="20"/>
                <w:szCs w:val="20"/>
              </w:rPr>
              <w:t>Very Satisfactory</w:t>
            </w:r>
          </w:p>
        </w:tc>
      </w:tr>
    </w:tbl>
    <w:p w14:paraId="6D189B7A" w14:textId="77777777" w:rsidR="00A02DA4" w:rsidRPr="00C76E17" w:rsidRDefault="00A02DA4" w:rsidP="00A02DA4">
      <w:pPr>
        <w:rPr>
          <w:rFonts w:ascii="Arial" w:hAnsi="Arial" w:cs="Arial"/>
        </w:rPr>
      </w:pPr>
    </w:p>
    <w:p w14:paraId="64117F3F" w14:textId="77777777" w:rsidR="00A02DA4" w:rsidRPr="00C76E17" w:rsidRDefault="00C42901" w:rsidP="00702B8E">
      <w:pPr>
        <w:jc w:val="both"/>
        <w:rPr>
          <w:rFonts w:ascii="Arial" w:hAnsi="Arial" w:cs="Arial"/>
        </w:rPr>
      </w:pPr>
      <w:r w:rsidRPr="00C76E17">
        <w:rPr>
          <w:rFonts w:ascii="Arial" w:hAnsi="Arial" w:cs="Arial"/>
        </w:rPr>
        <w:t>Based on the results indicated in the table above, pupils taught with the Inquiry-Based Learning Approach achieved a mean score of 24.00 ± 2.32, which was interpreted as a very satisfactory level of performance. Furthermore, this means that the performance level of the pupils at this level has developed the fundamental knowledge and core understandings.</w:t>
      </w:r>
    </w:p>
    <w:p w14:paraId="0E4B79B8" w14:textId="77777777" w:rsidR="00702B8E" w:rsidRPr="00C76E17" w:rsidRDefault="00702B8E" w:rsidP="00A02DA4">
      <w:pPr>
        <w:rPr>
          <w:rFonts w:ascii="Arial" w:hAnsi="Arial" w:cs="Arial"/>
        </w:rPr>
      </w:pPr>
    </w:p>
    <w:p w14:paraId="0089358E" w14:textId="77777777" w:rsidR="00A02DA4" w:rsidRPr="00C76E17" w:rsidRDefault="00C42901" w:rsidP="00702B8E">
      <w:pPr>
        <w:jc w:val="both"/>
        <w:rPr>
          <w:rFonts w:ascii="Arial" w:hAnsi="Arial" w:cs="Arial"/>
        </w:rPr>
      </w:pPr>
      <w:r w:rsidRPr="00C76E17">
        <w:rPr>
          <w:rFonts w:ascii="Arial" w:hAnsi="Arial" w:cs="Arial"/>
        </w:rPr>
        <w:t>On the other hand, learners exposed to the Conventional Teaching Method achieved a satisfactory level of performance, as indicated by an average of 17.88 ± 3.33. It implies that the performance level has developed the fundamental knowledge and core understanding with little guidance from the teacher and/or with some assistance from peers.</w:t>
      </w:r>
    </w:p>
    <w:p w14:paraId="2AD8346C" w14:textId="77777777" w:rsidR="00702B8E" w:rsidRPr="00C76E17" w:rsidRDefault="00702B8E" w:rsidP="00702B8E">
      <w:pPr>
        <w:jc w:val="both"/>
        <w:rPr>
          <w:rFonts w:ascii="Arial" w:hAnsi="Arial" w:cs="Arial"/>
        </w:rPr>
      </w:pPr>
    </w:p>
    <w:p w14:paraId="435FD0AD" w14:textId="77777777" w:rsidR="00A02DA4" w:rsidRPr="00C76E17" w:rsidRDefault="00C42901" w:rsidP="003837EB">
      <w:pPr>
        <w:jc w:val="both"/>
        <w:rPr>
          <w:rFonts w:ascii="Arial" w:hAnsi="Arial" w:cs="Arial"/>
        </w:rPr>
      </w:pPr>
      <w:r w:rsidRPr="00C76E17">
        <w:rPr>
          <w:rFonts w:ascii="Arial" w:hAnsi="Arial" w:cs="Arial"/>
        </w:rPr>
        <w:t>There was a significant difference between the posttest scores of the control and exper</w:t>
      </w:r>
      <w:r w:rsidR="00702B8E" w:rsidRPr="00C76E17">
        <w:rPr>
          <w:rFonts w:ascii="Arial" w:hAnsi="Arial" w:cs="Arial"/>
        </w:rPr>
        <w:t xml:space="preserve">imental groups. </w:t>
      </w:r>
      <w:r w:rsidRPr="00C76E17">
        <w:rPr>
          <w:rFonts w:ascii="Arial" w:hAnsi="Arial" w:cs="Arial"/>
        </w:rPr>
        <w:t>It suggests that learners' knowledge improved significantly when they were exposed to the Inquiry-Based Learning Approach compared to those taught using t</w:t>
      </w:r>
      <w:r w:rsidR="003837EB">
        <w:rPr>
          <w:rFonts w:ascii="Arial" w:hAnsi="Arial" w:cs="Arial"/>
        </w:rPr>
        <w:t xml:space="preserve">he Conventional Teaching Method shown in Table 6. </w:t>
      </w:r>
    </w:p>
    <w:p w14:paraId="4DD56017" w14:textId="77777777" w:rsidR="00A02DA4" w:rsidRPr="00C76E17" w:rsidRDefault="00A02DA4" w:rsidP="00A02DA4">
      <w:pPr>
        <w:rPr>
          <w:rFonts w:ascii="Arial" w:hAnsi="Arial" w:cs="Arial"/>
        </w:rPr>
      </w:pPr>
    </w:p>
    <w:p w14:paraId="0DD42F6B" w14:textId="5AA4104D" w:rsidR="00A02DA4" w:rsidRPr="00C76E17" w:rsidRDefault="00C42901" w:rsidP="00A14C91">
      <w:pPr>
        <w:jc w:val="center"/>
        <w:rPr>
          <w:rFonts w:ascii="Arial" w:hAnsi="Arial" w:cs="Arial"/>
          <w:b/>
        </w:rPr>
      </w:pPr>
      <w:r w:rsidRPr="00C76E17">
        <w:rPr>
          <w:rFonts w:ascii="Arial" w:hAnsi="Arial" w:cs="Arial"/>
          <w:b/>
        </w:rPr>
        <w:t>Table 6. Test of Difference on the Postte</w:t>
      </w:r>
      <w:r w:rsidR="003837EB">
        <w:rPr>
          <w:rFonts w:ascii="Arial" w:hAnsi="Arial" w:cs="Arial"/>
          <w:b/>
        </w:rPr>
        <w:t xml:space="preserve">st Scores between Control and </w:t>
      </w:r>
      <w:r w:rsidRPr="00C76E17">
        <w:rPr>
          <w:rFonts w:ascii="Arial" w:hAnsi="Arial" w:cs="Arial"/>
          <w:b/>
        </w:rPr>
        <w:t xml:space="preserve">Experimental </w:t>
      </w:r>
      <w:r w:rsidR="002551CB" w:rsidRPr="00C05E82">
        <w:rPr>
          <w:rFonts w:ascii="Arial" w:hAnsi="Arial" w:cs="Arial"/>
          <w:b/>
          <w:highlight w:val="yellow"/>
        </w:rPr>
        <w:t>Groups</w:t>
      </w:r>
    </w:p>
    <w:tbl>
      <w:tblPr>
        <w:tblStyle w:val="TableGrid"/>
        <w:tblW w:w="0" w:type="auto"/>
        <w:tblLook w:val="04A0" w:firstRow="1" w:lastRow="0" w:firstColumn="1" w:lastColumn="0" w:noHBand="0" w:noVBand="1"/>
      </w:tblPr>
      <w:tblGrid>
        <w:gridCol w:w="1500"/>
        <w:gridCol w:w="856"/>
        <w:gridCol w:w="958"/>
        <w:gridCol w:w="988"/>
        <w:gridCol w:w="795"/>
        <w:gridCol w:w="950"/>
        <w:gridCol w:w="1317"/>
        <w:gridCol w:w="1060"/>
      </w:tblGrid>
      <w:tr w:rsidR="00F7786B" w14:paraId="1C86F189" w14:textId="77777777" w:rsidTr="00A14C91">
        <w:trPr>
          <w:trHeight w:val="288"/>
        </w:trPr>
        <w:tc>
          <w:tcPr>
            <w:tcW w:w="1500" w:type="dxa"/>
            <w:tcBorders>
              <w:left w:val="nil"/>
              <w:bottom w:val="single" w:sz="4" w:space="0" w:color="000000"/>
              <w:right w:val="nil"/>
            </w:tcBorders>
            <w:vAlign w:val="center"/>
          </w:tcPr>
          <w:p w14:paraId="202BE647"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Group</w:t>
            </w:r>
          </w:p>
        </w:tc>
        <w:tc>
          <w:tcPr>
            <w:tcW w:w="856" w:type="dxa"/>
            <w:tcBorders>
              <w:left w:val="nil"/>
              <w:bottom w:val="single" w:sz="4" w:space="0" w:color="000000"/>
              <w:right w:val="nil"/>
            </w:tcBorders>
            <w:vAlign w:val="center"/>
          </w:tcPr>
          <w:p w14:paraId="4F2DF36E"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30E0A14C"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3498AE63"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6066D445"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63EA3FC5" w14:textId="77777777" w:rsidR="005B1294"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2C9D4734"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28C1592E"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1C12090C" w14:textId="77777777" w:rsidTr="00A14C91">
        <w:trPr>
          <w:trHeight w:val="288"/>
        </w:trPr>
        <w:tc>
          <w:tcPr>
            <w:tcW w:w="1500" w:type="dxa"/>
            <w:tcBorders>
              <w:left w:val="nil"/>
              <w:bottom w:val="nil"/>
              <w:right w:val="nil"/>
            </w:tcBorders>
            <w:vAlign w:val="center"/>
          </w:tcPr>
          <w:p w14:paraId="7FECD49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3BA53538"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4BF7895F"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17.88</w:t>
            </w:r>
          </w:p>
        </w:tc>
        <w:tc>
          <w:tcPr>
            <w:tcW w:w="988" w:type="dxa"/>
            <w:tcBorders>
              <w:left w:val="nil"/>
              <w:bottom w:val="nil"/>
              <w:right w:val="nil"/>
            </w:tcBorders>
            <w:vAlign w:val="center"/>
          </w:tcPr>
          <w:p w14:paraId="725DEE28"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±3.33</w:t>
            </w:r>
          </w:p>
        </w:tc>
        <w:tc>
          <w:tcPr>
            <w:tcW w:w="795" w:type="dxa"/>
            <w:vMerge w:val="restart"/>
            <w:tcBorders>
              <w:left w:val="nil"/>
              <w:right w:val="nil"/>
            </w:tcBorders>
            <w:vAlign w:val="center"/>
          </w:tcPr>
          <w:p w14:paraId="18865CE9"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7.396</w:t>
            </w:r>
          </w:p>
        </w:tc>
        <w:tc>
          <w:tcPr>
            <w:tcW w:w="950" w:type="dxa"/>
            <w:vMerge w:val="restart"/>
            <w:tcBorders>
              <w:left w:val="nil"/>
              <w:right w:val="nil"/>
            </w:tcBorders>
            <w:vAlign w:val="center"/>
          </w:tcPr>
          <w:p w14:paraId="75A70B2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2464572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386F2CAF"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1</w:t>
            </w:r>
          </w:p>
        </w:tc>
      </w:tr>
      <w:tr w:rsidR="00F7786B" w14:paraId="0729E72D" w14:textId="77777777" w:rsidTr="00A14C91">
        <w:trPr>
          <w:trHeight w:val="288"/>
        </w:trPr>
        <w:tc>
          <w:tcPr>
            <w:tcW w:w="1500" w:type="dxa"/>
            <w:tcBorders>
              <w:top w:val="nil"/>
              <w:left w:val="nil"/>
              <w:right w:val="nil"/>
            </w:tcBorders>
            <w:vAlign w:val="center"/>
          </w:tcPr>
          <w:p w14:paraId="7AF1D22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2A18C065"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1299B77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24.00</w:t>
            </w:r>
          </w:p>
        </w:tc>
        <w:tc>
          <w:tcPr>
            <w:tcW w:w="988" w:type="dxa"/>
            <w:tcBorders>
              <w:top w:val="nil"/>
              <w:left w:val="nil"/>
              <w:right w:val="nil"/>
            </w:tcBorders>
            <w:vAlign w:val="center"/>
          </w:tcPr>
          <w:p w14:paraId="2E1F07E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±2.32</w:t>
            </w:r>
          </w:p>
        </w:tc>
        <w:tc>
          <w:tcPr>
            <w:tcW w:w="795" w:type="dxa"/>
            <w:vMerge/>
            <w:tcBorders>
              <w:left w:val="nil"/>
              <w:right w:val="nil"/>
            </w:tcBorders>
            <w:vAlign w:val="center"/>
          </w:tcPr>
          <w:p w14:paraId="777DDB16" w14:textId="77777777" w:rsidR="005B1294" w:rsidRPr="00C76E17" w:rsidRDefault="005B1294" w:rsidP="00A14C91">
            <w:pPr>
              <w:jc w:val="center"/>
              <w:rPr>
                <w:rFonts w:ascii="Arial" w:hAnsi="Arial" w:cs="Arial"/>
                <w:sz w:val="20"/>
                <w:szCs w:val="20"/>
              </w:rPr>
            </w:pPr>
          </w:p>
        </w:tc>
        <w:tc>
          <w:tcPr>
            <w:tcW w:w="950" w:type="dxa"/>
            <w:vMerge/>
            <w:tcBorders>
              <w:left w:val="nil"/>
              <w:right w:val="nil"/>
            </w:tcBorders>
            <w:vAlign w:val="center"/>
          </w:tcPr>
          <w:p w14:paraId="324ADC78" w14:textId="77777777" w:rsidR="005B1294" w:rsidRPr="00C76E17" w:rsidRDefault="005B1294" w:rsidP="00A14C91">
            <w:pPr>
              <w:jc w:val="center"/>
              <w:rPr>
                <w:rFonts w:ascii="Arial" w:hAnsi="Arial" w:cs="Arial"/>
                <w:sz w:val="20"/>
                <w:szCs w:val="20"/>
              </w:rPr>
            </w:pPr>
          </w:p>
        </w:tc>
        <w:tc>
          <w:tcPr>
            <w:tcW w:w="1317" w:type="dxa"/>
            <w:vMerge/>
            <w:tcBorders>
              <w:left w:val="nil"/>
              <w:right w:val="nil"/>
            </w:tcBorders>
            <w:vAlign w:val="center"/>
          </w:tcPr>
          <w:p w14:paraId="7CF8BCA2" w14:textId="77777777" w:rsidR="005B1294" w:rsidRPr="00C76E17" w:rsidRDefault="005B1294" w:rsidP="00A14C91">
            <w:pPr>
              <w:jc w:val="center"/>
              <w:rPr>
                <w:rFonts w:ascii="Arial" w:hAnsi="Arial" w:cs="Arial"/>
                <w:sz w:val="20"/>
                <w:szCs w:val="20"/>
              </w:rPr>
            </w:pPr>
          </w:p>
        </w:tc>
        <w:tc>
          <w:tcPr>
            <w:tcW w:w="1060" w:type="dxa"/>
            <w:vMerge/>
            <w:tcBorders>
              <w:left w:val="nil"/>
              <w:right w:val="nil"/>
            </w:tcBorders>
            <w:vAlign w:val="center"/>
          </w:tcPr>
          <w:p w14:paraId="6D699945" w14:textId="77777777" w:rsidR="005B1294" w:rsidRPr="00C76E17" w:rsidRDefault="005B1294" w:rsidP="00A14C91">
            <w:pPr>
              <w:jc w:val="center"/>
              <w:rPr>
                <w:rFonts w:ascii="Arial" w:hAnsi="Arial" w:cs="Arial"/>
                <w:sz w:val="20"/>
                <w:szCs w:val="20"/>
              </w:rPr>
            </w:pPr>
          </w:p>
        </w:tc>
      </w:tr>
    </w:tbl>
    <w:p w14:paraId="6D966D9B" w14:textId="77777777" w:rsidR="00AC37C2" w:rsidRDefault="00AC37C2" w:rsidP="00A14C91">
      <w:pPr>
        <w:jc w:val="both"/>
        <w:rPr>
          <w:rFonts w:ascii="Arial" w:hAnsi="Arial" w:cs="Arial"/>
        </w:rPr>
      </w:pPr>
    </w:p>
    <w:p w14:paraId="3EF7BF5B" w14:textId="77777777" w:rsidR="00A02DA4" w:rsidRPr="00C76E17" w:rsidRDefault="00C42901" w:rsidP="00AC37C2">
      <w:pPr>
        <w:jc w:val="both"/>
        <w:rPr>
          <w:rFonts w:ascii="Arial" w:hAnsi="Arial" w:cs="Arial"/>
        </w:rPr>
      </w:pPr>
      <w:r w:rsidRPr="00C76E17">
        <w:rPr>
          <w:rFonts w:ascii="Arial" w:hAnsi="Arial" w:cs="Arial"/>
        </w:rPr>
        <w:t>The researcher attempted to determine the knowl</w:t>
      </w:r>
      <w:r w:rsidR="00A14C91" w:rsidRPr="00C76E17">
        <w:rPr>
          <w:rFonts w:ascii="Arial" w:hAnsi="Arial" w:cs="Arial"/>
        </w:rPr>
        <w:t>edge gained by pu</w:t>
      </w:r>
      <w:r w:rsidR="00AC37C2">
        <w:rPr>
          <w:rFonts w:ascii="Arial" w:hAnsi="Arial" w:cs="Arial"/>
        </w:rPr>
        <w:t>pils using the conventional teaching m</w:t>
      </w:r>
      <w:r w:rsidRPr="00C76E17">
        <w:rPr>
          <w:rFonts w:ascii="Arial" w:hAnsi="Arial" w:cs="Arial"/>
        </w:rPr>
        <w:t>ethod by comparing their pretest and posttest scores. Results are presented in Table 7.</w:t>
      </w:r>
    </w:p>
    <w:p w14:paraId="4174DD33" w14:textId="77777777" w:rsidR="00A02DA4" w:rsidRPr="00C76E17" w:rsidRDefault="00A02DA4" w:rsidP="00A02DA4">
      <w:pPr>
        <w:rPr>
          <w:rFonts w:ascii="Arial" w:hAnsi="Arial" w:cs="Arial"/>
        </w:rPr>
      </w:pPr>
    </w:p>
    <w:p w14:paraId="3B56D0E2" w14:textId="77777777" w:rsidR="00A14C91" w:rsidRPr="00AC37C2" w:rsidRDefault="00C42901" w:rsidP="00AC37C2">
      <w:pPr>
        <w:jc w:val="center"/>
        <w:rPr>
          <w:rFonts w:ascii="Arial" w:hAnsi="Arial" w:cs="Arial"/>
          <w:b/>
        </w:rPr>
      </w:pPr>
      <w:r w:rsidRPr="00AC37C2">
        <w:rPr>
          <w:rFonts w:ascii="Arial" w:hAnsi="Arial" w:cs="Arial"/>
          <w:b/>
        </w:rPr>
        <w:t>Table 7. A Paired T-test Comparing the Pretest and Posttest Scores of the Pupils in the Control Group</w:t>
      </w:r>
    </w:p>
    <w:tbl>
      <w:tblPr>
        <w:tblStyle w:val="TableGrid"/>
        <w:tblW w:w="8335" w:type="dxa"/>
        <w:tblLook w:val="04A0" w:firstRow="1" w:lastRow="0" w:firstColumn="1" w:lastColumn="0" w:noHBand="0" w:noVBand="1"/>
      </w:tblPr>
      <w:tblGrid>
        <w:gridCol w:w="1458"/>
        <w:gridCol w:w="720"/>
        <w:gridCol w:w="954"/>
        <w:gridCol w:w="983"/>
        <w:gridCol w:w="828"/>
        <w:gridCol w:w="1015"/>
        <w:gridCol w:w="1317"/>
        <w:gridCol w:w="1060"/>
      </w:tblGrid>
      <w:tr w:rsidR="00F7786B" w14:paraId="16C831EA" w14:textId="77777777" w:rsidTr="00A14C91">
        <w:trPr>
          <w:trHeight w:val="288"/>
        </w:trPr>
        <w:tc>
          <w:tcPr>
            <w:tcW w:w="1458" w:type="dxa"/>
            <w:tcBorders>
              <w:left w:val="nil"/>
              <w:bottom w:val="single" w:sz="4" w:space="0" w:color="000000"/>
              <w:right w:val="nil"/>
            </w:tcBorders>
            <w:vAlign w:val="center"/>
          </w:tcPr>
          <w:p w14:paraId="0C984266"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 xml:space="preserve">Control </w:t>
            </w:r>
          </w:p>
          <w:p w14:paraId="483803CB"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Group</w:t>
            </w:r>
          </w:p>
        </w:tc>
        <w:tc>
          <w:tcPr>
            <w:tcW w:w="720" w:type="dxa"/>
            <w:tcBorders>
              <w:left w:val="nil"/>
              <w:bottom w:val="single" w:sz="4" w:space="0" w:color="000000"/>
              <w:right w:val="nil"/>
            </w:tcBorders>
            <w:vAlign w:val="center"/>
          </w:tcPr>
          <w:p w14:paraId="27F65A30"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4" w:type="dxa"/>
            <w:tcBorders>
              <w:left w:val="nil"/>
              <w:bottom w:val="single" w:sz="4" w:space="0" w:color="000000"/>
              <w:right w:val="nil"/>
            </w:tcBorders>
            <w:vAlign w:val="center"/>
          </w:tcPr>
          <w:p w14:paraId="30EEBC4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3" w:type="dxa"/>
            <w:tcBorders>
              <w:left w:val="nil"/>
              <w:bottom w:val="single" w:sz="4" w:space="0" w:color="000000"/>
              <w:right w:val="nil"/>
            </w:tcBorders>
            <w:vAlign w:val="center"/>
          </w:tcPr>
          <w:p w14:paraId="51BAC025"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828" w:type="dxa"/>
            <w:tcBorders>
              <w:left w:val="nil"/>
              <w:bottom w:val="single" w:sz="4" w:space="0" w:color="000000"/>
              <w:right w:val="nil"/>
            </w:tcBorders>
            <w:vAlign w:val="center"/>
          </w:tcPr>
          <w:p w14:paraId="046A340C" w14:textId="77777777" w:rsidR="00A14C91" w:rsidRPr="00C76E17" w:rsidRDefault="003837EB" w:rsidP="00A14C91">
            <w:pPr>
              <w:jc w:val="center"/>
              <w:rPr>
                <w:rFonts w:ascii="Arial" w:hAnsi="Arial" w:cs="Arial"/>
                <w:b/>
                <w:sz w:val="20"/>
                <w:szCs w:val="20"/>
              </w:rPr>
            </w:pPr>
            <w:r w:rsidRPr="00C76E17">
              <w:rPr>
                <w:rFonts w:ascii="Arial" w:hAnsi="Arial" w:cs="Arial"/>
                <w:b/>
                <w:sz w:val="20"/>
                <w:szCs w:val="20"/>
              </w:rPr>
              <w:t>T</w:t>
            </w:r>
          </w:p>
        </w:tc>
        <w:tc>
          <w:tcPr>
            <w:tcW w:w="1015" w:type="dxa"/>
            <w:tcBorders>
              <w:left w:val="nil"/>
              <w:bottom w:val="single" w:sz="4" w:space="0" w:color="000000"/>
              <w:right w:val="nil"/>
            </w:tcBorders>
            <w:vAlign w:val="center"/>
          </w:tcPr>
          <w:p w14:paraId="795B5359" w14:textId="77777777" w:rsidR="00A14C91"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3F9976D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7D71EE19"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127D8B87" w14:textId="77777777" w:rsidTr="00A14C91">
        <w:trPr>
          <w:trHeight w:val="288"/>
        </w:trPr>
        <w:tc>
          <w:tcPr>
            <w:tcW w:w="1458" w:type="dxa"/>
            <w:tcBorders>
              <w:left w:val="nil"/>
              <w:bottom w:val="nil"/>
              <w:right w:val="nil"/>
            </w:tcBorders>
            <w:vAlign w:val="center"/>
          </w:tcPr>
          <w:p w14:paraId="192FA92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 xml:space="preserve">Pretest </w:t>
            </w:r>
          </w:p>
        </w:tc>
        <w:tc>
          <w:tcPr>
            <w:tcW w:w="720" w:type="dxa"/>
            <w:tcBorders>
              <w:left w:val="nil"/>
              <w:bottom w:val="nil"/>
              <w:right w:val="nil"/>
            </w:tcBorders>
            <w:vAlign w:val="center"/>
          </w:tcPr>
          <w:p w14:paraId="54796AD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4" w:type="dxa"/>
            <w:tcBorders>
              <w:left w:val="nil"/>
              <w:bottom w:val="nil"/>
              <w:right w:val="nil"/>
            </w:tcBorders>
            <w:vAlign w:val="center"/>
          </w:tcPr>
          <w:p w14:paraId="510508A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9.83</w:t>
            </w:r>
          </w:p>
        </w:tc>
        <w:tc>
          <w:tcPr>
            <w:tcW w:w="983" w:type="dxa"/>
            <w:tcBorders>
              <w:left w:val="nil"/>
              <w:bottom w:val="nil"/>
              <w:right w:val="nil"/>
            </w:tcBorders>
            <w:vAlign w:val="center"/>
          </w:tcPr>
          <w:p w14:paraId="492AF319"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±2.99</w:t>
            </w:r>
          </w:p>
        </w:tc>
        <w:tc>
          <w:tcPr>
            <w:tcW w:w="828" w:type="dxa"/>
            <w:vMerge w:val="restart"/>
            <w:tcBorders>
              <w:left w:val="nil"/>
              <w:right w:val="nil"/>
            </w:tcBorders>
            <w:vAlign w:val="center"/>
          </w:tcPr>
          <w:p w14:paraId="0FBCD18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21.537</w:t>
            </w:r>
          </w:p>
        </w:tc>
        <w:tc>
          <w:tcPr>
            <w:tcW w:w="1015" w:type="dxa"/>
            <w:vMerge w:val="restart"/>
            <w:tcBorders>
              <w:left w:val="nil"/>
              <w:right w:val="nil"/>
            </w:tcBorders>
            <w:vAlign w:val="center"/>
          </w:tcPr>
          <w:p w14:paraId="59BF4B3C"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1AB62E2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5A15D44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2</w:t>
            </w:r>
          </w:p>
        </w:tc>
      </w:tr>
      <w:tr w:rsidR="00F7786B" w14:paraId="103EFFB0" w14:textId="77777777" w:rsidTr="00A14C91">
        <w:trPr>
          <w:trHeight w:val="288"/>
        </w:trPr>
        <w:tc>
          <w:tcPr>
            <w:tcW w:w="1458" w:type="dxa"/>
            <w:tcBorders>
              <w:top w:val="nil"/>
              <w:left w:val="nil"/>
              <w:right w:val="nil"/>
            </w:tcBorders>
            <w:vAlign w:val="center"/>
          </w:tcPr>
          <w:p w14:paraId="755E6473"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 xml:space="preserve">Posttest </w:t>
            </w:r>
          </w:p>
        </w:tc>
        <w:tc>
          <w:tcPr>
            <w:tcW w:w="720" w:type="dxa"/>
            <w:tcBorders>
              <w:top w:val="nil"/>
              <w:left w:val="nil"/>
              <w:right w:val="nil"/>
            </w:tcBorders>
            <w:vAlign w:val="center"/>
          </w:tcPr>
          <w:p w14:paraId="414088A3"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4" w:type="dxa"/>
            <w:tcBorders>
              <w:top w:val="nil"/>
              <w:left w:val="nil"/>
              <w:right w:val="nil"/>
            </w:tcBorders>
            <w:vAlign w:val="center"/>
          </w:tcPr>
          <w:p w14:paraId="63C6AE9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17.88</w:t>
            </w:r>
          </w:p>
        </w:tc>
        <w:tc>
          <w:tcPr>
            <w:tcW w:w="983" w:type="dxa"/>
            <w:tcBorders>
              <w:top w:val="nil"/>
              <w:left w:val="nil"/>
              <w:right w:val="nil"/>
            </w:tcBorders>
            <w:vAlign w:val="center"/>
          </w:tcPr>
          <w:p w14:paraId="58253E88"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±3.33</w:t>
            </w:r>
          </w:p>
        </w:tc>
        <w:tc>
          <w:tcPr>
            <w:tcW w:w="828" w:type="dxa"/>
            <w:vMerge/>
            <w:tcBorders>
              <w:left w:val="nil"/>
              <w:right w:val="nil"/>
            </w:tcBorders>
            <w:vAlign w:val="center"/>
          </w:tcPr>
          <w:p w14:paraId="27DCD986" w14:textId="77777777" w:rsidR="00A14C91" w:rsidRPr="00C76E17" w:rsidRDefault="00A14C91" w:rsidP="00A14C91">
            <w:pPr>
              <w:jc w:val="center"/>
              <w:rPr>
                <w:rFonts w:ascii="Arial" w:hAnsi="Arial" w:cs="Arial"/>
                <w:sz w:val="20"/>
                <w:szCs w:val="20"/>
              </w:rPr>
            </w:pPr>
          </w:p>
        </w:tc>
        <w:tc>
          <w:tcPr>
            <w:tcW w:w="1015" w:type="dxa"/>
            <w:vMerge/>
            <w:tcBorders>
              <w:left w:val="nil"/>
              <w:right w:val="nil"/>
            </w:tcBorders>
            <w:vAlign w:val="center"/>
          </w:tcPr>
          <w:p w14:paraId="5E91B5A8" w14:textId="77777777" w:rsidR="00A14C91" w:rsidRPr="00C76E17" w:rsidRDefault="00A14C91" w:rsidP="00A14C91">
            <w:pPr>
              <w:jc w:val="center"/>
              <w:rPr>
                <w:rFonts w:ascii="Arial" w:hAnsi="Arial" w:cs="Arial"/>
                <w:sz w:val="20"/>
                <w:szCs w:val="20"/>
              </w:rPr>
            </w:pPr>
          </w:p>
        </w:tc>
        <w:tc>
          <w:tcPr>
            <w:tcW w:w="1317" w:type="dxa"/>
            <w:vMerge/>
            <w:tcBorders>
              <w:left w:val="nil"/>
              <w:right w:val="nil"/>
            </w:tcBorders>
            <w:vAlign w:val="center"/>
          </w:tcPr>
          <w:p w14:paraId="16F2CEEB" w14:textId="77777777" w:rsidR="00A14C91" w:rsidRPr="00C76E17" w:rsidRDefault="00A14C91" w:rsidP="00A14C91">
            <w:pPr>
              <w:jc w:val="center"/>
              <w:rPr>
                <w:rFonts w:ascii="Arial" w:hAnsi="Arial" w:cs="Arial"/>
                <w:sz w:val="20"/>
                <w:szCs w:val="20"/>
              </w:rPr>
            </w:pPr>
          </w:p>
        </w:tc>
        <w:tc>
          <w:tcPr>
            <w:tcW w:w="1060" w:type="dxa"/>
            <w:vMerge/>
            <w:tcBorders>
              <w:left w:val="nil"/>
              <w:right w:val="nil"/>
            </w:tcBorders>
            <w:vAlign w:val="center"/>
          </w:tcPr>
          <w:p w14:paraId="7BF8BB86" w14:textId="77777777" w:rsidR="00A14C91" w:rsidRPr="00C76E17" w:rsidRDefault="00A14C91" w:rsidP="00A14C91">
            <w:pPr>
              <w:jc w:val="center"/>
              <w:rPr>
                <w:rFonts w:ascii="Arial" w:hAnsi="Arial" w:cs="Arial"/>
                <w:sz w:val="20"/>
                <w:szCs w:val="20"/>
              </w:rPr>
            </w:pPr>
          </w:p>
        </w:tc>
      </w:tr>
    </w:tbl>
    <w:p w14:paraId="5BE3CE17" w14:textId="77777777" w:rsidR="00A14C91" w:rsidRPr="00C76E17" w:rsidRDefault="00A14C91" w:rsidP="00A02DA4">
      <w:pPr>
        <w:rPr>
          <w:rFonts w:ascii="Arial" w:hAnsi="Arial" w:cs="Arial"/>
        </w:rPr>
      </w:pPr>
    </w:p>
    <w:p w14:paraId="4D662950" w14:textId="77777777" w:rsidR="00A02DA4" w:rsidRPr="00C76E17" w:rsidRDefault="00C42901" w:rsidP="00A14C91">
      <w:pPr>
        <w:jc w:val="both"/>
        <w:rPr>
          <w:rFonts w:ascii="Arial" w:hAnsi="Arial" w:cs="Arial"/>
        </w:rPr>
      </w:pPr>
      <w:r w:rsidRPr="00C76E17">
        <w:rPr>
          <w:rFonts w:ascii="Arial" w:hAnsi="Arial" w:cs="Arial"/>
        </w:rPr>
        <w:t xml:space="preserve">There was a significant difference between the pretest and posttest performance of the pupils exposed to the Conventional Teaching Method. This implies that the academic performance of the pupils after two weeks' exposure to the Conventional Teaching Method showed improved performance among the learners.  </w:t>
      </w:r>
    </w:p>
    <w:p w14:paraId="634BBD8C" w14:textId="77777777" w:rsidR="00A14C91" w:rsidRPr="00C76E17" w:rsidRDefault="00A14C91" w:rsidP="00A02DA4">
      <w:pPr>
        <w:rPr>
          <w:rFonts w:ascii="Arial" w:hAnsi="Arial" w:cs="Arial"/>
        </w:rPr>
      </w:pPr>
    </w:p>
    <w:p w14:paraId="6BB39BBE" w14:textId="63123CA7" w:rsidR="00A02DA4" w:rsidRPr="00C76E17" w:rsidRDefault="00C42901" w:rsidP="00A14C91">
      <w:pPr>
        <w:jc w:val="both"/>
        <w:rPr>
          <w:rFonts w:ascii="Arial" w:hAnsi="Arial" w:cs="Arial"/>
        </w:rPr>
      </w:pPr>
      <w:r w:rsidRPr="00C76E17">
        <w:rPr>
          <w:rFonts w:ascii="Arial" w:hAnsi="Arial" w:cs="Arial"/>
        </w:rPr>
        <w:t xml:space="preserve">Similarly, the difference in pupil performance under the Inquiry-Based Learning Approach was also tested. As shown in Table 8, the researcher rejected the null hypothesis since a significant difference was observed between the pretest and posttest scores of the pupils taught using the Inquiry-Based Learning Approach. Generally, neither the use of the Conventional Teaching Method nor the Inquiry-Based Learning Approach </w:t>
      </w:r>
      <w:r w:rsidR="00365C9C" w:rsidRPr="00C05E82">
        <w:rPr>
          <w:rFonts w:ascii="Arial" w:hAnsi="Arial" w:cs="Arial"/>
          <w:highlight w:val="yellow"/>
        </w:rPr>
        <w:t>has</w:t>
      </w:r>
      <w:r w:rsidR="00365C9C" w:rsidRPr="00C76E17">
        <w:rPr>
          <w:rFonts w:ascii="Arial" w:hAnsi="Arial" w:cs="Arial"/>
        </w:rPr>
        <w:t xml:space="preserve"> </w:t>
      </w:r>
      <w:r w:rsidRPr="00C76E17">
        <w:rPr>
          <w:rFonts w:ascii="Arial" w:hAnsi="Arial" w:cs="Arial"/>
        </w:rPr>
        <w:t>improved the performance of the Grade 6 pupils in Science. However, it was distinctly observed that learning was significantly improved with the Inquiry-Based Le</w:t>
      </w:r>
      <w:r w:rsidR="00DC0F5C">
        <w:rPr>
          <w:rFonts w:ascii="Arial" w:hAnsi="Arial" w:cs="Arial"/>
        </w:rPr>
        <w:t>arning Approach</w:t>
      </w:r>
      <w:r w:rsidRPr="00C76E17">
        <w:rPr>
          <w:rFonts w:ascii="Arial" w:hAnsi="Arial" w:cs="Arial"/>
        </w:rPr>
        <w:t xml:space="preserve">. </w:t>
      </w:r>
    </w:p>
    <w:p w14:paraId="646AB9D6" w14:textId="77777777" w:rsidR="00A02DA4" w:rsidRPr="00C76E17" w:rsidRDefault="00A02DA4" w:rsidP="00A02DA4">
      <w:pPr>
        <w:rPr>
          <w:rFonts w:ascii="Arial" w:hAnsi="Arial" w:cs="Arial"/>
        </w:rPr>
      </w:pPr>
    </w:p>
    <w:p w14:paraId="6D6843A5" w14:textId="77777777" w:rsidR="00E772E9" w:rsidRDefault="00E772E9" w:rsidP="00A14C91">
      <w:pPr>
        <w:jc w:val="center"/>
        <w:rPr>
          <w:rFonts w:ascii="Arial" w:hAnsi="Arial" w:cs="Arial"/>
          <w:b/>
        </w:rPr>
      </w:pPr>
    </w:p>
    <w:p w14:paraId="53F80946" w14:textId="77777777" w:rsidR="00E772E9" w:rsidRDefault="00E772E9" w:rsidP="00A14C91">
      <w:pPr>
        <w:jc w:val="center"/>
        <w:rPr>
          <w:rFonts w:ascii="Arial" w:hAnsi="Arial" w:cs="Arial"/>
          <w:b/>
        </w:rPr>
      </w:pPr>
    </w:p>
    <w:p w14:paraId="6D88B7D7" w14:textId="77777777" w:rsidR="00E772E9" w:rsidRDefault="00E772E9" w:rsidP="00A14C91">
      <w:pPr>
        <w:jc w:val="center"/>
        <w:rPr>
          <w:rFonts w:ascii="Arial" w:hAnsi="Arial" w:cs="Arial"/>
          <w:b/>
        </w:rPr>
      </w:pPr>
    </w:p>
    <w:p w14:paraId="3101A526" w14:textId="77777777" w:rsidR="00E772E9" w:rsidRDefault="00E772E9" w:rsidP="00A14C91">
      <w:pPr>
        <w:jc w:val="center"/>
        <w:rPr>
          <w:rFonts w:ascii="Arial" w:hAnsi="Arial" w:cs="Arial"/>
          <w:b/>
        </w:rPr>
      </w:pPr>
    </w:p>
    <w:p w14:paraId="272967F7" w14:textId="77777777" w:rsidR="00E772E9" w:rsidRDefault="00E772E9" w:rsidP="00A14C91">
      <w:pPr>
        <w:jc w:val="center"/>
        <w:rPr>
          <w:rFonts w:ascii="Arial" w:hAnsi="Arial" w:cs="Arial"/>
          <w:b/>
        </w:rPr>
      </w:pPr>
    </w:p>
    <w:p w14:paraId="7A863B4E" w14:textId="4DADB4F9" w:rsidR="00A14C91" w:rsidRPr="00C76E17" w:rsidRDefault="00C42901" w:rsidP="00A14C91">
      <w:pPr>
        <w:jc w:val="center"/>
        <w:rPr>
          <w:rFonts w:ascii="Arial" w:hAnsi="Arial" w:cs="Arial"/>
          <w:b/>
        </w:rPr>
      </w:pPr>
      <w:r w:rsidRPr="00C76E17">
        <w:rPr>
          <w:rFonts w:ascii="Arial" w:hAnsi="Arial" w:cs="Arial"/>
          <w:b/>
        </w:rPr>
        <w:t xml:space="preserve">Table 8. A Paired T-test Comparing the Pretest and Posttest Scores of the Pupils in the </w:t>
      </w:r>
      <w:r w:rsidR="0019017A" w:rsidRPr="00C05E82">
        <w:rPr>
          <w:rFonts w:ascii="Arial" w:hAnsi="Arial" w:cs="Arial"/>
          <w:b/>
          <w:highlight w:val="yellow"/>
        </w:rPr>
        <w:t>Study</w:t>
      </w:r>
      <w:r w:rsidR="0019017A" w:rsidRPr="00C76E17">
        <w:rPr>
          <w:rFonts w:ascii="Arial" w:hAnsi="Arial" w:cs="Arial"/>
          <w:b/>
        </w:rPr>
        <w:t xml:space="preserve"> </w:t>
      </w:r>
      <w:r w:rsidRPr="00C76E17">
        <w:rPr>
          <w:rFonts w:ascii="Arial" w:hAnsi="Arial" w:cs="Arial"/>
          <w:b/>
        </w:rPr>
        <w:t>Group</w:t>
      </w:r>
    </w:p>
    <w:tbl>
      <w:tblPr>
        <w:tblStyle w:val="TableGrid"/>
        <w:tblW w:w="0" w:type="auto"/>
        <w:tblLook w:val="04A0" w:firstRow="1" w:lastRow="0" w:firstColumn="1" w:lastColumn="0" w:noHBand="0" w:noVBand="1"/>
      </w:tblPr>
      <w:tblGrid>
        <w:gridCol w:w="1497"/>
        <w:gridCol w:w="845"/>
        <w:gridCol w:w="952"/>
        <w:gridCol w:w="981"/>
        <w:gridCol w:w="828"/>
        <w:gridCol w:w="944"/>
        <w:gridCol w:w="1317"/>
        <w:gridCol w:w="1060"/>
      </w:tblGrid>
      <w:tr w:rsidR="00F7786B" w14:paraId="4AA3C0BD" w14:textId="77777777" w:rsidTr="00A14C91">
        <w:trPr>
          <w:trHeight w:val="288"/>
        </w:trPr>
        <w:tc>
          <w:tcPr>
            <w:tcW w:w="1500" w:type="dxa"/>
            <w:tcBorders>
              <w:left w:val="nil"/>
              <w:bottom w:val="single" w:sz="4" w:space="0" w:color="000000"/>
              <w:right w:val="nil"/>
            </w:tcBorders>
            <w:vAlign w:val="center"/>
          </w:tcPr>
          <w:p w14:paraId="0A9E119B" w14:textId="1C049A49" w:rsidR="00A14C91" w:rsidRPr="00C76E17" w:rsidRDefault="00F03E5E" w:rsidP="00A14C91">
            <w:pPr>
              <w:jc w:val="center"/>
              <w:rPr>
                <w:rFonts w:ascii="Arial" w:hAnsi="Arial" w:cs="Arial"/>
                <w:b/>
                <w:sz w:val="20"/>
                <w:szCs w:val="20"/>
              </w:rPr>
            </w:pPr>
            <w:r w:rsidRPr="00C05E82">
              <w:rPr>
                <w:rFonts w:ascii="Arial" w:hAnsi="Arial" w:cs="Arial"/>
                <w:b/>
                <w:sz w:val="20"/>
                <w:szCs w:val="20"/>
                <w:highlight w:val="yellow"/>
              </w:rPr>
              <w:t xml:space="preserve">Study </w:t>
            </w:r>
            <w:r w:rsidR="00C42901" w:rsidRPr="00C05E82">
              <w:rPr>
                <w:rFonts w:ascii="Arial" w:hAnsi="Arial" w:cs="Arial"/>
                <w:b/>
                <w:sz w:val="20"/>
                <w:szCs w:val="20"/>
                <w:highlight w:val="yellow"/>
              </w:rPr>
              <w:t>Group</w:t>
            </w:r>
          </w:p>
        </w:tc>
        <w:tc>
          <w:tcPr>
            <w:tcW w:w="856" w:type="dxa"/>
            <w:tcBorders>
              <w:left w:val="nil"/>
              <w:bottom w:val="single" w:sz="4" w:space="0" w:color="000000"/>
              <w:right w:val="nil"/>
            </w:tcBorders>
            <w:vAlign w:val="center"/>
          </w:tcPr>
          <w:p w14:paraId="6D161AEF"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04142270"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1379CD79"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42CC69E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3708BA89" w14:textId="77777777" w:rsidR="00A14C91"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64E8E2E6"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5555762F"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744BAFFA" w14:textId="77777777" w:rsidTr="00A14C91">
        <w:trPr>
          <w:trHeight w:val="288"/>
        </w:trPr>
        <w:tc>
          <w:tcPr>
            <w:tcW w:w="1500" w:type="dxa"/>
            <w:tcBorders>
              <w:left w:val="nil"/>
              <w:bottom w:val="nil"/>
              <w:right w:val="nil"/>
            </w:tcBorders>
            <w:vAlign w:val="center"/>
          </w:tcPr>
          <w:p w14:paraId="0726006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57EB59C5"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7ADFC449"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10.33</w:t>
            </w:r>
          </w:p>
        </w:tc>
        <w:tc>
          <w:tcPr>
            <w:tcW w:w="988" w:type="dxa"/>
            <w:tcBorders>
              <w:left w:val="nil"/>
              <w:bottom w:val="nil"/>
              <w:right w:val="nil"/>
            </w:tcBorders>
            <w:vAlign w:val="center"/>
          </w:tcPr>
          <w:p w14:paraId="757A3008"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±1.95</w:t>
            </w:r>
          </w:p>
        </w:tc>
        <w:tc>
          <w:tcPr>
            <w:tcW w:w="795" w:type="dxa"/>
            <w:vMerge w:val="restart"/>
            <w:tcBorders>
              <w:left w:val="nil"/>
              <w:right w:val="nil"/>
            </w:tcBorders>
            <w:vAlign w:val="center"/>
          </w:tcPr>
          <w:p w14:paraId="6B91AB80"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45.715</w:t>
            </w:r>
          </w:p>
        </w:tc>
        <w:tc>
          <w:tcPr>
            <w:tcW w:w="950" w:type="dxa"/>
            <w:vMerge w:val="restart"/>
            <w:tcBorders>
              <w:left w:val="nil"/>
              <w:right w:val="nil"/>
            </w:tcBorders>
            <w:vAlign w:val="center"/>
          </w:tcPr>
          <w:p w14:paraId="4E6D2C6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4D4E7D8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5733AB9E"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2</w:t>
            </w:r>
          </w:p>
        </w:tc>
      </w:tr>
      <w:tr w:rsidR="00F7786B" w14:paraId="7EC54E01" w14:textId="77777777" w:rsidTr="00A14C91">
        <w:trPr>
          <w:trHeight w:val="288"/>
        </w:trPr>
        <w:tc>
          <w:tcPr>
            <w:tcW w:w="1500" w:type="dxa"/>
            <w:tcBorders>
              <w:top w:val="nil"/>
              <w:left w:val="nil"/>
              <w:right w:val="nil"/>
            </w:tcBorders>
            <w:vAlign w:val="center"/>
          </w:tcPr>
          <w:p w14:paraId="16AAF306"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3739E18E"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428EDD2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24.00</w:t>
            </w:r>
          </w:p>
        </w:tc>
        <w:tc>
          <w:tcPr>
            <w:tcW w:w="988" w:type="dxa"/>
            <w:tcBorders>
              <w:top w:val="nil"/>
              <w:left w:val="nil"/>
              <w:right w:val="nil"/>
            </w:tcBorders>
            <w:vAlign w:val="center"/>
          </w:tcPr>
          <w:p w14:paraId="7DC6EF7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±2.32</w:t>
            </w:r>
          </w:p>
        </w:tc>
        <w:tc>
          <w:tcPr>
            <w:tcW w:w="795" w:type="dxa"/>
            <w:vMerge/>
            <w:tcBorders>
              <w:left w:val="nil"/>
              <w:right w:val="nil"/>
            </w:tcBorders>
            <w:vAlign w:val="center"/>
          </w:tcPr>
          <w:p w14:paraId="53DDA150" w14:textId="77777777" w:rsidR="00A14C91" w:rsidRPr="00C76E17" w:rsidRDefault="00A14C91" w:rsidP="00A14C91">
            <w:pPr>
              <w:jc w:val="center"/>
              <w:rPr>
                <w:rFonts w:ascii="Arial" w:hAnsi="Arial" w:cs="Arial"/>
                <w:sz w:val="20"/>
                <w:szCs w:val="20"/>
              </w:rPr>
            </w:pPr>
          </w:p>
        </w:tc>
        <w:tc>
          <w:tcPr>
            <w:tcW w:w="950" w:type="dxa"/>
            <w:vMerge/>
            <w:tcBorders>
              <w:left w:val="nil"/>
              <w:right w:val="nil"/>
            </w:tcBorders>
            <w:vAlign w:val="center"/>
          </w:tcPr>
          <w:p w14:paraId="78826847" w14:textId="77777777" w:rsidR="00A14C91" w:rsidRPr="00C76E17" w:rsidRDefault="00A14C91" w:rsidP="00A14C91">
            <w:pPr>
              <w:jc w:val="center"/>
              <w:rPr>
                <w:rFonts w:ascii="Arial" w:hAnsi="Arial" w:cs="Arial"/>
                <w:sz w:val="20"/>
                <w:szCs w:val="20"/>
              </w:rPr>
            </w:pPr>
          </w:p>
        </w:tc>
        <w:tc>
          <w:tcPr>
            <w:tcW w:w="1317" w:type="dxa"/>
            <w:vMerge/>
            <w:tcBorders>
              <w:left w:val="nil"/>
              <w:right w:val="nil"/>
            </w:tcBorders>
            <w:vAlign w:val="center"/>
          </w:tcPr>
          <w:p w14:paraId="3DE7736A" w14:textId="77777777" w:rsidR="00A14C91" w:rsidRPr="00C76E17" w:rsidRDefault="00A14C91" w:rsidP="00A14C91">
            <w:pPr>
              <w:jc w:val="center"/>
              <w:rPr>
                <w:rFonts w:ascii="Arial" w:hAnsi="Arial" w:cs="Arial"/>
                <w:sz w:val="20"/>
                <w:szCs w:val="20"/>
              </w:rPr>
            </w:pPr>
          </w:p>
        </w:tc>
        <w:tc>
          <w:tcPr>
            <w:tcW w:w="1060" w:type="dxa"/>
            <w:vMerge/>
            <w:tcBorders>
              <w:left w:val="nil"/>
              <w:right w:val="nil"/>
            </w:tcBorders>
            <w:vAlign w:val="center"/>
          </w:tcPr>
          <w:p w14:paraId="73437AA7" w14:textId="77777777" w:rsidR="00A14C91" w:rsidRPr="00C76E17" w:rsidRDefault="00A14C91" w:rsidP="00A14C91">
            <w:pPr>
              <w:jc w:val="center"/>
              <w:rPr>
                <w:rFonts w:ascii="Arial" w:hAnsi="Arial" w:cs="Arial"/>
                <w:sz w:val="20"/>
                <w:szCs w:val="20"/>
              </w:rPr>
            </w:pPr>
          </w:p>
        </w:tc>
      </w:tr>
    </w:tbl>
    <w:p w14:paraId="724E6795" w14:textId="77777777" w:rsidR="00A14C91" w:rsidRPr="00C76E17" w:rsidRDefault="00A14C91" w:rsidP="00441B6F">
      <w:pPr>
        <w:pStyle w:val="Body"/>
        <w:spacing w:after="0"/>
        <w:rPr>
          <w:rFonts w:ascii="Arial" w:hAnsi="Arial" w:cs="Arial"/>
        </w:rPr>
      </w:pPr>
    </w:p>
    <w:p w14:paraId="44E8BCA2" w14:textId="77777777" w:rsidR="00B01FCD" w:rsidRPr="00C76E17" w:rsidRDefault="00C42901" w:rsidP="00441B6F">
      <w:pPr>
        <w:pStyle w:val="ConcHead"/>
        <w:spacing w:after="0"/>
        <w:jc w:val="both"/>
        <w:rPr>
          <w:rFonts w:ascii="Arial" w:hAnsi="Arial" w:cs="Arial"/>
        </w:rPr>
      </w:pPr>
      <w:r w:rsidRPr="00C76E17">
        <w:rPr>
          <w:rFonts w:ascii="Arial" w:hAnsi="Arial" w:cs="Arial"/>
        </w:rPr>
        <w:t>4. Conclusion</w:t>
      </w:r>
    </w:p>
    <w:p w14:paraId="2F997648" w14:textId="779FB696" w:rsidR="00C76E17" w:rsidRPr="00C76E17" w:rsidRDefault="00C42901" w:rsidP="00C76E17">
      <w:pPr>
        <w:pStyle w:val="NormalWeb"/>
        <w:jc w:val="both"/>
        <w:rPr>
          <w:rFonts w:ascii="Arial" w:hAnsi="Arial" w:cs="Arial"/>
          <w:sz w:val="20"/>
          <w:szCs w:val="20"/>
        </w:rPr>
      </w:pPr>
      <w:r w:rsidRPr="00C76E17">
        <w:rPr>
          <w:rFonts w:ascii="Arial" w:hAnsi="Arial" w:cs="Arial"/>
          <w:sz w:val="20"/>
          <w:szCs w:val="20"/>
        </w:rPr>
        <w:t xml:space="preserve">Based on the findings, both the control and experimental groups exhibited a fairly satisfactory level of proficiency in the pretest, indicating minimal prior understanding of the Science concepts to be taught. The mean pretest score of the experimental group (10.33) was slightly higher than that of the control group (9.83). However, the difference was not statistically significant, confirming that both groups started at the same level of academic performance. This baseline similarity established the validity of the comparative assessment between the teaching approaches. These findings support the existing literature, which </w:t>
      </w:r>
      <w:proofErr w:type="spellStart"/>
      <w:r w:rsidR="00365C9C" w:rsidRPr="00C05E82">
        <w:rPr>
          <w:rFonts w:ascii="Arial" w:hAnsi="Arial" w:cs="Arial"/>
          <w:sz w:val="20"/>
          <w:szCs w:val="20"/>
          <w:highlight w:val="yellow"/>
        </w:rPr>
        <w:t>emphasises</w:t>
      </w:r>
      <w:proofErr w:type="spellEnd"/>
      <w:r w:rsidR="00365C9C" w:rsidRPr="00C05E82">
        <w:rPr>
          <w:rFonts w:ascii="Arial" w:hAnsi="Arial" w:cs="Arial"/>
          <w:sz w:val="20"/>
          <w:szCs w:val="20"/>
          <w:highlight w:val="yellow"/>
        </w:rPr>
        <w:t xml:space="preserve"> </w:t>
      </w:r>
      <w:r w:rsidRPr="00C76E17">
        <w:rPr>
          <w:rFonts w:ascii="Arial" w:hAnsi="Arial" w:cs="Arial"/>
          <w:sz w:val="20"/>
          <w:szCs w:val="20"/>
        </w:rPr>
        <w:t>the role of pretests in gauging students' readiness and providing a foundation for measuring learning growth.</w:t>
      </w:r>
    </w:p>
    <w:p w14:paraId="2D5B836C" w14:textId="59C5839A" w:rsidR="00C76E17" w:rsidRPr="00C76E17" w:rsidRDefault="00C42901" w:rsidP="00C76E17">
      <w:pPr>
        <w:pStyle w:val="NormalWeb"/>
        <w:jc w:val="both"/>
        <w:rPr>
          <w:rFonts w:ascii="Arial" w:hAnsi="Arial" w:cs="Arial"/>
          <w:sz w:val="20"/>
          <w:szCs w:val="20"/>
        </w:rPr>
      </w:pPr>
      <w:r w:rsidRPr="00C76E17">
        <w:rPr>
          <w:rFonts w:ascii="Arial" w:hAnsi="Arial" w:cs="Arial"/>
          <w:sz w:val="20"/>
          <w:szCs w:val="20"/>
        </w:rPr>
        <w:t xml:space="preserve">Following the intervention, the posttest results revealed a statistically significant improvement in both groups; however, the experimental group, which was taught using the Inquiry-Based Learning Approach, demonstrated a markedly higher mean score (24.00) with a "Very Satisfactory" performance level compared to the control group's mean score of 17.88, rated as "Satisfactory." The paired t-tests confirmed significant gains in both groups, but the larger improvement in the experimental group </w:t>
      </w:r>
      <w:proofErr w:type="spellStart"/>
      <w:r w:rsidR="00365C9C" w:rsidRPr="00C05E82">
        <w:rPr>
          <w:rFonts w:ascii="Arial" w:hAnsi="Arial" w:cs="Arial"/>
          <w:sz w:val="20"/>
          <w:szCs w:val="20"/>
          <w:highlight w:val="yellow"/>
        </w:rPr>
        <w:t>emphasised</w:t>
      </w:r>
      <w:proofErr w:type="spellEnd"/>
      <w:r w:rsidR="00365C9C" w:rsidRPr="00C05E82">
        <w:rPr>
          <w:rFonts w:ascii="Arial" w:hAnsi="Arial" w:cs="Arial"/>
          <w:sz w:val="20"/>
          <w:szCs w:val="20"/>
          <w:highlight w:val="yellow"/>
        </w:rPr>
        <w:t xml:space="preserve"> </w:t>
      </w:r>
      <w:r w:rsidRPr="00C76E17">
        <w:rPr>
          <w:rFonts w:ascii="Arial" w:hAnsi="Arial" w:cs="Arial"/>
          <w:sz w:val="20"/>
          <w:szCs w:val="20"/>
        </w:rPr>
        <w:t xml:space="preserve">the effectiveness of Inquiry-Based Learning in enhancing Science achievement. These findings confirm the positive impact of </w:t>
      </w:r>
      <w:r w:rsidR="00365C9C" w:rsidRPr="00C05E82">
        <w:rPr>
          <w:rFonts w:ascii="Arial" w:hAnsi="Arial" w:cs="Arial"/>
          <w:sz w:val="20"/>
          <w:szCs w:val="20"/>
          <w:highlight w:val="yellow"/>
        </w:rPr>
        <w:t>learner-</w:t>
      </w:r>
      <w:proofErr w:type="spellStart"/>
      <w:r w:rsidR="00365C9C" w:rsidRPr="00C05E82">
        <w:rPr>
          <w:rFonts w:ascii="Arial" w:hAnsi="Arial" w:cs="Arial"/>
          <w:sz w:val="20"/>
          <w:szCs w:val="20"/>
          <w:highlight w:val="yellow"/>
        </w:rPr>
        <w:t>centred</w:t>
      </w:r>
      <w:proofErr w:type="spellEnd"/>
      <w:r w:rsidRPr="00C76E17">
        <w:rPr>
          <w:rFonts w:ascii="Arial" w:hAnsi="Arial" w:cs="Arial"/>
          <w:sz w:val="20"/>
          <w:szCs w:val="20"/>
        </w:rPr>
        <w:t>, inquiry-driven instruction on developing deeper understanding and critical thinking skills among Grade 6 pupils.</w:t>
      </w:r>
    </w:p>
    <w:p w14:paraId="540BC1B5" w14:textId="77777777" w:rsidR="00E772E9" w:rsidRPr="00C76E17" w:rsidRDefault="00E772E9" w:rsidP="00441B6F">
      <w:pPr>
        <w:pStyle w:val="ReferHead"/>
        <w:spacing w:after="0"/>
        <w:jc w:val="both"/>
        <w:rPr>
          <w:rFonts w:ascii="Arial" w:hAnsi="Arial" w:cs="Arial"/>
          <w:b w:val="0"/>
          <w:caps w:val="0"/>
          <w:sz w:val="20"/>
        </w:rPr>
      </w:pPr>
    </w:p>
    <w:p w14:paraId="621325CD" w14:textId="77777777" w:rsidR="002B685A" w:rsidRPr="00C76E17" w:rsidRDefault="00C42901" w:rsidP="00441B6F">
      <w:pPr>
        <w:pStyle w:val="ReferHead"/>
        <w:spacing w:after="0"/>
        <w:jc w:val="both"/>
        <w:rPr>
          <w:rFonts w:ascii="Arial" w:hAnsi="Arial" w:cs="Arial"/>
          <w:bCs/>
        </w:rPr>
      </w:pPr>
      <w:r w:rsidRPr="00C76E17">
        <w:rPr>
          <w:rFonts w:ascii="Arial" w:hAnsi="Arial" w:cs="Arial"/>
          <w:bCs/>
        </w:rPr>
        <w:t>Consent (where</w:t>
      </w:r>
      <w:r w:rsidR="007369E6" w:rsidRPr="00C76E17">
        <w:rPr>
          <w:rFonts w:ascii="Arial" w:hAnsi="Arial" w:cs="Arial"/>
          <w:bCs/>
        </w:rPr>
        <w:t xml:space="preserve"> </w:t>
      </w:r>
      <w:r w:rsidRPr="00C76E17">
        <w:rPr>
          <w:rFonts w:ascii="Arial" w:hAnsi="Arial" w:cs="Arial"/>
          <w:bCs/>
        </w:rPr>
        <w:t>ever applicable)</w:t>
      </w:r>
    </w:p>
    <w:p w14:paraId="139E1CA4" w14:textId="77777777" w:rsidR="002B685A" w:rsidRPr="00C76E17" w:rsidRDefault="002B685A" w:rsidP="00441B6F">
      <w:pPr>
        <w:pStyle w:val="ReferHead"/>
        <w:spacing w:after="0"/>
        <w:jc w:val="both"/>
        <w:rPr>
          <w:rFonts w:ascii="Arial" w:hAnsi="Arial" w:cs="Arial"/>
          <w:bCs/>
        </w:rPr>
      </w:pPr>
    </w:p>
    <w:p w14:paraId="33BD7A06" w14:textId="77777777" w:rsidR="001A29D8" w:rsidRPr="0040689A" w:rsidRDefault="00C42901" w:rsidP="00441B6F">
      <w:pPr>
        <w:pStyle w:val="ReferHead"/>
        <w:spacing w:after="0"/>
        <w:jc w:val="both"/>
        <w:rPr>
          <w:rFonts w:ascii="Arial" w:hAnsi="Arial" w:cs="Arial"/>
          <w:b w:val="0"/>
          <w:caps w:val="0"/>
          <w:sz w:val="20"/>
        </w:rPr>
      </w:pPr>
      <w:r w:rsidRPr="0040689A">
        <w:rPr>
          <w:rFonts w:ascii="Arial" w:hAnsi="Arial" w:cs="Arial"/>
          <w:b w:val="0"/>
          <w:caps w:val="0"/>
          <w:sz w:val="20"/>
        </w:rPr>
        <w:t>All authors declare that ‘written informed consent was obtained for publication of this case report and accompanying images. A copy of the written consent is available for review by the Editorial office/Chief Editor/Editorial</w:t>
      </w:r>
      <w:r w:rsidR="00E772E9" w:rsidRPr="0040689A">
        <w:rPr>
          <w:rFonts w:ascii="Arial" w:hAnsi="Arial" w:cs="Arial"/>
          <w:b w:val="0"/>
          <w:caps w:val="0"/>
          <w:sz w:val="20"/>
        </w:rPr>
        <w:t xml:space="preserve"> Board members of this journal. </w:t>
      </w:r>
    </w:p>
    <w:p w14:paraId="06FF05BC" w14:textId="77777777" w:rsidR="001A29D8" w:rsidRPr="0040689A" w:rsidRDefault="001A29D8" w:rsidP="00441B6F">
      <w:pPr>
        <w:pStyle w:val="ReferHead"/>
        <w:spacing w:after="0"/>
        <w:jc w:val="both"/>
        <w:rPr>
          <w:rFonts w:ascii="Arial" w:hAnsi="Arial" w:cs="Arial"/>
          <w:b w:val="0"/>
          <w:caps w:val="0"/>
          <w:sz w:val="20"/>
        </w:rPr>
      </w:pPr>
    </w:p>
    <w:p w14:paraId="008BB0B4" w14:textId="77777777" w:rsidR="005C784C" w:rsidRPr="00C76E17" w:rsidRDefault="005C784C" w:rsidP="00441B6F">
      <w:pPr>
        <w:pStyle w:val="ReferHead"/>
        <w:spacing w:after="0"/>
        <w:jc w:val="both"/>
        <w:rPr>
          <w:rFonts w:ascii="Arial" w:hAnsi="Arial" w:cs="Arial"/>
          <w:b w:val="0"/>
          <w:caps w:val="0"/>
          <w:sz w:val="20"/>
        </w:rPr>
      </w:pPr>
    </w:p>
    <w:p w14:paraId="0A068DBC" w14:textId="77777777" w:rsidR="005C784C" w:rsidRPr="00C76E17" w:rsidRDefault="00C42901" w:rsidP="00441B6F">
      <w:pPr>
        <w:pStyle w:val="ReferHead"/>
        <w:spacing w:after="0"/>
        <w:jc w:val="both"/>
        <w:rPr>
          <w:rFonts w:ascii="Arial" w:hAnsi="Arial" w:cs="Arial"/>
          <w:bCs/>
        </w:rPr>
      </w:pPr>
      <w:r w:rsidRPr="00C76E17">
        <w:rPr>
          <w:rFonts w:ascii="Arial" w:hAnsi="Arial" w:cs="Arial"/>
          <w:bCs/>
        </w:rPr>
        <w:t>Ethical approval (where</w:t>
      </w:r>
      <w:r w:rsidR="007369E6" w:rsidRPr="00C76E17">
        <w:rPr>
          <w:rFonts w:ascii="Arial" w:hAnsi="Arial" w:cs="Arial"/>
          <w:bCs/>
        </w:rPr>
        <w:t xml:space="preserve"> </w:t>
      </w:r>
      <w:r w:rsidRPr="00C76E17">
        <w:rPr>
          <w:rFonts w:ascii="Arial" w:hAnsi="Arial" w:cs="Arial"/>
          <w:bCs/>
        </w:rPr>
        <w:t>ever applicable)</w:t>
      </w:r>
    </w:p>
    <w:p w14:paraId="38781C72" w14:textId="77777777" w:rsidR="005C784C" w:rsidRPr="00C76E17" w:rsidRDefault="005C784C" w:rsidP="00441B6F">
      <w:pPr>
        <w:pStyle w:val="ReferHead"/>
        <w:spacing w:after="0"/>
        <w:jc w:val="both"/>
        <w:rPr>
          <w:rFonts w:ascii="Arial" w:hAnsi="Arial" w:cs="Arial"/>
          <w:bCs/>
        </w:rPr>
      </w:pPr>
    </w:p>
    <w:p w14:paraId="72E81AC3" w14:textId="17EC8222" w:rsidR="0041027F" w:rsidRDefault="00C42901" w:rsidP="00441B6F">
      <w:pPr>
        <w:pStyle w:val="ReferHead"/>
        <w:spacing w:after="0"/>
        <w:jc w:val="both"/>
        <w:rPr>
          <w:rFonts w:ascii="Arial" w:hAnsi="Arial" w:cs="Arial"/>
          <w:b w:val="0"/>
          <w:caps w:val="0"/>
          <w:sz w:val="20"/>
        </w:rPr>
      </w:pPr>
      <w:r w:rsidRPr="00E772E9">
        <w:rPr>
          <w:rFonts w:ascii="Arial" w:hAnsi="Arial" w:cs="Arial"/>
          <w:b w:val="0"/>
          <w:caps w:val="0"/>
          <w:sz w:val="20"/>
        </w:rPr>
        <w:t xml:space="preserve">All authors hereby declare that all </w:t>
      </w:r>
      <w:r w:rsidR="00F469F0" w:rsidRPr="00E772E9">
        <w:rPr>
          <w:rFonts w:ascii="Arial" w:hAnsi="Arial" w:cs="Arial"/>
          <w:b w:val="0"/>
          <w:caps w:val="0"/>
          <w:sz w:val="20"/>
        </w:rPr>
        <w:t>experiments</w:t>
      </w:r>
      <w:r w:rsidRPr="00E772E9">
        <w:rPr>
          <w:rFonts w:ascii="Arial" w:hAnsi="Arial" w:cs="Arial"/>
          <w:b w:val="0"/>
          <w:caps w:val="0"/>
          <w:sz w:val="20"/>
        </w:rPr>
        <w:t xml:space="preserve"> have been examined and approved </w:t>
      </w:r>
      <w:r w:rsidR="008632EF" w:rsidRPr="00E772E9">
        <w:rPr>
          <w:rFonts w:ascii="Arial" w:hAnsi="Arial" w:cs="Arial"/>
          <w:b w:val="0"/>
          <w:caps w:val="0"/>
          <w:sz w:val="20"/>
        </w:rPr>
        <w:t>by the appropriate ethics committee and have, therefore, been performed by the ethical standards laid d</w:t>
      </w:r>
      <w:r w:rsidR="008632EF">
        <w:rPr>
          <w:rFonts w:ascii="Arial" w:hAnsi="Arial" w:cs="Arial"/>
          <w:b w:val="0"/>
          <w:caps w:val="0"/>
          <w:sz w:val="20"/>
        </w:rPr>
        <w:t>own in the 1964 declaration of H</w:t>
      </w:r>
      <w:r w:rsidR="008632EF" w:rsidRPr="00E772E9">
        <w:rPr>
          <w:rFonts w:ascii="Arial" w:hAnsi="Arial" w:cs="Arial"/>
          <w:b w:val="0"/>
          <w:caps w:val="0"/>
          <w:sz w:val="20"/>
        </w:rPr>
        <w:t>elsinki.</w:t>
      </w:r>
    </w:p>
    <w:p w14:paraId="67490394" w14:textId="771B2B90" w:rsidR="00A23E59" w:rsidRDefault="00A23E59" w:rsidP="00441B6F">
      <w:pPr>
        <w:pStyle w:val="ReferHead"/>
        <w:spacing w:after="0"/>
        <w:jc w:val="both"/>
        <w:rPr>
          <w:rFonts w:ascii="Arial" w:hAnsi="Arial" w:cs="Arial"/>
          <w:b w:val="0"/>
          <w:caps w:val="0"/>
          <w:sz w:val="20"/>
        </w:rPr>
      </w:pPr>
    </w:p>
    <w:p w14:paraId="41F292BC" w14:textId="77777777" w:rsidR="00A23E59" w:rsidRPr="00394842" w:rsidRDefault="00A23E59" w:rsidP="00A23E59">
      <w:pPr>
        <w:rPr>
          <w:highlight w:val="yellow"/>
        </w:rPr>
      </w:pPr>
      <w:r w:rsidRPr="00394842">
        <w:rPr>
          <w:highlight w:val="yellow"/>
        </w:rPr>
        <w:t>Disclaimer (Artificial intelligence)</w:t>
      </w:r>
    </w:p>
    <w:p w14:paraId="11F3FF94" w14:textId="77777777" w:rsidR="00A23E59" w:rsidRPr="00394842" w:rsidRDefault="00A23E59" w:rsidP="00A23E59">
      <w:pPr>
        <w:rPr>
          <w:highlight w:val="yellow"/>
        </w:rPr>
      </w:pPr>
    </w:p>
    <w:p w14:paraId="58A09CF7" w14:textId="77777777" w:rsidR="00A23E59" w:rsidRPr="00394842" w:rsidRDefault="00A23E59" w:rsidP="00A23E59">
      <w:pPr>
        <w:rPr>
          <w:highlight w:val="yellow"/>
        </w:rPr>
      </w:pPr>
      <w:r w:rsidRPr="00394842">
        <w:rPr>
          <w:highlight w:val="yellow"/>
        </w:rPr>
        <w:t xml:space="preserve">Option 1: </w:t>
      </w:r>
    </w:p>
    <w:p w14:paraId="24B2A585" w14:textId="77777777" w:rsidR="00A23E59" w:rsidRPr="00394842" w:rsidRDefault="00A23E59" w:rsidP="00A23E59">
      <w:pPr>
        <w:rPr>
          <w:highlight w:val="yellow"/>
        </w:rPr>
      </w:pPr>
    </w:p>
    <w:p w14:paraId="7484A778" w14:textId="77777777" w:rsidR="00A23E59" w:rsidRPr="00394842" w:rsidRDefault="00A23E59" w:rsidP="00A23E59">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2019A3BA" w14:textId="77777777" w:rsidR="00A23E59" w:rsidRPr="00394842" w:rsidRDefault="00A23E59" w:rsidP="00A23E59">
      <w:pPr>
        <w:rPr>
          <w:highlight w:val="yellow"/>
        </w:rPr>
      </w:pPr>
    </w:p>
    <w:p w14:paraId="12AAD73D" w14:textId="77777777" w:rsidR="00A23E59" w:rsidRPr="00394842" w:rsidRDefault="00A23E59" w:rsidP="00A23E59">
      <w:pPr>
        <w:rPr>
          <w:highlight w:val="yellow"/>
        </w:rPr>
      </w:pPr>
      <w:r w:rsidRPr="00394842">
        <w:rPr>
          <w:highlight w:val="yellow"/>
        </w:rPr>
        <w:t xml:space="preserve">Option 2: </w:t>
      </w:r>
    </w:p>
    <w:p w14:paraId="3F0FE945" w14:textId="77777777" w:rsidR="00A23E59" w:rsidRPr="00394842" w:rsidRDefault="00A23E59" w:rsidP="00A23E59">
      <w:pPr>
        <w:rPr>
          <w:highlight w:val="yellow"/>
        </w:rPr>
      </w:pPr>
    </w:p>
    <w:p w14:paraId="6074D90D" w14:textId="77777777" w:rsidR="00A23E59" w:rsidRPr="00394842" w:rsidRDefault="00A23E59" w:rsidP="00A23E59">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B7B185" w14:textId="77777777" w:rsidR="00A23E59" w:rsidRPr="00394842" w:rsidRDefault="00A23E59" w:rsidP="00A23E59">
      <w:pPr>
        <w:rPr>
          <w:highlight w:val="yellow"/>
        </w:rPr>
      </w:pPr>
    </w:p>
    <w:p w14:paraId="0B222771" w14:textId="77777777" w:rsidR="00A23E59" w:rsidRPr="00394842" w:rsidRDefault="00A23E59" w:rsidP="00A23E59">
      <w:pPr>
        <w:rPr>
          <w:highlight w:val="yellow"/>
        </w:rPr>
      </w:pPr>
      <w:r w:rsidRPr="00394842">
        <w:rPr>
          <w:highlight w:val="yellow"/>
        </w:rPr>
        <w:t>Details of the AI usage are given below:</w:t>
      </w:r>
    </w:p>
    <w:p w14:paraId="384FD1B9" w14:textId="77777777" w:rsidR="00A23E59" w:rsidRPr="00394842" w:rsidRDefault="00A23E59" w:rsidP="00A23E59">
      <w:pPr>
        <w:rPr>
          <w:highlight w:val="yellow"/>
        </w:rPr>
      </w:pPr>
      <w:r w:rsidRPr="00394842">
        <w:rPr>
          <w:highlight w:val="yellow"/>
        </w:rPr>
        <w:t>1.</w:t>
      </w:r>
    </w:p>
    <w:p w14:paraId="692D7E78" w14:textId="77777777" w:rsidR="00A23E59" w:rsidRPr="00394842" w:rsidRDefault="00A23E59" w:rsidP="00A23E59">
      <w:pPr>
        <w:rPr>
          <w:highlight w:val="yellow"/>
        </w:rPr>
      </w:pPr>
      <w:r w:rsidRPr="00394842">
        <w:rPr>
          <w:highlight w:val="yellow"/>
        </w:rPr>
        <w:t>2.</w:t>
      </w:r>
    </w:p>
    <w:p w14:paraId="1159C0C0" w14:textId="77777777" w:rsidR="00A23E59" w:rsidRPr="00165217" w:rsidRDefault="00A23E59" w:rsidP="00A23E59">
      <w:r w:rsidRPr="00394842">
        <w:rPr>
          <w:highlight w:val="yellow"/>
        </w:rPr>
        <w:t>3.</w:t>
      </w:r>
    </w:p>
    <w:p w14:paraId="68633B9B" w14:textId="77777777" w:rsidR="00A23E59" w:rsidRPr="00E772E9" w:rsidRDefault="00A23E59" w:rsidP="00441B6F">
      <w:pPr>
        <w:pStyle w:val="ReferHead"/>
        <w:spacing w:after="0"/>
        <w:jc w:val="both"/>
        <w:rPr>
          <w:rFonts w:ascii="Arial" w:hAnsi="Arial" w:cs="Arial"/>
          <w:b w:val="0"/>
          <w:caps w:val="0"/>
          <w:sz w:val="20"/>
        </w:rPr>
      </w:pPr>
    </w:p>
    <w:p w14:paraId="4D57AF2A" w14:textId="77777777" w:rsidR="00860000" w:rsidRPr="00E772E9" w:rsidRDefault="00860000" w:rsidP="00441B6F">
      <w:pPr>
        <w:pStyle w:val="ReferHead"/>
        <w:spacing w:after="0"/>
        <w:jc w:val="both"/>
        <w:rPr>
          <w:rFonts w:ascii="Arial" w:hAnsi="Arial" w:cs="Arial"/>
        </w:rPr>
      </w:pPr>
    </w:p>
    <w:p w14:paraId="37E7AFB5" w14:textId="77777777" w:rsidR="00B01FCD" w:rsidRPr="00C76E17" w:rsidRDefault="00C42901" w:rsidP="00441B6F">
      <w:pPr>
        <w:pStyle w:val="ReferHead"/>
        <w:spacing w:after="0"/>
        <w:jc w:val="both"/>
        <w:rPr>
          <w:rFonts w:ascii="Arial" w:hAnsi="Arial" w:cs="Arial"/>
        </w:rPr>
      </w:pPr>
      <w:r w:rsidRPr="00C76E17">
        <w:rPr>
          <w:rFonts w:ascii="Arial" w:hAnsi="Arial" w:cs="Arial"/>
        </w:rPr>
        <w:t>References</w:t>
      </w:r>
    </w:p>
    <w:p w14:paraId="17547AB5"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OECD. (2021). </w:t>
      </w:r>
      <w:r w:rsidRPr="00D1537B">
        <w:rPr>
          <w:rStyle w:val="Emphasis"/>
          <w:rFonts w:ascii="Arial" w:hAnsi="Arial" w:cs="Arial"/>
          <w:sz w:val="20"/>
        </w:rPr>
        <w:t>21st-Century Readers: Developing Literacy Skills in a Digital World</w:t>
      </w:r>
      <w:r w:rsidRPr="00D1537B">
        <w:rPr>
          <w:rFonts w:ascii="Arial" w:hAnsi="Arial" w:cs="Arial"/>
          <w:sz w:val="20"/>
        </w:rPr>
        <w:t>. OECD Publishing. https://doi.org/10.1787/a83d84cb-en</w:t>
      </w:r>
    </w:p>
    <w:p w14:paraId="6D3FD746" w14:textId="7DA7567E" w:rsidR="003D7B72" w:rsidRPr="00C05E82" w:rsidRDefault="003D7B72" w:rsidP="00855F2A">
      <w:pPr>
        <w:pStyle w:val="NormalWeb"/>
        <w:numPr>
          <w:ilvl w:val="0"/>
          <w:numId w:val="34"/>
        </w:numPr>
        <w:jc w:val="both"/>
        <w:rPr>
          <w:rFonts w:ascii="Arial" w:hAnsi="Arial" w:cs="Arial"/>
          <w:sz w:val="20"/>
          <w:highlight w:val="yellow"/>
        </w:rPr>
      </w:pPr>
      <w:r w:rsidRPr="00C05E82">
        <w:rPr>
          <w:rFonts w:ascii="Arial" w:hAnsi="Arial" w:cs="Arial"/>
          <w:sz w:val="20"/>
          <w:highlight w:val="yellow"/>
          <w:lang w:val="es-US"/>
        </w:rPr>
        <w:t xml:space="preserve">Mediana, N., </w:t>
      </w:r>
      <w:proofErr w:type="spellStart"/>
      <w:r w:rsidRPr="00C05E82">
        <w:rPr>
          <w:rFonts w:ascii="Arial" w:hAnsi="Arial" w:cs="Arial"/>
          <w:sz w:val="20"/>
          <w:highlight w:val="yellow"/>
          <w:lang w:val="es-US"/>
        </w:rPr>
        <w:t>Funa</w:t>
      </w:r>
      <w:proofErr w:type="spellEnd"/>
      <w:r w:rsidRPr="00C05E82">
        <w:rPr>
          <w:rFonts w:ascii="Arial" w:hAnsi="Arial" w:cs="Arial"/>
          <w:sz w:val="20"/>
          <w:highlight w:val="yellow"/>
          <w:lang w:val="es-US"/>
        </w:rPr>
        <w:t xml:space="preserve">, A., &amp; Dio, R. (2025). </w:t>
      </w:r>
      <w:r w:rsidRPr="00C05E82">
        <w:rPr>
          <w:rFonts w:ascii="Arial" w:hAnsi="Arial" w:cs="Arial"/>
          <w:sz w:val="20"/>
          <w:highlight w:val="yellow"/>
          <w:lang w:val="en-US"/>
        </w:rPr>
        <w:t>Effectiveness of Inquiry-based Learning (</w:t>
      </w:r>
      <w:proofErr w:type="spellStart"/>
      <w:r w:rsidRPr="00C05E82">
        <w:rPr>
          <w:rFonts w:ascii="Arial" w:hAnsi="Arial" w:cs="Arial"/>
          <w:sz w:val="20"/>
          <w:highlight w:val="yellow"/>
          <w:lang w:val="en-US"/>
        </w:rPr>
        <w:t>IbL</w:t>
      </w:r>
      <w:proofErr w:type="spellEnd"/>
      <w:r w:rsidRPr="00C05E82">
        <w:rPr>
          <w:rFonts w:ascii="Arial" w:hAnsi="Arial" w:cs="Arial"/>
          <w:sz w:val="20"/>
          <w:highlight w:val="yellow"/>
          <w:lang w:val="en-US"/>
        </w:rPr>
        <w:t>) on Improving Students’ Conceptual Understanding in Science and Mathematics: A Meta-Analysis. </w:t>
      </w:r>
      <w:r w:rsidRPr="00C05E82">
        <w:rPr>
          <w:rFonts w:ascii="Arial" w:hAnsi="Arial" w:cs="Arial"/>
          <w:i/>
          <w:iCs/>
          <w:sz w:val="20"/>
          <w:highlight w:val="yellow"/>
          <w:lang w:val="en-US"/>
        </w:rPr>
        <w:t>International Journal of Education in Mathematics, Science and Technology</w:t>
      </w:r>
      <w:r w:rsidRPr="00C05E82">
        <w:rPr>
          <w:rFonts w:ascii="Arial" w:hAnsi="Arial" w:cs="Arial"/>
          <w:sz w:val="20"/>
          <w:highlight w:val="yellow"/>
          <w:lang w:val="en-US"/>
        </w:rPr>
        <w:t>, </w:t>
      </w:r>
      <w:r w:rsidRPr="00C05E82">
        <w:rPr>
          <w:rFonts w:ascii="Arial" w:hAnsi="Arial" w:cs="Arial"/>
          <w:i/>
          <w:iCs/>
          <w:sz w:val="20"/>
          <w:highlight w:val="yellow"/>
          <w:lang w:val="en-US"/>
        </w:rPr>
        <w:t>13</w:t>
      </w:r>
      <w:r w:rsidRPr="00C05E82">
        <w:rPr>
          <w:rFonts w:ascii="Arial" w:hAnsi="Arial" w:cs="Arial"/>
          <w:sz w:val="20"/>
          <w:highlight w:val="yellow"/>
          <w:lang w:val="en-US"/>
        </w:rPr>
        <w:t>(2), 532-552.</w:t>
      </w:r>
    </w:p>
    <w:p w14:paraId="64398065" w14:textId="5D03D936" w:rsidR="000C72E1" w:rsidRPr="00C05E82" w:rsidRDefault="000C72E1" w:rsidP="00855F2A">
      <w:pPr>
        <w:pStyle w:val="NormalWeb"/>
        <w:numPr>
          <w:ilvl w:val="0"/>
          <w:numId w:val="34"/>
        </w:numPr>
        <w:jc w:val="both"/>
        <w:rPr>
          <w:rFonts w:ascii="Arial" w:hAnsi="Arial" w:cs="Arial"/>
          <w:sz w:val="20"/>
          <w:highlight w:val="yellow"/>
        </w:rPr>
      </w:pPr>
      <w:proofErr w:type="spellStart"/>
      <w:r w:rsidRPr="00C05E82">
        <w:rPr>
          <w:rFonts w:ascii="Arial" w:hAnsi="Arial" w:cs="Arial"/>
          <w:sz w:val="20"/>
          <w:highlight w:val="yellow"/>
          <w:lang w:val="es-US"/>
        </w:rPr>
        <w:t>Thuan</w:t>
      </w:r>
      <w:proofErr w:type="spellEnd"/>
      <w:r w:rsidRPr="00C05E82">
        <w:rPr>
          <w:rFonts w:ascii="Arial" w:hAnsi="Arial" w:cs="Arial"/>
          <w:sz w:val="20"/>
          <w:highlight w:val="yellow"/>
          <w:lang w:val="es-US"/>
        </w:rPr>
        <w:t xml:space="preserve">, N. T., &amp; Son, P. N. (2025). </w:t>
      </w:r>
      <w:r w:rsidRPr="00C05E82">
        <w:rPr>
          <w:rFonts w:ascii="Arial" w:hAnsi="Arial" w:cs="Arial"/>
          <w:sz w:val="20"/>
          <w:highlight w:val="yellow"/>
          <w:lang w:val="en-US"/>
        </w:rPr>
        <w:t>Enhancing Scientific Competency in Middle School Students Through Inquiry-Based Learning: A Case Study on Water in Life. </w:t>
      </w:r>
      <w:r w:rsidRPr="00C05E82">
        <w:rPr>
          <w:rFonts w:ascii="Arial" w:hAnsi="Arial" w:cs="Arial"/>
          <w:i/>
          <w:iCs/>
          <w:sz w:val="20"/>
          <w:highlight w:val="yellow"/>
          <w:lang w:val="en-US"/>
        </w:rPr>
        <w:t>Journal of Science Education and Technology</w:t>
      </w:r>
      <w:r w:rsidRPr="00C05E82">
        <w:rPr>
          <w:rFonts w:ascii="Arial" w:hAnsi="Arial" w:cs="Arial"/>
          <w:sz w:val="20"/>
          <w:highlight w:val="yellow"/>
          <w:lang w:val="en-US"/>
        </w:rPr>
        <w:t>, 1-12.</w:t>
      </w:r>
    </w:p>
    <w:p w14:paraId="64B0ED8A" w14:textId="20DB57B7" w:rsidR="000C72E1" w:rsidRPr="00BE1A7C" w:rsidRDefault="005A118F" w:rsidP="00855F2A">
      <w:pPr>
        <w:pStyle w:val="NormalWeb"/>
        <w:numPr>
          <w:ilvl w:val="0"/>
          <w:numId w:val="34"/>
        </w:numPr>
        <w:jc w:val="both"/>
        <w:rPr>
          <w:rFonts w:ascii="Arial" w:hAnsi="Arial" w:cs="Arial"/>
          <w:sz w:val="20"/>
          <w:highlight w:val="yellow"/>
        </w:rPr>
      </w:pPr>
      <w:proofErr w:type="spellStart"/>
      <w:r w:rsidRPr="00C05E82">
        <w:rPr>
          <w:rFonts w:ascii="Arial" w:hAnsi="Arial" w:cs="Arial"/>
          <w:sz w:val="20"/>
          <w:highlight w:val="yellow"/>
          <w:lang w:val="en-US"/>
        </w:rPr>
        <w:t>Uthaikanchanakul</w:t>
      </w:r>
      <w:proofErr w:type="spellEnd"/>
      <w:r w:rsidRPr="00C05E82">
        <w:rPr>
          <w:rFonts w:ascii="Arial" w:hAnsi="Arial" w:cs="Arial"/>
          <w:sz w:val="20"/>
          <w:highlight w:val="yellow"/>
          <w:lang w:val="en-US"/>
        </w:rPr>
        <w:t>, P. (2025). Promoting Inquiry-Based Learning in Thai Science Education: Enhancing Scientific Literacy and Critical Thinking. </w:t>
      </w:r>
      <w:r w:rsidRPr="00C05E82">
        <w:rPr>
          <w:rFonts w:ascii="Arial" w:hAnsi="Arial" w:cs="Arial"/>
          <w:i/>
          <w:iCs/>
          <w:sz w:val="20"/>
          <w:highlight w:val="yellow"/>
          <w:lang w:val="en-US"/>
        </w:rPr>
        <w:t>Insights into Modern Education (</w:t>
      </w:r>
      <w:proofErr w:type="spellStart"/>
      <w:r w:rsidRPr="00C05E82">
        <w:rPr>
          <w:rFonts w:ascii="Arial" w:hAnsi="Arial" w:cs="Arial"/>
          <w:i/>
          <w:iCs/>
          <w:sz w:val="20"/>
          <w:highlight w:val="yellow"/>
          <w:lang w:val="en-US"/>
        </w:rPr>
        <w:t>i</w:t>
      </w:r>
      <w:proofErr w:type="spellEnd"/>
      <w:r w:rsidRPr="00C05E82">
        <w:rPr>
          <w:rFonts w:ascii="Arial" w:hAnsi="Arial" w:cs="Arial"/>
          <w:i/>
          <w:iCs/>
          <w:sz w:val="20"/>
          <w:highlight w:val="yellow"/>
          <w:lang w:val="en-US"/>
        </w:rPr>
        <w:t>-ME)</w:t>
      </w:r>
      <w:r w:rsidRPr="00C05E82">
        <w:rPr>
          <w:rFonts w:ascii="Arial" w:hAnsi="Arial" w:cs="Arial"/>
          <w:sz w:val="20"/>
          <w:highlight w:val="yellow"/>
          <w:lang w:val="en-US"/>
        </w:rPr>
        <w:t>, </w:t>
      </w:r>
      <w:r w:rsidRPr="00C05E82">
        <w:rPr>
          <w:rFonts w:ascii="Arial" w:hAnsi="Arial" w:cs="Arial"/>
          <w:i/>
          <w:iCs/>
          <w:sz w:val="20"/>
          <w:highlight w:val="yellow"/>
          <w:lang w:val="en-US"/>
        </w:rPr>
        <w:t>2</w:t>
      </w:r>
      <w:r w:rsidRPr="00C05E82">
        <w:rPr>
          <w:rFonts w:ascii="Arial" w:hAnsi="Arial" w:cs="Arial"/>
          <w:sz w:val="20"/>
          <w:highlight w:val="yellow"/>
          <w:lang w:val="en-US"/>
        </w:rPr>
        <w:t>(1), 60-72.</w:t>
      </w:r>
    </w:p>
    <w:p w14:paraId="73C2F111" w14:textId="3FE938EF" w:rsidR="00BE1A7C" w:rsidRPr="008A2282" w:rsidRDefault="00BE1A7C" w:rsidP="00855F2A">
      <w:pPr>
        <w:pStyle w:val="NormalWeb"/>
        <w:numPr>
          <w:ilvl w:val="0"/>
          <w:numId w:val="34"/>
        </w:numPr>
        <w:jc w:val="both"/>
        <w:rPr>
          <w:rFonts w:ascii="Arial" w:hAnsi="Arial" w:cs="Arial"/>
          <w:sz w:val="20"/>
          <w:highlight w:val="yellow"/>
        </w:rPr>
      </w:pPr>
      <w:r w:rsidRPr="00BE1A7C">
        <w:rPr>
          <w:rFonts w:ascii="Arial" w:hAnsi="Arial" w:cs="Arial"/>
          <w:sz w:val="20"/>
          <w:highlight w:val="yellow"/>
          <w:lang w:val="es-US"/>
        </w:rPr>
        <w:t xml:space="preserve">Santana-Vega, L. E., Feliciano-García, L., &amp; Suárez-Perdomo, A. (2023). </w:t>
      </w:r>
      <w:r w:rsidRPr="00BE1A7C">
        <w:rPr>
          <w:rFonts w:ascii="Arial" w:hAnsi="Arial" w:cs="Arial"/>
          <w:sz w:val="20"/>
          <w:highlight w:val="yellow"/>
          <w:lang w:val="en-US"/>
        </w:rPr>
        <w:t>Inquiry-based learning in the university context: A systematic review. </w:t>
      </w:r>
      <w:proofErr w:type="spellStart"/>
      <w:r w:rsidRPr="00BE1A7C">
        <w:rPr>
          <w:rFonts w:ascii="Arial" w:hAnsi="Arial" w:cs="Arial"/>
          <w:i/>
          <w:iCs/>
          <w:sz w:val="20"/>
          <w:highlight w:val="yellow"/>
          <w:lang w:val="en-US"/>
        </w:rPr>
        <w:t>Revista</w:t>
      </w:r>
      <w:proofErr w:type="spellEnd"/>
      <w:r w:rsidRPr="00BE1A7C">
        <w:rPr>
          <w:rFonts w:ascii="Arial" w:hAnsi="Arial" w:cs="Arial"/>
          <w:i/>
          <w:iCs/>
          <w:sz w:val="20"/>
          <w:highlight w:val="yellow"/>
          <w:lang w:val="en-US"/>
        </w:rPr>
        <w:t xml:space="preserve"> Espanola de </w:t>
      </w:r>
      <w:proofErr w:type="spellStart"/>
      <w:r w:rsidRPr="00BE1A7C">
        <w:rPr>
          <w:rFonts w:ascii="Arial" w:hAnsi="Arial" w:cs="Arial"/>
          <w:i/>
          <w:iCs/>
          <w:sz w:val="20"/>
          <w:highlight w:val="yellow"/>
          <w:lang w:val="en-US"/>
        </w:rPr>
        <w:t>Pedagogia</w:t>
      </w:r>
      <w:proofErr w:type="spellEnd"/>
      <w:r w:rsidRPr="00BE1A7C">
        <w:rPr>
          <w:rFonts w:ascii="Arial" w:hAnsi="Arial" w:cs="Arial"/>
          <w:sz w:val="20"/>
          <w:highlight w:val="yellow"/>
          <w:lang w:val="en-US"/>
        </w:rPr>
        <w:t>, </w:t>
      </w:r>
      <w:r w:rsidRPr="00BE1A7C">
        <w:rPr>
          <w:rFonts w:ascii="Arial" w:hAnsi="Arial" w:cs="Arial"/>
          <w:i/>
          <w:iCs/>
          <w:sz w:val="20"/>
          <w:highlight w:val="yellow"/>
          <w:lang w:val="en-US"/>
        </w:rPr>
        <w:t>78</w:t>
      </w:r>
      <w:r w:rsidRPr="00BE1A7C">
        <w:rPr>
          <w:rFonts w:ascii="Arial" w:hAnsi="Arial" w:cs="Arial"/>
          <w:sz w:val="20"/>
          <w:highlight w:val="yellow"/>
          <w:lang w:val="en-US"/>
        </w:rPr>
        <w:t>(277), 9.</w:t>
      </w:r>
    </w:p>
    <w:p w14:paraId="038393DE" w14:textId="22AA938A" w:rsidR="008A2282" w:rsidRPr="00871124" w:rsidRDefault="008A2282" w:rsidP="00855F2A">
      <w:pPr>
        <w:pStyle w:val="NormalWeb"/>
        <w:numPr>
          <w:ilvl w:val="0"/>
          <w:numId w:val="34"/>
        </w:numPr>
        <w:jc w:val="both"/>
        <w:rPr>
          <w:rFonts w:ascii="Arial" w:hAnsi="Arial" w:cs="Arial"/>
          <w:sz w:val="20"/>
          <w:highlight w:val="yellow"/>
        </w:rPr>
      </w:pPr>
      <w:proofErr w:type="spellStart"/>
      <w:r w:rsidRPr="008A2282">
        <w:rPr>
          <w:rFonts w:ascii="Arial" w:hAnsi="Arial" w:cs="Arial"/>
          <w:sz w:val="20"/>
          <w:highlight w:val="yellow"/>
          <w:lang w:val="en-US"/>
        </w:rPr>
        <w:lastRenderedPageBreak/>
        <w:t>Safkolam</w:t>
      </w:r>
      <w:proofErr w:type="spellEnd"/>
      <w:r w:rsidRPr="008A2282">
        <w:rPr>
          <w:rFonts w:ascii="Arial" w:hAnsi="Arial" w:cs="Arial"/>
          <w:sz w:val="20"/>
          <w:highlight w:val="yellow"/>
          <w:lang w:val="en-US"/>
        </w:rPr>
        <w:t xml:space="preserve">, R., </w:t>
      </w:r>
      <w:proofErr w:type="spellStart"/>
      <w:r w:rsidRPr="008A2282">
        <w:rPr>
          <w:rFonts w:ascii="Arial" w:hAnsi="Arial" w:cs="Arial"/>
          <w:sz w:val="20"/>
          <w:highlight w:val="yellow"/>
          <w:lang w:val="en-US"/>
        </w:rPr>
        <w:t>Madahae</w:t>
      </w:r>
      <w:proofErr w:type="spellEnd"/>
      <w:r w:rsidRPr="008A2282">
        <w:rPr>
          <w:rFonts w:ascii="Arial" w:hAnsi="Arial" w:cs="Arial"/>
          <w:sz w:val="20"/>
          <w:highlight w:val="yellow"/>
          <w:lang w:val="en-US"/>
        </w:rPr>
        <w:t>, S., &amp; Saleah, P. (2024). The effects of inquiry-based learning activities to understand the nature of science of science student teachers. </w:t>
      </w:r>
      <w:r w:rsidRPr="008A2282">
        <w:rPr>
          <w:rFonts w:ascii="Arial" w:hAnsi="Arial" w:cs="Arial"/>
          <w:i/>
          <w:iCs/>
          <w:sz w:val="20"/>
          <w:highlight w:val="yellow"/>
          <w:lang w:val="en-US"/>
        </w:rPr>
        <w:t>International Journal of Instruction</w:t>
      </w:r>
      <w:r w:rsidRPr="008A2282">
        <w:rPr>
          <w:rFonts w:ascii="Arial" w:hAnsi="Arial" w:cs="Arial"/>
          <w:sz w:val="20"/>
          <w:highlight w:val="yellow"/>
          <w:lang w:val="en-US"/>
        </w:rPr>
        <w:t>, </w:t>
      </w:r>
      <w:r w:rsidRPr="008A2282">
        <w:rPr>
          <w:rFonts w:ascii="Arial" w:hAnsi="Arial" w:cs="Arial"/>
          <w:i/>
          <w:iCs/>
          <w:sz w:val="20"/>
          <w:highlight w:val="yellow"/>
          <w:lang w:val="en-US"/>
        </w:rPr>
        <w:t>17</w:t>
      </w:r>
      <w:r w:rsidRPr="008A2282">
        <w:rPr>
          <w:rFonts w:ascii="Arial" w:hAnsi="Arial" w:cs="Arial"/>
          <w:sz w:val="20"/>
          <w:highlight w:val="yellow"/>
          <w:lang w:val="en-US"/>
        </w:rPr>
        <w:t>(1), 479-496.</w:t>
      </w:r>
    </w:p>
    <w:p w14:paraId="04EADE57" w14:textId="5A6EDFE7" w:rsidR="00871124" w:rsidRPr="00871124" w:rsidRDefault="00871124" w:rsidP="00855F2A">
      <w:pPr>
        <w:pStyle w:val="NormalWeb"/>
        <w:numPr>
          <w:ilvl w:val="0"/>
          <w:numId w:val="34"/>
        </w:numPr>
        <w:jc w:val="both"/>
        <w:rPr>
          <w:rFonts w:ascii="Arial" w:hAnsi="Arial" w:cs="Arial"/>
          <w:sz w:val="20"/>
          <w:highlight w:val="yellow"/>
        </w:rPr>
      </w:pPr>
      <w:proofErr w:type="spellStart"/>
      <w:r>
        <w:rPr>
          <w:rFonts w:ascii="Arial" w:hAnsi="Arial" w:cs="Arial"/>
          <w:color w:val="222222"/>
          <w:sz w:val="20"/>
          <w:szCs w:val="20"/>
          <w:shd w:val="clear" w:color="auto" w:fill="FFFFFF"/>
        </w:rPr>
        <w:t>Gholam</w:t>
      </w:r>
      <w:proofErr w:type="spellEnd"/>
      <w:r>
        <w:rPr>
          <w:rFonts w:ascii="Arial" w:hAnsi="Arial" w:cs="Arial"/>
          <w:color w:val="222222"/>
          <w:sz w:val="20"/>
          <w:szCs w:val="20"/>
          <w:shd w:val="clear" w:color="auto" w:fill="FFFFFF"/>
        </w:rPr>
        <w:t>, A. P. (2019). Inquiry-based learning: Student teachers’ challenges and perceptions. </w:t>
      </w:r>
      <w:r>
        <w:rPr>
          <w:rFonts w:ascii="Arial" w:hAnsi="Arial" w:cs="Arial"/>
          <w:i/>
          <w:iCs/>
          <w:color w:val="222222"/>
          <w:sz w:val="20"/>
          <w:szCs w:val="20"/>
          <w:shd w:val="clear" w:color="auto" w:fill="FFFFFF"/>
        </w:rPr>
        <w:t>Journal of Inquiry and Action in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6.</w:t>
      </w:r>
    </w:p>
    <w:p w14:paraId="6A908AB7" w14:textId="4B38DB5F" w:rsidR="00871124" w:rsidRPr="00871124" w:rsidRDefault="00871124" w:rsidP="00855F2A">
      <w:pPr>
        <w:pStyle w:val="NormalWeb"/>
        <w:numPr>
          <w:ilvl w:val="0"/>
          <w:numId w:val="34"/>
        </w:numPr>
        <w:jc w:val="both"/>
        <w:rPr>
          <w:rFonts w:ascii="Arial" w:hAnsi="Arial" w:cs="Arial"/>
          <w:sz w:val="20"/>
          <w:highlight w:val="yellow"/>
        </w:rPr>
      </w:pPr>
      <w:r>
        <w:rPr>
          <w:rFonts w:ascii="Arial" w:hAnsi="Arial" w:cs="Arial"/>
          <w:color w:val="222222"/>
          <w:sz w:val="20"/>
          <w:szCs w:val="20"/>
          <w:shd w:val="clear" w:color="auto" w:fill="FFFFFF"/>
        </w:rPr>
        <w:t xml:space="preserve">Duran, M., &amp; </w:t>
      </w:r>
      <w:proofErr w:type="spellStart"/>
      <w:r>
        <w:rPr>
          <w:rFonts w:ascii="Arial" w:hAnsi="Arial" w:cs="Arial"/>
          <w:color w:val="222222"/>
          <w:sz w:val="20"/>
          <w:szCs w:val="20"/>
          <w:shd w:val="clear" w:color="auto" w:fill="FFFFFF"/>
        </w:rPr>
        <w:t>Dökme</w:t>
      </w:r>
      <w:proofErr w:type="spellEnd"/>
      <w:r>
        <w:rPr>
          <w:rFonts w:ascii="Arial" w:hAnsi="Arial" w:cs="Arial"/>
          <w:color w:val="222222"/>
          <w:sz w:val="20"/>
          <w:szCs w:val="20"/>
          <w:shd w:val="clear" w:color="auto" w:fill="FFFFFF"/>
        </w:rPr>
        <w:t>, I. (2016). The effect of the inquiry-based learning approach on student's critical-thinking skills. </w:t>
      </w:r>
      <w:r>
        <w:rPr>
          <w:rFonts w:ascii="Arial" w:hAnsi="Arial" w:cs="Arial"/>
          <w:i/>
          <w:iCs/>
          <w:color w:val="222222"/>
          <w:sz w:val="20"/>
          <w:szCs w:val="20"/>
          <w:shd w:val="clear" w:color="auto" w:fill="FFFFFF"/>
        </w:rPr>
        <w:t>Eurasia Journal of Mathematics Science and Technology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(12).</w:t>
      </w:r>
    </w:p>
    <w:p w14:paraId="5F4496AA" w14:textId="7368EFE6" w:rsidR="00871124" w:rsidRPr="00871124" w:rsidRDefault="00871124" w:rsidP="00855F2A">
      <w:pPr>
        <w:pStyle w:val="NormalWeb"/>
        <w:numPr>
          <w:ilvl w:val="0"/>
          <w:numId w:val="34"/>
        </w:numPr>
        <w:jc w:val="both"/>
        <w:rPr>
          <w:rFonts w:ascii="Arial" w:hAnsi="Arial" w:cs="Arial"/>
          <w:sz w:val="20"/>
          <w:highlight w:val="yellow"/>
        </w:rPr>
      </w:pPr>
      <w:r>
        <w:rPr>
          <w:rFonts w:ascii="Arial" w:hAnsi="Arial" w:cs="Arial"/>
          <w:color w:val="222222"/>
          <w:sz w:val="20"/>
          <w:szCs w:val="20"/>
          <w:shd w:val="clear" w:color="auto" w:fill="FFFFFF"/>
        </w:rPr>
        <w:t>Romero-</w:t>
      </w:r>
      <w:proofErr w:type="spellStart"/>
      <w:r>
        <w:rPr>
          <w:rFonts w:ascii="Arial" w:hAnsi="Arial" w:cs="Arial"/>
          <w:color w:val="222222"/>
          <w:sz w:val="20"/>
          <w:szCs w:val="20"/>
          <w:shd w:val="clear" w:color="auto" w:fill="FFFFFF"/>
        </w:rPr>
        <w:t>Ariza</w:t>
      </w:r>
      <w:proofErr w:type="spellEnd"/>
      <w:r>
        <w:rPr>
          <w:rFonts w:ascii="Arial" w:hAnsi="Arial" w:cs="Arial"/>
          <w:color w:val="222222"/>
          <w:sz w:val="20"/>
          <w:szCs w:val="20"/>
          <w:shd w:val="clear" w:color="auto" w:fill="FFFFFF"/>
        </w:rPr>
        <w:t>, M., Quesada, A., Abril, A. M., Sorensen, P., &amp; Oliver, M. C. (2020). Highly Recommended and Poorly Used: English and Spanish Science Teachers' Views of Inquiry-Based Learning (IBL) and Its Enactment. </w:t>
      </w:r>
      <w:r>
        <w:rPr>
          <w:rFonts w:ascii="Arial" w:hAnsi="Arial" w:cs="Arial"/>
          <w:i/>
          <w:iCs/>
          <w:color w:val="222222"/>
          <w:sz w:val="20"/>
          <w:szCs w:val="20"/>
          <w:shd w:val="clear" w:color="auto" w:fill="FFFFFF"/>
        </w:rPr>
        <w:t>Eurasia journal of mathematics, science and technology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w:t>
      </w:r>
    </w:p>
    <w:p w14:paraId="1BC83ABA" w14:textId="1F6A5FEF" w:rsidR="00871124" w:rsidRPr="00C05E82" w:rsidRDefault="00871124" w:rsidP="00855F2A">
      <w:pPr>
        <w:pStyle w:val="NormalWeb"/>
        <w:numPr>
          <w:ilvl w:val="0"/>
          <w:numId w:val="34"/>
        </w:numPr>
        <w:jc w:val="both"/>
        <w:rPr>
          <w:rFonts w:ascii="Arial" w:hAnsi="Arial" w:cs="Arial"/>
          <w:sz w:val="20"/>
          <w:highlight w:val="yellow"/>
        </w:rPr>
      </w:pPr>
      <w:r>
        <w:rPr>
          <w:rFonts w:ascii="Arial" w:hAnsi="Arial" w:cs="Arial"/>
          <w:color w:val="222222"/>
          <w:sz w:val="20"/>
          <w:szCs w:val="20"/>
          <w:shd w:val="clear" w:color="auto" w:fill="FFFFFF"/>
        </w:rPr>
        <w:t xml:space="preserve">Aparicio-Ting, F. E., Slater, D. M., &amp; </w:t>
      </w:r>
      <w:proofErr w:type="spellStart"/>
      <w:r>
        <w:rPr>
          <w:rFonts w:ascii="Arial" w:hAnsi="Arial" w:cs="Arial"/>
          <w:color w:val="222222"/>
          <w:sz w:val="20"/>
          <w:szCs w:val="20"/>
          <w:shd w:val="clear" w:color="auto" w:fill="FFFFFF"/>
        </w:rPr>
        <w:t>Kurz</w:t>
      </w:r>
      <w:proofErr w:type="spellEnd"/>
      <w:r>
        <w:rPr>
          <w:rFonts w:ascii="Arial" w:hAnsi="Arial" w:cs="Arial"/>
          <w:color w:val="222222"/>
          <w:sz w:val="20"/>
          <w:szCs w:val="20"/>
          <w:shd w:val="clear" w:color="auto" w:fill="FFFFFF"/>
        </w:rPr>
        <w:t>, E. U. (2019). Inquiry-based learning (IBL) as a driver of curriculum: A staged approach. </w:t>
      </w:r>
      <w:r>
        <w:rPr>
          <w:rFonts w:ascii="Arial" w:hAnsi="Arial" w:cs="Arial"/>
          <w:i/>
          <w:iCs/>
          <w:color w:val="222222"/>
          <w:sz w:val="20"/>
          <w:szCs w:val="20"/>
          <w:shd w:val="clear" w:color="auto" w:fill="FFFFFF"/>
        </w:rPr>
        <w:t>Papers on Postsecondary Learning and Teaching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44-51.</w:t>
      </w:r>
    </w:p>
    <w:p w14:paraId="1214F13A" w14:textId="77777777" w:rsidR="00D1537B" w:rsidRPr="00D1537B" w:rsidRDefault="00D1537B" w:rsidP="00D1537B">
      <w:pPr>
        <w:pStyle w:val="ReferHead"/>
        <w:spacing w:after="0"/>
        <w:ind w:left="720" w:hanging="720"/>
        <w:jc w:val="both"/>
        <w:rPr>
          <w:rFonts w:ascii="Arial" w:hAnsi="Arial" w:cs="Arial"/>
          <w:sz w:val="18"/>
        </w:rPr>
      </w:pPr>
    </w:p>
    <w:p w14:paraId="4876F18C" w14:textId="77777777" w:rsidR="008B459E" w:rsidRPr="00D1537B" w:rsidRDefault="008B459E" w:rsidP="00D1537B">
      <w:pPr>
        <w:pStyle w:val="Body"/>
        <w:spacing w:after="0"/>
        <w:ind w:left="720" w:hanging="720"/>
        <w:rPr>
          <w:rFonts w:ascii="Arial" w:hAnsi="Arial" w:cs="Arial"/>
          <w:sz w:val="16"/>
        </w:rPr>
      </w:pPr>
    </w:p>
    <w:p w14:paraId="161D5989" w14:textId="77777777" w:rsidR="004D4277" w:rsidRPr="00D1537B" w:rsidRDefault="004D4277" w:rsidP="00D1537B">
      <w:pPr>
        <w:pStyle w:val="Appendix"/>
        <w:spacing w:after="0"/>
        <w:ind w:left="720" w:hanging="720"/>
        <w:jc w:val="both"/>
        <w:rPr>
          <w:rFonts w:ascii="Arial" w:hAnsi="Arial" w:cs="Arial"/>
          <w:b w:val="0"/>
          <w:sz w:val="18"/>
        </w:rPr>
        <w:sectPr w:rsidR="004D4277" w:rsidRPr="00D1537B" w:rsidSect="004F7CD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7F008FCB" w14:textId="77777777" w:rsidR="00B01FCD" w:rsidRPr="00D1537B" w:rsidRDefault="00B01FCD" w:rsidP="00D1537B">
      <w:pPr>
        <w:pStyle w:val="Appendix"/>
        <w:spacing w:after="0"/>
        <w:ind w:left="720" w:hanging="720"/>
        <w:jc w:val="both"/>
        <w:rPr>
          <w:rFonts w:ascii="Arial" w:hAnsi="Arial" w:cs="Arial"/>
          <w:b w:val="0"/>
          <w:sz w:val="18"/>
        </w:rPr>
      </w:pPr>
    </w:p>
    <w:sectPr w:rsidR="00B01FCD" w:rsidRPr="00D1537B" w:rsidSect="004F7CD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9710" w14:textId="77777777" w:rsidR="00F13E73" w:rsidRDefault="00F13E73">
      <w:r>
        <w:separator/>
      </w:r>
    </w:p>
  </w:endnote>
  <w:endnote w:type="continuationSeparator" w:id="0">
    <w:p w14:paraId="7F5FC17C" w14:textId="77777777" w:rsidR="00F13E73" w:rsidRDefault="00F1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BA7A" w14:textId="77777777" w:rsidR="0017656B" w:rsidRDefault="00176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0A9D" w14:textId="77777777" w:rsidR="00A14C91" w:rsidRPr="00C37E61" w:rsidRDefault="00A14C9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A8CA" w14:textId="77777777" w:rsidR="0017656B" w:rsidRDefault="00176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850C0" w14:textId="77777777" w:rsidR="00F13E73" w:rsidRDefault="00F13E73">
      <w:r>
        <w:separator/>
      </w:r>
    </w:p>
  </w:footnote>
  <w:footnote w:type="continuationSeparator" w:id="0">
    <w:p w14:paraId="6776CD9A" w14:textId="77777777" w:rsidR="00F13E73" w:rsidRDefault="00F1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2A55" w14:textId="0CDBF3C5" w:rsidR="0017656B" w:rsidRDefault="00871124">
    <w:pPr>
      <w:pStyle w:val="Header"/>
    </w:pPr>
    <w:r>
      <w:rPr>
        <w:noProof/>
      </w:rPr>
      <w:pict w14:anchorId="1555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AEE1" w14:textId="29C7A963" w:rsidR="0017656B" w:rsidRDefault="00871124">
    <w:pPr>
      <w:pStyle w:val="Header"/>
    </w:pPr>
    <w:r>
      <w:rPr>
        <w:noProof/>
      </w:rPr>
      <w:pict w14:anchorId="01F83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0486" w14:textId="7FFBA2D8" w:rsidR="0017656B" w:rsidRDefault="00871124">
    <w:pPr>
      <w:pStyle w:val="Header"/>
    </w:pPr>
    <w:r>
      <w:rPr>
        <w:noProof/>
      </w:rPr>
      <w:pict w14:anchorId="00275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75372"/>
    <w:multiLevelType w:val="hybridMultilevel"/>
    <w:tmpl w:val="899A43F6"/>
    <w:lvl w:ilvl="0" w:tplc="9640C222">
      <w:start w:val="1"/>
      <w:numFmt w:val="lowerLetter"/>
      <w:lvlText w:val="%1."/>
      <w:lvlJc w:val="left"/>
      <w:pPr>
        <w:ind w:left="1440" w:hanging="360"/>
      </w:pPr>
      <w:rPr>
        <w:rFonts w:hint="default"/>
      </w:rPr>
    </w:lvl>
    <w:lvl w:ilvl="1" w:tplc="28407F8C" w:tentative="1">
      <w:start w:val="1"/>
      <w:numFmt w:val="lowerLetter"/>
      <w:lvlText w:val="%2."/>
      <w:lvlJc w:val="left"/>
      <w:pPr>
        <w:ind w:left="2160" w:hanging="360"/>
      </w:pPr>
    </w:lvl>
    <w:lvl w:ilvl="2" w:tplc="8E30502E" w:tentative="1">
      <w:start w:val="1"/>
      <w:numFmt w:val="lowerRoman"/>
      <w:lvlText w:val="%3."/>
      <w:lvlJc w:val="right"/>
      <w:pPr>
        <w:ind w:left="2880" w:hanging="180"/>
      </w:pPr>
    </w:lvl>
    <w:lvl w:ilvl="3" w:tplc="70AC000A" w:tentative="1">
      <w:start w:val="1"/>
      <w:numFmt w:val="decimal"/>
      <w:lvlText w:val="%4."/>
      <w:lvlJc w:val="left"/>
      <w:pPr>
        <w:ind w:left="3600" w:hanging="360"/>
      </w:pPr>
    </w:lvl>
    <w:lvl w:ilvl="4" w:tplc="E6784A82" w:tentative="1">
      <w:start w:val="1"/>
      <w:numFmt w:val="lowerLetter"/>
      <w:lvlText w:val="%5."/>
      <w:lvlJc w:val="left"/>
      <w:pPr>
        <w:ind w:left="4320" w:hanging="360"/>
      </w:pPr>
    </w:lvl>
    <w:lvl w:ilvl="5" w:tplc="F1CA6334" w:tentative="1">
      <w:start w:val="1"/>
      <w:numFmt w:val="lowerRoman"/>
      <w:lvlText w:val="%6."/>
      <w:lvlJc w:val="right"/>
      <w:pPr>
        <w:ind w:left="5040" w:hanging="180"/>
      </w:pPr>
    </w:lvl>
    <w:lvl w:ilvl="6" w:tplc="2328391A" w:tentative="1">
      <w:start w:val="1"/>
      <w:numFmt w:val="decimal"/>
      <w:lvlText w:val="%7."/>
      <w:lvlJc w:val="left"/>
      <w:pPr>
        <w:ind w:left="5760" w:hanging="360"/>
      </w:pPr>
    </w:lvl>
    <w:lvl w:ilvl="7" w:tplc="E36AF6B2" w:tentative="1">
      <w:start w:val="1"/>
      <w:numFmt w:val="lowerLetter"/>
      <w:lvlText w:val="%8."/>
      <w:lvlJc w:val="left"/>
      <w:pPr>
        <w:ind w:left="6480" w:hanging="360"/>
      </w:pPr>
    </w:lvl>
    <w:lvl w:ilvl="8" w:tplc="A1D2687A" w:tentative="1">
      <w:start w:val="1"/>
      <w:numFmt w:val="lowerRoman"/>
      <w:lvlText w:val="%9."/>
      <w:lvlJc w:val="right"/>
      <w:pPr>
        <w:ind w:left="72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5E066EE6">
      <w:start w:val="1"/>
      <w:numFmt w:val="bullet"/>
      <w:lvlText w:val=""/>
      <w:lvlJc w:val="left"/>
      <w:pPr>
        <w:ind w:left="720" w:hanging="360"/>
      </w:pPr>
      <w:rPr>
        <w:rFonts w:ascii="Wingdings" w:hAnsi="Wingdings" w:hint="default"/>
      </w:rPr>
    </w:lvl>
    <w:lvl w:ilvl="1" w:tplc="DD9C4192" w:tentative="1">
      <w:start w:val="1"/>
      <w:numFmt w:val="bullet"/>
      <w:lvlText w:val="o"/>
      <w:lvlJc w:val="left"/>
      <w:pPr>
        <w:ind w:left="1440" w:hanging="360"/>
      </w:pPr>
      <w:rPr>
        <w:rFonts w:ascii="Courier New" w:hAnsi="Courier New" w:cs="Courier New" w:hint="default"/>
      </w:rPr>
    </w:lvl>
    <w:lvl w:ilvl="2" w:tplc="1278D70A" w:tentative="1">
      <w:start w:val="1"/>
      <w:numFmt w:val="bullet"/>
      <w:lvlText w:val=""/>
      <w:lvlJc w:val="left"/>
      <w:pPr>
        <w:ind w:left="2160" w:hanging="360"/>
      </w:pPr>
      <w:rPr>
        <w:rFonts w:ascii="Wingdings" w:hAnsi="Wingdings" w:hint="default"/>
      </w:rPr>
    </w:lvl>
    <w:lvl w:ilvl="3" w:tplc="36C8164C" w:tentative="1">
      <w:start w:val="1"/>
      <w:numFmt w:val="bullet"/>
      <w:lvlText w:val=""/>
      <w:lvlJc w:val="left"/>
      <w:pPr>
        <w:ind w:left="2880" w:hanging="360"/>
      </w:pPr>
      <w:rPr>
        <w:rFonts w:ascii="Symbol" w:hAnsi="Symbol" w:hint="default"/>
      </w:rPr>
    </w:lvl>
    <w:lvl w:ilvl="4" w:tplc="D1DA5564" w:tentative="1">
      <w:start w:val="1"/>
      <w:numFmt w:val="bullet"/>
      <w:lvlText w:val="o"/>
      <w:lvlJc w:val="left"/>
      <w:pPr>
        <w:ind w:left="3600" w:hanging="360"/>
      </w:pPr>
      <w:rPr>
        <w:rFonts w:ascii="Courier New" w:hAnsi="Courier New" w:cs="Courier New" w:hint="default"/>
      </w:rPr>
    </w:lvl>
    <w:lvl w:ilvl="5" w:tplc="40D2229C" w:tentative="1">
      <w:start w:val="1"/>
      <w:numFmt w:val="bullet"/>
      <w:lvlText w:val=""/>
      <w:lvlJc w:val="left"/>
      <w:pPr>
        <w:ind w:left="4320" w:hanging="360"/>
      </w:pPr>
      <w:rPr>
        <w:rFonts w:ascii="Wingdings" w:hAnsi="Wingdings" w:hint="default"/>
      </w:rPr>
    </w:lvl>
    <w:lvl w:ilvl="6" w:tplc="3FD093D6" w:tentative="1">
      <w:start w:val="1"/>
      <w:numFmt w:val="bullet"/>
      <w:lvlText w:val=""/>
      <w:lvlJc w:val="left"/>
      <w:pPr>
        <w:ind w:left="5040" w:hanging="360"/>
      </w:pPr>
      <w:rPr>
        <w:rFonts w:ascii="Symbol" w:hAnsi="Symbol" w:hint="default"/>
      </w:rPr>
    </w:lvl>
    <w:lvl w:ilvl="7" w:tplc="1382C742" w:tentative="1">
      <w:start w:val="1"/>
      <w:numFmt w:val="bullet"/>
      <w:lvlText w:val="o"/>
      <w:lvlJc w:val="left"/>
      <w:pPr>
        <w:ind w:left="5760" w:hanging="360"/>
      </w:pPr>
      <w:rPr>
        <w:rFonts w:ascii="Courier New" w:hAnsi="Courier New" w:cs="Courier New" w:hint="default"/>
      </w:rPr>
    </w:lvl>
    <w:lvl w:ilvl="8" w:tplc="C39E3B8E"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C37A0"/>
    <w:multiLevelType w:val="hybridMultilevel"/>
    <w:tmpl w:val="705ABA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DD5869"/>
    <w:multiLevelType w:val="hybridMultilevel"/>
    <w:tmpl w:val="ED66E21A"/>
    <w:lvl w:ilvl="0" w:tplc="EABCF2DA">
      <w:start w:val="1"/>
      <w:numFmt w:val="lowerLetter"/>
      <w:lvlText w:val="%1."/>
      <w:lvlJc w:val="left"/>
      <w:pPr>
        <w:ind w:left="1800" w:hanging="360"/>
      </w:pPr>
      <w:rPr>
        <w:rFonts w:hint="default"/>
      </w:rPr>
    </w:lvl>
    <w:lvl w:ilvl="1" w:tplc="2F6ED36C" w:tentative="1">
      <w:start w:val="1"/>
      <w:numFmt w:val="lowerLetter"/>
      <w:lvlText w:val="%2."/>
      <w:lvlJc w:val="left"/>
      <w:pPr>
        <w:ind w:left="2520" w:hanging="360"/>
      </w:pPr>
    </w:lvl>
    <w:lvl w:ilvl="2" w:tplc="8F5EA1E2" w:tentative="1">
      <w:start w:val="1"/>
      <w:numFmt w:val="lowerRoman"/>
      <w:lvlText w:val="%3."/>
      <w:lvlJc w:val="right"/>
      <w:pPr>
        <w:ind w:left="3240" w:hanging="180"/>
      </w:pPr>
    </w:lvl>
    <w:lvl w:ilvl="3" w:tplc="0DE8F5DE" w:tentative="1">
      <w:start w:val="1"/>
      <w:numFmt w:val="decimal"/>
      <w:lvlText w:val="%4."/>
      <w:lvlJc w:val="left"/>
      <w:pPr>
        <w:ind w:left="3960" w:hanging="360"/>
      </w:pPr>
    </w:lvl>
    <w:lvl w:ilvl="4" w:tplc="D45AFBCC" w:tentative="1">
      <w:start w:val="1"/>
      <w:numFmt w:val="lowerLetter"/>
      <w:lvlText w:val="%5."/>
      <w:lvlJc w:val="left"/>
      <w:pPr>
        <w:ind w:left="4680" w:hanging="360"/>
      </w:pPr>
    </w:lvl>
    <w:lvl w:ilvl="5" w:tplc="7794D736" w:tentative="1">
      <w:start w:val="1"/>
      <w:numFmt w:val="lowerRoman"/>
      <w:lvlText w:val="%6."/>
      <w:lvlJc w:val="right"/>
      <w:pPr>
        <w:ind w:left="5400" w:hanging="180"/>
      </w:pPr>
    </w:lvl>
    <w:lvl w:ilvl="6" w:tplc="C0505424" w:tentative="1">
      <w:start w:val="1"/>
      <w:numFmt w:val="decimal"/>
      <w:lvlText w:val="%7."/>
      <w:lvlJc w:val="left"/>
      <w:pPr>
        <w:ind w:left="6120" w:hanging="360"/>
      </w:pPr>
    </w:lvl>
    <w:lvl w:ilvl="7" w:tplc="54AEFD98" w:tentative="1">
      <w:start w:val="1"/>
      <w:numFmt w:val="lowerLetter"/>
      <w:lvlText w:val="%8."/>
      <w:lvlJc w:val="left"/>
      <w:pPr>
        <w:ind w:left="6840" w:hanging="360"/>
      </w:pPr>
    </w:lvl>
    <w:lvl w:ilvl="8" w:tplc="5C220BE4" w:tentative="1">
      <w:start w:val="1"/>
      <w:numFmt w:val="lowerRoman"/>
      <w:lvlText w:val="%9."/>
      <w:lvlJc w:val="right"/>
      <w:pPr>
        <w:ind w:left="756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15940F52">
      <w:numFmt w:val="bullet"/>
      <w:lvlText w:val="·"/>
      <w:lvlJc w:val="left"/>
      <w:pPr>
        <w:ind w:left="900" w:hanging="540"/>
      </w:pPr>
      <w:rPr>
        <w:rFonts w:ascii="Arial" w:eastAsia="Times New Roman" w:hAnsi="Arial" w:cs="Arial" w:hint="default"/>
      </w:rPr>
    </w:lvl>
    <w:lvl w:ilvl="1" w:tplc="194CD476" w:tentative="1">
      <w:start w:val="1"/>
      <w:numFmt w:val="bullet"/>
      <w:lvlText w:val="o"/>
      <w:lvlJc w:val="left"/>
      <w:pPr>
        <w:ind w:left="1440" w:hanging="360"/>
      </w:pPr>
      <w:rPr>
        <w:rFonts w:ascii="Courier New" w:hAnsi="Courier New" w:cs="Courier New" w:hint="default"/>
      </w:rPr>
    </w:lvl>
    <w:lvl w:ilvl="2" w:tplc="374498D0" w:tentative="1">
      <w:start w:val="1"/>
      <w:numFmt w:val="bullet"/>
      <w:lvlText w:val=""/>
      <w:lvlJc w:val="left"/>
      <w:pPr>
        <w:ind w:left="2160" w:hanging="360"/>
      </w:pPr>
      <w:rPr>
        <w:rFonts w:ascii="Wingdings" w:hAnsi="Wingdings" w:hint="default"/>
      </w:rPr>
    </w:lvl>
    <w:lvl w:ilvl="3" w:tplc="08ECC8B2" w:tentative="1">
      <w:start w:val="1"/>
      <w:numFmt w:val="bullet"/>
      <w:lvlText w:val=""/>
      <w:lvlJc w:val="left"/>
      <w:pPr>
        <w:ind w:left="2880" w:hanging="360"/>
      </w:pPr>
      <w:rPr>
        <w:rFonts w:ascii="Symbol" w:hAnsi="Symbol" w:hint="default"/>
      </w:rPr>
    </w:lvl>
    <w:lvl w:ilvl="4" w:tplc="0FD4A02E" w:tentative="1">
      <w:start w:val="1"/>
      <w:numFmt w:val="bullet"/>
      <w:lvlText w:val="o"/>
      <w:lvlJc w:val="left"/>
      <w:pPr>
        <w:ind w:left="3600" w:hanging="360"/>
      </w:pPr>
      <w:rPr>
        <w:rFonts w:ascii="Courier New" w:hAnsi="Courier New" w:cs="Courier New" w:hint="default"/>
      </w:rPr>
    </w:lvl>
    <w:lvl w:ilvl="5" w:tplc="7AD2564E" w:tentative="1">
      <w:start w:val="1"/>
      <w:numFmt w:val="bullet"/>
      <w:lvlText w:val=""/>
      <w:lvlJc w:val="left"/>
      <w:pPr>
        <w:ind w:left="4320" w:hanging="360"/>
      </w:pPr>
      <w:rPr>
        <w:rFonts w:ascii="Wingdings" w:hAnsi="Wingdings" w:hint="default"/>
      </w:rPr>
    </w:lvl>
    <w:lvl w:ilvl="6" w:tplc="65AE5A2E" w:tentative="1">
      <w:start w:val="1"/>
      <w:numFmt w:val="bullet"/>
      <w:lvlText w:val=""/>
      <w:lvlJc w:val="left"/>
      <w:pPr>
        <w:ind w:left="5040" w:hanging="360"/>
      </w:pPr>
      <w:rPr>
        <w:rFonts w:ascii="Symbol" w:hAnsi="Symbol" w:hint="default"/>
      </w:rPr>
    </w:lvl>
    <w:lvl w:ilvl="7" w:tplc="002A9F98" w:tentative="1">
      <w:start w:val="1"/>
      <w:numFmt w:val="bullet"/>
      <w:lvlText w:val="o"/>
      <w:lvlJc w:val="left"/>
      <w:pPr>
        <w:ind w:left="5760" w:hanging="360"/>
      </w:pPr>
      <w:rPr>
        <w:rFonts w:ascii="Courier New" w:hAnsi="Courier New" w:cs="Courier New" w:hint="default"/>
      </w:rPr>
    </w:lvl>
    <w:lvl w:ilvl="8" w:tplc="F7341450"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A929DF"/>
    <w:multiLevelType w:val="hybridMultilevel"/>
    <w:tmpl w:val="E06E93D8"/>
    <w:lvl w:ilvl="0" w:tplc="E544E1A4">
      <w:start w:val="1"/>
      <w:numFmt w:val="decimal"/>
      <w:lvlText w:val="%1."/>
      <w:lvlJc w:val="left"/>
      <w:pPr>
        <w:ind w:left="1080" w:hanging="360"/>
      </w:pPr>
      <w:rPr>
        <w:rFonts w:hint="default"/>
        <w:b w:val="0"/>
      </w:rPr>
    </w:lvl>
    <w:lvl w:ilvl="1" w:tplc="0DA864A0" w:tentative="1">
      <w:start w:val="1"/>
      <w:numFmt w:val="lowerLetter"/>
      <w:lvlText w:val="%2."/>
      <w:lvlJc w:val="left"/>
      <w:pPr>
        <w:ind w:left="1800" w:hanging="360"/>
      </w:pPr>
    </w:lvl>
    <w:lvl w:ilvl="2" w:tplc="E124DF5A" w:tentative="1">
      <w:start w:val="1"/>
      <w:numFmt w:val="lowerRoman"/>
      <w:lvlText w:val="%3."/>
      <w:lvlJc w:val="right"/>
      <w:pPr>
        <w:ind w:left="2520" w:hanging="180"/>
      </w:pPr>
    </w:lvl>
    <w:lvl w:ilvl="3" w:tplc="370A001E" w:tentative="1">
      <w:start w:val="1"/>
      <w:numFmt w:val="decimal"/>
      <w:lvlText w:val="%4."/>
      <w:lvlJc w:val="left"/>
      <w:pPr>
        <w:ind w:left="3240" w:hanging="360"/>
      </w:pPr>
    </w:lvl>
    <w:lvl w:ilvl="4" w:tplc="E9B08E98" w:tentative="1">
      <w:start w:val="1"/>
      <w:numFmt w:val="lowerLetter"/>
      <w:lvlText w:val="%5."/>
      <w:lvlJc w:val="left"/>
      <w:pPr>
        <w:ind w:left="3960" w:hanging="360"/>
      </w:pPr>
    </w:lvl>
    <w:lvl w:ilvl="5" w:tplc="CC8808A0" w:tentative="1">
      <w:start w:val="1"/>
      <w:numFmt w:val="lowerRoman"/>
      <w:lvlText w:val="%6."/>
      <w:lvlJc w:val="right"/>
      <w:pPr>
        <w:ind w:left="4680" w:hanging="180"/>
      </w:pPr>
    </w:lvl>
    <w:lvl w:ilvl="6" w:tplc="2A34987C" w:tentative="1">
      <w:start w:val="1"/>
      <w:numFmt w:val="decimal"/>
      <w:lvlText w:val="%7."/>
      <w:lvlJc w:val="left"/>
      <w:pPr>
        <w:ind w:left="5400" w:hanging="360"/>
      </w:pPr>
    </w:lvl>
    <w:lvl w:ilvl="7" w:tplc="4A10BD44" w:tentative="1">
      <w:start w:val="1"/>
      <w:numFmt w:val="lowerLetter"/>
      <w:lvlText w:val="%8."/>
      <w:lvlJc w:val="left"/>
      <w:pPr>
        <w:ind w:left="6120" w:hanging="360"/>
      </w:pPr>
    </w:lvl>
    <w:lvl w:ilvl="8" w:tplc="4F56295E" w:tentative="1">
      <w:start w:val="1"/>
      <w:numFmt w:val="lowerRoman"/>
      <w:lvlText w:val="%9."/>
      <w:lvlJc w:val="right"/>
      <w:pPr>
        <w:ind w:left="6840" w:hanging="180"/>
      </w:pPr>
    </w:lvl>
  </w:abstractNum>
  <w:abstractNum w:abstractNumId="24" w15:restartNumberingAfterBreak="0">
    <w:nsid w:val="72B66FC8"/>
    <w:multiLevelType w:val="hybridMultilevel"/>
    <w:tmpl w:val="256E6680"/>
    <w:lvl w:ilvl="0" w:tplc="25D0EB58">
      <w:start w:val="1"/>
      <w:numFmt w:val="bullet"/>
      <w:lvlText w:val=""/>
      <w:lvlJc w:val="left"/>
      <w:pPr>
        <w:tabs>
          <w:tab w:val="num" w:pos="720"/>
        </w:tabs>
        <w:ind w:left="720" w:hanging="360"/>
      </w:pPr>
      <w:rPr>
        <w:rFonts w:ascii="Symbol" w:hAnsi="Symbol" w:hint="default"/>
      </w:rPr>
    </w:lvl>
    <w:lvl w:ilvl="1" w:tplc="1CB822BE" w:tentative="1">
      <w:start w:val="1"/>
      <w:numFmt w:val="bullet"/>
      <w:lvlText w:val="o"/>
      <w:lvlJc w:val="left"/>
      <w:pPr>
        <w:tabs>
          <w:tab w:val="num" w:pos="1440"/>
        </w:tabs>
        <w:ind w:left="1440" w:hanging="360"/>
      </w:pPr>
      <w:rPr>
        <w:rFonts w:ascii="Courier New" w:hAnsi="Courier New" w:cs="Courier New" w:hint="default"/>
      </w:rPr>
    </w:lvl>
    <w:lvl w:ilvl="2" w:tplc="13FAC0BC" w:tentative="1">
      <w:start w:val="1"/>
      <w:numFmt w:val="bullet"/>
      <w:lvlText w:val=""/>
      <w:lvlJc w:val="left"/>
      <w:pPr>
        <w:tabs>
          <w:tab w:val="num" w:pos="2160"/>
        </w:tabs>
        <w:ind w:left="2160" w:hanging="360"/>
      </w:pPr>
      <w:rPr>
        <w:rFonts w:ascii="Wingdings" w:hAnsi="Wingdings" w:hint="default"/>
      </w:rPr>
    </w:lvl>
    <w:lvl w:ilvl="3" w:tplc="617AEC1C" w:tentative="1">
      <w:start w:val="1"/>
      <w:numFmt w:val="bullet"/>
      <w:lvlText w:val=""/>
      <w:lvlJc w:val="left"/>
      <w:pPr>
        <w:tabs>
          <w:tab w:val="num" w:pos="2880"/>
        </w:tabs>
        <w:ind w:left="2880" w:hanging="360"/>
      </w:pPr>
      <w:rPr>
        <w:rFonts w:ascii="Symbol" w:hAnsi="Symbol" w:hint="default"/>
      </w:rPr>
    </w:lvl>
    <w:lvl w:ilvl="4" w:tplc="80D25E94" w:tentative="1">
      <w:start w:val="1"/>
      <w:numFmt w:val="bullet"/>
      <w:lvlText w:val="o"/>
      <w:lvlJc w:val="left"/>
      <w:pPr>
        <w:tabs>
          <w:tab w:val="num" w:pos="3600"/>
        </w:tabs>
        <w:ind w:left="3600" w:hanging="360"/>
      </w:pPr>
      <w:rPr>
        <w:rFonts w:ascii="Courier New" w:hAnsi="Courier New" w:cs="Courier New" w:hint="default"/>
      </w:rPr>
    </w:lvl>
    <w:lvl w:ilvl="5" w:tplc="B14AD658" w:tentative="1">
      <w:start w:val="1"/>
      <w:numFmt w:val="bullet"/>
      <w:lvlText w:val=""/>
      <w:lvlJc w:val="left"/>
      <w:pPr>
        <w:tabs>
          <w:tab w:val="num" w:pos="4320"/>
        </w:tabs>
        <w:ind w:left="4320" w:hanging="360"/>
      </w:pPr>
      <w:rPr>
        <w:rFonts w:ascii="Wingdings" w:hAnsi="Wingdings" w:hint="default"/>
      </w:rPr>
    </w:lvl>
    <w:lvl w:ilvl="6" w:tplc="97BA2800" w:tentative="1">
      <w:start w:val="1"/>
      <w:numFmt w:val="bullet"/>
      <w:lvlText w:val=""/>
      <w:lvlJc w:val="left"/>
      <w:pPr>
        <w:tabs>
          <w:tab w:val="num" w:pos="5040"/>
        </w:tabs>
        <w:ind w:left="5040" w:hanging="360"/>
      </w:pPr>
      <w:rPr>
        <w:rFonts w:ascii="Symbol" w:hAnsi="Symbol" w:hint="default"/>
      </w:rPr>
    </w:lvl>
    <w:lvl w:ilvl="7" w:tplc="1324B7F4" w:tentative="1">
      <w:start w:val="1"/>
      <w:numFmt w:val="bullet"/>
      <w:lvlText w:val="o"/>
      <w:lvlJc w:val="left"/>
      <w:pPr>
        <w:tabs>
          <w:tab w:val="num" w:pos="5760"/>
        </w:tabs>
        <w:ind w:left="5760" w:hanging="360"/>
      </w:pPr>
      <w:rPr>
        <w:rFonts w:ascii="Courier New" w:hAnsi="Courier New" w:cs="Courier New" w:hint="default"/>
      </w:rPr>
    </w:lvl>
    <w:lvl w:ilvl="8" w:tplc="93C2FB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A1E0939A">
      <w:start w:val="1"/>
      <w:numFmt w:val="decimal"/>
      <w:lvlText w:val="%1."/>
      <w:lvlJc w:val="left"/>
      <w:pPr>
        <w:ind w:left="720" w:hanging="360"/>
      </w:pPr>
    </w:lvl>
    <w:lvl w:ilvl="1" w:tplc="25A6A2F6" w:tentative="1">
      <w:start w:val="1"/>
      <w:numFmt w:val="lowerLetter"/>
      <w:lvlText w:val="%2."/>
      <w:lvlJc w:val="left"/>
      <w:pPr>
        <w:ind w:left="1440" w:hanging="360"/>
      </w:pPr>
    </w:lvl>
    <w:lvl w:ilvl="2" w:tplc="57F0F8CA" w:tentative="1">
      <w:start w:val="1"/>
      <w:numFmt w:val="lowerRoman"/>
      <w:lvlText w:val="%3."/>
      <w:lvlJc w:val="right"/>
      <w:pPr>
        <w:ind w:left="2160" w:hanging="180"/>
      </w:pPr>
    </w:lvl>
    <w:lvl w:ilvl="3" w:tplc="F5E02246" w:tentative="1">
      <w:start w:val="1"/>
      <w:numFmt w:val="decimal"/>
      <w:lvlText w:val="%4."/>
      <w:lvlJc w:val="left"/>
      <w:pPr>
        <w:ind w:left="2880" w:hanging="360"/>
      </w:pPr>
    </w:lvl>
    <w:lvl w:ilvl="4" w:tplc="499442CA" w:tentative="1">
      <w:start w:val="1"/>
      <w:numFmt w:val="lowerLetter"/>
      <w:lvlText w:val="%5."/>
      <w:lvlJc w:val="left"/>
      <w:pPr>
        <w:ind w:left="3600" w:hanging="360"/>
      </w:pPr>
    </w:lvl>
    <w:lvl w:ilvl="5" w:tplc="A2BED6E2" w:tentative="1">
      <w:start w:val="1"/>
      <w:numFmt w:val="lowerRoman"/>
      <w:lvlText w:val="%6."/>
      <w:lvlJc w:val="right"/>
      <w:pPr>
        <w:ind w:left="4320" w:hanging="180"/>
      </w:pPr>
    </w:lvl>
    <w:lvl w:ilvl="6" w:tplc="18FE29A4" w:tentative="1">
      <w:start w:val="1"/>
      <w:numFmt w:val="decimal"/>
      <w:lvlText w:val="%7."/>
      <w:lvlJc w:val="left"/>
      <w:pPr>
        <w:ind w:left="5040" w:hanging="360"/>
      </w:pPr>
    </w:lvl>
    <w:lvl w:ilvl="7" w:tplc="F36E6C74" w:tentative="1">
      <w:start w:val="1"/>
      <w:numFmt w:val="lowerLetter"/>
      <w:lvlText w:val="%8."/>
      <w:lvlJc w:val="left"/>
      <w:pPr>
        <w:ind w:left="5760" w:hanging="360"/>
      </w:pPr>
    </w:lvl>
    <w:lvl w:ilvl="8" w:tplc="1800323A"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1"/>
  </w:num>
  <w:num w:numId="32">
    <w:abstractNumId w:val="17"/>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MzI3MTQ2NzYzMTVV0lEKTi0uzszPAykwqQUAcHV/BSwAAAA="/>
  </w:docVars>
  <w:rsids>
    <w:rsidRoot w:val="00AA6219"/>
    <w:rsid w:val="00000F8F"/>
    <w:rsid w:val="00022AA7"/>
    <w:rsid w:val="00030174"/>
    <w:rsid w:val="0004579C"/>
    <w:rsid w:val="000A47FA"/>
    <w:rsid w:val="000A65D3"/>
    <w:rsid w:val="000B1E33"/>
    <w:rsid w:val="000C72E1"/>
    <w:rsid w:val="000D689F"/>
    <w:rsid w:val="000E3249"/>
    <w:rsid w:val="000E4461"/>
    <w:rsid w:val="000E7B7B"/>
    <w:rsid w:val="000E7D62"/>
    <w:rsid w:val="00103357"/>
    <w:rsid w:val="00116ECD"/>
    <w:rsid w:val="00123C9F"/>
    <w:rsid w:val="00126190"/>
    <w:rsid w:val="00130F17"/>
    <w:rsid w:val="00131C9A"/>
    <w:rsid w:val="001320BF"/>
    <w:rsid w:val="00163BC4"/>
    <w:rsid w:val="0017656B"/>
    <w:rsid w:val="0019017A"/>
    <w:rsid w:val="00191062"/>
    <w:rsid w:val="00192B72"/>
    <w:rsid w:val="001A29D8"/>
    <w:rsid w:val="001A5CAA"/>
    <w:rsid w:val="001B0427"/>
    <w:rsid w:val="001B4B2F"/>
    <w:rsid w:val="001C2E0F"/>
    <w:rsid w:val="001D3A51"/>
    <w:rsid w:val="001E10D2"/>
    <w:rsid w:val="001E25B4"/>
    <w:rsid w:val="001E44FE"/>
    <w:rsid w:val="00200595"/>
    <w:rsid w:val="00204835"/>
    <w:rsid w:val="00231920"/>
    <w:rsid w:val="0023195C"/>
    <w:rsid w:val="0024282C"/>
    <w:rsid w:val="002460DC"/>
    <w:rsid w:val="00250985"/>
    <w:rsid w:val="002551CB"/>
    <w:rsid w:val="002556F6"/>
    <w:rsid w:val="00283105"/>
    <w:rsid w:val="00284C4C"/>
    <w:rsid w:val="00287E68"/>
    <w:rsid w:val="00296529"/>
    <w:rsid w:val="002B27FB"/>
    <w:rsid w:val="002B685A"/>
    <w:rsid w:val="002C57D2"/>
    <w:rsid w:val="002E0D56"/>
    <w:rsid w:val="00315186"/>
    <w:rsid w:val="0033343E"/>
    <w:rsid w:val="003512C2"/>
    <w:rsid w:val="00365C9C"/>
    <w:rsid w:val="00371FB6"/>
    <w:rsid w:val="003763C1"/>
    <w:rsid w:val="00376BBE"/>
    <w:rsid w:val="003837EB"/>
    <w:rsid w:val="0039224F"/>
    <w:rsid w:val="003A43A4"/>
    <w:rsid w:val="003A7E18"/>
    <w:rsid w:val="003C4C86"/>
    <w:rsid w:val="003C6258"/>
    <w:rsid w:val="003D7B72"/>
    <w:rsid w:val="003E2904"/>
    <w:rsid w:val="00400525"/>
    <w:rsid w:val="00401927"/>
    <w:rsid w:val="0040689A"/>
    <w:rsid w:val="0041027F"/>
    <w:rsid w:val="00412475"/>
    <w:rsid w:val="00423789"/>
    <w:rsid w:val="004305AE"/>
    <w:rsid w:val="00440F43"/>
    <w:rsid w:val="00441B6F"/>
    <w:rsid w:val="00446221"/>
    <w:rsid w:val="00450E62"/>
    <w:rsid w:val="004539DB"/>
    <w:rsid w:val="004617E2"/>
    <w:rsid w:val="00471A80"/>
    <w:rsid w:val="00483FF9"/>
    <w:rsid w:val="004A342A"/>
    <w:rsid w:val="004D305E"/>
    <w:rsid w:val="004D4277"/>
    <w:rsid w:val="004D7B6B"/>
    <w:rsid w:val="004F7CD5"/>
    <w:rsid w:val="00502516"/>
    <w:rsid w:val="00505F06"/>
    <w:rsid w:val="00506828"/>
    <w:rsid w:val="00520FA8"/>
    <w:rsid w:val="00524557"/>
    <w:rsid w:val="00526C5B"/>
    <w:rsid w:val="0053056E"/>
    <w:rsid w:val="00554FDA"/>
    <w:rsid w:val="005729CE"/>
    <w:rsid w:val="00597E26"/>
    <w:rsid w:val="005A118F"/>
    <w:rsid w:val="005B1294"/>
    <w:rsid w:val="005C784C"/>
    <w:rsid w:val="005D074A"/>
    <w:rsid w:val="005D17F6"/>
    <w:rsid w:val="005E5539"/>
    <w:rsid w:val="00602BF5"/>
    <w:rsid w:val="00617FDD"/>
    <w:rsid w:val="00633614"/>
    <w:rsid w:val="00633F68"/>
    <w:rsid w:val="00636EB2"/>
    <w:rsid w:val="006375B8"/>
    <w:rsid w:val="00646450"/>
    <w:rsid w:val="0066510A"/>
    <w:rsid w:val="006738CC"/>
    <w:rsid w:val="00673F9F"/>
    <w:rsid w:val="00686953"/>
    <w:rsid w:val="00687DEA"/>
    <w:rsid w:val="00687E67"/>
    <w:rsid w:val="006967F7"/>
    <w:rsid w:val="006A250C"/>
    <w:rsid w:val="006B21D3"/>
    <w:rsid w:val="006B57D0"/>
    <w:rsid w:val="006C5A2D"/>
    <w:rsid w:val="006D30FF"/>
    <w:rsid w:val="006D6940"/>
    <w:rsid w:val="006F11EC"/>
    <w:rsid w:val="0070082C"/>
    <w:rsid w:val="00702B8E"/>
    <w:rsid w:val="007369E6"/>
    <w:rsid w:val="00746E59"/>
    <w:rsid w:val="00754C9A"/>
    <w:rsid w:val="0075599A"/>
    <w:rsid w:val="00761D52"/>
    <w:rsid w:val="0077749E"/>
    <w:rsid w:val="00790ADA"/>
    <w:rsid w:val="00793AB8"/>
    <w:rsid w:val="007D2288"/>
    <w:rsid w:val="007E088F"/>
    <w:rsid w:val="007F7B32"/>
    <w:rsid w:val="00804BC2"/>
    <w:rsid w:val="0081431A"/>
    <w:rsid w:val="0083216F"/>
    <w:rsid w:val="00855F2A"/>
    <w:rsid w:val="00860000"/>
    <w:rsid w:val="00861349"/>
    <w:rsid w:val="008632EF"/>
    <w:rsid w:val="00863BD3"/>
    <w:rsid w:val="008641ED"/>
    <w:rsid w:val="008666C6"/>
    <w:rsid w:val="00866D66"/>
    <w:rsid w:val="008671C6"/>
    <w:rsid w:val="00871124"/>
    <w:rsid w:val="00875803"/>
    <w:rsid w:val="008A2282"/>
    <w:rsid w:val="008B459E"/>
    <w:rsid w:val="008E13AE"/>
    <w:rsid w:val="008E1506"/>
    <w:rsid w:val="008E710C"/>
    <w:rsid w:val="008F69D6"/>
    <w:rsid w:val="00902823"/>
    <w:rsid w:val="00903726"/>
    <w:rsid w:val="00915CA6"/>
    <w:rsid w:val="00917B8C"/>
    <w:rsid w:val="0092433B"/>
    <w:rsid w:val="00927834"/>
    <w:rsid w:val="009500A6"/>
    <w:rsid w:val="00951102"/>
    <w:rsid w:val="00957C18"/>
    <w:rsid w:val="009659BA"/>
    <w:rsid w:val="00983040"/>
    <w:rsid w:val="009B3FB9"/>
    <w:rsid w:val="009C2465"/>
    <w:rsid w:val="009C64FD"/>
    <w:rsid w:val="009D35A0"/>
    <w:rsid w:val="009D7EB7"/>
    <w:rsid w:val="009E048A"/>
    <w:rsid w:val="009E08E9"/>
    <w:rsid w:val="009E3CBA"/>
    <w:rsid w:val="009E3DB9"/>
    <w:rsid w:val="009E6E35"/>
    <w:rsid w:val="009F0EDA"/>
    <w:rsid w:val="00A02DA4"/>
    <w:rsid w:val="00A03B96"/>
    <w:rsid w:val="00A05B19"/>
    <w:rsid w:val="00A1134E"/>
    <w:rsid w:val="00A14C91"/>
    <w:rsid w:val="00A23E59"/>
    <w:rsid w:val="00A24E7E"/>
    <w:rsid w:val="00A258C3"/>
    <w:rsid w:val="00A347C0"/>
    <w:rsid w:val="00A51431"/>
    <w:rsid w:val="00A539AD"/>
    <w:rsid w:val="00A6617C"/>
    <w:rsid w:val="00A94063"/>
    <w:rsid w:val="00AA6219"/>
    <w:rsid w:val="00AA74E0"/>
    <w:rsid w:val="00AB22CF"/>
    <w:rsid w:val="00AB703F"/>
    <w:rsid w:val="00AC37C2"/>
    <w:rsid w:val="00AC6BB8"/>
    <w:rsid w:val="00AD090E"/>
    <w:rsid w:val="00AD3F65"/>
    <w:rsid w:val="00AE008F"/>
    <w:rsid w:val="00B01FCD"/>
    <w:rsid w:val="00B06CAC"/>
    <w:rsid w:val="00B1776C"/>
    <w:rsid w:val="00B3410B"/>
    <w:rsid w:val="00B52583"/>
    <w:rsid w:val="00B52896"/>
    <w:rsid w:val="00B571E9"/>
    <w:rsid w:val="00B95236"/>
    <w:rsid w:val="00B96BD9"/>
    <w:rsid w:val="00BA1B01"/>
    <w:rsid w:val="00BA2641"/>
    <w:rsid w:val="00BB2305"/>
    <w:rsid w:val="00BB37AA"/>
    <w:rsid w:val="00BC53A0"/>
    <w:rsid w:val="00BE1A7C"/>
    <w:rsid w:val="00BE62AD"/>
    <w:rsid w:val="00BF121F"/>
    <w:rsid w:val="00BF1F80"/>
    <w:rsid w:val="00C05E82"/>
    <w:rsid w:val="00C166EF"/>
    <w:rsid w:val="00C17EB0"/>
    <w:rsid w:val="00C27F5F"/>
    <w:rsid w:val="00C30A0F"/>
    <w:rsid w:val="00C3632D"/>
    <w:rsid w:val="00C37E61"/>
    <w:rsid w:val="00C42901"/>
    <w:rsid w:val="00C47287"/>
    <w:rsid w:val="00C70F1B"/>
    <w:rsid w:val="00C71A47"/>
    <w:rsid w:val="00C7464C"/>
    <w:rsid w:val="00C76E17"/>
    <w:rsid w:val="00C85588"/>
    <w:rsid w:val="00CB42F7"/>
    <w:rsid w:val="00CD25AC"/>
    <w:rsid w:val="00CD6755"/>
    <w:rsid w:val="00CD6856"/>
    <w:rsid w:val="00CE0089"/>
    <w:rsid w:val="00CE6828"/>
    <w:rsid w:val="00CE793C"/>
    <w:rsid w:val="00CF193C"/>
    <w:rsid w:val="00D0392D"/>
    <w:rsid w:val="00D1537B"/>
    <w:rsid w:val="00D173F1"/>
    <w:rsid w:val="00D23F4A"/>
    <w:rsid w:val="00D54EE5"/>
    <w:rsid w:val="00D6620D"/>
    <w:rsid w:val="00D74CB0"/>
    <w:rsid w:val="00D8295D"/>
    <w:rsid w:val="00D92448"/>
    <w:rsid w:val="00DC0F5C"/>
    <w:rsid w:val="00DC2A65"/>
    <w:rsid w:val="00DE15F0"/>
    <w:rsid w:val="00DE5663"/>
    <w:rsid w:val="00DE78AA"/>
    <w:rsid w:val="00E053D0"/>
    <w:rsid w:val="00E15994"/>
    <w:rsid w:val="00E1652A"/>
    <w:rsid w:val="00E3114E"/>
    <w:rsid w:val="00E31A70"/>
    <w:rsid w:val="00E35B02"/>
    <w:rsid w:val="00E66496"/>
    <w:rsid w:val="00E66B35"/>
    <w:rsid w:val="00E66E10"/>
    <w:rsid w:val="00E7514F"/>
    <w:rsid w:val="00E769F6"/>
    <w:rsid w:val="00E772E9"/>
    <w:rsid w:val="00E773C3"/>
    <w:rsid w:val="00E8407C"/>
    <w:rsid w:val="00E84F3C"/>
    <w:rsid w:val="00EA012C"/>
    <w:rsid w:val="00EC6A55"/>
    <w:rsid w:val="00ED0288"/>
    <w:rsid w:val="00ED1D34"/>
    <w:rsid w:val="00ED577A"/>
    <w:rsid w:val="00EE52CB"/>
    <w:rsid w:val="00EF581D"/>
    <w:rsid w:val="00EF7FD8"/>
    <w:rsid w:val="00F03E5E"/>
    <w:rsid w:val="00F06F59"/>
    <w:rsid w:val="00F13E73"/>
    <w:rsid w:val="00F17988"/>
    <w:rsid w:val="00F3245D"/>
    <w:rsid w:val="00F32FDC"/>
    <w:rsid w:val="00F469F0"/>
    <w:rsid w:val="00F5078D"/>
    <w:rsid w:val="00F53273"/>
    <w:rsid w:val="00F53C44"/>
    <w:rsid w:val="00F755E4"/>
    <w:rsid w:val="00F7786B"/>
    <w:rsid w:val="00F77D02"/>
    <w:rsid w:val="00F8777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C7A5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link w:val="DefaultChar"/>
    <w:qFormat/>
    <w:rsid w:val="0092433B"/>
    <w:pPr>
      <w:autoSpaceDE w:val="0"/>
      <w:autoSpaceDN w:val="0"/>
      <w:adjustRightInd w:val="0"/>
    </w:pPr>
    <w:rPr>
      <w:rFonts w:eastAsiaTheme="minorEastAsia"/>
      <w:color w:val="000000"/>
      <w:sz w:val="24"/>
      <w:szCs w:val="24"/>
      <w:lang w:eastAsia="en-PH"/>
    </w:rPr>
  </w:style>
  <w:style w:type="character" w:customStyle="1" w:styleId="DefaultChar">
    <w:name w:val="Default Char"/>
    <w:link w:val="Default"/>
    <w:rsid w:val="0092433B"/>
    <w:rPr>
      <w:rFonts w:eastAsiaTheme="minorEastAsia"/>
      <w:color w:val="000000"/>
      <w:sz w:val="24"/>
      <w:szCs w:val="24"/>
      <w:lang w:eastAsia="en-PH"/>
    </w:rPr>
  </w:style>
  <w:style w:type="paragraph" w:styleId="NoSpacing">
    <w:name w:val="No Spacing"/>
    <w:aliases w:val="Yadel"/>
    <w:uiPriority w:val="1"/>
    <w:qFormat/>
    <w:rsid w:val="00B3410B"/>
    <w:rPr>
      <w:rFonts w:asciiTheme="minorHAnsi" w:eastAsiaTheme="minorEastAsia" w:hAnsiTheme="minorHAnsi" w:cstheme="minorBidi"/>
      <w:sz w:val="22"/>
      <w:szCs w:val="22"/>
      <w:lang w:val="en-PH" w:eastAsia="en-PH"/>
    </w:rPr>
  </w:style>
  <w:style w:type="paragraph" w:styleId="NormalWeb">
    <w:name w:val="Normal (Web)"/>
    <w:basedOn w:val="Normal"/>
    <w:uiPriority w:val="99"/>
    <w:rsid w:val="00B3410B"/>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B3410B"/>
    <w:pPr>
      <w:ind w:left="720"/>
      <w:contextualSpacing/>
    </w:pPr>
    <w:rPr>
      <w:rFonts w:ascii="Times New Roman" w:hAnsi="Times New Roman"/>
      <w:sz w:val="24"/>
      <w:szCs w:val="24"/>
      <w:lang w:val="en-PH" w:eastAsia="en-PH"/>
    </w:rPr>
  </w:style>
  <w:style w:type="character" w:customStyle="1" w:styleId="UnresolvedMention2">
    <w:name w:val="Unresolved Mention2"/>
    <w:basedOn w:val="DefaultParagraphFont"/>
    <w:uiPriority w:val="99"/>
    <w:semiHidden/>
    <w:unhideWhenUsed/>
    <w:rsid w:val="00E1652A"/>
    <w:rPr>
      <w:color w:val="605E5C"/>
      <w:shd w:val="clear" w:color="auto" w:fill="E1DFDD"/>
    </w:rPr>
  </w:style>
  <w:style w:type="paragraph" w:styleId="Revision">
    <w:name w:val="Revision"/>
    <w:hidden/>
    <w:uiPriority w:val="99"/>
    <w:semiHidden/>
    <w:rsid w:val="00AD090E"/>
    <w:rPr>
      <w:rFonts w:ascii="Helvetica" w:hAnsi="Helvetica"/>
    </w:rPr>
  </w:style>
  <w:style w:type="character" w:customStyle="1" w:styleId="UnresolvedMention3">
    <w:name w:val="Unresolved Mention3"/>
    <w:basedOn w:val="DefaultParagraphFont"/>
    <w:uiPriority w:val="99"/>
    <w:semiHidden/>
    <w:unhideWhenUsed/>
    <w:rsid w:val="003D7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2540-726E-4CBF-A3FD-51B67256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9</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67</cp:revision>
  <cp:lastPrinted>1999-07-06T11:00:00Z</cp:lastPrinted>
  <dcterms:created xsi:type="dcterms:W3CDTF">2014-10-25T14:34:00Z</dcterms:created>
  <dcterms:modified xsi:type="dcterms:W3CDTF">2025-06-17T10:12:00Z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db9c492e-250e-4e53-a4ff-7172b45293df</vt:lpwstr>
  </property>
</Properties>
</file>