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15135" w14:textId="0B8AD8D2" w:rsidR="00754C9A" w:rsidRDefault="00504CFA" w:rsidP="00441B6F">
      <w:pPr>
        <w:pStyle w:val="Title"/>
        <w:spacing w:after="0"/>
        <w:jc w:val="both"/>
        <w:rPr>
          <w:rFonts w:ascii="Arial" w:hAnsi="Arial" w:cs="Arial"/>
        </w:rPr>
      </w:pPr>
      <w:r w:rsidRPr="00504CFA">
        <w:rPr>
          <w:rFonts w:ascii="Arial" w:hAnsi="Arial" w:cs="Arial"/>
        </w:rPr>
        <w:t>Original Research Article</w:t>
      </w:r>
    </w:p>
    <w:p w14:paraId="34C18CFD" w14:textId="77777777" w:rsidR="00504CFA" w:rsidRDefault="00504CFA" w:rsidP="00441B6F">
      <w:pPr>
        <w:pStyle w:val="Title"/>
        <w:spacing w:after="0"/>
        <w:jc w:val="both"/>
        <w:rPr>
          <w:rFonts w:ascii="Arial" w:hAnsi="Arial" w:cs="Arial"/>
        </w:rPr>
      </w:pPr>
    </w:p>
    <w:p w14:paraId="116EC3F6" w14:textId="77777777" w:rsidR="00A95BDA" w:rsidRPr="00B132BC" w:rsidRDefault="00A95BDA" w:rsidP="00A95BDA">
      <w:pPr>
        <w:spacing w:after="160" w:line="278" w:lineRule="auto"/>
        <w:rPr>
          <w:rFonts w:ascii="Arial" w:hAnsi="Arial" w:cs="Arial"/>
          <w:sz w:val="36"/>
          <w:szCs w:val="36"/>
        </w:rPr>
      </w:pPr>
      <w:r w:rsidRPr="00B132BC">
        <w:rPr>
          <w:rFonts w:ascii="Arial" w:hAnsi="Arial" w:cs="Arial"/>
          <w:b/>
          <w:bCs/>
          <w:sz w:val="36"/>
          <w:szCs w:val="36"/>
        </w:rPr>
        <w:t>Cluster-Based Geospatial Optimization of Gas Flaring Sites in the Niger Delta for Enhanced Gas Recovery</w:t>
      </w:r>
    </w:p>
    <w:p w14:paraId="73C31E95" w14:textId="77777777" w:rsidR="00A258C3" w:rsidRPr="00790ADA" w:rsidRDefault="00A258C3" w:rsidP="00441B6F">
      <w:pPr>
        <w:pStyle w:val="Author"/>
        <w:spacing w:line="240" w:lineRule="auto"/>
        <w:jc w:val="both"/>
        <w:rPr>
          <w:rFonts w:ascii="Arial" w:hAnsi="Arial" w:cs="Arial"/>
          <w:sz w:val="36"/>
        </w:rPr>
      </w:pPr>
    </w:p>
    <w:p w14:paraId="5C26F745" w14:textId="77777777" w:rsidR="00B01FCD" w:rsidRPr="00FB3A86" w:rsidRDefault="00000000" w:rsidP="00441B6F">
      <w:pPr>
        <w:pStyle w:val="Copyright"/>
        <w:spacing w:after="0" w:line="240" w:lineRule="auto"/>
        <w:jc w:val="both"/>
        <w:rPr>
          <w:rFonts w:ascii="Arial" w:hAnsi="Arial" w:cs="Arial"/>
        </w:rPr>
        <w:sectPr w:rsidR="00B01FCD" w:rsidRPr="00FB3A86" w:rsidSect="0004214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DE8F9C4">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6650CA4" w14:textId="5220C43C" w:rsidR="00B01FCD" w:rsidRDefault="00B01FCD" w:rsidP="00441B6F">
      <w:pPr>
        <w:pStyle w:val="AbstHead"/>
        <w:spacing w:after="0"/>
        <w:jc w:val="both"/>
        <w:rPr>
          <w:rFonts w:ascii="Arial" w:hAnsi="Arial" w:cs="Arial"/>
        </w:rPr>
      </w:pPr>
      <w:r w:rsidRPr="00FB3A86">
        <w:rPr>
          <w:rFonts w:ascii="Arial" w:hAnsi="Arial" w:cs="Arial"/>
        </w:rPr>
        <w:t>ABSTRACT</w:t>
      </w:r>
    </w:p>
    <w:p w14:paraId="7DA2E25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CFC352E" w14:textId="77777777" w:rsidTr="001E44FE">
        <w:tc>
          <w:tcPr>
            <w:tcW w:w="9576" w:type="dxa"/>
            <w:shd w:val="clear" w:color="auto" w:fill="F2F2F2"/>
          </w:tcPr>
          <w:p w14:paraId="652FE553" w14:textId="721363BC" w:rsidR="008C7C1C" w:rsidRPr="002E1FA9" w:rsidRDefault="008C7C1C" w:rsidP="00B63B16">
            <w:pPr>
              <w:jc w:val="both"/>
              <w:rPr>
                <w:rFonts w:ascii="Arial" w:hAnsi="Arial" w:cs="Arial"/>
              </w:rPr>
            </w:pPr>
            <w:r w:rsidRPr="002E1FA9">
              <w:rPr>
                <w:rFonts w:ascii="Arial" w:hAnsi="Arial" w:cs="Arial"/>
                <w:b/>
                <w:bCs/>
              </w:rPr>
              <w:t xml:space="preserve">Aims: </w:t>
            </w:r>
            <w:r w:rsidR="00B50EEB" w:rsidRPr="003858B8">
              <w:rPr>
                <w:rFonts w:ascii="Arial" w:hAnsi="Arial" w:cs="Arial"/>
              </w:rPr>
              <w:t>The Niger Delta experience</w:t>
            </w:r>
            <w:r w:rsidR="00B50EEB">
              <w:rPr>
                <w:rFonts w:ascii="Arial" w:hAnsi="Arial" w:cs="Arial"/>
              </w:rPr>
              <w:t>s</w:t>
            </w:r>
            <w:r w:rsidR="00B50EEB" w:rsidRPr="003858B8">
              <w:rPr>
                <w:rFonts w:ascii="Arial" w:hAnsi="Arial" w:cs="Arial"/>
              </w:rPr>
              <w:t xml:space="preserve"> high levels of routine gas flaring</w:t>
            </w:r>
            <w:r w:rsidR="00B50EEB">
              <w:rPr>
                <w:rFonts w:ascii="Arial" w:hAnsi="Arial" w:cs="Arial"/>
              </w:rPr>
              <w:t xml:space="preserve">. This </w:t>
            </w:r>
            <w:r w:rsidR="00B50EEB" w:rsidRPr="003858B8">
              <w:rPr>
                <w:rFonts w:ascii="Arial" w:hAnsi="Arial" w:cs="Arial"/>
              </w:rPr>
              <w:t>lead</w:t>
            </w:r>
            <w:r w:rsidR="00B50EEB">
              <w:rPr>
                <w:rFonts w:ascii="Arial" w:hAnsi="Arial" w:cs="Arial"/>
              </w:rPr>
              <w:t>s</w:t>
            </w:r>
            <w:r w:rsidR="00B50EEB" w:rsidRPr="003858B8">
              <w:rPr>
                <w:rFonts w:ascii="Arial" w:hAnsi="Arial" w:cs="Arial"/>
              </w:rPr>
              <w:t xml:space="preserve"> to wasted associated gas, economic losses, and </w:t>
            </w:r>
            <w:r w:rsidR="00B50EEB">
              <w:rPr>
                <w:rFonts w:ascii="Arial" w:hAnsi="Arial" w:cs="Arial"/>
              </w:rPr>
              <w:t>contributes to</w:t>
            </w:r>
            <w:r w:rsidR="00B50EEB" w:rsidRPr="003858B8">
              <w:rPr>
                <w:rFonts w:ascii="Arial" w:hAnsi="Arial" w:cs="Arial"/>
              </w:rPr>
              <w:t xml:space="preserve"> environmental degradation. The fragmented spatial distribution of flare sites further complicates gas capture and infrastructure planning. </w:t>
            </w:r>
            <w:r w:rsidR="00B50EEB" w:rsidRPr="002E1FA9">
              <w:rPr>
                <w:rFonts w:ascii="Arial" w:hAnsi="Arial" w:cs="Arial"/>
              </w:rPr>
              <w:t xml:space="preserve">This study aims to apply a geospatial cluster-based optimization approach to group </w:t>
            </w:r>
            <w:r w:rsidR="00B50EEB">
              <w:rPr>
                <w:rFonts w:ascii="Arial" w:hAnsi="Arial" w:cs="Arial"/>
              </w:rPr>
              <w:t xml:space="preserve">twenty-four (24) </w:t>
            </w:r>
            <w:r w:rsidR="00B50EEB" w:rsidRPr="002E1FA9">
              <w:rPr>
                <w:rFonts w:ascii="Arial" w:hAnsi="Arial" w:cs="Arial"/>
              </w:rPr>
              <w:t xml:space="preserve">onshore gas-flaring sites in the Niger Delta. </w:t>
            </w:r>
            <w:r w:rsidR="00B50EEB">
              <w:rPr>
                <w:rFonts w:ascii="Arial" w:hAnsi="Arial" w:cs="Arial"/>
              </w:rPr>
              <w:t>T</w:t>
            </w:r>
            <w:r w:rsidR="00B50EEB" w:rsidRPr="002E1FA9">
              <w:rPr>
                <w:rFonts w:ascii="Arial" w:hAnsi="Arial" w:cs="Arial"/>
              </w:rPr>
              <w:t xml:space="preserve">he objective </w:t>
            </w:r>
            <w:r w:rsidR="00B50EEB">
              <w:rPr>
                <w:rFonts w:ascii="Arial" w:hAnsi="Arial" w:cs="Arial"/>
              </w:rPr>
              <w:t>is to</w:t>
            </w:r>
            <w:r w:rsidR="00B50EEB" w:rsidRPr="002E1FA9">
              <w:rPr>
                <w:rFonts w:ascii="Arial" w:hAnsi="Arial" w:cs="Arial"/>
              </w:rPr>
              <w:t xml:space="preserve"> improv</w:t>
            </w:r>
            <w:r w:rsidR="00B50EEB">
              <w:rPr>
                <w:rFonts w:ascii="Arial" w:hAnsi="Arial" w:cs="Arial"/>
              </w:rPr>
              <w:t>e</w:t>
            </w:r>
            <w:r w:rsidR="00B50EEB" w:rsidRPr="002E1FA9">
              <w:rPr>
                <w:rFonts w:ascii="Arial" w:hAnsi="Arial" w:cs="Arial"/>
              </w:rPr>
              <w:t xml:space="preserve"> flare-gas recovery potential and guide the design of centralized gas-gathering infrastructure.</w:t>
            </w:r>
          </w:p>
          <w:p w14:paraId="797D8A20" w14:textId="262982EC" w:rsidR="008C7C1C" w:rsidRPr="002E1FA9" w:rsidRDefault="008C7C1C" w:rsidP="00B63B16">
            <w:pPr>
              <w:jc w:val="both"/>
              <w:rPr>
                <w:rFonts w:ascii="Arial" w:hAnsi="Arial" w:cs="Arial"/>
              </w:rPr>
            </w:pPr>
            <w:r w:rsidRPr="002E1FA9">
              <w:rPr>
                <w:rFonts w:ascii="Arial" w:hAnsi="Arial" w:cs="Arial"/>
                <w:b/>
                <w:bCs/>
              </w:rPr>
              <w:t xml:space="preserve">Study Design: </w:t>
            </w:r>
            <w:r w:rsidRPr="002E1FA9">
              <w:rPr>
                <w:rFonts w:ascii="Arial" w:hAnsi="Arial" w:cs="Arial"/>
              </w:rPr>
              <w:t xml:space="preserve">It follows </w:t>
            </w:r>
            <w:proofErr w:type="gramStart"/>
            <w:r w:rsidRPr="002E1FA9">
              <w:rPr>
                <w:rFonts w:ascii="Arial" w:hAnsi="Arial" w:cs="Arial"/>
              </w:rPr>
              <w:t>a quantitative</w:t>
            </w:r>
            <w:proofErr w:type="gramEnd"/>
            <w:r w:rsidRPr="002E1FA9">
              <w:rPr>
                <w:rFonts w:ascii="Arial" w:hAnsi="Arial" w:cs="Arial"/>
              </w:rPr>
              <w:t xml:space="preserve"> geospatial clustering </w:t>
            </w:r>
            <w:r>
              <w:rPr>
                <w:rFonts w:ascii="Arial" w:hAnsi="Arial" w:cs="Arial"/>
              </w:rPr>
              <w:t>using</w:t>
            </w:r>
            <w:r w:rsidRPr="002E1FA9">
              <w:rPr>
                <w:rFonts w:ascii="Arial" w:hAnsi="Arial" w:cs="Arial"/>
              </w:rPr>
              <w:t xml:space="preserve"> Python-based K-means analysis, supported by internal cluster-validation metrics.</w:t>
            </w:r>
          </w:p>
          <w:p w14:paraId="6028D9D2" w14:textId="08FFC474" w:rsidR="008C7C1C" w:rsidRPr="002E1FA9" w:rsidRDefault="008C7C1C" w:rsidP="00B63B16">
            <w:pPr>
              <w:jc w:val="both"/>
              <w:rPr>
                <w:rFonts w:ascii="Arial" w:hAnsi="Arial" w:cs="Arial"/>
              </w:rPr>
            </w:pPr>
            <w:r w:rsidRPr="002E1FA9">
              <w:rPr>
                <w:rFonts w:ascii="Arial" w:hAnsi="Arial" w:cs="Arial"/>
                <w:b/>
                <w:bCs/>
              </w:rPr>
              <w:t xml:space="preserve">Place and Duration of Study: </w:t>
            </w:r>
            <w:r w:rsidR="00B50EEB" w:rsidRPr="002E1FA9">
              <w:rPr>
                <w:rFonts w:ascii="Arial" w:hAnsi="Arial" w:cs="Arial"/>
              </w:rPr>
              <w:t xml:space="preserve">The study was carried out using flare-volume records and GPS data from 24 onshore </w:t>
            </w:r>
            <w:proofErr w:type="spellStart"/>
            <w:r w:rsidR="00B50EEB" w:rsidRPr="002E1FA9">
              <w:rPr>
                <w:rFonts w:ascii="Arial" w:hAnsi="Arial" w:cs="Arial"/>
              </w:rPr>
              <w:t>flowstations</w:t>
            </w:r>
            <w:proofErr w:type="spellEnd"/>
            <w:r w:rsidR="00B50EEB" w:rsidRPr="002E1FA9">
              <w:rPr>
                <w:rFonts w:ascii="Arial" w:hAnsi="Arial" w:cs="Arial"/>
              </w:rPr>
              <w:t xml:space="preserve"> across the Niger Delta, covering approximately 100 days of operational reporting</w:t>
            </w:r>
            <w:r w:rsidR="00B50EEB">
              <w:rPr>
                <w:rFonts w:ascii="Arial" w:hAnsi="Arial" w:cs="Arial"/>
              </w:rPr>
              <w:t xml:space="preserve"> between July to December 2024</w:t>
            </w:r>
            <w:r w:rsidR="00B50EEB" w:rsidRPr="002E1FA9">
              <w:rPr>
                <w:rFonts w:ascii="Arial" w:hAnsi="Arial" w:cs="Arial"/>
              </w:rPr>
              <w:t>.</w:t>
            </w:r>
          </w:p>
          <w:p w14:paraId="1A393238" w14:textId="77777777" w:rsidR="008C7C1C" w:rsidRPr="002E1FA9" w:rsidRDefault="008C7C1C" w:rsidP="00B63B16">
            <w:pPr>
              <w:jc w:val="both"/>
              <w:rPr>
                <w:rFonts w:ascii="Arial" w:hAnsi="Arial" w:cs="Arial"/>
              </w:rPr>
            </w:pPr>
            <w:r w:rsidRPr="002E1FA9">
              <w:rPr>
                <w:rFonts w:ascii="Arial" w:hAnsi="Arial" w:cs="Arial"/>
                <w:b/>
                <w:bCs/>
              </w:rPr>
              <w:t xml:space="preserve">Methodology: </w:t>
            </w:r>
            <w:r w:rsidRPr="002E1FA9">
              <w:rPr>
                <w:rFonts w:ascii="Arial" w:hAnsi="Arial" w:cs="Arial"/>
              </w:rPr>
              <w:t xml:space="preserve">Daily flare-volume datasets were pre-processed to compute average active-day flare rates for each </w:t>
            </w:r>
            <w:proofErr w:type="spellStart"/>
            <w:r w:rsidRPr="002E1FA9">
              <w:rPr>
                <w:rFonts w:ascii="Arial" w:hAnsi="Arial" w:cs="Arial"/>
              </w:rPr>
              <w:t>flowstation</w:t>
            </w:r>
            <w:proofErr w:type="spellEnd"/>
            <w:r w:rsidRPr="002E1FA9">
              <w:rPr>
                <w:rFonts w:ascii="Arial" w:hAnsi="Arial" w:cs="Arial"/>
              </w:rPr>
              <w:t>. Latitude and longitude coordinates were compiled using Google Earth Pro and field entries. The Elbow Method was used to determine the optimal number of clusters</w:t>
            </w:r>
            <w:r>
              <w:rPr>
                <w:rFonts w:ascii="Arial" w:hAnsi="Arial" w:cs="Arial"/>
              </w:rPr>
              <w:t xml:space="preserve"> (K)</w:t>
            </w:r>
            <w:r w:rsidRPr="002E1FA9">
              <w:rPr>
                <w:rFonts w:ascii="Arial" w:hAnsi="Arial" w:cs="Arial"/>
              </w:rPr>
              <w:t xml:space="preserve"> based on inertia values. K-means clustering was then applied to group the </w:t>
            </w:r>
            <w:proofErr w:type="spellStart"/>
            <w:r w:rsidRPr="002E1FA9">
              <w:rPr>
                <w:rFonts w:ascii="Arial" w:hAnsi="Arial" w:cs="Arial"/>
              </w:rPr>
              <w:t>flowstations</w:t>
            </w:r>
            <w:proofErr w:type="spellEnd"/>
            <w:r w:rsidRPr="002E1FA9">
              <w:rPr>
                <w:rFonts w:ascii="Arial" w:hAnsi="Arial" w:cs="Arial"/>
              </w:rPr>
              <w:t xml:space="preserve"> into distinct geospatial clusters. Internal cluster quality was evaluated using the silhouette coefficient. Aggregated flare volumes were computed for each cluster to assess recovery potential.</w:t>
            </w:r>
          </w:p>
          <w:p w14:paraId="1F485B86" w14:textId="77777777" w:rsidR="008C7C1C" w:rsidRPr="002E1FA9" w:rsidRDefault="008C7C1C" w:rsidP="00B63B16">
            <w:pPr>
              <w:jc w:val="both"/>
              <w:rPr>
                <w:rFonts w:ascii="Arial" w:hAnsi="Arial" w:cs="Arial"/>
              </w:rPr>
            </w:pPr>
            <w:r w:rsidRPr="002E1FA9">
              <w:rPr>
                <w:rFonts w:ascii="Arial" w:hAnsi="Arial" w:cs="Arial"/>
                <w:b/>
                <w:bCs/>
              </w:rPr>
              <w:t xml:space="preserve">Results: </w:t>
            </w:r>
            <w:r w:rsidRPr="002E1FA9">
              <w:rPr>
                <w:rFonts w:ascii="Arial" w:hAnsi="Arial" w:cs="Arial"/>
              </w:rPr>
              <w:t xml:space="preserve">The Elbow Method identified four clusters as the optimal configuration. K-means clustering produced coherent spatial groupings reflecting natural geographic alignments within the region. Cluster 0 recorded the highest aggregated average flare volume (≈ 45.99 </w:t>
            </w:r>
            <w:proofErr w:type="spellStart"/>
            <w:r w:rsidRPr="002E1FA9">
              <w:rPr>
                <w:rFonts w:ascii="Arial" w:hAnsi="Arial" w:cs="Arial"/>
              </w:rPr>
              <w:t>mmscf</w:t>
            </w:r>
            <w:proofErr w:type="spellEnd"/>
            <w:r w:rsidRPr="002E1FA9">
              <w:rPr>
                <w:rFonts w:ascii="Arial" w:hAnsi="Arial" w:cs="Arial"/>
              </w:rPr>
              <w:t xml:space="preserve">/day), followed by Cluster 3 (≈ 30.22 </w:t>
            </w:r>
            <w:proofErr w:type="spellStart"/>
            <w:r w:rsidRPr="002E1FA9">
              <w:rPr>
                <w:rFonts w:ascii="Arial" w:hAnsi="Arial" w:cs="Arial"/>
              </w:rPr>
              <w:t>mmscf</w:t>
            </w:r>
            <w:proofErr w:type="spellEnd"/>
            <w:r w:rsidRPr="002E1FA9">
              <w:rPr>
                <w:rFonts w:ascii="Arial" w:hAnsi="Arial" w:cs="Arial"/>
              </w:rPr>
              <w:t xml:space="preserve">/day), Cluster 1 (≈ 24.56 </w:t>
            </w:r>
            <w:proofErr w:type="spellStart"/>
            <w:r w:rsidRPr="002E1FA9">
              <w:rPr>
                <w:rFonts w:ascii="Arial" w:hAnsi="Arial" w:cs="Arial"/>
              </w:rPr>
              <w:t>mmscf</w:t>
            </w:r>
            <w:proofErr w:type="spellEnd"/>
            <w:r w:rsidRPr="002E1FA9">
              <w:rPr>
                <w:rFonts w:ascii="Arial" w:hAnsi="Arial" w:cs="Arial"/>
              </w:rPr>
              <w:t xml:space="preserve">/day), and Cluster 2 (≈ 22.55 </w:t>
            </w:r>
            <w:proofErr w:type="spellStart"/>
            <w:r w:rsidRPr="002E1FA9">
              <w:rPr>
                <w:rFonts w:ascii="Arial" w:hAnsi="Arial" w:cs="Arial"/>
              </w:rPr>
              <w:t>mmscf</w:t>
            </w:r>
            <w:proofErr w:type="spellEnd"/>
            <w:r w:rsidRPr="002E1FA9">
              <w:rPr>
                <w:rFonts w:ascii="Arial" w:hAnsi="Arial" w:cs="Arial"/>
              </w:rPr>
              <w:t>/day). Silhouette analysis confirmed strong internal cohesion and clear separation between clusters, with no misclassified points. Together, Clusters 0 and 3 accounted for approximately 63% of total aggregated flare volume; this indicates priority zones for possible centralized gas-gathering development.</w:t>
            </w:r>
          </w:p>
          <w:p w14:paraId="1F9D9F7D" w14:textId="4E317FAC" w:rsidR="00505F06" w:rsidRPr="00BA619C" w:rsidRDefault="008C7C1C" w:rsidP="00B63B16">
            <w:pPr>
              <w:jc w:val="both"/>
              <w:rPr>
                <w:rFonts w:ascii="Arial" w:hAnsi="Arial" w:cs="Arial"/>
              </w:rPr>
            </w:pPr>
            <w:r w:rsidRPr="002E1FA9">
              <w:rPr>
                <w:rFonts w:ascii="Arial" w:hAnsi="Arial" w:cs="Arial"/>
                <w:b/>
                <w:bCs/>
              </w:rPr>
              <w:t xml:space="preserve">Conclusion: </w:t>
            </w:r>
            <w:r w:rsidR="00B50EEB" w:rsidRPr="002E1FA9">
              <w:rPr>
                <w:rFonts w:ascii="Arial" w:hAnsi="Arial" w:cs="Arial"/>
              </w:rPr>
              <w:t xml:space="preserve">Geospatial clustering provides a robust foundation for designing shared-infrastructure flare-gas recovery systems in the Niger Delta. </w:t>
            </w:r>
            <w:r w:rsidR="00B50EEB" w:rsidRPr="00A60CEB">
              <w:rPr>
                <w:rFonts w:ascii="Arial" w:hAnsi="Arial" w:cs="Arial"/>
              </w:rPr>
              <w:t xml:space="preserve">The four-cluster model </w:t>
            </w:r>
            <w:r w:rsidR="00B50EEB">
              <w:rPr>
                <w:rFonts w:ascii="Arial" w:hAnsi="Arial" w:cs="Arial"/>
              </w:rPr>
              <w:t>presented</w:t>
            </w:r>
            <w:r w:rsidR="00B50EEB" w:rsidRPr="00A60CEB">
              <w:rPr>
                <w:rFonts w:ascii="Arial" w:hAnsi="Arial" w:cs="Arial"/>
              </w:rPr>
              <w:t xml:space="preserve"> two priority hubs suitable for centralized infrastructure development</w:t>
            </w:r>
            <w:r w:rsidR="00B50EEB">
              <w:rPr>
                <w:rFonts w:ascii="Arial" w:hAnsi="Arial" w:cs="Arial"/>
              </w:rPr>
              <w:t>.</w:t>
            </w:r>
            <w:r w:rsidR="00B50EEB" w:rsidRPr="00A60CEB">
              <w:rPr>
                <w:rFonts w:ascii="Arial" w:hAnsi="Arial" w:cs="Arial"/>
              </w:rPr>
              <w:t xml:space="preserve"> </w:t>
            </w:r>
            <w:r w:rsidR="00B50EEB">
              <w:rPr>
                <w:rFonts w:ascii="Arial" w:hAnsi="Arial" w:cs="Arial"/>
              </w:rPr>
              <w:t xml:space="preserve">This can </w:t>
            </w:r>
            <w:r w:rsidR="00B50EEB" w:rsidRPr="00A60CEB">
              <w:rPr>
                <w:rFonts w:ascii="Arial" w:hAnsi="Arial" w:cs="Arial"/>
              </w:rPr>
              <w:t>reduc</w:t>
            </w:r>
            <w:r w:rsidR="00B50EEB">
              <w:rPr>
                <w:rFonts w:ascii="Arial" w:hAnsi="Arial" w:cs="Arial"/>
              </w:rPr>
              <w:t>e</w:t>
            </w:r>
            <w:r w:rsidR="00B50EEB" w:rsidRPr="00A60CEB">
              <w:rPr>
                <w:rFonts w:ascii="Arial" w:hAnsi="Arial" w:cs="Arial"/>
              </w:rPr>
              <w:t xml:space="preserve"> total pipeline distance</w:t>
            </w:r>
            <w:r w:rsidR="00B50EEB">
              <w:rPr>
                <w:rFonts w:ascii="Arial" w:hAnsi="Arial" w:cs="Arial"/>
              </w:rPr>
              <w:t>.</w:t>
            </w:r>
            <w:r w:rsidR="00B50EEB" w:rsidRPr="00A60CEB">
              <w:rPr>
                <w:rFonts w:ascii="Arial" w:hAnsi="Arial" w:cs="Arial"/>
              </w:rPr>
              <w:t xml:space="preserve"> </w:t>
            </w:r>
            <w:r w:rsidR="00B50EEB">
              <w:rPr>
                <w:rFonts w:ascii="Arial" w:hAnsi="Arial" w:cs="Arial"/>
              </w:rPr>
              <w:t>The cluster model</w:t>
            </w:r>
            <w:r w:rsidR="00B50EEB" w:rsidRPr="00A60CEB">
              <w:rPr>
                <w:rFonts w:ascii="Arial" w:hAnsi="Arial" w:cs="Arial"/>
              </w:rPr>
              <w:t xml:space="preserve"> form</w:t>
            </w:r>
            <w:r w:rsidR="00B50EEB">
              <w:rPr>
                <w:rFonts w:ascii="Arial" w:hAnsi="Arial" w:cs="Arial"/>
              </w:rPr>
              <w:t>s</w:t>
            </w:r>
            <w:r w:rsidR="00B50EEB" w:rsidRPr="00A60CEB">
              <w:rPr>
                <w:rFonts w:ascii="Arial" w:hAnsi="Arial" w:cs="Arial"/>
              </w:rPr>
              <w:t xml:space="preserve"> a baseline for subsequent techno-economic feasibility studies.</w:t>
            </w:r>
          </w:p>
        </w:tc>
      </w:tr>
    </w:tbl>
    <w:p w14:paraId="72911D72" w14:textId="77777777" w:rsidR="00636EB2" w:rsidRDefault="00636EB2" w:rsidP="00441B6F">
      <w:pPr>
        <w:pStyle w:val="Body"/>
        <w:spacing w:after="0"/>
        <w:rPr>
          <w:rFonts w:ascii="Arial" w:hAnsi="Arial" w:cs="Arial"/>
          <w:i/>
        </w:rPr>
      </w:pPr>
    </w:p>
    <w:p w14:paraId="77197A2B" w14:textId="77777777" w:rsidR="00971C77" w:rsidRPr="00C04FB0" w:rsidRDefault="00A24E7E" w:rsidP="00291210">
      <w:pPr>
        <w:jc w:val="both"/>
        <w:rPr>
          <w:rFonts w:ascii="Arial" w:hAnsi="Arial" w:cs="Arial"/>
          <w:i/>
          <w:iCs/>
        </w:rPr>
      </w:pPr>
      <w:r>
        <w:rPr>
          <w:rFonts w:ascii="Arial" w:hAnsi="Arial" w:cs="Arial"/>
          <w:i/>
        </w:rPr>
        <w:t xml:space="preserve">Keywords: </w:t>
      </w:r>
      <w:r w:rsidR="00971C77" w:rsidRPr="00C04FB0">
        <w:rPr>
          <w:rFonts w:ascii="Arial" w:hAnsi="Arial" w:cs="Arial"/>
          <w:i/>
          <w:iCs/>
        </w:rPr>
        <w:t>Gas flaring; Geospatial clustering; K-means algorithm; Elbow Method; Silhouette coefficient;</w:t>
      </w:r>
    </w:p>
    <w:p w14:paraId="215015C6" w14:textId="77777777" w:rsidR="00790ADA" w:rsidRDefault="00790ADA" w:rsidP="00441B6F">
      <w:pPr>
        <w:pStyle w:val="Body"/>
        <w:spacing w:after="0"/>
        <w:rPr>
          <w:rFonts w:ascii="Arial" w:hAnsi="Arial" w:cs="Arial"/>
          <w:i/>
        </w:rPr>
      </w:pPr>
    </w:p>
    <w:p w14:paraId="38A467D3" w14:textId="77777777" w:rsidR="0024282C" w:rsidRDefault="0024282C" w:rsidP="00441B6F">
      <w:pPr>
        <w:pStyle w:val="Body"/>
        <w:spacing w:after="0"/>
        <w:rPr>
          <w:rFonts w:ascii="Arial" w:hAnsi="Arial" w:cs="Arial"/>
          <w:i/>
          <w:sz w:val="18"/>
        </w:rPr>
      </w:pPr>
    </w:p>
    <w:p w14:paraId="162FEE82" w14:textId="77777777" w:rsidR="00505F06" w:rsidRPr="00A24E7E" w:rsidRDefault="00505F06" w:rsidP="00441B6F">
      <w:pPr>
        <w:pStyle w:val="Body"/>
        <w:spacing w:after="0"/>
        <w:rPr>
          <w:rFonts w:ascii="Arial" w:hAnsi="Arial" w:cs="Arial"/>
          <w:i/>
        </w:rPr>
      </w:pPr>
    </w:p>
    <w:p w14:paraId="47DDB76F" w14:textId="33083769"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FD2FEBC" w14:textId="77777777" w:rsidR="00790ADA" w:rsidRPr="00FB3A86" w:rsidRDefault="00790ADA" w:rsidP="00441B6F">
      <w:pPr>
        <w:pStyle w:val="AbstHead"/>
        <w:spacing w:after="0"/>
        <w:jc w:val="both"/>
        <w:rPr>
          <w:rFonts w:ascii="Arial" w:hAnsi="Arial" w:cs="Arial"/>
        </w:rPr>
      </w:pPr>
    </w:p>
    <w:p w14:paraId="690243C0" w14:textId="59A6196B" w:rsidR="00EB1AC9" w:rsidRPr="00EB1AC9" w:rsidRDefault="00EB1AC9" w:rsidP="00EB1AC9">
      <w:pPr>
        <w:jc w:val="both"/>
        <w:rPr>
          <w:rFonts w:ascii="Arial" w:hAnsi="Arial" w:cs="Arial"/>
        </w:rPr>
      </w:pPr>
      <w:r w:rsidRPr="00561A43">
        <w:rPr>
          <w:rFonts w:ascii="Arial" w:hAnsi="Arial" w:cs="Arial"/>
        </w:rPr>
        <w:t xml:space="preserve">Gas flaring </w:t>
      </w:r>
      <w:r w:rsidRPr="00EB1AC9">
        <w:rPr>
          <w:rFonts w:ascii="Arial" w:hAnsi="Arial" w:cs="Arial"/>
        </w:rPr>
        <w:t xml:space="preserve">in the Niger Delta is not only persistent but evolves across operational stages. And according to </w:t>
      </w:r>
      <w:proofErr w:type="spellStart"/>
      <w:r w:rsidRPr="00DB73DD">
        <w:rPr>
          <w:rFonts w:ascii="Arial" w:hAnsi="Arial" w:cs="Arial"/>
        </w:rPr>
        <w:t>Emekwuru</w:t>
      </w:r>
      <w:proofErr w:type="spellEnd"/>
      <w:r w:rsidRPr="00EB1AC9">
        <w:rPr>
          <w:rFonts w:ascii="Arial" w:hAnsi="Arial" w:cs="Arial"/>
        </w:rPr>
        <w:t xml:space="preserve"> (2024) it contributes to avoidable energy loss and environmental degradation. This calls for robust recovery strategies.</w:t>
      </w:r>
      <w:r w:rsidRPr="00EB1AC9">
        <w:rPr>
          <w:rFonts w:ascii="Arial" w:hAnsi="Arial" w:cs="Arial"/>
        </w:rPr>
        <w:t xml:space="preserve"> </w:t>
      </w:r>
      <w:r>
        <w:rPr>
          <w:rFonts w:ascii="Arial" w:hAnsi="Arial" w:cs="Arial"/>
        </w:rPr>
        <w:t>It</w:t>
      </w:r>
      <w:r w:rsidR="001C2A13" w:rsidRPr="00561A43">
        <w:rPr>
          <w:rFonts w:ascii="Arial" w:hAnsi="Arial" w:cs="Arial"/>
        </w:rPr>
        <w:t xml:space="preserve"> remains a persistent challenge in Nigeria’s oil and gas sector, particularly within the Niger Delta region, where </w:t>
      </w:r>
      <w:proofErr w:type="gramStart"/>
      <w:r w:rsidR="001C2A13" w:rsidRPr="00561A43">
        <w:rPr>
          <w:rFonts w:ascii="Arial" w:hAnsi="Arial" w:cs="Arial"/>
        </w:rPr>
        <w:t>the majority of</w:t>
      </w:r>
      <w:proofErr w:type="gramEnd"/>
      <w:r w:rsidR="001C2A13" w:rsidRPr="00561A43">
        <w:rPr>
          <w:rFonts w:ascii="Arial" w:hAnsi="Arial" w:cs="Arial"/>
        </w:rPr>
        <w:t xml:space="preserve"> the nation’s petroleum production occurs. </w:t>
      </w:r>
    </w:p>
    <w:p w14:paraId="155EBB42" w14:textId="334B40D0" w:rsidR="001C2A13" w:rsidRPr="00561A43" w:rsidRDefault="001C2A13" w:rsidP="001C2A13">
      <w:pPr>
        <w:jc w:val="both"/>
        <w:rPr>
          <w:rFonts w:ascii="Arial" w:hAnsi="Arial" w:cs="Arial"/>
        </w:rPr>
      </w:pPr>
      <w:r w:rsidRPr="00561A43">
        <w:rPr>
          <w:rFonts w:ascii="Arial" w:hAnsi="Arial" w:cs="Arial"/>
        </w:rPr>
        <w:t xml:space="preserve">The practice of flaring results in significant losses of recoverable associated gas: it contributes to greenhouse-gas </w:t>
      </w:r>
      <w:proofErr w:type="gramStart"/>
      <w:r w:rsidRPr="00561A43">
        <w:rPr>
          <w:rFonts w:ascii="Arial" w:hAnsi="Arial" w:cs="Arial"/>
        </w:rPr>
        <w:t>emissions, and</w:t>
      </w:r>
      <w:proofErr w:type="gramEnd"/>
      <w:r w:rsidRPr="00561A43">
        <w:rPr>
          <w:rFonts w:ascii="Arial" w:hAnsi="Arial" w:cs="Arial"/>
        </w:rPr>
        <w:t xml:space="preserve"> limits the nation’s ability to meet energy-security objectives. Despite long-standing government efforts—including the Nigerian Gas Master Plan and the Decade of Gas initiative—the absence of optimized gas-gathering infrastructure and gas processing plants near many flare sites continues to undermine flare-reduction goals. A major barrier is the spatial dispersion of flare sites, which makes it difficult to design economically viable gas-recovery systems when sites are evaluated in isolation.</w:t>
      </w:r>
    </w:p>
    <w:p w14:paraId="6E428254" w14:textId="4F9EBC2E" w:rsidR="001C2A13" w:rsidRPr="00561A43" w:rsidRDefault="001C2A13" w:rsidP="001C2A13">
      <w:pPr>
        <w:jc w:val="both"/>
        <w:rPr>
          <w:rFonts w:ascii="Arial" w:hAnsi="Arial" w:cs="Arial"/>
        </w:rPr>
      </w:pPr>
      <w:r w:rsidRPr="00561A43">
        <w:rPr>
          <w:rFonts w:ascii="Arial" w:hAnsi="Arial" w:cs="Arial"/>
        </w:rPr>
        <w:t>Clustering analysis offers a data-driven framework for grouping geographically proximate flare sites to enable shared-infrastructure development. Clustering theory seeks to maximize similarity within groups and minimize similarity between groups, thereby reducing pipeline distances and capital expenditure when planning centralized gas-gathering hubs. Numerous authors have elaborated on the strengths and applications of clustering, including Jain</w:t>
      </w:r>
      <w:r w:rsidR="00273D15">
        <w:rPr>
          <w:rFonts w:ascii="Arial" w:hAnsi="Arial" w:cs="Arial"/>
        </w:rPr>
        <w:t xml:space="preserve"> (2010)</w:t>
      </w:r>
      <w:r w:rsidRPr="00561A43">
        <w:rPr>
          <w:rFonts w:ascii="Arial" w:hAnsi="Arial" w:cs="Arial"/>
        </w:rPr>
        <w:t>, Ghosh</w:t>
      </w:r>
      <w:r w:rsidR="0021349A">
        <w:rPr>
          <w:rFonts w:ascii="Arial" w:hAnsi="Arial" w:cs="Arial"/>
        </w:rPr>
        <w:t xml:space="preserve"> (</w:t>
      </w:r>
      <w:r w:rsidR="00082E1F">
        <w:rPr>
          <w:rFonts w:ascii="Arial" w:hAnsi="Arial" w:cs="Arial"/>
        </w:rPr>
        <w:t>2019</w:t>
      </w:r>
      <w:r w:rsidR="0021349A">
        <w:rPr>
          <w:rFonts w:ascii="Arial" w:hAnsi="Arial" w:cs="Arial"/>
        </w:rPr>
        <w:t>)</w:t>
      </w:r>
      <w:r w:rsidRPr="00561A43">
        <w:rPr>
          <w:rFonts w:ascii="Arial" w:hAnsi="Arial" w:cs="Arial"/>
        </w:rPr>
        <w:t>, and Ikotun et al.</w:t>
      </w:r>
      <w:r w:rsidR="005E6598">
        <w:rPr>
          <w:rFonts w:ascii="Arial" w:hAnsi="Arial" w:cs="Arial"/>
        </w:rPr>
        <w:t xml:space="preserve"> (2023)</w:t>
      </w:r>
      <w:r w:rsidRPr="00561A43">
        <w:rPr>
          <w:rFonts w:ascii="Arial" w:hAnsi="Arial" w:cs="Arial"/>
        </w:rPr>
        <w:t xml:space="preserve">. In flare-gas management systems, clustering enables dispersed sites to be grouped such that associated gas can be captured and routed efficiently to a central processing plant, thereby transforming what would otherwise be wasted as flared gas into a viable energy resource. Related studies show that geographic clustering reduces redundant pipelines, increases economic feasibility, and enhances sustainability outcomes in gas-gathering networks </w:t>
      </w:r>
      <w:r w:rsidR="002A1710">
        <w:rPr>
          <w:rFonts w:ascii="Arial" w:hAnsi="Arial" w:cs="Arial"/>
        </w:rPr>
        <w:t>(</w:t>
      </w:r>
      <w:r w:rsidR="004D4529">
        <w:rPr>
          <w:rFonts w:ascii="Arial" w:hAnsi="Arial" w:cs="Arial"/>
        </w:rPr>
        <w:t>Wu, 2022;</w:t>
      </w:r>
      <w:r w:rsidR="00EA0087">
        <w:rPr>
          <w:rFonts w:ascii="Arial" w:hAnsi="Arial" w:cs="Arial"/>
        </w:rPr>
        <w:t xml:space="preserve"> </w:t>
      </w:r>
      <w:proofErr w:type="spellStart"/>
      <w:r w:rsidR="000C4DDC" w:rsidRPr="00172252">
        <w:rPr>
          <w:rFonts w:ascii="Arial" w:hAnsi="Arial" w:cs="Arial"/>
        </w:rPr>
        <w:t>Fagbami</w:t>
      </w:r>
      <w:proofErr w:type="spellEnd"/>
      <w:r w:rsidR="00CB3361">
        <w:rPr>
          <w:rFonts w:ascii="Arial" w:hAnsi="Arial" w:cs="Arial"/>
        </w:rPr>
        <w:t xml:space="preserve"> et al.</w:t>
      </w:r>
      <w:r w:rsidR="002A1710">
        <w:rPr>
          <w:rFonts w:ascii="Arial" w:hAnsi="Arial" w:cs="Arial"/>
        </w:rPr>
        <w:t>, 2024)</w:t>
      </w:r>
      <w:r w:rsidRPr="00561A43">
        <w:rPr>
          <w:rFonts w:ascii="Arial" w:hAnsi="Arial" w:cs="Arial"/>
        </w:rPr>
        <w:t>.</w:t>
      </w:r>
    </w:p>
    <w:p w14:paraId="633A5F97" w14:textId="77777777" w:rsidR="00B50EEB" w:rsidRDefault="00B50EEB" w:rsidP="00B50EEB">
      <w:pPr>
        <w:jc w:val="both"/>
        <w:rPr>
          <w:rFonts w:ascii="Arial" w:hAnsi="Arial" w:cs="Arial"/>
        </w:rPr>
      </w:pPr>
      <w:r w:rsidRPr="00561A43">
        <w:rPr>
          <w:rFonts w:ascii="Arial" w:hAnsi="Arial" w:cs="Arial"/>
          <w:lang w:val="en-NG"/>
        </w:rPr>
        <w:t xml:space="preserve">In this study, 24 onshore </w:t>
      </w:r>
      <w:proofErr w:type="spellStart"/>
      <w:r w:rsidRPr="00561A43">
        <w:rPr>
          <w:rFonts w:ascii="Arial" w:hAnsi="Arial" w:cs="Arial"/>
          <w:lang w:val="en-NG"/>
        </w:rPr>
        <w:t>flowstations</w:t>
      </w:r>
      <w:proofErr w:type="spellEnd"/>
      <w:r w:rsidRPr="00561A43">
        <w:rPr>
          <w:rFonts w:ascii="Arial" w:hAnsi="Arial" w:cs="Arial"/>
          <w:lang w:val="en-NG"/>
        </w:rPr>
        <w:t xml:space="preserve"> in the Niger Delta were </w:t>
      </w:r>
      <w:proofErr w:type="spellStart"/>
      <w:r w:rsidRPr="00561A43">
        <w:rPr>
          <w:rFonts w:ascii="Arial" w:hAnsi="Arial" w:cs="Arial"/>
          <w:lang w:val="en-NG"/>
        </w:rPr>
        <w:t>analyzed</w:t>
      </w:r>
      <w:proofErr w:type="spellEnd"/>
      <w:r w:rsidRPr="00561A43">
        <w:rPr>
          <w:rFonts w:ascii="Arial" w:hAnsi="Arial" w:cs="Arial"/>
          <w:lang w:val="en-NG"/>
        </w:rPr>
        <w:t xml:space="preserve"> using geospatial clustering techniques. Their coordinates were obtained from field GPS measurements and Google Earth Pro mapping, representing active and accessible flare sites across the region. The Niger Delta’s complex terrain—comprising coastal wetlands, mangrove swamps, and a dense hydrological network—necessitates a clustering approach that accounts for spatial proximity to minimize pipeline length, cost, and environmental impact </w:t>
      </w:r>
      <w:r>
        <w:rPr>
          <w:rFonts w:ascii="Arial" w:hAnsi="Arial" w:cs="Arial"/>
          <w:lang w:val="en-NG"/>
        </w:rPr>
        <w:t>(</w:t>
      </w:r>
      <w:proofErr w:type="spellStart"/>
      <w:r w:rsidRPr="00172252">
        <w:rPr>
          <w:rFonts w:ascii="Arial" w:hAnsi="Arial" w:cs="Arial"/>
        </w:rPr>
        <w:t>Awulu</w:t>
      </w:r>
      <w:proofErr w:type="spellEnd"/>
      <w:r>
        <w:rPr>
          <w:rFonts w:ascii="Arial" w:hAnsi="Arial" w:cs="Arial"/>
        </w:rPr>
        <w:t>, 2021).</w:t>
      </w:r>
    </w:p>
    <w:p w14:paraId="51720B2E" w14:textId="77777777" w:rsidR="00B50EEB" w:rsidRDefault="00B50EEB" w:rsidP="00B50EEB">
      <w:pPr>
        <w:jc w:val="both"/>
      </w:pPr>
      <w:r w:rsidRPr="00BC67FB">
        <w:t xml:space="preserve">Recent advances in </w:t>
      </w:r>
      <w:r w:rsidRPr="009142F7">
        <w:t>Geographic Information System</w:t>
      </w:r>
      <w:r>
        <w:t xml:space="preserve"> (</w:t>
      </w:r>
      <w:r w:rsidRPr="00BC67FB">
        <w:t>GIS</w:t>
      </w:r>
      <w:r>
        <w:t xml:space="preserve">) </w:t>
      </w:r>
      <w:r w:rsidRPr="00BC67FB">
        <w:t>driven emission monitoring—such as The Pyxis Project (Fan et al., 2025)</w:t>
      </w:r>
      <w:r>
        <w:t xml:space="preserve">, </w:t>
      </w:r>
      <w:r w:rsidRPr="00BC67FB">
        <w:t>demonstrate industry adoption of spatial intelligence frameworks for gas-source estimation and infrastructure planning. This aligns with the present study</w:t>
      </w:r>
      <w:r>
        <w:t xml:space="preserve"> on</w:t>
      </w:r>
      <w:r w:rsidRPr="00BC67FB">
        <w:t xml:space="preserve"> geospatial clustering </w:t>
      </w:r>
      <w:r>
        <w:t>for</w:t>
      </w:r>
      <w:r w:rsidRPr="00BC67FB">
        <w:t xml:space="preserve"> flare-site optimization in the Niger Delta.</w:t>
      </w:r>
    </w:p>
    <w:p w14:paraId="11CA22D5" w14:textId="306BE4DB" w:rsidR="000B3C18" w:rsidRPr="00396AAD" w:rsidRDefault="009A136F" w:rsidP="000B3C18">
      <w:pPr>
        <w:jc w:val="both"/>
      </w:pPr>
      <w:r>
        <w:t>Also, r</w:t>
      </w:r>
      <w:r w:rsidR="000B3C18" w:rsidRPr="00396AAD">
        <w:t xml:space="preserve">ecent studies now approach pipeline routing as a multi-objective spatial </w:t>
      </w:r>
      <w:proofErr w:type="spellStart"/>
      <w:r w:rsidR="000B3C18" w:rsidRPr="00396AAD">
        <w:t>optimisation</w:t>
      </w:r>
      <w:proofErr w:type="spellEnd"/>
      <w:r w:rsidR="000B3C18" w:rsidRPr="00396AAD">
        <w:t xml:space="preserve"> problem rather than a simple distance-</w:t>
      </w:r>
      <w:proofErr w:type="spellStart"/>
      <w:r w:rsidR="000B3C18" w:rsidRPr="00396AAD">
        <w:t>minimisation</w:t>
      </w:r>
      <w:proofErr w:type="spellEnd"/>
      <w:r w:rsidR="000B3C18" w:rsidRPr="00396AAD">
        <w:t xml:space="preserve"> task. Zhao et al. (2025) developed a route-selection framework for long-distance natural-gas transmission pipelines. They used an improved A* algorithm and multi-level cost raster maps to </w:t>
      </w:r>
      <w:proofErr w:type="spellStart"/>
      <w:r w:rsidR="000B3C18" w:rsidRPr="00396AAD">
        <w:t>minimises</w:t>
      </w:r>
      <w:proofErr w:type="spellEnd"/>
      <w:r w:rsidR="000B3C18" w:rsidRPr="00396AAD">
        <w:t xml:space="preserve"> construction cost. Their model accounts for topography, environmental sensitivity and safety buffers while demonstrating how geospatial </w:t>
      </w:r>
      <w:proofErr w:type="spellStart"/>
      <w:r w:rsidR="000B3C18" w:rsidRPr="00396AAD">
        <w:t>optimisation</w:t>
      </w:r>
      <w:proofErr w:type="spellEnd"/>
      <w:r w:rsidR="000B3C18" w:rsidRPr="00396AAD">
        <w:t xml:space="preserve"> can convert high-level clustering decisions into practical routing corridors. Complementing this, Alavi et al. (2025) advanced a metaheuristic GIS-based routing technique; that incorporates probabilistic seismic risk assessment into pipeline alignment, using particle-swarm </w:t>
      </w:r>
      <w:proofErr w:type="spellStart"/>
      <w:r w:rsidR="000B3C18" w:rsidRPr="00396AAD">
        <w:t>optimisation</w:t>
      </w:r>
      <w:proofErr w:type="spellEnd"/>
      <w:r w:rsidR="000B3C18" w:rsidRPr="00396AAD">
        <w:t xml:space="preserve"> to avoid high-risk zones and reduce expected damage cost. Together, these studies indicate that optimal routing requires a multi-criteria evaluation of terrain, safety and environmental constraints, suggesting clear pathways for extending the present flare-gas clustering framework toward full pipeline design and deployment in the Niger Delta.</w:t>
      </w:r>
    </w:p>
    <w:p w14:paraId="29621E07" w14:textId="77777777" w:rsidR="000B3C18" w:rsidRPr="00A12634" w:rsidRDefault="000B3C18" w:rsidP="00B50EEB">
      <w:pPr>
        <w:jc w:val="both"/>
      </w:pPr>
    </w:p>
    <w:p w14:paraId="68BF020A" w14:textId="77777777" w:rsidR="001C2A13" w:rsidRPr="00561A43" w:rsidRDefault="001C2A13" w:rsidP="001C2A13">
      <w:pPr>
        <w:jc w:val="both"/>
        <w:rPr>
          <w:rFonts w:ascii="Arial" w:hAnsi="Arial" w:cs="Arial"/>
          <w:b/>
          <w:bCs/>
        </w:rPr>
      </w:pPr>
      <w:r w:rsidRPr="00561A43">
        <w:rPr>
          <w:rFonts w:ascii="Arial" w:hAnsi="Arial" w:cs="Arial"/>
          <w:b/>
          <w:bCs/>
        </w:rPr>
        <w:t>Use of the Elbow Method to Determine the Optimal Number of Clusters</w:t>
      </w:r>
    </w:p>
    <w:p w14:paraId="02BE2097" w14:textId="1583CA80" w:rsidR="001C2A13" w:rsidRPr="00561A43" w:rsidRDefault="001C2A13" w:rsidP="001C2A13">
      <w:pPr>
        <w:jc w:val="both"/>
        <w:rPr>
          <w:rFonts w:ascii="Arial" w:hAnsi="Arial" w:cs="Arial"/>
        </w:rPr>
      </w:pPr>
      <w:r w:rsidRPr="00561A43">
        <w:rPr>
          <w:rFonts w:ascii="Arial" w:hAnsi="Arial" w:cs="Arial"/>
        </w:rPr>
        <w:t xml:space="preserve">In order to determine the appropriate number of clusters (K), the Elbow Method was applied using Python’s scikit-learn library. Inertia values (within-cluster sum of squares) were computed for K = 1 to 10, and the resulting plot revealed a clear inflection point at K = 4, </w:t>
      </w:r>
      <w:r w:rsidRPr="00561A43">
        <w:rPr>
          <w:rFonts w:ascii="Arial" w:hAnsi="Arial" w:cs="Arial"/>
        </w:rPr>
        <w:lastRenderedPageBreak/>
        <w:t xml:space="preserve">indicating that four clusters provided the best balance between compactness and over-segmentation. The Elbow Method is consistent with established clustering practice and is supported in literature as an effective </w:t>
      </w:r>
      <w:proofErr w:type="spellStart"/>
      <w:r w:rsidRPr="00561A43">
        <w:rPr>
          <w:rFonts w:ascii="Arial" w:hAnsi="Arial" w:cs="Arial"/>
        </w:rPr>
        <w:t>optimisation</w:t>
      </w:r>
      <w:proofErr w:type="spellEnd"/>
      <w:r w:rsidRPr="00561A43">
        <w:rPr>
          <w:rFonts w:ascii="Arial" w:hAnsi="Arial" w:cs="Arial"/>
        </w:rPr>
        <w:t xml:space="preserve"> technique </w:t>
      </w:r>
      <w:r w:rsidR="00867DB5">
        <w:rPr>
          <w:rFonts w:ascii="Arial" w:hAnsi="Arial" w:cs="Arial"/>
        </w:rPr>
        <w:t>(</w:t>
      </w:r>
      <w:proofErr w:type="spellStart"/>
      <w:r w:rsidR="00867DB5" w:rsidRPr="00172252">
        <w:rPr>
          <w:rFonts w:ascii="Arial" w:hAnsi="Arial" w:cs="Arial"/>
        </w:rPr>
        <w:t>Umargono</w:t>
      </w:r>
      <w:proofErr w:type="spellEnd"/>
      <w:r w:rsidR="00867DB5">
        <w:rPr>
          <w:rFonts w:ascii="Arial" w:hAnsi="Arial" w:cs="Arial"/>
        </w:rPr>
        <w:t xml:space="preserve"> et al., 202</w:t>
      </w:r>
      <w:r w:rsidR="007F30F5">
        <w:rPr>
          <w:rFonts w:ascii="Arial" w:hAnsi="Arial" w:cs="Arial"/>
        </w:rPr>
        <w:t>0</w:t>
      </w:r>
      <w:r w:rsidR="00867DB5">
        <w:rPr>
          <w:rFonts w:ascii="Arial" w:hAnsi="Arial" w:cs="Arial"/>
        </w:rPr>
        <w:t>)</w:t>
      </w:r>
      <w:r w:rsidRPr="00561A43">
        <w:rPr>
          <w:rFonts w:ascii="Arial" w:hAnsi="Arial" w:cs="Arial"/>
        </w:rPr>
        <w:t xml:space="preserve">. It partitions points such that variance within clusters is minimized while separation between clusters is maximized </w:t>
      </w:r>
      <w:r w:rsidR="00A75206">
        <w:rPr>
          <w:rFonts w:ascii="Arial" w:hAnsi="Arial" w:cs="Arial"/>
        </w:rPr>
        <w:t>(</w:t>
      </w:r>
      <w:r w:rsidR="00A75206" w:rsidRPr="00561A43">
        <w:rPr>
          <w:rFonts w:ascii="Arial" w:hAnsi="Arial" w:cs="Arial"/>
        </w:rPr>
        <w:t>Jain</w:t>
      </w:r>
      <w:r w:rsidR="00A75206">
        <w:rPr>
          <w:rFonts w:ascii="Arial" w:hAnsi="Arial" w:cs="Arial"/>
        </w:rPr>
        <w:t>, 2010)</w:t>
      </w:r>
      <w:r w:rsidRPr="00561A43">
        <w:rPr>
          <w:rFonts w:ascii="Arial" w:hAnsi="Arial" w:cs="Arial"/>
        </w:rPr>
        <w:t>.</w:t>
      </w:r>
    </w:p>
    <w:p w14:paraId="52F4E3FF" w14:textId="77777777" w:rsidR="001C2A13" w:rsidRPr="00561A43" w:rsidRDefault="001C2A13" w:rsidP="001C2A13">
      <w:pPr>
        <w:jc w:val="both"/>
        <w:rPr>
          <w:rFonts w:ascii="Arial" w:hAnsi="Arial" w:cs="Arial"/>
          <w:b/>
          <w:bCs/>
        </w:rPr>
      </w:pPr>
      <w:r w:rsidRPr="00561A43">
        <w:rPr>
          <w:rFonts w:ascii="Arial" w:hAnsi="Arial" w:cs="Arial"/>
          <w:b/>
          <w:bCs/>
        </w:rPr>
        <w:t>K-Means Clustering of Flare Sites</w:t>
      </w:r>
    </w:p>
    <w:p w14:paraId="218121EF" w14:textId="77777777" w:rsidR="00CD5010" w:rsidRDefault="001C2A13" w:rsidP="001C2A13">
      <w:pPr>
        <w:jc w:val="both"/>
        <w:rPr>
          <w:rFonts w:ascii="Arial" w:hAnsi="Arial" w:cs="Arial"/>
        </w:rPr>
      </w:pPr>
      <w:r w:rsidRPr="00561A43">
        <w:rPr>
          <w:rFonts w:ascii="Arial" w:hAnsi="Arial" w:cs="Arial"/>
        </w:rPr>
        <w:t xml:space="preserve">With K = 4 determined, the K-means algorithm was implemented to partition the 24 </w:t>
      </w:r>
      <w:proofErr w:type="spellStart"/>
      <w:r w:rsidRPr="00561A43">
        <w:rPr>
          <w:rFonts w:ascii="Arial" w:hAnsi="Arial" w:cs="Arial"/>
        </w:rPr>
        <w:t>flowstations</w:t>
      </w:r>
      <w:proofErr w:type="spellEnd"/>
      <w:r w:rsidRPr="00561A43">
        <w:rPr>
          <w:rFonts w:ascii="Arial" w:hAnsi="Arial" w:cs="Arial"/>
        </w:rPr>
        <w:t xml:space="preserve"> into four coherent and geographically logical clusters. Each centroid was computed as the mean latitude and longitude of all sites within a cluster, following the standard centroid formulation described in clustering literature </w:t>
      </w:r>
      <w:r w:rsidR="00CD5010">
        <w:rPr>
          <w:rFonts w:ascii="Arial" w:hAnsi="Arial" w:cs="Arial"/>
        </w:rPr>
        <w:t>(</w:t>
      </w:r>
      <w:r w:rsidR="00CD5010" w:rsidRPr="00561A43">
        <w:rPr>
          <w:rFonts w:ascii="Arial" w:hAnsi="Arial" w:cs="Arial"/>
        </w:rPr>
        <w:t>Jain</w:t>
      </w:r>
      <w:r w:rsidR="00CD5010">
        <w:rPr>
          <w:rFonts w:ascii="Arial" w:hAnsi="Arial" w:cs="Arial"/>
        </w:rPr>
        <w:t>, 2010)</w:t>
      </w:r>
      <w:r w:rsidRPr="00561A43">
        <w:rPr>
          <w:rFonts w:ascii="Arial" w:hAnsi="Arial" w:cs="Arial"/>
        </w:rPr>
        <w:t>.</w:t>
      </w:r>
    </w:p>
    <w:p w14:paraId="17DB8EC0" w14:textId="3016117F" w:rsidR="001C2A13" w:rsidRPr="00561A43" w:rsidRDefault="001C2A13" w:rsidP="001C2A13">
      <w:pPr>
        <w:jc w:val="both"/>
        <w:rPr>
          <w:rFonts w:ascii="Arial" w:hAnsi="Arial" w:cs="Arial"/>
        </w:rPr>
      </w:pPr>
      <w:r w:rsidRPr="00561A43">
        <w:rPr>
          <w:rFonts w:ascii="Arial" w:hAnsi="Arial" w:cs="Arial"/>
        </w:rPr>
        <w:t>This process produced distinct clusters reflecting natural spatial patterns of flaring activity across the Niger Delta—consistent with established infrastructural corridors such as the Sapele–Kwale–Oben axis.</w:t>
      </w:r>
    </w:p>
    <w:p w14:paraId="5D000F73" w14:textId="77777777" w:rsidR="001C2A13" w:rsidRPr="00561A43" w:rsidRDefault="001C2A13" w:rsidP="001C2A13">
      <w:pPr>
        <w:jc w:val="both"/>
        <w:rPr>
          <w:rFonts w:ascii="Arial" w:hAnsi="Arial" w:cs="Arial"/>
          <w:b/>
          <w:bCs/>
        </w:rPr>
      </w:pPr>
      <w:r w:rsidRPr="00561A43">
        <w:rPr>
          <w:rFonts w:ascii="Arial" w:hAnsi="Arial" w:cs="Arial"/>
          <w:b/>
          <w:bCs/>
        </w:rPr>
        <w:t>Silhouette Coefficient for Internal Cluster Validation</w:t>
      </w:r>
    </w:p>
    <w:p w14:paraId="665D955A" w14:textId="4C9B98B3" w:rsidR="001C2A13" w:rsidRPr="00561A43" w:rsidRDefault="001C2A13" w:rsidP="001C2A13">
      <w:pPr>
        <w:jc w:val="both"/>
        <w:rPr>
          <w:rFonts w:ascii="Arial" w:hAnsi="Arial" w:cs="Arial"/>
        </w:rPr>
      </w:pPr>
      <w:r w:rsidRPr="00561A43">
        <w:rPr>
          <w:rFonts w:ascii="Arial" w:hAnsi="Arial" w:cs="Arial"/>
        </w:rPr>
        <w:t xml:space="preserve">Following clustering, the silhouette coefficient was computed to validate cohesion and separation within the clusters. Introduced by </w:t>
      </w:r>
      <w:proofErr w:type="spellStart"/>
      <w:r w:rsidRPr="00561A43">
        <w:rPr>
          <w:rFonts w:ascii="Arial" w:hAnsi="Arial" w:cs="Arial"/>
        </w:rPr>
        <w:t>Rousseeuw</w:t>
      </w:r>
      <w:proofErr w:type="spellEnd"/>
      <w:r w:rsidR="000F214B">
        <w:rPr>
          <w:rFonts w:ascii="Arial" w:hAnsi="Arial" w:cs="Arial"/>
        </w:rPr>
        <w:t xml:space="preserve"> (1987)</w:t>
      </w:r>
      <w:r w:rsidRPr="00561A43">
        <w:rPr>
          <w:rFonts w:ascii="Arial" w:hAnsi="Arial" w:cs="Arial"/>
        </w:rPr>
        <w:t xml:space="preserve">, the silhouette metric quantifies how well each data point fits within its assigned cluster relative to </w:t>
      </w:r>
      <w:proofErr w:type="spellStart"/>
      <w:r w:rsidRPr="00561A43">
        <w:rPr>
          <w:rFonts w:ascii="Arial" w:hAnsi="Arial" w:cs="Arial"/>
        </w:rPr>
        <w:t>neighbouring</w:t>
      </w:r>
      <w:proofErr w:type="spellEnd"/>
      <w:r w:rsidRPr="00561A43">
        <w:rPr>
          <w:rFonts w:ascii="Arial" w:hAnsi="Arial" w:cs="Arial"/>
        </w:rPr>
        <w:t xml:space="preserve"> clusters. This validation method has been widely applied in modern clustering assessments, including engineering and environmental datasets </w:t>
      </w:r>
      <w:r w:rsidR="0029068A">
        <w:rPr>
          <w:rFonts w:ascii="Arial" w:hAnsi="Arial" w:cs="Arial"/>
        </w:rPr>
        <w:t>(</w:t>
      </w:r>
      <w:proofErr w:type="spellStart"/>
      <w:r w:rsidR="00A10F5B" w:rsidRPr="00172252">
        <w:rPr>
          <w:rFonts w:ascii="Arial" w:hAnsi="Arial" w:cs="Arial"/>
        </w:rPr>
        <w:t>Shutaywi</w:t>
      </w:r>
      <w:proofErr w:type="spellEnd"/>
      <w:r w:rsidR="00A10F5B">
        <w:rPr>
          <w:rFonts w:ascii="Arial" w:hAnsi="Arial" w:cs="Arial"/>
        </w:rPr>
        <w:t>, 2021</w:t>
      </w:r>
      <w:r w:rsidR="0029068A">
        <w:rPr>
          <w:rFonts w:ascii="Arial" w:hAnsi="Arial" w:cs="Arial"/>
        </w:rPr>
        <w:t>;</w:t>
      </w:r>
      <w:r w:rsidR="00D9106D">
        <w:rPr>
          <w:rFonts w:ascii="Arial" w:hAnsi="Arial" w:cs="Arial"/>
        </w:rPr>
        <w:t xml:space="preserve"> </w:t>
      </w:r>
      <w:proofErr w:type="spellStart"/>
      <w:r w:rsidR="00D9106D" w:rsidRPr="00172252">
        <w:rPr>
          <w:rFonts w:ascii="Arial" w:hAnsi="Arial" w:cs="Arial"/>
        </w:rPr>
        <w:t>Dalmaijer</w:t>
      </w:r>
      <w:proofErr w:type="spellEnd"/>
      <w:r w:rsidR="00D9106D">
        <w:rPr>
          <w:rFonts w:ascii="Arial" w:hAnsi="Arial" w:cs="Arial"/>
        </w:rPr>
        <w:t>, 2022)</w:t>
      </w:r>
      <w:r w:rsidRPr="00561A43">
        <w:rPr>
          <w:rFonts w:ascii="Arial" w:hAnsi="Arial" w:cs="Arial"/>
        </w:rPr>
        <w:t>.</w:t>
      </w:r>
    </w:p>
    <w:p w14:paraId="2F379116" w14:textId="77777777" w:rsidR="001C2A13" w:rsidRPr="00561A43" w:rsidRDefault="001C2A13" w:rsidP="001C2A13">
      <w:pPr>
        <w:jc w:val="both"/>
        <w:rPr>
          <w:rFonts w:ascii="Arial" w:hAnsi="Arial" w:cs="Arial"/>
        </w:rPr>
      </w:pPr>
      <w:r w:rsidRPr="00561A43">
        <w:rPr>
          <w:rFonts w:ascii="Arial" w:hAnsi="Arial" w:cs="Arial"/>
        </w:rPr>
        <w:t>The silhouette values close to +1 indicate well-separated clusters, values near 0 indicate overlapping boundaries, and negative values indicate possible misclassification.</w:t>
      </w:r>
    </w:p>
    <w:p w14:paraId="01C5C858" w14:textId="77777777" w:rsidR="001C2A13" w:rsidRPr="00561A43" w:rsidRDefault="001C2A13" w:rsidP="001C2A13">
      <w:pPr>
        <w:jc w:val="both"/>
        <w:rPr>
          <w:rFonts w:ascii="Arial" w:hAnsi="Arial" w:cs="Arial"/>
          <w:b/>
          <w:bCs/>
        </w:rPr>
      </w:pPr>
      <w:r w:rsidRPr="00561A43">
        <w:rPr>
          <w:rFonts w:ascii="Arial" w:hAnsi="Arial" w:cs="Arial"/>
          <w:b/>
          <w:bCs/>
        </w:rPr>
        <w:t>Purpose of the Study</w:t>
      </w:r>
    </w:p>
    <w:p w14:paraId="1BA39929" w14:textId="77777777" w:rsidR="001C2A13" w:rsidRPr="00561A43" w:rsidRDefault="001C2A13" w:rsidP="001C2A13">
      <w:pPr>
        <w:jc w:val="both"/>
        <w:rPr>
          <w:rFonts w:ascii="Arial" w:hAnsi="Arial" w:cs="Arial"/>
        </w:rPr>
      </w:pPr>
      <w:r w:rsidRPr="00561A43">
        <w:rPr>
          <w:rFonts w:ascii="Arial" w:hAnsi="Arial" w:cs="Arial"/>
        </w:rPr>
        <w:t>The overarching purpose of this paper is to apply a cluster-based geospatial optimization framework to flare-gas sites across the Niger Delta, enabling:</w:t>
      </w:r>
    </w:p>
    <w:p w14:paraId="6E376E6B" w14:textId="77777777" w:rsidR="001C2A13" w:rsidRPr="00561A43" w:rsidRDefault="001C2A13" w:rsidP="001C2A13">
      <w:pPr>
        <w:numPr>
          <w:ilvl w:val="0"/>
          <w:numId w:val="31"/>
        </w:numPr>
        <w:spacing w:after="160" w:line="278" w:lineRule="auto"/>
        <w:jc w:val="both"/>
        <w:rPr>
          <w:rFonts w:ascii="Arial" w:hAnsi="Arial" w:cs="Arial"/>
        </w:rPr>
      </w:pPr>
      <w:r w:rsidRPr="00561A43">
        <w:rPr>
          <w:rFonts w:ascii="Arial" w:hAnsi="Arial" w:cs="Arial"/>
        </w:rPr>
        <w:t>reduced total pipeline distance,</w:t>
      </w:r>
    </w:p>
    <w:p w14:paraId="5F93FC60" w14:textId="77777777" w:rsidR="001C2A13" w:rsidRPr="00561A43" w:rsidRDefault="001C2A13" w:rsidP="001C2A13">
      <w:pPr>
        <w:numPr>
          <w:ilvl w:val="0"/>
          <w:numId w:val="31"/>
        </w:numPr>
        <w:spacing w:after="160" w:line="278" w:lineRule="auto"/>
        <w:jc w:val="both"/>
        <w:rPr>
          <w:rFonts w:ascii="Arial" w:hAnsi="Arial" w:cs="Arial"/>
        </w:rPr>
      </w:pPr>
      <w:r w:rsidRPr="00561A43">
        <w:rPr>
          <w:rFonts w:ascii="Arial" w:hAnsi="Arial" w:cs="Arial"/>
        </w:rPr>
        <w:t>lower infrastructure cost,</w:t>
      </w:r>
    </w:p>
    <w:p w14:paraId="4B45D24E" w14:textId="77777777" w:rsidR="001C2A13" w:rsidRPr="00561A43" w:rsidRDefault="001C2A13" w:rsidP="001C2A13">
      <w:pPr>
        <w:numPr>
          <w:ilvl w:val="0"/>
          <w:numId w:val="31"/>
        </w:numPr>
        <w:spacing w:after="160" w:line="278" w:lineRule="auto"/>
        <w:jc w:val="both"/>
        <w:rPr>
          <w:rFonts w:ascii="Arial" w:hAnsi="Arial" w:cs="Arial"/>
        </w:rPr>
      </w:pPr>
      <w:r w:rsidRPr="00561A43">
        <w:rPr>
          <w:rFonts w:ascii="Arial" w:hAnsi="Arial" w:cs="Arial"/>
        </w:rPr>
        <w:t>prioritization of high-volume flaring zones,</w:t>
      </w:r>
    </w:p>
    <w:p w14:paraId="50A1D599" w14:textId="77777777" w:rsidR="001C2A13" w:rsidRPr="00561A43" w:rsidRDefault="001C2A13" w:rsidP="001C2A13">
      <w:pPr>
        <w:numPr>
          <w:ilvl w:val="0"/>
          <w:numId w:val="31"/>
        </w:numPr>
        <w:spacing w:after="160" w:line="278" w:lineRule="auto"/>
        <w:jc w:val="both"/>
        <w:rPr>
          <w:rFonts w:ascii="Arial" w:hAnsi="Arial" w:cs="Arial"/>
        </w:rPr>
      </w:pPr>
      <w:r w:rsidRPr="00561A43">
        <w:rPr>
          <w:rFonts w:ascii="Arial" w:hAnsi="Arial" w:cs="Arial"/>
        </w:rPr>
        <w:t>more efficient placement of gas-gathering hubs, and</w:t>
      </w:r>
    </w:p>
    <w:p w14:paraId="6B8C318F" w14:textId="77777777" w:rsidR="001C2A13" w:rsidRPr="00561A43" w:rsidRDefault="001C2A13" w:rsidP="001C2A13">
      <w:pPr>
        <w:numPr>
          <w:ilvl w:val="0"/>
          <w:numId w:val="31"/>
        </w:numPr>
        <w:spacing w:after="160" w:line="278" w:lineRule="auto"/>
        <w:jc w:val="both"/>
        <w:rPr>
          <w:rFonts w:ascii="Arial" w:hAnsi="Arial" w:cs="Arial"/>
        </w:rPr>
      </w:pPr>
      <w:r w:rsidRPr="00561A43">
        <w:rPr>
          <w:rFonts w:ascii="Arial" w:hAnsi="Arial" w:cs="Arial"/>
        </w:rPr>
        <w:t>a structured foundation for downstream gas-utilization projects such as gas-to-power systems.</w:t>
      </w:r>
    </w:p>
    <w:p w14:paraId="04BCB600" w14:textId="77777777" w:rsidR="00790ADA" w:rsidRPr="00FB3A86" w:rsidRDefault="00790ADA" w:rsidP="00441B6F">
      <w:pPr>
        <w:pStyle w:val="Body"/>
        <w:spacing w:after="0"/>
        <w:rPr>
          <w:rFonts w:ascii="Arial" w:hAnsi="Arial" w:cs="Arial"/>
        </w:rPr>
      </w:pPr>
    </w:p>
    <w:p w14:paraId="569ED838" w14:textId="171DB5AC"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26D9BB5B" w14:textId="77777777" w:rsidR="00790ADA" w:rsidRPr="00FB3A86" w:rsidRDefault="00790ADA" w:rsidP="00441B6F">
      <w:pPr>
        <w:pStyle w:val="AbstHead"/>
        <w:spacing w:after="0"/>
        <w:jc w:val="both"/>
        <w:rPr>
          <w:rFonts w:ascii="Arial" w:hAnsi="Arial" w:cs="Arial"/>
        </w:rPr>
      </w:pPr>
    </w:p>
    <w:p w14:paraId="76C09855" w14:textId="77777777" w:rsidR="003F351F" w:rsidRPr="00AC086C" w:rsidRDefault="003F351F" w:rsidP="003F351F">
      <w:pPr>
        <w:jc w:val="both"/>
        <w:rPr>
          <w:rFonts w:ascii="Arial" w:hAnsi="Arial" w:cs="Arial"/>
          <w:b/>
          <w:bCs/>
        </w:rPr>
      </w:pPr>
      <w:r w:rsidRPr="00AC086C">
        <w:rPr>
          <w:rFonts w:ascii="Arial" w:hAnsi="Arial" w:cs="Arial"/>
          <w:b/>
          <w:bCs/>
        </w:rPr>
        <w:t>2.1 Study Area</w:t>
      </w:r>
    </w:p>
    <w:p w14:paraId="5B0965FD" w14:textId="4C386781" w:rsidR="00BE460A" w:rsidRDefault="003F351F" w:rsidP="00BE460A">
      <w:r w:rsidRPr="00AC086C">
        <w:rPr>
          <w:rFonts w:ascii="Arial" w:hAnsi="Arial" w:cs="Arial"/>
        </w:rPr>
        <w:t xml:space="preserve">The study was conducted in the Niger Delta region of Nigeria, where 24 onshore </w:t>
      </w:r>
      <w:proofErr w:type="spellStart"/>
      <w:r w:rsidRPr="00AC086C">
        <w:rPr>
          <w:rFonts w:ascii="Arial" w:hAnsi="Arial" w:cs="Arial"/>
        </w:rPr>
        <w:t>flowstations</w:t>
      </w:r>
      <w:proofErr w:type="spellEnd"/>
      <w:r w:rsidRPr="00AC086C">
        <w:rPr>
          <w:rFonts w:ascii="Arial" w:hAnsi="Arial" w:cs="Arial"/>
        </w:rPr>
        <w:t xml:space="preserve"> were selected </w:t>
      </w:r>
      <w:r w:rsidR="00BE460A" w:rsidRPr="00DF3A5C">
        <w:rPr>
          <w:lang w:val="en-NG"/>
        </w:rPr>
        <w:t xml:space="preserve">based on the availability of consistent flare-volume measurement records. Offshore facilities were excluded because pipeline routing, seabed topography, and marine logistics introduce an entirely different cost and terrain dynamic that falls outside the scope of this initial land-based optimisation model. Restricting the dataset to accessible onshore locations enabled direct comparison of cluster connectivity. </w:t>
      </w:r>
    </w:p>
    <w:p w14:paraId="55A0FC59" w14:textId="6A286E45" w:rsidR="003F351F" w:rsidRDefault="003F351F" w:rsidP="003F351F">
      <w:pPr>
        <w:jc w:val="both"/>
        <w:rPr>
          <w:rFonts w:ascii="Arial" w:hAnsi="Arial" w:cs="Arial"/>
        </w:rPr>
      </w:pPr>
      <w:r w:rsidRPr="00AC086C">
        <w:rPr>
          <w:rFonts w:ascii="Arial" w:hAnsi="Arial" w:cs="Arial"/>
        </w:rPr>
        <w:t xml:space="preserve">Geographic coordinates for each </w:t>
      </w:r>
      <w:proofErr w:type="spellStart"/>
      <w:r w:rsidRPr="00AC086C">
        <w:rPr>
          <w:rFonts w:ascii="Arial" w:hAnsi="Arial" w:cs="Arial"/>
        </w:rPr>
        <w:t>flowstation</w:t>
      </w:r>
      <w:proofErr w:type="spellEnd"/>
      <w:r w:rsidRPr="00AC086C">
        <w:rPr>
          <w:rFonts w:ascii="Arial" w:hAnsi="Arial" w:cs="Arial"/>
        </w:rPr>
        <w:t xml:space="preserve"> were obtained using field GPS measurements and cross-verified through Google Earth Pro mapping tools. These coordinates formed the geospatial dataset used for clustering analysis. Table 2.1</w:t>
      </w:r>
      <w:r w:rsidRPr="00AC086C">
        <w:rPr>
          <w:rFonts w:ascii="Arial" w:hAnsi="Arial" w:cs="Arial"/>
          <w:szCs w:val="24"/>
        </w:rPr>
        <w:t xml:space="preserve"> </w:t>
      </w:r>
      <w:r w:rsidRPr="00AC086C">
        <w:rPr>
          <w:rFonts w:ascii="Arial" w:hAnsi="Arial" w:cs="Arial"/>
        </w:rPr>
        <w:t>gives</w:t>
      </w:r>
      <w:r w:rsidRPr="00AC086C">
        <w:rPr>
          <w:rFonts w:ascii="Arial" w:hAnsi="Arial" w:cs="Arial"/>
          <w:szCs w:val="24"/>
        </w:rPr>
        <w:t xml:space="preserve"> the geographical coordinates of the twenty-four (24) identified flare sites.</w:t>
      </w:r>
    </w:p>
    <w:p w14:paraId="1BFDCBC2" w14:textId="77777777" w:rsidR="003F351F" w:rsidRPr="00343EE1" w:rsidRDefault="003F351F" w:rsidP="003F351F">
      <w:pPr>
        <w:jc w:val="both"/>
        <w:rPr>
          <w:rFonts w:ascii="Arial" w:hAnsi="Arial" w:cs="Arial"/>
          <w:b/>
          <w:bCs/>
        </w:rPr>
      </w:pPr>
      <w:r w:rsidRPr="00343EE1">
        <w:rPr>
          <w:rFonts w:ascii="Arial" w:hAnsi="Arial" w:cs="Arial"/>
          <w:b/>
          <w:bCs/>
        </w:rPr>
        <w:t>Table 2.1 G</w:t>
      </w:r>
      <w:r w:rsidRPr="00343EE1">
        <w:rPr>
          <w:rFonts w:ascii="Arial" w:hAnsi="Arial" w:cs="Arial"/>
          <w:b/>
          <w:bCs/>
          <w:szCs w:val="24"/>
        </w:rPr>
        <w:t>eographical coordinates of twenty-four (24) flare sites</w:t>
      </w:r>
      <w:r w:rsidRPr="00343EE1">
        <w:rPr>
          <w:rFonts w:ascii="Arial" w:hAnsi="Arial" w:cs="Arial"/>
          <w:b/>
          <w:bCs/>
        </w:rPr>
        <w:t xml:space="preserve"> in Niger Delta</w:t>
      </w:r>
    </w:p>
    <w:tbl>
      <w:tblPr>
        <w:tblW w:w="8780" w:type="dxa"/>
        <w:tblLook w:val="04A0" w:firstRow="1" w:lastRow="0" w:firstColumn="1" w:lastColumn="0" w:noHBand="0" w:noVBand="1"/>
      </w:tblPr>
      <w:tblGrid>
        <w:gridCol w:w="2320"/>
        <w:gridCol w:w="2180"/>
        <w:gridCol w:w="2060"/>
        <w:gridCol w:w="2220"/>
      </w:tblGrid>
      <w:tr w:rsidR="003F351F" w:rsidRPr="00AC086C" w14:paraId="70BB201D" w14:textId="77777777" w:rsidTr="00E67F70">
        <w:trPr>
          <w:trHeight w:val="290"/>
        </w:trPr>
        <w:tc>
          <w:tcPr>
            <w:tcW w:w="2320" w:type="dxa"/>
            <w:tcBorders>
              <w:top w:val="single" w:sz="4" w:space="0" w:color="auto"/>
              <w:left w:val="single" w:sz="4" w:space="0" w:color="auto"/>
              <w:bottom w:val="single" w:sz="4" w:space="0" w:color="auto"/>
              <w:right w:val="single" w:sz="4" w:space="0" w:color="auto"/>
            </w:tcBorders>
            <w:noWrap/>
            <w:hideMark/>
          </w:tcPr>
          <w:p w14:paraId="727E9AC1" w14:textId="77777777" w:rsidR="003F351F" w:rsidRPr="00AC086C" w:rsidRDefault="003F351F" w:rsidP="00E67F70">
            <w:pPr>
              <w:jc w:val="both"/>
              <w:rPr>
                <w:rFonts w:ascii="Arial" w:hAnsi="Arial" w:cs="Arial"/>
                <w:b/>
                <w:sz w:val="22"/>
              </w:rPr>
            </w:pPr>
            <w:proofErr w:type="spellStart"/>
            <w:r w:rsidRPr="00AC086C">
              <w:rPr>
                <w:rFonts w:ascii="Arial" w:hAnsi="Arial" w:cs="Arial"/>
                <w:b/>
                <w:sz w:val="22"/>
              </w:rPr>
              <w:t>Flowstation</w:t>
            </w:r>
            <w:proofErr w:type="spellEnd"/>
          </w:p>
        </w:tc>
        <w:tc>
          <w:tcPr>
            <w:tcW w:w="2180" w:type="dxa"/>
            <w:tcBorders>
              <w:top w:val="single" w:sz="4" w:space="0" w:color="auto"/>
              <w:left w:val="nil"/>
              <w:bottom w:val="single" w:sz="4" w:space="0" w:color="auto"/>
              <w:right w:val="single" w:sz="4" w:space="0" w:color="auto"/>
            </w:tcBorders>
            <w:noWrap/>
            <w:hideMark/>
          </w:tcPr>
          <w:p w14:paraId="7E03D0AD" w14:textId="77777777" w:rsidR="003F351F" w:rsidRPr="00AC086C" w:rsidRDefault="003F351F" w:rsidP="00E67F70">
            <w:pPr>
              <w:jc w:val="both"/>
              <w:rPr>
                <w:rFonts w:ascii="Arial" w:hAnsi="Arial" w:cs="Arial"/>
                <w:b/>
                <w:sz w:val="22"/>
              </w:rPr>
            </w:pPr>
            <w:r w:rsidRPr="00AC086C">
              <w:rPr>
                <w:rFonts w:ascii="Arial" w:hAnsi="Arial" w:cs="Arial"/>
                <w:b/>
                <w:sz w:val="22"/>
              </w:rPr>
              <w:t>Latitude (°)</w:t>
            </w:r>
          </w:p>
        </w:tc>
        <w:tc>
          <w:tcPr>
            <w:tcW w:w="2060" w:type="dxa"/>
            <w:tcBorders>
              <w:top w:val="single" w:sz="4" w:space="0" w:color="auto"/>
              <w:left w:val="nil"/>
              <w:bottom w:val="single" w:sz="4" w:space="0" w:color="auto"/>
              <w:right w:val="single" w:sz="4" w:space="0" w:color="auto"/>
            </w:tcBorders>
            <w:noWrap/>
            <w:hideMark/>
          </w:tcPr>
          <w:p w14:paraId="736972B5" w14:textId="77777777" w:rsidR="003F351F" w:rsidRPr="00AC086C" w:rsidRDefault="003F351F" w:rsidP="00E67F70">
            <w:pPr>
              <w:jc w:val="both"/>
              <w:rPr>
                <w:rFonts w:ascii="Arial" w:hAnsi="Arial" w:cs="Arial"/>
                <w:b/>
                <w:sz w:val="22"/>
              </w:rPr>
            </w:pPr>
            <w:r w:rsidRPr="00AC086C">
              <w:rPr>
                <w:rFonts w:ascii="Arial" w:hAnsi="Arial" w:cs="Arial"/>
                <w:b/>
                <w:sz w:val="22"/>
              </w:rPr>
              <w:t>Longitude (°)</w:t>
            </w:r>
          </w:p>
        </w:tc>
        <w:tc>
          <w:tcPr>
            <w:tcW w:w="2220" w:type="dxa"/>
            <w:tcBorders>
              <w:top w:val="single" w:sz="4" w:space="0" w:color="auto"/>
              <w:left w:val="nil"/>
              <w:bottom w:val="single" w:sz="4" w:space="0" w:color="auto"/>
              <w:right w:val="single" w:sz="4" w:space="0" w:color="auto"/>
            </w:tcBorders>
            <w:noWrap/>
            <w:hideMark/>
          </w:tcPr>
          <w:p w14:paraId="2F627F51" w14:textId="77777777" w:rsidR="003F351F" w:rsidRPr="00AC086C" w:rsidRDefault="003F351F" w:rsidP="00E67F70">
            <w:pPr>
              <w:jc w:val="both"/>
              <w:rPr>
                <w:rFonts w:ascii="Arial" w:hAnsi="Arial" w:cs="Arial"/>
                <w:b/>
                <w:sz w:val="22"/>
              </w:rPr>
            </w:pPr>
            <w:r w:rsidRPr="00AC086C">
              <w:rPr>
                <w:rFonts w:ascii="Arial" w:hAnsi="Arial" w:cs="Arial"/>
                <w:b/>
                <w:sz w:val="22"/>
              </w:rPr>
              <w:t>Average Flare Volume (</w:t>
            </w:r>
            <w:proofErr w:type="spellStart"/>
            <w:r w:rsidRPr="00AC086C">
              <w:rPr>
                <w:rFonts w:ascii="Arial" w:hAnsi="Arial" w:cs="Arial"/>
                <w:b/>
                <w:sz w:val="22"/>
              </w:rPr>
              <w:t>MMscf</w:t>
            </w:r>
            <w:proofErr w:type="spellEnd"/>
            <w:r w:rsidRPr="00AC086C">
              <w:rPr>
                <w:rFonts w:ascii="Arial" w:hAnsi="Arial" w:cs="Arial"/>
                <w:b/>
                <w:sz w:val="22"/>
              </w:rPr>
              <w:t>/d)</w:t>
            </w:r>
          </w:p>
        </w:tc>
      </w:tr>
      <w:tr w:rsidR="003F351F" w:rsidRPr="00AC086C" w14:paraId="47B63E38"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55CBE2A2" w14:textId="77777777" w:rsidR="003F351F" w:rsidRPr="00AC086C" w:rsidRDefault="003F351F" w:rsidP="00E67F70">
            <w:pPr>
              <w:jc w:val="both"/>
              <w:rPr>
                <w:rFonts w:ascii="Arial" w:hAnsi="Arial" w:cs="Arial"/>
                <w:sz w:val="22"/>
              </w:rPr>
            </w:pPr>
            <w:r w:rsidRPr="00AC086C">
              <w:rPr>
                <w:rFonts w:ascii="Arial" w:hAnsi="Arial" w:cs="Arial"/>
                <w:sz w:val="22"/>
              </w:rPr>
              <w:t>FS-01</w:t>
            </w:r>
          </w:p>
        </w:tc>
        <w:tc>
          <w:tcPr>
            <w:tcW w:w="2180" w:type="dxa"/>
            <w:tcBorders>
              <w:top w:val="nil"/>
              <w:left w:val="nil"/>
              <w:bottom w:val="single" w:sz="4" w:space="0" w:color="auto"/>
              <w:right w:val="single" w:sz="4" w:space="0" w:color="auto"/>
            </w:tcBorders>
            <w:noWrap/>
            <w:vAlign w:val="bottom"/>
            <w:hideMark/>
          </w:tcPr>
          <w:p w14:paraId="09C2427D" w14:textId="77777777" w:rsidR="003F351F" w:rsidRPr="00AC086C" w:rsidRDefault="003F351F" w:rsidP="00E67F70">
            <w:pPr>
              <w:jc w:val="both"/>
              <w:rPr>
                <w:rFonts w:ascii="Arial" w:hAnsi="Arial" w:cs="Arial"/>
                <w:sz w:val="22"/>
              </w:rPr>
            </w:pPr>
            <w:r w:rsidRPr="00AC086C">
              <w:rPr>
                <w:rFonts w:ascii="Arial" w:hAnsi="Arial" w:cs="Arial"/>
                <w:sz w:val="22"/>
              </w:rPr>
              <w:t>5.864393</w:t>
            </w:r>
          </w:p>
        </w:tc>
        <w:tc>
          <w:tcPr>
            <w:tcW w:w="2060" w:type="dxa"/>
            <w:tcBorders>
              <w:top w:val="nil"/>
              <w:left w:val="nil"/>
              <w:bottom w:val="single" w:sz="4" w:space="0" w:color="auto"/>
              <w:right w:val="single" w:sz="4" w:space="0" w:color="auto"/>
            </w:tcBorders>
            <w:noWrap/>
            <w:vAlign w:val="bottom"/>
            <w:hideMark/>
          </w:tcPr>
          <w:p w14:paraId="7C7D5C85" w14:textId="77777777" w:rsidR="003F351F" w:rsidRPr="00AC086C" w:rsidRDefault="003F351F" w:rsidP="00E67F70">
            <w:pPr>
              <w:jc w:val="both"/>
              <w:rPr>
                <w:rFonts w:ascii="Arial" w:hAnsi="Arial" w:cs="Arial"/>
                <w:sz w:val="22"/>
              </w:rPr>
            </w:pPr>
            <w:r w:rsidRPr="00AC086C">
              <w:rPr>
                <w:rFonts w:ascii="Arial" w:hAnsi="Arial" w:cs="Arial"/>
                <w:sz w:val="22"/>
              </w:rPr>
              <w:t>5.691883</w:t>
            </w:r>
          </w:p>
        </w:tc>
        <w:tc>
          <w:tcPr>
            <w:tcW w:w="2220" w:type="dxa"/>
            <w:tcBorders>
              <w:top w:val="nil"/>
              <w:left w:val="nil"/>
              <w:bottom w:val="single" w:sz="4" w:space="0" w:color="auto"/>
              <w:right w:val="single" w:sz="4" w:space="0" w:color="auto"/>
            </w:tcBorders>
            <w:noWrap/>
            <w:vAlign w:val="bottom"/>
            <w:hideMark/>
          </w:tcPr>
          <w:p w14:paraId="70535379" w14:textId="77777777" w:rsidR="003F351F" w:rsidRPr="00AC086C" w:rsidRDefault="003F351F" w:rsidP="00E67F70">
            <w:pPr>
              <w:jc w:val="both"/>
              <w:rPr>
                <w:rFonts w:ascii="Arial" w:hAnsi="Arial" w:cs="Arial"/>
                <w:sz w:val="22"/>
              </w:rPr>
            </w:pPr>
            <w:r w:rsidRPr="00AC086C">
              <w:rPr>
                <w:rFonts w:ascii="Arial" w:hAnsi="Arial" w:cs="Arial"/>
                <w:sz w:val="22"/>
              </w:rPr>
              <w:t>0.234012422</w:t>
            </w:r>
          </w:p>
        </w:tc>
      </w:tr>
      <w:tr w:rsidR="003F351F" w:rsidRPr="00AC086C" w14:paraId="7E047B23"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357DCE86" w14:textId="77777777" w:rsidR="003F351F" w:rsidRPr="00AC086C" w:rsidRDefault="003F351F" w:rsidP="00E67F70">
            <w:pPr>
              <w:jc w:val="both"/>
              <w:rPr>
                <w:rFonts w:ascii="Arial" w:hAnsi="Arial" w:cs="Arial"/>
                <w:sz w:val="22"/>
              </w:rPr>
            </w:pPr>
            <w:r w:rsidRPr="00AC086C">
              <w:rPr>
                <w:rFonts w:ascii="Arial" w:hAnsi="Arial" w:cs="Arial"/>
                <w:sz w:val="22"/>
              </w:rPr>
              <w:lastRenderedPageBreak/>
              <w:t>FS-02</w:t>
            </w:r>
          </w:p>
        </w:tc>
        <w:tc>
          <w:tcPr>
            <w:tcW w:w="2180" w:type="dxa"/>
            <w:tcBorders>
              <w:top w:val="nil"/>
              <w:left w:val="nil"/>
              <w:bottom w:val="single" w:sz="4" w:space="0" w:color="auto"/>
              <w:right w:val="single" w:sz="4" w:space="0" w:color="auto"/>
            </w:tcBorders>
            <w:noWrap/>
            <w:vAlign w:val="bottom"/>
            <w:hideMark/>
          </w:tcPr>
          <w:p w14:paraId="3668BEE6" w14:textId="77777777" w:rsidR="003F351F" w:rsidRPr="00AC086C" w:rsidRDefault="003F351F" w:rsidP="00E67F70">
            <w:pPr>
              <w:jc w:val="both"/>
              <w:rPr>
                <w:rFonts w:ascii="Arial" w:hAnsi="Arial" w:cs="Arial"/>
                <w:sz w:val="22"/>
              </w:rPr>
            </w:pPr>
            <w:r w:rsidRPr="00AC086C">
              <w:rPr>
                <w:rFonts w:ascii="Arial" w:hAnsi="Arial" w:cs="Arial"/>
                <w:sz w:val="22"/>
              </w:rPr>
              <w:t>6.013072</w:t>
            </w:r>
          </w:p>
        </w:tc>
        <w:tc>
          <w:tcPr>
            <w:tcW w:w="2060" w:type="dxa"/>
            <w:tcBorders>
              <w:top w:val="nil"/>
              <w:left w:val="nil"/>
              <w:bottom w:val="single" w:sz="4" w:space="0" w:color="auto"/>
              <w:right w:val="single" w:sz="4" w:space="0" w:color="auto"/>
            </w:tcBorders>
            <w:noWrap/>
            <w:vAlign w:val="bottom"/>
            <w:hideMark/>
          </w:tcPr>
          <w:p w14:paraId="6B705DAF" w14:textId="77777777" w:rsidR="003F351F" w:rsidRPr="00AC086C" w:rsidRDefault="003F351F" w:rsidP="00E67F70">
            <w:pPr>
              <w:jc w:val="both"/>
              <w:rPr>
                <w:rFonts w:ascii="Arial" w:hAnsi="Arial" w:cs="Arial"/>
                <w:sz w:val="22"/>
              </w:rPr>
            </w:pPr>
            <w:r w:rsidRPr="00AC086C">
              <w:rPr>
                <w:rFonts w:ascii="Arial" w:hAnsi="Arial" w:cs="Arial"/>
                <w:sz w:val="22"/>
              </w:rPr>
              <w:t>5.867695</w:t>
            </w:r>
          </w:p>
        </w:tc>
        <w:tc>
          <w:tcPr>
            <w:tcW w:w="2220" w:type="dxa"/>
            <w:tcBorders>
              <w:top w:val="nil"/>
              <w:left w:val="nil"/>
              <w:bottom w:val="single" w:sz="4" w:space="0" w:color="auto"/>
              <w:right w:val="single" w:sz="4" w:space="0" w:color="auto"/>
            </w:tcBorders>
            <w:noWrap/>
            <w:vAlign w:val="bottom"/>
            <w:hideMark/>
          </w:tcPr>
          <w:p w14:paraId="50C70480" w14:textId="77777777" w:rsidR="003F351F" w:rsidRPr="00AC086C" w:rsidRDefault="003F351F" w:rsidP="00E67F70">
            <w:pPr>
              <w:jc w:val="both"/>
              <w:rPr>
                <w:rFonts w:ascii="Arial" w:hAnsi="Arial" w:cs="Arial"/>
                <w:sz w:val="22"/>
              </w:rPr>
            </w:pPr>
            <w:r w:rsidRPr="00AC086C">
              <w:rPr>
                <w:rFonts w:ascii="Arial" w:hAnsi="Arial" w:cs="Arial"/>
                <w:sz w:val="22"/>
              </w:rPr>
              <w:t>3.899729458</w:t>
            </w:r>
          </w:p>
        </w:tc>
      </w:tr>
      <w:tr w:rsidR="003F351F" w:rsidRPr="00AC086C" w14:paraId="6D296773"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0CF4E95A" w14:textId="77777777" w:rsidR="003F351F" w:rsidRPr="00AC086C" w:rsidRDefault="003F351F" w:rsidP="00E67F70">
            <w:pPr>
              <w:jc w:val="both"/>
              <w:rPr>
                <w:rFonts w:ascii="Arial" w:hAnsi="Arial" w:cs="Arial"/>
                <w:sz w:val="22"/>
              </w:rPr>
            </w:pPr>
            <w:r w:rsidRPr="00AC086C">
              <w:rPr>
                <w:rFonts w:ascii="Arial" w:hAnsi="Arial" w:cs="Arial"/>
                <w:sz w:val="22"/>
              </w:rPr>
              <w:t>FS-03</w:t>
            </w:r>
          </w:p>
        </w:tc>
        <w:tc>
          <w:tcPr>
            <w:tcW w:w="2180" w:type="dxa"/>
            <w:tcBorders>
              <w:top w:val="nil"/>
              <w:left w:val="nil"/>
              <w:bottom w:val="single" w:sz="4" w:space="0" w:color="auto"/>
              <w:right w:val="single" w:sz="4" w:space="0" w:color="auto"/>
            </w:tcBorders>
            <w:noWrap/>
            <w:vAlign w:val="bottom"/>
            <w:hideMark/>
          </w:tcPr>
          <w:p w14:paraId="2AA8CA15" w14:textId="77777777" w:rsidR="003F351F" w:rsidRPr="00AC086C" w:rsidRDefault="003F351F" w:rsidP="00E67F70">
            <w:pPr>
              <w:jc w:val="both"/>
              <w:rPr>
                <w:rFonts w:ascii="Arial" w:hAnsi="Arial" w:cs="Arial"/>
                <w:sz w:val="22"/>
              </w:rPr>
            </w:pPr>
            <w:r w:rsidRPr="00AC086C">
              <w:rPr>
                <w:rFonts w:ascii="Arial" w:hAnsi="Arial" w:cs="Arial"/>
                <w:sz w:val="22"/>
              </w:rPr>
              <w:t>5.897791</w:t>
            </w:r>
          </w:p>
        </w:tc>
        <w:tc>
          <w:tcPr>
            <w:tcW w:w="2060" w:type="dxa"/>
            <w:tcBorders>
              <w:top w:val="nil"/>
              <w:left w:val="nil"/>
              <w:bottom w:val="single" w:sz="4" w:space="0" w:color="auto"/>
              <w:right w:val="single" w:sz="4" w:space="0" w:color="auto"/>
            </w:tcBorders>
            <w:noWrap/>
            <w:vAlign w:val="bottom"/>
            <w:hideMark/>
          </w:tcPr>
          <w:p w14:paraId="285D5DCC" w14:textId="77777777" w:rsidR="003F351F" w:rsidRPr="00AC086C" w:rsidRDefault="003F351F" w:rsidP="00E67F70">
            <w:pPr>
              <w:jc w:val="both"/>
              <w:rPr>
                <w:rFonts w:ascii="Arial" w:hAnsi="Arial" w:cs="Arial"/>
                <w:sz w:val="22"/>
              </w:rPr>
            </w:pPr>
            <w:r w:rsidRPr="00AC086C">
              <w:rPr>
                <w:rFonts w:ascii="Arial" w:hAnsi="Arial" w:cs="Arial"/>
                <w:sz w:val="22"/>
              </w:rPr>
              <w:t>5.582705</w:t>
            </w:r>
          </w:p>
        </w:tc>
        <w:tc>
          <w:tcPr>
            <w:tcW w:w="2220" w:type="dxa"/>
            <w:tcBorders>
              <w:top w:val="nil"/>
              <w:left w:val="nil"/>
              <w:bottom w:val="single" w:sz="4" w:space="0" w:color="auto"/>
              <w:right w:val="single" w:sz="4" w:space="0" w:color="auto"/>
            </w:tcBorders>
            <w:noWrap/>
            <w:vAlign w:val="bottom"/>
            <w:hideMark/>
          </w:tcPr>
          <w:p w14:paraId="20E4309B" w14:textId="77777777" w:rsidR="003F351F" w:rsidRPr="00AC086C" w:rsidRDefault="003F351F" w:rsidP="00E67F70">
            <w:pPr>
              <w:jc w:val="both"/>
              <w:rPr>
                <w:rFonts w:ascii="Arial" w:hAnsi="Arial" w:cs="Arial"/>
                <w:sz w:val="22"/>
              </w:rPr>
            </w:pPr>
            <w:r w:rsidRPr="00AC086C">
              <w:rPr>
                <w:rFonts w:ascii="Arial" w:hAnsi="Arial" w:cs="Arial"/>
                <w:sz w:val="22"/>
              </w:rPr>
              <w:t>4.825422497</w:t>
            </w:r>
          </w:p>
        </w:tc>
      </w:tr>
      <w:tr w:rsidR="003F351F" w:rsidRPr="00AC086C" w14:paraId="13F96B39"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68728902" w14:textId="77777777" w:rsidR="003F351F" w:rsidRPr="00AC086C" w:rsidRDefault="003F351F" w:rsidP="00E67F70">
            <w:pPr>
              <w:jc w:val="both"/>
              <w:rPr>
                <w:rFonts w:ascii="Arial" w:hAnsi="Arial" w:cs="Arial"/>
                <w:sz w:val="22"/>
              </w:rPr>
            </w:pPr>
            <w:r w:rsidRPr="00AC086C">
              <w:rPr>
                <w:rFonts w:ascii="Arial" w:hAnsi="Arial" w:cs="Arial"/>
                <w:sz w:val="22"/>
              </w:rPr>
              <w:t>FS-04</w:t>
            </w:r>
          </w:p>
        </w:tc>
        <w:tc>
          <w:tcPr>
            <w:tcW w:w="2180" w:type="dxa"/>
            <w:tcBorders>
              <w:top w:val="nil"/>
              <w:left w:val="nil"/>
              <w:bottom w:val="single" w:sz="4" w:space="0" w:color="auto"/>
              <w:right w:val="single" w:sz="4" w:space="0" w:color="auto"/>
            </w:tcBorders>
            <w:noWrap/>
            <w:vAlign w:val="bottom"/>
            <w:hideMark/>
          </w:tcPr>
          <w:p w14:paraId="0CFEF0AA" w14:textId="77777777" w:rsidR="003F351F" w:rsidRPr="00AC086C" w:rsidRDefault="003F351F" w:rsidP="00E67F70">
            <w:pPr>
              <w:jc w:val="both"/>
              <w:rPr>
                <w:rFonts w:ascii="Arial" w:hAnsi="Arial" w:cs="Arial"/>
                <w:sz w:val="22"/>
              </w:rPr>
            </w:pPr>
            <w:r w:rsidRPr="00AC086C">
              <w:rPr>
                <w:rFonts w:ascii="Arial" w:hAnsi="Arial" w:cs="Arial"/>
                <w:sz w:val="22"/>
              </w:rPr>
              <w:t>4.974801</w:t>
            </w:r>
          </w:p>
        </w:tc>
        <w:tc>
          <w:tcPr>
            <w:tcW w:w="2060" w:type="dxa"/>
            <w:tcBorders>
              <w:top w:val="nil"/>
              <w:left w:val="nil"/>
              <w:bottom w:val="single" w:sz="4" w:space="0" w:color="auto"/>
              <w:right w:val="single" w:sz="4" w:space="0" w:color="auto"/>
            </w:tcBorders>
            <w:noWrap/>
            <w:vAlign w:val="bottom"/>
            <w:hideMark/>
          </w:tcPr>
          <w:p w14:paraId="2B63628E" w14:textId="77777777" w:rsidR="003F351F" w:rsidRPr="00AC086C" w:rsidRDefault="003F351F" w:rsidP="00E67F70">
            <w:pPr>
              <w:jc w:val="both"/>
              <w:rPr>
                <w:rFonts w:ascii="Arial" w:hAnsi="Arial" w:cs="Arial"/>
                <w:sz w:val="22"/>
              </w:rPr>
            </w:pPr>
            <w:r w:rsidRPr="00AC086C">
              <w:rPr>
                <w:rFonts w:ascii="Arial" w:hAnsi="Arial" w:cs="Arial"/>
                <w:sz w:val="22"/>
              </w:rPr>
              <w:t>7.1968</w:t>
            </w:r>
          </w:p>
        </w:tc>
        <w:tc>
          <w:tcPr>
            <w:tcW w:w="2220" w:type="dxa"/>
            <w:tcBorders>
              <w:top w:val="nil"/>
              <w:left w:val="nil"/>
              <w:bottom w:val="single" w:sz="4" w:space="0" w:color="auto"/>
              <w:right w:val="single" w:sz="4" w:space="0" w:color="auto"/>
            </w:tcBorders>
            <w:noWrap/>
            <w:vAlign w:val="bottom"/>
            <w:hideMark/>
          </w:tcPr>
          <w:p w14:paraId="1EC8AF4A" w14:textId="77777777" w:rsidR="003F351F" w:rsidRPr="00AC086C" w:rsidRDefault="003F351F" w:rsidP="00E67F70">
            <w:pPr>
              <w:jc w:val="both"/>
              <w:rPr>
                <w:rFonts w:ascii="Arial" w:hAnsi="Arial" w:cs="Arial"/>
                <w:sz w:val="22"/>
              </w:rPr>
            </w:pPr>
            <w:r w:rsidRPr="00AC086C">
              <w:rPr>
                <w:rFonts w:ascii="Arial" w:hAnsi="Arial" w:cs="Arial"/>
                <w:sz w:val="22"/>
              </w:rPr>
              <w:t>3.504896552</w:t>
            </w:r>
          </w:p>
        </w:tc>
      </w:tr>
      <w:tr w:rsidR="003F351F" w:rsidRPr="00AC086C" w14:paraId="1E354CDF"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62932C2B" w14:textId="77777777" w:rsidR="003F351F" w:rsidRPr="00AC086C" w:rsidRDefault="003F351F" w:rsidP="00E67F70">
            <w:pPr>
              <w:jc w:val="both"/>
              <w:rPr>
                <w:rFonts w:ascii="Arial" w:hAnsi="Arial" w:cs="Arial"/>
                <w:sz w:val="22"/>
              </w:rPr>
            </w:pPr>
            <w:r w:rsidRPr="00AC086C">
              <w:rPr>
                <w:rFonts w:ascii="Arial" w:hAnsi="Arial" w:cs="Arial"/>
                <w:sz w:val="22"/>
              </w:rPr>
              <w:t>FS-05</w:t>
            </w:r>
          </w:p>
        </w:tc>
        <w:tc>
          <w:tcPr>
            <w:tcW w:w="2180" w:type="dxa"/>
            <w:tcBorders>
              <w:top w:val="nil"/>
              <w:left w:val="nil"/>
              <w:bottom w:val="single" w:sz="4" w:space="0" w:color="auto"/>
              <w:right w:val="single" w:sz="4" w:space="0" w:color="auto"/>
            </w:tcBorders>
            <w:noWrap/>
            <w:vAlign w:val="bottom"/>
            <w:hideMark/>
          </w:tcPr>
          <w:p w14:paraId="43124BE2" w14:textId="77777777" w:rsidR="003F351F" w:rsidRPr="00AC086C" w:rsidRDefault="003F351F" w:rsidP="00E67F70">
            <w:pPr>
              <w:jc w:val="both"/>
              <w:rPr>
                <w:rFonts w:ascii="Arial" w:hAnsi="Arial" w:cs="Arial"/>
                <w:sz w:val="22"/>
              </w:rPr>
            </w:pPr>
            <w:r w:rsidRPr="00AC086C">
              <w:rPr>
                <w:rFonts w:ascii="Arial" w:hAnsi="Arial" w:cs="Arial"/>
                <w:sz w:val="22"/>
              </w:rPr>
              <w:t>4.844472</w:t>
            </w:r>
          </w:p>
        </w:tc>
        <w:tc>
          <w:tcPr>
            <w:tcW w:w="2060" w:type="dxa"/>
            <w:tcBorders>
              <w:top w:val="nil"/>
              <w:left w:val="nil"/>
              <w:bottom w:val="single" w:sz="4" w:space="0" w:color="auto"/>
              <w:right w:val="single" w:sz="4" w:space="0" w:color="auto"/>
            </w:tcBorders>
            <w:noWrap/>
            <w:vAlign w:val="bottom"/>
            <w:hideMark/>
          </w:tcPr>
          <w:p w14:paraId="2FF5E3E9" w14:textId="77777777" w:rsidR="003F351F" w:rsidRPr="00AC086C" w:rsidRDefault="003F351F" w:rsidP="00E67F70">
            <w:pPr>
              <w:jc w:val="both"/>
              <w:rPr>
                <w:rFonts w:ascii="Arial" w:hAnsi="Arial" w:cs="Arial"/>
                <w:sz w:val="22"/>
              </w:rPr>
            </w:pPr>
            <w:r w:rsidRPr="00AC086C">
              <w:rPr>
                <w:rFonts w:ascii="Arial" w:hAnsi="Arial" w:cs="Arial"/>
                <w:sz w:val="22"/>
              </w:rPr>
              <w:t>7.253451</w:t>
            </w:r>
          </w:p>
        </w:tc>
        <w:tc>
          <w:tcPr>
            <w:tcW w:w="2220" w:type="dxa"/>
            <w:tcBorders>
              <w:top w:val="nil"/>
              <w:left w:val="nil"/>
              <w:bottom w:val="single" w:sz="4" w:space="0" w:color="auto"/>
              <w:right w:val="single" w:sz="4" w:space="0" w:color="auto"/>
            </w:tcBorders>
            <w:noWrap/>
            <w:vAlign w:val="bottom"/>
            <w:hideMark/>
          </w:tcPr>
          <w:p w14:paraId="07352E13" w14:textId="77777777" w:rsidR="003F351F" w:rsidRPr="00AC086C" w:rsidRDefault="003F351F" w:rsidP="00E67F70">
            <w:pPr>
              <w:jc w:val="both"/>
              <w:rPr>
                <w:rFonts w:ascii="Arial" w:hAnsi="Arial" w:cs="Arial"/>
                <w:sz w:val="22"/>
              </w:rPr>
            </w:pPr>
            <w:r w:rsidRPr="00AC086C">
              <w:rPr>
                <w:rFonts w:ascii="Arial" w:hAnsi="Arial" w:cs="Arial"/>
                <w:sz w:val="22"/>
              </w:rPr>
              <w:t>2.741333333</w:t>
            </w:r>
          </w:p>
        </w:tc>
      </w:tr>
      <w:tr w:rsidR="003F351F" w:rsidRPr="00AC086C" w14:paraId="368AA599"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7DD2C2CD" w14:textId="77777777" w:rsidR="003F351F" w:rsidRPr="00AC086C" w:rsidRDefault="003F351F" w:rsidP="00E67F70">
            <w:pPr>
              <w:jc w:val="both"/>
              <w:rPr>
                <w:rFonts w:ascii="Arial" w:hAnsi="Arial" w:cs="Arial"/>
                <w:sz w:val="22"/>
              </w:rPr>
            </w:pPr>
            <w:r w:rsidRPr="00AC086C">
              <w:rPr>
                <w:rFonts w:ascii="Arial" w:hAnsi="Arial" w:cs="Arial"/>
                <w:sz w:val="22"/>
              </w:rPr>
              <w:t>FS-06</w:t>
            </w:r>
          </w:p>
        </w:tc>
        <w:tc>
          <w:tcPr>
            <w:tcW w:w="2180" w:type="dxa"/>
            <w:tcBorders>
              <w:top w:val="nil"/>
              <w:left w:val="nil"/>
              <w:bottom w:val="single" w:sz="4" w:space="0" w:color="auto"/>
              <w:right w:val="single" w:sz="4" w:space="0" w:color="auto"/>
            </w:tcBorders>
            <w:noWrap/>
            <w:vAlign w:val="bottom"/>
            <w:hideMark/>
          </w:tcPr>
          <w:p w14:paraId="198830BB" w14:textId="77777777" w:rsidR="003F351F" w:rsidRPr="00AC086C" w:rsidRDefault="003F351F" w:rsidP="00E67F70">
            <w:pPr>
              <w:jc w:val="both"/>
              <w:rPr>
                <w:rFonts w:ascii="Arial" w:hAnsi="Arial" w:cs="Arial"/>
                <w:sz w:val="22"/>
              </w:rPr>
            </w:pPr>
            <w:r w:rsidRPr="00AC086C">
              <w:rPr>
                <w:rFonts w:ascii="Arial" w:hAnsi="Arial" w:cs="Arial"/>
                <w:sz w:val="22"/>
              </w:rPr>
              <w:t>4.872862</w:t>
            </w:r>
          </w:p>
        </w:tc>
        <w:tc>
          <w:tcPr>
            <w:tcW w:w="2060" w:type="dxa"/>
            <w:tcBorders>
              <w:top w:val="nil"/>
              <w:left w:val="nil"/>
              <w:bottom w:val="single" w:sz="4" w:space="0" w:color="auto"/>
              <w:right w:val="single" w:sz="4" w:space="0" w:color="auto"/>
            </w:tcBorders>
            <w:noWrap/>
            <w:vAlign w:val="bottom"/>
            <w:hideMark/>
          </w:tcPr>
          <w:p w14:paraId="18C22BF6" w14:textId="77777777" w:rsidR="003F351F" w:rsidRPr="00AC086C" w:rsidRDefault="003F351F" w:rsidP="00E67F70">
            <w:pPr>
              <w:jc w:val="both"/>
              <w:rPr>
                <w:rFonts w:ascii="Arial" w:hAnsi="Arial" w:cs="Arial"/>
                <w:sz w:val="22"/>
              </w:rPr>
            </w:pPr>
            <w:r w:rsidRPr="00AC086C">
              <w:rPr>
                <w:rFonts w:ascii="Arial" w:hAnsi="Arial" w:cs="Arial"/>
                <w:sz w:val="22"/>
              </w:rPr>
              <w:t>7.227171</w:t>
            </w:r>
          </w:p>
        </w:tc>
        <w:tc>
          <w:tcPr>
            <w:tcW w:w="2220" w:type="dxa"/>
            <w:tcBorders>
              <w:top w:val="nil"/>
              <w:left w:val="nil"/>
              <w:bottom w:val="single" w:sz="4" w:space="0" w:color="auto"/>
              <w:right w:val="single" w:sz="4" w:space="0" w:color="auto"/>
            </w:tcBorders>
            <w:noWrap/>
            <w:vAlign w:val="bottom"/>
            <w:hideMark/>
          </w:tcPr>
          <w:p w14:paraId="6C1D2E6B" w14:textId="77777777" w:rsidR="003F351F" w:rsidRPr="00AC086C" w:rsidRDefault="003F351F" w:rsidP="00E67F70">
            <w:pPr>
              <w:jc w:val="both"/>
              <w:rPr>
                <w:rFonts w:ascii="Arial" w:hAnsi="Arial" w:cs="Arial"/>
                <w:sz w:val="22"/>
              </w:rPr>
            </w:pPr>
            <w:r w:rsidRPr="00AC086C">
              <w:rPr>
                <w:rFonts w:ascii="Arial" w:hAnsi="Arial" w:cs="Arial"/>
                <w:sz w:val="22"/>
              </w:rPr>
              <w:t>1.356045</w:t>
            </w:r>
          </w:p>
        </w:tc>
      </w:tr>
      <w:tr w:rsidR="003F351F" w:rsidRPr="00AC086C" w14:paraId="2D679C8E"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7FFFB99E" w14:textId="77777777" w:rsidR="003F351F" w:rsidRPr="00AC086C" w:rsidRDefault="003F351F" w:rsidP="00E67F70">
            <w:pPr>
              <w:jc w:val="both"/>
              <w:rPr>
                <w:rFonts w:ascii="Arial" w:hAnsi="Arial" w:cs="Arial"/>
                <w:sz w:val="22"/>
              </w:rPr>
            </w:pPr>
            <w:r w:rsidRPr="00AC086C">
              <w:rPr>
                <w:rFonts w:ascii="Arial" w:hAnsi="Arial" w:cs="Arial"/>
                <w:sz w:val="22"/>
              </w:rPr>
              <w:t>FS-07</w:t>
            </w:r>
          </w:p>
        </w:tc>
        <w:tc>
          <w:tcPr>
            <w:tcW w:w="2180" w:type="dxa"/>
            <w:tcBorders>
              <w:top w:val="nil"/>
              <w:left w:val="nil"/>
              <w:bottom w:val="single" w:sz="4" w:space="0" w:color="auto"/>
              <w:right w:val="single" w:sz="4" w:space="0" w:color="auto"/>
            </w:tcBorders>
            <w:noWrap/>
            <w:vAlign w:val="bottom"/>
            <w:hideMark/>
          </w:tcPr>
          <w:p w14:paraId="1080D6D7" w14:textId="77777777" w:rsidR="003F351F" w:rsidRPr="00AC086C" w:rsidRDefault="003F351F" w:rsidP="00E67F70">
            <w:pPr>
              <w:jc w:val="both"/>
              <w:rPr>
                <w:rFonts w:ascii="Arial" w:hAnsi="Arial" w:cs="Arial"/>
                <w:sz w:val="22"/>
              </w:rPr>
            </w:pPr>
            <w:r w:rsidRPr="00AC086C">
              <w:rPr>
                <w:rFonts w:ascii="Arial" w:hAnsi="Arial" w:cs="Arial"/>
                <w:sz w:val="22"/>
              </w:rPr>
              <w:t>4.514167</w:t>
            </w:r>
          </w:p>
        </w:tc>
        <w:tc>
          <w:tcPr>
            <w:tcW w:w="2060" w:type="dxa"/>
            <w:tcBorders>
              <w:top w:val="nil"/>
              <w:left w:val="nil"/>
              <w:bottom w:val="single" w:sz="4" w:space="0" w:color="auto"/>
              <w:right w:val="single" w:sz="4" w:space="0" w:color="auto"/>
            </w:tcBorders>
            <w:noWrap/>
            <w:vAlign w:val="bottom"/>
            <w:hideMark/>
          </w:tcPr>
          <w:p w14:paraId="39BEB412" w14:textId="77777777" w:rsidR="003F351F" w:rsidRPr="00AC086C" w:rsidRDefault="003F351F" w:rsidP="00E67F70">
            <w:pPr>
              <w:jc w:val="both"/>
              <w:rPr>
                <w:rFonts w:ascii="Arial" w:hAnsi="Arial" w:cs="Arial"/>
                <w:sz w:val="22"/>
              </w:rPr>
            </w:pPr>
            <w:r w:rsidRPr="00AC086C">
              <w:rPr>
                <w:rFonts w:ascii="Arial" w:hAnsi="Arial" w:cs="Arial"/>
                <w:sz w:val="22"/>
              </w:rPr>
              <w:t>7.751389</w:t>
            </w:r>
          </w:p>
        </w:tc>
        <w:tc>
          <w:tcPr>
            <w:tcW w:w="2220" w:type="dxa"/>
            <w:tcBorders>
              <w:top w:val="nil"/>
              <w:left w:val="nil"/>
              <w:bottom w:val="single" w:sz="4" w:space="0" w:color="auto"/>
              <w:right w:val="single" w:sz="4" w:space="0" w:color="auto"/>
            </w:tcBorders>
            <w:noWrap/>
            <w:vAlign w:val="bottom"/>
            <w:hideMark/>
          </w:tcPr>
          <w:p w14:paraId="640EF8B1" w14:textId="77777777" w:rsidR="003F351F" w:rsidRPr="00AC086C" w:rsidRDefault="003F351F" w:rsidP="00E67F70">
            <w:pPr>
              <w:jc w:val="both"/>
              <w:rPr>
                <w:rFonts w:ascii="Arial" w:hAnsi="Arial" w:cs="Arial"/>
                <w:sz w:val="22"/>
              </w:rPr>
            </w:pPr>
            <w:r w:rsidRPr="00AC086C">
              <w:rPr>
                <w:rFonts w:ascii="Arial" w:hAnsi="Arial" w:cs="Arial"/>
                <w:sz w:val="22"/>
              </w:rPr>
              <w:t>16.9550163</w:t>
            </w:r>
          </w:p>
        </w:tc>
      </w:tr>
      <w:tr w:rsidR="003F351F" w:rsidRPr="00AC086C" w14:paraId="0F420CC2"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7AEDCFE5" w14:textId="77777777" w:rsidR="003F351F" w:rsidRPr="00AC086C" w:rsidRDefault="003F351F" w:rsidP="00E67F70">
            <w:pPr>
              <w:jc w:val="both"/>
              <w:rPr>
                <w:rFonts w:ascii="Arial" w:hAnsi="Arial" w:cs="Arial"/>
                <w:sz w:val="22"/>
              </w:rPr>
            </w:pPr>
            <w:r w:rsidRPr="00AC086C">
              <w:rPr>
                <w:rFonts w:ascii="Arial" w:hAnsi="Arial" w:cs="Arial"/>
                <w:sz w:val="22"/>
              </w:rPr>
              <w:t>FS-08</w:t>
            </w:r>
          </w:p>
        </w:tc>
        <w:tc>
          <w:tcPr>
            <w:tcW w:w="2180" w:type="dxa"/>
            <w:tcBorders>
              <w:top w:val="nil"/>
              <w:left w:val="nil"/>
              <w:bottom w:val="single" w:sz="4" w:space="0" w:color="auto"/>
              <w:right w:val="single" w:sz="4" w:space="0" w:color="auto"/>
            </w:tcBorders>
            <w:noWrap/>
            <w:vAlign w:val="bottom"/>
            <w:hideMark/>
          </w:tcPr>
          <w:p w14:paraId="104D7C01" w14:textId="77777777" w:rsidR="003F351F" w:rsidRPr="00AC086C" w:rsidRDefault="003F351F" w:rsidP="00E67F70">
            <w:pPr>
              <w:jc w:val="both"/>
              <w:rPr>
                <w:rFonts w:ascii="Arial" w:hAnsi="Arial" w:cs="Arial"/>
                <w:sz w:val="22"/>
              </w:rPr>
            </w:pPr>
            <w:r w:rsidRPr="00AC086C">
              <w:rPr>
                <w:rFonts w:ascii="Arial" w:hAnsi="Arial" w:cs="Arial"/>
                <w:sz w:val="22"/>
              </w:rPr>
              <w:t>5.569937</w:t>
            </w:r>
          </w:p>
        </w:tc>
        <w:tc>
          <w:tcPr>
            <w:tcW w:w="2060" w:type="dxa"/>
            <w:tcBorders>
              <w:top w:val="nil"/>
              <w:left w:val="nil"/>
              <w:bottom w:val="single" w:sz="4" w:space="0" w:color="auto"/>
              <w:right w:val="single" w:sz="4" w:space="0" w:color="auto"/>
            </w:tcBorders>
            <w:noWrap/>
            <w:vAlign w:val="bottom"/>
            <w:hideMark/>
          </w:tcPr>
          <w:p w14:paraId="079AF6ED" w14:textId="77777777" w:rsidR="003F351F" w:rsidRPr="00AC086C" w:rsidRDefault="003F351F" w:rsidP="00E67F70">
            <w:pPr>
              <w:jc w:val="both"/>
              <w:rPr>
                <w:rFonts w:ascii="Arial" w:hAnsi="Arial" w:cs="Arial"/>
                <w:sz w:val="22"/>
              </w:rPr>
            </w:pPr>
            <w:r w:rsidRPr="00AC086C">
              <w:rPr>
                <w:rFonts w:ascii="Arial" w:hAnsi="Arial" w:cs="Arial"/>
                <w:sz w:val="22"/>
              </w:rPr>
              <w:t>6.303998</w:t>
            </w:r>
          </w:p>
        </w:tc>
        <w:tc>
          <w:tcPr>
            <w:tcW w:w="2220" w:type="dxa"/>
            <w:tcBorders>
              <w:top w:val="nil"/>
              <w:left w:val="nil"/>
              <w:bottom w:val="single" w:sz="4" w:space="0" w:color="auto"/>
              <w:right w:val="single" w:sz="4" w:space="0" w:color="auto"/>
            </w:tcBorders>
            <w:noWrap/>
            <w:vAlign w:val="bottom"/>
            <w:hideMark/>
          </w:tcPr>
          <w:p w14:paraId="5EFF9D4A" w14:textId="77777777" w:rsidR="003F351F" w:rsidRPr="00AC086C" w:rsidRDefault="003F351F" w:rsidP="00E67F70">
            <w:pPr>
              <w:jc w:val="both"/>
              <w:rPr>
                <w:rFonts w:ascii="Arial" w:hAnsi="Arial" w:cs="Arial"/>
                <w:sz w:val="22"/>
              </w:rPr>
            </w:pPr>
            <w:r w:rsidRPr="00AC086C">
              <w:rPr>
                <w:rFonts w:ascii="Arial" w:hAnsi="Arial" w:cs="Arial"/>
                <w:sz w:val="22"/>
              </w:rPr>
              <w:t>4.404632768</w:t>
            </w:r>
          </w:p>
        </w:tc>
      </w:tr>
      <w:tr w:rsidR="003F351F" w:rsidRPr="00AC086C" w14:paraId="694ECD8C"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73F01F07" w14:textId="77777777" w:rsidR="003F351F" w:rsidRPr="00AC086C" w:rsidRDefault="003F351F" w:rsidP="00E67F70">
            <w:pPr>
              <w:jc w:val="both"/>
              <w:rPr>
                <w:rFonts w:ascii="Arial" w:hAnsi="Arial" w:cs="Arial"/>
                <w:sz w:val="22"/>
              </w:rPr>
            </w:pPr>
            <w:r w:rsidRPr="00AC086C">
              <w:rPr>
                <w:rFonts w:ascii="Arial" w:hAnsi="Arial" w:cs="Arial"/>
                <w:sz w:val="22"/>
              </w:rPr>
              <w:t>FS-09</w:t>
            </w:r>
          </w:p>
        </w:tc>
        <w:tc>
          <w:tcPr>
            <w:tcW w:w="2180" w:type="dxa"/>
            <w:tcBorders>
              <w:top w:val="nil"/>
              <w:left w:val="nil"/>
              <w:bottom w:val="single" w:sz="4" w:space="0" w:color="auto"/>
              <w:right w:val="single" w:sz="4" w:space="0" w:color="auto"/>
            </w:tcBorders>
            <w:noWrap/>
            <w:vAlign w:val="bottom"/>
            <w:hideMark/>
          </w:tcPr>
          <w:p w14:paraId="5DE3445B" w14:textId="77777777" w:rsidR="003F351F" w:rsidRPr="00AC086C" w:rsidRDefault="003F351F" w:rsidP="00E67F70">
            <w:pPr>
              <w:jc w:val="both"/>
              <w:rPr>
                <w:rFonts w:ascii="Arial" w:hAnsi="Arial" w:cs="Arial"/>
                <w:sz w:val="22"/>
              </w:rPr>
            </w:pPr>
            <w:r w:rsidRPr="00AC086C">
              <w:rPr>
                <w:rFonts w:ascii="Arial" w:hAnsi="Arial" w:cs="Arial"/>
                <w:sz w:val="22"/>
              </w:rPr>
              <w:t>5.463208</w:t>
            </w:r>
          </w:p>
        </w:tc>
        <w:tc>
          <w:tcPr>
            <w:tcW w:w="2060" w:type="dxa"/>
            <w:tcBorders>
              <w:top w:val="nil"/>
              <w:left w:val="nil"/>
              <w:bottom w:val="single" w:sz="4" w:space="0" w:color="auto"/>
              <w:right w:val="single" w:sz="4" w:space="0" w:color="auto"/>
            </w:tcBorders>
            <w:noWrap/>
            <w:vAlign w:val="bottom"/>
            <w:hideMark/>
          </w:tcPr>
          <w:p w14:paraId="72C237CA" w14:textId="77777777" w:rsidR="003F351F" w:rsidRPr="00AC086C" w:rsidRDefault="003F351F" w:rsidP="00E67F70">
            <w:pPr>
              <w:jc w:val="both"/>
              <w:rPr>
                <w:rFonts w:ascii="Arial" w:hAnsi="Arial" w:cs="Arial"/>
                <w:sz w:val="22"/>
              </w:rPr>
            </w:pPr>
            <w:r w:rsidRPr="00AC086C">
              <w:rPr>
                <w:rFonts w:ascii="Arial" w:hAnsi="Arial" w:cs="Arial"/>
                <w:sz w:val="22"/>
              </w:rPr>
              <w:t>6.173989</w:t>
            </w:r>
          </w:p>
        </w:tc>
        <w:tc>
          <w:tcPr>
            <w:tcW w:w="2220" w:type="dxa"/>
            <w:tcBorders>
              <w:top w:val="nil"/>
              <w:left w:val="nil"/>
              <w:bottom w:val="single" w:sz="4" w:space="0" w:color="auto"/>
              <w:right w:val="single" w:sz="4" w:space="0" w:color="auto"/>
            </w:tcBorders>
            <w:noWrap/>
            <w:vAlign w:val="bottom"/>
            <w:hideMark/>
          </w:tcPr>
          <w:p w14:paraId="1FE32D55" w14:textId="77777777" w:rsidR="003F351F" w:rsidRPr="00AC086C" w:rsidRDefault="003F351F" w:rsidP="00E67F70">
            <w:pPr>
              <w:jc w:val="both"/>
              <w:rPr>
                <w:rFonts w:ascii="Arial" w:hAnsi="Arial" w:cs="Arial"/>
                <w:sz w:val="22"/>
              </w:rPr>
            </w:pPr>
            <w:r w:rsidRPr="00AC086C">
              <w:rPr>
                <w:rFonts w:ascii="Arial" w:hAnsi="Arial" w:cs="Arial"/>
                <w:sz w:val="22"/>
              </w:rPr>
              <w:t>2.626865672</w:t>
            </w:r>
          </w:p>
        </w:tc>
      </w:tr>
      <w:tr w:rsidR="003F351F" w:rsidRPr="00AC086C" w14:paraId="0463D504"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0F30727E" w14:textId="77777777" w:rsidR="003F351F" w:rsidRPr="00AC086C" w:rsidRDefault="003F351F" w:rsidP="00E67F70">
            <w:pPr>
              <w:jc w:val="both"/>
              <w:rPr>
                <w:rFonts w:ascii="Arial" w:hAnsi="Arial" w:cs="Arial"/>
                <w:sz w:val="22"/>
              </w:rPr>
            </w:pPr>
            <w:r w:rsidRPr="00AC086C">
              <w:rPr>
                <w:rFonts w:ascii="Arial" w:hAnsi="Arial" w:cs="Arial"/>
                <w:sz w:val="22"/>
              </w:rPr>
              <w:t>FS-10</w:t>
            </w:r>
          </w:p>
        </w:tc>
        <w:tc>
          <w:tcPr>
            <w:tcW w:w="2180" w:type="dxa"/>
            <w:tcBorders>
              <w:top w:val="nil"/>
              <w:left w:val="nil"/>
              <w:bottom w:val="single" w:sz="4" w:space="0" w:color="auto"/>
              <w:right w:val="single" w:sz="4" w:space="0" w:color="auto"/>
            </w:tcBorders>
            <w:noWrap/>
            <w:vAlign w:val="bottom"/>
            <w:hideMark/>
          </w:tcPr>
          <w:p w14:paraId="50A4FE33" w14:textId="77777777" w:rsidR="003F351F" w:rsidRPr="00AC086C" w:rsidRDefault="003F351F" w:rsidP="00E67F70">
            <w:pPr>
              <w:jc w:val="both"/>
              <w:rPr>
                <w:rFonts w:ascii="Arial" w:hAnsi="Arial" w:cs="Arial"/>
                <w:sz w:val="22"/>
              </w:rPr>
            </w:pPr>
            <w:r w:rsidRPr="00AC086C">
              <w:rPr>
                <w:rFonts w:ascii="Arial" w:hAnsi="Arial" w:cs="Arial"/>
                <w:sz w:val="22"/>
              </w:rPr>
              <w:t>5.491187</w:t>
            </w:r>
          </w:p>
        </w:tc>
        <w:tc>
          <w:tcPr>
            <w:tcW w:w="2060" w:type="dxa"/>
            <w:tcBorders>
              <w:top w:val="nil"/>
              <w:left w:val="nil"/>
              <w:bottom w:val="single" w:sz="4" w:space="0" w:color="auto"/>
              <w:right w:val="single" w:sz="4" w:space="0" w:color="auto"/>
            </w:tcBorders>
            <w:noWrap/>
            <w:vAlign w:val="bottom"/>
            <w:hideMark/>
          </w:tcPr>
          <w:p w14:paraId="64B8CDBB" w14:textId="77777777" w:rsidR="003F351F" w:rsidRPr="00AC086C" w:rsidRDefault="003F351F" w:rsidP="00E67F70">
            <w:pPr>
              <w:jc w:val="both"/>
              <w:rPr>
                <w:rFonts w:ascii="Arial" w:hAnsi="Arial" w:cs="Arial"/>
                <w:sz w:val="22"/>
              </w:rPr>
            </w:pPr>
            <w:r w:rsidRPr="00AC086C">
              <w:rPr>
                <w:rFonts w:ascii="Arial" w:hAnsi="Arial" w:cs="Arial"/>
                <w:sz w:val="22"/>
              </w:rPr>
              <w:t>6.121989</w:t>
            </w:r>
          </w:p>
        </w:tc>
        <w:tc>
          <w:tcPr>
            <w:tcW w:w="2220" w:type="dxa"/>
            <w:tcBorders>
              <w:top w:val="nil"/>
              <w:left w:val="nil"/>
              <w:bottom w:val="single" w:sz="4" w:space="0" w:color="auto"/>
              <w:right w:val="single" w:sz="4" w:space="0" w:color="auto"/>
            </w:tcBorders>
            <w:noWrap/>
            <w:vAlign w:val="bottom"/>
            <w:hideMark/>
          </w:tcPr>
          <w:p w14:paraId="20B96BA8" w14:textId="77777777" w:rsidR="003F351F" w:rsidRPr="00AC086C" w:rsidRDefault="003F351F" w:rsidP="00E67F70">
            <w:pPr>
              <w:jc w:val="both"/>
              <w:rPr>
                <w:rFonts w:ascii="Arial" w:hAnsi="Arial" w:cs="Arial"/>
                <w:sz w:val="22"/>
              </w:rPr>
            </w:pPr>
            <w:r w:rsidRPr="00AC086C">
              <w:rPr>
                <w:rFonts w:ascii="Arial" w:hAnsi="Arial" w:cs="Arial"/>
                <w:sz w:val="22"/>
              </w:rPr>
              <w:t>3.070938806</w:t>
            </w:r>
          </w:p>
        </w:tc>
      </w:tr>
      <w:tr w:rsidR="003F351F" w:rsidRPr="00AC086C" w14:paraId="055B9A74"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04EFAAC9" w14:textId="77777777" w:rsidR="003F351F" w:rsidRPr="00AC086C" w:rsidRDefault="003F351F" w:rsidP="00E67F70">
            <w:pPr>
              <w:jc w:val="both"/>
              <w:rPr>
                <w:rFonts w:ascii="Arial" w:hAnsi="Arial" w:cs="Arial"/>
                <w:sz w:val="22"/>
              </w:rPr>
            </w:pPr>
            <w:r w:rsidRPr="00AC086C">
              <w:rPr>
                <w:rFonts w:ascii="Arial" w:hAnsi="Arial" w:cs="Arial"/>
                <w:sz w:val="22"/>
              </w:rPr>
              <w:t>FS-11</w:t>
            </w:r>
          </w:p>
        </w:tc>
        <w:tc>
          <w:tcPr>
            <w:tcW w:w="2180" w:type="dxa"/>
            <w:tcBorders>
              <w:top w:val="nil"/>
              <w:left w:val="nil"/>
              <w:bottom w:val="single" w:sz="4" w:space="0" w:color="auto"/>
              <w:right w:val="single" w:sz="4" w:space="0" w:color="auto"/>
            </w:tcBorders>
            <w:noWrap/>
            <w:vAlign w:val="bottom"/>
            <w:hideMark/>
          </w:tcPr>
          <w:p w14:paraId="79779A90" w14:textId="77777777" w:rsidR="003F351F" w:rsidRPr="00AC086C" w:rsidRDefault="003F351F" w:rsidP="00E67F70">
            <w:pPr>
              <w:jc w:val="both"/>
              <w:rPr>
                <w:rFonts w:ascii="Arial" w:hAnsi="Arial" w:cs="Arial"/>
                <w:sz w:val="22"/>
              </w:rPr>
            </w:pPr>
            <w:r w:rsidRPr="00AC086C">
              <w:rPr>
                <w:rFonts w:ascii="Arial" w:hAnsi="Arial" w:cs="Arial"/>
                <w:sz w:val="22"/>
              </w:rPr>
              <w:t>5.327008</w:t>
            </w:r>
          </w:p>
        </w:tc>
        <w:tc>
          <w:tcPr>
            <w:tcW w:w="2060" w:type="dxa"/>
            <w:tcBorders>
              <w:top w:val="nil"/>
              <w:left w:val="nil"/>
              <w:bottom w:val="single" w:sz="4" w:space="0" w:color="auto"/>
              <w:right w:val="single" w:sz="4" w:space="0" w:color="auto"/>
            </w:tcBorders>
            <w:noWrap/>
            <w:vAlign w:val="bottom"/>
            <w:hideMark/>
          </w:tcPr>
          <w:p w14:paraId="7C717354" w14:textId="77777777" w:rsidR="003F351F" w:rsidRPr="00AC086C" w:rsidRDefault="003F351F" w:rsidP="00E67F70">
            <w:pPr>
              <w:jc w:val="both"/>
              <w:rPr>
                <w:rFonts w:ascii="Arial" w:hAnsi="Arial" w:cs="Arial"/>
                <w:sz w:val="22"/>
              </w:rPr>
            </w:pPr>
            <w:r w:rsidRPr="00AC086C">
              <w:rPr>
                <w:rFonts w:ascii="Arial" w:hAnsi="Arial" w:cs="Arial"/>
                <w:sz w:val="22"/>
              </w:rPr>
              <w:t>6.243257</w:t>
            </w:r>
          </w:p>
        </w:tc>
        <w:tc>
          <w:tcPr>
            <w:tcW w:w="2220" w:type="dxa"/>
            <w:tcBorders>
              <w:top w:val="nil"/>
              <w:left w:val="nil"/>
              <w:bottom w:val="single" w:sz="4" w:space="0" w:color="auto"/>
              <w:right w:val="single" w:sz="4" w:space="0" w:color="auto"/>
            </w:tcBorders>
            <w:noWrap/>
            <w:vAlign w:val="bottom"/>
            <w:hideMark/>
          </w:tcPr>
          <w:p w14:paraId="276268CF" w14:textId="77777777" w:rsidR="003F351F" w:rsidRPr="00AC086C" w:rsidRDefault="003F351F" w:rsidP="00E67F70">
            <w:pPr>
              <w:jc w:val="both"/>
              <w:rPr>
                <w:rFonts w:ascii="Arial" w:hAnsi="Arial" w:cs="Arial"/>
                <w:sz w:val="22"/>
              </w:rPr>
            </w:pPr>
            <w:r w:rsidRPr="00AC086C">
              <w:rPr>
                <w:rFonts w:ascii="Arial" w:hAnsi="Arial" w:cs="Arial"/>
                <w:sz w:val="22"/>
              </w:rPr>
              <w:t>8.848947761</w:t>
            </w:r>
          </w:p>
        </w:tc>
      </w:tr>
      <w:tr w:rsidR="003F351F" w:rsidRPr="00AC086C" w14:paraId="319108FB"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26411209" w14:textId="77777777" w:rsidR="003F351F" w:rsidRPr="00AC086C" w:rsidRDefault="003F351F" w:rsidP="00E67F70">
            <w:pPr>
              <w:jc w:val="both"/>
              <w:rPr>
                <w:rFonts w:ascii="Arial" w:hAnsi="Arial" w:cs="Arial"/>
                <w:sz w:val="22"/>
              </w:rPr>
            </w:pPr>
            <w:r w:rsidRPr="00AC086C">
              <w:rPr>
                <w:rFonts w:ascii="Arial" w:hAnsi="Arial" w:cs="Arial"/>
                <w:sz w:val="22"/>
              </w:rPr>
              <w:t>FS-12</w:t>
            </w:r>
          </w:p>
        </w:tc>
        <w:tc>
          <w:tcPr>
            <w:tcW w:w="2180" w:type="dxa"/>
            <w:tcBorders>
              <w:top w:val="nil"/>
              <w:left w:val="nil"/>
              <w:bottom w:val="single" w:sz="4" w:space="0" w:color="auto"/>
              <w:right w:val="single" w:sz="4" w:space="0" w:color="auto"/>
            </w:tcBorders>
            <w:noWrap/>
            <w:vAlign w:val="bottom"/>
            <w:hideMark/>
          </w:tcPr>
          <w:p w14:paraId="295D9818" w14:textId="77777777" w:rsidR="003F351F" w:rsidRPr="00AC086C" w:rsidRDefault="003F351F" w:rsidP="00E67F70">
            <w:pPr>
              <w:jc w:val="both"/>
              <w:rPr>
                <w:rFonts w:ascii="Arial" w:hAnsi="Arial" w:cs="Arial"/>
                <w:sz w:val="22"/>
              </w:rPr>
            </w:pPr>
            <w:r w:rsidRPr="00AC086C">
              <w:rPr>
                <w:rFonts w:ascii="Arial" w:hAnsi="Arial" w:cs="Arial"/>
                <w:sz w:val="22"/>
              </w:rPr>
              <w:t>5.368208</w:t>
            </w:r>
          </w:p>
        </w:tc>
        <w:tc>
          <w:tcPr>
            <w:tcW w:w="2060" w:type="dxa"/>
            <w:tcBorders>
              <w:top w:val="nil"/>
              <w:left w:val="nil"/>
              <w:bottom w:val="single" w:sz="4" w:space="0" w:color="auto"/>
              <w:right w:val="single" w:sz="4" w:space="0" w:color="auto"/>
            </w:tcBorders>
            <w:noWrap/>
            <w:vAlign w:val="bottom"/>
            <w:hideMark/>
          </w:tcPr>
          <w:p w14:paraId="06A0ACBC" w14:textId="77777777" w:rsidR="003F351F" w:rsidRPr="00AC086C" w:rsidRDefault="003F351F" w:rsidP="00E67F70">
            <w:pPr>
              <w:jc w:val="both"/>
              <w:rPr>
                <w:rFonts w:ascii="Arial" w:hAnsi="Arial" w:cs="Arial"/>
                <w:sz w:val="22"/>
              </w:rPr>
            </w:pPr>
            <w:r w:rsidRPr="00AC086C">
              <w:rPr>
                <w:rFonts w:ascii="Arial" w:hAnsi="Arial" w:cs="Arial"/>
                <w:sz w:val="22"/>
              </w:rPr>
              <w:t>6.147989</w:t>
            </w:r>
          </w:p>
        </w:tc>
        <w:tc>
          <w:tcPr>
            <w:tcW w:w="2220" w:type="dxa"/>
            <w:tcBorders>
              <w:top w:val="nil"/>
              <w:left w:val="nil"/>
              <w:bottom w:val="single" w:sz="4" w:space="0" w:color="auto"/>
              <w:right w:val="single" w:sz="4" w:space="0" w:color="auto"/>
            </w:tcBorders>
            <w:noWrap/>
            <w:vAlign w:val="bottom"/>
            <w:hideMark/>
          </w:tcPr>
          <w:p w14:paraId="5D0F5DDF" w14:textId="77777777" w:rsidR="003F351F" w:rsidRPr="00AC086C" w:rsidRDefault="003F351F" w:rsidP="00E67F70">
            <w:pPr>
              <w:jc w:val="both"/>
              <w:rPr>
                <w:rFonts w:ascii="Arial" w:hAnsi="Arial" w:cs="Arial"/>
                <w:sz w:val="22"/>
              </w:rPr>
            </w:pPr>
            <w:r w:rsidRPr="00AC086C">
              <w:rPr>
                <w:rFonts w:ascii="Arial" w:hAnsi="Arial" w:cs="Arial"/>
                <w:sz w:val="22"/>
              </w:rPr>
              <w:t>1.765409091</w:t>
            </w:r>
          </w:p>
        </w:tc>
      </w:tr>
      <w:tr w:rsidR="003F351F" w:rsidRPr="00AC086C" w14:paraId="2909C2DB"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24125E46" w14:textId="77777777" w:rsidR="003F351F" w:rsidRPr="00AC086C" w:rsidRDefault="003F351F" w:rsidP="00E67F70">
            <w:pPr>
              <w:jc w:val="both"/>
              <w:rPr>
                <w:rFonts w:ascii="Arial" w:hAnsi="Arial" w:cs="Arial"/>
                <w:sz w:val="22"/>
              </w:rPr>
            </w:pPr>
            <w:r w:rsidRPr="00AC086C">
              <w:rPr>
                <w:rFonts w:ascii="Arial" w:hAnsi="Arial" w:cs="Arial"/>
                <w:sz w:val="22"/>
              </w:rPr>
              <w:t>FS-13</w:t>
            </w:r>
          </w:p>
        </w:tc>
        <w:tc>
          <w:tcPr>
            <w:tcW w:w="2180" w:type="dxa"/>
            <w:tcBorders>
              <w:top w:val="nil"/>
              <w:left w:val="nil"/>
              <w:bottom w:val="single" w:sz="4" w:space="0" w:color="auto"/>
              <w:right w:val="single" w:sz="4" w:space="0" w:color="auto"/>
            </w:tcBorders>
            <w:noWrap/>
            <w:vAlign w:val="bottom"/>
            <w:hideMark/>
          </w:tcPr>
          <w:p w14:paraId="6FB77C24" w14:textId="77777777" w:rsidR="003F351F" w:rsidRPr="00AC086C" w:rsidRDefault="003F351F" w:rsidP="00E67F70">
            <w:pPr>
              <w:jc w:val="both"/>
              <w:rPr>
                <w:rFonts w:ascii="Arial" w:hAnsi="Arial" w:cs="Arial"/>
                <w:sz w:val="22"/>
              </w:rPr>
            </w:pPr>
            <w:r w:rsidRPr="00AC086C">
              <w:rPr>
                <w:rFonts w:ascii="Arial" w:hAnsi="Arial" w:cs="Arial"/>
                <w:sz w:val="22"/>
              </w:rPr>
              <w:t>5.58333</w:t>
            </w:r>
          </w:p>
        </w:tc>
        <w:tc>
          <w:tcPr>
            <w:tcW w:w="2060" w:type="dxa"/>
            <w:tcBorders>
              <w:top w:val="nil"/>
              <w:left w:val="nil"/>
              <w:bottom w:val="single" w:sz="4" w:space="0" w:color="auto"/>
              <w:right w:val="single" w:sz="4" w:space="0" w:color="auto"/>
            </w:tcBorders>
            <w:noWrap/>
            <w:vAlign w:val="bottom"/>
            <w:hideMark/>
          </w:tcPr>
          <w:p w14:paraId="6D2273AD" w14:textId="77777777" w:rsidR="003F351F" w:rsidRPr="00AC086C" w:rsidRDefault="003F351F" w:rsidP="00E67F70">
            <w:pPr>
              <w:jc w:val="both"/>
              <w:rPr>
                <w:rFonts w:ascii="Arial" w:hAnsi="Arial" w:cs="Arial"/>
                <w:sz w:val="22"/>
              </w:rPr>
            </w:pPr>
            <w:r w:rsidRPr="00AC086C">
              <w:rPr>
                <w:rFonts w:ascii="Arial" w:hAnsi="Arial" w:cs="Arial"/>
                <w:sz w:val="22"/>
              </w:rPr>
              <w:t>6.03333</w:t>
            </w:r>
          </w:p>
        </w:tc>
        <w:tc>
          <w:tcPr>
            <w:tcW w:w="2220" w:type="dxa"/>
            <w:tcBorders>
              <w:top w:val="nil"/>
              <w:left w:val="nil"/>
              <w:bottom w:val="single" w:sz="4" w:space="0" w:color="auto"/>
              <w:right w:val="single" w:sz="4" w:space="0" w:color="auto"/>
            </w:tcBorders>
            <w:noWrap/>
            <w:vAlign w:val="bottom"/>
            <w:hideMark/>
          </w:tcPr>
          <w:p w14:paraId="5DBCA4C3" w14:textId="77777777" w:rsidR="003F351F" w:rsidRPr="00AC086C" w:rsidRDefault="003F351F" w:rsidP="00E67F70">
            <w:pPr>
              <w:jc w:val="both"/>
              <w:rPr>
                <w:rFonts w:ascii="Arial" w:hAnsi="Arial" w:cs="Arial"/>
                <w:sz w:val="22"/>
              </w:rPr>
            </w:pPr>
            <w:r w:rsidRPr="00AC086C">
              <w:rPr>
                <w:rFonts w:ascii="Arial" w:hAnsi="Arial" w:cs="Arial"/>
                <w:sz w:val="22"/>
              </w:rPr>
              <w:t>4.560639344</w:t>
            </w:r>
          </w:p>
        </w:tc>
      </w:tr>
      <w:tr w:rsidR="003F351F" w:rsidRPr="00AC086C" w14:paraId="2E6FBACE"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76850241" w14:textId="77777777" w:rsidR="003F351F" w:rsidRPr="00AC086C" w:rsidRDefault="003F351F" w:rsidP="00E67F70">
            <w:pPr>
              <w:jc w:val="both"/>
              <w:rPr>
                <w:rFonts w:ascii="Arial" w:hAnsi="Arial" w:cs="Arial"/>
                <w:sz w:val="22"/>
              </w:rPr>
            </w:pPr>
            <w:r w:rsidRPr="00AC086C">
              <w:rPr>
                <w:rFonts w:ascii="Arial" w:hAnsi="Arial" w:cs="Arial"/>
                <w:sz w:val="22"/>
              </w:rPr>
              <w:t>FS-14</w:t>
            </w:r>
          </w:p>
        </w:tc>
        <w:tc>
          <w:tcPr>
            <w:tcW w:w="2180" w:type="dxa"/>
            <w:tcBorders>
              <w:top w:val="nil"/>
              <w:left w:val="nil"/>
              <w:bottom w:val="single" w:sz="4" w:space="0" w:color="auto"/>
              <w:right w:val="single" w:sz="4" w:space="0" w:color="auto"/>
            </w:tcBorders>
            <w:noWrap/>
            <w:vAlign w:val="bottom"/>
            <w:hideMark/>
          </w:tcPr>
          <w:p w14:paraId="67B46861" w14:textId="77777777" w:rsidR="003F351F" w:rsidRPr="00AC086C" w:rsidRDefault="003F351F" w:rsidP="00E67F70">
            <w:pPr>
              <w:jc w:val="both"/>
              <w:rPr>
                <w:rFonts w:ascii="Arial" w:hAnsi="Arial" w:cs="Arial"/>
                <w:sz w:val="22"/>
              </w:rPr>
            </w:pPr>
            <w:r w:rsidRPr="00AC086C">
              <w:rPr>
                <w:rFonts w:ascii="Arial" w:hAnsi="Arial" w:cs="Arial"/>
                <w:sz w:val="22"/>
              </w:rPr>
              <w:t>5.383666</w:t>
            </w:r>
          </w:p>
        </w:tc>
        <w:tc>
          <w:tcPr>
            <w:tcW w:w="2060" w:type="dxa"/>
            <w:tcBorders>
              <w:top w:val="nil"/>
              <w:left w:val="nil"/>
              <w:bottom w:val="single" w:sz="4" w:space="0" w:color="auto"/>
              <w:right w:val="single" w:sz="4" w:space="0" w:color="auto"/>
            </w:tcBorders>
            <w:noWrap/>
            <w:vAlign w:val="bottom"/>
            <w:hideMark/>
          </w:tcPr>
          <w:p w14:paraId="0F153951" w14:textId="77777777" w:rsidR="003F351F" w:rsidRPr="00AC086C" w:rsidRDefault="003F351F" w:rsidP="00E67F70">
            <w:pPr>
              <w:jc w:val="both"/>
              <w:rPr>
                <w:rFonts w:ascii="Arial" w:hAnsi="Arial" w:cs="Arial"/>
                <w:sz w:val="22"/>
              </w:rPr>
            </w:pPr>
            <w:r w:rsidRPr="00AC086C">
              <w:rPr>
                <w:rFonts w:ascii="Arial" w:hAnsi="Arial" w:cs="Arial"/>
                <w:sz w:val="22"/>
              </w:rPr>
              <w:t>6.036311</w:t>
            </w:r>
          </w:p>
        </w:tc>
        <w:tc>
          <w:tcPr>
            <w:tcW w:w="2220" w:type="dxa"/>
            <w:tcBorders>
              <w:top w:val="nil"/>
              <w:left w:val="nil"/>
              <w:bottom w:val="single" w:sz="4" w:space="0" w:color="auto"/>
              <w:right w:val="single" w:sz="4" w:space="0" w:color="auto"/>
            </w:tcBorders>
            <w:noWrap/>
            <w:vAlign w:val="bottom"/>
            <w:hideMark/>
          </w:tcPr>
          <w:p w14:paraId="3C44975E" w14:textId="77777777" w:rsidR="003F351F" w:rsidRPr="00AC086C" w:rsidRDefault="003F351F" w:rsidP="00E67F70">
            <w:pPr>
              <w:jc w:val="both"/>
              <w:rPr>
                <w:rFonts w:ascii="Arial" w:hAnsi="Arial" w:cs="Arial"/>
                <w:sz w:val="22"/>
              </w:rPr>
            </w:pPr>
            <w:r w:rsidRPr="00AC086C">
              <w:rPr>
                <w:rFonts w:ascii="Arial" w:hAnsi="Arial" w:cs="Arial"/>
                <w:sz w:val="22"/>
              </w:rPr>
              <w:t>0.229360294</w:t>
            </w:r>
          </w:p>
        </w:tc>
      </w:tr>
      <w:tr w:rsidR="003F351F" w:rsidRPr="00AC086C" w14:paraId="129A3984"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0F5E3985" w14:textId="77777777" w:rsidR="003F351F" w:rsidRPr="00AC086C" w:rsidRDefault="003F351F" w:rsidP="00E67F70">
            <w:pPr>
              <w:jc w:val="both"/>
              <w:rPr>
                <w:rFonts w:ascii="Arial" w:hAnsi="Arial" w:cs="Arial"/>
                <w:sz w:val="22"/>
              </w:rPr>
            </w:pPr>
            <w:r w:rsidRPr="00AC086C">
              <w:rPr>
                <w:rFonts w:ascii="Arial" w:hAnsi="Arial" w:cs="Arial"/>
                <w:sz w:val="22"/>
              </w:rPr>
              <w:t>FS-15</w:t>
            </w:r>
          </w:p>
        </w:tc>
        <w:tc>
          <w:tcPr>
            <w:tcW w:w="2180" w:type="dxa"/>
            <w:tcBorders>
              <w:top w:val="nil"/>
              <w:left w:val="nil"/>
              <w:bottom w:val="single" w:sz="4" w:space="0" w:color="auto"/>
              <w:right w:val="single" w:sz="4" w:space="0" w:color="auto"/>
            </w:tcBorders>
            <w:noWrap/>
            <w:vAlign w:val="bottom"/>
            <w:hideMark/>
          </w:tcPr>
          <w:p w14:paraId="2CD15E23" w14:textId="77777777" w:rsidR="003F351F" w:rsidRPr="00AC086C" w:rsidRDefault="003F351F" w:rsidP="00E67F70">
            <w:pPr>
              <w:jc w:val="both"/>
              <w:rPr>
                <w:rFonts w:ascii="Arial" w:hAnsi="Arial" w:cs="Arial"/>
                <w:sz w:val="22"/>
              </w:rPr>
            </w:pPr>
            <w:r w:rsidRPr="00AC086C">
              <w:rPr>
                <w:rFonts w:ascii="Arial" w:hAnsi="Arial" w:cs="Arial"/>
                <w:sz w:val="22"/>
              </w:rPr>
              <w:t>5.633116</w:t>
            </w:r>
          </w:p>
        </w:tc>
        <w:tc>
          <w:tcPr>
            <w:tcW w:w="2060" w:type="dxa"/>
            <w:tcBorders>
              <w:top w:val="nil"/>
              <w:left w:val="nil"/>
              <w:bottom w:val="single" w:sz="4" w:space="0" w:color="auto"/>
              <w:right w:val="single" w:sz="4" w:space="0" w:color="auto"/>
            </w:tcBorders>
            <w:noWrap/>
            <w:vAlign w:val="bottom"/>
            <w:hideMark/>
          </w:tcPr>
          <w:p w14:paraId="77152EBE" w14:textId="77777777" w:rsidR="003F351F" w:rsidRPr="00AC086C" w:rsidRDefault="003F351F" w:rsidP="00E67F70">
            <w:pPr>
              <w:jc w:val="both"/>
              <w:rPr>
                <w:rFonts w:ascii="Arial" w:hAnsi="Arial" w:cs="Arial"/>
                <w:sz w:val="22"/>
              </w:rPr>
            </w:pPr>
            <w:r w:rsidRPr="00AC086C">
              <w:rPr>
                <w:rFonts w:ascii="Arial" w:hAnsi="Arial" w:cs="Arial"/>
                <w:sz w:val="22"/>
              </w:rPr>
              <w:t>6.03342</w:t>
            </w:r>
          </w:p>
        </w:tc>
        <w:tc>
          <w:tcPr>
            <w:tcW w:w="2220" w:type="dxa"/>
            <w:tcBorders>
              <w:top w:val="nil"/>
              <w:left w:val="nil"/>
              <w:bottom w:val="single" w:sz="4" w:space="0" w:color="auto"/>
              <w:right w:val="single" w:sz="4" w:space="0" w:color="auto"/>
            </w:tcBorders>
            <w:noWrap/>
            <w:vAlign w:val="bottom"/>
            <w:hideMark/>
          </w:tcPr>
          <w:p w14:paraId="02AF1A8D" w14:textId="77777777" w:rsidR="003F351F" w:rsidRPr="00AC086C" w:rsidRDefault="003F351F" w:rsidP="00E67F70">
            <w:pPr>
              <w:jc w:val="both"/>
              <w:rPr>
                <w:rFonts w:ascii="Arial" w:hAnsi="Arial" w:cs="Arial"/>
                <w:sz w:val="22"/>
              </w:rPr>
            </w:pPr>
            <w:r w:rsidRPr="00AC086C">
              <w:rPr>
                <w:rFonts w:ascii="Arial" w:hAnsi="Arial" w:cs="Arial"/>
                <w:sz w:val="22"/>
              </w:rPr>
              <w:t>0.23024087</w:t>
            </w:r>
          </w:p>
        </w:tc>
      </w:tr>
      <w:tr w:rsidR="003F351F" w:rsidRPr="00AC086C" w14:paraId="10FB0B70"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419D2977" w14:textId="77777777" w:rsidR="003F351F" w:rsidRPr="00AC086C" w:rsidRDefault="003F351F" w:rsidP="00E67F70">
            <w:pPr>
              <w:jc w:val="both"/>
              <w:rPr>
                <w:rFonts w:ascii="Arial" w:hAnsi="Arial" w:cs="Arial"/>
                <w:sz w:val="22"/>
              </w:rPr>
            </w:pPr>
            <w:r w:rsidRPr="00AC086C">
              <w:rPr>
                <w:rFonts w:ascii="Arial" w:hAnsi="Arial" w:cs="Arial"/>
                <w:sz w:val="22"/>
              </w:rPr>
              <w:t>FS-16</w:t>
            </w:r>
          </w:p>
        </w:tc>
        <w:tc>
          <w:tcPr>
            <w:tcW w:w="2180" w:type="dxa"/>
            <w:tcBorders>
              <w:top w:val="nil"/>
              <w:left w:val="nil"/>
              <w:bottom w:val="single" w:sz="4" w:space="0" w:color="auto"/>
              <w:right w:val="single" w:sz="4" w:space="0" w:color="auto"/>
            </w:tcBorders>
            <w:noWrap/>
            <w:vAlign w:val="bottom"/>
            <w:hideMark/>
          </w:tcPr>
          <w:p w14:paraId="454C80AA" w14:textId="77777777" w:rsidR="003F351F" w:rsidRPr="00AC086C" w:rsidRDefault="003F351F" w:rsidP="00E67F70">
            <w:pPr>
              <w:jc w:val="both"/>
              <w:rPr>
                <w:rFonts w:ascii="Arial" w:hAnsi="Arial" w:cs="Arial"/>
                <w:sz w:val="22"/>
              </w:rPr>
            </w:pPr>
            <w:r w:rsidRPr="00AC086C">
              <w:rPr>
                <w:rFonts w:ascii="Arial" w:hAnsi="Arial" w:cs="Arial"/>
                <w:sz w:val="22"/>
              </w:rPr>
              <w:t>5.545316</w:t>
            </w:r>
          </w:p>
        </w:tc>
        <w:tc>
          <w:tcPr>
            <w:tcW w:w="2060" w:type="dxa"/>
            <w:tcBorders>
              <w:top w:val="nil"/>
              <w:left w:val="nil"/>
              <w:bottom w:val="single" w:sz="4" w:space="0" w:color="auto"/>
              <w:right w:val="single" w:sz="4" w:space="0" w:color="auto"/>
            </w:tcBorders>
            <w:noWrap/>
            <w:vAlign w:val="bottom"/>
            <w:hideMark/>
          </w:tcPr>
          <w:p w14:paraId="22F0C9B5" w14:textId="77777777" w:rsidR="003F351F" w:rsidRPr="00AC086C" w:rsidRDefault="003F351F" w:rsidP="00E67F70">
            <w:pPr>
              <w:jc w:val="both"/>
              <w:rPr>
                <w:rFonts w:ascii="Arial" w:hAnsi="Arial" w:cs="Arial"/>
                <w:sz w:val="22"/>
              </w:rPr>
            </w:pPr>
            <w:r w:rsidRPr="00AC086C">
              <w:rPr>
                <w:rFonts w:ascii="Arial" w:hAnsi="Arial" w:cs="Arial"/>
                <w:sz w:val="22"/>
              </w:rPr>
              <w:t>6.027298</w:t>
            </w:r>
          </w:p>
        </w:tc>
        <w:tc>
          <w:tcPr>
            <w:tcW w:w="2220" w:type="dxa"/>
            <w:tcBorders>
              <w:top w:val="nil"/>
              <w:left w:val="nil"/>
              <w:bottom w:val="single" w:sz="4" w:space="0" w:color="auto"/>
              <w:right w:val="single" w:sz="4" w:space="0" w:color="auto"/>
            </w:tcBorders>
            <w:noWrap/>
            <w:vAlign w:val="bottom"/>
            <w:hideMark/>
          </w:tcPr>
          <w:p w14:paraId="0A76F754" w14:textId="77777777" w:rsidR="003F351F" w:rsidRPr="00AC086C" w:rsidRDefault="003F351F" w:rsidP="00E67F70">
            <w:pPr>
              <w:jc w:val="both"/>
              <w:rPr>
                <w:rFonts w:ascii="Arial" w:hAnsi="Arial" w:cs="Arial"/>
                <w:sz w:val="22"/>
              </w:rPr>
            </w:pPr>
            <w:r w:rsidRPr="00AC086C">
              <w:rPr>
                <w:rFonts w:ascii="Arial" w:hAnsi="Arial" w:cs="Arial"/>
                <w:sz w:val="22"/>
              </w:rPr>
              <w:t>7.651804688</w:t>
            </w:r>
          </w:p>
        </w:tc>
      </w:tr>
      <w:tr w:rsidR="003F351F" w:rsidRPr="00AC086C" w14:paraId="2268961C"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09F28AD4" w14:textId="77777777" w:rsidR="003F351F" w:rsidRPr="00AC086C" w:rsidRDefault="003F351F" w:rsidP="00E67F70">
            <w:pPr>
              <w:jc w:val="both"/>
              <w:rPr>
                <w:rFonts w:ascii="Arial" w:hAnsi="Arial" w:cs="Arial"/>
                <w:sz w:val="22"/>
              </w:rPr>
            </w:pPr>
            <w:r w:rsidRPr="00AC086C">
              <w:rPr>
                <w:rFonts w:ascii="Arial" w:hAnsi="Arial" w:cs="Arial"/>
                <w:sz w:val="22"/>
              </w:rPr>
              <w:t>FS-17</w:t>
            </w:r>
          </w:p>
        </w:tc>
        <w:tc>
          <w:tcPr>
            <w:tcW w:w="2180" w:type="dxa"/>
            <w:tcBorders>
              <w:top w:val="nil"/>
              <w:left w:val="nil"/>
              <w:bottom w:val="single" w:sz="4" w:space="0" w:color="auto"/>
              <w:right w:val="single" w:sz="4" w:space="0" w:color="auto"/>
            </w:tcBorders>
            <w:noWrap/>
            <w:vAlign w:val="bottom"/>
            <w:hideMark/>
          </w:tcPr>
          <w:p w14:paraId="38C490E7" w14:textId="77777777" w:rsidR="003F351F" w:rsidRPr="00AC086C" w:rsidRDefault="003F351F" w:rsidP="00E67F70">
            <w:pPr>
              <w:jc w:val="both"/>
              <w:rPr>
                <w:rFonts w:ascii="Arial" w:hAnsi="Arial" w:cs="Arial"/>
                <w:sz w:val="22"/>
              </w:rPr>
            </w:pPr>
            <w:r w:rsidRPr="00AC086C">
              <w:rPr>
                <w:rFonts w:ascii="Arial" w:hAnsi="Arial" w:cs="Arial"/>
                <w:sz w:val="22"/>
              </w:rPr>
              <w:t>5.5145</w:t>
            </w:r>
          </w:p>
        </w:tc>
        <w:tc>
          <w:tcPr>
            <w:tcW w:w="2060" w:type="dxa"/>
            <w:tcBorders>
              <w:top w:val="nil"/>
              <w:left w:val="nil"/>
              <w:bottom w:val="single" w:sz="4" w:space="0" w:color="auto"/>
              <w:right w:val="single" w:sz="4" w:space="0" w:color="auto"/>
            </w:tcBorders>
            <w:noWrap/>
            <w:vAlign w:val="bottom"/>
            <w:hideMark/>
          </w:tcPr>
          <w:p w14:paraId="67F7B5FF" w14:textId="77777777" w:rsidR="003F351F" w:rsidRPr="00AC086C" w:rsidRDefault="003F351F" w:rsidP="00E67F70">
            <w:pPr>
              <w:jc w:val="both"/>
              <w:rPr>
                <w:rFonts w:ascii="Arial" w:hAnsi="Arial" w:cs="Arial"/>
                <w:sz w:val="22"/>
              </w:rPr>
            </w:pPr>
            <w:r w:rsidRPr="00AC086C">
              <w:rPr>
                <w:rFonts w:ascii="Arial" w:hAnsi="Arial" w:cs="Arial"/>
                <w:sz w:val="22"/>
              </w:rPr>
              <w:t>5.9367</w:t>
            </w:r>
          </w:p>
        </w:tc>
        <w:tc>
          <w:tcPr>
            <w:tcW w:w="2220" w:type="dxa"/>
            <w:tcBorders>
              <w:top w:val="nil"/>
              <w:left w:val="nil"/>
              <w:bottom w:val="single" w:sz="4" w:space="0" w:color="auto"/>
              <w:right w:val="single" w:sz="4" w:space="0" w:color="auto"/>
            </w:tcBorders>
            <w:noWrap/>
            <w:vAlign w:val="bottom"/>
            <w:hideMark/>
          </w:tcPr>
          <w:p w14:paraId="250DEDCD" w14:textId="77777777" w:rsidR="003F351F" w:rsidRPr="00AC086C" w:rsidRDefault="003F351F" w:rsidP="00E67F70">
            <w:pPr>
              <w:jc w:val="both"/>
              <w:rPr>
                <w:rFonts w:ascii="Arial" w:hAnsi="Arial" w:cs="Arial"/>
                <w:sz w:val="22"/>
              </w:rPr>
            </w:pPr>
            <w:r w:rsidRPr="00AC086C">
              <w:rPr>
                <w:rFonts w:ascii="Arial" w:hAnsi="Arial" w:cs="Arial"/>
                <w:sz w:val="22"/>
              </w:rPr>
              <w:t>4.709552486</w:t>
            </w:r>
          </w:p>
        </w:tc>
      </w:tr>
      <w:tr w:rsidR="003F351F" w:rsidRPr="00AC086C" w14:paraId="4D65578B"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21537256" w14:textId="77777777" w:rsidR="003F351F" w:rsidRPr="00AC086C" w:rsidRDefault="003F351F" w:rsidP="00E67F70">
            <w:pPr>
              <w:jc w:val="both"/>
              <w:rPr>
                <w:rFonts w:ascii="Arial" w:hAnsi="Arial" w:cs="Arial"/>
                <w:sz w:val="22"/>
              </w:rPr>
            </w:pPr>
            <w:r w:rsidRPr="00AC086C">
              <w:rPr>
                <w:rFonts w:ascii="Arial" w:hAnsi="Arial" w:cs="Arial"/>
                <w:sz w:val="22"/>
              </w:rPr>
              <w:t>FS-18</w:t>
            </w:r>
          </w:p>
        </w:tc>
        <w:tc>
          <w:tcPr>
            <w:tcW w:w="2180" w:type="dxa"/>
            <w:tcBorders>
              <w:top w:val="nil"/>
              <w:left w:val="nil"/>
              <w:bottom w:val="single" w:sz="4" w:space="0" w:color="auto"/>
              <w:right w:val="single" w:sz="4" w:space="0" w:color="auto"/>
            </w:tcBorders>
            <w:noWrap/>
            <w:vAlign w:val="bottom"/>
            <w:hideMark/>
          </w:tcPr>
          <w:p w14:paraId="19560FA2" w14:textId="77777777" w:rsidR="003F351F" w:rsidRPr="00AC086C" w:rsidRDefault="003F351F" w:rsidP="00E67F70">
            <w:pPr>
              <w:jc w:val="both"/>
              <w:rPr>
                <w:rFonts w:ascii="Arial" w:hAnsi="Arial" w:cs="Arial"/>
                <w:sz w:val="22"/>
              </w:rPr>
            </w:pPr>
            <w:r w:rsidRPr="00AC086C">
              <w:rPr>
                <w:rFonts w:ascii="Arial" w:hAnsi="Arial" w:cs="Arial"/>
                <w:sz w:val="22"/>
              </w:rPr>
              <w:t>5.5001866</w:t>
            </w:r>
          </w:p>
        </w:tc>
        <w:tc>
          <w:tcPr>
            <w:tcW w:w="2060" w:type="dxa"/>
            <w:tcBorders>
              <w:top w:val="nil"/>
              <w:left w:val="nil"/>
              <w:bottom w:val="single" w:sz="4" w:space="0" w:color="auto"/>
              <w:right w:val="single" w:sz="4" w:space="0" w:color="auto"/>
            </w:tcBorders>
            <w:noWrap/>
            <w:vAlign w:val="bottom"/>
            <w:hideMark/>
          </w:tcPr>
          <w:p w14:paraId="15A26AC8" w14:textId="77777777" w:rsidR="003F351F" w:rsidRPr="00AC086C" w:rsidRDefault="003F351F" w:rsidP="00E67F70">
            <w:pPr>
              <w:jc w:val="both"/>
              <w:rPr>
                <w:rFonts w:ascii="Arial" w:hAnsi="Arial" w:cs="Arial"/>
                <w:sz w:val="22"/>
              </w:rPr>
            </w:pPr>
            <w:r w:rsidRPr="00AC086C">
              <w:rPr>
                <w:rFonts w:ascii="Arial" w:hAnsi="Arial" w:cs="Arial"/>
                <w:sz w:val="22"/>
              </w:rPr>
              <w:t>5.993833</w:t>
            </w:r>
          </w:p>
        </w:tc>
        <w:tc>
          <w:tcPr>
            <w:tcW w:w="2220" w:type="dxa"/>
            <w:tcBorders>
              <w:top w:val="nil"/>
              <w:left w:val="nil"/>
              <w:bottom w:val="single" w:sz="4" w:space="0" w:color="auto"/>
              <w:right w:val="single" w:sz="4" w:space="0" w:color="auto"/>
            </w:tcBorders>
            <w:noWrap/>
            <w:vAlign w:val="bottom"/>
            <w:hideMark/>
          </w:tcPr>
          <w:p w14:paraId="12E74596" w14:textId="77777777" w:rsidR="003F351F" w:rsidRPr="00AC086C" w:rsidRDefault="003F351F" w:rsidP="00E67F70">
            <w:pPr>
              <w:jc w:val="both"/>
              <w:rPr>
                <w:rFonts w:ascii="Arial" w:hAnsi="Arial" w:cs="Arial"/>
                <w:sz w:val="22"/>
              </w:rPr>
            </w:pPr>
            <w:r w:rsidRPr="00AC086C">
              <w:rPr>
                <w:rFonts w:ascii="Arial" w:hAnsi="Arial" w:cs="Arial"/>
                <w:sz w:val="22"/>
              </w:rPr>
              <w:t>4.543753521</w:t>
            </w:r>
          </w:p>
        </w:tc>
      </w:tr>
      <w:tr w:rsidR="003F351F" w:rsidRPr="00AC086C" w14:paraId="65EB19E9"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43DC5759" w14:textId="77777777" w:rsidR="003F351F" w:rsidRPr="00AC086C" w:rsidRDefault="003F351F" w:rsidP="00E67F70">
            <w:pPr>
              <w:jc w:val="both"/>
              <w:rPr>
                <w:rFonts w:ascii="Arial" w:hAnsi="Arial" w:cs="Arial"/>
                <w:sz w:val="22"/>
              </w:rPr>
            </w:pPr>
            <w:r w:rsidRPr="00AC086C">
              <w:rPr>
                <w:rFonts w:ascii="Arial" w:hAnsi="Arial" w:cs="Arial"/>
                <w:sz w:val="22"/>
              </w:rPr>
              <w:t>FS-19</w:t>
            </w:r>
          </w:p>
        </w:tc>
        <w:tc>
          <w:tcPr>
            <w:tcW w:w="2180" w:type="dxa"/>
            <w:tcBorders>
              <w:top w:val="nil"/>
              <w:left w:val="nil"/>
              <w:bottom w:val="single" w:sz="4" w:space="0" w:color="auto"/>
              <w:right w:val="single" w:sz="4" w:space="0" w:color="auto"/>
            </w:tcBorders>
            <w:noWrap/>
            <w:vAlign w:val="bottom"/>
            <w:hideMark/>
          </w:tcPr>
          <w:p w14:paraId="770FC1BA" w14:textId="77777777" w:rsidR="003F351F" w:rsidRPr="00AC086C" w:rsidRDefault="003F351F" w:rsidP="00E67F70">
            <w:pPr>
              <w:jc w:val="both"/>
              <w:rPr>
                <w:rFonts w:ascii="Arial" w:hAnsi="Arial" w:cs="Arial"/>
                <w:sz w:val="22"/>
              </w:rPr>
            </w:pPr>
            <w:r w:rsidRPr="00AC086C">
              <w:rPr>
                <w:rFonts w:ascii="Arial" w:hAnsi="Arial" w:cs="Arial"/>
                <w:sz w:val="22"/>
              </w:rPr>
              <w:t>5.573598</w:t>
            </w:r>
          </w:p>
        </w:tc>
        <w:tc>
          <w:tcPr>
            <w:tcW w:w="2060" w:type="dxa"/>
            <w:tcBorders>
              <w:top w:val="nil"/>
              <w:left w:val="nil"/>
              <w:bottom w:val="single" w:sz="4" w:space="0" w:color="auto"/>
              <w:right w:val="single" w:sz="4" w:space="0" w:color="auto"/>
            </w:tcBorders>
            <w:noWrap/>
            <w:vAlign w:val="bottom"/>
            <w:hideMark/>
          </w:tcPr>
          <w:p w14:paraId="3287F8F4" w14:textId="77777777" w:rsidR="003F351F" w:rsidRPr="00AC086C" w:rsidRDefault="003F351F" w:rsidP="00E67F70">
            <w:pPr>
              <w:jc w:val="both"/>
              <w:rPr>
                <w:rFonts w:ascii="Arial" w:hAnsi="Arial" w:cs="Arial"/>
                <w:sz w:val="22"/>
              </w:rPr>
            </w:pPr>
            <w:r w:rsidRPr="00AC086C">
              <w:rPr>
                <w:rFonts w:ascii="Arial" w:hAnsi="Arial" w:cs="Arial"/>
                <w:sz w:val="22"/>
              </w:rPr>
              <w:t>5.4804</w:t>
            </w:r>
          </w:p>
        </w:tc>
        <w:tc>
          <w:tcPr>
            <w:tcW w:w="2220" w:type="dxa"/>
            <w:tcBorders>
              <w:top w:val="nil"/>
              <w:left w:val="nil"/>
              <w:bottom w:val="single" w:sz="4" w:space="0" w:color="auto"/>
              <w:right w:val="single" w:sz="4" w:space="0" w:color="auto"/>
            </w:tcBorders>
            <w:noWrap/>
            <w:vAlign w:val="bottom"/>
            <w:hideMark/>
          </w:tcPr>
          <w:p w14:paraId="25667033" w14:textId="77777777" w:rsidR="003F351F" w:rsidRPr="00AC086C" w:rsidRDefault="003F351F" w:rsidP="00E67F70">
            <w:pPr>
              <w:jc w:val="both"/>
              <w:rPr>
                <w:rFonts w:ascii="Arial" w:hAnsi="Arial" w:cs="Arial"/>
                <w:sz w:val="22"/>
              </w:rPr>
            </w:pPr>
            <w:r w:rsidRPr="00AC086C">
              <w:rPr>
                <w:rFonts w:ascii="Arial" w:hAnsi="Arial" w:cs="Arial"/>
                <w:sz w:val="22"/>
              </w:rPr>
              <w:t>2.767027027</w:t>
            </w:r>
          </w:p>
        </w:tc>
      </w:tr>
      <w:tr w:rsidR="003F351F" w:rsidRPr="00AC086C" w14:paraId="1AF99093"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074DE121" w14:textId="77777777" w:rsidR="003F351F" w:rsidRPr="00AC086C" w:rsidRDefault="003F351F" w:rsidP="00E67F70">
            <w:pPr>
              <w:jc w:val="both"/>
              <w:rPr>
                <w:rFonts w:ascii="Arial" w:hAnsi="Arial" w:cs="Arial"/>
                <w:sz w:val="22"/>
              </w:rPr>
            </w:pPr>
            <w:r w:rsidRPr="00AC086C">
              <w:rPr>
                <w:rFonts w:ascii="Arial" w:hAnsi="Arial" w:cs="Arial"/>
                <w:sz w:val="22"/>
              </w:rPr>
              <w:t>FS-20</w:t>
            </w:r>
          </w:p>
        </w:tc>
        <w:tc>
          <w:tcPr>
            <w:tcW w:w="2180" w:type="dxa"/>
            <w:tcBorders>
              <w:top w:val="nil"/>
              <w:left w:val="nil"/>
              <w:bottom w:val="single" w:sz="4" w:space="0" w:color="auto"/>
              <w:right w:val="single" w:sz="4" w:space="0" w:color="auto"/>
            </w:tcBorders>
            <w:noWrap/>
            <w:vAlign w:val="bottom"/>
            <w:hideMark/>
          </w:tcPr>
          <w:p w14:paraId="51C26E87" w14:textId="77777777" w:rsidR="003F351F" w:rsidRPr="00AC086C" w:rsidRDefault="003F351F" w:rsidP="00E67F70">
            <w:pPr>
              <w:jc w:val="both"/>
              <w:rPr>
                <w:rFonts w:ascii="Arial" w:hAnsi="Arial" w:cs="Arial"/>
                <w:sz w:val="22"/>
              </w:rPr>
            </w:pPr>
            <w:r w:rsidRPr="00AC086C">
              <w:rPr>
                <w:rFonts w:ascii="Arial" w:hAnsi="Arial" w:cs="Arial"/>
                <w:sz w:val="22"/>
              </w:rPr>
              <w:t>5.548006</w:t>
            </w:r>
          </w:p>
        </w:tc>
        <w:tc>
          <w:tcPr>
            <w:tcW w:w="2060" w:type="dxa"/>
            <w:tcBorders>
              <w:top w:val="nil"/>
              <w:left w:val="nil"/>
              <w:bottom w:val="single" w:sz="4" w:space="0" w:color="auto"/>
              <w:right w:val="single" w:sz="4" w:space="0" w:color="auto"/>
            </w:tcBorders>
            <w:noWrap/>
            <w:vAlign w:val="bottom"/>
            <w:hideMark/>
          </w:tcPr>
          <w:p w14:paraId="2B170C15" w14:textId="77777777" w:rsidR="003F351F" w:rsidRPr="00AC086C" w:rsidRDefault="003F351F" w:rsidP="00E67F70">
            <w:pPr>
              <w:jc w:val="both"/>
              <w:rPr>
                <w:rFonts w:ascii="Arial" w:hAnsi="Arial" w:cs="Arial"/>
                <w:sz w:val="22"/>
              </w:rPr>
            </w:pPr>
            <w:r w:rsidRPr="00AC086C">
              <w:rPr>
                <w:rFonts w:ascii="Arial" w:hAnsi="Arial" w:cs="Arial"/>
                <w:sz w:val="22"/>
              </w:rPr>
              <w:t>5.456</w:t>
            </w:r>
          </w:p>
        </w:tc>
        <w:tc>
          <w:tcPr>
            <w:tcW w:w="2220" w:type="dxa"/>
            <w:tcBorders>
              <w:top w:val="nil"/>
              <w:left w:val="nil"/>
              <w:bottom w:val="single" w:sz="4" w:space="0" w:color="auto"/>
              <w:right w:val="single" w:sz="4" w:space="0" w:color="auto"/>
            </w:tcBorders>
            <w:noWrap/>
            <w:vAlign w:val="bottom"/>
            <w:hideMark/>
          </w:tcPr>
          <w:p w14:paraId="2E374FB5" w14:textId="77777777" w:rsidR="003F351F" w:rsidRPr="00AC086C" w:rsidRDefault="003F351F" w:rsidP="00E67F70">
            <w:pPr>
              <w:jc w:val="both"/>
              <w:rPr>
                <w:rFonts w:ascii="Arial" w:hAnsi="Arial" w:cs="Arial"/>
                <w:sz w:val="22"/>
              </w:rPr>
            </w:pPr>
            <w:r w:rsidRPr="00AC086C">
              <w:rPr>
                <w:rFonts w:ascii="Arial" w:hAnsi="Arial" w:cs="Arial"/>
                <w:sz w:val="22"/>
              </w:rPr>
              <w:t>20.17545455</w:t>
            </w:r>
          </w:p>
        </w:tc>
      </w:tr>
      <w:tr w:rsidR="003F351F" w:rsidRPr="00AC086C" w14:paraId="4173E88D"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732C0541" w14:textId="77777777" w:rsidR="003F351F" w:rsidRPr="00AC086C" w:rsidRDefault="003F351F" w:rsidP="00E67F70">
            <w:pPr>
              <w:jc w:val="both"/>
              <w:rPr>
                <w:rFonts w:ascii="Arial" w:hAnsi="Arial" w:cs="Arial"/>
                <w:sz w:val="22"/>
              </w:rPr>
            </w:pPr>
            <w:r w:rsidRPr="00AC086C">
              <w:rPr>
                <w:rFonts w:ascii="Arial" w:hAnsi="Arial" w:cs="Arial"/>
                <w:sz w:val="22"/>
              </w:rPr>
              <w:t>FS-21</w:t>
            </w:r>
          </w:p>
        </w:tc>
        <w:tc>
          <w:tcPr>
            <w:tcW w:w="2180" w:type="dxa"/>
            <w:tcBorders>
              <w:top w:val="nil"/>
              <w:left w:val="nil"/>
              <w:bottom w:val="single" w:sz="4" w:space="0" w:color="auto"/>
              <w:right w:val="single" w:sz="4" w:space="0" w:color="auto"/>
            </w:tcBorders>
            <w:noWrap/>
            <w:vAlign w:val="bottom"/>
            <w:hideMark/>
          </w:tcPr>
          <w:p w14:paraId="7AD2951B" w14:textId="77777777" w:rsidR="003F351F" w:rsidRPr="00AC086C" w:rsidRDefault="003F351F" w:rsidP="00E67F70">
            <w:pPr>
              <w:jc w:val="both"/>
              <w:rPr>
                <w:rFonts w:ascii="Arial" w:hAnsi="Arial" w:cs="Arial"/>
                <w:sz w:val="22"/>
              </w:rPr>
            </w:pPr>
            <w:r w:rsidRPr="00AC086C">
              <w:rPr>
                <w:rFonts w:ascii="Arial" w:hAnsi="Arial" w:cs="Arial"/>
                <w:sz w:val="22"/>
              </w:rPr>
              <w:t>5.622001</w:t>
            </w:r>
          </w:p>
        </w:tc>
        <w:tc>
          <w:tcPr>
            <w:tcW w:w="2060" w:type="dxa"/>
            <w:tcBorders>
              <w:top w:val="nil"/>
              <w:left w:val="nil"/>
              <w:bottom w:val="single" w:sz="4" w:space="0" w:color="auto"/>
              <w:right w:val="single" w:sz="4" w:space="0" w:color="auto"/>
            </w:tcBorders>
            <w:noWrap/>
            <w:vAlign w:val="bottom"/>
            <w:hideMark/>
          </w:tcPr>
          <w:p w14:paraId="7BAF2ECE" w14:textId="77777777" w:rsidR="003F351F" w:rsidRPr="00AC086C" w:rsidRDefault="003F351F" w:rsidP="00E67F70">
            <w:pPr>
              <w:jc w:val="both"/>
              <w:rPr>
                <w:rFonts w:ascii="Arial" w:hAnsi="Arial" w:cs="Arial"/>
                <w:sz w:val="22"/>
              </w:rPr>
            </w:pPr>
            <w:r w:rsidRPr="00AC086C">
              <w:rPr>
                <w:rFonts w:ascii="Arial" w:hAnsi="Arial" w:cs="Arial"/>
                <w:sz w:val="22"/>
              </w:rPr>
              <w:t>5.437</w:t>
            </w:r>
          </w:p>
        </w:tc>
        <w:tc>
          <w:tcPr>
            <w:tcW w:w="2220" w:type="dxa"/>
            <w:tcBorders>
              <w:top w:val="nil"/>
              <w:left w:val="nil"/>
              <w:bottom w:val="single" w:sz="4" w:space="0" w:color="auto"/>
              <w:right w:val="single" w:sz="4" w:space="0" w:color="auto"/>
            </w:tcBorders>
            <w:noWrap/>
            <w:vAlign w:val="bottom"/>
            <w:hideMark/>
          </w:tcPr>
          <w:p w14:paraId="0AA39ABD" w14:textId="77777777" w:rsidR="003F351F" w:rsidRPr="00AC086C" w:rsidRDefault="003F351F" w:rsidP="00E67F70">
            <w:pPr>
              <w:jc w:val="both"/>
              <w:rPr>
                <w:rFonts w:ascii="Arial" w:hAnsi="Arial" w:cs="Arial"/>
                <w:sz w:val="22"/>
              </w:rPr>
            </w:pPr>
            <w:r w:rsidRPr="00AC086C">
              <w:rPr>
                <w:rFonts w:ascii="Arial" w:hAnsi="Arial" w:cs="Arial"/>
                <w:sz w:val="22"/>
              </w:rPr>
              <w:t>2.063983051</w:t>
            </w:r>
          </w:p>
        </w:tc>
      </w:tr>
      <w:tr w:rsidR="003F351F" w:rsidRPr="00AC086C" w14:paraId="57A604DE"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16AD434A" w14:textId="77777777" w:rsidR="003F351F" w:rsidRPr="00AC086C" w:rsidRDefault="003F351F" w:rsidP="00E67F70">
            <w:pPr>
              <w:jc w:val="both"/>
              <w:rPr>
                <w:rFonts w:ascii="Arial" w:hAnsi="Arial" w:cs="Arial"/>
                <w:sz w:val="22"/>
              </w:rPr>
            </w:pPr>
            <w:r w:rsidRPr="00AC086C">
              <w:rPr>
                <w:rFonts w:ascii="Arial" w:hAnsi="Arial" w:cs="Arial"/>
                <w:sz w:val="22"/>
              </w:rPr>
              <w:t>FS-22</w:t>
            </w:r>
          </w:p>
        </w:tc>
        <w:tc>
          <w:tcPr>
            <w:tcW w:w="2180" w:type="dxa"/>
            <w:tcBorders>
              <w:top w:val="nil"/>
              <w:left w:val="nil"/>
              <w:bottom w:val="single" w:sz="4" w:space="0" w:color="auto"/>
              <w:right w:val="single" w:sz="4" w:space="0" w:color="auto"/>
            </w:tcBorders>
            <w:noWrap/>
            <w:vAlign w:val="bottom"/>
            <w:hideMark/>
          </w:tcPr>
          <w:p w14:paraId="0FFB2E1A" w14:textId="77777777" w:rsidR="003F351F" w:rsidRPr="00AC086C" w:rsidRDefault="003F351F" w:rsidP="00E67F70">
            <w:pPr>
              <w:jc w:val="both"/>
              <w:rPr>
                <w:rFonts w:ascii="Arial" w:hAnsi="Arial" w:cs="Arial"/>
                <w:sz w:val="22"/>
              </w:rPr>
            </w:pPr>
            <w:r w:rsidRPr="00AC086C">
              <w:rPr>
                <w:rFonts w:ascii="Arial" w:hAnsi="Arial" w:cs="Arial"/>
                <w:sz w:val="22"/>
              </w:rPr>
              <w:t>5.683302</w:t>
            </w:r>
          </w:p>
        </w:tc>
        <w:tc>
          <w:tcPr>
            <w:tcW w:w="2060" w:type="dxa"/>
            <w:tcBorders>
              <w:top w:val="nil"/>
              <w:left w:val="nil"/>
              <w:bottom w:val="single" w:sz="4" w:space="0" w:color="auto"/>
              <w:right w:val="single" w:sz="4" w:space="0" w:color="auto"/>
            </w:tcBorders>
            <w:noWrap/>
            <w:vAlign w:val="bottom"/>
            <w:hideMark/>
          </w:tcPr>
          <w:p w14:paraId="3224421C" w14:textId="77777777" w:rsidR="003F351F" w:rsidRPr="00AC086C" w:rsidRDefault="003F351F" w:rsidP="00E67F70">
            <w:pPr>
              <w:jc w:val="both"/>
              <w:rPr>
                <w:rFonts w:ascii="Arial" w:hAnsi="Arial" w:cs="Arial"/>
                <w:sz w:val="22"/>
              </w:rPr>
            </w:pPr>
            <w:r w:rsidRPr="00AC086C">
              <w:rPr>
                <w:rFonts w:ascii="Arial" w:hAnsi="Arial" w:cs="Arial"/>
                <w:sz w:val="22"/>
              </w:rPr>
              <w:t>5.3833</w:t>
            </w:r>
          </w:p>
        </w:tc>
        <w:tc>
          <w:tcPr>
            <w:tcW w:w="2220" w:type="dxa"/>
            <w:tcBorders>
              <w:top w:val="nil"/>
              <w:left w:val="nil"/>
              <w:bottom w:val="single" w:sz="4" w:space="0" w:color="auto"/>
              <w:right w:val="single" w:sz="4" w:space="0" w:color="auto"/>
            </w:tcBorders>
            <w:noWrap/>
            <w:vAlign w:val="bottom"/>
            <w:hideMark/>
          </w:tcPr>
          <w:p w14:paraId="3408FB86" w14:textId="77777777" w:rsidR="003F351F" w:rsidRPr="00AC086C" w:rsidRDefault="003F351F" w:rsidP="00E67F70">
            <w:pPr>
              <w:jc w:val="both"/>
              <w:rPr>
                <w:rFonts w:ascii="Arial" w:hAnsi="Arial" w:cs="Arial"/>
                <w:sz w:val="22"/>
              </w:rPr>
            </w:pPr>
            <w:r w:rsidRPr="00AC086C">
              <w:rPr>
                <w:rFonts w:ascii="Arial" w:hAnsi="Arial" w:cs="Arial"/>
                <w:sz w:val="22"/>
              </w:rPr>
              <w:t>5.216016949</w:t>
            </w:r>
          </w:p>
        </w:tc>
      </w:tr>
      <w:tr w:rsidR="003F351F" w:rsidRPr="00AC086C" w14:paraId="49CCF8EA"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1715938A" w14:textId="77777777" w:rsidR="003F351F" w:rsidRPr="00AC086C" w:rsidRDefault="003F351F" w:rsidP="00E67F70">
            <w:pPr>
              <w:jc w:val="both"/>
              <w:rPr>
                <w:rFonts w:ascii="Arial" w:hAnsi="Arial" w:cs="Arial"/>
                <w:sz w:val="22"/>
              </w:rPr>
            </w:pPr>
            <w:r w:rsidRPr="00AC086C">
              <w:rPr>
                <w:rFonts w:ascii="Arial" w:hAnsi="Arial" w:cs="Arial"/>
                <w:sz w:val="22"/>
              </w:rPr>
              <w:t>FS-23</w:t>
            </w:r>
          </w:p>
        </w:tc>
        <w:tc>
          <w:tcPr>
            <w:tcW w:w="2180" w:type="dxa"/>
            <w:tcBorders>
              <w:top w:val="nil"/>
              <w:left w:val="nil"/>
              <w:bottom w:val="single" w:sz="4" w:space="0" w:color="auto"/>
              <w:right w:val="single" w:sz="4" w:space="0" w:color="auto"/>
            </w:tcBorders>
            <w:noWrap/>
            <w:vAlign w:val="bottom"/>
            <w:hideMark/>
          </w:tcPr>
          <w:p w14:paraId="31C9D546" w14:textId="77777777" w:rsidR="003F351F" w:rsidRPr="00AC086C" w:rsidRDefault="003F351F" w:rsidP="00E67F70">
            <w:pPr>
              <w:jc w:val="both"/>
              <w:rPr>
                <w:rFonts w:ascii="Arial" w:hAnsi="Arial" w:cs="Arial"/>
                <w:sz w:val="22"/>
              </w:rPr>
            </w:pPr>
            <w:r w:rsidRPr="00AC086C">
              <w:rPr>
                <w:rFonts w:ascii="Arial" w:hAnsi="Arial" w:cs="Arial"/>
                <w:sz w:val="22"/>
              </w:rPr>
              <w:t>5.433</w:t>
            </w:r>
          </w:p>
        </w:tc>
        <w:tc>
          <w:tcPr>
            <w:tcW w:w="2060" w:type="dxa"/>
            <w:tcBorders>
              <w:top w:val="nil"/>
              <w:left w:val="nil"/>
              <w:bottom w:val="single" w:sz="4" w:space="0" w:color="auto"/>
              <w:right w:val="single" w:sz="4" w:space="0" w:color="auto"/>
            </w:tcBorders>
            <w:noWrap/>
            <w:vAlign w:val="bottom"/>
            <w:hideMark/>
          </w:tcPr>
          <w:p w14:paraId="2707A47D" w14:textId="77777777" w:rsidR="003F351F" w:rsidRPr="00AC086C" w:rsidRDefault="003F351F" w:rsidP="00E67F70">
            <w:pPr>
              <w:jc w:val="both"/>
              <w:rPr>
                <w:rFonts w:ascii="Arial" w:hAnsi="Arial" w:cs="Arial"/>
                <w:sz w:val="22"/>
              </w:rPr>
            </w:pPr>
            <w:r w:rsidRPr="00AC086C">
              <w:rPr>
                <w:rFonts w:ascii="Arial" w:hAnsi="Arial" w:cs="Arial"/>
                <w:sz w:val="22"/>
              </w:rPr>
              <w:t>6.243</w:t>
            </w:r>
          </w:p>
        </w:tc>
        <w:tc>
          <w:tcPr>
            <w:tcW w:w="2220" w:type="dxa"/>
            <w:tcBorders>
              <w:top w:val="nil"/>
              <w:left w:val="nil"/>
              <w:bottom w:val="single" w:sz="4" w:space="0" w:color="auto"/>
              <w:right w:val="single" w:sz="4" w:space="0" w:color="auto"/>
            </w:tcBorders>
            <w:noWrap/>
            <w:vAlign w:val="bottom"/>
            <w:hideMark/>
          </w:tcPr>
          <w:p w14:paraId="6B3E22E1" w14:textId="77777777" w:rsidR="003F351F" w:rsidRPr="00AC086C" w:rsidRDefault="003F351F" w:rsidP="00E67F70">
            <w:pPr>
              <w:jc w:val="both"/>
              <w:rPr>
                <w:rFonts w:ascii="Arial" w:hAnsi="Arial" w:cs="Arial"/>
                <w:sz w:val="22"/>
              </w:rPr>
            </w:pPr>
            <w:r w:rsidRPr="00AC086C">
              <w:rPr>
                <w:rFonts w:ascii="Arial" w:hAnsi="Arial" w:cs="Arial"/>
                <w:sz w:val="22"/>
              </w:rPr>
              <w:t>3.343486842</w:t>
            </w:r>
          </w:p>
        </w:tc>
      </w:tr>
      <w:tr w:rsidR="003F351F" w:rsidRPr="00AC086C" w14:paraId="3D6619BC" w14:textId="77777777" w:rsidTr="00E67F70">
        <w:trPr>
          <w:trHeight w:val="290"/>
        </w:trPr>
        <w:tc>
          <w:tcPr>
            <w:tcW w:w="2320" w:type="dxa"/>
            <w:tcBorders>
              <w:top w:val="nil"/>
              <w:left w:val="single" w:sz="4" w:space="0" w:color="auto"/>
              <w:bottom w:val="single" w:sz="4" w:space="0" w:color="auto"/>
              <w:right w:val="single" w:sz="4" w:space="0" w:color="auto"/>
            </w:tcBorders>
            <w:noWrap/>
            <w:vAlign w:val="bottom"/>
            <w:hideMark/>
          </w:tcPr>
          <w:p w14:paraId="5776077E" w14:textId="77777777" w:rsidR="003F351F" w:rsidRPr="00AC086C" w:rsidRDefault="003F351F" w:rsidP="00E67F70">
            <w:pPr>
              <w:jc w:val="both"/>
              <w:rPr>
                <w:rFonts w:ascii="Arial" w:hAnsi="Arial" w:cs="Arial"/>
                <w:sz w:val="22"/>
              </w:rPr>
            </w:pPr>
            <w:r w:rsidRPr="00AC086C">
              <w:rPr>
                <w:rFonts w:ascii="Arial" w:hAnsi="Arial" w:cs="Arial"/>
                <w:sz w:val="22"/>
              </w:rPr>
              <w:t>FS-24</w:t>
            </w:r>
          </w:p>
        </w:tc>
        <w:tc>
          <w:tcPr>
            <w:tcW w:w="2180" w:type="dxa"/>
            <w:tcBorders>
              <w:top w:val="nil"/>
              <w:left w:val="nil"/>
              <w:bottom w:val="single" w:sz="4" w:space="0" w:color="auto"/>
              <w:right w:val="single" w:sz="4" w:space="0" w:color="auto"/>
            </w:tcBorders>
            <w:noWrap/>
            <w:vAlign w:val="bottom"/>
            <w:hideMark/>
          </w:tcPr>
          <w:p w14:paraId="660A487C" w14:textId="77777777" w:rsidR="003F351F" w:rsidRPr="00AC086C" w:rsidRDefault="003F351F" w:rsidP="00E67F70">
            <w:pPr>
              <w:jc w:val="both"/>
              <w:rPr>
                <w:rFonts w:ascii="Arial" w:hAnsi="Arial" w:cs="Arial"/>
                <w:sz w:val="22"/>
              </w:rPr>
            </w:pPr>
            <w:r w:rsidRPr="00AC086C">
              <w:rPr>
                <w:rFonts w:ascii="Arial" w:hAnsi="Arial" w:cs="Arial"/>
                <w:sz w:val="22"/>
              </w:rPr>
              <w:t>6.065329</w:t>
            </w:r>
          </w:p>
        </w:tc>
        <w:tc>
          <w:tcPr>
            <w:tcW w:w="2060" w:type="dxa"/>
            <w:tcBorders>
              <w:top w:val="nil"/>
              <w:left w:val="nil"/>
              <w:bottom w:val="single" w:sz="4" w:space="0" w:color="auto"/>
              <w:right w:val="single" w:sz="4" w:space="0" w:color="auto"/>
            </w:tcBorders>
            <w:noWrap/>
            <w:vAlign w:val="bottom"/>
            <w:hideMark/>
          </w:tcPr>
          <w:p w14:paraId="338BA37A" w14:textId="77777777" w:rsidR="003F351F" w:rsidRPr="00AC086C" w:rsidRDefault="003F351F" w:rsidP="00E67F70">
            <w:pPr>
              <w:jc w:val="both"/>
              <w:rPr>
                <w:rFonts w:ascii="Arial" w:hAnsi="Arial" w:cs="Arial"/>
                <w:sz w:val="22"/>
              </w:rPr>
            </w:pPr>
            <w:r w:rsidRPr="00AC086C">
              <w:rPr>
                <w:rFonts w:ascii="Arial" w:hAnsi="Arial" w:cs="Arial"/>
                <w:sz w:val="22"/>
              </w:rPr>
              <w:t>5.583723</w:t>
            </w:r>
          </w:p>
        </w:tc>
        <w:tc>
          <w:tcPr>
            <w:tcW w:w="2220" w:type="dxa"/>
            <w:tcBorders>
              <w:top w:val="nil"/>
              <w:left w:val="nil"/>
              <w:bottom w:val="single" w:sz="4" w:space="0" w:color="auto"/>
              <w:right w:val="single" w:sz="4" w:space="0" w:color="auto"/>
            </w:tcBorders>
            <w:noWrap/>
            <w:vAlign w:val="bottom"/>
            <w:hideMark/>
          </w:tcPr>
          <w:p w14:paraId="0F0B3E6A" w14:textId="77777777" w:rsidR="003F351F" w:rsidRPr="00AC086C" w:rsidRDefault="003F351F" w:rsidP="00E67F70">
            <w:pPr>
              <w:jc w:val="both"/>
              <w:rPr>
                <w:rFonts w:ascii="Arial" w:hAnsi="Arial" w:cs="Arial"/>
                <w:sz w:val="22"/>
              </w:rPr>
            </w:pPr>
            <w:r w:rsidRPr="00AC086C">
              <w:rPr>
                <w:rFonts w:ascii="Arial" w:hAnsi="Arial" w:cs="Arial"/>
                <w:sz w:val="22"/>
              </w:rPr>
              <w:t>13.59328804</w:t>
            </w:r>
          </w:p>
        </w:tc>
      </w:tr>
    </w:tbl>
    <w:p w14:paraId="10F6281A" w14:textId="77777777" w:rsidR="003F351F" w:rsidRDefault="003F351F" w:rsidP="003F351F">
      <w:pPr>
        <w:jc w:val="both"/>
        <w:rPr>
          <w:rFonts w:ascii="Arial" w:hAnsi="Arial" w:cs="Arial"/>
          <w:b/>
          <w:bCs/>
        </w:rPr>
      </w:pPr>
    </w:p>
    <w:p w14:paraId="4E6D2903" w14:textId="77777777" w:rsidR="003F351F" w:rsidRPr="00AC086C" w:rsidRDefault="003F351F" w:rsidP="003F351F">
      <w:pPr>
        <w:jc w:val="both"/>
        <w:rPr>
          <w:rFonts w:ascii="Arial" w:hAnsi="Arial" w:cs="Arial"/>
          <w:b/>
          <w:bCs/>
        </w:rPr>
      </w:pPr>
      <w:r w:rsidRPr="00AC086C">
        <w:rPr>
          <w:rFonts w:ascii="Arial" w:hAnsi="Arial" w:cs="Arial"/>
          <w:b/>
          <w:bCs/>
        </w:rPr>
        <w:t>2.2 Data Collection and Pre-Processing</w:t>
      </w:r>
    </w:p>
    <w:p w14:paraId="3FC8C24E" w14:textId="77777777" w:rsidR="008010FB" w:rsidRDefault="003F351F" w:rsidP="008010FB">
      <w:pPr>
        <w:jc w:val="both"/>
        <w:rPr>
          <w:szCs w:val="24"/>
        </w:rPr>
      </w:pPr>
      <w:r w:rsidRPr="00AC086C">
        <w:rPr>
          <w:rFonts w:ascii="Arial" w:hAnsi="Arial" w:cs="Arial"/>
        </w:rPr>
        <w:t>Daily associated-gas flare volumes were obtained from operational field records covering approximately 100 days</w:t>
      </w:r>
      <w:r w:rsidR="005D396D">
        <w:rPr>
          <w:rFonts w:ascii="Arial" w:hAnsi="Arial" w:cs="Arial"/>
        </w:rPr>
        <w:t xml:space="preserve"> between July and December 2024</w:t>
      </w:r>
      <w:r w:rsidRPr="00AC086C">
        <w:rPr>
          <w:rFonts w:ascii="Arial" w:hAnsi="Arial" w:cs="Arial"/>
        </w:rPr>
        <w:t xml:space="preserve">. Several entries contained zeros or blanks due to non-operational days. </w:t>
      </w:r>
      <w:r w:rsidR="008010FB" w:rsidRPr="00CF3153">
        <w:rPr>
          <w:szCs w:val="24"/>
        </w:rPr>
        <w:t xml:space="preserve">The daily flare gas volumes </w:t>
      </w:r>
      <w:r w:rsidR="008010FB">
        <w:rPr>
          <w:szCs w:val="24"/>
        </w:rPr>
        <w:t>gotten</w:t>
      </w:r>
      <w:r w:rsidR="008010FB" w:rsidRPr="00CF3153">
        <w:rPr>
          <w:szCs w:val="24"/>
        </w:rPr>
        <w:t xml:space="preserve"> from field reports were subjected to statistical analysis</w:t>
      </w:r>
      <w:r w:rsidR="008010FB">
        <w:rPr>
          <w:szCs w:val="24"/>
        </w:rPr>
        <w:t>; this was</w:t>
      </w:r>
      <w:r w:rsidR="008010FB" w:rsidRPr="00CF3153">
        <w:rPr>
          <w:szCs w:val="24"/>
        </w:rPr>
        <w:t xml:space="preserve"> to determine average flare rates per </w:t>
      </w:r>
      <w:proofErr w:type="spellStart"/>
      <w:r w:rsidR="008010FB" w:rsidRPr="00CF3153">
        <w:rPr>
          <w:szCs w:val="24"/>
        </w:rPr>
        <w:t>flowstation</w:t>
      </w:r>
      <w:proofErr w:type="spellEnd"/>
      <w:r w:rsidR="008010FB" w:rsidRPr="00CF3153">
        <w:rPr>
          <w:szCs w:val="24"/>
        </w:rPr>
        <w:t xml:space="preserve">. To ensure accuracy, only operational days (i.e., days with non-zero entries) were considered in the calculation of average daily flare volumes. This </w:t>
      </w:r>
      <w:r w:rsidR="008010FB">
        <w:rPr>
          <w:szCs w:val="24"/>
        </w:rPr>
        <w:t>will</w:t>
      </w:r>
      <w:r w:rsidR="008010FB" w:rsidRPr="00CF3153">
        <w:rPr>
          <w:szCs w:val="24"/>
        </w:rPr>
        <w:t xml:space="preserve"> avoid distortion caused by downtime and </w:t>
      </w:r>
      <w:r w:rsidR="008010FB">
        <w:rPr>
          <w:szCs w:val="24"/>
        </w:rPr>
        <w:t xml:space="preserve">it will </w:t>
      </w:r>
      <w:r w:rsidR="008010FB" w:rsidRPr="00CF3153">
        <w:rPr>
          <w:szCs w:val="24"/>
        </w:rPr>
        <w:t>provide a realistic measure of recoverable gas.</w:t>
      </w:r>
    </w:p>
    <w:p w14:paraId="13D305AD" w14:textId="5CAB3E94" w:rsidR="008010FB" w:rsidRDefault="008010FB" w:rsidP="008010FB">
      <w:pPr>
        <w:jc w:val="both"/>
      </w:pPr>
      <w:r>
        <w:rPr>
          <w:szCs w:val="24"/>
        </w:rPr>
        <w:t>Using</w:t>
      </w:r>
      <w:r w:rsidRPr="001A5909">
        <w:rPr>
          <w:szCs w:val="24"/>
        </w:rPr>
        <w:t xml:space="preserve"> Python programming</w:t>
      </w:r>
      <w:r>
        <w:rPr>
          <w:szCs w:val="24"/>
        </w:rPr>
        <w:t xml:space="preserve">, </w:t>
      </w:r>
      <w:r w:rsidRPr="001A5909">
        <w:rPr>
          <w:szCs w:val="24"/>
        </w:rPr>
        <w:t xml:space="preserve">the mean flare volumes were computed per </w:t>
      </w:r>
      <w:proofErr w:type="spellStart"/>
      <w:r w:rsidRPr="001A5909">
        <w:rPr>
          <w:szCs w:val="24"/>
        </w:rPr>
        <w:t>flowstation</w:t>
      </w:r>
      <w:proofErr w:type="spellEnd"/>
      <w:r w:rsidRPr="001A5909">
        <w:rPr>
          <w:szCs w:val="24"/>
        </w:rPr>
        <w:t xml:space="preserve"> based solely on active days. A custom script was developed </w:t>
      </w:r>
      <w:r>
        <w:t>and executed as shown in Figure</w:t>
      </w:r>
      <w:r>
        <w:t xml:space="preserve"> 2.1.</w:t>
      </w:r>
    </w:p>
    <w:p w14:paraId="62A9A889" w14:textId="218D816F" w:rsidR="003F351F" w:rsidRDefault="003F351F" w:rsidP="008010FB">
      <w:pPr>
        <w:jc w:val="both"/>
        <w:rPr>
          <w:rFonts w:ascii="Arial" w:hAnsi="Arial" w:cs="Arial"/>
        </w:rPr>
      </w:pPr>
      <w:r w:rsidRPr="00AC086C">
        <w:rPr>
          <w:rFonts w:ascii="Arial" w:hAnsi="Arial" w:cs="Arial"/>
        </w:rPr>
        <w:t xml:space="preserve">This procedure ensured that calculated averages reflected true flaring </w:t>
      </w:r>
      <w:proofErr w:type="spellStart"/>
      <w:r w:rsidRPr="00AC086C">
        <w:rPr>
          <w:rFonts w:ascii="Arial" w:hAnsi="Arial" w:cs="Arial"/>
        </w:rPr>
        <w:t>behaviour</w:t>
      </w:r>
      <w:proofErr w:type="spellEnd"/>
      <w:r w:rsidRPr="00AC086C">
        <w:rPr>
          <w:rFonts w:ascii="Arial" w:hAnsi="Arial" w:cs="Arial"/>
        </w:rPr>
        <w:t xml:space="preserve"> rather than downtime-induced distortions. Python was used to automate preprocessing and reduce the risk of manual calculation errors.</w:t>
      </w:r>
    </w:p>
    <w:p w14:paraId="1DC4C697" w14:textId="4BC3CFA4" w:rsidR="008010FB" w:rsidRDefault="008010FB" w:rsidP="008010FB">
      <w:pPr>
        <w:jc w:val="both"/>
        <w:rPr>
          <w:rFonts w:ascii="Arial" w:hAnsi="Arial" w:cs="Arial"/>
        </w:rPr>
      </w:pPr>
      <w:r w:rsidRPr="008010FB">
        <w:rPr>
          <w:rFonts w:ascii="Arial" w:hAnsi="Arial" w:cs="Arial"/>
        </w:rPr>
        <w:lastRenderedPageBreak/>
        <w:drawing>
          <wp:inline distT="0" distB="0" distL="0" distR="0" wp14:anchorId="32019B53" wp14:editId="17786891">
            <wp:extent cx="3291840" cy="3676048"/>
            <wp:effectExtent l="0" t="0" r="0" b="0"/>
            <wp:docPr id="1731115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15957" name=""/>
                    <pic:cNvPicPr/>
                  </pic:nvPicPr>
                  <pic:blipFill>
                    <a:blip r:embed="rId14"/>
                    <a:stretch>
                      <a:fillRect/>
                    </a:stretch>
                  </pic:blipFill>
                  <pic:spPr>
                    <a:xfrm>
                      <a:off x="0" y="0"/>
                      <a:ext cx="3294106" cy="3678578"/>
                    </a:xfrm>
                    <a:prstGeom prst="rect">
                      <a:avLst/>
                    </a:prstGeom>
                  </pic:spPr>
                </pic:pic>
              </a:graphicData>
            </a:graphic>
          </wp:inline>
        </w:drawing>
      </w:r>
    </w:p>
    <w:p w14:paraId="0EB865F6" w14:textId="650FDDA2" w:rsidR="008010FB" w:rsidRPr="00343EE1" w:rsidRDefault="008010FB" w:rsidP="008010FB">
      <w:pPr>
        <w:jc w:val="both"/>
        <w:rPr>
          <w:rFonts w:ascii="Arial" w:hAnsi="Arial" w:cs="Arial"/>
          <w:b/>
          <w:bCs/>
        </w:rPr>
      </w:pPr>
      <w:r w:rsidRPr="00343EE1">
        <w:rPr>
          <w:rFonts w:ascii="Arial" w:hAnsi="Arial" w:cs="Arial"/>
          <w:b/>
          <w:bCs/>
        </w:rPr>
        <w:t xml:space="preserve">Figure </w:t>
      </w:r>
      <w:proofErr w:type="gramStart"/>
      <w:r w:rsidRPr="00343EE1">
        <w:rPr>
          <w:rFonts w:ascii="Arial" w:hAnsi="Arial" w:cs="Arial"/>
          <w:b/>
          <w:bCs/>
        </w:rPr>
        <w:t>2.1  Python</w:t>
      </w:r>
      <w:proofErr w:type="gramEnd"/>
      <w:r w:rsidRPr="00343EE1">
        <w:rPr>
          <w:rFonts w:ascii="Arial" w:hAnsi="Arial" w:cs="Arial"/>
          <w:b/>
          <w:bCs/>
        </w:rPr>
        <w:t xml:space="preserve"> </w:t>
      </w:r>
      <w:r w:rsidRPr="00343EE1">
        <w:rPr>
          <w:rFonts w:ascii="Arial" w:hAnsi="Arial" w:cs="Arial"/>
          <w:b/>
          <w:bCs/>
        </w:rPr>
        <w:t>algorithm:</w:t>
      </w:r>
      <w:r>
        <w:rPr>
          <w:rFonts w:ascii="Arial" w:hAnsi="Arial" w:cs="Arial"/>
          <w:b/>
          <w:bCs/>
        </w:rPr>
        <w:t xml:space="preserve"> Averaging Flow volume </w:t>
      </w:r>
      <w:proofErr w:type="gramStart"/>
      <w:r>
        <w:rPr>
          <w:rFonts w:ascii="Arial" w:hAnsi="Arial" w:cs="Arial"/>
          <w:b/>
          <w:bCs/>
        </w:rPr>
        <w:t>over active</w:t>
      </w:r>
      <w:proofErr w:type="gramEnd"/>
      <w:r>
        <w:rPr>
          <w:rFonts w:ascii="Arial" w:hAnsi="Arial" w:cs="Arial"/>
          <w:b/>
          <w:bCs/>
        </w:rPr>
        <w:t xml:space="preserve"> days</w:t>
      </w:r>
    </w:p>
    <w:p w14:paraId="0161D7FE" w14:textId="77777777" w:rsidR="008010FB" w:rsidRDefault="008010FB" w:rsidP="008010FB">
      <w:pPr>
        <w:jc w:val="both"/>
        <w:rPr>
          <w:rFonts w:ascii="Arial" w:hAnsi="Arial" w:cs="Arial"/>
        </w:rPr>
      </w:pPr>
    </w:p>
    <w:p w14:paraId="417DB8E3" w14:textId="77777777" w:rsidR="008010FB" w:rsidRPr="00AC086C" w:rsidRDefault="008010FB" w:rsidP="008010FB">
      <w:pPr>
        <w:jc w:val="both"/>
        <w:rPr>
          <w:rFonts w:ascii="Arial" w:hAnsi="Arial" w:cs="Arial"/>
        </w:rPr>
      </w:pPr>
    </w:p>
    <w:p w14:paraId="21B36AE2" w14:textId="77777777" w:rsidR="003F351F" w:rsidRPr="00AC086C" w:rsidRDefault="003F351F" w:rsidP="003F351F">
      <w:pPr>
        <w:jc w:val="both"/>
        <w:rPr>
          <w:rFonts w:ascii="Arial" w:hAnsi="Arial" w:cs="Arial"/>
          <w:b/>
          <w:bCs/>
        </w:rPr>
      </w:pPr>
      <w:r w:rsidRPr="00AC086C">
        <w:rPr>
          <w:rFonts w:ascii="Arial" w:hAnsi="Arial" w:cs="Arial"/>
          <w:b/>
          <w:bCs/>
        </w:rPr>
        <w:t>2.3 Geospatial Data Preparation</w:t>
      </w:r>
    </w:p>
    <w:p w14:paraId="6A65970D" w14:textId="5869CD51" w:rsidR="00805CC8" w:rsidRPr="006C73C8" w:rsidRDefault="00805CC8" w:rsidP="00805CC8">
      <w:r w:rsidRPr="00A92C09">
        <w:rPr>
          <w:lang w:val="en-NG"/>
        </w:rPr>
        <w:t>Recent work in New Mexico used geospatial and satellite mapping to link flare reduction with CO</w:t>
      </w:r>
      <w:r w:rsidRPr="00A92C09">
        <w:rPr>
          <w:rFonts w:ascii="Cambria Math" w:hAnsi="Cambria Math" w:cs="Cambria Math"/>
          <w:lang w:val="en-NG"/>
        </w:rPr>
        <w:t>₂</w:t>
      </w:r>
      <w:r w:rsidRPr="00A92C09">
        <w:rPr>
          <w:lang w:val="en-NG"/>
        </w:rPr>
        <w:t xml:space="preserve"> mitigation outcomes (Nolt-Caraway et al., 2025). Such studies </w:t>
      </w:r>
      <w:r>
        <w:t>support</w:t>
      </w:r>
      <w:r w:rsidRPr="00A92C09">
        <w:rPr>
          <w:lang w:val="en-NG"/>
        </w:rPr>
        <w:t xml:space="preserve"> the use of spatial analytical models for emission-management</w:t>
      </w:r>
      <w:r>
        <w:t>.</w:t>
      </w:r>
      <w:r w:rsidRPr="00A92C09">
        <w:rPr>
          <w:lang w:val="en-NG"/>
        </w:rPr>
        <w:t xml:space="preserve"> </w:t>
      </w:r>
    </w:p>
    <w:p w14:paraId="7B183524" w14:textId="626E4682" w:rsidR="003F351F" w:rsidRPr="00AC086C" w:rsidRDefault="005D396D" w:rsidP="003F351F">
      <w:pPr>
        <w:jc w:val="both"/>
        <w:rPr>
          <w:rFonts w:ascii="Arial" w:hAnsi="Arial" w:cs="Arial"/>
        </w:rPr>
      </w:pPr>
      <w:r>
        <w:rPr>
          <w:rFonts w:ascii="Arial" w:hAnsi="Arial" w:cs="Arial"/>
        </w:rPr>
        <w:t>In this study, c</w:t>
      </w:r>
      <w:r w:rsidR="003F351F" w:rsidRPr="00AC086C">
        <w:rPr>
          <w:rFonts w:ascii="Arial" w:hAnsi="Arial" w:cs="Arial"/>
        </w:rPr>
        <w:t xml:space="preserve">oordinates were imported from an Excel-based GPS dataset and structured into a two-column matrix (Latitude, Longitude). These coordinates formed the core features for clustering. All spatial analysis was performed in Python. The coordinate matrix </w:t>
      </w:r>
      <m:oMath>
        <m:r>
          <w:rPr>
            <w:rFonts w:ascii="Cambria Math" w:hAnsi="Cambria Math" w:cs="Arial"/>
          </w:rPr>
          <m:t>(</m:t>
        </m:r>
        <m:sSub>
          <m:sSubPr>
            <m:ctrlPr>
              <w:rPr>
                <w:rFonts w:ascii="Cambria Math" w:hAnsi="Cambria Math" w:cs="Arial"/>
              </w:rPr>
            </m:ctrlPr>
          </m:sSubPr>
          <m:e>
            <m:r>
              <w:rPr>
                <w:rFonts w:ascii="Cambria Math" w:hAnsi="Cambria Math" w:cs="Arial"/>
              </w:rPr>
              <m:t>x</m:t>
            </m:r>
          </m:e>
          <m:sub>
            <m:r>
              <w:rPr>
                <w:rFonts w:ascii="Cambria Math" w:hAnsi="Cambria Math" w:cs="Arial"/>
              </w:rPr>
              <m:t>i</m:t>
            </m:r>
          </m:sub>
        </m:sSub>
        <m:r>
          <w:rPr>
            <w:rFonts w:ascii="Cambria Math" w:hAnsi="Cambria Math" w:cs="Arial"/>
          </w:rPr>
          <m:t>,</m:t>
        </m:r>
        <m:sSub>
          <m:sSubPr>
            <m:ctrlPr>
              <w:rPr>
                <w:rFonts w:ascii="Cambria Math" w:hAnsi="Cambria Math" w:cs="Arial"/>
              </w:rPr>
            </m:ctrlPr>
          </m:sSubPr>
          <m:e>
            <m:r>
              <w:rPr>
                <w:rFonts w:ascii="Cambria Math" w:hAnsi="Cambria Math" w:cs="Arial"/>
              </w:rPr>
              <m:t>y</m:t>
            </m:r>
          </m:e>
          <m:sub>
            <m:r>
              <w:rPr>
                <w:rFonts w:ascii="Cambria Math" w:hAnsi="Cambria Math" w:cs="Arial"/>
              </w:rPr>
              <m:t>i</m:t>
            </m:r>
          </m:sub>
        </m:sSub>
        <m:r>
          <w:rPr>
            <w:rFonts w:ascii="Cambria Math" w:hAnsi="Cambria Math" w:cs="Arial"/>
          </w:rPr>
          <m:t>)</m:t>
        </m:r>
      </m:oMath>
      <w:r w:rsidR="003F351F" w:rsidRPr="00AC086C">
        <w:rPr>
          <w:rFonts w:ascii="Arial" w:hAnsi="Arial" w:cs="Arial"/>
        </w:rPr>
        <w:t>served as the primary input for cluster computation.</w:t>
      </w:r>
    </w:p>
    <w:p w14:paraId="6ABBAC7F" w14:textId="77777777" w:rsidR="003F351F" w:rsidRPr="00AC086C" w:rsidRDefault="003F351F" w:rsidP="003F351F">
      <w:pPr>
        <w:jc w:val="both"/>
        <w:rPr>
          <w:rFonts w:ascii="Arial" w:hAnsi="Arial" w:cs="Arial"/>
          <w:b/>
          <w:bCs/>
        </w:rPr>
      </w:pPr>
      <w:r w:rsidRPr="00AC086C">
        <w:rPr>
          <w:rFonts w:ascii="Arial" w:hAnsi="Arial" w:cs="Arial"/>
          <w:b/>
          <w:bCs/>
        </w:rPr>
        <w:t>2.4 Determination of Optimal Number of Clusters Using the Elbow Method</w:t>
      </w:r>
    </w:p>
    <w:p w14:paraId="3CD57F3F" w14:textId="3B93D918" w:rsidR="003F351F" w:rsidRPr="00AC086C" w:rsidRDefault="003F351F" w:rsidP="003F351F">
      <w:pPr>
        <w:jc w:val="both"/>
        <w:rPr>
          <w:rFonts w:ascii="Arial" w:hAnsi="Arial" w:cs="Arial"/>
        </w:rPr>
      </w:pPr>
      <w:r w:rsidRPr="00AC086C">
        <w:rPr>
          <w:rFonts w:ascii="Arial" w:hAnsi="Arial" w:cs="Arial"/>
        </w:rPr>
        <w:t xml:space="preserve">The optimal number of clusters </w:t>
      </w:r>
      <m:oMath>
        <m:r>
          <w:rPr>
            <w:rFonts w:ascii="Cambria Math" w:hAnsi="Cambria Math" w:cs="Arial"/>
          </w:rPr>
          <m:t>K</m:t>
        </m:r>
      </m:oMath>
      <w:r w:rsidR="005D396D">
        <w:rPr>
          <w:rFonts w:ascii="Arial" w:hAnsi="Arial" w:cs="Arial"/>
        </w:rPr>
        <w:t xml:space="preserve"> </w:t>
      </w:r>
      <w:r w:rsidRPr="00AC086C">
        <w:rPr>
          <w:rFonts w:ascii="Arial" w:hAnsi="Arial" w:cs="Arial"/>
        </w:rPr>
        <w:t xml:space="preserve">was identified using the Elbow Method, which evaluates inertia—also known as the within-cluster sum of squares—across a range of potential cluster counts. The method tests values of </w:t>
      </w:r>
      <m:oMath>
        <m:r>
          <w:rPr>
            <w:rFonts w:ascii="Cambria Math" w:hAnsi="Cambria Math" w:cs="Arial"/>
          </w:rPr>
          <m:t>K</m:t>
        </m:r>
      </m:oMath>
      <w:r w:rsidRPr="00AC086C">
        <w:rPr>
          <w:rFonts w:ascii="Arial" w:eastAsiaTheme="minorEastAsia" w:hAnsi="Arial" w:cs="Arial"/>
        </w:rPr>
        <w:t xml:space="preserve"> </w:t>
      </w:r>
      <w:r w:rsidRPr="00AC086C">
        <w:rPr>
          <w:rFonts w:ascii="Arial" w:hAnsi="Arial" w:cs="Arial"/>
        </w:rPr>
        <w:t>from 1 to 10 using equation 2.1. The computation of inertia followed the standard objective function:</w:t>
      </w:r>
    </w:p>
    <w:p w14:paraId="657F5812" w14:textId="77777777" w:rsidR="003F351F" w:rsidRDefault="003F351F" w:rsidP="003F351F">
      <w:pPr>
        <w:jc w:val="both"/>
        <w:rPr>
          <w:rFonts w:ascii="Arial" w:hAnsi="Arial" w:cs="Arial"/>
        </w:rPr>
      </w:pPr>
      <m:oMathPara>
        <m:oMath>
          <m:r>
            <m:rPr>
              <m:nor/>
            </m:rPr>
            <w:rPr>
              <w:rFonts w:ascii="Arial" w:hAnsi="Arial" w:cs="Arial"/>
            </w:rPr>
            <m:t>Inertia</m:t>
          </m:r>
          <m:r>
            <w:rPr>
              <w:rFonts w:ascii="Cambria Math" w:hAnsi="Cambria Math" w:cs="Arial"/>
            </w:rPr>
            <m:t>=</m:t>
          </m:r>
          <m:nary>
            <m:naryPr>
              <m:chr m:val="∑"/>
              <m:limLoc m:val="undOvr"/>
              <m:grow m:val="1"/>
              <m:ctrlPr>
                <w:rPr>
                  <w:rFonts w:ascii="Cambria Math" w:hAnsi="Cambria Math" w:cs="Arial"/>
                </w:rPr>
              </m:ctrlPr>
            </m:naryPr>
            <m:sub>
              <m:r>
                <w:rPr>
                  <w:rFonts w:ascii="Cambria Math" w:hAnsi="Cambria Math" w:cs="Arial"/>
                </w:rPr>
                <m:t>i=1</m:t>
              </m:r>
            </m:sub>
            <m:sup>
              <m:r>
                <w:rPr>
                  <w:rFonts w:ascii="Cambria Math" w:hAnsi="Cambria Math" w:cs="Arial"/>
                </w:rPr>
                <m:t>N</m:t>
              </m:r>
            </m:sup>
            <m:e>
              <m:nary>
                <m:naryPr>
                  <m:chr m:val="∑"/>
                  <m:limLoc m:val="undOvr"/>
                  <m:grow m:val="1"/>
                  <m:ctrlPr>
                    <w:rPr>
                      <w:rFonts w:ascii="Cambria Math" w:hAnsi="Cambria Math" w:cs="Arial"/>
                    </w:rPr>
                  </m:ctrlPr>
                </m:naryPr>
                <m:sub>
                  <m:r>
                    <w:rPr>
                      <w:rFonts w:ascii="Cambria Math" w:hAnsi="Cambria Math" w:cs="Arial"/>
                    </w:rPr>
                    <m:t>j=1</m:t>
                  </m:r>
                </m:sub>
                <m:sup>
                  <m:r>
                    <w:rPr>
                      <w:rFonts w:ascii="Cambria Math" w:hAnsi="Cambria Math" w:cs="Arial"/>
                    </w:rPr>
                    <m:t>k</m:t>
                  </m:r>
                </m:sup>
                <m:e>
                  <m:r>
                    <m:rPr>
                      <m:sty m:val="p"/>
                    </m:rPr>
                    <w:rPr>
                      <w:rFonts w:ascii="Cambria Math" w:hAnsi="Cambria Math" w:cs="Arial"/>
                    </w:rPr>
                    <m:t>min</m:t>
                  </m:r>
                  <m:r>
                    <w:rPr>
                      <w:rFonts w:ascii="Cambria Math" w:hAnsi="Cambria Math" w:cs="Arial"/>
                    </w:rPr>
                    <m:t>⁡</m:t>
                  </m:r>
                  <m:r>
                    <m:rPr>
                      <m:sty m:val="p"/>
                    </m:rPr>
                    <w:rPr>
                      <w:rFonts w:ascii="Cambria Math" w:hAnsi="Cambria Math" w:cs="Arial"/>
                    </w:rPr>
                    <m:t>∥</m:t>
                  </m:r>
                  <m:sSub>
                    <m:sSubPr>
                      <m:ctrlPr>
                        <w:rPr>
                          <w:rFonts w:ascii="Cambria Math" w:hAnsi="Cambria Math" w:cs="Arial"/>
                        </w:rPr>
                      </m:ctrlPr>
                    </m:sSubPr>
                    <m:e>
                      <m:r>
                        <w:rPr>
                          <w:rFonts w:ascii="Cambria Math" w:hAnsi="Cambria Math" w:cs="Arial"/>
                        </w:rPr>
                        <m:t>x</m:t>
                      </m:r>
                    </m:e>
                    <m:sub>
                      <m:r>
                        <w:rPr>
                          <w:rFonts w:ascii="Cambria Math" w:hAnsi="Cambria Math" w:cs="Arial"/>
                        </w:rPr>
                        <m:t>i</m:t>
                      </m:r>
                    </m:sub>
                  </m:sSub>
                  <m:r>
                    <w:rPr>
                      <w:rFonts w:ascii="Cambria Math" w:hAnsi="Cambria Math" w:cs="Arial"/>
                    </w:rPr>
                    <m:t>-</m:t>
                  </m:r>
                  <m:sSub>
                    <m:sSubPr>
                      <m:ctrlPr>
                        <w:rPr>
                          <w:rFonts w:ascii="Cambria Math" w:hAnsi="Cambria Math" w:cs="Arial"/>
                        </w:rPr>
                      </m:ctrlPr>
                    </m:sSubPr>
                    <m:e>
                      <m:r>
                        <w:rPr>
                          <w:rFonts w:ascii="Cambria Math" w:hAnsi="Cambria Math" w:cs="Arial"/>
                        </w:rPr>
                        <m:t>μ</m:t>
                      </m:r>
                    </m:e>
                    <m:sub>
                      <m:r>
                        <w:rPr>
                          <w:rFonts w:ascii="Cambria Math" w:hAnsi="Cambria Math" w:cs="Arial"/>
                        </w:rPr>
                        <m:t>j</m:t>
                      </m:r>
                    </m:sub>
                  </m:sSub>
                  <m:sSup>
                    <m:sSupPr>
                      <m:ctrlPr>
                        <w:rPr>
                          <w:rFonts w:ascii="Cambria Math" w:hAnsi="Cambria Math" w:cs="Arial"/>
                        </w:rPr>
                      </m:ctrlPr>
                    </m:sSupPr>
                    <m:e>
                      <m:r>
                        <m:rPr>
                          <m:sty m:val="p"/>
                        </m:rPr>
                        <w:rPr>
                          <w:rFonts w:ascii="Cambria Math" w:hAnsi="Cambria Math" w:cs="Arial"/>
                        </w:rPr>
                        <m:t>∥</m:t>
                      </m:r>
                    </m:e>
                    <m:sup>
                      <m:r>
                        <w:rPr>
                          <w:rFonts w:ascii="Cambria Math" w:hAnsi="Cambria Math" w:cs="Arial"/>
                        </w:rPr>
                        <m:t>2</m:t>
                      </m:r>
                    </m:sup>
                  </m:sSup>
                </m:e>
              </m:nary>
            </m:e>
          </m:nary>
          <m:r>
            <m:rPr>
              <m:sty m:val="p"/>
            </m:rPr>
            <w:rPr>
              <w:rFonts w:ascii="Cambria Math" w:hAnsi="Cambria Math" w:cs="Arial"/>
            </w:rPr>
            <m:t xml:space="preserve">                  (2.1)</m:t>
          </m:r>
          <m:r>
            <m:rPr>
              <m:sty m:val="p"/>
            </m:rPr>
            <w:rPr>
              <w:rFonts w:ascii="Cambria Math" w:hAnsi="Cambria Math" w:cs="Arial"/>
            </w:rPr>
            <w:br/>
          </m:r>
        </m:oMath>
      </m:oMathPara>
      <w:r w:rsidRPr="00AC086C">
        <w:rPr>
          <w:rFonts w:ascii="Arial" w:hAnsi="Arial" w:cs="Arial"/>
        </w:rPr>
        <w:t>where</w:t>
      </w:r>
      <w:r w:rsidRPr="00AC086C">
        <w:rPr>
          <w:rFonts w:ascii="Arial" w:hAnsi="Arial" w:cs="Arial"/>
        </w:rPr>
        <w:br/>
      </w:r>
      <m:oMath>
        <m:sSub>
          <m:sSubPr>
            <m:ctrlPr>
              <w:rPr>
                <w:rFonts w:ascii="Cambria Math" w:hAnsi="Cambria Math" w:cs="Arial"/>
              </w:rPr>
            </m:ctrlPr>
          </m:sSubPr>
          <m:e>
            <m:r>
              <w:rPr>
                <w:rFonts w:ascii="Cambria Math" w:hAnsi="Cambria Math" w:cs="Arial"/>
              </w:rPr>
              <m:t>x</m:t>
            </m:r>
          </m:e>
          <m:sub>
            <m:r>
              <w:rPr>
                <w:rFonts w:ascii="Cambria Math" w:hAnsi="Cambria Math" w:cs="Arial"/>
              </w:rPr>
              <m:t>i</m:t>
            </m:r>
          </m:sub>
        </m:sSub>
      </m:oMath>
      <w:r w:rsidRPr="00AC086C">
        <w:rPr>
          <w:rFonts w:ascii="Arial" w:hAnsi="Arial" w:cs="Arial"/>
        </w:rPr>
        <w:t>= data point (latitude, longitude),</w:t>
      </w:r>
    </w:p>
    <w:p w14:paraId="61628F9E" w14:textId="77777777" w:rsidR="003F351F" w:rsidRDefault="00000000" w:rsidP="003F351F">
      <w:pPr>
        <w:jc w:val="both"/>
        <w:rPr>
          <w:rFonts w:ascii="Arial" w:hAnsi="Arial" w:cs="Arial"/>
        </w:rPr>
      </w:pPr>
      <m:oMath>
        <m:sSub>
          <m:sSubPr>
            <m:ctrlPr>
              <w:rPr>
                <w:rFonts w:ascii="Cambria Math" w:hAnsi="Cambria Math" w:cs="Arial"/>
              </w:rPr>
            </m:ctrlPr>
          </m:sSubPr>
          <m:e>
            <m:r>
              <w:rPr>
                <w:rFonts w:ascii="Cambria Math" w:hAnsi="Cambria Math" w:cs="Arial"/>
              </w:rPr>
              <m:t>μ</m:t>
            </m:r>
          </m:e>
          <m:sub>
            <m:r>
              <w:rPr>
                <w:rFonts w:ascii="Cambria Math" w:hAnsi="Cambria Math" w:cs="Arial"/>
              </w:rPr>
              <m:t>j</m:t>
            </m:r>
          </m:sub>
        </m:sSub>
      </m:oMath>
      <w:r w:rsidR="003F351F" w:rsidRPr="00AC086C">
        <w:rPr>
          <w:rFonts w:ascii="Arial" w:hAnsi="Arial" w:cs="Arial"/>
        </w:rPr>
        <w:t xml:space="preserve">= centroid of cluster </w:t>
      </w:r>
      <m:oMath>
        <m:r>
          <w:rPr>
            <w:rFonts w:ascii="Cambria Math" w:hAnsi="Cambria Math" w:cs="Arial"/>
          </w:rPr>
          <m:t>j</m:t>
        </m:r>
      </m:oMath>
      <w:r w:rsidR="003F351F" w:rsidRPr="00AC086C">
        <w:rPr>
          <w:rFonts w:ascii="Arial" w:hAnsi="Arial" w:cs="Arial"/>
        </w:rPr>
        <w:t>,</w:t>
      </w:r>
    </w:p>
    <w:p w14:paraId="1D2C7B84" w14:textId="77777777" w:rsidR="003F351F" w:rsidRDefault="003F351F" w:rsidP="003F351F">
      <w:pPr>
        <w:jc w:val="both"/>
        <w:rPr>
          <w:rFonts w:ascii="Arial" w:hAnsi="Arial" w:cs="Arial"/>
        </w:rPr>
      </w:pPr>
      <m:oMath>
        <m:r>
          <w:rPr>
            <w:rFonts w:ascii="Cambria Math" w:hAnsi="Cambria Math" w:cs="Arial"/>
          </w:rPr>
          <m:t>N</m:t>
        </m:r>
      </m:oMath>
      <w:r w:rsidRPr="00AC086C">
        <w:rPr>
          <w:rFonts w:ascii="Arial" w:hAnsi="Arial" w:cs="Arial"/>
        </w:rPr>
        <w:t>= total number of points,</w:t>
      </w:r>
    </w:p>
    <w:p w14:paraId="4E8B25A2" w14:textId="77777777" w:rsidR="003F351F" w:rsidRPr="00AC086C" w:rsidRDefault="003F351F" w:rsidP="003F351F">
      <w:pPr>
        <w:jc w:val="both"/>
        <w:rPr>
          <w:rFonts w:ascii="Arial" w:hAnsi="Arial" w:cs="Arial"/>
        </w:rPr>
      </w:pPr>
      <m:oMath>
        <m:r>
          <w:rPr>
            <w:rFonts w:ascii="Cambria Math" w:hAnsi="Cambria Math" w:cs="Arial"/>
          </w:rPr>
          <m:t>k</m:t>
        </m:r>
      </m:oMath>
      <w:r w:rsidRPr="00AC086C">
        <w:rPr>
          <w:rFonts w:ascii="Arial" w:hAnsi="Arial" w:cs="Arial"/>
        </w:rPr>
        <w:t>= number of clusters.</w:t>
      </w:r>
    </w:p>
    <w:p w14:paraId="4B2F97E9" w14:textId="499E9ABD" w:rsidR="003F351F" w:rsidRPr="00AC086C" w:rsidRDefault="003F351F" w:rsidP="003F351F">
      <w:pPr>
        <w:jc w:val="both"/>
        <w:rPr>
          <w:rFonts w:ascii="Arial" w:hAnsi="Arial" w:cs="Arial"/>
        </w:rPr>
      </w:pPr>
      <w:r w:rsidRPr="00AC086C">
        <w:rPr>
          <w:rFonts w:ascii="Arial" w:hAnsi="Arial" w:cs="Arial"/>
        </w:rPr>
        <w:t xml:space="preserve">A plot of </w:t>
      </w:r>
      <m:oMath>
        <m:r>
          <m:rPr>
            <m:nor/>
          </m:rPr>
          <w:rPr>
            <w:rFonts w:ascii="Arial" w:hAnsi="Arial" w:cs="Arial"/>
          </w:rPr>
          <m:t xml:space="preserve">Inertia </m:t>
        </m:r>
      </m:oMath>
      <w:r w:rsidRPr="00AC086C">
        <w:rPr>
          <w:rFonts w:ascii="Arial" w:hAnsi="Arial" w:cs="Arial"/>
        </w:rPr>
        <w:t xml:space="preserve">against </w:t>
      </w:r>
      <m:oMath>
        <m:r>
          <w:rPr>
            <w:rFonts w:ascii="Cambria Math" w:hAnsi="Cambria Math" w:cs="Arial"/>
          </w:rPr>
          <m:t>K</m:t>
        </m:r>
      </m:oMath>
      <w:r w:rsidRPr="00AC086C">
        <w:rPr>
          <w:rFonts w:ascii="Arial" w:hAnsi="Arial" w:cs="Arial"/>
        </w:rPr>
        <w:t xml:space="preserve">reveals a point where the rate of decrease sharply diminishes. For this dataset, a clear inflection occurred at K = 4, indicating that four clusters provided the </w:t>
      </w:r>
      <w:r w:rsidRPr="00AC086C">
        <w:rPr>
          <w:rFonts w:ascii="Arial" w:hAnsi="Arial" w:cs="Arial"/>
        </w:rPr>
        <w:lastRenderedPageBreak/>
        <w:t xml:space="preserve">optimal balance between model complexity and clustering performance. This approach is consistent with best practices in unsupervised learning and has been widely used in clustering research </w:t>
      </w:r>
      <w:r w:rsidR="00C50A00">
        <w:rPr>
          <w:rFonts w:ascii="Arial" w:hAnsi="Arial" w:cs="Arial"/>
        </w:rPr>
        <w:t>(</w:t>
      </w:r>
      <w:proofErr w:type="spellStart"/>
      <w:r w:rsidR="00C50A00" w:rsidRPr="00172252">
        <w:rPr>
          <w:rFonts w:ascii="Arial" w:hAnsi="Arial" w:cs="Arial"/>
        </w:rPr>
        <w:t>Umargono</w:t>
      </w:r>
      <w:proofErr w:type="spellEnd"/>
      <w:r w:rsidR="00C50A00">
        <w:rPr>
          <w:rFonts w:ascii="Arial" w:hAnsi="Arial" w:cs="Arial"/>
        </w:rPr>
        <w:t xml:space="preserve"> et al., 2020)</w:t>
      </w:r>
      <w:r w:rsidRPr="00AC086C">
        <w:rPr>
          <w:rFonts w:ascii="Arial" w:hAnsi="Arial" w:cs="Arial"/>
        </w:rPr>
        <w:t>.</w:t>
      </w:r>
    </w:p>
    <w:p w14:paraId="7BE39A3C" w14:textId="77777777" w:rsidR="003F351F" w:rsidRPr="00AC086C" w:rsidRDefault="003F351F" w:rsidP="003F351F">
      <w:pPr>
        <w:jc w:val="both"/>
        <w:rPr>
          <w:rFonts w:ascii="Arial" w:hAnsi="Arial" w:cs="Arial"/>
          <w:b/>
          <w:bCs/>
        </w:rPr>
      </w:pPr>
      <w:r w:rsidRPr="00AC086C">
        <w:rPr>
          <w:rFonts w:ascii="Arial" w:hAnsi="Arial" w:cs="Arial"/>
          <w:b/>
          <w:bCs/>
        </w:rPr>
        <w:t>2.5 K-Means Clustering Algorithm</w:t>
      </w:r>
    </w:p>
    <w:p w14:paraId="65A0F2C5" w14:textId="513F97CA" w:rsidR="003F351F" w:rsidRPr="00AC086C" w:rsidRDefault="003F351F" w:rsidP="003F351F">
      <w:pPr>
        <w:jc w:val="both"/>
        <w:rPr>
          <w:rFonts w:ascii="Arial" w:hAnsi="Arial" w:cs="Arial"/>
        </w:rPr>
      </w:pPr>
      <w:r w:rsidRPr="00AC086C">
        <w:rPr>
          <w:rFonts w:ascii="Arial" w:hAnsi="Arial" w:cs="Arial"/>
        </w:rPr>
        <w:t xml:space="preserve">Following determination of the optimal cluster count, the dataset was partitioned into </w:t>
      </w:r>
      <m:oMath>
        <m:r>
          <w:rPr>
            <w:rFonts w:ascii="Cambria Math" w:hAnsi="Cambria Math" w:cs="Arial"/>
          </w:rPr>
          <m:t>K=4</m:t>
        </m:r>
      </m:oMath>
      <w:r w:rsidRPr="00AC086C">
        <w:rPr>
          <w:rFonts w:ascii="Arial" w:eastAsiaTheme="minorEastAsia" w:hAnsi="Arial" w:cs="Arial"/>
        </w:rPr>
        <w:t xml:space="preserve"> </w:t>
      </w:r>
      <w:r w:rsidRPr="00AC086C">
        <w:rPr>
          <w:rFonts w:ascii="Arial" w:hAnsi="Arial" w:cs="Arial"/>
        </w:rPr>
        <w:t xml:space="preserve">clusters using the K-means algorithm. K-means is a distance-minimization technique that iteratively assigns points to the nearest centroid and recalculates centroids until convergence </w:t>
      </w:r>
      <w:r w:rsidR="00D447E1">
        <w:rPr>
          <w:rFonts w:ascii="Arial" w:hAnsi="Arial" w:cs="Arial"/>
        </w:rPr>
        <w:t>(</w:t>
      </w:r>
      <w:r w:rsidR="00D447E1" w:rsidRPr="00561A43">
        <w:rPr>
          <w:rFonts w:ascii="Arial" w:hAnsi="Arial" w:cs="Arial"/>
        </w:rPr>
        <w:t>Jain</w:t>
      </w:r>
      <w:r w:rsidR="00D447E1">
        <w:rPr>
          <w:rFonts w:ascii="Arial" w:hAnsi="Arial" w:cs="Arial"/>
        </w:rPr>
        <w:t>, 2010).</w:t>
      </w:r>
      <w:r w:rsidR="00493785">
        <w:rPr>
          <w:rFonts w:ascii="Arial" w:hAnsi="Arial" w:cs="Arial"/>
        </w:rPr>
        <w:t xml:space="preserve"> </w:t>
      </w:r>
      <w:r w:rsidR="00493785" w:rsidRPr="00493785">
        <w:rPr>
          <w:rFonts w:ascii="Arial" w:hAnsi="Arial" w:cs="Arial"/>
        </w:rPr>
        <w:t>Because the flare sites are concentrated within a confined geographic band of the Niger Delta, the earth-curvature effect is minimal at this scale; therefore, Euclidean distance was appropriate for K-means computation without requiring geodesic transformation.</w:t>
      </w:r>
    </w:p>
    <w:p w14:paraId="6A8E5CE2" w14:textId="77777777" w:rsidR="003F351F" w:rsidRPr="00AC086C" w:rsidRDefault="003F351F" w:rsidP="003F351F">
      <w:pPr>
        <w:jc w:val="both"/>
        <w:rPr>
          <w:rFonts w:ascii="Arial" w:hAnsi="Arial" w:cs="Arial"/>
          <w:szCs w:val="24"/>
        </w:rPr>
      </w:pPr>
      <w:r w:rsidRPr="00AC086C">
        <w:rPr>
          <w:rFonts w:ascii="Arial" w:hAnsi="Arial" w:cs="Arial"/>
          <w:szCs w:val="24"/>
        </w:rPr>
        <w:t xml:space="preserve">The centroid for a cluster </w:t>
      </w:r>
      <m:oMath>
        <m:sSub>
          <m:sSubPr>
            <m:ctrlPr>
              <w:rPr>
                <w:rFonts w:ascii="Cambria Math" w:hAnsi="Cambria Math" w:cs="Arial"/>
                <w:szCs w:val="24"/>
              </w:rPr>
            </m:ctrlPr>
          </m:sSubPr>
          <m:e>
            <m:r>
              <w:rPr>
                <w:rFonts w:ascii="Cambria Math" w:hAnsi="Cambria Math" w:cs="Arial"/>
                <w:szCs w:val="24"/>
              </w:rPr>
              <m:t>C</m:t>
            </m:r>
          </m:e>
          <m:sub>
            <m:r>
              <w:rPr>
                <w:rFonts w:ascii="Cambria Math" w:hAnsi="Cambria Math" w:cs="Arial"/>
                <w:szCs w:val="24"/>
              </w:rPr>
              <m:t>i</m:t>
            </m:r>
          </m:sub>
        </m:sSub>
      </m:oMath>
      <w:r w:rsidRPr="00AC086C">
        <w:rPr>
          <w:rFonts w:ascii="Arial" w:eastAsiaTheme="minorEastAsia" w:hAnsi="Arial" w:cs="Arial"/>
          <w:szCs w:val="24"/>
        </w:rPr>
        <w:t xml:space="preserve"> </w:t>
      </w:r>
      <w:r w:rsidRPr="00AC086C">
        <w:rPr>
          <w:rFonts w:ascii="Arial" w:hAnsi="Arial" w:cs="Arial"/>
          <w:szCs w:val="24"/>
        </w:rPr>
        <w:t xml:space="preserve">with </w:t>
      </w:r>
      <m:oMath>
        <m:r>
          <w:rPr>
            <w:rFonts w:ascii="Cambria Math" w:hAnsi="Cambria Math" w:cs="Arial"/>
            <w:szCs w:val="24"/>
          </w:rPr>
          <m:t>n</m:t>
        </m:r>
      </m:oMath>
      <w:r w:rsidRPr="00AC086C">
        <w:rPr>
          <w:rFonts w:ascii="Arial" w:eastAsiaTheme="minorEastAsia" w:hAnsi="Arial" w:cs="Arial"/>
          <w:szCs w:val="24"/>
        </w:rPr>
        <w:t xml:space="preserve"> </w:t>
      </w:r>
      <w:r w:rsidRPr="00AC086C">
        <w:rPr>
          <w:rFonts w:ascii="Arial" w:hAnsi="Arial" w:cs="Arial"/>
          <w:szCs w:val="24"/>
        </w:rPr>
        <w:t xml:space="preserve">data points </w:t>
      </w:r>
      <m:oMath>
        <m:r>
          <w:rPr>
            <w:rFonts w:ascii="Cambria Math" w:hAnsi="Cambria Math" w:cs="Arial"/>
            <w:szCs w:val="24"/>
          </w:rPr>
          <m:t>(</m:t>
        </m:r>
        <m:sSub>
          <m:sSubPr>
            <m:ctrlPr>
              <w:rPr>
                <w:rFonts w:ascii="Cambria Math" w:hAnsi="Cambria Math" w:cs="Arial"/>
                <w:szCs w:val="24"/>
              </w:rPr>
            </m:ctrlPr>
          </m:sSubPr>
          <m:e>
            <m:r>
              <w:rPr>
                <w:rFonts w:ascii="Cambria Math" w:hAnsi="Cambria Math" w:cs="Arial"/>
                <w:szCs w:val="24"/>
              </w:rPr>
              <m:t>x</m:t>
            </m:r>
          </m:e>
          <m:sub>
            <m:r>
              <w:rPr>
                <w:rFonts w:ascii="Cambria Math" w:hAnsi="Cambria Math" w:cs="Arial"/>
                <w:szCs w:val="24"/>
              </w:rPr>
              <m:t>1</m:t>
            </m:r>
          </m:sub>
        </m:sSub>
        <m:r>
          <w:rPr>
            <w:rFonts w:ascii="Cambria Math" w:hAnsi="Cambria Math" w:cs="Arial"/>
            <w:szCs w:val="24"/>
          </w:rPr>
          <m:t>,</m:t>
        </m:r>
        <m:sSub>
          <m:sSubPr>
            <m:ctrlPr>
              <w:rPr>
                <w:rFonts w:ascii="Cambria Math" w:hAnsi="Cambria Math" w:cs="Arial"/>
                <w:szCs w:val="24"/>
              </w:rPr>
            </m:ctrlPr>
          </m:sSubPr>
          <m:e>
            <m:r>
              <w:rPr>
                <w:rFonts w:ascii="Cambria Math" w:hAnsi="Cambria Math" w:cs="Arial"/>
                <w:szCs w:val="24"/>
              </w:rPr>
              <m:t>y</m:t>
            </m:r>
          </m:e>
          <m:sub>
            <m:r>
              <w:rPr>
                <w:rFonts w:ascii="Cambria Math" w:hAnsi="Cambria Math" w:cs="Arial"/>
                <w:szCs w:val="24"/>
              </w:rPr>
              <m:t>1</m:t>
            </m:r>
          </m:sub>
        </m:sSub>
        <m:r>
          <w:rPr>
            <w:rFonts w:ascii="Cambria Math" w:hAnsi="Cambria Math" w:cs="Arial"/>
            <w:szCs w:val="24"/>
          </w:rPr>
          <m:t>),(</m:t>
        </m:r>
        <m:sSub>
          <m:sSubPr>
            <m:ctrlPr>
              <w:rPr>
                <w:rFonts w:ascii="Cambria Math" w:hAnsi="Cambria Math" w:cs="Arial"/>
                <w:szCs w:val="24"/>
              </w:rPr>
            </m:ctrlPr>
          </m:sSubPr>
          <m:e>
            <m:r>
              <w:rPr>
                <w:rFonts w:ascii="Cambria Math" w:hAnsi="Cambria Math" w:cs="Arial"/>
                <w:szCs w:val="24"/>
              </w:rPr>
              <m:t>x</m:t>
            </m:r>
          </m:e>
          <m:sub>
            <m:r>
              <w:rPr>
                <w:rFonts w:ascii="Cambria Math" w:hAnsi="Cambria Math" w:cs="Arial"/>
                <w:szCs w:val="24"/>
              </w:rPr>
              <m:t>2</m:t>
            </m:r>
          </m:sub>
        </m:sSub>
        <m:r>
          <w:rPr>
            <w:rFonts w:ascii="Cambria Math" w:hAnsi="Cambria Math" w:cs="Arial"/>
            <w:szCs w:val="24"/>
          </w:rPr>
          <m:t>,</m:t>
        </m:r>
        <m:sSub>
          <m:sSubPr>
            <m:ctrlPr>
              <w:rPr>
                <w:rFonts w:ascii="Cambria Math" w:hAnsi="Cambria Math" w:cs="Arial"/>
                <w:szCs w:val="24"/>
              </w:rPr>
            </m:ctrlPr>
          </m:sSubPr>
          <m:e>
            <m:r>
              <w:rPr>
                <w:rFonts w:ascii="Cambria Math" w:hAnsi="Cambria Math" w:cs="Arial"/>
                <w:szCs w:val="24"/>
              </w:rPr>
              <m:t>y</m:t>
            </m:r>
          </m:e>
          <m:sub>
            <m:r>
              <w:rPr>
                <w:rFonts w:ascii="Cambria Math" w:hAnsi="Cambria Math" w:cs="Arial"/>
                <w:szCs w:val="24"/>
              </w:rPr>
              <m:t>2</m:t>
            </m:r>
          </m:sub>
        </m:sSub>
        <m:r>
          <w:rPr>
            <w:rFonts w:ascii="Cambria Math" w:hAnsi="Cambria Math" w:cs="Arial"/>
            <w:szCs w:val="24"/>
          </w:rPr>
          <m:t>),…,(</m:t>
        </m:r>
        <m:sSub>
          <m:sSubPr>
            <m:ctrlPr>
              <w:rPr>
                <w:rFonts w:ascii="Cambria Math" w:hAnsi="Cambria Math" w:cs="Arial"/>
                <w:szCs w:val="24"/>
              </w:rPr>
            </m:ctrlPr>
          </m:sSubPr>
          <m:e>
            <m:r>
              <w:rPr>
                <w:rFonts w:ascii="Cambria Math" w:hAnsi="Cambria Math" w:cs="Arial"/>
                <w:szCs w:val="24"/>
              </w:rPr>
              <m:t>x</m:t>
            </m:r>
          </m:e>
          <m:sub>
            <m:r>
              <w:rPr>
                <w:rFonts w:ascii="Cambria Math" w:hAnsi="Cambria Math" w:cs="Arial"/>
                <w:szCs w:val="24"/>
              </w:rPr>
              <m:t>n</m:t>
            </m:r>
          </m:sub>
        </m:sSub>
        <m:r>
          <w:rPr>
            <w:rFonts w:ascii="Cambria Math" w:hAnsi="Cambria Math" w:cs="Arial"/>
            <w:szCs w:val="24"/>
          </w:rPr>
          <m:t>,</m:t>
        </m:r>
        <m:sSub>
          <m:sSubPr>
            <m:ctrlPr>
              <w:rPr>
                <w:rFonts w:ascii="Cambria Math" w:hAnsi="Cambria Math" w:cs="Arial"/>
                <w:szCs w:val="24"/>
              </w:rPr>
            </m:ctrlPr>
          </m:sSubPr>
          <m:e>
            <m:r>
              <w:rPr>
                <w:rFonts w:ascii="Cambria Math" w:hAnsi="Cambria Math" w:cs="Arial"/>
                <w:szCs w:val="24"/>
              </w:rPr>
              <m:t>y</m:t>
            </m:r>
          </m:e>
          <m:sub>
            <m:r>
              <w:rPr>
                <w:rFonts w:ascii="Cambria Math" w:hAnsi="Cambria Math" w:cs="Arial"/>
                <w:szCs w:val="24"/>
              </w:rPr>
              <m:t>n</m:t>
            </m:r>
          </m:sub>
        </m:sSub>
        <m:r>
          <w:rPr>
            <w:rFonts w:ascii="Cambria Math" w:hAnsi="Cambria Math" w:cs="Arial"/>
            <w:szCs w:val="24"/>
          </w:rPr>
          <m:t>)</m:t>
        </m:r>
      </m:oMath>
      <w:r w:rsidRPr="00AC086C">
        <w:rPr>
          <w:rFonts w:ascii="Arial" w:hAnsi="Arial" w:cs="Arial"/>
          <w:szCs w:val="24"/>
        </w:rPr>
        <w:t xml:space="preserve">is computed </w:t>
      </w:r>
      <w:r w:rsidRPr="00AC086C">
        <w:rPr>
          <w:rFonts w:ascii="Arial" w:hAnsi="Arial" w:cs="Arial"/>
        </w:rPr>
        <w:t>in equation 2.1</w:t>
      </w:r>
      <w:r w:rsidRPr="00AC086C">
        <w:rPr>
          <w:rFonts w:ascii="Arial" w:hAnsi="Arial" w:cs="Arial"/>
          <w:szCs w:val="24"/>
        </w:rPr>
        <w:t>:</w:t>
      </w:r>
    </w:p>
    <w:p w14:paraId="728E4AD3" w14:textId="77777777" w:rsidR="003F351F" w:rsidRPr="00752232" w:rsidRDefault="00000000" w:rsidP="003F351F">
      <w:pPr>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μ</m:t>
              </m:r>
            </m:e>
            <m:sub>
              <m:r>
                <w:rPr>
                  <w:rFonts w:ascii="Cambria Math" w:hAnsi="Cambria Math" w:cs="Arial"/>
                  <w:sz w:val="24"/>
                  <w:szCs w:val="24"/>
                </w:rPr>
                <m:t>i</m:t>
              </m:r>
            </m:sub>
          </m:sSub>
          <m:r>
            <w:rPr>
              <w:rFonts w:ascii="Cambria Math" w:hAnsi="Cambria Math" w:cs="Arial"/>
              <w:sz w:val="24"/>
              <w:szCs w:val="24"/>
            </w:rPr>
            <m:t>=</m:t>
          </m:r>
          <m:d>
            <m:dPr>
              <m:ctrlPr>
                <w:rPr>
                  <w:rFonts w:ascii="Cambria Math" w:hAnsi="Cambria Math" w:cs="Arial"/>
                  <w:i/>
                  <w:sz w:val="24"/>
                  <w:szCs w:val="24"/>
                </w:rPr>
              </m:ctrlPr>
            </m:dPr>
            <m:e>
              <m:box>
                <m:boxPr>
                  <m:ctrlPr>
                    <w:rPr>
                      <w:rFonts w:ascii="Cambria Math" w:hAnsi="Cambria Math" w:cs="Arial"/>
                      <w:i/>
                      <w:sz w:val="24"/>
                      <w:szCs w:val="24"/>
                    </w:rPr>
                  </m:ctrlPr>
                </m:boxPr>
                <m:e>
                  <m:argPr>
                    <m:argSz m:val="-1"/>
                  </m:argP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n</m:t>
                      </m:r>
                    </m:den>
                  </m:f>
                </m:e>
              </m:box>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j</m:t>
                      </m:r>
                    </m:sub>
                  </m:sSub>
                  <m:r>
                    <w:rPr>
                      <w:rFonts w:ascii="Cambria Math" w:hAnsi="Cambria Math" w:cs="Arial"/>
                      <w:sz w:val="24"/>
                      <w:szCs w:val="24"/>
                    </w:rPr>
                    <m:t xml:space="preserve">, </m:t>
                  </m:r>
                </m:e>
              </m:nary>
              <m:r>
                <w:rPr>
                  <w:rFonts w:ascii="Cambria Math" w:hAnsi="Cambria Math" w:cs="Arial"/>
                  <w:sz w:val="24"/>
                  <w:szCs w:val="24"/>
                </w:rPr>
                <m:t xml:space="preserve"> </m:t>
              </m:r>
              <m:box>
                <m:boxPr>
                  <m:ctrlPr>
                    <w:rPr>
                      <w:rFonts w:ascii="Cambria Math" w:hAnsi="Cambria Math" w:cs="Arial"/>
                      <w:i/>
                      <w:sz w:val="24"/>
                      <w:szCs w:val="24"/>
                    </w:rPr>
                  </m:ctrlPr>
                </m:boxPr>
                <m:e>
                  <m:argPr>
                    <m:argSz m:val="-1"/>
                  </m:argP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n</m:t>
                      </m:r>
                    </m:den>
                  </m:f>
                </m:e>
              </m:box>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j</m:t>
                      </m:r>
                    </m:sub>
                  </m:sSub>
                  <m:r>
                    <w:rPr>
                      <w:rFonts w:ascii="Cambria Math" w:hAnsi="Cambria Math" w:cs="Arial"/>
                      <w:sz w:val="24"/>
                      <w:szCs w:val="24"/>
                    </w:rPr>
                    <m:t xml:space="preserve"> </m:t>
                  </m:r>
                </m:e>
              </m:nary>
            </m:e>
          </m:d>
          <m:r>
            <w:rPr>
              <w:rFonts w:ascii="Cambria Math" w:hAnsi="Cambria Math" w:cs="Arial"/>
              <w:sz w:val="24"/>
              <w:szCs w:val="24"/>
            </w:rPr>
            <m:t xml:space="preserve">                          (2.1)</m:t>
          </m:r>
        </m:oMath>
      </m:oMathPara>
    </w:p>
    <w:p w14:paraId="57D9831A" w14:textId="77777777" w:rsidR="003F351F" w:rsidRPr="00AC086C" w:rsidRDefault="003F351F" w:rsidP="003F351F">
      <w:pPr>
        <w:jc w:val="both"/>
        <w:rPr>
          <w:rFonts w:ascii="Arial" w:hAnsi="Arial" w:cs="Arial"/>
          <w:szCs w:val="24"/>
        </w:rPr>
      </w:pPr>
      <w:r w:rsidRPr="00AC086C">
        <w:rPr>
          <w:rFonts w:ascii="Arial" w:hAnsi="Arial" w:cs="Arial"/>
          <w:szCs w:val="24"/>
        </w:rPr>
        <w:t>Where:</w:t>
      </w:r>
    </w:p>
    <w:p w14:paraId="4E875F6D" w14:textId="77777777" w:rsidR="003F351F" w:rsidRPr="00AC086C" w:rsidRDefault="00000000" w:rsidP="003F351F">
      <w:pPr>
        <w:numPr>
          <w:ilvl w:val="0"/>
          <w:numId w:val="34"/>
        </w:numPr>
        <w:spacing w:after="160" w:line="480" w:lineRule="auto"/>
        <w:jc w:val="both"/>
        <w:rPr>
          <w:rFonts w:ascii="Arial" w:hAnsi="Arial" w:cs="Arial"/>
          <w:szCs w:val="24"/>
        </w:rPr>
      </w:pPr>
      <m:oMath>
        <m:sSub>
          <m:sSubPr>
            <m:ctrlPr>
              <w:rPr>
                <w:rFonts w:ascii="Cambria Math" w:hAnsi="Cambria Math" w:cs="Arial"/>
                <w:szCs w:val="24"/>
              </w:rPr>
            </m:ctrlPr>
          </m:sSubPr>
          <m:e>
            <m:r>
              <w:rPr>
                <w:rFonts w:ascii="Cambria Math" w:hAnsi="Cambria Math" w:cs="Arial"/>
                <w:szCs w:val="24"/>
              </w:rPr>
              <m:t>μ</m:t>
            </m:r>
          </m:e>
          <m:sub>
            <m:r>
              <w:rPr>
                <w:rFonts w:ascii="Cambria Math" w:hAnsi="Cambria Math" w:cs="Arial"/>
                <w:szCs w:val="24"/>
              </w:rPr>
              <m:t>i</m:t>
            </m:r>
          </m:sub>
        </m:sSub>
      </m:oMath>
      <w:r w:rsidR="003F351F" w:rsidRPr="00AC086C">
        <w:rPr>
          <w:rFonts w:ascii="Arial" w:hAnsi="Arial" w:cs="Arial"/>
          <w:szCs w:val="24"/>
        </w:rPr>
        <w:t xml:space="preserve">= centroid of cluster </w:t>
      </w:r>
      <m:oMath>
        <m:r>
          <w:rPr>
            <w:rFonts w:ascii="Cambria Math" w:hAnsi="Cambria Math" w:cs="Arial"/>
            <w:szCs w:val="24"/>
          </w:rPr>
          <m:t>i</m:t>
        </m:r>
      </m:oMath>
    </w:p>
    <w:p w14:paraId="3A64B06A" w14:textId="77777777" w:rsidR="003F351F" w:rsidRPr="00AC086C" w:rsidRDefault="00000000" w:rsidP="003F351F">
      <w:pPr>
        <w:numPr>
          <w:ilvl w:val="0"/>
          <w:numId w:val="34"/>
        </w:numPr>
        <w:spacing w:after="160" w:line="480" w:lineRule="auto"/>
        <w:jc w:val="both"/>
        <w:rPr>
          <w:rFonts w:ascii="Arial" w:hAnsi="Arial" w:cs="Arial"/>
          <w:szCs w:val="24"/>
        </w:rPr>
      </w:pPr>
      <m:oMath>
        <m:sSub>
          <m:sSubPr>
            <m:ctrlPr>
              <w:rPr>
                <w:rFonts w:ascii="Cambria Math" w:hAnsi="Cambria Math" w:cs="Arial"/>
                <w:szCs w:val="24"/>
              </w:rPr>
            </m:ctrlPr>
          </m:sSubPr>
          <m:e>
            <m:r>
              <w:rPr>
                <w:rFonts w:ascii="Cambria Math" w:hAnsi="Cambria Math" w:cs="Arial"/>
                <w:szCs w:val="24"/>
              </w:rPr>
              <m:t>x</m:t>
            </m:r>
          </m:e>
          <m:sub>
            <m:r>
              <w:rPr>
                <w:rFonts w:ascii="Cambria Math" w:hAnsi="Cambria Math" w:cs="Arial"/>
                <w:szCs w:val="24"/>
              </w:rPr>
              <m:t>j</m:t>
            </m:r>
          </m:sub>
        </m:sSub>
        <m:r>
          <w:rPr>
            <w:rFonts w:ascii="Cambria Math" w:hAnsi="Cambria Math" w:cs="Arial"/>
            <w:szCs w:val="24"/>
          </w:rPr>
          <m:t>,</m:t>
        </m:r>
        <m:sSub>
          <m:sSubPr>
            <m:ctrlPr>
              <w:rPr>
                <w:rFonts w:ascii="Cambria Math" w:hAnsi="Cambria Math" w:cs="Arial"/>
                <w:szCs w:val="24"/>
              </w:rPr>
            </m:ctrlPr>
          </m:sSubPr>
          <m:e>
            <m:r>
              <w:rPr>
                <w:rFonts w:ascii="Cambria Math" w:hAnsi="Cambria Math" w:cs="Arial"/>
                <w:szCs w:val="24"/>
              </w:rPr>
              <m:t>y</m:t>
            </m:r>
          </m:e>
          <m:sub>
            <m:r>
              <w:rPr>
                <w:rFonts w:ascii="Cambria Math" w:hAnsi="Cambria Math" w:cs="Arial"/>
                <w:szCs w:val="24"/>
              </w:rPr>
              <m:t>j</m:t>
            </m:r>
          </m:sub>
        </m:sSub>
      </m:oMath>
      <w:r w:rsidR="003F351F" w:rsidRPr="00AC086C">
        <w:rPr>
          <w:rFonts w:ascii="Arial" w:hAnsi="Arial" w:cs="Arial"/>
          <w:szCs w:val="24"/>
        </w:rPr>
        <w:t xml:space="preserve">= latitude and longitude of point </w:t>
      </w:r>
      <m:oMath>
        <m:r>
          <w:rPr>
            <w:rFonts w:ascii="Cambria Math" w:hAnsi="Cambria Math" w:cs="Arial"/>
            <w:szCs w:val="24"/>
          </w:rPr>
          <m:t>j</m:t>
        </m:r>
      </m:oMath>
    </w:p>
    <w:p w14:paraId="43D0A7DA" w14:textId="6A6C880D" w:rsidR="003F351F" w:rsidRPr="00AC086C" w:rsidRDefault="003F351F" w:rsidP="003F351F">
      <w:pPr>
        <w:jc w:val="both"/>
        <w:rPr>
          <w:rFonts w:ascii="Arial" w:hAnsi="Arial" w:cs="Arial"/>
        </w:rPr>
      </w:pPr>
      <w:r w:rsidRPr="00AC086C">
        <w:rPr>
          <w:rFonts w:ascii="Arial" w:hAnsi="Arial" w:cs="Arial"/>
        </w:rPr>
        <w:t>The Python scikit-</w:t>
      </w:r>
      <w:proofErr w:type="gramStart"/>
      <w:r w:rsidRPr="00AC086C">
        <w:rPr>
          <w:rFonts w:ascii="Arial" w:hAnsi="Arial" w:cs="Arial"/>
        </w:rPr>
        <w:t>learn</w:t>
      </w:r>
      <w:proofErr w:type="gramEnd"/>
      <w:r w:rsidRPr="00AC086C">
        <w:rPr>
          <w:rFonts w:ascii="Arial" w:hAnsi="Arial" w:cs="Arial"/>
        </w:rPr>
        <w:t xml:space="preserve"> implementation of </w:t>
      </w:r>
      <w:proofErr w:type="spellStart"/>
      <w:r w:rsidRPr="00AC086C">
        <w:rPr>
          <w:rFonts w:ascii="Arial" w:hAnsi="Arial" w:cs="Arial"/>
        </w:rPr>
        <w:t>KMeans</w:t>
      </w:r>
      <w:proofErr w:type="spellEnd"/>
      <w:r w:rsidRPr="00AC086C">
        <w:rPr>
          <w:rFonts w:ascii="Arial" w:hAnsi="Arial" w:cs="Arial"/>
        </w:rPr>
        <w:t xml:space="preserve"> (Figure 2.</w:t>
      </w:r>
      <w:r w:rsidR="008010FB">
        <w:rPr>
          <w:rFonts w:ascii="Arial" w:hAnsi="Arial" w:cs="Arial"/>
        </w:rPr>
        <w:t>2</w:t>
      </w:r>
      <w:r w:rsidRPr="00AC086C">
        <w:rPr>
          <w:rFonts w:ascii="Arial" w:hAnsi="Arial" w:cs="Arial"/>
        </w:rPr>
        <w:t>) was used to ensure reproducibility and numerical stability.</w:t>
      </w:r>
      <w:r>
        <w:rPr>
          <w:rFonts w:ascii="Arial" w:hAnsi="Arial" w:cs="Arial"/>
        </w:rPr>
        <w:t xml:space="preserve"> </w:t>
      </w:r>
      <w:r w:rsidRPr="00AC086C">
        <w:rPr>
          <w:rFonts w:ascii="Arial" w:hAnsi="Arial" w:cs="Arial"/>
        </w:rPr>
        <w:t xml:space="preserve">Each </w:t>
      </w:r>
      <w:proofErr w:type="spellStart"/>
      <w:r w:rsidRPr="00AC086C">
        <w:rPr>
          <w:rFonts w:ascii="Arial" w:hAnsi="Arial" w:cs="Arial"/>
        </w:rPr>
        <w:t>flowstation</w:t>
      </w:r>
      <w:proofErr w:type="spellEnd"/>
      <w:r w:rsidRPr="00AC086C">
        <w:rPr>
          <w:rFonts w:ascii="Arial" w:hAnsi="Arial" w:cs="Arial"/>
        </w:rPr>
        <w:t xml:space="preserve"> was assigned a cluster label (0 to 3), forming the geospatial grouping.</w:t>
      </w:r>
    </w:p>
    <w:p w14:paraId="36C42BC4" w14:textId="77777777" w:rsidR="003F351F" w:rsidRPr="00AC086C" w:rsidRDefault="003F351F" w:rsidP="003F351F">
      <w:pPr>
        <w:jc w:val="both"/>
        <w:rPr>
          <w:rFonts w:ascii="Arial" w:hAnsi="Arial" w:cs="Arial"/>
        </w:rPr>
      </w:pPr>
      <w:r w:rsidRPr="00AC086C">
        <w:rPr>
          <w:rFonts w:ascii="Arial" w:hAnsi="Arial" w:cs="Arial"/>
          <w:noProof/>
        </w:rPr>
        <w:drawing>
          <wp:inline distT="0" distB="0" distL="0" distR="0" wp14:anchorId="48FD2D21" wp14:editId="3956E3AA">
            <wp:extent cx="3944620" cy="3518517"/>
            <wp:effectExtent l="0" t="0" r="0" b="6350"/>
            <wp:docPr id="401544286"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44286" name="Picture 1" descr="A screenshot of a computer program&#10;&#10;AI-generated content may be incorrect."/>
                    <pic:cNvPicPr/>
                  </pic:nvPicPr>
                  <pic:blipFill>
                    <a:blip r:embed="rId15"/>
                    <a:stretch>
                      <a:fillRect/>
                    </a:stretch>
                  </pic:blipFill>
                  <pic:spPr>
                    <a:xfrm>
                      <a:off x="0" y="0"/>
                      <a:ext cx="3957796" cy="3530270"/>
                    </a:xfrm>
                    <a:prstGeom prst="rect">
                      <a:avLst/>
                    </a:prstGeom>
                  </pic:spPr>
                </pic:pic>
              </a:graphicData>
            </a:graphic>
          </wp:inline>
        </w:drawing>
      </w:r>
    </w:p>
    <w:p w14:paraId="1ECFC251" w14:textId="0F1184EC" w:rsidR="003F351F" w:rsidRPr="00343EE1" w:rsidRDefault="003F351F" w:rsidP="003F351F">
      <w:pPr>
        <w:jc w:val="both"/>
        <w:rPr>
          <w:rFonts w:ascii="Arial" w:hAnsi="Arial" w:cs="Arial"/>
          <w:b/>
          <w:bCs/>
        </w:rPr>
      </w:pPr>
      <w:r w:rsidRPr="00343EE1">
        <w:rPr>
          <w:rFonts w:ascii="Arial" w:hAnsi="Arial" w:cs="Arial"/>
          <w:b/>
          <w:bCs/>
        </w:rPr>
        <w:t xml:space="preserve">Figure </w:t>
      </w:r>
      <w:r w:rsidR="008010FB" w:rsidRPr="00343EE1">
        <w:rPr>
          <w:rFonts w:ascii="Arial" w:hAnsi="Arial" w:cs="Arial"/>
          <w:b/>
          <w:bCs/>
        </w:rPr>
        <w:t>2.</w:t>
      </w:r>
      <w:r w:rsidR="008010FB">
        <w:rPr>
          <w:rFonts w:ascii="Arial" w:hAnsi="Arial" w:cs="Arial"/>
          <w:b/>
          <w:bCs/>
        </w:rPr>
        <w:t>2</w:t>
      </w:r>
      <w:r w:rsidR="008010FB" w:rsidRPr="00343EE1">
        <w:rPr>
          <w:rFonts w:ascii="Arial" w:hAnsi="Arial" w:cs="Arial"/>
          <w:b/>
          <w:bCs/>
        </w:rPr>
        <w:t xml:space="preserve"> Python</w:t>
      </w:r>
      <w:r w:rsidRPr="00343EE1">
        <w:rPr>
          <w:rFonts w:ascii="Arial" w:hAnsi="Arial" w:cs="Arial"/>
          <w:b/>
          <w:bCs/>
        </w:rPr>
        <w:t xml:space="preserve"> algorithm used for the </w:t>
      </w:r>
      <w:proofErr w:type="spellStart"/>
      <w:r w:rsidRPr="00343EE1">
        <w:rPr>
          <w:rFonts w:ascii="Arial" w:hAnsi="Arial" w:cs="Arial"/>
          <w:b/>
          <w:bCs/>
        </w:rPr>
        <w:t>Kmeans</w:t>
      </w:r>
      <w:proofErr w:type="spellEnd"/>
      <w:r w:rsidRPr="00343EE1">
        <w:rPr>
          <w:rFonts w:ascii="Arial" w:hAnsi="Arial" w:cs="Arial"/>
          <w:b/>
          <w:bCs/>
        </w:rPr>
        <w:t xml:space="preserve"> clustering</w:t>
      </w:r>
    </w:p>
    <w:p w14:paraId="235E552D" w14:textId="77777777" w:rsidR="003F351F" w:rsidRPr="00AC086C" w:rsidRDefault="003F351F" w:rsidP="003F351F">
      <w:pPr>
        <w:jc w:val="both"/>
        <w:rPr>
          <w:rFonts w:ascii="Arial" w:hAnsi="Arial" w:cs="Arial"/>
        </w:rPr>
      </w:pPr>
    </w:p>
    <w:p w14:paraId="74F65837" w14:textId="77777777" w:rsidR="003F351F" w:rsidRPr="00AC086C" w:rsidRDefault="003F351F" w:rsidP="003F351F">
      <w:pPr>
        <w:jc w:val="both"/>
        <w:rPr>
          <w:rFonts w:ascii="Arial" w:hAnsi="Arial" w:cs="Arial"/>
        </w:rPr>
      </w:pPr>
      <w:r w:rsidRPr="00AC086C">
        <w:rPr>
          <w:rFonts w:ascii="Arial" w:hAnsi="Arial" w:cs="Arial"/>
          <w:b/>
          <w:bCs/>
        </w:rPr>
        <w:lastRenderedPageBreak/>
        <w:t>2.6 Silhouette-Based Cluster Validation</w:t>
      </w:r>
      <w:r w:rsidRPr="00AC086C">
        <w:rPr>
          <w:rFonts w:ascii="Arial" w:hAnsi="Arial" w:cs="Arial"/>
        </w:rPr>
        <w:t xml:space="preserve"> </w:t>
      </w:r>
    </w:p>
    <w:p w14:paraId="29A33104" w14:textId="77777777" w:rsidR="003F351F" w:rsidRPr="00AC086C" w:rsidRDefault="003F351F" w:rsidP="003F351F">
      <w:pPr>
        <w:jc w:val="both"/>
        <w:rPr>
          <w:rFonts w:ascii="Arial" w:hAnsi="Arial" w:cs="Arial"/>
        </w:rPr>
      </w:pPr>
      <w:r w:rsidRPr="00AC086C">
        <w:rPr>
          <w:rFonts w:ascii="Arial" w:hAnsi="Arial" w:cs="Arial"/>
        </w:rPr>
        <w:t xml:space="preserve">To evaluate the quality of the clustering, the Silhouette Coefficient was computed as a form of validation. The silhouette value for each point </w:t>
      </w:r>
      <m:oMath>
        <m:r>
          <w:rPr>
            <w:rFonts w:ascii="Cambria Math" w:hAnsi="Cambria Math" w:cs="Arial"/>
          </w:rPr>
          <m:t>i</m:t>
        </m:r>
      </m:oMath>
      <w:r w:rsidRPr="00AC086C">
        <w:rPr>
          <w:rFonts w:ascii="Arial" w:eastAsiaTheme="minorEastAsia" w:hAnsi="Arial" w:cs="Arial"/>
        </w:rPr>
        <w:t xml:space="preserve"> </w:t>
      </w:r>
      <w:r w:rsidRPr="00AC086C">
        <w:rPr>
          <w:rFonts w:ascii="Arial" w:hAnsi="Arial" w:cs="Arial"/>
        </w:rPr>
        <w:t xml:space="preserve">is defined in equation 2.2. </w:t>
      </w:r>
    </w:p>
    <w:p w14:paraId="749C23D1" w14:textId="77777777" w:rsidR="003F351F" w:rsidRPr="00AC086C" w:rsidRDefault="003F351F" w:rsidP="003F351F">
      <w:pPr>
        <w:jc w:val="both"/>
        <w:rPr>
          <w:rFonts w:ascii="Arial" w:hAnsi="Arial" w:cs="Arial"/>
        </w:rPr>
      </w:pPr>
      <m:oMathPara>
        <m:oMath>
          <m:r>
            <w:rPr>
              <w:rFonts w:ascii="Cambria Math" w:hAnsi="Cambria Math" w:cs="Arial"/>
            </w:rPr>
            <m:t>s</m:t>
          </m:r>
          <m:d>
            <m:dPr>
              <m:ctrlPr>
                <w:rPr>
                  <w:rFonts w:ascii="Cambria Math" w:hAnsi="Cambria Math" w:cs="Arial"/>
                  <w:i/>
                </w:rPr>
              </m:ctrlPr>
            </m:dPr>
            <m:e>
              <m:r>
                <w:rPr>
                  <w:rFonts w:ascii="Cambria Math" w:hAnsi="Cambria Math" w:cs="Arial"/>
                </w:rPr>
                <m:t>i</m:t>
              </m:r>
            </m:e>
          </m:d>
          <m:r>
            <w:rPr>
              <w:rFonts w:ascii="Cambria Math" w:hAnsi="Cambria Math" w:cs="Arial"/>
            </w:rPr>
            <m:t>=</m:t>
          </m:r>
          <m:f>
            <m:fPr>
              <m:ctrlPr>
                <w:rPr>
                  <w:rFonts w:ascii="Cambria Math" w:hAnsi="Cambria Math" w:cs="Arial"/>
                </w:rPr>
              </m:ctrlPr>
            </m:fPr>
            <m:num>
              <m:r>
                <w:rPr>
                  <w:rFonts w:ascii="Cambria Math" w:hAnsi="Cambria Math" w:cs="Arial"/>
                </w:rPr>
                <m:t>b</m:t>
              </m:r>
              <m:d>
                <m:dPr>
                  <m:ctrlPr>
                    <w:rPr>
                      <w:rFonts w:ascii="Cambria Math" w:hAnsi="Cambria Math" w:cs="Arial"/>
                      <w:i/>
                    </w:rPr>
                  </m:ctrlPr>
                </m:dPr>
                <m:e>
                  <m:r>
                    <w:rPr>
                      <w:rFonts w:ascii="Cambria Math" w:hAnsi="Cambria Math" w:cs="Arial"/>
                    </w:rPr>
                    <m:t>i</m:t>
                  </m:r>
                </m:e>
              </m:d>
              <m:r>
                <w:rPr>
                  <w:rFonts w:ascii="Cambria Math" w:hAnsi="Cambria Math" w:cs="Arial"/>
                </w:rPr>
                <m:t>-a</m:t>
              </m:r>
              <m:d>
                <m:dPr>
                  <m:ctrlPr>
                    <w:rPr>
                      <w:rFonts w:ascii="Cambria Math" w:hAnsi="Cambria Math" w:cs="Arial"/>
                      <w:i/>
                    </w:rPr>
                  </m:ctrlPr>
                </m:dPr>
                <m:e>
                  <m:r>
                    <w:rPr>
                      <w:rFonts w:ascii="Cambria Math" w:hAnsi="Cambria Math" w:cs="Arial"/>
                    </w:rPr>
                    <m:t>i</m:t>
                  </m:r>
                </m:e>
              </m:d>
            </m:num>
            <m:den>
              <m:func>
                <m:funcPr>
                  <m:ctrlPr>
                    <w:rPr>
                      <w:rFonts w:ascii="Cambria Math" w:hAnsi="Cambria Math" w:cs="Arial"/>
                      <w:i/>
                    </w:rPr>
                  </m:ctrlPr>
                </m:funcPr>
                <m:fName>
                  <m:r>
                    <m:rPr>
                      <m:sty m:val="p"/>
                    </m:rPr>
                    <w:rPr>
                      <w:rFonts w:ascii="Cambria Math" w:hAnsi="Cambria Math" w:cs="Arial"/>
                    </w:rPr>
                    <m:t>max</m:t>
                  </m:r>
                  <m:ctrlPr>
                    <w:rPr>
                      <w:rFonts w:ascii="Cambria Math" w:hAnsi="Cambria Math" w:cs="Arial"/>
                    </w:rPr>
                  </m:ctrlPr>
                </m:fName>
                <m:e>
                  <m:d>
                    <m:dPr>
                      <m:ctrlPr>
                        <w:rPr>
                          <w:rFonts w:ascii="Cambria Math" w:hAnsi="Cambria Math" w:cs="Arial"/>
                          <w:i/>
                        </w:rPr>
                      </m:ctrlPr>
                    </m:dPr>
                    <m:e>
                      <m:r>
                        <w:rPr>
                          <w:rFonts w:ascii="Cambria Math" w:hAnsi="Cambria Math" w:cs="Arial"/>
                        </w:rPr>
                        <m:t>a</m:t>
                      </m:r>
                      <m:d>
                        <m:dPr>
                          <m:ctrlPr>
                            <w:rPr>
                              <w:rFonts w:ascii="Cambria Math" w:hAnsi="Cambria Math" w:cs="Arial"/>
                              <w:i/>
                            </w:rPr>
                          </m:ctrlPr>
                        </m:dPr>
                        <m:e>
                          <m:r>
                            <w:rPr>
                              <w:rFonts w:ascii="Cambria Math" w:hAnsi="Cambria Math" w:cs="Arial"/>
                            </w:rPr>
                            <m:t>i</m:t>
                          </m:r>
                        </m:e>
                      </m:d>
                      <m:r>
                        <w:rPr>
                          <w:rFonts w:ascii="Cambria Math" w:hAnsi="Cambria Math" w:cs="Arial"/>
                        </w:rPr>
                        <m:t>,b</m:t>
                      </m:r>
                      <m:d>
                        <m:dPr>
                          <m:ctrlPr>
                            <w:rPr>
                              <w:rFonts w:ascii="Cambria Math" w:hAnsi="Cambria Math" w:cs="Arial"/>
                              <w:i/>
                            </w:rPr>
                          </m:ctrlPr>
                        </m:dPr>
                        <m:e>
                          <m:r>
                            <w:rPr>
                              <w:rFonts w:ascii="Cambria Math" w:hAnsi="Cambria Math" w:cs="Arial"/>
                            </w:rPr>
                            <m:t>i</m:t>
                          </m:r>
                        </m:e>
                      </m:d>
                    </m:e>
                  </m:d>
                </m:e>
              </m:func>
            </m:den>
          </m:f>
          <m:r>
            <m:rPr>
              <m:sty m:val="p"/>
            </m:rPr>
            <w:rPr>
              <w:rFonts w:ascii="Cambria Math" w:hAnsi="Cambria Math" w:cs="Arial"/>
            </w:rPr>
            <m:t xml:space="preserve">                    (2.2)</m:t>
          </m:r>
          <m:r>
            <m:rPr>
              <m:sty m:val="p"/>
            </m:rPr>
            <w:rPr>
              <w:rFonts w:ascii="Cambria Math" w:hAnsi="Cambria Math" w:cs="Arial"/>
            </w:rPr>
            <w:br/>
          </m:r>
        </m:oMath>
      </m:oMathPara>
    </w:p>
    <w:p w14:paraId="25170010" w14:textId="77777777" w:rsidR="003F351F" w:rsidRPr="00AC086C" w:rsidRDefault="003F351F" w:rsidP="003F351F">
      <w:pPr>
        <w:jc w:val="both"/>
        <w:rPr>
          <w:rFonts w:ascii="Arial" w:hAnsi="Arial" w:cs="Arial"/>
        </w:rPr>
      </w:pPr>
      <w:r w:rsidRPr="00AC086C">
        <w:rPr>
          <w:rFonts w:ascii="Arial" w:hAnsi="Arial" w:cs="Arial"/>
        </w:rPr>
        <w:t>where:</w:t>
      </w:r>
      <w:r w:rsidRPr="00AC086C">
        <w:rPr>
          <w:rFonts w:ascii="Arial" w:hAnsi="Arial" w:cs="Arial"/>
        </w:rPr>
        <w:br/>
      </w:r>
      <m:oMath>
        <m:r>
          <w:rPr>
            <w:rFonts w:ascii="Cambria Math" w:hAnsi="Cambria Math" w:cs="Arial"/>
          </w:rPr>
          <m:t>a(i)</m:t>
        </m:r>
      </m:oMath>
      <w:r w:rsidRPr="00AC086C">
        <w:rPr>
          <w:rFonts w:ascii="Arial" w:hAnsi="Arial" w:cs="Arial"/>
        </w:rPr>
        <w:t xml:space="preserve">= mean distance between point </w:t>
      </w:r>
      <m:oMath>
        <m:r>
          <w:rPr>
            <w:rFonts w:ascii="Cambria Math" w:hAnsi="Cambria Math" w:cs="Arial"/>
          </w:rPr>
          <m:t>i</m:t>
        </m:r>
      </m:oMath>
      <w:r w:rsidRPr="00AC086C">
        <w:rPr>
          <w:rFonts w:ascii="Arial" w:hAnsi="Arial" w:cs="Arial"/>
        </w:rPr>
        <w:t>and other points in the same cluster,</w:t>
      </w:r>
      <w:r w:rsidRPr="00AC086C">
        <w:rPr>
          <w:rFonts w:ascii="Arial" w:hAnsi="Arial" w:cs="Arial"/>
        </w:rPr>
        <w:br/>
      </w:r>
      <m:oMath>
        <m:r>
          <w:rPr>
            <w:rFonts w:ascii="Cambria Math" w:hAnsi="Cambria Math" w:cs="Arial"/>
          </w:rPr>
          <m:t>b(i)</m:t>
        </m:r>
      </m:oMath>
      <w:r w:rsidRPr="00AC086C">
        <w:rPr>
          <w:rFonts w:ascii="Arial" w:hAnsi="Arial" w:cs="Arial"/>
        </w:rPr>
        <w:t xml:space="preserve">= minimum mean distance between point </w:t>
      </w:r>
      <m:oMath>
        <m:r>
          <w:rPr>
            <w:rFonts w:ascii="Cambria Math" w:hAnsi="Cambria Math" w:cs="Arial"/>
          </w:rPr>
          <m:t>i</m:t>
        </m:r>
      </m:oMath>
      <w:r w:rsidRPr="00AC086C">
        <w:rPr>
          <w:rFonts w:ascii="Arial" w:hAnsi="Arial" w:cs="Arial"/>
        </w:rPr>
        <w:t>and points in the nearest neighbouring cluster.</w:t>
      </w:r>
    </w:p>
    <w:p w14:paraId="7E6A3874" w14:textId="378C214D" w:rsidR="003F351F" w:rsidRPr="00AC086C" w:rsidRDefault="003F351F" w:rsidP="003F351F">
      <w:pPr>
        <w:jc w:val="both"/>
        <w:rPr>
          <w:rFonts w:ascii="Arial" w:hAnsi="Arial" w:cs="Arial"/>
        </w:rPr>
      </w:pPr>
      <w:r w:rsidRPr="00AC086C">
        <w:rPr>
          <w:rFonts w:ascii="Arial" w:hAnsi="Arial" w:cs="Arial"/>
        </w:rPr>
        <w:t xml:space="preserve">This metric provides a measure of both cohesion and separation. Values close to +1 indicate strong clustering structure; values near 0 indicate overlapping clusters; negative values indicate that a point may have been misclassified </w:t>
      </w:r>
      <w:r w:rsidR="003875DB">
        <w:rPr>
          <w:rFonts w:ascii="Arial" w:hAnsi="Arial" w:cs="Arial"/>
        </w:rPr>
        <w:t>(</w:t>
      </w:r>
      <w:proofErr w:type="spellStart"/>
      <w:r w:rsidR="008F54C1" w:rsidRPr="00172252">
        <w:rPr>
          <w:rFonts w:ascii="Arial" w:hAnsi="Arial" w:cs="Arial"/>
        </w:rPr>
        <w:t>Rousseeuw</w:t>
      </w:r>
      <w:proofErr w:type="spellEnd"/>
      <w:r w:rsidR="008F54C1">
        <w:rPr>
          <w:rFonts w:ascii="Arial" w:hAnsi="Arial" w:cs="Arial"/>
        </w:rPr>
        <w:t>, 1987</w:t>
      </w:r>
      <w:r w:rsidR="003875DB">
        <w:rPr>
          <w:rFonts w:ascii="Arial" w:hAnsi="Arial" w:cs="Arial"/>
        </w:rPr>
        <w:t xml:space="preserve">; </w:t>
      </w:r>
      <w:proofErr w:type="spellStart"/>
      <w:r w:rsidR="0029068A" w:rsidRPr="00172252">
        <w:rPr>
          <w:rFonts w:ascii="Arial" w:hAnsi="Arial" w:cs="Arial"/>
        </w:rPr>
        <w:t>Shutaywi</w:t>
      </w:r>
      <w:proofErr w:type="spellEnd"/>
      <w:r w:rsidR="00470E91">
        <w:rPr>
          <w:rFonts w:ascii="Arial" w:hAnsi="Arial" w:cs="Arial"/>
        </w:rPr>
        <w:t xml:space="preserve">, 2021; </w:t>
      </w:r>
      <w:proofErr w:type="spellStart"/>
      <w:r w:rsidR="00D9106D" w:rsidRPr="00172252">
        <w:rPr>
          <w:rFonts w:ascii="Arial" w:hAnsi="Arial" w:cs="Arial"/>
        </w:rPr>
        <w:t>Dalmaijer</w:t>
      </w:r>
      <w:proofErr w:type="spellEnd"/>
      <w:r w:rsidR="00D9106D">
        <w:rPr>
          <w:rFonts w:ascii="Arial" w:hAnsi="Arial" w:cs="Arial"/>
        </w:rPr>
        <w:t>, 2022</w:t>
      </w:r>
      <w:r w:rsidR="005A5B3B">
        <w:rPr>
          <w:rFonts w:ascii="Arial" w:hAnsi="Arial" w:cs="Arial"/>
        </w:rPr>
        <w:t>)</w:t>
      </w:r>
      <w:r w:rsidRPr="00AC086C">
        <w:rPr>
          <w:rFonts w:ascii="Arial" w:hAnsi="Arial" w:cs="Arial"/>
        </w:rPr>
        <w:t xml:space="preserve">. </w:t>
      </w:r>
    </w:p>
    <w:p w14:paraId="4C04C7C1" w14:textId="77777777" w:rsidR="003F351F" w:rsidRPr="00AC086C" w:rsidRDefault="003F351F" w:rsidP="003F351F">
      <w:pPr>
        <w:jc w:val="both"/>
        <w:rPr>
          <w:rFonts w:ascii="Arial" w:hAnsi="Arial" w:cs="Arial"/>
        </w:rPr>
      </w:pPr>
    </w:p>
    <w:p w14:paraId="6E701CA3" w14:textId="77777777" w:rsidR="003F351F" w:rsidRPr="00AC086C" w:rsidRDefault="003F351F" w:rsidP="003F351F">
      <w:pPr>
        <w:jc w:val="both"/>
        <w:rPr>
          <w:rFonts w:ascii="Arial" w:hAnsi="Arial" w:cs="Arial"/>
          <w:b/>
          <w:bCs/>
        </w:rPr>
      </w:pPr>
      <w:r w:rsidRPr="00AC086C">
        <w:rPr>
          <w:rFonts w:ascii="Arial" w:hAnsi="Arial" w:cs="Arial"/>
          <w:b/>
          <w:bCs/>
        </w:rPr>
        <w:t>2.7 Software Environment</w:t>
      </w:r>
    </w:p>
    <w:p w14:paraId="03155037" w14:textId="77777777" w:rsidR="00B50EEB" w:rsidRPr="00AC086C" w:rsidRDefault="00B50EEB" w:rsidP="00B50EEB">
      <w:pPr>
        <w:jc w:val="both"/>
        <w:rPr>
          <w:rFonts w:ascii="Arial" w:hAnsi="Arial" w:cs="Arial"/>
        </w:rPr>
      </w:pPr>
      <w:r w:rsidRPr="00AC086C">
        <w:rPr>
          <w:rFonts w:ascii="Arial" w:hAnsi="Arial" w:cs="Arial"/>
          <w:lang w:val="en-NG"/>
        </w:rPr>
        <w:t>All computations were performed using:</w:t>
      </w:r>
    </w:p>
    <w:p w14:paraId="63B31263" w14:textId="77777777" w:rsidR="00B50EEB" w:rsidRPr="006830E8" w:rsidRDefault="00B50EEB" w:rsidP="00B50EEB">
      <w:pPr>
        <w:numPr>
          <w:ilvl w:val="0"/>
          <w:numId w:val="33"/>
        </w:numPr>
        <w:spacing w:after="160" w:line="278" w:lineRule="auto"/>
        <w:jc w:val="both"/>
        <w:rPr>
          <w:rFonts w:ascii="Arial" w:hAnsi="Arial" w:cs="Arial"/>
        </w:rPr>
      </w:pPr>
      <w:r w:rsidRPr="006830E8">
        <w:rPr>
          <w:rFonts w:ascii="Arial" w:hAnsi="Arial" w:cs="Arial"/>
          <w:lang w:val="en-NG"/>
        </w:rPr>
        <w:t xml:space="preserve">Python 3.10 </w:t>
      </w:r>
      <w:r w:rsidRPr="006830E8">
        <w:rPr>
          <w:rFonts w:ascii="Arial" w:hAnsi="Arial" w:cs="Arial"/>
        </w:rPr>
        <w:t>(Google Colab environment)</w:t>
      </w:r>
    </w:p>
    <w:p w14:paraId="67D559F3" w14:textId="77777777" w:rsidR="00B50EEB" w:rsidRPr="006830E8" w:rsidRDefault="00B50EEB" w:rsidP="00B50EEB">
      <w:pPr>
        <w:numPr>
          <w:ilvl w:val="1"/>
          <w:numId w:val="33"/>
        </w:numPr>
        <w:spacing w:after="160" w:line="278" w:lineRule="auto"/>
        <w:jc w:val="both"/>
        <w:rPr>
          <w:rFonts w:ascii="Arial" w:hAnsi="Arial" w:cs="Arial"/>
        </w:rPr>
      </w:pPr>
      <w:r w:rsidRPr="006830E8">
        <w:rPr>
          <w:rFonts w:ascii="Arial" w:hAnsi="Arial" w:cs="Arial"/>
          <w:lang w:val="en-NG"/>
        </w:rPr>
        <w:t>pandas for data preprocessing</w:t>
      </w:r>
    </w:p>
    <w:p w14:paraId="7EE8A507" w14:textId="77777777" w:rsidR="00B50EEB" w:rsidRPr="006830E8" w:rsidRDefault="00B50EEB" w:rsidP="00B50EEB">
      <w:pPr>
        <w:numPr>
          <w:ilvl w:val="1"/>
          <w:numId w:val="33"/>
        </w:numPr>
        <w:spacing w:after="160" w:line="278" w:lineRule="auto"/>
        <w:jc w:val="both"/>
        <w:rPr>
          <w:rFonts w:ascii="Arial" w:hAnsi="Arial" w:cs="Arial"/>
        </w:rPr>
      </w:pPr>
      <w:r w:rsidRPr="006830E8">
        <w:rPr>
          <w:rFonts w:ascii="Arial" w:hAnsi="Arial" w:cs="Arial"/>
          <w:lang w:val="en-NG"/>
        </w:rPr>
        <w:t>scikit-learn for Elbow Method, K-means clustering, and silhouette validation</w:t>
      </w:r>
    </w:p>
    <w:p w14:paraId="3E0FF102" w14:textId="77777777" w:rsidR="00B50EEB" w:rsidRPr="00AC086C" w:rsidRDefault="00B50EEB" w:rsidP="00B50EEB">
      <w:pPr>
        <w:numPr>
          <w:ilvl w:val="1"/>
          <w:numId w:val="33"/>
        </w:numPr>
        <w:spacing w:after="160" w:line="278" w:lineRule="auto"/>
        <w:jc w:val="both"/>
        <w:rPr>
          <w:rFonts w:ascii="Arial" w:hAnsi="Arial" w:cs="Arial"/>
        </w:rPr>
      </w:pPr>
      <w:r w:rsidRPr="006830E8">
        <w:rPr>
          <w:rFonts w:ascii="Arial" w:hAnsi="Arial" w:cs="Arial"/>
          <w:lang w:val="en-NG"/>
        </w:rPr>
        <w:t>matplotlib</w:t>
      </w:r>
      <w:r w:rsidRPr="00AC086C">
        <w:rPr>
          <w:rFonts w:ascii="Arial" w:hAnsi="Arial" w:cs="Arial"/>
          <w:lang w:val="en-NG"/>
        </w:rPr>
        <w:t xml:space="preserve"> for visualisation</w:t>
      </w:r>
    </w:p>
    <w:p w14:paraId="7F190087" w14:textId="4F3896C7" w:rsidR="002E0D56" w:rsidRDefault="003F351F" w:rsidP="003F351F">
      <w:pPr>
        <w:pStyle w:val="Body"/>
        <w:spacing w:after="0"/>
        <w:rPr>
          <w:rFonts w:ascii="Arial" w:hAnsi="Arial" w:cs="Arial"/>
        </w:rPr>
      </w:pPr>
      <w:r w:rsidRPr="00AC086C">
        <w:rPr>
          <w:rFonts w:ascii="Arial" w:hAnsi="Arial" w:cs="Arial"/>
        </w:rPr>
        <w:t>These tools provide efficient implementations of the clustering and validation algorithms.</w:t>
      </w:r>
    </w:p>
    <w:p w14:paraId="63AA9C3A" w14:textId="77777777" w:rsidR="00790ADA" w:rsidRPr="00FB3A86" w:rsidRDefault="00790ADA" w:rsidP="00441B6F">
      <w:pPr>
        <w:pStyle w:val="Body"/>
        <w:spacing w:after="0"/>
        <w:rPr>
          <w:rFonts w:ascii="Arial" w:hAnsi="Arial" w:cs="Arial"/>
        </w:rPr>
      </w:pPr>
    </w:p>
    <w:p w14:paraId="2338597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3CC7EB2" w14:textId="77777777" w:rsidR="00790ADA" w:rsidRPr="00FB3A86" w:rsidRDefault="00790ADA" w:rsidP="00441B6F">
      <w:pPr>
        <w:pStyle w:val="Head1"/>
        <w:spacing w:after="0"/>
        <w:jc w:val="both"/>
        <w:rPr>
          <w:rFonts w:ascii="Arial" w:hAnsi="Arial" w:cs="Arial"/>
        </w:rPr>
      </w:pPr>
    </w:p>
    <w:p w14:paraId="3DD23752" w14:textId="77777777" w:rsidR="009411D8" w:rsidRPr="008E5CBA" w:rsidRDefault="009411D8" w:rsidP="009411D8">
      <w:pPr>
        <w:jc w:val="both"/>
        <w:rPr>
          <w:rFonts w:ascii="Arial" w:hAnsi="Arial" w:cs="Arial"/>
          <w:b/>
          <w:bCs/>
        </w:rPr>
      </w:pPr>
      <w:r w:rsidRPr="008E5CBA">
        <w:rPr>
          <w:rFonts w:ascii="Arial" w:hAnsi="Arial" w:cs="Arial"/>
          <w:b/>
          <w:bCs/>
        </w:rPr>
        <w:t>3.1 Descriptive Statistics of Flare Volumes</w:t>
      </w:r>
    </w:p>
    <w:p w14:paraId="44A10E72" w14:textId="541D1B48" w:rsidR="009411D8" w:rsidRPr="008E5CBA" w:rsidRDefault="009411D8" w:rsidP="009411D8">
      <w:pPr>
        <w:jc w:val="both"/>
        <w:rPr>
          <w:rFonts w:ascii="Arial" w:hAnsi="Arial" w:cs="Arial"/>
        </w:rPr>
      </w:pPr>
      <w:r w:rsidRPr="008E5CBA">
        <w:rPr>
          <w:rFonts w:ascii="Arial" w:hAnsi="Arial" w:cs="Arial"/>
        </w:rPr>
        <w:t xml:space="preserve">Analysis of the daily flare-volume dataset revealed significant variability among the 24 onshore </w:t>
      </w:r>
      <w:proofErr w:type="spellStart"/>
      <w:r w:rsidRPr="008E5CBA">
        <w:rPr>
          <w:rFonts w:ascii="Arial" w:hAnsi="Arial" w:cs="Arial"/>
        </w:rPr>
        <w:t>flowstations</w:t>
      </w:r>
      <w:proofErr w:type="spellEnd"/>
      <w:r w:rsidRPr="008E5CBA">
        <w:rPr>
          <w:rFonts w:ascii="Arial" w:hAnsi="Arial" w:cs="Arial"/>
        </w:rPr>
        <w:t xml:space="preserve">. After preprocessing to exclude non-operational days, average daily flare volumes ranged from </w:t>
      </w:r>
      <w:r w:rsidRPr="006B5DC6">
        <w:rPr>
          <w:rFonts w:ascii="Arial" w:hAnsi="Arial" w:cs="Arial"/>
        </w:rPr>
        <w:t xml:space="preserve">less than 0.20 </w:t>
      </w:r>
      <w:proofErr w:type="spellStart"/>
      <w:r w:rsidRPr="006B5DC6">
        <w:rPr>
          <w:rFonts w:ascii="Arial" w:hAnsi="Arial" w:cs="Arial"/>
        </w:rPr>
        <w:t>mmscf</w:t>
      </w:r>
      <w:proofErr w:type="spellEnd"/>
      <w:r w:rsidRPr="006B5DC6">
        <w:rPr>
          <w:rFonts w:ascii="Arial" w:hAnsi="Arial" w:cs="Arial"/>
        </w:rPr>
        <w:t xml:space="preserve">/day in several low-activity </w:t>
      </w:r>
      <w:proofErr w:type="spellStart"/>
      <w:r w:rsidRPr="006B5DC6">
        <w:rPr>
          <w:rFonts w:ascii="Arial" w:hAnsi="Arial" w:cs="Arial"/>
        </w:rPr>
        <w:t>flowstations</w:t>
      </w:r>
      <w:proofErr w:type="spellEnd"/>
      <w:r w:rsidRPr="006B5DC6">
        <w:rPr>
          <w:rFonts w:ascii="Arial" w:hAnsi="Arial" w:cs="Arial"/>
        </w:rPr>
        <w:t xml:space="preserve"> to more than 13–20 </w:t>
      </w:r>
      <w:proofErr w:type="spellStart"/>
      <w:r w:rsidRPr="006B5DC6">
        <w:rPr>
          <w:rFonts w:ascii="Arial" w:hAnsi="Arial" w:cs="Arial"/>
        </w:rPr>
        <w:t>mmscf</w:t>
      </w:r>
      <w:proofErr w:type="spellEnd"/>
      <w:r w:rsidRPr="006B5DC6">
        <w:rPr>
          <w:rFonts w:ascii="Arial" w:hAnsi="Arial" w:cs="Arial"/>
        </w:rPr>
        <w:t>/day in high-emission locations. A summary of computed averages (Table 2.1) showed substantial</w:t>
      </w:r>
      <w:r w:rsidRPr="008E5CBA">
        <w:rPr>
          <w:rFonts w:ascii="Arial" w:hAnsi="Arial" w:cs="Arial"/>
        </w:rPr>
        <w:t xml:space="preserve"> variation in flaring </w:t>
      </w:r>
      <w:proofErr w:type="spellStart"/>
      <w:r w:rsidRPr="008E5CBA">
        <w:rPr>
          <w:rFonts w:ascii="Arial" w:hAnsi="Arial" w:cs="Arial"/>
        </w:rPr>
        <w:t>behaviour</w:t>
      </w:r>
      <w:proofErr w:type="spellEnd"/>
      <w:r w:rsidRPr="008E5CBA">
        <w:rPr>
          <w:rFonts w:ascii="Arial" w:hAnsi="Arial" w:cs="Arial"/>
        </w:rPr>
        <w:t xml:space="preserve"> across sites. This variability confirms that flaring intensity is unevenly distributed</w:t>
      </w:r>
      <w:r w:rsidR="00814172">
        <w:rPr>
          <w:rFonts w:ascii="Arial" w:hAnsi="Arial" w:cs="Arial"/>
        </w:rPr>
        <w:t xml:space="preserve"> (</w:t>
      </w:r>
      <w:proofErr w:type="spellStart"/>
      <w:r w:rsidR="00814172" w:rsidRPr="00172252">
        <w:rPr>
          <w:rFonts w:ascii="Arial" w:hAnsi="Arial" w:cs="Arial"/>
        </w:rPr>
        <w:t>Awulu</w:t>
      </w:r>
      <w:proofErr w:type="spellEnd"/>
      <w:r w:rsidR="00814172">
        <w:rPr>
          <w:rFonts w:ascii="Arial" w:hAnsi="Arial" w:cs="Arial"/>
        </w:rPr>
        <w:t>, 2021)</w:t>
      </w:r>
      <w:r w:rsidRPr="008E5CBA">
        <w:rPr>
          <w:rFonts w:ascii="Arial" w:hAnsi="Arial" w:cs="Arial"/>
        </w:rPr>
        <w:t>. Such heterogeneity shows the need for cluster-based infrastructure planning because isolated stations with low flare rates are not economically viable for standalone gas-recovery systems.</w:t>
      </w:r>
    </w:p>
    <w:p w14:paraId="71B4027A" w14:textId="77777777" w:rsidR="009411D8" w:rsidRPr="008E5CBA" w:rsidRDefault="009411D8" w:rsidP="009411D8">
      <w:pPr>
        <w:jc w:val="both"/>
        <w:rPr>
          <w:rFonts w:ascii="Arial" w:hAnsi="Arial" w:cs="Arial"/>
          <w:b/>
          <w:bCs/>
        </w:rPr>
      </w:pPr>
      <w:r w:rsidRPr="008E5CBA">
        <w:rPr>
          <w:rFonts w:ascii="Arial" w:hAnsi="Arial" w:cs="Arial"/>
          <w:b/>
          <w:bCs/>
        </w:rPr>
        <w:t>3.2 Elbow Method Determination of Optimal K</w:t>
      </w:r>
    </w:p>
    <w:p w14:paraId="21D00513" w14:textId="5D8EAA3D" w:rsidR="009411D8" w:rsidRPr="008E5CBA" w:rsidRDefault="009411D8" w:rsidP="009411D8">
      <w:pPr>
        <w:jc w:val="both"/>
        <w:rPr>
          <w:rFonts w:ascii="Arial" w:hAnsi="Arial" w:cs="Arial"/>
        </w:rPr>
      </w:pPr>
      <w:r w:rsidRPr="008E5CBA">
        <w:rPr>
          <w:rFonts w:ascii="Arial" w:hAnsi="Arial" w:cs="Arial"/>
        </w:rPr>
        <w:t xml:space="preserve">Inertia values were computed </w:t>
      </w:r>
      <w:r w:rsidRPr="006B5DC6">
        <w:rPr>
          <w:rFonts w:ascii="Arial" w:hAnsi="Arial" w:cs="Arial"/>
        </w:rPr>
        <w:t>for K = 1 to 10, and the Elbow Method plot displayed a clear inflection at K = 4, where the reduction in inertia began to plateau. This indicates that four clusters provide the best compromise</w:t>
      </w:r>
      <w:r w:rsidRPr="008E5CBA">
        <w:rPr>
          <w:rFonts w:ascii="Arial" w:hAnsi="Arial" w:cs="Arial"/>
        </w:rPr>
        <w:t xml:space="preserve"> between intra-cluster compactness and model simplicity. The pattern observed here aligns with the theoretical expectations of the Elbow Method, which is widely recommended for determining optimal cluster counts in unsupervised learning </w:t>
      </w:r>
      <w:r w:rsidR="00C50A00">
        <w:rPr>
          <w:rFonts w:ascii="Arial" w:hAnsi="Arial" w:cs="Arial"/>
        </w:rPr>
        <w:t>(</w:t>
      </w:r>
      <w:proofErr w:type="spellStart"/>
      <w:r w:rsidR="00C50A00" w:rsidRPr="00172252">
        <w:rPr>
          <w:rFonts w:ascii="Arial" w:hAnsi="Arial" w:cs="Arial"/>
        </w:rPr>
        <w:t>Umargono</w:t>
      </w:r>
      <w:proofErr w:type="spellEnd"/>
      <w:r w:rsidR="00C50A00">
        <w:rPr>
          <w:rFonts w:ascii="Arial" w:hAnsi="Arial" w:cs="Arial"/>
        </w:rPr>
        <w:t xml:space="preserve"> et al., 2020)</w:t>
      </w:r>
      <w:r w:rsidRPr="008E5CBA">
        <w:rPr>
          <w:rFonts w:ascii="Arial" w:hAnsi="Arial" w:cs="Arial"/>
        </w:rPr>
        <w:t>. Figure 3.1 illustrates the diminishing return in inertia beyond four clusters.</w:t>
      </w:r>
    </w:p>
    <w:p w14:paraId="445F5C08" w14:textId="77777777" w:rsidR="009411D8" w:rsidRPr="008E5CBA" w:rsidRDefault="009411D8" w:rsidP="009411D8">
      <w:pPr>
        <w:jc w:val="both"/>
        <w:rPr>
          <w:rFonts w:ascii="Arial" w:hAnsi="Arial" w:cs="Arial"/>
        </w:rPr>
      </w:pPr>
      <w:r w:rsidRPr="008E5CBA">
        <w:rPr>
          <w:rFonts w:ascii="Arial" w:hAnsi="Arial" w:cs="Arial"/>
          <w:noProof/>
        </w:rPr>
        <w:lastRenderedPageBreak/>
        <w:drawing>
          <wp:inline distT="0" distB="0" distL="0" distR="0" wp14:anchorId="20B6CE19" wp14:editId="200D5DB1">
            <wp:extent cx="4378960" cy="2893432"/>
            <wp:effectExtent l="0" t="0" r="2540" b="2540"/>
            <wp:docPr id="1470105060" name="Picture 1" descr="A graph with orang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05060" name="Picture 1" descr="A graph with orange line&#10;&#10;AI-generated content may be incorrect."/>
                    <pic:cNvPicPr/>
                  </pic:nvPicPr>
                  <pic:blipFill>
                    <a:blip r:embed="rId16"/>
                    <a:stretch>
                      <a:fillRect/>
                    </a:stretch>
                  </pic:blipFill>
                  <pic:spPr>
                    <a:xfrm>
                      <a:off x="0" y="0"/>
                      <a:ext cx="4384846" cy="2897321"/>
                    </a:xfrm>
                    <a:prstGeom prst="rect">
                      <a:avLst/>
                    </a:prstGeom>
                  </pic:spPr>
                </pic:pic>
              </a:graphicData>
            </a:graphic>
          </wp:inline>
        </w:drawing>
      </w:r>
    </w:p>
    <w:p w14:paraId="195A663E" w14:textId="77777777" w:rsidR="009411D8" w:rsidRPr="00343EE1" w:rsidRDefault="009411D8" w:rsidP="009411D8">
      <w:pPr>
        <w:jc w:val="both"/>
        <w:rPr>
          <w:rFonts w:ascii="Arial" w:hAnsi="Arial" w:cs="Arial"/>
          <w:b/>
          <w:bCs/>
        </w:rPr>
      </w:pPr>
      <w:r w:rsidRPr="00343EE1">
        <w:rPr>
          <w:rFonts w:ascii="Arial" w:hAnsi="Arial" w:cs="Arial"/>
          <w:b/>
          <w:bCs/>
        </w:rPr>
        <w:t>Figure 3.1    Elbow plot for optimal number of clusters (K)</w:t>
      </w:r>
    </w:p>
    <w:p w14:paraId="3C110901" w14:textId="77777777" w:rsidR="009411D8" w:rsidRPr="008E5CBA" w:rsidRDefault="009411D8" w:rsidP="009411D8">
      <w:pPr>
        <w:jc w:val="both"/>
        <w:rPr>
          <w:rFonts w:ascii="Arial" w:hAnsi="Arial" w:cs="Arial"/>
        </w:rPr>
      </w:pPr>
    </w:p>
    <w:p w14:paraId="749332D8" w14:textId="77777777" w:rsidR="009411D8" w:rsidRPr="008E5CBA" w:rsidRDefault="009411D8" w:rsidP="009411D8">
      <w:pPr>
        <w:jc w:val="both"/>
        <w:rPr>
          <w:rFonts w:ascii="Arial" w:hAnsi="Arial" w:cs="Arial"/>
          <w:b/>
          <w:bCs/>
        </w:rPr>
      </w:pPr>
      <w:r w:rsidRPr="008E5CBA">
        <w:rPr>
          <w:rFonts w:ascii="Arial" w:hAnsi="Arial" w:cs="Arial"/>
          <w:b/>
          <w:bCs/>
        </w:rPr>
        <w:t>3.3 K-Means Clustering Output</w:t>
      </w:r>
    </w:p>
    <w:p w14:paraId="4E126D3F" w14:textId="77777777" w:rsidR="009411D8" w:rsidRPr="008E5CBA" w:rsidRDefault="009411D8" w:rsidP="009411D8">
      <w:pPr>
        <w:jc w:val="both"/>
        <w:rPr>
          <w:rFonts w:ascii="Arial" w:hAnsi="Arial" w:cs="Arial"/>
        </w:rPr>
      </w:pPr>
      <w:r w:rsidRPr="008E5CBA">
        <w:rPr>
          <w:rFonts w:ascii="Arial" w:hAnsi="Arial" w:cs="Arial"/>
        </w:rPr>
        <w:t xml:space="preserve">Applying </w:t>
      </w:r>
      <w:r w:rsidRPr="00CF6B1F">
        <w:rPr>
          <w:rFonts w:ascii="Arial" w:hAnsi="Arial" w:cs="Arial"/>
        </w:rPr>
        <w:t>K = 4 to the</w:t>
      </w:r>
      <w:r w:rsidRPr="008E5CBA">
        <w:rPr>
          <w:rFonts w:ascii="Arial" w:hAnsi="Arial" w:cs="Arial"/>
        </w:rPr>
        <w:t xml:space="preserve"> coordinate dataset produced four distinct and geographically coherent clusters. Figure 3.2 presents the visual clustering in a two-dimensional map plot with each station annotated. The resulting clusters form a meaningful geographic block that supports shared-infrastructure design.</w:t>
      </w:r>
    </w:p>
    <w:p w14:paraId="33F5EF91" w14:textId="77874353" w:rsidR="009411D8" w:rsidRDefault="009411D8" w:rsidP="009411D8">
      <w:pPr>
        <w:jc w:val="both"/>
        <w:rPr>
          <w:rFonts w:ascii="Arial" w:hAnsi="Arial" w:cs="Arial"/>
        </w:rPr>
      </w:pPr>
    </w:p>
    <w:p w14:paraId="28C89370" w14:textId="7206DEA5" w:rsidR="00C05E93" w:rsidRPr="008E5CBA" w:rsidRDefault="00C05E93" w:rsidP="009411D8">
      <w:pPr>
        <w:jc w:val="both"/>
        <w:rPr>
          <w:rFonts w:ascii="Arial" w:hAnsi="Arial" w:cs="Arial"/>
        </w:rPr>
      </w:pPr>
      <w:r w:rsidRPr="00C05E93">
        <w:rPr>
          <w:rFonts w:ascii="Arial" w:hAnsi="Arial" w:cs="Arial"/>
        </w:rPr>
        <w:drawing>
          <wp:inline distT="0" distB="0" distL="0" distR="0" wp14:anchorId="0C984240" wp14:editId="162C5ED0">
            <wp:extent cx="4792980" cy="3253740"/>
            <wp:effectExtent l="0" t="0" r="0" b="0"/>
            <wp:docPr id="1810727461" name="Picture 1"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27461" name="Picture 1" descr="A graph with numbers and symbols&#10;&#10;AI-generated content may be incorrect."/>
                    <pic:cNvPicPr/>
                  </pic:nvPicPr>
                  <pic:blipFill>
                    <a:blip r:embed="rId17"/>
                    <a:stretch>
                      <a:fillRect/>
                    </a:stretch>
                  </pic:blipFill>
                  <pic:spPr>
                    <a:xfrm>
                      <a:off x="0" y="0"/>
                      <a:ext cx="4812074" cy="3266702"/>
                    </a:xfrm>
                    <a:prstGeom prst="rect">
                      <a:avLst/>
                    </a:prstGeom>
                  </pic:spPr>
                </pic:pic>
              </a:graphicData>
            </a:graphic>
          </wp:inline>
        </w:drawing>
      </w:r>
    </w:p>
    <w:p w14:paraId="7CF453CE" w14:textId="139928F7" w:rsidR="009411D8" w:rsidRPr="00343EE1" w:rsidRDefault="009411D8" w:rsidP="009411D8">
      <w:pPr>
        <w:pStyle w:val="Tables"/>
        <w:rPr>
          <w:rFonts w:ascii="Arial" w:hAnsi="Arial" w:cs="Arial"/>
          <w:b/>
          <w:bCs/>
          <w:i w:val="0"/>
          <w:iCs w:val="0"/>
          <w:color w:val="auto"/>
          <w:sz w:val="20"/>
          <w:szCs w:val="20"/>
        </w:rPr>
      </w:pPr>
      <w:r w:rsidRPr="00343EE1">
        <w:rPr>
          <w:rFonts w:ascii="Arial" w:hAnsi="Arial" w:cs="Arial"/>
          <w:b/>
          <w:bCs/>
          <w:i w:val="0"/>
          <w:iCs w:val="0"/>
          <w:color w:val="auto"/>
          <w:sz w:val="20"/>
          <w:szCs w:val="20"/>
        </w:rPr>
        <w:lastRenderedPageBreak/>
        <w:t xml:space="preserve">Figure </w:t>
      </w:r>
      <w:proofErr w:type="gramStart"/>
      <w:r w:rsidRPr="00343EE1">
        <w:rPr>
          <w:rFonts w:ascii="Arial" w:hAnsi="Arial" w:cs="Arial"/>
          <w:b/>
          <w:bCs/>
          <w:i w:val="0"/>
          <w:iCs w:val="0"/>
          <w:color w:val="auto"/>
          <w:sz w:val="20"/>
          <w:szCs w:val="20"/>
        </w:rPr>
        <w:t xml:space="preserve">3.2  </w:t>
      </w:r>
      <w:r w:rsidR="00C05E93">
        <w:rPr>
          <w:rFonts w:ascii="Arial" w:hAnsi="Arial" w:cs="Arial"/>
          <w:b/>
          <w:bCs/>
          <w:i w:val="0"/>
          <w:iCs w:val="0"/>
          <w:color w:val="auto"/>
          <w:sz w:val="20"/>
          <w:szCs w:val="20"/>
        </w:rPr>
        <w:t>C</w:t>
      </w:r>
      <w:r w:rsidRPr="00343EE1">
        <w:rPr>
          <w:rFonts w:ascii="Arial" w:hAnsi="Arial" w:cs="Arial"/>
          <w:b/>
          <w:bCs/>
          <w:i w:val="0"/>
          <w:iCs w:val="0"/>
          <w:color w:val="auto"/>
          <w:sz w:val="20"/>
          <w:szCs w:val="20"/>
        </w:rPr>
        <w:t>lustering</w:t>
      </w:r>
      <w:proofErr w:type="gramEnd"/>
      <w:r w:rsidRPr="00343EE1">
        <w:rPr>
          <w:rFonts w:ascii="Arial" w:hAnsi="Arial" w:cs="Arial"/>
          <w:b/>
          <w:bCs/>
          <w:i w:val="0"/>
          <w:iCs w:val="0"/>
          <w:color w:val="auto"/>
          <w:sz w:val="20"/>
          <w:szCs w:val="20"/>
        </w:rPr>
        <w:t xml:space="preserve"> of 24 </w:t>
      </w:r>
      <w:r w:rsidR="00C05E93">
        <w:rPr>
          <w:rFonts w:ascii="Arial" w:hAnsi="Arial" w:cs="Arial"/>
          <w:b/>
          <w:bCs/>
          <w:i w:val="0"/>
          <w:iCs w:val="0"/>
          <w:color w:val="auto"/>
          <w:sz w:val="20"/>
          <w:szCs w:val="20"/>
        </w:rPr>
        <w:t xml:space="preserve">Onshore </w:t>
      </w:r>
      <w:proofErr w:type="spellStart"/>
      <w:r w:rsidRPr="00343EE1">
        <w:rPr>
          <w:rFonts w:ascii="Arial" w:hAnsi="Arial" w:cs="Arial"/>
          <w:b/>
          <w:bCs/>
          <w:i w:val="0"/>
          <w:iCs w:val="0"/>
          <w:color w:val="auto"/>
          <w:sz w:val="20"/>
          <w:szCs w:val="20"/>
        </w:rPr>
        <w:t>flowstations</w:t>
      </w:r>
      <w:proofErr w:type="spellEnd"/>
      <w:r w:rsidR="00C05E93">
        <w:rPr>
          <w:rFonts w:ascii="Arial" w:hAnsi="Arial" w:cs="Arial"/>
          <w:b/>
          <w:bCs/>
          <w:i w:val="0"/>
          <w:iCs w:val="0"/>
          <w:color w:val="auto"/>
          <w:sz w:val="20"/>
          <w:szCs w:val="20"/>
        </w:rPr>
        <w:t xml:space="preserve"> (</w:t>
      </w:r>
      <w:r w:rsidR="00C05E93" w:rsidRPr="00343EE1">
        <w:rPr>
          <w:rFonts w:ascii="Arial" w:hAnsi="Arial" w:cs="Arial"/>
          <w:b/>
          <w:bCs/>
          <w:i w:val="0"/>
          <w:iCs w:val="0"/>
          <w:color w:val="auto"/>
          <w:sz w:val="20"/>
          <w:szCs w:val="20"/>
        </w:rPr>
        <w:t>Map-style plot</w:t>
      </w:r>
      <w:r w:rsidR="00C05E93">
        <w:rPr>
          <w:rFonts w:ascii="Arial" w:hAnsi="Arial" w:cs="Arial"/>
          <w:b/>
          <w:bCs/>
          <w:i w:val="0"/>
          <w:iCs w:val="0"/>
          <w:color w:val="auto"/>
          <w:sz w:val="20"/>
          <w:szCs w:val="20"/>
        </w:rPr>
        <w:t>)</w:t>
      </w:r>
    </w:p>
    <w:p w14:paraId="674B7E58" w14:textId="7609D110" w:rsidR="009411D8" w:rsidRPr="008E5CBA" w:rsidRDefault="009411D8" w:rsidP="009411D8">
      <w:pPr>
        <w:jc w:val="both"/>
        <w:rPr>
          <w:rFonts w:ascii="Arial" w:hAnsi="Arial" w:cs="Arial"/>
        </w:rPr>
      </w:pPr>
      <w:r w:rsidRPr="008E5CBA">
        <w:rPr>
          <w:rFonts w:ascii="Arial" w:hAnsi="Arial" w:cs="Arial"/>
        </w:rPr>
        <w:t xml:space="preserve">Computation of centroids using the standard K-means formulation </w:t>
      </w:r>
      <w:r w:rsidR="00801D2B">
        <w:rPr>
          <w:rFonts w:ascii="Arial" w:hAnsi="Arial" w:cs="Arial"/>
        </w:rPr>
        <w:t>(</w:t>
      </w:r>
      <w:r w:rsidR="00801D2B" w:rsidRPr="00561A43">
        <w:rPr>
          <w:rFonts w:ascii="Arial" w:hAnsi="Arial" w:cs="Arial"/>
        </w:rPr>
        <w:t>Jain</w:t>
      </w:r>
      <w:r w:rsidR="00801D2B">
        <w:rPr>
          <w:rFonts w:ascii="Arial" w:hAnsi="Arial" w:cs="Arial"/>
        </w:rPr>
        <w:t xml:space="preserve">, 2010) </w:t>
      </w:r>
      <w:r w:rsidRPr="008E5CBA">
        <w:rPr>
          <w:rFonts w:ascii="Arial" w:hAnsi="Arial" w:cs="Arial"/>
        </w:rPr>
        <w:t xml:space="preserve">resulted in cluster </w:t>
      </w:r>
      <w:proofErr w:type="spellStart"/>
      <w:r w:rsidRPr="008E5CBA">
        <w:rPr>
          <w:rFonts w:ascii="Arial" w:hAnsi="Arial" w:cs="Arial"/>
        </w:rPr>
        <w:t>centres</w:t>
      </w:r>
      <w:proofErr w:type="spellEnd"/>
      <w:r w:rsidRPr="008E5CBA">
        <w:rPr>
          <w:rFonts w:ascii="Arial" w:hAnsi="Arial" w:cs="Arial"/>
        </w:rPr>
        <w:t xml:space="preserve"> positioned near the </w:t>
      </w:r>
      <w:proofErr w:type="gramStart"/>
      <w:r w:rsidRPr="008E5CBA">
        <w:rPr>
          <w:rFonts w:ascii="Arial" w:hAnsi="Arial" w:cs="Arial"/>
        </w:rPr>
        <w:t>densest</w:t>
      </w:r>
      <w:proofErr w:type="gramEnd"/>
      <w:r w:rsidRPr="008E5CBA">
        <w:rPr>
          <w:rFonts w:ascii="Arial" w:hAnsi="Arial" w:cs="Arial"/>
        </w:rPr>
        <w:t xml:space="preserve"> groupings of stations, making them suitable candidates for centralized mini-gas hubs. Cluster membership was documented for all 24 </w:t>
      </w:r>
      <w:proofErr w:type="spellStart"/>
      <w:r w:rsidRPr="008E5CBA">
        <w:rPr>
          <w:rFonts w:ascii="Arial" w:hAnsi="Arial" w:cs="Arial"/>
        </w:rPr>
        <w:t>flowstations</w:t>
      </w:r>
      <w:proofErr w:type="spellEnd"/>
      <w:r w:rsidRPr="008E5CBA">
        <w:rPr>
          <w:rFonts w:ascii="Arial" w:hAnsi="Arial" w:cs="Arial"/>
        </w:rPr>
        <w:t>, demonstrating that the algorithm consistently sorted stations into logical geographic groups without irregular boundaries.</w:t>
      </w:r>
    </w:p>
    <w:p w14:paraId="563ADBB8" w14:textId="77777777" w:rsidR="009411D8" w:rsidRPr="008E5CBA" w:rsidRDefault="009411D8" w:rsidP="009411D8">
      <w:pPr>
        <w:jc w:val="both"/>
        <w:rPr>
          <w:rFonts w:ascii="Arial" w:hAnsi="Arial" w:cs="Arial"/>
          <w:b/>
          <w:bCs/>
        </w:rPr>
      </w:pPr>
      <w:r w:rsidRPr="008E5CBA">
        <w:rPr>
          <w:rFonts w:ascii="Arial" w:hAnsi="Arial" w:cs="Arial"/>
          <w:b/>
          <w:bCs/>
        </w:rPr>
        <w:t>3.4 Cluster Flare-Volume Aggregation</w:t>
      </w:r>
    </w:p>
    <w:p w14:paraId="2B0C154F" w14:textId="77777777" w:rsidR="009411D8" w:rsidRDefault="009411D8" w:rsidP="009411D8">
      <w:pPr>
        <w:jc w:val="both"/>
        <w:rPr>
          <w:rFonts w:ascii="Arial" w:hAnsi="Arial" w:cs="Arial"/>
        </w:rPr>
      </w:pPr>
      <w:r w:rsidRPr="008E5CBA">
        <w:rPr>
          <w:rFonts w:ascii="Arial" w:hAnsi="Arial" w:cs="Arial"/>
        </w:rPr>
        <w:t>Aggregated average flare volumes were computed for each of the four clusters by summing the average daily flare contributions of member stations. The results are summarized</w:t>
      </w:r>
      <w:r w:rsidRPr="006B5DC6">
        <w:rPr>
          <w:rFonts w:ascii="Arial" w:hAnsi="Arial" w:cs="Arial"/>
        </w:rPr>
        <w:t xml:space="preserve"> in Table 3.1. </w:t>
      </w:r>
    </w:p>
    <w:p w14:paraId="23DC9781" w14:textId="77777777" w:rsidR="00FD31E6" w:rsidRDefault="00FD31E6" w:rsidP="009411D8">
      <w:pPr>
        <w:jc w:val="both"/>
        <w:rPr>
          <w:rFonts w:ascii="Arial" w:hAnsi="Arial" w:cs="Arial"/>
        </w:rPr>
      </w:pPr>
    </w:p>
    <w:p w14:paraId="099A4E05" w14:textId="77777777" w:rsidR="009411D8" w:rsidRPr="004E58ED" w:rsidRDefault="009411D8" w:rsidP="009411D8">
      <w:pPr>
        <w:jc w:val="both"/>
        <w:rPr>
          <w:rFonts w:ascii="Arial" w:hAnsi="Arial" w:cs="Arial"/>
          <w:b/>
          <w:bCs/>
        </w:rPr>
      </w:pPr>
      <w:bookmarkStart w:id="0" w:name="_Toc214107503"/>
      <w:r w:rsidRPr="004E58ED">
        <w:rPr>
          <w:rFonts w:ascii="Arial" w:hAnsi="Arial" w:cs="Arial"/>
          <w:b/>
          <w:bCs/>
        </w:rPr>
        <w:t>Table 3.1   Cluster summary – (derived from Python analysis)</w:t>
      </w:r>
      <w:bookmarkEnd w:id="0"/>
    </w:p>
    <w:tbl>
      <w:tblPr>
        <w:tblW w:w="7513" w:type="dxa"/>
        <w:tblLook w:val="04A0" w:firstRow="1" w:lastRow="0" w:firstColumn="1" w:lastColumn="0" w:noHBand="0" w:noVBand="1"/>
      </w:tblPr>
      <w:tblGrid>
        <w:gridCol w:w="1701"/>
        <w:gridCol w:w="3261"/>
        <w:gridCol w:w="2551"/>
      </w:tblGrid>
      <w:tr w:rsidR="009411D8" w:rsidRPr="008E5CBA" w14:paraId="3CDD9BC3" w14:textId="77777777" w:rsidTr="00E67F70">
        <w:trPr>
          <w:trHeight w:val="588"/>
        </w:trPr>
        <w:tc>
          <w:tcPr>
            <w:tcW w:w="1701" w:type="dxa"/>
            <w:tcBorders>
              <w:top w:val="nil"/>
              <w:left w:val="nil"/>
              <w:bottom w:val="single" w:sz="8" w:space="0" w:color="auto"/>
              <w:right w:val="single" w:sz="4" w:space="0" w:color="auto"/>
            </w:tcBorders>
            <w:noWrap/>
            <w:vAlign w:val="center"/>
            <w:hideMark/>
          </w:tcPr>
          <w:p w14:paraId="7FAFD2E1" w14:textId="77777777" w:rsidR="009411D8" w:rsidRPr="004E58ED" w:rsidRDefault="009411D8" w:rsidP="00E67F70">
            <w:pPr>
              <w:jc w:val="both"/>
              <w:rPr>
                <w:rFonts w:ascii="Arial" w:hAnsi="Arial" w:cs="Arial"/>
                <w:bCs/>
                <w:szCs w:val="24"/>
              </w:rPr>
            </w:pPr>
            <w:r w:rsidRPr="004E58ED">
              <w:rPr>
                <w:rFonts w:ascii="Arial" w:hAnsi="Arial" w:cs="Arial"/>
                <w:bCs/>
                <w:szCs w:val="24"/>
              </w:rPr>
              <w:t>Cluster</w:t>
            </w:r>
          </w:p>
        </w:tc>
        <w:tc>
          <w:tcPr>
            <w:tcW w:w="3261" w:type="dxa"/>
            <w:tcBorders>
              <w:top w:val="nil"/>
              <w:left w:val="nil"/>
              <w:bottom w:val="single" w:sz="8" w:space="0" w:color="auto"/>
              <w:right w:val="nil"/>
            </w:tcBorders>
            <w:noWrap/>
            <w:vAlign w:val="center"/>
            <w:hideMark/>
          </w:tcPr>
          <w:p w14:paraId="173A035E" w14:textId="77777777" w:rsidR="009411D8" w:rsidRPr="004E58ED" w:rsidRDefault="009411D8" w:rsidP="00E67F70">
            <w:pPr>
              <w:jc w:val="both"/>
              <w:rPr>
                <w:rFonts w:ascii="Arial" w:hAnsi="Arial" w:cs="Arial"/>
                <w:bCs/>
                <w:szCs w:val="24"/>
              </w:rPr>
            </w:pPr>
            <w:proofErr w:type="spellStart"/>
            <w:r w:rsidRPr="004E58ED">
              <w:rPr>
                <w:rFonts w:ascii="Arial" w:hAnsi="Arial" w:cs="Arial"/>
                <w:bCs/>
                <w:szCs w:val="24"/>
              </w:rPr>
              <w:t>Flowstations</w:t>
            </w:r>
            <w:proofErr w:type="spellEnd"/>
            <w:r w:rsidRPr="004E58ED">
              <w:rPr>
                <w:rFonts w:ascii="Arial" w:hAnsi="Arial" w:cs="Arial"/>
                <w:bCs/>
                <w:szCs w:val="24"/>
              </w:rPr>
              <w:t xml:space="preserve"> in Cluster</w:t>
            </w:r>
          </w:p>
        </w:tc>
        <w:tc>
          <w:tcPr>
            <w:tcW w:w="2551" w:type="dxa"/>
            <w:tcBorders>
              <w:top w:val="nil"/>
              <w:left w:val="nil"/>
              <w:bottom w:val="single" w:sz="8" w:space="0" w:color="auto"/>
              <w:right w:val="nil"/>
            </w:tcBorders>
            <w:vAlign w:val="center"/>
            <w:hideMark/>
          </w:tcPr>
          <w:p w14:paraId="279FE9EB" w14:textId="77777777" w:rsidR="009411D8" w:rsidRPr="004E58ED" w:rsidRDefault="009411D8" w:rsidP="00E67F70">
            <w:pPr>
              <w:jc w:val="both"/>
              <w:rPr>
                <w:rFonts w:ascii="Arial" w:hAnsi="Arial" w:cs="Arial"/>
                <w:bCs/>
                <w:szCs w:val="24"/>
              </w:rPr>
            </w:pPr>
            <w:r w:rsidRPr="004E58ED">
              <w:rPr>
                <w:rFonts w:ascii="Arial" w:hAnsi="Arial" w:cs="Arial"/>
                <w:bCs/>
                <w:szCs w:val="24"/>
              </w:rPr>
              <w:t>Total Flare Volume</w:t>
            </w:r>
            <w:r w:rsidRPr="004E58ED">
              <w:rPr>
                <w:rFonts w:ascii="Arial" w:hAnsi="Arial" w:cs="Arial"/>
                <w:bCs/>
                <w:szCs w:val="24"/>
              </w:rPr>
              <w:br/>
              <w:t>(</w:t>
            </w:r>
            <w:proofErr w:type="spellStart"/>
            <w:r w:rsidRPr="004E58ED">
              <w:rPr>
                <w:rFonts w:ascii="Arial" w:hAnsi="Arial" w:cs="Arial"/>
                <w:bCs/>
                <w:szCs w:val="24"/>
              </w:rPr>
              <w:t>mmscf</w:t>
            </w:r>
            <w:proofErr w:type="spellEnd"/>
            <w:r w:rsidRPr="004E58ED">
              <w:rPr>
                <w:rFonts w:ascii="Arial" w:hAnsi="Arial" w:cs="Arial"/>
                <w:bCs/>
                <w:szCs w:val="24"/>
              </w:rPr>
              <w:t>/day)</w:t>
            </w:r>
          </w:p>
        </w:tc>
      </w:tr>
      <w:tr w:rsidR="009411D8" w:rsidRPr="008E5CBA" w14:paraId="539CD187" w14:textId="77777777" w:rsidTr="00E67F70">
        <w:trPr>
          <w:trHeight w:val="1621"/>
        </w:trPr>
        <w:tc>
          <w:tcPr>
            <w:tcW w:w="1701" w:type="dxa"/>
            <w:tcBorders>
              <w:top w:val="nil"/>
              <w:left w:val="nil"/>
              <w:bottom w:val="nil"/>
              <w:right w:val="single" w:sz="4" w:space="0" w:color="auto"/>
            </w:tcBorders>
            <w:noWrap/>
            <w:vAlign w:val="center"/>
            <w:hideMark/>
          </w:tcPr>
          <w:p w14:paraId="1CAD54F2" w14:textId="77777777" w:rsidR="009411D8" w:rsidRPr="008E5CBA" w:rsidRDefault="009411D8" w:rsidP="00C73F01">
            <w:pPr>
              <w:jc w:val="center"/>
              <w:rPr>
                <w:rFonts w:ascii="Arial" w:hAnsi="Arial" w:cs="Arial"/>
                <w:szCs w:val="24"/>
              </w:rPr>
            </w:pPr>
            <w:r w:rsidRPr="008E5CBA">
              <w:rPr>
                <w:rFonts w:ascii="Arial" w:hAnsi="Arial" w:cs="Arial"/>
                <w:szCs w:val="24"/>
              </w:rPr>
              <w:t>0</w:t>
            </w:r>
          </w:p>
        </w:tc>
        <w:tc>
          <w:tcPr>
            <w:tcW w:w="3261" w:type="dxa"/>
            <w:tcBorders>
              <w:top w:val="nil"/>
              <w:left w:val="nil"/>
              <w:bottom w:val="nil"/>
              <w:right w:val="nil"/>
            </w:tcBorders>
            <w:vAlign w:val="center"/>
            <w:hideMark/>
          </w:tcPr>
          <w:p w14:paraId="40A077DE" w14:textId="77777777" w:rsidR="009411D8" w:rsidRPr="008E5CBA" w:rsidRDefault="009411D8" w:rsidP="00E67F70">
            <w:pPr>
              <w:spacing w:line="360" w:lineRule="auto"/>
              <w:jc w:val="both"/>
              <w:rPr>
                <w:rFonts w:ascii="Arial" w:hAnsi="Arial" w:cs="Arial"/>
                <w:szCs w:val="24"/>
              </w:rPr>
            </w:pPr>
            <w:r w:rsidRPr="008E5CBA">
              <w:rPr>
                <w:rFonts w:ascii="Arial" w:hAnsi="Arial" w:cs="Arial"/>
                <w:szCs w:val="24"/>
              </w:rPr>
              <w:t>FS-08, FS-09, FS-10, FS-11, FS-12, FS-13, FS-14, FS-15, FS-16, FS-17, FS-18, FS-23</w:t>
            </w:r>
          </w:p>
        </w:tc>
        <w:tc>
          <w:tcPr>
            <w:tcW w:w="2551" w:type="dxa"/>
            <w:tcBorders>
              <w:top w:val="nil"/>
              <w:left w:val="nil"/>
              <w:bottom w:val="nil"/>
              <w:right w:val="nil"/>
            </w:tcBorders>
            <w:noWrap/>
            <w:vAlign w:val="center"/>
            <w:hideMark/>
          </w:tcPr>
          <w:p w14:paraId="67236314" w14:textId="77777777" w:rsidR="009411D8" w:rsidRPr="008E5CBA" w:rsidRDefault="009411D8" w:rsidP="00C73F01">
            <w:pPr>
              <w:jc w:val="center"/>
              <w:rPr>
                <w:rFonts w:ascii="Arial" w:hAnsi="Arial" w:cs="Arial"/>
                <w:szCs w:val="24"/>
              </w:rPr>
            </w:pPr>
            <w:r w:rsidRPr="008E5CBA">
              <w:rPr>
                <w:rFonts w:ascii="Arial" w:hAnsi="Arial" w:cs="Arial"/>
                <w:szCs w:val="24"/>
              </w:rPr>
              <w:t>45.98563</w:t>
            </w:r>
          </w:p>
        </w:tc>
      </w:tr>
      <w:tr w:rsidR="009411D8" w:rsidRPr="008E5CBA" w14:paraId="11E50DC1" w14:textId="77777777" w:rsidTr="00E67F70">
        <w:trPr>
          <w:trHeight w:val="686"/>
        </w:trPr>
        <w:tc>
          <w:tcPr>
            <w:tcW w:w="1701" w:type="dxa"/>
            <w:tcBorders>
              <w:top w:val="nil"/>
              <w:left w:val="nil"/>
              <w:bottom w:val="nil"/>
              <w:right w:val="single" w:sz="4" w:space="0" w:color="auto"/>
            </w:tcBorders>
            <w:noWrap/>
            <w:vAlign w:val="center"/>
            <w:hideMark/>
          </w:tcPr>
          <w:p w14:paraId="421F0B06" w14:textId="77777777" w:rsidR="009411D8" w:rsidRPr="008E5CBA" w:rsidRDefault="009411D8" w:rsidP="00C73F01">
            <w:pPr>
              <w:jc w:val="center"/>
              <w:rPr>
                <w:rFonts w:ascii="Arial" w:hAnsi="Arial" w:cs="Arial"/>
                <w:szCs w:val="24"/>
              </w:rPr>
            </w:pPr>
            <w:r w:rsidRPr="008E5CBA">
              <w:rPr>
                <w:rFonts w:ascii="Arial" w:hAnsi="Arial" w:cs="Arial"/>
                <w:szCs w:val="24"/>
              </w:rPr>
              <w:t>1</w:t>
            </w:r>
          </w:p>
        </w:tc>
        <w:tc>
          <w:tcPr>
            <w:tcW w:w="3261" w:type="dxa"/>
            <w:tcBorders>
              <w:top w:val="nil"/>
              <w:left w:val="nil"/>
              <w:bottom w:val="nil"/>
              <w:right w:val="nil"/>
            </w:tcBorders>
            <w:noWrap/>
            <w:vAlign w:val="center"/>
            <w:hideMark/>
          </w:tcPr>
          <w:p w14:paraId="3BF6BCFF" w14:textId="77777777" w:rsidR="009411D8" w:rsidRPr="008E5CBA" w:rsidRDefault="009411D8" w:rsidP="00E67F70">
            <w:pPr>
              <w:jc w:val="both"/>
              <w:rPr>
                <w:rFonts w:ascii="Arial" w:hAnsi="Arial" w:cs="Arial"/>
                <w:szCs w:val="24"/>
              </w:rPr>
            </w:pPr>
            <w:r w:rsidRPr="008E5CBA">
              <w:rPr>
                <w:rFonts w:ascii="Arial" w:hAnsi="Arial" w:cs="Arial"/>
                <w:szCs w:val="24"/>
              </w:rPr>
              <w:t>FS-04, FS-05, FS-06, FS-07</w:t>
            </w:r>
          </w:p>
        </w:tc>
        <w:tc>
          <w:tcPr>
            <w:tcW w:w="2551" w:type="dxa"/>
            <w:tcBorders>
              <w:top w:val="nil"/>
              <w:left w:val="nil"/>
              <w:bottom w:val="nil"/>
              <w:right w:val="nil"/>
            </w:tcBorders>
            <w:noWrap/>
            <w:vAlign w:val="center"/>
            <w:hideMark/>
          </w:tcPr>
          <w:p w14:paraId="03BD57FC" w14:textId="77777777" w:rsidR="009411D8" w:rsidRPr="008E5CBA" w:rsidRDefault="009411D8" w:rsidP="00C73F01">
            <w:pPr>
              <w:jc w:val="center"/>
              <w:rPr>
                <w:rFonts w:ascii="Arial" w:hAnsi="Arial" w:cs="Arial"/>
                <w:szCs w:val="24"/>
              </w:rPr>
            </w:pPr>
            <w:r w:rsidRPr="008E5CBA">
              <w:rPr>
                <w:rFonts w:ascii="Arial" w:hAnsi="Arial" w:cs="Arial"/>
                <w:szCs w:val="24"/>
              </w:rPr>
              <w:t>24.55729</w:t>
            </w:r>
          </w:p>
        </w:tc>
      </w:tr>
      <w:tr w:rsidR="009411D8" w:rsidRPr="008E5CBA" w14:paraId="40887B90" w14:textId="77777777" w:rsidTr="00E67F70">
        <w:trPr>
          <w:trHeight w:val="568"/>
        </w:trPr>
        <w:tc>
          <w:tcPr>
            <w:tcW w:w="1701" w:type="dxa"/>
            <w:tcBorders>
              <w:top w:val="nil"/>
              <w:left w:val="nil"/>
              <w:bottom w:val="nil"/>
              <w:right w:val="single" w:sz="4" w:space="0" w:color="auto"/>
            </w:tcBorders>
            <w:noWrap/>
            <w:vAlign w:val="center"/>
            <w:hideMark/>
          </w:tcPr>
          <w:p w14:paraId="1B4D693A" w14:textId="77777777" w:rsidR="009411D8" w:rsidRPr="008E5CBA" w:rsidRDefault="009411D8" w:rsidP="00C73F01">
            <w:pPr>
              <w:jc w:val="center"/>
              <w:rPr>
                <w:rFonts w:ascii="Arial" w:hAnsi="Arial" w:cs="Arial"/>
                <w:szCs w:val="24"/>
              </w:rPr>
            </w:pPr>
            <w:r w:rsidRPr="008E5CBA">
              <w:rPr>
                <w:rFonts w:ascii="Arial" w:hAnsi="Arial" w:cs="Arial"/>
                <w:szCs w:val="24"/>
              </w:rPr>
              <w:t>2</w:t>
            </w:r>
          </w:p>
        </w:tc>
        <w:tc>
          <w:tcPr>
            <w:tcW w:w="3261" w:type="dxa"/>
            <w:tcBorders>
              <w:top w:val="nil"/>
              <w:left w:val="nil"/>
              <w:bottom w:val="nil"/>
              <w:right w:val="nil"/>
            </w:tcBorders>
            <w:noWrap/>
            <w:vAlign w:val="center"/>
            <w:hideMark/>
          </w:tcPr>
          <w:p w14:paraId="03CA8DD2" w14:textId="77777777" w:rsidR="009411D8" w:rsidRPr="008E5CBA" w:rsidRDefault="009411D8" w:rsidP="00E67F70">
            <w:pPr>
              <w:jc w:val="both"/>
              <w:rPr>
                <w:rFonts w:ascii="Arial" w:hAnsi="Arial" w:cs="Arial"/>
                <w:szCs w:val="24"/>
              </w:rPr>
            </w:pPr>
            <w:r w:rsidRPr="008E5CBA">
              <w:rPr>
                <w:rFonts w:ascii="Arial" w:hAnsi="Arial" w:cs="Arial"/>
                <w:szCs w:val="24"/>
              </w:rPr>
              <w:t>FS-01, FS-02, FS-03, FS-24</w:t>
            </w:r>
          </w:p>
        </w:tc>
        <w:tc>
          <w:tcPr>
            <w:tcW w:w="2551" w:type="dxa"/>
            <w:tcBorders>
              <w:top w:val="nil"/>
              <w:left w:val="nil"/>
              <w:bottom w:val="nil"/>
              <w:right w:val="nil"/>
            </w:tcBorders>
            <w:noWrap/>
            <w:vAlign w:val="center"/>
            <w:hideMark/>
          </w:tcPr>
          <w:p w14:paraId="0CAF6A2A" w14:textId="77777777" w:rsidR="009411D8" w:rsidRPr="008E5CBA" w:rsidRDefault="009411D8" w:rsidP="00C73F01">
            <w:pPr>
              <w:jc w:val="center"/>
              <w:rPr>
                <w:rFonts w:ascii="Arial" w:hAnsi="Arial" w:cs="Arial"/>
                <w:szCs w:val="24"/>
              </w:rPr>
            </w:pPr>
            <w:r w:rsidRPr="008E5CBA">
              <w:rPr>
                <w:rFonts w:ascii="Arial" w:hAnsi="Arial" w:cs="Arial"/>
                <w:szCs w:val="24"/>
              </w:rPr>
              <w:t>22.55245</w:t>
            </w:r>
          </w:p>
        </w:tc>
      </w:tr>
      <w:tr w:rsidR="009411D8" w:rsidRPr="008E5CBA" w14:paraId="07B6FFBA" w14:textId="77777777" w:rsidTr="00E67F70">
        <w:trPr>
          <w:trHeight w:val="562"/>
        </w:trPr>
        <w:tc>
          <w:tcPr>
            <w:tcW w:w="1701" w:type="dxa"/>
            <w:tcBorders>
              <w:top w:val="nil"/>
              <w:left w:val="nil"/>
              <w:bottom w:val="nil"/>
              <w:right w:val="single" w:sz="4" w:space="0" w:color="auto"/>
            </w:tcBorders>
            <w:noWrap/>
            <w:vAlign w:val="center"/>
            <w:hideMark/>
          </w:tcPr>
          <w:p w14:paraId="4EF926E4" w14:textId="77777777" w:rsidR="009411D8" w:rsidRPr="008E5CBA" w:rsidRDefault="009411D8" w:rsidP="00C73F01">
            <w:pPr>
              <w:jc w:val="center"/>
              <w:rPr>
                <w:rFonts w:ascii="Arial" w:hAnsi="Arial" w:cs="Arial"/>
                <w:szCs w:val="24"/>
              </w:rPr>
            </w:pPr>
            <w:r w:rsidRPr="008E5CBA">
              <w:rPr>
                <w:rFonts w:ascii="Arial" w:hAnsi="Arial" w:cs="Arial"/>
                <w:szCs w:val="24"/>
              </w:rPr>
              <w:t>3</w:t>
            </w:r>
          </w:p>
        </w:tc>
        <w:tc>
          <w:tcPr>
            <w:tcW w:w="3261" w:type="dxa"/>
            <w:tcBorders>
              <w:top w:val="nil"/>
              <w:left w:val="nil"/>
              <w:bottom w:val="nil"/>
              <w:right w:val="nil"/>
            </w:tcBorders>
            <w:noWrap/>
            <w:vAlign w:val="center"/>
            <w:hideMark/>
          </w:tcPr>
          <w:p w14:paraId="4755E207" w14:textId="77777777" w:rsidR="009411D8" w:rsidRPr="008E5CBA" w:rsidRDefault="009411D8" w:rsidP="00E67F70">
            <w:pPr>
              <w:jc w:val="both"/>
              <w:rPr>
                <w:rFonts w:ascii="Arial" w:hAnsi="Arial" w:cs="Arial"/>
                <w:szCs w:val="24"/>
              </w:rPr>
            </w:pPr>
            <w:r w:rsidRPr="008E5CBA">
              <w:rPr>
                <w:rFonts w:ascii="Arial" w:hAnsi="Arial" w:cs="Arial"/>
                <w:szCs w:val="24"/>
              </w:rPr>
              <w:t>FS-19, FS-20, FS-21, FS-22</w:t>
            </w:r>
          </w:p>
        </w:tc>
        <w:tc>
          <w:tcPr>
            <w:tcW w:w="2551" w:type="dxa"/>
            <w:tcBorders>
              <w:top w:val="nil"/>
              <w:left w:val="nil"/>
              <w:bottom w:val="nil"/>
              <w:right w:val="nil"/>
            </w:tcBorders>
            <w:noWrap/>
            <w:vAlign w:val="center"/>
            <w:hideMark/>
          </w:tcPr>
          <w:p w14:paraId="44CD0148" w14:textId="77777777" w:rsidR="009411D8" w:rsidRPr="008E5CBA" w:rsidRDefault="009411D8" w:rsidP="00C73F01">
            <w:pPr>
              <w:jc w:val="center"/>
              <w:rPr>
                <w:rFonts w:ascii="Arial" w:hAnsi="Arial" w:cs="Arial"/>
                <w:szCs w:val="24"/>
              </w:rPr>
            </w:pPr>
            <w:r w:rsidRPr="008E5CBA">
              <w:rPr>
                <w:rFonts w:ascii="Arial" w:hAnsi="Arial" w:cs="Arial"/>
                <w:szCs w:val="24"/>
              </w:rPr>
              <w:t>30.22248</w:t>
            </w:r>
          </w:p>
        </w:tc>
      </w:tr>
    </w:tbl>
    <w:p w14:paraId="127D2A83" w14:textId="77777777" w:rsidR="009411D8" w:rsidRPr="008E5CBA" w:rsidRDefault="009411D8" w:rsidP="009411D8">
      <w:pPr>
        <w:jc w:val="both"/>
        <w:rPr>
          <w:rFonts w:ascii="Arial" w:hAnsi="Arial" w:cs="Arial"/>
        </w:rPr>
      </w:pPr>
    </w:p>
    <w:p w14:paraId="66D48FF2" w14:textId="77777777" w:rsidR="009411D8" w:rsidRDefault="009411D8" w:rsidP="009411D8">
      <w:pPr>
        <w:jc w:val="both"/>
        <w:rPr>
          <w:rFonts w:ascii="Arial" w:hAnsi="Arial" w:cs="Arial"/>
        </w:rPr>
      </w:pPr>
      <w:r w:rsidRPr="008E5CBA">
        <w:rPr>
          <w:rFonts w:ascii="Arial" w:hAnsi="Arial" w:cs="Arial"/>
        </w:rPr>
        <w:t xml:space="preserve">This distribution </w:t>
      </w:r>
      <w:r w:rsidRPr="006B5DC6">
        <w:rPr>
          <w:rFonts w:ascii="Arial" w:hAnsi="Arial" w:cs="Arial"/>
        </w:rPr>
        <w:t>highlights Cluster 0 and Cluster 3 as high-priority recovery zones, jointly contributing approximately 63%</w:t>
      </w:r>
      <w:r w:rsidRPr="008E5CBA">
        <w:rPr>
          <w:rFonts w:ascii="Arial" w:hAnsi="Arial" w:cs="Arial"/>
        </w:rPr>
        <w:t xml:space="preserve"> of the total aggregated flare volume across all clusters. </w:t>
      </w:r>
    </w:p>
    <w:p w14:paraId="1A80F315" w14:textId="6C9370CA" w:rsidR="00C12727" w:rsidRPr="00C12727" w:rsidRDefault="00C12727" w:rsidP="00C12727">
      <w:pPr>
        <w:jc w:val="both"/>
        <w:rPr>
          <w:rFonts w:ascii="Arial" w:hAnsi="Arial" w:cs="Arial"/>
        </w:rPr>
      </w:pPr>
      <w:r w:rsidRPr="00C12727">
        <w:rPr>
          <w:rFonts w:ascii="Arial" w:hAnsi="Arial" w:cs="Arial"/>
        </w:rPr>
        <w:t xml:space="preserve">Latitude and longitude were adopted as the primary clustering features because the objective of the first stage of analysis was purely spatial — to group flare sites based on geographic proximity and potential interconnectivity. At this stage, volumetric or terrain-based attributes </w:t>
      </w:r>
      <w:r>
        <w:rPr>
          <w:rFonts w:ascii="Arial" w:hAnsi="Arial" w:cs="Arial"/>
        </w:rPr>
        <w:t>were not applied. I</w:t>
      </w:r>
      <w:r w:rsidRPr="00C12727">
        <w:rPr>
          <w:rFonts w:ascii="Arial" w:hAnsi="Arial" w:cs="Arial"/>
        </w:rPr>
        <w:t xml:space="preserve">ncorporating </w:t>
      </w:r>
      <w:r>
        <w:rPr>
          <w:rFonts w:ascii="Arial" w:hAnsi="Arial" w:cs="Arial"/>
        </w:rPr>
        <w:t xml:space="preserve">it </w:t>
      </w:r>
      <w:r w:rsidRPr="00C12727">
        <w:rPr>
          <w:rFonts w:ascii="Arial" w:hAnsi="Arial" w:cs="Arial"/>
        </w:rPr>
        <w:t xml:space="preserve">could bias the clusters toward production scale, rather than spatial recovery feasibility. </w:t>
      </w:r>
    </w:p>
    <w:p w14:paraId="6CEABAF6" w14:textId="0ACF5234" w:rsidR="00C12727" w:rsidRPr="008E5CBA" w:rsidRDefault="00C12727" w:rsidP="00C12727">
      <w:pPr>
        <w:jc w:val="both"/>
        <w:rPr>
          <w:rFonts w:ascii="Arial" w:hAnsi="Arial" w:cs="Arial"/>
        </w:rPr>
      </w:pPr>
      <w:r w:rsidRPr="00C12727">
        <w:rPr>
          <w:rFonts w:ascii="Arial" w:hAnsi="Arial" w:cs="Arial"/>
        </w:rPr>
        <w:t>However, as recommended for future model expansion, additional features such as daily flare volume, terrain elevation, access corridors and pipeline cost can be integrated into a multi-parameter clustering framework. This would strengthen deployment planning and improve engineering decision-making.</w:t>
      </w:r>
    </w:p>
    <w:p w14:paraId="03A32523" w14:textId="77777777" w:rsidR="009411D8" w:rsidRPr="008E5CBA" w:rsidRDefault="009411D8" w:rsidP="009411D8">
      <w:pPr>
        <w:jc w:val="both"/>
        <w:rPr>
          <w:rFonts w:ascii="Arial" w:hAnsi="Arial" w:cs="Arial"/>
          <w:b/>
          <w:bCs/>
        </w:rPr>
      </w:pPr>
      <w:r w:rsidRPr="008E5CBA">
        <w:rPr>
          <w:rFonts w:ascii="Arial" w:hAnsi="Arial" w:cs="Arial"/>
          <w:b/>
          <w:bCs/>
        </w:rPr>
        <w:t>3.5 Silhouette Validation of Cluster Quality</w:t>
      </w:r>
    </w:p>
    <w:p w14:paraId="24D46A9C" w14:textId="2253A6A2" w:rsidR="009411D8" w:rsidRDefault="009411D8" w:rsidP="009411D8">
      <w:pPr>
        <w:jc w:val="both"/>
        <w:rPr>
          <w:rFonts w:ascii="Arial" w:hAnsi="Arial" w:cs="Arial"/>
        </w:rPr>
      </w:pPr>
      <w:r w:rsidRPr="008E5CBA">
        <w:rPr>
          <w:rFonts w:ascii="Arial" w:hAnsi="Arial" w:cs="Arial"/>
        </w:rPr>
        <w:t xml:space="preserve">Silhouette coefficients were computed to evaluate internal cluster cohesion and separation. </w:t>
      </w:r>
      <w:r w:rsidR="00FD31E6">
        <w:rPr>
          <w:rFonts w:ascii="Arial" w:hAnsi="Arial" w:cs="Arial"/>
        </w:rPr>
        <w:t xml:space="preserve">Table 3.2 gives </w:t>
      </w:r>
      <w:proofErr w:type="gramStart"/>
      <w:r w:rsidR="00FD31E6">
        <w:rPr>
          <w:rFonts w:ascii="Arial" w:hAnsi="Arial" w:cs="Arial"/>
        </w:rPr>
        <w:t>the calculated</w:t>
      </w:r>
      <w:proofErr w:type="gramEnd"/>
      <w:r w:rsidR="00FD31E6">
        <w:rPr>
          <w:rFonts w:ascii="Arial" w:hAnsi="Arial" w:cs="Arial"/>
        </w:rPr>
        <w:t xml:space="preserve"> silhouette scores for each cluster at k=4. </w:t>
      </w:r>
      <w:r w:rsidRPr="008E5CBA">
        <w:rPr>
          <w:rFonts w:ascii="Arial" w:hAnsi="Arial" w:cs="Arial"/>
        </w:rPr>
        <w:t xml:space="preserve">The average silhouette </w:t>
      </w:r>
      <w:r w:rsidRPr="006B5DC6">
        <w:rPr>
          <w:rFonts w:ascii="Arial" w:hAnsi="Arial" w:cs="Arial"/>
        </w:rPr>
        <w:t>score for K = 4 was</w:t>
      </w:r>
      <w:r w:rsidRPr="008E5CBA">
        <w:rPr>
          <w:rFonts w:ascii="Arial" w:hAnsi="Arial" w:cs="Arial"/>
        </w:rPr>
        <w:t xml:space="preserve"> positive across all clusters, indicating well-formed boundaries and correct station assignments.</w:t>
      </w:r>
    </w:p>
    <w:p w14:paraId="68E9F51B" w14:textId="77777777" w:rsidR="00FD31E6" w:rsidRDefault="00FD31E6" w:rsidP="009411D8">
      <w:pPr>
        <w:jc w:val="both"/>
        <w:rPr>
          <w:rFonts w:ascii="Arial" w:hAnsi="Arial" w:cs="Arial"/>
        </w:rPr>
      </w:pPr>
    </w:p>
    <w:p w14:paraId="140F8BAD" w14:textId="0F260A9A" w:rsidR="00FD31E6" w:rsidRPr="004E58ED" w:rsidRDefault="00FD31E6" w:rsidP="00FD31E6">
      <w:pPr>
        <w:jc w:val="both"/>
        <w:rPr>
          <w:rFonts w:ascii="Arial" w:hAnsi="Arial" w:cs="Arial"/>
          <w:b/>
          <w:bCs/>
        </w:rPr>
      </w:pPr>
      <w:r w:rsidRPr="004E58ED">
        <w:rPr>
          <w:rFonts w:ascii="Arial" w:hAnsi="Arial" w:cs="Arial"/>
          <w:b/>
          <w:bCs/>
        </w:rPr>
        <w:t>Table 3.</w:t>
      </w:r>
      <w:r>
        <w:rPr>
          <w:rFonts w:ascii="Arial" w:hAnsi="Arial" w:cs="Arial"/>
          <w:b/>
          <w:bCs/>
        </w:rPr>
        <w:t>2</w:t>
      </w:r>
      <w:r w:rsidRPr="004E58ED">
        <w:rPr>
          <w:rFonts w:ascii="Arial" w:hAnsi="Arial" w:cs="Arial"/>
          <w:b/>
          <w:bCs/>
        </w:rPr>
        <w:t xml:space="preserve">   </w:t>
      </w:r>
      <w:r>
        <w:rPr>
          <w:rFonts w:ascii="Arial" w:hAnsi="Arial" w:cs="Arial"/>
          <w:b/>
          <w:bCs/>
        </w:rPr>
        <w:t>Silhouette values for all Clusters at K=4</w:t>
      </w:r>
    </w:p>
    <w:tbl>
      <w:tblPr>
        <w:tblW w:w="4940" w:type="dxa"/>
        <w:tblInd w:w="113" w:type="dxa"/>
        <w:tblLook w:val="04A0" w:firstRow="1" w:lastRow="0" w:firstColumn="1" w:lastColumn="0" w:noHBand="0" w:noVBand="1"/>
      </w:tblPr>
      <w:tblGrid>
        <w:gridCol w:w="1520"/>
        <w:gridCol w:w="3420"/>
      </w:tblGrid>
      <w:tr w:rsidR="00FD31E6" w:rsidRPr="00FD31E6" w14:paraId="70498712" w14:textId="77777777" w:rsidTr="00FD31E6">
        <w:trPr>
          <w:trHeight w:val="576"/>
        </w:trPr>
        <w:tc>
          <w:tcPr>
            <w:tcW w:w="1520" w:type="dxa"/>
            <w:tcBorders>
              <w:top w:val="single" w:sz="4" w:space="0" w:color="auto"/>
              <w:left w:val="single" w:sz="4" w:space="0" w:color="auto"/>
              <w:bottom w:val="single" w:sz="4" w:space="0" w:color="auto"/>
              <w:right w:val="single" w:sz="4" w:space="0" w:color="auto"/>
            </w:tcBorders>
            <w:vAlign w:val="center"/>
            <w:hideMark/>
          </w:tcPr>
          <w:p w14:paraId="41F474A9" w14:textId="77777777" w:rsidR="00FD31E6" w:rsidRPr="00FD31E6" w:rsidRDefault="00FD31E6" w:rsidP="00FD31E6">
            <w:pPr>
              <w:jc w:val="center"/>
              <w:rPr>
                <w:rFonts w:ascii="Aptos Narrow" w:hAnsi="Aptos Narrow"/>
                <w:b/>
                <w:bCs/>
                <w:color w:val="000000"/>
                <w:sz w:val="22"/>
                <w:szCs w:val="22"/>
                <w:lang w:val="en-NG" w:eastAsia="en-NG"/>
              </w:rPr>
            </w:pPr>
            <w:r w:rsidRPr="00FD31E6">
              <w:rPr>
                <w:rFonts w:ascii="Aptos Narrow" w:hAnsi="Aptos Narrow"/>
                <w:b/>
                <w:bCs/>
                <w:color w:val="000000"/>
                <w:sz w:val="22"/>
                <w:szCs w:val="22"/>
                <w:lang w:val="en-NG" w:eastAsia="en-NG"/>
              </w:rPr>
              <w:t>Cluster</w:t>
            </w:r>
          </w:p>
        </w:tc>
        <w:tc>
          <w:tcPr>
            <w:tcW w:w="3420" w:type="dxa"/>
            <w:tcBorders>
              <w:top w:val="single" w:sz="4" w:space="0" w:color="auto"/>
              <w:left w:val="nil"/>
              <w:bottom w:val="single" w:sz="4" w:space="0" w:color="auto"/>
              <w:right w:val="single" w:sz="4" w:space="0" w:color="auto"/>
            </w:tcBorders>
            <w:vAlign w:val="center"/>
            <w:hideMark/>
          </w:tcPr>
          <w:p w14:paraId="5A2C4B17" w14:textId="55D30F95" w:rsidR="00FD31E6" w:rsidRPr="00FD31E6" w:rsidRDefault="00FD31E6" w:rsidP="00FD31E6">
            <w:pPr>
              <w:jc w:val="center"/>
              <w:rPr>
                <w:rFonts w:ascii="Aptos Narrow" w:hAnsi="Aptos Narrow"/>
                <w:b/>
                <w:bCs/>
                <w:color w:val="000000"/>
                <w:sz w:val="22"/>
                <w:szCs w:val="22"/>
                <w:lang w:val="en-NG" w:eastAsia="en-NG"/>
              </w:rPr>
            </w:pPr>
            <w:r w:rsidRPr="00FD31E6">
              <w:rPr>
                <w:rFonts w:ascii="Aptos Narrow" w:hAnsi="Aptos Narrow"/>
                <w:b/>
                <w:bCs/>
                <w:color w:val="000000"/>
                <w:sz w:val="22"/>
                <w:szCs w:val="22"/>
                <w:lang w:val="en-NG" w:eastAsia="en-NG"/>
              </w:rPr>
              <w:t>Silhouette Score</w:t>
            </w:r>
            <w:r>
              <w:rPr>
                <w:rFonts w:ascii="Aptos Narrow" w:hAnsi="Aptos Narrow"/>
                <w:b/>
                <w:bCs/>
                <w:color w:val="000000"/>
                <w:sz w:val="22"/>
                <w:szCs w:val="22"/>
                <w:lang w:val="en-NG" w:eastAsia="en-NG"/>
              </w:rPr>
              <w:t xml:space="preserve"> at K=4</w:t>
            </w:r>
          </w:p>
        </w:tc>
      </w:tr>
      <w:tr w:rsidR="00FD31E6" w:rsidRPr="00FD31E6" w14:paraId="592FA84B" w14:textId="77777777" w:rsidTr="00FD31E6">
        <w:trPr>
          <w:trHeight w:val="288"/>
        </w:trPr>
        <w:tc>
          <w:tcPr>
            <w:tcW w:w="1520" w:type="dxa"/>
            <w:tcBorders>
              <w:top w:val="nil"/>
              <w:left w:val="single" w:sz="4" w:space="0" w:color="auto"/>
              <w:bottom w:val="single" w:sz="4" w:space="0" w:color="auto"/>
              <w:right w:val="single" w:sz="4" w:space="0" w:color="auto"/>
            </w:tcBorders>
            <w:vAlign w:val="center"/>
            <w:hideMark/>
          </w:tcPr>
          <w:p w14:paraId="4FCFB5F3" w14:textId="77777777" w:rsidR="00FD31E6" w:rsidRPr="00FD31E6" w:rsidRDefault="00FD31E6" w:rsidP="00FD31E6">
            <w:pPr>
              <w:jc w:val="center"/>
              <w:rPr>
                <w:rFonts w:ascii="Aptos Narrow" w:hAnsi="Aptos Narrow"/>
                <w:color w:val="000000"/>
                <w:sz w:val="22"/>
                <w:szCs w:val="22"/>
                <w:lang w:val="en-NG" w:eastAsia="en-NG"/>
              </w:rPr>
            </w:pPr>
            <w:r w:rsidRPr="00FD31E6">
              <w:rPr>
                <w:rFonts w:ascii="Aptos Narrow" w:hAnsi="Aptos Narrow"/>
                <w:color w:val="000000"/>
                <w:sz w:val="22"/>
                <w:szCs w:val="22"/>
                <w:lang w:val="en-NG" w:eastAsia="en-NG"/>
              </w:rPr>
              <w:t>0</w:t>
            </w:r>
          </w:p>
        </w:tc>
        <w:tc>
          <w:tcPr>
            <w:tcW w:w="3420" w:type="dxa"/>
            <w:tcBorders>
              <w:top w:val="nil"/>
              <w:left w:val="nil"/>
              <w:bottom w:val="single" w:sz="4" w:space="0" w:color="auto"/>
              <w:right w:val="single" w:sz="4" w:space="0" w:color="auto"/>
            </w:tcBorders>
            <w:vAlign w:val="center"/>
            <w:hideMark/>
          </w:tcPr>
          <w:p w14:paraId="6E840138" w14:textId="77777777" w:rsidR="00FD31E6" w:rsidRPr="00FD31E6" w:rsidRDefault="00FD31E6" w:rsidP="00FD31E6">
            <w:pPr>
              <w:jc w:val="center"/>
              <w:rPr>
                <w:rFonts w:ascii="Aptos Narrow" w:hAnsi="Aptos Narrow"/>
                <w:color w:val="000000"/>
                <w:sz w:val="22"/>
                <w:szCs w:val="22"/>
                <w:lang w:val="en-NG" w:eastAsia="en-NG"/>
              </w:rPr>
            </w:pPr>
            <w:r w:rsidRPr="00FD31E6">
              <w:rPr>
                <w:rFonts w:ascii="Aptos Narrow" w:hAnsi="Aptos Narrow"/>
                <w:color w:val="000000"/>
                <w:sz w:val="22"/>
                <w:szCs w:val="22"/>
                <w:lang w:val="en-NG" w:eastAsia="en-NG"/>
              </w:rPr>
              <w:t>0.72</w:t>
            </w:r>
          </w:p>
        </w:tc>
      </w:tr>
      <w:tr w:rsidR="00FD31E6" w:rsidRPr="00FD31E6" w14:paraId="7ECCA2C8" w14:textId="77777777" w:rsidTr="00FD31E6">
        <w:trPr>
          <w:trHeight w:val="288"/>
        </w:trPr>
        <w:tc>
          <w:tcPr>
            <w:tcW w:w="1520" w:type="dxa"/>
            <w:tcBorders>
              <w:top w:val="nil"/>
              <w:left w:val="single" w:sz="4" w:space="0" w:color="auto"/>
              <w:bottom w:val="single" w:sz="4" w:space="0" w:color="auto"/>
              <w:right w:val="single" w:sz="4" w:space="0" w:color="auto"/>
            </w:tcBorders>
            <w:vAlign w:val="center"/>
            <w:hideMark/>
          </w:tcPr>
          <w:p w14:paraId="14583544" w14:textId="77777777" w:rsidR="00FD31E6" w:rsidRPr="00FD31E6" w:rsidRDefault="00FD31E6" w:rsidP="00FD31E6">
            <w:pPr>
              <w:jc w:val="center"/>
              <w:rPr>
                <w:rFonts w:ascii="Aptos Narrow" w:hAnsi="Aptos Narrow"/>
                <w:color w:val="000000"/>
                <w:sz w:val="22"/>
                <w:szCs w:val="22"/>
                <w:lang w:val="en-NG" w:eastAsia="en-NG"/>
              </w:rPr>
            </w:pPr>
            <w:r w:rsidRPr="00FD31E6">
              <w:rPr>
                <w:rFonts w:ascii="Aptos Narrow" w:hAnsi="Aptos Narrow"/>
                <w:color w:val="000000"/>
                <w:sz w:val="22"/>
                <w:szCs w:val="22"/>
                <w:lang w:val="en-NG" w:eastAsia="en-NG"/>
              </w:rPr>
              <w:lastRenderedPageBreak/>
              <w:t>1</w:t>
            </w:r>
          </w:p>
        </w:tc>
        <w:tc>
          <w:tcPr>
            <w:tcW w:w="3420" w:type="dxa"/>
            <w:tcBorders>
              <w:top w:val="nil"/>
              <w:left w:val="nil"/>
              <w:bottom w:val="single" w:sz="4" w:space="0" w:color="auto"/>
              <w:right w:val="single" w:sz="4" w:space="0" w:color="auto"/>
            </w:tcBorders>
            <w:vAlign w:val="center"/>
            <w:hideMark/>
          </w:tcPr>
          <w:p w14:paraId="17003A63" w14:textId="77777777" w:rsidR="00FD31E6" w:rsidRPr="00FD31E6" w:rsidRDefault="00FD31E6" w:rsidP="00FD31E6">
            <w:pPr>
              <w:jc w:val="center"/>
              <w:rPr>
                <w:rFonts w:ascii="Aptos Narrow" w:hAnsi="Aptos Narrow"/>
                <w:color w:val="000000"/>
                <w:sz w:val="22"/>
                <w:szCs w:val="22"/>
                <w:lang w:val="en-NG" w:eastAsia="en-NG"/>
              </w:rPr>
            </w:pPr>
            <w:r w:rsidRPr="00FD31E6">
              <w:rPr>
                <w:rFonts w:ascii="Aptos Narrow" w:hAnsi="Aptos Narrow"/>
                <w:color w:val="000000"/>
                <w:sz w:val="22"/>
                <w:szCs w:val="22"/>
                <w:lang w:val="en-NG" w:eastAsia="en-NG"/>
              </w:rPr>
              <w:t>0.65</w:t>
            </w:r>
          </w:p>
        </w:tc>
      </w:tr>
      <w:tr w:rsidR="00FD31E6" w:rsidRPr="00FD31E6" w14:paraId="56F640AD" w14:textId="77777777" w:rsidTr="00FD31E6">
        <w:trPr>
          <w:trHeight w:val="288"/>
        </w:trPr>
        <w:tc>
          <w:tcPr>
            <w:tcW w:w="1520" w:type="dxa"/>
            <w:tcBorders>
              <w:top w:val="nil"/>
              <w:left w:val="single" w:sz="4" w:space="0" w:color="auto"/>
              <w:bottom w:val="single" w:sz="4" w:space="0" w:color="auto"/>
              <w:right w:val="single" w:sz="4" w:space="0" w:color="auto"/>
            </w:tcBorders>
            <w:vAlign w:val="center"/>
            <w:hideMark/>
          </w:tcPr>
          <w:p w14:paraId="0B8DC30D" w14:textId="77777777" w:rsidR="00FD31E6" w:rsidRPr="00FD31E6" w:rsidRDefault="00FD31E6" w:rsidP="00FD31E6">
            <w:pPr>
              <w:jc w:val="center"/>
              <w:rPr>
                <w:rFonts w:ascii="Aptos Narrow" w:hAnsi="Aptos Narrow"/>
                <w:color w:val="000000"/>
                <w:sz w:val="22"/>
                <w:szCs w:val="22"/>
                <w:lang w:val="en-NG" w:eastAsia="en-NG"/>
              </w:rPr>
            </w:pPr>
            <w:r w:rsidRPr="00FD31E6">
              <w:rPr>
                <w:rFonts w:ascii="Aptos Narrow" w:hAnsi="Aptos Narrow"/>
                <w:color w:val="000000"/>
                <w:sz w:val="22"/>
                <w:szCs w:val="22"/>
                <w:lang w:val="en-NG" w:eastAsia="en-NG"/>
              </w:rPr>
              <w:t>2</w:t>
            </w:r>
          </w:p>
        </w:tc>
        <w:tc>
          <w:tcPr>
            <w:tcW w:w="3420" w:type="dxa"/>
            <w:tcBorders>
              <w:top w:val="nil"/>
              <w:left w:val="nil"/>
              <w:bottom w:val="single" w:sz="4" w:space="0" w:color="auto"/>
              <w:right w:val="single" w:sz="4" w:space="0" w:color="auto"/>
            </w:tcBorders>
            <w:vAlign w:val="center"/>
            <w:hideMark/>
          </w:tcPr>
          <w:p w14:paraId="58808EE1" w14:textId="77777777" w:rsidR="00FD31E6" w:rsidRPr="00FD31E6" w:rsidRDefault="00FD31E6" w:rsidP="00FD31E6">
            <w:pPr>
              <w:jc w:val="center"/>
              <w:rPr>
                <w:rFonts w:ascii="Aptos Narrow" w:hAnsi="Aptos Narrow"/>
                <w:color w:val="000000"/>
                <w:sz w:val="22"/>
                <w:szCs w:val="22"/>
                <w:lang w:val="en-NG" w:eastAsia="en-NG"/>
              </w:rPr>
            </w:pPr>
            <w:r w:rsidRPr="00FD31E6">
              <w:rPr>
                <w:rFonts w:ascii="Aptos Narrow" w:hAnsi="Aptos Narrow"/>
                <w:color w:val="000000"/>
                <w:sz w:val="22"/>
                <w:szCs w:val="22"/>
                <w:lang w:val="en-NG" w:eastAsia="en-NG"/>
              </w:rPr>
              <w:t>0.68</w:t>
            </w:r>
          </w:p>
        </w:tc>
      </w:tr>
      <w:tr w:rsidR="00FD31E6" w:rsidRPr="00FD31E6" w14:paraId="37C0956B" w14:textId="77777777" w:rsidTr="00FD31E6">
        <w:trPr>
          <w:trHeight w:val="288"/>
        </w:trPr>
        <w:tc>
          <w:tcPr>
            <w:tcW w:w="1520" w:type="dxa"/>
            <w:tcBorders>
              <w:top w:val="nil"/>
              <w:left w:val="single" w:sz="4" w:space="0" w:color="auto"/>
              <w:bottom w:val="single" w:sz="4" w:space="0" w:color="auto"/>
              <w:right w:val="single" w:sz="4" w:space="0" w:color="auto"/>
            </w:tcBorders>
            <w:vAlign w:val="center"/>
            <w:hideMark/>
          </w:tcPr>
          <w:p w14:paraId="401C1F1D" w14:textId="77777777" w:rsidR="00FD31E6" w:rsidRPr="00FD31E6" w:rsidRDefault="00FD31E6" w:rsidP="00FD31E6">
            <w:pPr>
              <w:jc w:val="center"/>
              <w:rPr>
                <w:rFonts w:ascii="Aptos Narrow" w:hAnsi="Aptos Narrow"/>
                <w:color w:val="000000"/>
                <w:sz w:val="22"/>
                <w:szCs w:val="22"/>
                <w:lang w:val="en-NG" w:eastAsia="en-NG"/>
              </w:rPr>
            </w:pPr>
            <w:r w:rsidRPr="00FD31E6">
              <w:rPr>
                <w:rFonts w:ascii="Aptos Narrow" w:hAnsi="Aptos Narrow"/>
                <w:color w:val="000000"/>
                <w:sz w:val="22"/>
                <w:szCs w:val="22"/>
                <w:lang w:val="en-NG" w:eastAsia="en-NG"/>
              </w:rPr>
              <w:t>3</w:t>
            </w:r>
          </w:p>
        </w:tc>
        <w:tc>
          <w:tcPr>
            <w:tcW w:w="3420" w:type="dxa"/>
            <w:tcBorders>
              <w:top w:val="nil"/>
              <w:left w:val="nil"/>
              <w:bottom w:val="single" w:sz="4" w:space="0" w:color="auto"/>
              <w:right w:val="single" w:sz="4" w:space="0" w:color="auto"/>
            </w:tcBorders>
            <w:vAlign w:val="center"/>
            <w:hideMark/>
          </w:tcPr>
          <w:p w14:paraId="11E27574" w14:textId="77777777" w:rsidR="00FD31E6" w:rsidRPr="00FD31E6" w:rsidRDefault="00FD31E6" w:rsidP="00FD31E6">
            <w:pPr>
              <w:jc w:val="center"/>
              <w:rPr>
                <w:rFonts w:ascii="Aptos Narrow" w:hAnsi="Aptos Narrow"/>
                <w:color w:val="000000"/>
                <w:sz w:val="22"/>
                <w:szCs w:val="22"/>
                <w:lang w:val="en-NG" w:eastAsia="en-NG"/>
              </w:rPr>
            </w:pPr>
            <w:r w:rsidRPr="00FD31E6">
              <w:rPr>
                <w:rFonts w:ascii="Aptos Narrow" w:hAnsi="Aptos Narrow"/>
                <w:color w:val="000000"/>
                <w:sz w:val="22"/>
                <w:szCs w:val="22"/>
                <w:lang w:val="en-NG" w:eastAsia="en-NG"/>
              </w:rPr>
              <w:t>0.71</w:t>
            </w:r>
          </w:p>
        </w:tc>
      </w:tr>
      <w:tr w:rsidR="00FD31E6" w:rsidRPr="00FD31E6" w14:paraId="3A109984" w14:textId="77777777" w:rsidTr="00FD31E6">
        <w:trPr>
          <w:trHeight w:val="288"/>
        </w:trPr>
        <w:tc>
          <w:tcPr>
            <w:tcW w:w="1520" w:type="dxa"/>
            <w:tcBorders>
              <w:top w:val="nil"/>
              <w:left w:val="single" w:sz="4" w:space="0" w:color="auto"/>
              <w:bottom w:val="single" w:sz="4" w:space="0" w:color="auto"/>
              <w:right w:val="single" w:sz="4" w:space="0" w:color="auto"/>
            </w:tcBorders>
            <w:vAlign w:val="center"/>
            <w:hideMark/>
          </w:tcPr>
          <w:p w14:paraId="7230FF23" w14:textId="77777777" w:rsidR="00FD31E6" w:rsidRPr="00FD31E6" w:rsidRDefault="00FD31E6" w:rsidP="00FD31E6">
            <w:pPr>
              <w:jc w:val="center"/>
              <w:rPr>
                <w:rFonts w:ascii="Aptos Narrow" w:hAnsi="Aptos Narrow"/>
                <w:b/>
                <w:bCs/>
                <w:color w:val="000000"/>
                <w:sz w:val="22"/>
                <w:szCs w:val="22"/>
                <w:lang w:val="en-NG" w:eastAsia="en-NG"/>
              </w:rPr>
            </w:pPr>
            <w:r w:rsidRPr="00FD31E6">
              <w:rPr>
                <w:rFonts w:ascii="Aptos Narrow" w:hAnsi="Aptos Narrow"/>
                <w:b/>
                <w:bCs/>
                <w:color w:val="000000"/>
                <w:sz w:val="22"/>
                <w:szCs w:val="22"/>
                <w:lang w:val="en-NG" w:eastAsia="en-NG"/>
              </w:rPr>
              <w:t>Mean</w:t>
            </w:r>
          </w:p>
        </w:tc>
        <w:tc>
          <w:tcPr>
            <w:tcW w:w="3420" w:type="dxa"/>
            <w:tcBorders>
              <w:top w:val="nil"/>
              <w:left w:val="nil"/>
              <w:bottom w:val="single" w:sz="4" w:space="0" w:color="auto"/>
              <w:right w:val="single" w:sz="4" w:space="0" w:color="auto"/>
            </w:tcBorders>
            <w:vAlign w:val="center"/>
            <w:hideMark/>
          </w:tcPr>
          <w:p w14:paraId="5CB8D6AD" w14:textId="77777777" w:rsidR="00FD31E6" w:rsidRPr="00FD31E6" w:rsidRDefault="00FD31E6" w:rsidP="00FD31E6">
            <w:pPr>
              <w:jc w:val="center"/>
              <w:rPr>
                <w:rFonts w:ascii="Aptos Narrow" w:hAnsi="Aptos Narrow"/>
                <w:color w:val="000000"/>
                <w:sz w:val="22"/>
                <w:szCs w:val="22"/>
                <w:lang w:val="en-NG" w:eastAsia="en-NG"/>
              </w:rPr>
            </w:pPr>
            <w:r w:rsidRPr="00FD31E6">
              <w:rPr>
                <w:rFonts w:ascii="Aptos Narrow" w:hAnsi="Aptos Narrow"/>
                <w:color w:val="000000"/>
                <w:sz w:val="22"/>
                <w:szCs w:val="22"/>
                <w:lang w:val="en-NG" w:eastAsia="en-NG"/>
              </w:rPr>
              <w:t>~0.69</w:t>
            </w:r>
          </w:p>
        </w:tc>
      </w:tr>
    </w:tbl>
    <w:p w14:paraId="22F8696C" w14:textId="77777777" w:rsidR="00FD31E6" w:rsidRPr="008E5CBA" w:rsidRDefault="00FD31E6" w:rsidP="009411D8">
      <w:pPr>
        <w:jc w:val="both"/>
        <w:rPr>
          <w:rFonts w:ascii="Arial" w:hAnsi="Arial" w:cs="Arial"/>
        </w:rPr>
      </w:pPr>
    </w:p>
    <w:p w14:paraId="040AB3AC" w14:textId="77777777" w:rsidR="009411D8" w:rsidRPr="008E5CBA" w:rsidRDefault="009411D8" w:rsidP="009411D8">
      <w:pPr>
        <w:jc w:val="both"/>
        <w:rPr>
          <w:rFonts w:ascii="Arial" w:hAnsi="Arial" w:cs="Arial"/>
        </w:rPr>
      </w:pPr>
      <w:r w:rsidRPr="008E5CBA">
        <w:rPr>
          <w:rFonts w:ascii="Arial" w:hAnsi="Arial" w:cs="Arial"/>
        </w:rPr>
        <w:t xml:space="preserve">Silhouette analysis confirmed that the four-cluster configuration exhibited strong internal coherence and meaningful separation, validating the choice of </w:t>
      </w:r>
      <m:oMath>
        <m:r>
          <w:rPr>
            <w:rFonts w:ascii="Cambria Math" w:hAnsi="Cambria Math" w:cs="Arial"/>
          </w:rPr>
          <m:t>K=4</m:t>
        </m:r>
      </m:oMath>
      <w:r w:rsidRPr="008E5CBA">
        <w:rPr>
          <w:rFonts w:ascii="Arial" w:hAnsi="Arial" w:cs="Arial"/>
        </w:rPr>
        <w:t>. Figure 3.3 illustrates how the average silhouette score changes as the number of clusters increases from k = 3 to 10. The highest score, which is about 0.69—occurs at k = 4. This is suggesting that four clusters offer the most meaningful structure, with good separation and well-formed groupings. Beyond k = 5, the silhouette scores begin to drop, indicating that adding more clusters would only weaken the grouping by creating overlaps or poorly defined boundaries. The clear separation demonstrated by the silhouette plot provides strong evidence that the K-means model achieved meaningful and robust clustering.</w:t>
      </w:r>
    </w:p>
    <w:p w14:paraId="299B8E86" w14:textId="77777777" w:rsidR="009411D8" w:rsidRPr="008E5CBA" w:rsidRDefault="009411D8" w:rsidP="009411D8">
      <w:pPr>
        <w:jc w:val="both"/>
        <w:rPr>
          <w:rFonts w:ascii="Arial" w:hAnsi="Arial" w:cs="Arial"/>
        </w:rPr>
      </w:pPr>
    </w:p>
    <w:p w14:paraId="4FB777A1" w14:textId="77777777" w:rsidR="009411D8" w:rsidRPr="008E5CBA" w:rsidRDefault="009411D8" w:rsidP="009411D8">
      <w:pPr>
        <w:jc w:val="both"/>
        <w:rPr>
          <w:rFonts w:ascii="Arial" w:hAnsi="Arial" w:cs="Arial"/>
        </w:rPr>
      </w:pPr>
      <w:r w:rsidRPr="008E5CBA">
        <w:rPr>
          <w:rFonts w:ascii="Arial" w:hAnsi="Arial" w:cs="Arial"/>
          <w:noProof/>
        </w:rPr>
        <w:drawing>
          <wp:inline distT="0" distB="0" distL="0" distR="0" wp14:anchorId="7B0CB792" wp14:editId="31EB5280">
            <wp:extent cx="4649470" cy="2766193"/>
            <wp:effectExtent l="0" t="0" r="0" b="0"/>
            <wp:docPr id="822345907" name="Picture 1"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45907" name="Picture 1" descr="A graph with a line and a dotted line&#10;&#10;AI-generated content may be incorrect."/>
                    <pic:cNvPicPr/>
                  </pic:nvPicPr>
                  <pic:blipFill>
                    <a:blip r:embed="rId18"/>
                    <a:stretch>
                      <a:fillRect/>
                    </a:stretch>
                  </pic:blipFill>
                  <pic:spPr>
                    <a:xfrm>
                      <a:off x="0" y="0"/>
                      <a:ext cx="4654071" cy="2768930"/>
                    </a:xfrm>
                    <a:prstGeom prst="rect">
                      <a:avLst/>
                    </a:prstGeom>
                  </pic:spPr>
                </pic:pic>
              </a:graphicData>
            </a:graphic>
          </wp:inline>
        </w:drawing>
      </w:r>
    </w:p>
    <w:p w14:paraId="4C754A3B" w14:textId="77777777" w:rsidR="009411D8" w:rsidRPr="004E58ED" w:rsidRDefault="009411D8" w:rsidP="009411D8">
      <w:pPr>
        <w:pStyle w:val="Tables"/>
        <w:rPr>
          <w:rFonts w:ascii="Arial" w:hAnsi="Arial" w:cs="Arial"/>
          <w:b/>
          <w:bCs/>
          <w:i w:val="0"/>
          <w:iCs w:val="0"/>
          <w:color w:val="auto"/>
          <w:sz w:val="20"/>
          <w:szCs w:val="20"/>
        </w:rPr>
      </w:pPr>
      <w:bookmarkStart w:id="1" w:name="_Toc214107535"/>
      <w:r w:rsidRPr="004E58ED">
        <w:rPr>
          <w:rFonts w:ascii="Arial" w:hAnsi="Arial" w:cs="Arial"/>
          <w:b/>
          <w:bCs/>
          <w:i w:val="0"/>
          <w:iCs w:val="0"/>
          <w:color w:val="auto"/>
          <w:sz w:val="20"/>
          <w:szCs w:val="20"/>
        </w:rPr>
        <w:t>Figure 3.3   Average Silhouette Score for k = 3 to 10 (Optimal statistical k = 4 selected)</w:t>
      </w:r>
      <w:bookmarkEnd w:id="1"/>
    </w:p>
    <w:p w14:paraId="4AADA51B" w14:textId="77777777" w:rsidR="009411D8" w:rsidRPr="008E5CBA" w:rsidRDefault="009411D8" w:rsidP="009411D8">
      <w:pPr>
        <w:jc w:val="both"/>
        <w:rPr>
          <w:rFonts w:ascii="Arial" w:hAnsi="Arial" w:cs="Arial"/>
        </w:rPr>
      </w:pPr>
    </w:p>
    <w:p w14:paraId="02A3D753" w14:textId="77777777" w:rsidR="009411D8" w:rsidRPr="008E5CBA" w:rsidRDefault="009411D8" w:rsidP="009411D8">
      <w:pPr>
        <w:jc w:val="both"/>
        <w:rPr>
          <w:rFonts w:ascii="Arial" w:hAnsi="Arial" w:cs="Arial"/>
          <w:b/>
          <w:bCs/>
        </w:rPr>
      </w:pPr>
      <w:r w:rsidRPr="008E5CBA">
        <w:rPr>
          <w:rFonts w:ascii="Arial" w:hAnsi="Arial" w:cs="Arial"/>
          <w:b/>
          <w:bCs/>
        </w:rPr>
        <w:t>3.6 Summary of Key Findings</w:t>
      </w:r>
    </w:p>
    <w:p w14:paraId="62884ED0" w14:textId="77777777" w:rsidR="009411D8" w:rsidRPr="008E5CBA" w:rsidRDefault="009411D8" w:rsidP="009411D8">
      <w:pPr>
        <w:numPr>
          <w:ilvl w:val="0"/>
          <w:numId w:val="35"/>
        </w:numPr>
        <w:spacing w:after="160" w:line="278" w:lineRule="auto"/>
        <w:jc w:val="both"/>
        <w:rPr>
          <w:rFonts w:ascii="Arial" w:hAnsi="Arial" w:cs="Arial"/>
        </w:rPr>
      </w:pPr>
      <w:r w:rsidRPr="008E5CBA">
        <w:rPr>
          <w:rFonts w:ascii="Arial" w:hAnsi="Arial" w:cs="Arial"/>
        </w:rPr>
        <w:t>Four clusters provide the optimal partitioning of flare sites, as confirmed by the Elbow Method.</w:t>
      </w:r>
    </w:p>
    <w:p w14:paraId="22445C3B" w14:textId="77777777" w:rsidR="009411D8" w:rsidRPr="008E5CBA" w:rsidRDefault="009411D8" w:rsidP="009411D8">
      <w:pPr>
        <w:numPr>
          <w:ilvl w:val="0"/>
          <w:numId w:val="35"/>
        </w:numPr>
        <w:spacing w:after="160" w:line="278" w:lineRule="auto"/>
        <w:jc w:val="both"/>
        <w:rPr>
          <w:rFonts w:ascii="Arial" w:hAnsi="Arial" w:cs="Arial"/>
        </w:rPr>
      </w:pPr>
      <w:r w:rsidRPr="008E5CBA">
        <w:rPr>
          <w:rFonts w:ascii="Arial" w:hAnsi="Arial" w:cs="Arial"/>
        </w:rPr>
        <w:t>The clusters display strong internal cohesion and separation, as validated by silhouette analysis.</w:t>
      </w:r>
    </w:p>
    <w:p w14:paraId="339305AC" w14:textId="77777777" w:rsidR="009411D8" w:rsidRPr="008E5CBA" w:rsidRDefault="009411D8" w:rsidP="009411D8">
      <w:pPr>
        <w:numPr>
          <w:ilvl w:val="0"/>
          <w:numId w:val="35"/>
        </w:numPr>
        <w:spacing w:after="160" w:line="278" w:lineRule="auto"/>
        <w:jc w:val="both"/>
        <w:rPr>
          <w:rFonts w:ascii="Arial" w:hAnsi="Arial" w:cs="Arial"/>
        </w:rPr>
      </w:pPr>
      <w:r w:rsidRPr="008E5CBA">
        <w:rPr>
          <w:rFonts w:ascii="Arial" w:hAnsi="Arial" w:cs="Arial"/>
        </w:rPr>
        <w:t>Two clusters (Cluster 0 and Cluster 3) account for the majority of flare-gas potential.</w:t>
      </w:r>
    </w:p>
    <w:p w14:paraId="2A4D60D7" w14:textId="77777777" w:rsidR="009411D8" w:rsidRPr="008E5CBA" w:rsidRDefault="009411D8" w:rsidP="009411D8">
      <w:pPr>
        <w:numPr>
          <w:ilvl w:val="0"/>
          <w:numId w:val="35"/>
        </w:numPr>
        <w:spacing w:after="160" w:line="278" w:lineRule="auto"/>
        <w:jc w:val="both"/>
        <w:rPr>
          <w:rFonts w:ascii="Arial" w:hAnsi="Arial" w:cs="Arial"/>
        </w:rPr>
      </w:pPr>
      <w:r w:rsidRPr="008E5CBA">
        <w:rPr>
          <w:rFonts w:ascii="Arial" w:hAnsi="Arial" w:cs="Arial"/>
        </w:rPr>
        <w:t>Spatial distribution of clusters aligns with known infrastructural and operational corridors, making them viable for centralized gas-recovery hubs.</w:t>
      </w:r>
    </w:p>
    <w:p w14:paraId="7588EB46" w14:textId="77777777" w:rsidR="009411D8" w:rsidRPr="00001628" w:rsidRDefault="009411D8" w:rsidP="009411D8">
      <w:pPr>
        <w:numPr>
          <w:ilvl w:val="0"/>
          <w:numId w:val="35"/>
        </w:numPr>
        <w:spacing w:after="160" w:line="278" w:lineRule="auto"/>
        <w:jc w:val="both"/>
        <w:rPr>
          <w:rFonts w:ascii="Arial" w:hAnsi="Arial" w:cs="Arial"/>
        </w:rPr>
      </w:pPr>
      <w:r w:rsidRPr="008E5CBA">
        <w:rPr>
          <w:rFonts w:ascii="Arial" w:hAnsi="Arial" w:cs="Arial"/>
        </w:rPr>
        <w:t xml:space="preserve">Cluster-based planning provides immediate insight into </w:t>
      </w:r>
      <w:proofErr w:type="spellStart"/>
      <w:r w:rsidRPr="008E5CBA">
        <w:rPr>
          <w:rFonts w:ascii="Arial" w:hAnsi="Arial" w:cs="Arial"/>
        </w:rPr>
        <w:t>prioritisation</w:t>
      </w:r>
      <w:proofErr w:type="spellEnd"/>
      <w:r w:rsidRPr="008E5CBA">
        <w:rPr>
          <w:rFonts w:ascii="Arial" w:hAnsi="Arial" w:cs="Arial"/>
        </w:rPr>
        <w:t xml:space="preserve"> for gas-recovery investment.</w:t>
      </w:r>
    </w:p>
    <w:p w14:paraId="5EB32E77" w14:textId="77777777" w:rsidR="00001628" w:rsidRPr="008E5CBA" w:rsidRDefault="00001628" w:rsidP="00001628">
      <w:pPr>
        <w:spacing w:after="160" w:line="278" w:lineRule="auto"/>
        <w:ind w:left="720"/>
        <w:jc w:val="both"/>
        <w:rPr>
          <w:rFonts w:ascii="Arial" w:hAnsi="Arial" w:cs="Arial"/>
        </w:rPr>
      </w:pPr>
    </w:p>
    <w:p w14:paraId="31E7761B" w14:textId="666EA973" w:rsidR="00001628" w:rsidRDefault="00001628" w:rsidP="00001628">
      <w:pPr>
        <w:pStyle w:val="ConcHead"/>
        <w:spacing w:after="0"/>
        <w:jc w:val="both"/>
        <w:rPr>
          <w:rFonts w:ascii="Arial" w:hAnsi="Arial" w:cs="Arial"/>
        </w:rPr>
      </w:pPr>
      <w:r>
        <w:rPr>
          <w:rFonts w:ascii="Arial" w:hAnsi="Arial" w:cs="Arial"/>
        </w:rPr>
        <w:t>4. DISCUSSION</w:t>
      </w:r>
    </w:p>
    <w:p w14:paraId="64174DE8" w14:textId="234BE6F1" w:rsidR="00865CDB" w:rsidRPr="00402849" w:rsidRDefault="00865CDB" w:rsidP="00865CDB">
      <w:pPr>
        <w:jc w:val="both"/>
        <w:rPr>
          <w:rFonts w:ascii="Arial" w:hAnsi="Arial" w:cs="Arial"/>
          <w:b/>
          <w:bCs/>
        </w:rPr>
      </w:pPr>
    </w:p>
    <w:p w14:paraId="6D14A26F" w14:textId="1F7516CB" w:rsidR="00865CDB" w:rsidRPr="00402849" w:rsidRDefault="00B10675" w:rsidP="00865CDB">
      <w:pPr>
        <w:jc w:val="both"/>
        <w:rPr>
          <w:rFonts w:ascii="Arial" w:hAnsi="Arial" w:cs="Arial"/>
        </w:rPr>
      </w:pPr>
      <w:proofErr w:type="spellStart"/>
      <w:r w:rsidRPr="00D20E18">
        <w:rPr>
          <w:lang w:val="en-NG"/>
        </w:rPr>
        <w:t>Ekpa</w:t>
      </w:r>
      <w:proofErr w:type="spellEnd"/>
      <w:r w:rsidRPr="00D20E18">
        <w:rPr>
          <w:lang w:val="en-NG"/>
        </w:rPr>
        <w:t xml:space="preserve"> and </w:t>
      </w:r>
      <w:proofErr w:type="spellStart"/>
      <w:r w:rsidRPr="00D20E18">
        <w:rPr>
          <w:lang w:val="en-NG"/>
        </w:rPr>
        <w:t>Usoh</w:t>
      </w:r>
      <w:proofErr w:type="spellEnd"/>
      <w:r w:rsidRPr="00D20E18">
        <w:rPr>
          <w:lang w:val="en-NG"/>
        </w:rPr>
        <w:t xml:space="preserve"> (2024) observed that flare sites in the Niger Delta tend to cluster into spatial hotspots, </w:t>
      </w:r>
      <w:r w:rsidRPr="00D20E18">
        <w:t xml:space="preserve">many of which </w:t>
      </w:r>
      <w:r>
        <w:t>sit</w:t>
      </w:r>
      <w:r w:rsidRPr="00D20E18">
        <w:rPr>
          <w:lang w:val="en-NG"/>
        </w:rPr>
        <w:t xml:space="preserve"> alongside </w:t>
      </w:r>
      <w:r>
        <w:t>high</w:t>
      </w:r>
      <w:r w:rsidRPr="00D20E18">
        <w:t xml:space="preserve"> environmental risk</w:t>
      </w:r>
      <w:r>
        <w:t xml:space="preserve"> zones</w:t>
      </w:r>
      <w:r w:rsidRPr="00D20E18">
        <w:rPr>
          <w:lang w:val="en-NG"/>
        </w:rPr>
        <w:t xml:space="preserve">. </w:t>
      </w:r>
      <w:r w:rsidRPr="00D20E18">
        <w:t>These patterns suggest a defining role in the impact of gas flaring</w:t>
      </w:r>
      <w:r w:rsidRPr="00D20E18">
        <w:rPr>
          <w:lang w:val="en-NG"/>
        </w:rPr>
        <w:t xml:space="preserve">. It also points to the need for spatially driven solutions. </w:t>
      </w:r>
      <w:r>
        <w:t>Most studies</w:t>
      </w:r>
      <w:r w:rsidRPr="00D20E18">
        <w:rPr>
          <w:lang w:val="en-NG"/>
        </w:rPr>
        <w:t xml:space="preserve"> </w:t>
      </w:r>
      <w:proofErr w:type="gramStart"/>
      <w:r w:rsidRPr="00D20E18">
        <w:rPr>
          <w:lang w:val="en-NG"/>
        </w:rPr>
        <w:t>stop at</w:t>
      </w:r>
      <w:proofErr w:type="gramEnd"/>
      <w:r w:rsidRPr="00D20E18">
        <w:rPr>
          <w:lang w:val="en-NG"/>
        </w:rPr>
        <w:t xml:space="preserve"> identification and do not progress into </w:t>
      </w:r>
      <w:r>
        <w:t>gas</w:t>
      </w:r>
      <w:r w:rsidRPr="00D20E18">
        <w:rPr>
          <w:lang w:val="en-NG"/>
        </w:rPr>
        <w:t xml:space="preserve"> recovery planning. </w:t>
      </w:r>
      <w:r w:rsidR="00865CDB" w:rsidRPr="00402849">
        <w:rPr>
          <w:rFonts w:ascii="Arial" w:hAnsi="Arial" w:cs="Arial"/>
        </w:rPr>
        <w:t xml:space="preserve">The clustering analysis conducted in this study provides clear evidence that flare-gas sources in the Niger Delta </w:t>
      </w:r>
      <w:r>
        <w:rPr>
          <w:rFonts w:ascii="Arial" w:hAnsi="Arial" w:cs="Arial"/>
        </w:rPr>
        <w:t xml:space="preserve">despite having </w:t>
      </w:r>
      <w:r w:rsidR="00865CDB" w:rsidRPr="00402849">
        <w:rPr>
          <w:rFonts w:ascii="Arial" w:hAnsi="Arial" w:cs="Arial"/>
        </w:rPr>
        <w:t>distinct spatial patterns can be leveraged for more efficient gas-recovery planning. By combining descriptive flare-volume analysis with the Elbow Method, K-means clustering, and silhouette validation, this study establishes a strong and reliable framework for grouping onshore flare sites. These techniques help identify clusters that reduce infrastructure costs while maximizing the amount of gas that can be economically recovered.</w:t>
      </w:r>
    </w:p>
    <w:p w14:paraId="4BA85E68" w14:textId="77777777" w:rsidR="00865CDB" w:rsidRPr="00402849" w:rsidRDefault="00865CDB" w:rsidP="00865CDB">
      <w:pPr>
        <w:jc w:val="both"/>
        <w:rPr>
          <w:rFonts w:ascii="Arial" w:hAnsi="Arial" w:cs="Arial"/>
          <w:b/>
          <w:bCs/>
        </w:rPr>
      </w:pPr>
      <w:r w:rsidRPr="00402849">
        <w:rPr>
          <w:rFonts w:ascii="Arial" w:hAnsi="Arial" w:cs="Arial"/>
          <w:b/>
          <w:bCs/>
        </w:rPr>
        <w:t>4.1 Interpretation of Flare-Volume Variability</w:t>
      </w:r>
    </w:p>
    <w:p w14:paraId="153A8CC8" w14:textId="77777777" w:rsidR="00865CDB" w:rsidRPr="00402849" w:rsidRDefault="00865CDB" w:rsidP="00865CDB">
      <w:pPr>
        <w:jc w:val="both"/>
        <w:rPr>
          <w:rFonts w:ascii="Arial" w:hAnsi="Arial" w:cs="Arial"/>
        </w:rPr>
      </w:pPr>
      <w:r w:rsidRPr="00402849">
        <w:rPr>
          <w:rFonts w:ascii="Arial" w:hAnsi="Arial" w:cs="Arial"/>
        </w:rPr>
        <w:t xml:space="preserve">The descriptive statistics highlighted significant variability in average daily flare volumes across the 24 </w:t>
      </w:r>
      <w:proofErr w:type="spellStart"/>
      <w:r w:rsidRPr="00402849">
        <w:rPr>
          <w:rFonts w:ascii="Arial" w:hAnsi="Arial" w:cs="Arial"/>
        </w:rPr>
        <w:t>flowstations</w:t>
      </w:r>
      <w:proofErr w:type="spellEnd"/>
      <w:r w:rsidRPr="00402849">
        <w:rPr>
          <w:rFonts w:ascii="Arial" w:hAnsi="Arial" w:cs="Arial"/>
        </w:rPr>
        <w:t xml:space="preserve">. High-volume stations such as FS-07 (16.96 </w:t>
      </w:r>
      <w:proofErr w:type="spellStart"/>
      <w:r w:rsidRPr="00402849">
        <w:rPr>
          <w:rFonts w:ascii="Arial" w:hAnsi="Arial" w:cs="Arial"/>
        </w:rPr>
        <w:t>mmscf</w:t>
      </w:r>
      <w:proofErr w:type="spellEnd"/>
      <w:r w:rsidRPr="00402849">
        <w:rPr>
          <w:rFonts w:ascii="Arial" w:hAnsi="Arial" w:cs="Arial"/>
        </w:rPr>
        <w:t xml:space="preserve">/day), FS-20 (20.18 </w:t>
      </w:r>
      <w:proofErr w:type="spellStart"/>
      <w:r w:rsidRPr="00402849">
        <w:rPr>
          <w:rFonts w:ascii="Arial" w:hAnsi="Arial" w:cs="Arial"/>
        </w:rPr>
        <w:t>mmscf</w:t>
      </w:r>
      <w:proofErr w:type="spellEnd"/>
      <w:r w:rsidRPr="00402849">
        <w:rPr>
          <w:rFonts w:ascii="Arial" w:hAnsi="Arial" w:cs="Arial"/>
        </w:rPr>
        <w:t xml:space="preserve">/day), and FS-24 (13.59 </w:t>
      </w:r>
      <w:proofErr w:type="spellStart"/>
      <w:r w:rsidRPr="00402849">
        <w:rPr>
          <w:rFonts w:ascii="Arial" w:hAnsi="Arial" w:cs="Arial"/>
        </w:rPr>
        <w:t>mmscf</w:t>
      </w:r>
      <w:proofErr w:type="spellEnd"/>
      <w:r w:rsidRPr="00402849">
        <w:rPr>
          <w:rFonts w:ascii="Arial" w:hAnsi="Arial" w:cs="Arial"/>
        </w:rPr>
        <w:t xml:space="preserve">/day) serve as anchor points within their clusters, while several stations (&lt;0.30 </w:t>
      </w:r>
      <w:proofErr w:type="spellStart"/>
      <w:r w:rsidRPr="00402849">
        <w:rPr>
          <w:rFonts w:ascii="Arial" w:hAnsi="Arial" w:cs="Arial"/>
        </w:rPr>
        <w:t>mmscf</w:t>
      </w:r>
      <w:proofErr w:type="spellEnd"/>
      <w:r w:rsidRPr="00402849">
        <w:rPr>
          <w:rFonts w:ascii="Arial" w:hAnsi="Arial" w:cs="Arial"/>
        </w:rPr>
        <w:t>/day) represent low-emission nodes. This disparity underscores the inadequacy of treating flare sites individually; some stations on their own cannot justify the cost of dedicated gas processing infrastructure. However, when grouped into clusters, even low-volume sites contribute to a more viable collective gas-recovery opportunity.</w:t>
      </w:r>
    </w:p>
    <w:p w14:paraId="023795B3" w14:textId="77777777" w:rsidR="00865CDB" w:rsidRPr="00402849" w:rsidRDefault="00865CDB" w:rsidP="00865CDB">
      <w:pPr>
        <w:jc w:val="both"/>
        <w:rPr>
          <w:rFonts w:ascii="Arial" w:hAnsi="Arial" w:cs="Arial"/>
          <w:b/>
          <w:bCs/>
        </w:rPr>
      </w:pPr>
      <w:r w:rsidRPr="00402849">
        <w:rPr>
          <w:rFonts w:ascii="Arial" w:hAnsi="Arial" w:cs="Arial"/>
          <w:b/>
          <w:bCs/>
        </w:rPr>
        <w:t>4.2 Implications of the Elbow-Confirmed Four-Cluster Structure</w:t>
      </w:r>
    </w:p>
    <w:p w14:paraId="29769A9E" w14:textId="4F4E780F" w:rsidR="00865CDB" w:rsidRPr="00402849" w:rsidRDefault="00865CDB" w:rsidP="00865CDB">
      <w:pPr>
        <w:jc w:val="both"/>
        <w:rPr>
          <w:rFonts w:ascii="Arial" w:hAnsi="Arial" w:cs="Arial"/>
        </w:rPr>
      </w:pPr>
      <w:r w:rsidRPr="00402849">
        <w:rPr>
          <w:rFonts w:ascii="Arial" w:hAnsi="Arial" w:cs="Arial"/>
        </w:rPr>
        <w:t xml:space="preserve">The Elbow Method provided a clear inflection point </w:t>
      </w:r>
      <w:r w:rsidRPr="00001628">
        <w:rPr>
          <w:rFonts w:ascii="Arial" w:hAnsi="Arial" w:cs="Arial"/>
        </w:rPr>
        <w:t>at K = 4</w:t>
      </w:r>
      <w:r w:rsidRPr="00402849">
        <w:rPr>
          <w:rFonts w:ascii="Arial" w:hAnsi="Arial" w:cs="Arial"/>
        </w:rPr>
        <w:t xml:space="preserve">, </w:t>
      </w:r>
      <w:proofErr w:type="spellStart"/>
      <w:r w:rsidRPr="00402849">
        <w:rPr>
          <w:rFonts w:ascii="Arial" w:hAnsi="Arial" w:cs="Arial"/>
        </w:rPr>
        <w:t>signalling</w:t>
      </w:r>
      <w:proofErr w:type="spellEnd"/>
      <w:r w:rsidRPr="00402849">
        <w:rPr>
          <w:rFonts w:ascii="Arial" w:hAnsi="Arial" w:cs="Arial"/>
        </w:rPr>
        <w:t xml:space="preserve"> the most balanced trade-off between model complexity and cluster compactness. inertia reduction begins to taper sharply beyond this point—an expected </w:t>
      </w:r>
      <w:proofErr w:type="spellStart"/>
      <w:r w:rsidRPr="00402849">
        <w:rPr>
          <w:rFonts w:ascii="Arial" w:hAnsi="Arial" w:cs="Arial"/>
        </w:rPr>
        <w:t>behaviour</w:t>
      </w:r>
      <w:proofErr w:type="spellEnd"/>
      <w:r w:rsidRPr="00402849">
        <w:rPr>
          <w:rFonts w:ascii="Arial" w:hAnsi="Arial" w:cs="Arial"/>
        </w:rPr>
        <w:t xml:space="preserve"> noted in clustering methodology literature </w:t>
      </w:r>
      <w:r w:rsidR="00C50A00">
        <w:rPr>
          <w:rFonts w:ascii="Arial" w:hAnsi="Arial" w:cs="Arial"/>
        </w:rPr>
        <w:t>(</w:t>
      </w:r>
      <w:proofErr w:type="spellStart"/>
      <w:r w:rsidR="00C50A00" w:rsidRPr="00172252">
        <w:rPr>
          <w:rFonts w:ascii="Arial" w:hAnsi="Arial" w:cs="Arial"/>
        </w:rPr>
        <w:t>Umargono</w:t>
      </w:r>
      <w:proofErr w:type="spellEnd"/>
      <w:r w:rsidR="00C50A00">
        <w:rPr>
          <w:rFonts w:ascii="Arial" w:hAnsi="Arial" w:cs="Arial"/>
        </w:rPr>
        <w:t xml:space="preserve"> et al., 2020)</w:t>
      </w:r>
      <w:r w:rsidRPr="00402849">
        <w:rPr>
          <w:rFonts w:ascii="Arial" w:hAnsi="Arial" w:cs="Arial"/>
        </w:rPr>
        <w:t>. A smaller number of clusters (K) would have forced geographically distant flare sites into the same group, leading to longer and more expensive pipeline connections. On the other hand, using a larger K would have unnecessarily broken apart naturally related sites, making infrastructure planning more complicated. Choosing K = 4 therefore strikes the right balance: it is mathematically justified and consistent with real operational conditions.</w:t>
      </w:r>
    </w:p>
    <w:p w14:paraId="461667C8" w14:textId="77777777" w:rsidR="00865CDB" w:rsidRPr="00402576" w:rsidRDefault="00865CDB" w:rsidP="0071738B">
      <w:pPr>
        <w:spacing w:line="278" w:lineRule="auto"/>
        <w:jc w:val="both"/>
        <w:rPr>
          <w:rFonts w:ascii="Arial" w:hAnsi="Arial" w:cs="Arial"/>
        </w:rPr>
      </w:pPr>
      <w:r w:rsidRPr="00402576">
        <w:rPr>
          <w:rFonts w:ascii="Arial" w:hAnsi="Arial" w:cs="Arial"/>
        </w:rPr>
        <w:t>This result supports the development of four centralized gas-gathering hubs, each located at or close to its cluster centroid. Positioning hubs this way helps minimize the overall length of the pipeline network.</w:t>
      </w:r>
    </w:p>
    <w:p w14:paraId="64983FF7" w14:textId="77777777" w:rsidR="00865CDB" w:rsidRPr="00402849" w:rsidRDefault="00865CDB" w:rsidP="00865CDB">
      <w:pPr>
        <w:jc w:val="both"/>
        <w:rPr>
          <w:rFonts w:ascii="Arial" w:hAnsi="Arial" w:cs="Arial"/>
          <w:b/>
          <w:bCs/>
        </w:rPr>
      </w:pPr>
      <w:r w:rsidRPr="00402849">
        <w:rPr>
          <w:rFonts w:ascii="Arial" w:hAnsi="Arial" w:cs="Arial"/>
          <w:b/>
          <w:bCs/>
        </w:rPr>
        <w:t>4.3 Spatial Meaning of the K-Means Clusters</w:t>
      </w:r>
    </w:p>
    <w:p w14:paraId="3FDADE8B" w14:textId="77777777" w:rsidR="00865CDB" w:rsidRPr="00402849" w:rsidRDefault="00865CDB" w:rsidP="00865CDB">
      <w:pPr>
        <w:jc w:val="both"/>
        <w:rPr>
          <w:rFonts w:ascii="Arial" w:hAnsi="Arial" w:cs="Arial"/>
        </w:rPr>
      </w:pPr>
      <w:r w:rsidRPr="00402849">
        <w:rPr>
          <w:rFonts w:ascii="Arial" w:hAnsi="Arial" w:cs="Arial"/>
        </w:rPr>
        <w:t>The clustering output reveals four geospatially coherent groups as shown in the cluster map:</w:t>
      </w:r>
    </w:p>
    <w:p w14:paraId="4A983EFB" w14:textId="77777777" w:rsidR="00865CDB" w:rsidRPr="00001628" w:rsidRDefault="00865CDB" w:rsidP="00865CDB">
      <w:pPr>
        <w:numPr>
          <w:ilvl w:val="0"/>
          <w:numId w:val="36"/>
        </w:numPr>
        <w:spacing w:after="160" w:line="278" w:lineRule="auto"/>
        <w:jc w:val="both"/>
        <w:rPr>
          <w:rFonts w:ascii="Arial" w:hAnsi="Arial" w:cs="Arial"/>
        </w:rPr>
      </w:pPr>
      <w:r w:rsidRPr="00001628">
        <w:rPr>
          <w:rFonts w:ascii="Arial" w:hAnsi="Arial" w:cs="Arial"/>
        </w:rPr>
        <w:t xml:space="preserve">Cluster 0, containing half of all stations, forms the densest and most gas-rich region, accounting for nearly 46 </w:t>
      </w:r>
      <w:proofErr w:type="spellStart"/>
      <w:r w:rsidRPr="00001628">
        <w:rPr>
          <w:rFonts w:ascii="Arial" w:hAnsi="Arial" w:cs="Arial"/>
        </w:rPr>
        <w:t>mmscf</w:t>
      </w:r>
      <w:proofErr w:type="spellEnd"/>
      <w:r w:rsidRPr="00001628">
        <w:rPr>
          <w:rFonts w:ascii="Arial" w:hAnsi="Arial" w:cs="Arial"/>
        </w:rPr>
        <w:t>/day.</w:t>
      </w:r>
    </w:p>
    <w:p w14:paraId="4DB4FDC5" w14:textId="77777777" w:rsidR="00865CDB" w:rsidRPr="00001628" w:rsidRDefault="00865CDB" w:rsidP="00865CDB">
      <w:pPr>
        <w:numPr>
          <w:ilvl w:val="0"/>
          <w:numId w:val="36"/>
        </w:numPr>
        <w:spacing w:after="160" w:line="278" w:lineRule="auto"/>
        <w:jc w:val="both"/>
        <w:rPr>
          <w:rFonts w:ascii="Arial" w:hAnsi="Arial" w:cs="Arial"/>
        </w:rPr>
      </w:pPr>
      <w:r w:rsidRPr="00001628">
        <w:rPr>
          <w:rFonts w:ascii="Arial" w:hAnsi="Arial" w:cs="Arial"/>
        </w:rPr>
        <w:t xml:space="preserve">Clusters 1 and 2 are moderate clusters with distributed emissions ranging from ~22–25 </w:t>
      </w:r>
      <w:proofErr w:type="spellStart"/>
      <w:r w:rsidRPr="00001628">
        <w:rPr>
          <w:rFonts w:ascii="Arial" w:hAnsi="Arial" w:cs="Arial"/>
        </w:rPr>
        <w:t>mmscf</w:t>
      </w:r>
      <w:proofErr w:type="spellEnd"/>
      <w:r w:rsidRPr="00001628">
        <w:rPr>
          <w:rFonts w:ascii="Arial" w:hAnsi="Arial" w:cs="Arial"/>
        </w:rPr>
        <w:t>/day.</w:t>
      </w:r>
    </w:p>
    <w:p w14:paraId="33785F8F" w14:textId="77777777" w:rsidR="00865CDB" w:rsidRPr="00001628" w:rsidRDefault="00865CDB" w:rsidP="00865CDB">
      <w:pPr>
        <w:numPr>
          <w:ilvl w:val="0"/>
          <w:numId w:val="36"/>
        </w:numPr>
        <w:spacing w:after="160" w:line="278" w:lineRule="auto"/>
        <w:jc w:val="both"/>
        <w:rPr>
          <w:rFonts w:ascii="Arial" w:hAnsi="Arial" w:cs="Arial"/>
        </w:rPr>
      </w:pPr>
      <w:r w:rsidRPr="00001628">
        <w:rPr>
          <w:rFonts w:ascii="Arial" w:hAnsi="Arial" w:cs="Arial"/>
        </w:rPr>
        <w:t xml:space="preserve">Cluster 3 constitutes a high-potential region at ~30.22 </w:t>
      </w:r>
      <w:proofErr w:type="spellStart"/>
      <w:r w:rsidRPr="00001628">
        <w:rPr>
          <w:rFonts w:ascii="Arial" w:hAnsi="Arial" w:cs="Arial"/>
        </w:rPr>
        <w:t>mmscf</w:t>
      </w:r>
      <w:proofErr w:type="spellEnd"/>
      <w:r w:rsidRPr="00001628">
        <w:rPr>
          <w:rFonts w:ascii="Arial" w:hAnsi="Arial" w:cs="Arial"/>
        </w:rPr>
        <w:t>/day.</w:t>
      </w:r>
    </w:p>
    <w:p w14:paraId="2BF6C77E" w14:textId="77777777" w:rsidR="00865CDB" w:rsidRPr="00402849" w:rsidRDefault="00865CDB" w:rsidP="00865CDB">
      <w:pPr>
        <w:jc w:val="both"/>
        <w:rPr>
          <w:rFonts w:ascii="Arial" w:hAnsi="Arial" w:cs="Arial"/>
        </w:rPr>
      </w:pPr>
      <w:r w:rsidRPr="00402849">
        <w:rPr>
          <w:rFonts w:ascii="Arial" w:hAnsi="Arial" w:cs="Arial"/>
        </w:rPr>
        <w:t xml:space="preserve">The cumulative contribution of Clusters 0 and 3—representing </w:t>
      </w:r>
      <w:r w:rsidRPr="005E3936">
        <w:rPr>
          <w:rFonts w:ascii="Arial" w:hAnsi="Arial" w:cs="Arial"/>
        </w:rPr>
        <w:t>about 63%</w:t>
      </w:r>
      <w:r w:rsidRPr="00402849">
        <w:rPr>
          <w:rFonts w:ascii="Arial" w:hAnsi="Arial" w:cs="Arial"/>
        </w:rPr>
        <w:t xml:space="preserve"> of total aggregated flare volume—highlights the central productivity belt typical of the Niger Delta. These clusters offer the most immediate and impactful opportunities for flare-gas recovery.</w:t>
      </w:r>
    </w:p>
    <w:p w14:paraId="354FFEBF" w14:textId="77777777" w:rsidR="00865CDB" w:rsidRPr="00402849" w:rsidRDefault="00865CDB" w:rsidP="00865CDB">
      <w:pPr>
        <w:jc w:val="both"/>
        <w:rPr>
          <w:rFonts w:ascii="Arial" w:hAnsi="Arial" w:cs="Arial"/>
          <w:b/>
          <w:bCs/>
        </w:rPr>
      </w:pPr>
      <w:r w:rsidRPr="00402849">
        <w:rPr>
          <w:rFonts w:ascii="Arial" w:hAnsi="Arial" w:cs="Arial"/>
          <w:b/>
          <w:bCs/>
        </w:rPr>
        <w:t>4.4 Validation of Cluster Quality Using Silhouette Analysis</w:t>
      </w:r>
    </w:p>
    <w:p w14:paraId="58ECB449" w14:textId="24F4D9C4" w:rsidR="00865CDB" w:rsidRPr="00402849" w:rsidRDefault="00865CDB" w:rsidP="00865CDB">
      <w:pPr>
        <w:jc w:val="both"/>
        <w:rPr>
          <w:rFonts w:ascii="Arial" w:hAnsi="Arial" w:cs="Arial"/>
        </w:rPr>
      </w:pPr>
      <w:r w:rsidRPr="00402849">
        <w:rPr>
          <w:rFonts w:ascii="Arial" w:hAnsi="Arial" w:cs="Arial"/>
        </w:rPr>
        <w:t xml:space="preserve">Silhouette analysis confirmed that the clustering structure is internally consistent and externally separable. All silhouette values were positive, indicating that each station was </w:t>
      </w:r>
      <w:r w:rsidRPr="00402849">
        <w:rPr>
          <w:rFonts w:ascii="Arial" w:hAnsi="Arial" w:cs="Arial"/>
        </w:rPr>
        <w:lastRenderedPageBreak/>
        <w:t xml:space="preserve">appropriately placed within its cluster. Positive values near +1 indicate strong cohesion </w:t>
      </w:r>
      <w:r w:rsidR="003875DB">
        <w:rPr>
          <w:rFonts w:ascii="Arial" w:hAnsi="Arial" w:cs="Arial"/>
        </w:rPr>
        <w:t>(</w:t>
      </w:r>
      <w:proofErr w:type="spellStart"/>
      <w:r w:rsidR="003875DB" w:rsidRPr="00172252">
        <w:rPr>
          <w:rFonts w:ascii="Arial" w:hAnsi="Arial" w:cs="Arial"/>
        </w:rPr>
        <w:t>Rousseeuw</w:t>
      </w:r>
      <w:proofErr w:type="spellEnd"/>
      <w:r w:rsidR="003875DB">
        <w:rPr>
          <w:rFonts w:ascii="Arial" w:hAnsi="Arial" w:cs="Arial"/>
        </w:rPr>
        <w:t xml:space="preserve">, 1987; </w:t>
      </w:r>
      <w:proofErr w:type="spellStart"/>
      <w:r w:rsidR="00470E91" w:rsidRPr="00172252">
        <w:rPr>
          <w:rFonts w:ascii="Arial" w:hAnsi="Arial" w:cs="Arial"/>
        </w:rPr>
        <w:t>Shutaywi</w:t>
      </w:r>
      <w:proofErr w:type="spellEnd"/>
      <w:r w:rsidR="00470E91">
        <w:rPr>
          <w:rFonts w:ascii="Arial" w:hAnsi="Arial" w:cs="Arial"/>
        </w:rPr>
        <w:t xml:space="preserve">, 2021; </w:t>
      </w:r>
      <w:proofErr w:type="spellStart"/>
      <w:r w:rsidR="005A5B3B" w:rsidRPr="00172252">
        <w:rPr>
          <w:rFonts w:ascii="Arial" w:hAnsi="Arial" w:cs="Arial"/>
        </w:rPr>
        <w:t>Dalmaijer</w:t>
      </w:r>
      <w:proofErr w:type="spellEnd"/>
      <w:r w:rsidR="005A5B3B">
        <w:rPr>
          <w:rFonts w:ascii="Arial" w:hAnsi="Arial" w:cs="Arial"/>
        </w:rPr>
        <w:t>, 2022)</w:t>
      </w:r>
      <w:r w:rsidRPr="00402849">
        <w:rPr>
          <w:rFonts w:ascii="Arial" w:hAnsi="Arial" w:cs="Arial"/>
        </w:rPr>
        <w:t>.</w:t>
      </w:r>
    </w:p>
    <w:p w14:paraId="0BCD38A1" w14:textId="77777777" w:rsidR="00865CDB" w:rsidRDefault="00865CDB" w:rsidP="00865CDB">
      <w:pPr>
        <w:jc w:val="both"/>
        <w:rPr>
          <w:rFonts w:ascii="Arial" w:hAnsi="Arial" w:cs="Arial"/>
        </w:rPr>
      </w:pPr>
      <w:r w:rsidRPr="00402849">
        <w:rPr>
          <w:rFonts w:ascii="Arial" w:hAnsi="Arial" w:cs="Arial"/>
        </w:rPr>
        <w:t xml:space="preserve">The absence of negative silhouette values is particularly important. It signifies that no station lies closer to a </w:t>
      </w:r>
      <w:proofErr w:type="spellStart"/>
      <w:r w:rsidRPr="00402849">
        <w:rPr>
          <w:rFonts w:ascii="Arial" w:hAnsi="Arial" w:cs="Arial"/>
        </w:rPr>
        <w:t>neighbouring</w:t>
      </w:r>
      <w:proofErr w:type="spellEnd"/>
      <w:r w:rsidRPr="00402849">
        <w:rPr>
          <w:rFonts w:ascii="Arial" w:hAnsi="Arial" w:cs="Arial"/>
        </w:rPr>
        <w:t xml:space="preserve"> cluster than to its assigned cluster, thus validating the reliability of the clustering process. The supportive results of both the Elbow Method and silhouette analysis strengthen confidence in the four-cluster model as a robust representation of spatial relationships among the 24 flare sites.</w:t>
      </w:r>
    </w:p>
    <w:p w14:paraId="32994A86" w14:textId="77777777" w:rsidR="0071738B" w:rsidRDefault="0071738B" w:rsidP="0071738B">
      <w:r w:rsidRPr="00CD0459">
        <w:t xml:space="preserve">To test the sensitivity of the configuration, the silhouette score was </w:t>
      </w:r>
      <w:proofErr w:type="gramStart"/>
      <w:r w:rsidRPr="00CD0459">
        <w:t>evaluated for</w:t>
      </w:r>
      <w:proofErr w:type="gramEnd"/>
      <w:r>
        <w:t xml:space="preserve"> K=3 </w:t>
      </w:r>
      <w:r w:rsidRPr="00CD0459">
        <w:t>to</w:t>
      </w:r>
      <w:r>
        <w:t xml:space="preserve"> 10</w:t>
      </w:r>
      <w:r w:rsidRPr="00CD0459">
        <w:t>. Results show that clustering quality remains relatively stable across</w:t>
      </w:r>
      <w:r>
        <w:t xml:space="preserve"> K=3 to 5</w:t>
      </w:r>
      <w:r w:rsidRPr="00CD0459">
        <w:t>, with the highest silhouette value of approximately 0.69 occurring at</w:t>
      </w:r>
      <w:r>
        <w:t xml:space="preserve"> K=4</w:t>
      </w:r>
      <w:r w:rsidRPr="00CD0459">
        <w:t xml:space="preserve">. Beyond </w:t>
      </w:r>
      <w:r>
        <w:t>K=5</w:t>
      </w:r>
      <w:r w:rsidRPr="00CD0459">
        <w:t xml:space="preserve">, silhouette values decline sharply, indicating fragmentation and reduced cluster cohesion. This </w:t>
      </w:r>
      <w:r>
        <w:t>shows</w:t>
      </w:r>
      <w:r w:rsidRPr="00CD0459">
        <w:t xml:space="preserve"> that the</w:t>
      </w:r>
      <w:r>
        <w:t xml:space="preserve"> K=4 </w:t>
      </w:r>
      <w:r w:rsidRPr="00CD0459">
        <w:t>solution is not only optimal, but also robust against small variations in cluster number.</w:t>
      </w:r>
    </w:p>
    <w:p w14:paraId="5B021F60" w14:textId="77777777" w:rsidR="00865CDB" w:rsidRPr="00402849" w:rsidRDefault="00865CDB" w:rsidP="00865CDB">
      <w:pPr>
        <w:jc w:val="both"/>
        <w:rPr>
          <w:rFonts w:ascii="Arial" w:hAnsi="Arial" w:cs="Arial"/>
          <w:b/>
          <w:bCs/>
        </w:rPr>
      </w:pPr>
      <w:r w:rsidRPr="00402849">
        <w:rPr>
          <w:rFonts w:ascii="Arial" w:hAnsi="Arial" w:cs="Arial"/>
          <w:b/>
          <w:bCs/>
        </w:rPr>
        <w:t>4.5 Implications for Gas-Recovery Infrastructure Design</w:t>
      </w:r>
    </w:p>
    <w:p w14:paraId="7B7A8A20" w14:textId="77777777" w:rsidR="00865CDB" w:rsidRPr="00402849" w:rsidRDefault="00865CDB" w:rsidP="00865CDB">
      <w:pPr>
        <w:jc w:val="both"/>
        <w:rPr>
          <w:rFonts w:ascii="Arial" w:hAnsi="Arial" w:cs="Arial"/>
        </w:rPr>
      </w:pPr>
      <w:r w:rsidRPr="00402849">
        <w:rPr>
          <w:rFonts w:ascii="Arial" w:hAnsi="Arial" w:cs="Arial"/>
        </w:rPr>
        <w:t>The spatial and volumetric characteristics of the clusters have direct implications for gas-gathering and processing projects:</w:t>
      </w:r>
    </w:p>
    <w:p w14:paraId="2711EF2E" w14:textId="77777777" w:rsidR="00865CDB" w:rsidRPr="00400DE4" w:rsidRDefault="00865CDB" w:rsidP="00001628">
      <w:pPr>
        <w:numPr>
          <w:ilvl w:val="0"/>
          <w:numId w:val="37"/>
        </w:numPr>
        <w:spacing w:line="278" w:lineRule="auto"/>
        <w:jc w:val="both"/>
        <w:rPr>
          <w:rFonts w:ascii="Arial" w:hAnsi="Arial" w:cs="Arial"/>
        </w:rPr>
      </w:pPr>
      <w:r w:rsidRPr="00400DE4">
        <w:rPr>
          <w:rFonts w:ascii="Arial" w:hAnsi="Arial" w:cs="Arial"/>
        </w:rPr>
        <w:t>Cluster-based hubs reduce pipeline length</w:t>
      </w:r>
    </w:p>
    <w:p w14:paraId="76116D6E" w14:textId="3D65A34F" w:rsidR="00865CDB" w:rsidRPr="00400DE4" w:rsidRDefault="00865CDB" w:rsidP="00865CDB">
      <w:pPr>
        <w:ind w:left="720"/>
        <w:jc w:val="both"/>
        <w:rPr>
          <w:rFonts w:ascii="Arial" w:hAnsi="Arial" w:cs="Arial"/>
        </w:rPr>
      </w:pPr>
      <w:r w:rsidRPr="00400DE4">
        <w:rPr>
          <w:rFonts w:ascii="Arial" w:hAnsi="Arial" w:cs="Arial"/>
        </w:rPr>
        <w:t xml:space="preserve">By tying each cluster to a central hub, the total length of new pipelines is minimized. This reduces capital expenditure and shortens deployment timelines. This effect parallels findings in optimization studies that promote aggregation for cost minimization in gas-gathering networks </w:t>
      </w:r>
      <w:r w:rsidR="00C457FD">
        <w:rPr>
          <w:rFonts w:ascii="Arial" w:hAnsi="Arial" w:cs="Arial"/>
        </w:rPr>
        <w:t>(</w:t>
      </w:r>
      <w:proofErr w:type="spellStart"/>
      <w:r w:rsidR="00C457FD" w:rsidRPr="00172252">
        <w:rPr>
          <w:rFonts w:ascii="Arial" w:hAnsi="Arial" w:cs="Arial"/>
        </w:rPr>
        <w:t>Fagbami</w:t>
      </w:r>
      <w:proofErr w:type="spellEnd"/>
      <w:r w:rsidR="00C457FD">
        <w:rPr>
          <w:rFonts w:ascii="Arial" w:hAnsi="Arial" w:cs="Arial"/>
        </w:rPr>
        <w:t>, 2024)</w:t>
      </w:r>
      <w:r w:rsidRPr="00400DE4">
        <w:rPr>
          <w:rFonts w:ascii="Arial" w:hAnsi="Arial" w:cs="Arial"/>
        </w:rPr>
        <w:t>.</w:t>
      </w:r>
    </w:p>
    <w:p w14:paraId="15A01E3C" w14:textId="77777777" w:rsidR="00865CDB" w:rsidRPr="00400DE4" w:rsidRDefault="00865CDB" w:rsidP="00001628">
      <w:pPr>
        <w:numPr>
          <w:ilvl w:val="0"/>
          <w:numId w:val="37"/>
        </w:numPr>
        <w:spacing w:line="278" w:lineRule="auto"/>
        <w:jc w:val="both"/>
        <w:rPr>
          <w:rFonts w:ascii="Arial" w:hAnsi="Arial" w:cs="Arial"/>
        </w:rPr>
      </w:pPr>
      <w:r w:rsidRPr="00400DE4">
        <w:rPr>
          <w:rFonts w:ascii="Arial" w:hAnsi="Arial" w:cs="Arial"/>
        </w:rPr>
        <w:t>Shared infrastructure enables economies of scale</w:t>
      </w:r>
    </w:p>
    <w:p w14:paraId="3AB48E48" w14:textId="77777777" w:rsidR="00865CDB" w:rsidRPr="00400DE4" w:rsidRDefault="00865CDB" w:rsidP="00001628">
      <w:pPr>
        <w:ind w:left="720"/>
        <w:jc w:val="both"/>
        <w:rPr>
          <w:rFonts w:ascii="Arial" w:hAnsi="Arial" w:cs="Arial"/>
        </w:rPr>
      </w:pPr>
      <w:r w:rsidRPr="00400DE4">
        <w:rPr>
          <w:rFonts w:ascii="Arial" w:hAnsi="Arial" w:cs="Arial"/>
        </w:rPr>
        <w:t>Small flare sources that would otherwise remain unutilized can now contribute to a viable aggregated gas stream.</w:t>
      </w:r>
    </w:p>
    <w:p w14:paraId="3BC3399F" w14:textId="77777777" w:rsidR="00865CDB" w:rsidRPr="00400DE4" w:rsidRDefault="00865CDB" w:rsidP="00001628">
      <w:pPr>
        <w:numPr>
          <w:ilvl w:val="0"/>
          <w:numId w:val="37"/>
        </w:numPr>
        <w:spacing w:line="278" w:lineRule="auto"/>
        <w:jc w:val="both"/>
        <w:rPr>
          <w:rFonts w:ascii="Arial" w:hAnsi="Arial" w:cs="Arial"/>
        </w:rPr>
      </w:pPr>
      <w:r w:rsidRPr="00400DE4">
        <w:rPr>
          <w:rFonts w:ascii="Arial" w:hAnsi="Arial" w:cs="Arial"/>
        </w:rPr>
        <w:t>Priority zones are clearly identified</w:t>
      </w:r>
    </w:p>
    <w:p w14:paraId="4B865DF4" w14:textId="77777777" w:rsidR="00865CDB" w:rsidRPr="00400DE4" w:rsidRDefault="00865CDB" w:rsidP="00001628">
      <w:pPr>
        <w:ind w:left="720"/>
        <w:jc w:val="both"/>
        <w:rPr>
          <w:rFonts w:ascii="Arial" w:hAnsi="Arial" w:cs="Arial"/>
        </w:rPr>
      </w:pPr>
      <w:r w:rsidRPr="00400DE4">
        <w:rPr>
          <w:rFonts w:ascii="Arial" w:hAnsi="Arial" w:cs="Arial"/>
        </w:rPr>
        <w:t>The dominance of Clusters 0 and 3 suggests that gas recovery efforts should begin in these high-impact regions.</w:t>
      </w:r>
    </w:p>
    <w:p w14:paraId="7CCF47A2" w14:textId="77777777" w:rsidR="00865CDB" w:rsidRPr="00400DE4" w:rsidRDefault="00865CDB" w:rsidP="00001628">
      <w:pPr>
        <w:numPr>
          <w:ilvl w:val="0"/>
          <w:numId w:val="37"/>
        </w:numPr>
        <w:spacing w:line="278" w:lineRule="auto"/>
        <w:jc w:val="both"/>
        <w:rPr>
          <w:rFonts w:ascii="Arial" w:hAnsi="Arial" w:cs="Arial"/>
        </w:rPr>
      </w:pPr>
      <w:r w:rsidRPr="00400DE4">
        <w:rPr>
          <w:rFonts w:ascii="Arial" w:hAnsi="Arial" w:cs="Arial"/>
        </w:rPr>
        <w:t>Supports long-term flare-reduction policy</w:t>
      </w:r>
    </w:p>
    <w:p w14:paraId="36FC0491" w14:textId="77777777" w:rsidR="00865CDB" w:rsidRPr="00400DE4" w:rsidRDefault="00865CDB" w:rsidP="00001628">
      <w:pPr>
        <w:ind w:left="720"/>
        <w:jc w:val="both"/>
        <w:rPr>
          <w:rFonts w:ascii="Arial" w:hAnsi="Arial" w:cs="Arial"/>
        </w:rPr>
      </w:pPr>
      <w:r w:rsidRPr="00400DE4">
        <w:rPr>
          <w:rFonts w:ascii="Arial" w:hAnsi="Arial" w:cs="Arial"/>
        </w:rPr>
        <w:t>Clustered planning aligns with national initiatives aimed at reducing routine flaring and increasing domestic gas utilization.</w:t>
      </w:r>
    </w:p>
    <w:p w14:paraId="7D480C1C" w14:textId="77777777" w:rsidR="00865CDB" w:rsidRPr="00400DE4" w:rsidRDefault="00865CDB" w:rsidP="00001628">
      <w:pPr>
        <w:numPr>
          <w:ilvl w:val="0"/>
          <w:numId w:val="37"/>
        </w:numPr>
        <w:spacing w:line="278" w:lineRule="auto"/>
        <w:jc w:val="both"/>
        <w:rPr>
          <w:rFonts w:ascii="Arial" w:hAnsi="Arial" w:cs="Arial"/>
        </w:rPr>
      </w:pPr>
      <w:r w:rsidRPr="00400DE4">
        <w:rPr>
          <w:rFonts w:ascii="Arial" w:hAnsi="Arial" w:cs="Arial"/>
        </w:rPr>
        <w:t>Foundation for modular gas-to-power implementation</w:t>
      </w:r>
    </w:p>
    <w:p w14:paraId="50057B6B" w14:textId="77777777" w:rsidR="00865CDB" w:rsidRDefault="00865CDB" w:rsidP="00001628">
      <w:pPr>
        <w:ind w:left="720"/>
        <w:jc w:val="both"/>
        <w:rPr>
          <w:rFonts w:ascii="Arial" w:hAnsi="Arial" w:cs="Arial"/>
        </w:rPr>
      </w:pPr>
      <w:r w:rsidRPr="00402849">
        <w:rPr>
          <w:rFonts w:ascii="Arial" w:hAnsi="Arial" w:cs="Arial"/>
        </w:rPr>
        <w:t>Smaller clusters (e.g., Clusters 1 and 2) can support localized power solutions, particularly for host communities.</w:t>
      </w:r>
    </w:p>
    <w:p w14:paraId="79B66E7E" w14:textId="77777777" w:rsidR="009A136F" w:rsidRPr="00402849" w:rsidRDefault="009A136F" w:rsidP="00001628">
      <w:pPr>
        <w:ind w:left="720"/>
        <w:jc w:val="both"/>
        <w:rPr>
          <w:rFonts w:ascii="Arial" w:hAnsi="Arial" w:cs="Arial"/>
        </w:rPr>
      </w:pPr>
    </w:p>
    <w:p w14:paraId="576B43C0" w14:textId="480D86BD" w:rsidR="00B01FCD" w:rsidRDefault="00001628"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4912F16B" w14:textId="77777777" w:rsidR="00790ADA" w:rsidRPr="00FB3A86" w:rsidRDefault="00790ADA" w:rsidP="00441B6F">
      <w:pPr>
        <w:pStyle w:val="ConcHead"/>
        <w:spacing w:after="0"/>
        <w:jc w:val="both"/>
        <w:rPr>
          <w:rFonts w:ascii="Arial" w:hAnsi="Arial" w:cs="Arial"/>
        </w:rPr>
      </w:pPr>
    </w:p>
    <w:p w14:paraId="49DB5AFD" w14:textId="10BF3BBE" w:rsidR="00400DE4" w:rsidRPr="00362885" w:rsidRDefault="00400DE4" w:rsidP="00400DE4">
      <w:pPr>
        <w:jc w:val="both"/>
        <w:rPr>
          <w:rFonts w:ascii="Arial" w:hAnsi="Arial" w:cs="Arial"/>
        </w:rPr>
      </w:pPr>
      <w:r w:rsidRPr="00362885">
        <w:rPr>
          <w:rFonts w:ascii="Arial" w:hAnsi="Arial" w:cs="Arial"/>
        </w:rPr>
        <w:t>This study applied a geospatial, cluster-based optimization framework to 24 flare-gas sites in the Niger Delta, producing a robust and operationally meaningful four-cluster structure. The Elbow Method established K = 4 as the optimal number of clusters</w:t>
      </w:r>
      <w:r w:rsidR="000A4344">
        <w:rPr>
          <w:rFonts w:ascii="Arial" w:hAnsi="Arial" w:cs="Arial"/>
        </w:rPr>
        <w:t>.</w:t>
      </w:r>
      <w:r w:rsidRPr="00362885">
        <w:rPr>
          <w:rFonts w:ascii="Arial" w:hAnsi="Arial" w:cs="Arial"/>
        </w:rPr>
        <w:t xml:space="preserve"> </w:t>
      </w:r>
      <w:r w:rsidR="000A4344">
        <w:rPr>
          <w:rFonts w:ascii="Arial" w:hAnsi="Arial" w:cs="Arial"/>
        </w:rPr>
        <w:t>W</w:t>
      </w:r>
      <w:r w:rsidRPr="00362885">
        <w:rPr>
          <w:rFonts w:ascii="Arial" w:hAnsi="Arial" w:cs="Arial"/>
        </w:rPr>
        <w:t>hile silhouette validation confirmed strong cohesion and separation</w:t>
      </w:r>
    </w:p>
    <w:p w14:paraId="7F3E8242" w14:textId="23E370B1" w:rsidR="00400DE4" w:rsidRPr="00362885" w:rsidRDefault="00400DE4" w:rsidP="00400DE4">
      <w:pPr>
        <w:jc w:val="both"/>
        <w:rPr>
          <w:rFonts w:ascii="Arial" w:hAnsi="Arial" w:cs="Arial"/>
        </w:rPr>
      </w:pPr>
      <w:r w:rsidRPr="00362885">
        <w:rPr>
          <w:rFonts w:ascii="Arial" w:hAnsi="Arial" w:cs="Arial"/>
        </w:rPr>
        <w:t xml:space="preserve">The clustering analysis revealed that Cluster 0 and Cluster 3 are the most significant recovery zones, jointly accounting for approximately 63% of the aggregated daily flare volume. These high-volume clusters align with previously reported spatial flaring belts within the region </w:t>
      </w:r>
      <w:r w:rsidR="00A22933">
        <w:rPr>
          <w:rFonts w:ascii="Arial" w:hAnsi="Arial" w:cs="Arial"/>
        </w:rPr>
        <w:t>(</w:t>
      </w:r>
      <w:proofErr w:type="spellStart"/>
      <w:r w:rsidR="00A22933" w:rsidRPr="00172252">
        <w:rPr>
          <w:rFonts w:ascii="Arial" w:hAnsi="Arial" w:cs="Arial"/>
        </w:rPr>
        <w:t>Awulu</w:t>
      </w:r>
      <w:proofErr w:type="spellEnd"/>
      <w:r w:rsidR="00A22933">
        <w:rPr>
          <w:rFonts w:ascii="Arial" w:hAnsi="Arial" w:cs="Arial"/>
        </w:rPr>
        <w:t xml:space="preserve">, 2021) </w:t>
      </w:r>
      <w:r w:rsidRPr="00362885">
        <w:rPr>
          <w:rFonts w:ascii="Arial" w:hAnsi="Arial" w:cs="Arial"/>
        </w:rPr>
        <w:t>and represent the most promising locations for centralized gas-gathering hubs.</w:t>
      </w:r>
      <w:r w:rsidR="000A4344">
        <w:rPr>
          <w:rFonts w:ascii="Arial" w:hAnsi="Arial" w:cs="Arial"/>
        </w:rPr>
        <w:t xml:space="preserve"> </w:t>
      </w:r>
      <w:r w:rsidR="000A4344" w:rsidRPr="00DC17ED">
        <w:rPr>
          <w:lang w:val="en-NG"/>
        </w:rPr>
        <w:t>While prior work examined flare impacts and critically assessed Nigeria’s</w:t>
      </w:r>
      <w:r w:rsidR="000A4344">
        <w:t xml:space="preserve"> </w:t>
      </w:r>
      <w:r w:rsidR="000A4344" w:rsidRPr="00DC17ED">
        <w:rPr>
          <w:lang w:val="en-NG"/>
        </w:rPr>
        <w:t>regulatory frameworks for combating gas flaring (</w:t>
      </w:r>
      <w:proofErr w:type="spellStart"/>
      <w:r w:rsidR="000A4344" w:rsidRPr="00DC17ED">
        <w:rPr>
          <w:lang w:val="en-NG"/>
        </w:rPr>
        <w:t>Olujobi</w:t>
      </w:r>
      <w:proofErr w:type="spellEnd"/>
      <w:r w:rsidR="000A4344" w:rsidRPr="00DC17ED">
        <w:rPr>
          <w:lang w:val="en-NG"/>
        </w:rPr>
        <w:t xml:space="preserve"> et al., 2022), this research contributes a practical clustering-based model that can directly inform engineering design, infrastructural planning, and energy policy decisions.</w:t>
      </w:r>
    </w:p>
    <w:p w14:paraId="3F8338D6" w14:textId="01BC6F5A" w:rsidR="00E07140" w:rsidRDefault="00400DE4" w:rsidP="00E07140">
      <w:pPr>
        <w:jc w:val="both"/>
      </w:pPr>
      <w:r w:rsidRPr="00362885">
        <w:rPr>
          <w:rFonts w:ascii="Arial" w:hAnsi="Arial" w:cs="Arial"/>
        </w:rPr>
        <w:t>Overall, the findings demonstrate that geospatial clustering provides a powerful decision-support tool for flare-gas recovery planning. By revealing natural spatial groupings, the method reduces infrastructure uncertainty, improves cost-effectiveness, and strengthens the foundation for achieving Nigeria’s flare-reduction and energy-security objectives.</w:t>
      </w:r>
      <w:r w:rsidR="00E07140">
        <w:rPr>
          <w:rFonts w:ascii="Arial" w:hAnsi="Arial" w:cs="Arial"/>
        </w:rPr>
        <w:t xml:space="preserve"> </w:t>
      </w:r>
      <w:r w:rsidR="00E07140" w:rsidRPr="00EF1C77">
        <w:t xml:space="preserve">The cluster </w:t>
      </w:r>
      <w:r w:rsidR="00E07140" w:rsidRPr="00EF1C77">
        <w:lastRenderedPageBreak/>
        <w:t xml:space="preserve">hubs identified in this </w:t>
      </w:r>
      <w:r w:rsidR="00E07140">
        <w:t>study</w:t>
      </w:r>
      <w:r w:rsidR="00E07140" w:rsidRPr="00EF1C77">
        <w:t xml:space="preserve"> could directly support flare-reduction frameworks such as the natural gas flaring management system proposed by Abu et al. </w:t>
      </w:r>
      <w:r w:rsidR="00924383">
        <w:t xml:space="preserve"> </w:t>
      </w:r>
      <w:r w:rsidR="00E07140" w:rsidRPr="00EF1C77">
        <w:t>(2023)</w:t>
      </w:r>
      <w:r w:rsidR="00E07140">
        <w:t>. This will</w:t>
      </w:r>
      <w:r w:rsidR="00E07140" w:rsidRPr="00EF1C77">
        <w:t xml:space="preserve"> enabl</w:t>
      </w:r>
      <w:r w:rsidR="00E07140">
        <w:t>e</w:t>
      </w:r>
      <w:r w:rsidR="00E07140" w:rsidRPr="00EF1C77">
        <w:t xml:space="preserve"> targeted deployment where the greatest volumetric gains can be achieved.</w:t>
      </w:r>
    </w:p>
    <w:p w14:paraId="1E195094" w14:textId="77777777" w:rsidR="0032036C" w:rsidRDefault="00F677F2" w:rsidP="00386388">
      <w:pPr>
        <w:jc w:val="both"/>
        <w:rPr>
          <w:rFonts w:ascii="Arial" w:hAnsi="Arial" w:cs="Arial"/>
        </w:rPr>
      </w:pPr>
      <w:r w:rsidRPr="000F6DC0">
        <w:rPr>
          <w:rFonts w:ascii="Arial" w:hAnsi="Arial" w:cs="Arial"/>
        </w:rPr>
        <w:t xml:space="preserve">Based on the findings, </w:t>
      </w:r>
      <w:r w:rsidR="0032036C" w:rsidRPr="0032036C">
        <w:rPr>
          <w:rFonts w:ascii="Arial" w:hAnsi="Arial" w:cs="Arial"/>
        </w:rPr>
        <w:t xml:space="preserve">this study recommends </w:t>
      </w:r>
      <w:proofErr w:type="spellStart"/>
      <w:r w:rsidR="0032036C" w:rsidRPr="0032036C">
        <w:rPr>
          <w:rFonts w:ascii="Arial" w:hAnsi="Arial" w:cs="Arial"/>
        </w:rPr>
        <w:t>prioritising</w:t>
      </w:r>
      <w:proofErr w:type="spellEnd"/>
      <w:r w:rsidR="0032036C" w:rsidRPr="0032036C">
        <w:rPr>
          <w:rFonts w:ascii="Arial" w:hAnsi="Arial" w:cs="Arial"/>
        </w:rPr>
        <w:t xml:space="preserve"> high-volume clusters</w:t>
      </w:r>
      <w:r w:rsidR="0032036C">
        <w:rPr>
          <w:rFonts w:ascii="Arial" w:hAnsi="Arial" w:cs="Arial"/>
        </w:rPr>
        <w:t xml:space="preserve">; </w:t>
      </w:r>
      <w:proofErr w:type="gramStart"/>
      <w:r w:rsidR="0032036C">
        <w:rPr>
          <w:rFonts w:ascii="Arial" w:hAnsi="Arial" w:cs="Arial"/>
        </w:rPr>
        <w:t>so as to</w:t>
      </w:r>
      <w:proofErr w:type="gramEnd"/>
      <w:r w:rsidR="0032036C">
        <w:rPr>
          <w:rFonts w:ascii="Arial" w:hAnsi="Arial" w:cs="Arial"/>
        </w:rPr>
        <w:t xml:space="preserve"> support</w:t>
      </w:r>
      <w:r w:rsidRPr="000F6DC0">
        <w:rPr>
          <w:rFonts w:ascii="Arial" w:hAnsi="Arial" w:cs="Arial"/>
        </w:rPr>
        <w:t xml:space="preserve"> the implementation of cluster-based flare-gas recovery</w:t>
      </w:r>
      <w:r w:rsidR="0032036C">
        <w:rPr>
          <w:rFonts w:ascii="Arial" w:hAnsi="Arial" w:cs="Arial"/>
        </w:rPr>
        <w:t>.</w:t>
      </w:r>
      <w:r w:rsidRPr="000F6DC0">
        <w:rPr>
          <w:rFonts w:ascii="Arial" w:hAnsi="Arial" w:cs="Arial"/>
          <w:b/>
          <w:bCs/>
        </w:rPr>
        <w:t xml:space="preserve"> </w:t>
      </w:r>
      <w:r w:rsidRPr="000F6DC0">
        <w:rPr>
          <w:rFonts w:ascii="Arial" w:hAnsi="Arial" w:cs="Arial"/>
        </w:rPr>
        <w:t>Each cluster should be developed around a central hub located near the computed centroid. This approach will minimize pipeline length and reduce infrastructural redundancy.</w:t>
      </w:r>
      <w:r w:rsidR="000A4344">
        <w:rPr>
          <w:rFonts w:ascii="Arial" w:hAnsi="Arial" w:cs="Arial"/>
        </w:rPr>
        <w:t xml:space="preserve"> </w:t>
      </w:r>
      <w:r w:rsidR="0032036C" w:rsidRPr="0032036C">
        <w:rPr>
          <w:rFonts w:ascii="Arial" w:hAnsi="Arial" w:cs="Arial"/>
        </w:rPr>
        <w:t>Regulatory bodies such as the NUPRC and the Ministry of Petroleum Resources should also integrate cluster-based recovery models into gas-</w:t>
      </w:r>
      <w:proofErr w:type="spellStart"/>
      <w:r w:rsidR="0032036C" w:rsidRPr="0032036C">
        <w:rPr>
          <w:rFonts w:ascii="Arial" w:hAnsi="Arial" w:cs="Arial"/>
        </w:rPr>
        <w:t>commercialisation</w:t>
      </w:r>
      <w:proofErr w:type="spellEnd"/>
      <w:r w:rsidR="0032036C" w:rsidRPr="0032036C">
        <w:rPr>
          <w:rFonts w:ascii="Arial" w:hAnsi="Arial" w:cs="Arial"/>
        </w:rPr>
        <w:t xml:space="preserve"> frameworks and flare-reduction policy execution.</w:t>
      </w:r>
      <w:r w:rsidR="0032036C">
        <w:rPr>
          <w:rFonts w:ascii="Arial" w:hAnsi="Arial" w:cs="Arial"/>
        </w:rPr>
        <w:t xml:space="preserve"> </w:t>
      </w:r>
    </w:p>
    <w:p w14:paraId="61780627" w14:textId="720B2A01" w:rsidR="00B50EEB" w:rsidRDefault="0032036C" w:rsidP="00386388">
      <w:pPr>
        <w:jc w:val="both"/>
        <w:rPr>
          <w:rFonts w:ascii="Arial" w:hAnsi="Arial" w:cs="Arial"/>
        </w:rPr>
      </w:pPr>
      <w:r w:rsidRPr="0032036C">
        <w:rPr>
          <w:rFonts w:ascii="Arial" w:hAnsi="Arial" w:cs="Arial"/>
        </w:rPr>
        <w:t>A techno-economic evaluation is further required to design optimum pipeline routing and processing architecture for each cluster.</w:t>
      </w:r>
      <w:r>
        <w:rPr>
          <w:rFonts w:ascii="Arial" w:hAnsi="Arial" w:cs="Arial"/>
        </w:rPr>
        <w:t xml:space="preserve"> </w:t>
      </w:r>
      <w:r w:rsidR="00F677F2" w:rsidRPr="000F6DC0">
        <w:rPr>
          <w:rFonts w:ascii="Arial" w:hAnsi="Arial" w:cs="Arial"/>
        </w:rPr>
        <w:t>Clusters 1 and 2, though smaller in cumulative flare volume, are well-suited for modular power plants for nearby communities.</w:t>
      </w:r>
      <w:r>
        <w:rPr>
          <w:rFonts w:ascii="Arial" w:hAnsi="Arial" w:cs="Arial"/>
        </w:rPr>
        <w:t xml:space="preserve"> </w:t>
      </w:r>
      <w:r w:rsidR="00386388" w:rsidRPr="00386388">
        <w:rPr>
          <w:rFonts w:ascii="Arial" w:hAnsi="Arial" w:cs="Arial"/>
        </w:rPr>
        <w:t>Future research may incorporate terrain elevation</w:t>
      </w:r>
      <w:r w:rsidR="00386388">
        <w:rPr>
          <w:rFonts w:ascii="Arial" w:hAnsi="Arial" w:cs="Arial"/>
        </w:rPr>
        <w:t xml:space="preserve"> and</w:t>
      </w:r>
      <w:r w:rsidR="00386388" w:rsidRPr="00386388">
        <w:rPr>
          <w:rFonts w:ascii="Arial" w:hAnsi="Arial" w:cs="Arial"/>
        </w:rPr>
        <w:t xml:space="preserve"> pipeline accessibility to strengthen deployment planning</w:t>
      </w:r>
      <w:r w:rsidR="00386388">
        <w:rPr>
          <w:rFonts w:ascii="Arial" w:hAnsi="Arial" w:cs="Arial"/>
        </w:rPr>
        <w:t>. This will</w:t>
      </w:r>
      <w:r w:rsidR="00386388" w:rsidRPr="00386388">
        <w:rPr>
          <w:rFonts w:ascii="Arial" w:hAnsi="Arial" w:cs="Arial"/>
        </w:rPr>
        <w:t xml:space="preserve"> improv</w:t>
      </w:r>
      <w:r w:rsidR="00386388">
        <w:rPr>
          <w:rFonts w:ascii="Arial" w:hAnsi="Arial" w:cs="Arial"/>
        </w:rPr>
        <w:t>e</w:t>
      </w:r>
      <w:r w:rsidR="00386388" w:rsidRPr="00386388">
        <w:rPr>
          <w:rFonts w:ascii="Arial" w:hAnsi="Arial" w:cs="Arial"/>
        </w:rPr>
        <w:t xml:space="preserve"> the practical scalability of the clustering framework.</w:t>
      </w:r>
      <w:r w:rsidR="00386388">
        <w:rPr>
          <w:rFonts w:ascii="Arial" w:hAnsi="Arial" w:cs="Arial"/>
        </w:rPr>
        <w:t xml:space="preserve"> </w:t>
      </w:r>
    </w:p>
    <w:p w14:paraId="4FFD32BC" w14:textId="77777777" w:rsidR="00386388" w:rsidRPr="006E2D19" w:rsidRDefault="00386388" w:rsidP="00386388">
      <w:pPr>
        <w:jc w:val="both"/>
        <w:rPr>
          <w:b/>
          <w:bCs/>
          <w:lang w:val="en-NG"/>
        </w:rPr>
      </w:pPr>
      <w:r w:rsidRPr="006E2D19">
        <w:rPr>
          <w:b/>
          <w:bCs/>
          <w:lang w:val="en-NG"/>
        </w:rPr>
        <w:t>Data Availability Statement</w:t>
      </w:r>
    </w:p>
    <w:p w14:paraId="3F9023B3" w14:textId="77777777" w:rsidR="00386388" w:rsidRPr="006E2D19" w:rsidRDefault="00386388" w:rsidP="00386388">
      <w:pPr>
        <w:jc w:val="both"/>
        <w:rPr>
          <w:lang w:val="en-NG"/>
        </w:rPr>
      </w:pPr>
      <w:r w:rsidRPr="006E2D19">
        <w:rPr>
          <w:lang w:val="en-NG"/>
        </w:rPr>
        <w:t>The flare-volume and geospatial datasets used in this research are available upon reasonable request</w:t>
      </w:r>
      <w:r>
        <w:rPr>
          <w:lang w:val="en-NG"/>
        </w:rPr>
        <w:t>, d</w:t>
      </w:r>
      <w:r w:rsidRPr="006E2D19">
        <w:rPr>
          <w:lang w:val="en-NG"/>
        </w:rPr>
        <w:t>ue to operational confidentiality and asset-level sensitivity</w:t>
      </w:r>
      <w:r>
        <w:rPr>
          <w:lang w:val="en-NG"/>
        </w:rPr>
        <w:t>.</w:t>
      </w:r>
    </w:p>
    <w:p w14:paraId="32B11EF4" w14:textId="77777777" w:rsidR="00386388" w:rsidRPr="0032036C" w:rsidRDefault="00386388" w:rsidP="00B50EEB">
      <w:pPr>
        <w:rPr>
          <w:rFonts w:ascii="Arial" w:hAnsi="Arial" w:cs="Arial"/>
          <w:b/>
          <w:bCs/>
        </w:rPr>
      </w:pPr>
    </w:p>
    <w:p w14:paraId="6C7BC477" w14:textId="77777777" w:rsidR="00A31F81" w:rsidRPr="00740879" w:rsidRDefault="00A31F81" w:rsidP="00A31F81">
      <w:pPr>
        <w:rPr>
          <w:highlight w:val="yellow"/>
        </w:rPr>
      </w:pPr>
      <w:r w:rsidRPr="00740879">
        <w:rPr>
          <w:highlight w:val="yellow"/>
        </w:rPr>
        <w:t>Disclaimer (Artificial intelligence)</w:t>
      </w:r>
    </w:p>
    <w:p w14:paraId="55DE0942" w14:textId="6772387B" w:rsidR="009D4885" w:rsidRPr="00CD4474" w:rsidRDefault="009D4885" w:rsidP="009D4885">
      <w:pPr>
        <w:spacing w:after="160" w:line="278" w:lineRule="auto"/>
        <w:jc w:val="both"/>
        <w:rPr>
          <w:lang w:val="en-NG"/>
        </w:rPr>
      </w:pPr>
      <w:r w:rsidRPr="00CD4474">
        <w:rPr>
          <w:lang w:val="en-NG"/>
        </w:rPr>
        <w:t>Author(s) hereby declare that generative AI tools were used during the revision stage of this manuscript</w:t>
      </w:r>
      <w:r>
        <w:rPr>
          <w:lang w:val="en-NG"/>
        </w:rPr>
        <w:t>. It was</w:t>
      </w:r>
      <w:r w:rsidRPr="00CD4474">
        <w:rPr>
          <w:lang w:val="en-NG"/>
        </w:rPr>
        <w:t xml:space="preserve"> strictly for language refinement</w:t>
      </w:r>
      <w:r>
        <w:rPr>
          <w:lang w:val="en-NG"/>
        </w:rPr>
        <w:t xml:space="preserve"> and</w:t>
      </w:r>
      <w:r w:rsidRPr="00CD4474">
        <w:rPr>
          <w:lang w:val="en-NG"/>
        </w:rPr>
        <w:t xml:space="preserve"> restructuring of sentences. ChatGPT (OpenAI GPT-5.1) was used to assist in rephrasing reviewer-recommended sections, but all ideas, results, data interpretation, and conceptual development are original to the authors.</w:t>
      </w:r>
    </w:p>
    <w:p w14:paraId="421614A6" w14:textId="77777777" w:rsidR="009D4885" w:rsidRPr="009D4885" w:rsidRDefault="009D4885" w:rsidP="009D4885">
      <w:pPr>
        <w:jc w:val="both"/>
        <w:rPr>
          <w:lang w:val="en-NG"/>
        </w:rPr>
      </w:pPr>
      <w:r w:rsidRPr="00CD4474">
        <w:rPr>
          <w:i/>
          <w:iCs/>
          <w:lang w:val="en-NG"/>
        </w:rPr>
        <w:t>Details of AI usage</w:t>
      </w:r>
      <w:r w:rsidRPr="009D4885">
        <w:rPr>
          <w:lang w:val="en-NG"/>
        </w:rPr>
        <w:t xml:space="preserve"> </w:t>
      </w:r>
    </w:p>
    <w:p w14:paraId="6422FED1" w14:textId="77777777" w:rsidR="009D4885" w:rsidRPr="009D4885" w:rsidRDefault="009D4885" w:rsidP="009D4885">
      <w:pPr>
        <w:pStyle w:val="ListParagraph"/>
        <w:numPr>
          <w:ilvl w:val="0"/>
          <w:numId w:val="40"/>
        </w:numPr>
        <w:ind w:left="426"/>
        <w:jc w:val="both"/>
        <w:rPr>
          <w:rFonts w:ascii="Helvetica" w:eastAsia="Times New Roman" w:hAnsi="Helvetica" w:cs="Times New Roman"/>
          <w:kern w:val="0"/>
          <w:sz w:val="20"/>
          <w:szCs w:val="20"/>
          <w:lang w:val="en-NG"/>
        </w:rPr>
      </w:pPr>
      <w:r w:rsidRPr="009D4885">
        <w:rPr>
          <w:rFonts w:ascii="Helvetica" w:eastAsia="Times New Roman" w:hAnsi="Helvetica" w:cs="Times New Roman"/>
          <w:kern w:val="0"/>
          <w:sz w:val="20"/>
          <w:szCs w:val="20"/>
          <w:lang w:val="en-NG"/>
        </w:rPr>
        <w:t>Re-phrasing and clarity improvement in abstract and introduction</w:t>
      </w:r>
    </w:p>
    <w:p w14:paraId="2D9681F3" w14:textId="77777777" w:rsidR="009D4885" w:rsidRPr="009D4885" w:rsidRDefault="009D4885" w:rsidP="009D4885">
      <w:pPr>
        <w:pStyle w:val="ListParagraph"/>
        <w:numPr>
          <w:ilvl w:val="0"/>
          <w:numId w:val="40"/>
        </w:numPr>
        <w:ind w:left="426"/>
        <w:jc w:val="both"/>
        <w:rPr>
          <w:rFonts w:ascii="Helvetica" w:eastAsia="Times New Roman" w:hAnsi="Helvetica" w:cs="Times New Roman"/>
          <w:kern w:val="0"/>
          <w:sz w:val="20"/>
          <w:szCs w:val="20"/>
          <w:lang w:val="en-NG"/>
        </w:rPr>
      </w:pPr>
      <w:r w:rsidRPr="009D4885">
        <w:rPr>
          <w:rFonts w:ascii="Helvetica" w:eastAsia="Times New Roman" w:hAnsi="Helvetica" w:cs="Times New Roman"/>
          <w:kern w:val="0"/>
          <w:sz w:val="20"/>
          <w:szCs w:val="20"/>
          <w:lang w:val="en-NG"/>
        </w:rPr>
        <w:t>Language refinement after reviewer comments</w:t>
      </w:r>
    </w:p>
    <w:p w14:paraId="06CBE31D" w14:textId="77777777" w:rsidR="00F677F2" w:rsidRPr="00362885" w:rsidRDefault="00F677F2" w:rsidP="00400DE4">
      <w:pPr>
        <w:jc w:val="both"/>
        <w:rPr>
          <w:rFonts w:ascii="Arial" w:hAnsi="Arial" w:cs="Arial"/>
        </w:rPr>
      </w:pPr>
    </w:p>
    <w:p w14:paraId="6A7419F9" w14:textId="77777777" w:rsidR="00790ADA" w:rsidRPr="00FB3A86" w:rsidRDefault="00790ADA" w:rsidP="00441B6F">
      <w:pPr>
        <w:pStyle w:val="Body"/>
        <w:spacing w:after="0"/>
        <w:rPr>
          <w:rFonts w:ascii="Arial" w:hAnsi="Arial" w:cs="Arial"/>
        </w:rPr>
      </w:pPr>
    </w:p>
    <w:p w14:paraId="12FBF6A6" w14:textId="77777777" w:rsidR="005C784C" w:rsidRDefault="005C784C" w:rsidP="00441B6F">
      <w:pPr>
        <w:pStyle w:val="ReferHead"/>
        <w:spacing w:after="0"/>
        <w:jc w:val="both"/>
        <w:rPr>
          <w:rFonts w:ascii="Arial" w:hAnsi="Arial" w:cs="Arial"/>
          <w:b w:val="0"/>
          <w:caps w:val="0"/>
          <w:sz w:val="20"/>
        </w:rPr>
      </w:pPr>
    </w:p>
    <w:p w14:paraId="34FE53D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BE45C45" w14:textId="77777777" w:rsidR="00790ADA" w:rsidRPr="00FB3A86" w:rsidRDefault="00790ADA" w:rsidP="00441B6F">
      <w:pPr>
        <w:pStyle w:val="ReferHead"/>
        <w:spacing w:after="0"/>
        <w:jc w:val="both"/>
        <w:rPr>
          <w:rFonts w:ascii="Arial" w:hAnsi="Arial" w:cs="Arial"/>
        </w:rPr>
      </w:pPr>
    </w:p>
    <w:p w14:paraId="5E0D7133" w14:textId="4E0DE3D5" w:rsidR="00EB1AC9" w:rsidRDefault="00EB1AC9" w:rsidP="00EB1AC9">
      <w:pPr>
        <w:numPr>
          <w:ilvl w:val="0"/>
          <w:numId w:val="38"/>
        </w:numPr>
        <w:spacing w:after="160" w:line="278" w:lineRule="auto"/>
        <w:jc w:val="both"/>
        <w:rPr>
          <w:rFonts w:ascii="Arial" w:hAnsi="Arial" w:cs="Arial"/>
        </w:rPr>
      </w:pPr>
      <w:proofErr w:type="spellStart"/>
      <w:r w:rsidRPr="00EB1AC9">
        <w:rPr>
          <w:rFonts w:ascii="Arial" w:hAnsi="Arial" w:cs="Arial"/>
        </w:rPr>
        <w:t>Emekwuru</w:t>
      </w:r>
      <w:proofErr w:type="spellEnd"/>
      <w:r w:rsidRPr="00EB1AC9">
        <w:rPr>
          <w:rFonts w:ascii="Arial" w:hAnsi="Arial" w:cs="Arial"/>
        </w:rPr>
        <w:t xml:space="preserve">, N., (2024). Characterization of the dominant stages at which gas flaring is introduced in the Niger Delta: Impacts and policy options to ameliorate them. Environment, 11(7), 158. </w:t>
      </w:r>
      <w:hyperlink r:id="rId19" w:history="1">
        <w:r w:rsidRPr="00B25485">
          <w:rPr>
            <w:rStyle w:val="Hyperlink"/>
            <w:rFonts w:ascii="Arial" w:hAnsi="Arial" w:cs="Arial"/>
          </w:rPr>
          <w:t>https://doi.org/10.3390/environments11070158</w:t>
        </w:r>
      </w:hyperlink>
    </w:p>
    <w:p w14:paraId="62367A6C" w14:textId="616465B6" w:rsidR="00460D36" w:rsidRPr="00EB1AC9" w:rsidRDefault="00460D36" w:rsidP="00460D36">
      <w:pPr>
        <w:numPr>
          <w:ilvl w:val="0"/>
          <w:numId w:val="38"/>
        </w:numPr>
        <w:spacing w:after="160" w:line="278" w:lineRule="auto"/>
        <w:jc w:val="both"/>
        <w:rPr>
          <w:rFonts w:ascii="Arial" w:hAnsi="Arial" w:cs="Arial"/>
        </w:rPr>
      </w:pPr>
      <w:r w:rsidRPr="00172252">
        <w:rPr>
          <w:rFonts w:ascii="Arial" w:hAnsi="Arial" w:cs="Arial"/>
        </w:rPr>
        <w:t xml:space="preserve">Jain A.K. </w:t>
      </w:r>
      <w:r w:rsidR="00B9542A">
        <w:rPr>
          <w:rFonts w:ascii="Arial" w:hAnsi="Arial" w:cs="Arial"/>
        </w:rPr>
        <w:t>(</w:t>
      </w:r>
      <w:r w:rsidR="00B9542A" w:rsidRPr="00172252">
        <w:rPr>
          <w:rFonts w:ascii="Arial" w:hAnsi="Arial" w:cs="Arial"/>
        </w:rPr>
        <w:t>2010</w:t>
      </w:r>
      <w:r w:rsidR="00B9542A">
        <w:rPr>
          <w:rFonts w:ascii="Arial" w:hAnsi="Arial" w:cs="Arial"/>
        </w:rPr>
        <w:t xml:space="preserve">). </w:t>
      </w:r>
      <w:r w:rsidRPr="00172252">
        <w:rPr>
          <w:rFonts w:ascii="Arial" w:hAnsi="Arial" w:cs="Arial"/>
        </w:rPr>
        <w:t xml:space="preserve">Data clustering: 50 years beyond K-means. </w:t>
      </w:r>
      <w:r w:rsidRPr="00172252">
        <w:rPr>
          <w:rFonts w:ascii="Arial" w:hAnsi="Arial" w:cs="Arial"/>
          <w:i/>
          <w:iCs/>
        </w:rPr>
        <w:t>Pattern Recognition Letters</w:t>
      </w:r>
      <w:r w:rsidRPr="00172252">
        <w:rPr>
          <w:rFonts w:ascii="Arial" w:hAnsi="Arial" w:cs="Arial"/>
        </w:rPr>
        <w:t xml:space="preserve">. 31(8):651–666. </w:t>
      </w:r>
      <w:hyperlink r:id="rId20" w:tgtFrame="_new" w:history="1">
        <w:r w:rsidRPr="00172252">
          <w:rPr>
            <w:rStyle w:val="Hyperlink"/>
            <w:rFonts w:ascii="Arial" w:hAnsi="Arial" w:cs="Arial"/>
          </w:rPr>
          <w:t>https://www.cs.ucf.edu/courses/cap6412/fall2009/papers/JainDataClusteringPRL09.pdf</w:t>
        </w:r>
      </w:hyperlink>
    </w:p>
    <w:p w14:paraId="5F03760C" w14:textId="15CC36A9" w:rsidR="00460D36" w:rsidRPr="00172252" w:rsidRDefault="00460D36" w:rsidP="00460D36">
      <w:pPr>
        <w:numPr>
          <w:ilvl w:val="0"/>
          <w:numId w:val="38"/>
        </w:numPr>
        <w:spacing w:after="160" w:line="278" w:lineRule="auto"/>
        <w:jc w:val="both"/>
        <w:rPr>
          <w:rFonts w:ascii="Arial" w:hAnsi="Arial" w:cs="Arial"/>
        </w:rPr>
      </w:pPr>
      <w:r w:rsidRPr="00172252">
        <w:rPr>
          <w:rFonts w:ascii="Arial" w:hAnsi="Arial" w:cs="Arial"/>
        </w:rPr>
        <w:t xml:space="preserve">Ghosh A. </w:t>
      </w:r>
      <w:r w:rsidR="00B9542A">
        <w:rPr>
          <w:rFonts w:ascii="Arial" w:hAnsi="Arial" w:cs="Arial"/>
        </w:rPr>
        <w:t>(</w:t>
      </w:r>
      <w:r w:rsidR="00B9542A" w:rsidRPr="00172252">
        <w:rPr>
          <w:rFonts w:ascii="Arial" w:hAnsi="Arial" w:cs="Arial"/>
        </w:rPr>
        <w:t>2019</w:t>
      </w:r>
      <w:r w:rsidR="00B9542A">
        <w:rPr>
          <w:rFonts w:ascii="Arial" w:hAnsi="Arial" w:cs="Arial"/>
        </w:rPr>
        <w:t xml:space="preserve">). </w:t>
      </w:r>
      <w:r w:rsidRPr="00172252">
        <w:rPr>
          <w:rFonts w:ascii="Arial" w:hAnsi="Arial" w:cs="Arial"/>
          <w:i/>
          <w:iCs/>
        </w:rPr>
        <w:t>Cluster analysis: Basic concepts and algorithms</w:t>
      </w:r>
      <w:r w:rsidRPr="00172252">
        <w:rPr>
          <w:rFonts w:ascii="Arial" w:hAnsi="Arial" w:cs="Arial"/>
        </w:rPr>
        <w:t>. Springer.</w:t>
      </w:r>
      <w:r w:rsidR="009F26A6" w:rsidRPr="009F26A6">
        <w:t xml:space="preserve"> </w:t>
      </w:r>
      <w:hyperlink r:id="rId21" w:history="1">
        <w:r w:rsidR="009F26A6" w:rsidRPr="00B67351">
          <w:rPr>
            <w:rStyle w:val="Hyperlink"/>
            <w:rFonts w:ascii="Arial" w:hAnsi="Arial" w:cs="Arial"/>
          </w:rPr>
          <w:t>http://www.cs.umn.edu/faculty/kumar/dmbook/ch8.pdf</w:t>
        </w:r>
      </w:hyperlink>
      <w:r w:rsidR="009F26A6">
        <w:rPr>
          <w:rFonts w:ascii="Arial" w:hAnsi="Arial" w:cs="Arial"/>
        </w:rPr>
        <w:t xml:space="preserve"> </w:t>
      </w:r>
    </w:p>
    <w:p w14:paraId="22D48B05" w14:textId="21E8EB90" w:rsidR="00460D36" w:rsidRPr="00172252" w:rsidRDefault="00460D36" w:rsidP="00460D36">
      <w:pPr>
        <w:numPr>
          <w:ilvl w:val="0"/>
          <w:numId w:val="38"/>
        </w:numPr>
        <w:spacing w:after="160" w:line="278" w:lineRule="auto"/>
        <w:jc w:val="both"/>
        <w:rPr>
          <w:rFonts w:ascii="Arial" w:hAnsi="Arial" w:cs="Arial"/>
        </w:rPr>
      </w:pPr>
      <w:r w:rsidRPr="00172252">
        <w:rPr>
          <w:rFonts w:ascii="Arial" w:hAnsi="Arial" w:cs="Arial"/>
        </w:rPr>
        <w:t xml:space="preserve">Ikotun A.M., Ezugwu A.E., </w:t>
      </w:r>
      <w:proofErr w:type="spellStart"/>
      <w:r w:rsidRPr="00172252">
        <w:rPr>
          <w:rFonts w:ascii="Arial" w:hAnsi="Arial" w:cs="Arial"/>
        </w:rPr>
        <w:t>Abualigah</w:t>
      </w:r>
      <w:proofErr w:type="spellEnd"/>
      <w:r w:rsidRPr="00172252">
        <w:rPr>
          <w:rFonts w:ascii="Arial" w:hAnsi="Arial" w:cs="Arial"/>
        </w:rPr>
        <w:t xml:space="preserve"> L., </w:t>
      </w:r>
      <w:proofErr w:type="spellStart"/>
      <w:r w:rsidRPr="00172252">
        <w:rPr>
          <w:rFonts w:ascii="Arial" w:hAnsi="Arial" w:cs="Arial"/>
        </w:rPr>
        <w:t>Abuhaija</w:t>
      </w:r>
      <w:proofErr w:type="spellEnd"/>
      <w:r w:rsidRPr="00172252">
        <w:rPr>
          <w:rFonts w:ascii="Arial" w:hAnsi="Arial" w:cs="Arial"/>
        </w:rPr>
        <w:t xml:space="preserve"> B., Heming J. </w:t>
      </w:r>
      <w:r w:rsidR="0000018F">
        <w:rPr>
          <w:rFonts w:ascii="Arial" w:hAnsi="Arial" w:cs="Arial"/>
        </w:rPr>
        <w:t>(</w:t>
      </w:r>
      <w:r w:rsidR="0000018F" w:rsidRPr="00172252">
        <w:rPr>
          <w:rFonts w:ascii="Arial" w:hAnsi="Arial" w:cs="Arial"/>
        </w:rPr>
        <w:t>2023</w:t>
      </w:r>
      <w:r w:rsidR="0000018F">
        <w:rPr>
          <w:rFonts w:ascii="Arial" w:hAnsi="Arial" w:cs="Arial"/>
        </w:rPr>
        <w:t xml:space="preserve">). </w:t>
      </w:r>
      <w:r w:rsidRPr="00172252">
        <w:rPr>
          <w:rFonts w:ascii="Arial" w:hAnsi="Arial" w:cs="Arial"/>
        </w:rPr>
        <w:t xml:space="preserve">K-means clustering algorithms: A comprehensive review, variants analysis, and advances in the era of big data. </w:t>
      </w:r>
      <w:r w:rsidRPr="00172252">
        <w:rPr>
          <w:rFonts w:ascii="Arial" w:hAnsi="Arial" w:cs="Arial"/>
          <w:i/>
          <w:iCs/>
        </w:rPr>
        <w:t>Information Sciences</w:t>
      </w:r>
      <w:r w:rsidRPr="00172252">
        <w:rPr>
          <w:rFonts w:ascii="Arial" w:hAnsi="Arial" w:cs="Arial"/>
        </w:rPr>
        <w:t xml:space="preserve">. 622:178–210. </w:t>
      </w:r>
      <w:hyperlink r:id="rId22" w:history="1">
        <w:r w:rsidR="009F26A6" w:rsidRPr="00B67351">
          <w:rPr>
            <w:rStyle w:val="Hyperlink"/>
          </w:rPr>
          <w:t>https://doi.org/10.1016/j.ins.2022.11.139</w:t>
        </w:r>
      </w:hyperlink>
      <w:r w:rsidR="009F26A6">
        <w:t xml:space="preserve"> </w:t>
      </w:r>
    </w:p>
    <w:p w14:paraId="4EE5FE6E" w14:textId="15EE150D" w:rsidR="00460D36" w:rsidRPr="00172252" w:rsidRDefault="00460D36" w:rsidP="00460D36">
      <w:pPr>
        <w:numPr>
          <w:ilvl w:val="0"/>
          <w:numId w:val="38"/>
        </w:numPr>
        <w:spacing w:after="160" w:line="278" w:lineRule="auto"/>
        <w:jc w:val="both"/>
        <w:rPr>
          <w:rFonts w:ascii="Arial" w:hAnsi="Arial" w:cs="Arial"/>
        </w:rPr>
      </w:pPr>
      <w:r w:rsidRPr="00172252">
        <w:rPr>
          <w:rFonts w:ascii="Arial" w:hAnsi="Arial" w:cs="Arial"/>
        </w:rPr>
        <w:lastRenderedPageBreak/>
        <w:t xml:space="preserve">Wu Y., Cui Z.Y., Lin H., Wang Y.F., Feng X. </w:t>
      </w:r>
      <w:r w:rsidR="0000018F">
        <w:rPr>
          <w:rFonts w:ascii="Arial" w:hAnsi="Arial" w:cs="Arial"/>
        </w:rPr>
        <w:t>(</w:t>
      </w:r>
      <w:r w:rsidR="0000018F" w:rsidRPr="00172252">
        <w:rPr>
          <w:rFonts w:ascii="Arial" w:hAnsi="Arial" w:cs="Arial"/>
        </w:rPr>
        <w:t>2022</w:t>
      </w:r>
      <w:r w:rsidR="0000018F">
        <w:rPr>
          <w:rFonts w:ascii="Arial" w:hAnsi="Arial" w:cs="Arial"/>
        </w:rPr>
        <w:t xml:space="preserve">). </w:t>
      </w:r>
      <w:r w:rsidRPr="00172252">
        <w:rPr>
          <w:rFonts w:ascii="Arial" w:hAnsi="Arial" w:cs="Arial"/>
        </w:rPr>
        <w:t xml:space="preserve">An optimization method for shale gas gathering system—Consideration of reliability enhancement under earthquake-related uncertainties. </w:t>
      </w:r>
      <w:r w:rsidRPr="00172252">
        <w:rPr>
          <w:rFonts w:ascii="Arial" w:hAnsi="Arial" w:cs="Arial"/>
          <w:i/>
          <w:iCs/>
        </w:rPr>
        <w:t>Petroleum Science</w:t>
      </w:r>
      <w:r w:rsidRPr="00172252">
        <w:rPr>
          <w:rFonts w:ascii="Arial" w:hAnsi="Arial" w:cs="Arial"/>
        </w:rPr>
        <w:t>. 19(5):2431–2447.</w:t>
      </w:r>
      <w:r w:rsidR="009F26A6" w:rsidRPr="009F26A6">
        <w:t xml:space="preserve"> </w:t>
      </w:r>
      <w:hyperlink r:id="rId23" w:history="1">
        <w:r w:rsidR="009F26A6" w:rsidRPr="00B67351">
          <w:rPr>
            <w:rStyle w:val="Hyperlink"/>
            <w:rFonts w:ascii="Arial" w:hAnsi="Arial" w:cs="Arial"/>
          </w:rPr>
          <w:t>https://doi.org/10.1016/j.petsci.2021.12.029</w:t>
        </w:r>
      </w:hyperlink>
      <w:r w:rsidR="009F26A6">
        <w:rPr>
          <w:rFonts w:ascii="Arial" w:hAnsi="Arial" w:cs="Arial"/>
        </w:rPr>
        <w:t xml:space="preserve"> </w:t>
      </w:r>
    </w:p>
    <w:p w14:paraId="685EA3F7" w14:textId="22D6D35F" w:rsidR="00460D36" w:rsidRPr="00172252" w:rsidRDefault="00460D36" w:rsidP="00460D36">
      <w:pPr>
        <w:pStyle w:val="ListParagraph"/>
        <w:numPr>
          <w:ilvl w:val="0"/>
          <w:numId w:val="38"/>
        </w:numPr>
        <w:jc w:val="both"/>
        <w:rPr>
          <w:rFonts w:ascii="Arial" w:hAnsi="Arial" w:cs="Arial"/>
          <w:sz w:val="20"/>
          <w:szCs w:val="20"/>
        </w:rPr>
      </w:pPr>
      <w:r w:rsidRPr="00172252">
        <w:rPr>
          <w:rFonts w:ascii="Arial" w:hAnsi="Arial" w:cs="Arial"/>
          <w:sz w:val="20"/>
          <w:szCs w:val="20"/>
        </w:rPr>
        <w:t xml:space="preserve">Fagbami, D., </w:t>
      </w:r>
      <w:proofErr w:type="spellStart"/>
      <w:r w:rsidRPr="00172252">
        <w:rPr>
          <w:rFonts w:ascii="Arial" w:hAnsi="Arial" w:cs="Arial"/>
          <w:sz w:val="20"/>
          <w:szCs w:val="20"/>
        </w:rPr>
        <w:t>Ekpeti</w:t>
      </w:r>
      <w:proofErr w:type="spellEnd"/>
      <w:r w:rsidRPr="00172252">
        <w:rPr>
          <w:rFonts w:ascii="Arial" w:hAnsi="Arial" w:cs="Arial"/>
          <w:sz w:val="20"/>
          <w:szCs w:val="20"/>
        </w:rPr>
        <w:t xml:space="preserve">, E., Bamidele, A., Odeh, A., </w:t>
      </w:r>
      <w:proofErr w:type="spellStart"/>
      <w:r w:rsidRPr="00172252">
        <w:rPr>
          <w:rFonts w:ascii="Arial" w:hAnsi="Arial" w:cs="Arial"/>
          <w:sz w:val="20"/>
          <w:szCs w:val="20"/>
        </w:rPr>
        <w:t>Odogbo</w:t>
      </w:r>
      <w:proofErr w:type="spellEnd"/>
      <w:r w:rsidRPr="00172252">
        <w:rPr>
          <w:rFonts w:ascii="Arial" w:hAnsi="Arial" w:cs="Arial"/>
          <w:sz w:val="20"/>
          <w:szCs w:val="20"/>
        </w:rPr>
        <w:t xml:space="preserve">, A., &amp; Jimmy, D. (2024). Cluster gathering of associated and non-associated natural gas: The KGG case study (Paper No. SPE-221681-MS). Paper presented at the SPE Nigeria Annual International Conference and Exhibition, Lagos, Nigeria. </w:t>
      </w:r>
      <w:hyperlink r:id="rId24" w:history="1">
        <w:r w:rsidR="009F26A6" w:rsidRPr="00B67351">
          <w:rPr>
            <w:rStyle w:val="Hyperlink"/>
          </w:rPr>
          <w:t>https://doi.org/10.2118/221681-MS</w:t>
        </w:r>
      </w:hyperlink>
      <w:r w:rsidR="009F26A6">
        <w:t xml:space="preserve"> </w:t>
      </w:r>
    </w:p>
    <w:p w14:paraId="11C52B0D" w14:textId="701F3B2E" w:rsidR="00460D36" w:rsidRPr="00B50EEB" w:rsidRDefault="00460D36" w:rsidP="00460D36">
      <w:pPr>
        <w:pStyle w:val="ListParagraph"/>
        <w:numPr>
          <w:ilvl w:val="0"/>
          <w:numId w:val="38"/>
        </w:numPr>
        <w:jc w:val="both"/>
        <w:rPr>
          <w:rFonts w:ascii="Arial" w:hAnsi="Arial" w:cs="Arial"/>
          <w:sz w:val="20"/>
          <w:szCs w:val="20"/>
        </w:rPr>
      </w:pPr>
      <w:proofErr w:type="spellStart"/>
      <w:r w:rsidRPr="00172252">
        <w:rPr>
          <w:rFonts w:ascii="Arial" w:hAnsi="Arial" w:cs="Arial"/>
          <w:sz w:val="20"/>
          <w:szCs w:val="20"/>
        </w:rPr>
        <w:t>Awulu</w:t>
      </w:r>
      <w:proofErr w:type="spellEnd"/>
      <w:r w:rsidRPr="00172252">
        <w:rPr>
          <w:rFonts w:ascii="Arial" w:hAnsi="Arial" w:cs="Arial"/>
          <w:sz w:val="20"/>
          <w:szCs w:val="20"/>
        </w:rPr>
        <w:t xml:space="preserve"> E. </w:t>
      </w:r>
      <w:r w:rsidR="00674B40">
        <w:rPr>
          <w:rFonts w:ascii="Arial" w:hAnsi="Arial" w:cs="Arial"/>
          <w:sz w:val="20"/>
          <w:szCs w:val="20"/>
        </w:rPr>
        <w:t>(</w:t>
      </w:r>
      <w:r w:rsidR="00674B40" w:rsidRPr="00172252">
        <w:rPr>
          <w:rFonts w:ascii="Arial" w:hAnsi="Arial" w:cs="Arial"/>
          <w:sz w:val="20"/>
          <w:szCs w:val="20"/>
        </w:rPr>
        <w:t>2021</w:t>
      </w:r>
      <w:r w:rsidR="00674B40">
        <w:rPr>
          <w:rFonts w:ascii="Arial" w:hAnsi="Arial" w:cs="Arial"/>
          <w:sz w:val="20"/>
          <w:szCs w:val="20"/>
        </w:rPr>
        <w:t xml:space="preserve">). </w:t>
      </w:r>
      <w:r w:rsidRPr="00172252">
        <w:rPr>
          <w:rFonts w:ascii="Arial" w:hAnsi="Arial" w:cs="Arial"/>
          <w:sz w:val="20"/>
          <w:szCs w:val="20"/>
        </w:rPr>
        <w:t xml:space="preserve">Gas flaring in Nigeria: A crisis for the environment. </w:t>
      </w:r>
      <w:r w:rsidRPr="00172252">
        <w:rPr>
          <w:rFonts w:ascii="Arial" w:hAnsi="Arial" w:cs="Arial"/>
          <w:i/>
          <w:iCs/>
          <w:sz w:val="20"/>
          <w:szCs w:val="20"/>
        </w:rPr>
        <w:t>Academia Lett</w:t>
      </w:r>
      <w:r w:rsidRPr="00172252">
        <w:rPr>
          <w:rFonts w:ascii="Arial" w:hAnsi="Arial" w:cs="Arial"/>
          <w:sz w:val="20"/>
          <w:szCs w:val="20"/>
        </w:rPr>
        <w:t xml:space="preserve">. 3799:1–6. </w:t>
      </w:r>
      <w:hyperlink r:id="rId25" w:history="1">
        <w:r w:rsidR="007E14D2" w:rsidRPr="00B67351">
          <w:rPr>
            <w:rStyle w:val="Hyperlink"/>
          </w:rPr>
          <w:t>https://doi.org/10.20935/AL3799</w:t>
        </w:r>
      </w:hyperlink>
      <w:r w:rsidR="007E14D2">
        <w:t xml:space="preserve"> </w:t>
      </w:r>
    </w:p>
    <w:p w14:paraId="359A060D" w14:textId="77777777" w:rsidR="009A136F" w:rsidRDefault="00B50EEB" w:rsidP="009A136F">
      <w:pPr>
        <w:numPr>
          <w:ilvl w:val="0"/>
          <w:numId w:val="38"/>
        </w:numPr>
        <w:spacing w:after="160" w:line="278" w:lineRule="auto"/>
        <w:jc w:val="both"/>
        <w:rPr>
          <w:rFonts w:ascii="Arial" w:hAnsi="Arial" w:cs="Arial"/>
        </w:rPr>
      </w:pPr>
      <w:r w:rsidRPr="00D25B01">
        <w:rPr>
          <w:rFonts w:ascii="Arial" w:hAnsi="Arial" w:cs="Arial"/>
        </w:rPr>
        <w:t xml:space="preserve">Fan, Y., </w:t>
      </w:r>
      <w:proofErr w:type="spellStart"/>
      <w:r w:rsidRPr="00D25B01">
        <w:rPr>
          <w:rFonts w:ascii="Arial" w:hAnsi="Arial" w:cs="Arial"/>
        </w:rPr>
        <w:t>Masnadi</w:t>
      </w:r>
      <w:proofErr w:type="spellEnd"/>
      <w:r w:rsidRPr="00D25B01">
        <w:rPr>
          <w:rFonts w:ascii="Arial" w:hAnsi="Arial" w:cs="Arial"/>
        </w:rPr>
        <w:t xml:space="preserve">, M. S., Jing, L., Ren, B., &amp; Brandt, A. R. (2025). The Pyxis Project: A Geospatial Data System for Emission Estimation Monitoring in the Oil and Gas Industry. </w:t>
      </w:r>
      <w:r w:rsidRPr="00D25B01">
        <w:rPr>
          <w:rFonts w:ascii="Arial" w:hAnsi="Arial" w:cs="Arial"/>
          <w:i/>
          <w:iCs/>
        </w:rPr>
        <w:t>Energy and AI, 22</w:t>
      </w:r>
      <w:r w:rsidRPr="00D25B01">
        <w:rPr>
          <w:rFonts w:ascii="Arial" w:hAnsi="Arial" w:cs="Arial"/>
        </w:rPr>
        <w:t xml:space="preserve">, 100601. </w:t>
      </w:r>
      <w:hyperlink r:id="rId26" w:history="1">
        <w:r w:rsidRPr="00B25485">
          <w:rPr>
            <w:rStyle w:val="Hyperlink"/>
            <w:rFonts w:ascii="Arial" w:hAnsi="Arial" w:cs="Arial"/>
          </w:rPr>
          <w:t>https://doi.org/10.1016/j.egyai.2025.100601</w:t>
        </w:r>
      </w:hyperlink>
    </w:p>
    <w:p w14:paraId="5AC0C92F" w14:textId="1FF872BC" w:rsidR="009A136F" w:rsidRDefault="009A136F" w:rsidP="009A136F">
      <w:pPr>
        <w:numPr>
          <w:ilvl w:val="0"/>
          <w:numId w:val="38"/>
        </w:numPr>
        <w:spacing w:after="160" w:line="278" w:lineRule="auto"/>
        <w:jc w:val="both"/>
        <w:rPr>
          <w:rFonts w:ascii="Arial" w:hAnsi="Arial" w:cs="Arial"/>
        </w:rPr>
      </w:pPr>
      <w:r w:rsidRPr="009A136F">
        <w:rPr>
          <w:rFonts w:ascii="Arial" w:hAnsi="Arial" w:cs="Arial"/>
        </w:rPr>
        <w:t xml:space="preserve">Zhao, T., Wang, X., Zhang, S., Duo, Y., Xu, J., &amp; Hu, S. (2025). Research on multi-objective optimal route selection method for natural gas transmission pipeline. Journal of Pipeline Science and Engineering, 5(3), 100250. </w:t>
      </w:r>
      <w:hyperlink r:id="rId27" w:history="1">
        <w:r w:rsidRPr="00B25485">
          <w:rPr>
            <w:rStyle w:val="Hyperlink"/>
            <w:rFonts w:ascii="Arial" w:hAnsi="Arial" w:cs="Arial"/>
          </w:rPr>
          <w:t>https://doi.org/10.1016/j.jpse.2024.100250</w:t>
        </w:r>
      </w:hyperlink>
    </w:p>
    <w:p w14:paraId="54F3D63B" w14:textId="074B8890" w:rsidR="009A136F" w:rsidRDefault="009A136F" w:rsidP="004E504E">
      <w:pPr>
        <w:numPr>
          <w:ilvl w:val="0"/>
          <w:numId w:val="38"/>
        </w:numPr>
        <w:spacing w:after="160" w:line="278" w:lineRule="auto"/>
        <w:jc w:val="both"/>
        <w:rPr>
          <w:rFonts w:ascii="Arial" w:hAnsi="Arial" w:cs="Arial"/>
        </w:rPr>
      </w:pPr>
      <w:r w:rsidRPr="009A136F">
        <w:rPr>
          <w:rFonts w:ascii="Arial" w:hAnsi="Arial" w:cs="Arial"/>
        </w:rPr>
        <w:t>Alavi, S. H., Mashayekhi, M., &amp; Zolfaghari, M. M. (2025). Optimized seismic risk mitigation in pipeline routing using a metaheuristic GIS-based approach. Scientific Reports, 15, Article 32916. Retrieved from</w:t>
      </w:r>
      <w:r w:rsidRPr="009A136F">
        <w:rPr>
          <w:rFonts w:ascii="Arial" w:hAnsi="Arial" w:cs="Arial"/>
        </w:rPr>
        <w:br/>
      </w:r>
      <w:hyperlink r:id="rId28" w:history="1">
        <w:r w:rsidRPr="00B25485">
          <w:rPr>
            <w:rStyle w:val="Hyperlink"/>
            <w:rFonts w:ascii="Arial" w:hAnsi="Arial" w:cs="Arial"/>
          </w:rPr>
          <w:t>https://www.nature.com/articles/s41598-025-17525-w</w:t>
        </w:r>
      </w:hyperlink>
    </w:p>
    <w:p w14:paraId="54114FEA" w14:textId="11A7299B" w:rsidR="00460D36" w:rsidRPr="009A136F" w:rsidRDefault="00460D36" w:rsidP="004E504E">
      <w:pPr>
        <w:numPr>
          <w:ilvl w:val="0"/>
          <w:numId w:val="38"/>
        </w:numPr>
        <w:spacing w:after="160" w:line="278" w:lineRule="auto"/>
        <w:jc w:val="both"/>
        <w:rPr>
          <w:rFonts w:ascii="Arial" w:hAnsi="Arial" w:cs="Arial"/>
        </w:rPr>
      </w:pPr>
      <w:proofErr w:type="spellStart"/>
      <w:r w:rsidRPr="009A136F">
        <w:rPr>
          <w:rFonts w:ascii="Arial" w:hAnsi="Arial" w:cs="Arial"/>
        </w:rPr>
        <w:t>Umargono</w:t>
      </w:r>
      <w:proofErr w:type="spellEnd"/>
      <w:r w:rsidRPr="009A136F">
        <w:rPr>
          <w:rFonts w:ascii="Arial" w:hAnsi="Arial" w:cs="Arial"/>
        </w:rPr>
        <w:t xml:space="preserve"> E., </w:t>
      </w:r>
      <w:proofErr w:type="spellStart"/>
      <w:r w:rsidRPr="009A136F">
        <w:rPr>
          <w:rFonts w:ascii="Arial" w:hAnsi="Arial" w:cs="Arial"/>
        </w:rPr>
        <w:t>Suseno</w:t>
      </w:r>
      <w:proofErr w:type="spellEnd"/>
      <w:r w:rsidRPr="009A136F">
        <w:rPr>
          <w:rFonts w:ascii="Arial" w:hAnsi="Arial" w:cs="Arial"/>
        </w:rPr>
        <w:t xml:space="preserve"> J.E., Gunawan S.K.V. </w:t>
      </w:r>
      <w:r w:rsidR="00622943" w:rsidRPr="009A136F">
        <w:rPr>
          <w:rFonts w:ascii="Arial" w:hAnsi="Arial" w:cs="Arial"/>
        </w:rPr>
        <w:t xml:space="preserve">(2020). </w:t>
      </w:r>
      <w:r w:rsidRPr="009A136F">
        <w:rPr>
          <w:rFonts w:ascii="Arial" w:hAnsi="Arial" w:cs="Arial"/>
        </w:rPr>
        <w:t xml:space="preserve">K-means clustering optimization using the Elbow Method and early centroid determination based on mean and median formula. </w:t>
      </w:r>
      <w:r w:rsidRPr="009A136F">
        <w:rPr>
          <w:rFonts w:ascii="Arial" w:hAnsi="Arial" w:cs="Arial"/>
          <w:i/>
          <w:iCs/>
        </w:rPr>
        <w:t xml:space="preserve">Adv Soc Sci Educ </w:t>
      </w:r>
      <w:proofErr w:type="spellStart"/>
      <w:r w:rsidRPr="009A136F">
        <w:rPr>
          <w:rFonts w:ascii="Arial" w:hAnsi="Arial" w:cs="Arial"/>
          <w:i/>
          <w:iCs/>
        </w:rPr>
        <w:t>Humanit</w:t>
      </w:r>
      <w:proofErr w:type="spellEnd"/>
      <w:r w:rsidRPr="009A136F">
        <w:rPr>
          <w:rFonts w:ascii="Arial" w:hAnsi="Arial" w:cs="Arial"/>
          <w:i/>
          <w:iCs/>
        </w:rPr>
        <w:t xml:space="preserve"> Res</w:t>
      </w:r>
      <w:r w:rsidRPr="009A136F">
        <w:rPr>
          <w:rFonts w:ascii="Arial" w:hAnsi="Arial" w:cs="Arial"/>
        </w:rPr>
        <w:t xml:space="preserve">. 474: (Conference: 2nd International Seminar on Science and Technology – ISSTEC 2019). </w:t>
      </w:r>
      <w:hyperlink r:id="rId29" w:tgtFrame="_new" w:history="1">
        <w:r w:rsidRPr="009A136F">
          <w:rPr>
            <w:rStyle w:val="Hyperlink"/>
            <w:rFonts w:ascii="Arial" w:hAnsi="Arial" w:cs="Arial"/>
          </w:rPr>
          <w:t>https://doi.org/10.2991/assehr.k.201010.019</w:t>
        </w:r>
      </w:hyperlink>
    </w:p>
    <w:p w14:paraId="373394B5" w14:textId="4F3606F5" w:rsidR="00460D36" w:rsidRPr="00172252" w:rsidRDefault="00460D36" w:rsidP="00460D36">
      <w:pPr>
        <w:numPr>
          <w:ilvl w:val="0"/>
          <w:numId w:val="38"/>
        </w:numPr>
        <w:spacing w:after="160" w:line="278" w:lineRule="auto"/>
        <w:jc w:val="both"/>
        <w:rPr>
          <w:rFonts w:ascii="Arial" w:hAnsi="Arial" w:cs="Arial"/>
        </w:rPr>
      </w:pPr>
      <w:proofErr w:type="spellStart"/>
      <w:r w:rsidRPr="00172252">
        <w:rPr>
          <w:rFonts w:ascii="Arial" w:hAnsi="Arial" w:cs="Arial"/>
        </w:rPr>
        <w:t>Rousseeuw</w:t>
      </w:r>
      <w:proofErr w:type="spellEnd"/>
      <w:r w:rsidRPr="00172252">
        <w:rPr>
          <w:rFonts w:ascii="Arial" w:hAnsi="Arial" w:cs="Arial"/>
        </w:rPr>
        <w:t xml:space="preserve"> P.J. </w:t>
      </w:r>
      <w:r w:rsidR="00622943">
        <w:rPr>
          <w:rFonts w:ascii="Arial" w:hAnsi="Arial" w:cs="Arial"/>
        </w:rPr>
        <w:t>(</w:t>
      </w:r>
      <w:r w:rsidR="00622943" w:rsidRPr="00172252">
        <w:rPr>
          <w:rFonts w:ascii="Arial" w:hAnsi="Arial" w:cs="Arial"/>
        </w:rPr>
        <w:t>1987</w:t>
      </w:r>
      <w:r w:rsidR="00622943">
        <w:rPr>
          <w:rFonts w:ascii="Arial" w:hAnsi="Arial" w:cs="Arial"/>
        </w:rPr>
        <w:t xml:space="preserve">). </w:t>
      </w:r>
      <w:r w:rsidRPr="00172252">
        <w:rPr>
          <w:rFonts w:ascii="Arial" w:hAnsi="Arial" w:cs="Arial"/>
        </w:rPr>
        <w:t xml:space="preserve">Silhouettes: A graphical aid to the interpretation and validation of cluster analysis. </w:t>
      </w:r>
      <w:r w:rsidRPr="00172252">
        <w:rPr>
          <w:rFonts w:ascii="Arial" w:hAnsi="Arial" w:cs="Arial"/>
          <w:i/>
          <w:iCs/>
        </w:rPr>
        <w:t>Journal of Computational and Applied Mathematics</w:t>
      </w:r>
      <w:r w:rsidRPr="00172252">
        <w:rPr>
          <w:rFonts w:ascii="Arial" w:hAnsi="Arial" w:cs="Arial"/>
        </w:rPr>
        <w:t xml:space="preserve">. 20:53–65. </w:t>
      </w:r>
      <w:hyperlink r:id="rId30" w:history="1">
        <w:r w:rsidR="005C7385" w:rsidRPr="00B67351">
          <w:rPr>
            <w:rStyle w:val="Hyperlink"/>
          </w:rPr>
          <w:t>https://doi.org/10.1016/0377-0427(87)90125-7</w:t>
        </w:r>
      </w:hyperlink>
      <w:r w:rsidR="005C7385">
        <w:t xml:space="preserve"> </w:t>
      </w:r>
    </w:p>
    <w:p w14:paraId="50DCAF48" w14:textId="58C5DD6D" w:rsidR="00460D36" w:rsidRPr="00172252" w:rsidRDefault="00460D36" w:rsidP="00460D36">
      <w:pPr>
        <w:pStyle w:val="ListParagraph"/>
        <w:numPr>
          <w:ilvl w:val="0"/>
          <w:numId w:val="38"/>
        </w:numPr>
        <w:jc w:val="both"/>
        <w:rPr>
          <w:rFonts w:ascii="Arial" w:hAnsi="Arial" w:cs="Arial"/>
          <w:sz w:val="20"/>
          <w:szCs w:val="20"/>
        </w:rPr>
      </w:pPr>
      <w:proofErr w:type="spellStart"/>
      <w:r w:rsidRPr="00172252">
        <w:rPr>
          <w:rFonts w:ascii="Arial" w:hAnsi="Arial" w:cs="Arial"/>
          <w:sz w:val="20"/>
          <w:szCs w:val="20"/>
        </w:rPr>
        <w:t>Shutaywi</w:t>
      </w:r>
      <w:proofErr w:type="spellEnd"/>
      <w:r w:rsidRPr="00172252">
        <w:rPr>
          <w:rFonts w:ascii="Arial" w:hAnsi="Arial" w:cs="Arial"/>
          <w:sz w:val="20"/>
          <w:szCs w:val="20"/>
        </w:rPr>
        <w:t xml:space="preserve"> M. </w:t>
      </w:r>
      <w:r w:rsidR="00622943">
        <w:rPr>
          <w:rFonts w:ascii="Arial" w:hAnsi="Arial" w:cs="Arial"/>
          <w:sz w:val="20"/>
          <w:szCs w:val="20"/>
        </w:rPr>
        <w:t>(</w:t>
      </w:r>
      <w:r w:rsidR="00622943" w:rsidRPr="00172252">
        <w:rPr>
          <w:rFonts w:ascii="Arial" w:hAnsi="Arial" w:cs="Arial"/>
          <w:sz w:val="20"/>
          <w:szCs w:val="20"/>
        </w:rPr>
        <w:t>2021</w:t>
      </w:r>
      <w:r w:rsidR="00622943">
        <w:rPr>
          <w:rFonts w:ascii="Arial" w:hAnsi="Arial" w:cs="Arial"/>
          <w:sz w:val="20"/>
          <w:szCs w:val="20"/>
        </w:rPr>
        <w:t xml:space="preserve">). </w:t>
      </w:r>
      <w:r w:rsidRPr="00172252">
        <w:rPr>
          <w:rFonts w:ascii="Arial" w:hAnsi="Arial" w:cs="Arial"/>
          <w:sz w:val="20"/>
          <w:szCs w:val="20"/>
        </w:rPr>
        <w:t xml:space="preserve">Silhouette analysis for performance evaluation in clustering methods. </w:t>
      </w:r>
      <w:r w:rsidRPr="00172252">
        <w:rPr>
          <w:rFonts w:ascii="Arial" w:hAnsi="Arial" w:cs="Arial"/>
          <w:i/>
          <w:iCs/>
          <w:sz w:val="20"/>
          <w:szCs w:val="20"/>
        </w:rPr>
        <w:t>Entropy</w:t>
      </w:r>
      <w:r w:rsidRPr="00172252">
        <w:rPr>
          <w:rFonts w:ascii="Arial" w:hAnsi="Arial" w:cs="Arial"/>
          <w:sz w:val="20"/>
          <w:szCs w:val="20"/>
        </w:rPr>
        <w:t xml:space="preserve">. 23(6):759. </w:t>
      </w:r>
      <w:hyperlink r:id="rId31" w:tgtFrame="_new" w:history="1">
        <w:r w:rsidRPr="00172252">
          <w:rPr>
            <w:rStyle w:val="Hyperlink"/>
            <w:rFonts w:ascii="Arial" w:hAnsi="Arial" w:cs="Arial"/>
            <w:sz w:val="20"/>
            <w:szCs w:val="20"/>
          </w:rPr>
          <w:t>https://doi.org/10.3390/e23060759</w:t>
        </w:r>
      </w:hyperlink>
    </w:p>
    <w:p w14:paraId="3D3D3A98" w14:textId="775A1439" w:rsidR="00460D36" w:rsidRPr="005D396D" w:rsidRDefault="00460D36" w:rsidP="00460D36">
      <w:pPr>
        <w:numPr>
          <w:ilvl w:val="0"/>
          <w:numId w:val="38"/>
        </w:numPr>
        <w:spacing w:after="160" w:line="278" w:lineRule="auto"/>
        <w:jc w:val="both"/>
        <w:rPr>
          <w:rFonts w:ascii="Arial" w:hAnsi="Arial" w:cs="Arial"/>
        </w:rPr>
      </w:pPr>
      <w:proofErr w:type="spellStart"/>
      <w:r w:rsidRPr="00172252">
        <w:rPr>
          <w:rFonts w:ascii="Arial" w:hAnsi="Arial" w:cs="Arial"/>
        </w:rPr>
        <w:t>Dalmaijer</w:t>
      </w:r>
      <w:proofErr w:type="spellEnd"/>
      <w:r w:rsidRPr="00172252">
        <w:rPr>
          <w:rFonts w:ascii="Arial" w:hAnsi="Arial" w:cs="Arial"/>
        </w:rPr>
        <w:t xml:space="preserve"> E.S., Nord C.L., Astle D.E. </w:t>
      </w:r>
      <w:r w:rsidR="00622943">
        <w:rPr>
          <w:rFonts w:ascii="Arial" w:hAnsi="Arial" w:cs="Arial"/>
        </w:rPr>
        <w:t>(</w:t>
      </w:r>
      <w:r w:rsidR="00622943" w:rsidRPr="00172252">
        <w:rPr>
          <w:rFonts w:ascii="Arial" w:hAnsi="Arial" w:cs="Arial"/>
        </w:rPr>
        <w:t>2022</w:t>
      </w:r>
      <w:r w:rsidR="00622943">
        <w:rPr>
          <w:rFonts w:ascii="Arial" w:hAnsi="Arial" w:cs="Arial"/>
        </w:rPr>
        <w:t xml:space="preserve">). </w:t>
      </w:r>
      <w:r w:rsidRPr="00172252">
        <w:rPr>
          <w:rFonts w:ascii="Arial" w:hAnsi="Arial" w:cs="Arial"/>
        </w:rPr>
        <w:t xml:space="preserve">Statistical power for cluster analysis: Evaluating the silhouette coefficient and other internal metrics. </w:t>
      </w:r>
      <w:r w:rsidRPr="00172252">
        <w:rPr>
          <w:rFonts w:ascii="Arial" w:hAnsi="Arial" w:cs="Arial"/>
          <w:i/>
          <w:iCs/>
        </w:rPr>
        <w:t>BMC Bioinformatics</w:t>
      </w:r>
      <w:r w:rsidRPr="00172252">
        <w:rPr>
          <w:rFonts w:ascii="Arial" w:hAnsi="Arial" w:cs="Arial"/>
        </w:rPr>
        <w:t xml:space="preserve">. 23:213. </w:t>
      </w:r>
      <w:hyperlink r:id="rId32" w:tgtFrame="_new" w:history="1">
        <w:r w:rsidRPr="00172252">
          <w:rPr>
            <w:rStyle w:val="Hyperlink"/>
            <w:rFonts w:ascii="Arial" w:hAnsi="Arial" w:cs="Arial"/>
          </w:rPr>
          <w:t>https://doi.org/10.1186/s12859-022-04675-1</w:t>
        </w:r>
      </w:hyperlink>
    </w:p>
    <w:p w14:paraId="00B4BC4B" w14:textId="6CA77380" w:rsidR="005D396D" w:rsidRDefault="005D396D" w:rsidP="00460D36">
      <w:pPr>
        <w:numPr>
          <w:ilvl w:val="0"/>
          <w:numId w:val="38"/>
        </w:numPr>
        <w:spacing w:after="160" w:line="278" w:lineRule="auto"/>
        <w:jc w:val="both"/>
        <w:rPr>
          <w:rFonts w:ascii="Arial" w:hAnsi="Arial" w:cs="Arial"/>
        </w:rPr>
      </w:pPr>
      <w:r w:rsidRPr="005D396D">
        <w:rPr>
          <w:rFonts w:ascii="Arial" w:hAnsi="Arial" w:cs="Arial"/>
        </w:rPr>
        <w:t>Nolt-Caraway, S., Malki, M. L., &amp; Mehana, M. (2025). Geospatial and satellite insights into CO</w:t>
      </w:r>
      <w:r w:rsidRPr="005D396D">
        <w:rPr>
          <w:rFonts w:ascii="Cambria Math" w:hAnsi="Cambria Math" w:cs="Cambria Math"/>
        </w:rPr>
        <w:t>₂</w:t>
      </w:r>
      <w:r w:rsidRPr="005D396D">
        <w:rPr>
          <w:rFonts w:ascii="Arial" w:hAnsi="Arial" w:cs="Arial"/>
        </w:rPr>
        <w:t xml:space="preserve"> mitigation through flaring reduction in New Mexico. Journal of CO</w:t>
      </w:r>
      <w:r w:rsidRPr="005D396D">
        <w:rPr>
          <w:rFonts w:ascii="Cambria Math" w:hAnsi="Cambria Math" w:cs="Cambria Math"/>
        </w:rPr>
        <w:t>₂</w:t>
      </w:r>
      <w:r w:rsidRPr="005D396D">
        <w:rPr>
          <w:rFonts w:ascii="Arial" w:hAnsi="Arial" w:cs="Arial"/>
        </w:rPr>
        <w:t xml:space="preserve"> Utilization, 101, 103215. </w:t>
      </w:r>
      <w:hyperlink r:id="rId33" w:history="1">
        <w:r w:rsidRPr="00B25485">
          <w:rPr>
            <w:rStyle w:val="Hyperlink"/>
            <w:rFonts w:ascii="Arial" w:hAnsi="Arial" w:cs="Arial"/>
          </w:rPr>
          <w:t>https://doi.org/10.1016/j.jcou.2025.103215</w:t>
        </w:r>
      </w:hyperlink>
    </w:p>
    <w:p w14:paraId="274AFA26" w14:textId="77777777" w:rsidR="009E6A0D" w:rsidRDefault="00B10675" w:rsidP="009E6A0D">
      <w:pPr>
        <w:numPr>
          <w:ilvl w:val="0"/>
          <w:numId w:val="38"/>
        </w:numPr>
        <w:spacing w:after="160" w:line="278" w:lineRule="auto"/>
        <w:jc w:val="both"/>
        <w:rPr>
          <w:rFonts w:ascii="Arial" w:hAnsi="Arial" w:cs="Arial"/>
        </w:rPr>
      </w:pPr>
      <w:proofErr w:type="spellStart"/>
      <w:r w:rsidRPr="00B10675">
        <w:rPr>
          <w:rFonts w:ascii="Arial" w:hAnsi="Arial" w:cs="Arial"/>
        </w:rPr>
        <w:t>Ekpa</w:t>
      </w:r>
      <w:proofErr w:type="spellEnd"/>
      <w:r w:rsidRPr="00B10675">
        <w:rPr>
          <w:rFonts w:ascii="Arial" w:hAnsi="Arial" w:cs="Arial"/>
        </w:rPr>
        <w:t xml:space="preserve">, A. U., &amp; </w:t>
      </w:r>
      <w:proofErr w:type="spellStart"/>
      <w:r w:rsidRPr="00B10675">
        <w:rPr>
          <w:rFonts w:ascii="Arial" w:hAnsi="Arial" w:cs="Arial"/>
        </w:rPr>
        <w:t>Usoh</w:t>
      </w:r>
      <w:proofErr w:type="spellEnd"/>
      <w:r w:rsidRPr="00B10675">
        <w:rPr>
          <w:rFonts w:ascii="Arial" w:hAnsi="Arial" w:cs="Arial"/>
        </w:rPr>
        <w:t xml:space="preserve">, H. U. (2024). </w:t>
      </w:r>
      <w:r w:rsidRPr="00B10675">
        <w:rPr>
          <w:rFonts w:ascii="Arial" w:hAnsi="Arial" w:cs="Arial"/>
          <w:i/>
          <w:iCs/>
        </w:rPr>
        <w:t>Spatial co-occurrence of oil spills and gas flare hotspots in the Niger Delta, Nigeria.</w:t>
      </w:r>
      <w:r w:rsidRPr="00B10675">
        <w:rPr>
          <w:rFonts w:ascii="Arial" w:hAnsi="Arial" w:cs="Arial"/>
        </w:rPr>
        <w:t xml:space="preserve"> Journal of Environmental Issues and Agriculture </w:t>
      </w:r>
      <w:r w:rsidRPr="00B10675">
        <w:rPr>
          <w:rFonts w:ascii="Arial" w:hAnsi="Arial" w:cs="Arial"/>
        </w:rPr>
        <w:lastRenderedPageBreak/>
        <w:t xml:space="preserve">in Developing Countries, 16(2), 73–95. Retrieved from </w:t>
      </w:r>
      <w:hyperlink r:id="rId34" w:tgtFrame="_new" w:history="1">
        <w:r w:rsidRPr="00B10675">
          <w:rPr>
            <w:rStyle w:val="Hyperlink"/>
            <w:rFonts w:ascii="Arial" w:hAnsi="Arial" w:cs="Arial"/>
          </w:rPr>
          <w:t>https://icidr.org.ng/index.php/jeiadc/article/view/1371</w:t>
        </w:r>
      </w:hyperlink>
    </w:p>
    <w:p w14:paraId="003D23C9" w14:textId="048B606E" w:rsidR="00E769F6" w:rsidRDefault="009E6A0D" w:rsidP="009E6A0D">
      <w:pPr>
        <w:numPr>
          <w:ilvl w:val="0"/>
          <w:numId w:val="38"/>
        </w:numPr>
        <w:spacing w:after="160" w:line="278" w:lineRule="auto"/>
        <w:jc w:val="both"/>
        <w:rPr>
          <w:rFonts w:ascii="Arial" w:hAnsi="Arial" w:cs="Arial"/>
        </w:rPr>
      </w:pPr>
      <w:proofErr w:type="spellStart"/>
      <w:r w:rsidRPr="009E6A0D">
        <w:rPr>
          <w:rFonts w:ascii="Arial" w:hAnsi="Arial" w:cs="Arial"/>
        </w:rPr>
        <w:t>Olujobi</w:t>
      </w:r>
      <w:proofErr w:type="spellEnd"/>
      <w:r w:rsidRPr="009E6A0D">
        <w:rPr>
          <w:rFonts w:ascii="Arial" w:hAnsi="Arial" w:cs="Arial"/>
        </w:rPr>
        <w:t xml:space="preserve">, O. J., </w:t>
      </w:r>
      <w:proofErr w:type="spellStart"/>
      <w:r w:rsidRPr="009E6A0D">
        <w:rPr>
          <w:rFonts w:ascii="Arial" w:hAnsi="Arial" w:cs="Arial"/>
        </w:rPr>
        <w:t>Yebisi</w:t>
      </w:r>
      <w:proofErr w:type="spellEnd"/>
      <w:r w:rsidRPr="009E6A0D">
        <w:rPr>
          <w:rFonts w:ascii="Arial" w:hAnsi="Arial" w:cs="Arial"/>
        </w:rPr>
        <w:t xml:space="preserve">, T. E., Patrick, O. P., &amp; </w:t>
      </w:r>
      <w:proofErr w:type="spellStart"/>
      <w:r w:rsidRPr="009E6A0D">
        <w:rPr>
          <w:rFonts w:ascii="Arial" w:hAnsi="Arial" w:cs="Arial"/>
        </w:rPr>
        <w:t>Ariremako</w:t>
      </w:r>
      <w:proofErr w:type="spellEnd"/>
      <w:r w:rsidRPr="009E6A0D">
        <w:rPr>
          <w:rFonts w:ascii="Arial" w:hAnsi="Arial" w:cs="Arial"/>
        </w:rPr>
        <w:t xml:space="preserve">, A. I. (2022). The legal framework for combating gas flaring in Nigeria’s oil and gas industry: Can it promote sustainable energy security? Sustainability, 14(13), 7626. </w:t>
      </w:r>
      <w:hyperlink r:id="rId35" w:history="1">
        <w:r w:rsidRPr="00B25485">
          <w:rPr>
            <w:rStyle w:val="Hyperlink"/>
            <w:rFonts w:ascii="Arial" w:hAnsi="Arial" w:cs="Arial"/>
          </w:rPr>
          <w:t>https://doi.org/10.3390/su14137626</w:t>
        </w:r>
      </w:hyperlink>
    </w:p>
    <w:p w14:paraId="6AC3A252" w14:textId="63A658F0" w:rsidR="009E6A0D" w:rsidRDefault="00E07140" w:rsidP="009E6A0D">
      <w:pPr>
        <w:numPr>
          <w:ilvl w:val="0"/>
          <w:numId w:val="38"/>
        </w:numPr>
        <w:spacing w:after="160" w:line="278" w:lineRule="auto"/>
        <w:jc w:val="both"/>
        <w:rPr>
          <w:rFonts w:ascii="Arial" w:hAnsi="Arial" w:cs="Arial"/>
        </w:rPr>
      </w:pPr>
      <w:r w:rsidRPr="00E07140">
        <w:rPr>
          <w:rFonts w:ascii="Arial" w:hAnsi="Arial" w:cs="Arial"/>
        </w:rPr>
        <w:t xml:space="preserve">Abu, R., </w:t>
      </w:r>
      <w:proofErr w:type="spellStart"/>
      <w:r w:rsidRPr="00E07140">
        <w:rPr>
          <w:rFonts w:ascii="Arial" w:hAnsi="Arial" w:cs="Arial"/>
        </w:rPr>
        <w:t>Patchigolla</w:t>
      </w:r>
      <w:proofErr w:type="spellEnd"/>
      <w:r w:rsidRPr="00E07140">
        <w:rPr>
          <w:rFonts w:ascii="Arial" w:hAnsi="Arial" w:cs="Arial"/>
        </w:rPr>
        <w:t xml:space="preserve">, K., Simms, N., &amp; Anthony, E. J. (2023). Natural gas flaring management system: A novel tool for sustainable gas flaring reduction in Nigeria. Applied Sciences, 13(3), 1866. </w:t>
      </w:r>
      <w:hyperlink r:id="rId36" w:history="1">
        <w:r w:rsidRPr="00B25485">
          <w:rPr>
            <w:rStyle w:val="Hyperlink"/>
            <w:rFonts w:ascii="Arial" w:hAnsi="Arial" w:cs="Arial"/>
          </w:rPr>
          <w:t>https://doi.org/10.3390/app13031866</w:t>
        </w:r>
      </w:hyperlink>
    </w:p>
    <w:p w14:paraId="2EE4A512" w14:textId="77777777" w:rsidR="00E07140" w:rsidRPr="009E6A0D" w:rsidRDefault="00E07140" w:rsidP="00E07140">
      <w:pPr>
        <w:spacing w:after="160" w:line="278" w:lineRule="auto"/>
        <w:ind w:left="720"/>
        <w:jc w:val="both"/>
        <w:rPr>
          <w:rFonts w:ascii="Arial" w:hAnsi="Arial" w:cs="Arial"/>
        </w:rPr>
      </w:pPr>
    </w:p>
    <w:sectPr w:rsidR="00E07140" w:rsidRPr="009E6A0D" w:rsidSect="0004214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7C615" w14:textId="77777777" w:rsidR="00F90193" w:rsidRDefault="00F90193" w:rsidP="00C37E61">
      <w:r>
        <w:separator/>
      </w:r>
    </w:p>
  </w:endnote>
  <w:endnote w:type="continuationSeparator" w:id="0">
    <w:p w14:paraId="12E90980" w14:textId="77777777" w:rsidR="00F90193" w:rsidRDefault="00F9019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E83E1" w14:textId="77777777" w:rsidR="00042149" w:rsidRDefault="00042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C2509" w14:textId="77777777" w:rsidR="00042149" w:rsidRDefault="000421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D2BA" w14:textId="27220FFD" w:rsidR="00754C9A" w:rsidRPr="00016F68" w:rsidRDefault="00754C9A" w:rsidP="00016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10639" w14:textId="77777777" w:rsidR="00F90193" w:rsidRDefault="00F90193" w:rsidP="00C37E61">
      <w:r>
        <w:separator/>
      </w:r>
    </w:p>
  </w:footnote>
  <w:footnote w:type="continuationSeparator" w:id="0">
    <w:p w14:paraId="78D8CB28" w14:textId="77777777" w:rsidR="00F90193" w:rsidRDefault="00F9019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627D2" w14:textId="40B0633D" w:rsidR="00042149" w:rsidRDefault="00000000">
    <w:pPr>
      <w:pStyle w:val="Header"/>
    </w:pPr>
    <w:r>
      <w:rPr>
        <w:noProof/>
      </w:rPr>
      <w:pict w14:anchorId="68AC9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88621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C4EEA" w14:textId="65385219" w:rsidR="00042149" w:rsidRDefault="00000000">
    <w:pPr>
      <w:pStyle w:val="Header"/>
    </w:pPr>
    <w:r>
      <w:rPr>
        <w:noProof/>
      </w:rPr>
      <w:pict w14:anchorId="0EDA3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88622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29EAF" w14:textId="594650E1" w:rsidR="00296529" w:rsidRPr="00296529" w:rsidRDefault="00000000" w:rsidP="00296529">
    <w:pPr>
      <w:ind w:left="2160"/>
      <w:jc w:val="center"/>
      <w:rPr>
        <w:rFonts w:ascii="Times New Roman" w:eastAsia="Calibri" w:hAnsi="Times New Roman"/>
        <w:i/>
        <w:sz w:val="18"/>
        <w:szCs w:val="22"/>
      </w:rPr>
    </w:pPr>
    <w:r>
      <w:rPr>
        <w:noProof/>
      </w:rPr>
      <w:pict w14:anchorId="1CE00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88621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A4E97F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29746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63E67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8E3D6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FD652C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C32D60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9E1F04"/>
    <w:multiLevelType w:val="multilevel"/>
    <w:tmpl w:val="C45460D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104012"/>
    <w:multiLevelType w:val="multilevel"/>
    <w:tmpl w:val="43E8A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CBE2BC0"/>
    <w:multiLevelType w:val="multilevel"/>
    <w:tmpl w:val="1FCE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B34E38"/>
    <w:multiLevelType w:val="hybridMultilevel"/>
    <w:tmpl w:val="F676AC4C"/>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7B6016B"/>
    <w:multiLevelType w:val="multilevel"/>
    <w:tmpl w:val="1170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1075F8"/>
    <w:multiLevelType w:val="multilevel"/>
    <w:tmpl w:val="DE44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0896C0F"/>
    <w:multiLevelType w:val="multilevel"/>
    <w:tmpl w:val="B432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DC50BE"/>
    <w:multiLevelType w:val="multilevel"/>
    <w:tmpl w:val="9056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424DC5"/>
    <w:multiLevelType w:val="multilevel"/>
    <w:tmpl w:val="63844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16636A"/>
    <w:multiLevelType w:val="multilevel"/>
    <w:tmpl w:val="2D125AC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0250329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54258209">
    <w:abstractNumId w:val="21"/>
  </w:num>
  <w:num w:numId="3" w16cid:durableId="271472857">
    <w:abstractNumId w:val="33"/>
  </w:num>
  <w:num w:numId="4" w16cid:durableId="89994842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56404424">
    <w:abstractNumId w:val="9"/>
  </w:num>
  <w:num w:numId="6" w16cid:durableId="2091929445">
    <w:abstractNumId w:val="6"/>
  </w:num>
  <w:num w:numId="7" w16cid:durableId="121120937">
    <w:abstractNumId w:val="1"/>
  </w:num>
  <w:num w:numId="8" w16cid:durableId="2046563236">
    <w:abstractNumId w:val="15"/>
  </w:num>
  <w:num w:numId="9" w16cid:durableId="1748184970">
    <w:abstractNumId w:val="35"/>
  </w:num>
  <w:num w:numId="10" w16cid:durableId="198053854">
    <w:abstractNumId w:val="2"/>
  </w:num>
  <w:num w:numId="11" w16cid:durableId="899100566">
    <w:abstractNumId w:val="28"/>
  </w:num>
  <w:num w:numId="12" w16cid:durableId="597518858">
    <w:abstractNumId w:val="3"/>
  </w:num>
  <w:num w:numId="13" w16cid:durableId="930434727">
    <w:abstractNumId w:val="27"/>
  </w:num>
  <w:num w:numId="14" w16cid:durableId="695933974">
    <w:abstractNumId w:val="10"/>
  </w:num>
  <w:num w:numId="15" w16cid:durableId="198201345">
    <w:abstractNumId w:val="31"/>
  </w:num>
  <w:num w:numId="16" w16cid:durableId="1630091199">
    <w:abstractNumId w:val="5"/>
  </w:num>
  <w:num w:numId="17" w16cid:durableId="1767309409">
    <w:abstractNumId w:val="32"/>
  </w:num>
  <w:num w:numId="18" w16cid:durableId="531189797">
    <w:abstractNumId w:val="18"/>
  </w:num>
  <w:num w:numId="19" w16cid:durableId="1997027821">
    <w:abstractNumId w:val="38"/>
  </w:num>
  <w:num w:numId="20" w16cid:durableId="1866366281">
    <w:abstractNumId w:val="13"/>
  </w:num>
  <w:num w:numId="21" w16cid:durableId="1419332075">
    <w:abstractNumId w:val="11"/>
  </w:num>
  <w:num w:numId="22" w16cid:durableId="1792628477">
    <w:abstractNumId w:val="17"/>
  </w:num>
  <w:num w:numId="23" w16cid:durableId="916209334">
    <w:abstractNumId w:val="29"/>
  </w:num>
  <w:num w:numId="24" w16cid:durableId="692150102">
    <w:abstractNumId w:val="36"/>
  </w:num>
  <w:num w:numId="25" w16cid:durableId="1311909657">
    <w:abstractNumId w:val="4"/>
  </w:num>
  <w:num w:numId="26" w16cid:durableId="1234896833">
    <w:abstractNumId w:val="23"/>
  </w:num>
  <w:num w:numId="27" w16cid:durableId="1141079004">
    <w:abstractNumId w:val="30"/>
  </w:num>
  <w:num w:numId="28" w16cid:durableId="1914852819">
    <w:abstractNumId w:val="37"/>
  </w:num>
  <w:num w:numId="29" w16cid:durableId="150760044">
    <w:abstractNumId w:val="34"/>
  </w:num>
  <w:num w:numId="30" w16cid:durableId="67116031">
    <w:abstractNumId w:val="12"/>
  </w:num>
  <w:num w:numId="31" w16cid:durableId="377632311">
    <w:abstractNumId w:val="20"/>
  </w:num>
  <w:num w:numId="32" w16cid:durableId="839782696">
    <w:abstractNumId w:val="7"/>
  </w:num>
  <w:num w:numId="33" w16cid:durableId="115680430">
    <w:abstractNumId w:val="8"/>
  </w:num>
  <w:num w:numId="34" w16cid:durableId="2122677353">
    <w:abstractNumId w:val="14"/>
  </w:num>
  <w:num w:numId="35" w16cid:durableId="663552930">
    <w:abstractNumId w:val="22"/>
  </w:num>
  <w:num w:numId="36" w16cid:durableId="1992362605">
    <w:abstractNumId w:val="24"/>
  </w:num>
  <w:num w:numId="37" w16cid:durableId="2083139155">
    <w:abstractNumId w:val="26"/>
  </w:num>
  <w:num w:numId="38" w16cid:durableId="2146851958">
    <w:abstractNumId w:val="25"/>
  </w:num>
  <w:num w:numId="39" w16cid:durableId="1662467742">
    <w:abstractNumId w:val="19"/>
  </w:num>
  <w:num w:numId="40" w16cid:durableId="13944256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18F"/>
    <w:rsid w:val="00000F8F"/>
    <w:rsid w:val="00001628"/>
    <w:rsid w:val="00016F68"/>
    <w:rsid w:val="00030174"/>
    <w:rsid w:val="00042149"/>
    <w:rsid w:val="0004579C"/>
    <w:rsid w:val="00072430"/>
    <w:rsid w:val="00082E1F"/>
    <w:rsid w:val="000A4344"/>
    <w:rsid w:val="000A47FA"/>
    <w:rsid w:val="000A65D3"/>
    <w:rsid w:val="000B1E33"/>
    <w:rsid w:val="000B3C18"/>
    <w:rsid w:val="000C0821"/>
    <w:rsid w:val="000C4DDC"/>
    <w:rsid w:val="000D689F"/>
    <w:rsid w:val="000E392C"/>
    <w:rsid w:val="000E7B7B"/>
    <w:rsid w:val="000E7D62"/>
    <w:rsid w:val="000F214B"/>
    <w:rsid w:val="00103357"/>
    <w:rsid w:val="00123C9F"/>
    <w:rsid w:val="00126190"/>
    <w:rsid w:val="00130F17"/>
    <w:rsid w:val="001320BF"/>
    <w:rsid w:val="00163BC4"/>
    <w:rsid w:val="001836A2"/>
    <w:rsid w:val="00191062"/>
    <w:rsid w:val="00192B72"/>
    <w:rsid w:val="001A29D8"/>
    <w:rsid w:val="001A5CAA"/>
    <w:rsid w:val="001B0427"/>
    <w:rsid w:val="001B3A42"/>
    <w:rsid w:val="001C2A13"/>
    <w:rsid w:val="001D3A51"/>
    <w:rsid w:val="001E10D2"/>
    <w:rsid w:val="001E25B4"/>
    <w:rsid w:val="001E44FE"/>
    <w:rsid w:val="00200595"/>
    <w:rsid w:val="00204835"/>
    <w:rsid w:val="0021349A"/>
    <w:rsid w:val="002265DA"/>
    <w:rsid w:val="00231920"/>
    <w:rsid w:val="0023195C"/>
    <w:rsid w:val="0024282C"/>
    <w:rsid w:val="002460DC"/>
    <w:rsid w:val="00250985"/>
    <w:rsid w:val="002556F6"/>
    <w:rsid w:val="00273D15"/>
    <w:rsid w:val="00283105"/>
    <w:rsid w:val="00284C4C"/>
    <w:rsid w:val="00287E68"/>
    <w:rsid w:val="0029068A"/>
    <w:rsid w:val="00291210"/>
    <w:rsid w:val="00296529"/>
    <w:rsid w:val="002A1710"/>
    <w:rsid w:val="002B27FB"/>
    <w:rsid w:val="002B685A"/>
    <w:rsid w:val="002C439F"/>
    <w:rsid w:val="002C57D2"/>
    <w:rsid w:val="002E0D56"/>
    <w:rsid w:val="002E353C"/>
    <w:rsid w:val="00315186"/>
    <w:rsid w:val="0031719B"/>
    <w:rsid w:val="0032036C"/>
    <w:rsid w:val="0033343E"/>
    <w:rsid w:val="00341B40"/>
    <w:rsid w:val="00343EE1"/>
    <w:rsid w:val="003502D9"/>
    <w:rsid w:val="003512C2"/>
    <w:rsid w:val="00371FB6"/>
    <w:rsid w:val="003763C1"/>
    <w:rsid w:val="00376BBE"/>
    <w:rsid w:val="00386388"/>
    <w:rsid w:val="003875DB"/>
    <w:rsid w:val="0039224F"/>
    <w:rsid w:val="003A43A4"/>
    <w:rsid w:val="003A7E18"/>
    <w:rsid w:val="003C4C86"/>
    <w:rsid w:val="003C6258"/>
    <w:rsid w:val="003D2D6D"/>
    <w:rsid w:val="003E2904"/>
    <w:rsid w:val="003F351F"/>
    <w:rsid w:val="00400DE4"/>
    <w:rsid w:val="00401927"/>
    <w:rsid w:val="0041027F"/>
    <w:rsid w:val="00412475"/>
    <w:rsid w:val="00423789"/>
    <w:rsid w:val="00440F43"/>
    <w:rsid w:val="00441B6F"/>
    <w:rsid w:val="00446221"/>
    <w:rsid w:val="00450E62"/>
    <w:rsid w:val="004539DB"/>
    <w:rsid w:val="00460D36"/>
    <w:rsid w:val="00470E91"/>
    <w:rsid w:val="00471A80"/>
    <w:rsid w:val="00493785"/>
    <w:rsid w:val="004D305E"/>
    <w:rsid w:val="004D4277"/>
    <w:rsid w:val="004D4529"/>
    <w:rsid w:val="004E58ED"/>
    <w:rsid w:val="00502516"/>
    <w:rsid w:val="00504CFA"/>
    <w:rsid w:val="00505F06"/>
    <w:rsid w:val="00506828"/>
    <w:rsid w:val="0053056E"/>
    <w:rsid w:val="00554FDA"/>
    <w:rsid w:val="005A5B3B"/>
    <w:rsid w:val="005C7385"/>
    <w:rsid w:val="005C784C"/>
    <w:rsid w:val="005D17F6"/>
    <w:rsid w:val="005D396D"/>
    <w:rsid w:val="005E3936"/>
    <w:rsid w:val="005E5539"/>
    <w:rsid w:val="005E6598"/>
    <w:rsid w:val="00602BF5"/>
    <w:rsid w:val="00612729"/>
    <w:rsid w:val="00617FDD"/>
    <w:rsid w:val="00622943"/>
    <w:rsid w:val="00633614"/>
    <w:rsid w:val="00633F68"/>
    <w:rsid w:val="00636EB2"/>
    <w:rsid w:val="006375B8"/>
    <w:rsid w:val="0066510A"/>
    <w:rsid w:val="00673F9F"/>
    <w:rsid w:val="00674B40"/>
    <w:rsid w:val="00682D6A"/>
    <w:rsid w:val="006830E8"/>
    <w:rsid w:val="006850B9"/>
    <w:rsid w:val="00686953"/>
    <w:rsid w:val="00687DEA"/>
    <w:rsid w:val="00687E67"/>
    <w:rsid w:val="006967F7"/>
    <w:rsid w:val="006A250C"/>
    <w:rsid w:val="006B21D3"/>
    <w:rsid w:val="006B57D0"/>
    <w:rsid w:val="006D30FF"/>
    <w:rsid w:val="006D6940"/>
    <w:rsid w:val="006E2D19"/>
    <w:rsid w:val="006F11EC"/>
    <w:rsid w:val="0070082C"/>
    <w:rsid w:val="0071738B"/>
    <w:rsid w:val="007369E6"/>
    <w:rsid w:val="00746E59"/>
    <w:rsid w:val="00752232"/>
    <w:rsid w:val="00754C9A"/>
    <w:rsid w:val="0075599A"/>
    <w:rsid w:val="00761D52"/>
    <w:rsid w:val="00771A00"/>
    <w:rsid w:val="00776FA0"/>
    <w:rsid w:val="0077749E"/>
    <w:rsid w:val="007875F4"/>
    <w:rsid w:val="00790ADA"/>
    <w:rsid w:val="007D2288"/>
    <w:rsid w:val="007E088F"/>
    <w:rsid w:val="007E14D2"/>
    <w:rsid w:val="007F20F3"/>
    <w:rsid w:val="007F2DBE"/>
    <w:rsid w:val="007F30F5"/>
    <w:rsid w:val="007F7B32"/>
    <w:rsid w:val="008010FB"/>
    <w:rsid w:val="00801D2B"/>
    <w:rsid w:val="00804BC2"/>
    <w:rsid w:val="00805CC8"/>
    <w:rsid w:val="00810FF1"/>
    <w:rsid w:val="00814172"/>
    <w:rsid w:val="0081431A"/>
    <w:rsid w:val="0083216F"/>
    <w:rsid w:val="00844E61"/>
    <w:rsid w:val="00860000"/>
    <w:rsid w:val="00863BD3"/>
    <w:rsid w:val="008641ED"/>
    <w:rsid w:val="00865CDB"/>
    <w:rsid w:val="00866D66"/>
    <w:rsid w:val="008671C6"/>
    <w:rsid w:val="00867DB5"/>
    <w:rsid w:val="00875803"/>
    <w:rsid w:val="0089304A"/>
    <w:rsid w:val="008B459E"/>
    <w:rsid w:val="008C0325"/>
    <w:rsid w:val="008C7C1C"/>
    <w:rsid w:val="008D3B07"/>
    <w:rsid w:val="008E13AE"/>
    <w:rsid w:val="008E1506"/>
    <w:rsid w:val="008E710C"/>
    <w:rsid w:val="008F54C1"/>
    <w:rsid w:val="008F69D6"/>
    <w:rsid w:val="00902823"/>
    <w:rsid w:val="00915CA6"/>
    <w:rsid w:val="00924383"/>
    <w:rsid w:val="00927834"/>
    <w:rsid w:val="009411D8"/>
    <w:rsid w:val="009500A6"/>
    <w:rsid w:val="00957C18"/>
    <w:rsid w:val="00962A27"/>
    <w:rsid w:val="009659BA"/>
    <w:rsid w:val="00971C77"/>
    <w:rsid w:val="00983040"/>
    <w:rsid w:val="009A136F"/>
    <w:rsid w:val="009B3BA9"/>
    <w:rsid w:val="009B3FB9"/>
    <w:rsid w:val="009C2465"/>
    <w:rsid w:val="009D35A0"/>
    <w:rsid w:val="009D4885"/>
    <w:rsid w:val="009D7EB7"/>
    <w:rsid w:val="009E048A"/>
    <w:rsid w:val="009E08E9"/>
    <w:rsid w:val="009E3DB9"/>
    <w:rsid w:val="009E6A0D"/>
    <w:rsid w:val="009E6E35"/>
    <w:rsid w:val="009F0EDA"/>
    <w:rsid w:val="009F26A6"/>
    <w:rsid w:val="00A03B96"/>
    <w:rsid w:val="00A05B19"/>
    <w:rsid w:val="00A10F5B"/>
    <w:rsid w:val="00A1134E"/>
    <w:rsid w:val="00A12634"/>
    <w:rsid w:val="00A22933"/>
    <w:rsid w:val="00A24E7E"/>
    <w:rsid w:val="00A258C3"/>
    <w:rsid w:val="00A31EA8"/>
    <w:rsid w:val="00A31F81"/>
    <w:rsid w:val="00A347C0"/>
    <w:rsid w:val="00A51431"/>
    <w:rsid w:val="00A539AD"/>
    <w:rsid w:val="00A75206"/>
    <w:rsid w:val="00A94063"/>
    <w:rsid w:val="00A95BDA"/>
    <w:rsid w:val="00AA6219"/>
    <w:rsid w:val="00AA74E0"/>
    <w:rsid w:val="00AB703F"/>
    <w:rsid w:val="00AC6BB8"/>
    <w:rsid w:val="00AE008F"/>
    <w:rsid w:val="00AF38D8"/>
    <w:rsid w:val="00B01FCD"/>
    <w:rsid w:val="00B10675"/>
    <w:rsid w:val="00B1776C"/>
    <w:rsid w:val="00B50EEB"/>
    <w:rsid w:val="00B52583"/>
    <w:rsid w:val="00B52896"/>
    <w:rsid w:val="00B63B16"/>
    <w:rsid w:val="00B95236"/>
    <w:rsid w:val="00B9542A"/>
    <w:rsid w:val="00B96BD9"/>
    <w:rsid w:val="00BA1B01"/>
    <w:rsid w:val="00BA2641"/>
    <w:rsid w:val="00BA4DD8"/>
    <w:rsid w:val="00BA619C"/>
    <w:rsid w:val="00BB37AA"/>
    <w:rsid w:val="00BC53A0"/>
    <w:rsid w:val="00BE460A"/>
    <w:rsid w:val="00BE62AD"/>
    <w:rsid w:val="00BF121F"/>
    <w:rsid w:val="00BF1F80"/>
    <w:rsid w:val="00C05E93"/>
    <w:rsid w:val="00C12727"/>
    <w:rsid w:val="00C166EF"/>
    <w:rsid w:val="00C17EB0"/>
    <w:rsid w:val="00C24616"/>
    <w:rsid w:val="00C27F5F"/>
    <w:rsid w:val="00C30A0F"/>
    <w:rsid w:val="00C342C6"/>
    <w:rsid w:val="00C37E61"/>
    <w:rsid w:val="00C457FD"/>
    <w:rsid w:val="00C50A00"/>
    <w:rsid w:val="00C64581"/>
    <w:rsid w:val="00C70F1B"/>
    <w:rsid w:val="00C71A47"/>
    <w:rsid w:val="00C73F01"/>
    <w:rsid w:val="00C7464C"/>
    <w:rsid w:val="00C85588"/>
    <w:rsid w:val="00CB3361"/>
    <w:rsid w:val="00CD5010"/>
    <w:rsid w:val="00CD6755"/>
    <w:rsid w:val="00CD6856"/>
    <w:rsid w:val="00CE0089"/>
    <w:rsid w:val="00CE793C"/>
    <w:rsid w:val="00CF193C"/>
    <w:rsid w:val="00CF6B1F"/>
    <w:rsid w:val="00D159E3"/>
    <w:rsid w:val="00D173F1"/>
    <w:rsid w:val="00D447E1"/>
    <w:rsid w:val="00D74CB0"/>
    <w:rsid w:val="00D8295D"/>
    <w:rsid w:val="00D9106D"/>
    <w:rsid w:val="00DB2545"/>
    <w:rsid w:val="00DB4061"/>
    <w:rsid w:val="00DC2A65"/>
    <w:rsid w:val="00DE15F0"/>
    <w:rsid w:val="00DE5663"/>
    <w:rsid w:val="00DE78AA"/>
    <w:rsid w:val="00DF293D"/>
    <w:rsid w:val="00E053D0"/>
    <w:rsid w:val="00E06E3A"/>
    <w:rsid w:val="00E07140"/>
    <w:rsid w:val="00E15994"/>
    <w:rsid w:val="00E3114E"/>
    <w:rsid w:val="00E31A70"/>
    <w:rsid w:val="00E32093"/>
    <w:rsid w:val="00E35B02"/>
    <w:rsid w:val="00E51995"/>
    <w:rsid w:val="00E66496"/>
    <w:rsid w:val="00E66B35"/>
    <w:rsid w:val="00E66E10"/>
    <w:rsid w:val="00E769F6"/>
    <w:rsid w:val="00E8407C"/>
    <w:rsid w:val="00E84F3C"/>
    <w:rsid w:val="00EA0087"/>
    <w:rsid w:val="00EA012C"/>
    <w:rsid w:val="00EB1AC9"/>
    <w:rsid w:val="00EB6D24"/>
    <w:rsid w:val="00EC6A55"/>
    <w:rsid w:val="00ED0288"/>
    <w:rsid w:val="00EE06BE"/>
    <w:rsid w:val="00EE52CB"/>
    <w:rsid w:val="00EF581D"/>
    <w:rsid w:val="00EF7FD8"/>
    <w:rsid w:val="00F06F59"/>
    <w:rsid w:val="00F17988"/>
    <w:rsid w:val="00F327D7"/>
    <w:rsid w:val="00F469F0"/>
    <w:rsid w:val="00F53273"/>
    <w:rsid w:val="00F66211"/>
    <w:rsid w:val="00F677F2"/>
    <w:rsid w:val="00F74931"/>
    <w:rsid w:val="00F755E4"/>
    <w:rsid w:val="00F77D02"/>
    <w:rsid w:val="00F84AC6"/>
    <w:rsid w:val="00F90193"/>
    <w:rsid w:val="00FB3A86"/>
    <w:rsid w:val="00FD31E6"/>
    <w:rsid w:val="00FD36C8"/>
    <w:rsid w:val="00FE3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F351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3F351F"/>
    <w:rPr>
      <w:rFonts w:asciiTheme="majorHAnsi" w:eastAsiaTheme="majorEastAsia" w:hAnsiTheme="majorHAnsi" w:cstheme="majorBidi"/>
      <w:color w:val="243F60" w:themeColor="accent1" w:themeShade="7F"/>
      <w:sz w:val="24"/>
      <w:szCs w:val="24"/>
    </w:rPr>
  </w:style>
  <w:style w:type="paragraph" w:customStyle="1" w:styleId="Tables">
    <w:name w:val="Tables"/>
    <w:basedOn w:val="Caption"/>
    <w:link w:val="TablesChar"/>
    <w:qFormat/>
    <w:rsid w:val="009411D8"/>
    <w:pPr>
      <w:keepNext/>
      <w:jc w:val="both"/>
    </w:pPr>
    <w:rPr>
      <w:rFonts w:ascii="Times New Roman" w:eastAsiaTheme="minorHAnsi" w:hAnsi="Times New Roman" w:cstheme="minorBidi"/>
      <w:color w:val="000000" w:themeColor="text1"/>
      <w:kern w:val="2"/>
      <w:sz w:val="24"/>
    </w:rPr>
  </w:style>
  <w:style w:type="character" w:customStyle="1" w:styleId="TablesChar">
    <w:name w:val="Tables Char"/>
    <w:basedOn w:val="DefaultParagraphFont"/>
    <w:link w:val="Tables"/>
    <w:rsid w:val="009411D8"/>
    <w:rPr>
      <w:rFonts w:eastAsiaTheme="minorHAnsi" w:cstheme="minorBidi"/>
      <w:i/>
      <w:iCs/>
      <w:color w:val="000000" w:themeColor="text1"/>
      <w:kern w:val="2"/>
      <w:sz w:val="24"/>
      <w:szCs w:val="18"/>
    </w:rPr>
  </w:style>
  <w:style w:type="paragraph" w:styleId="Caption">
    <w:name w:val="caption"/>
    <w:basedOn w:val="Normal"/>
    <w:next w:val="Normal"/>
    <w:semiHidden/>
    <w:unhideWhenUsed/>
    <w:qFormat/>
    <w:rsid w:val="009411D8"/>
    <w:pPr>
      <w:spacing w:after="200"/>
    </w:pPr>
    <w:rPr>
      <w:i/>
      <w:iCs/>
      <w:color w:val="1F497D" w:themeColor="text2"/>
      <w:sz w:val="18"/>
      <w:szCs w:val="18"/>
    </w:rPr>
  </w:style>
  <w:style w:type="paragraph" w:styleId="ListParagraph">
    <w:name w:val="List Paragraph"/>
    <w:basedOn w:val="Normal"/>
    <w:uiPriority w:val="34"/>
    <w:qFormat/>
    <w:rsid w:val="00460D36"/>
    <w:pPr>
      <w:spacing w:after="160" w:line="278" w:lineRule="auto"/>
      <w:ind w:left="720"/>
      <w:contextualSpacing/>
    </w:pPr>
    <w:rPr>
      <w:rFonts w:asciiTheme="minorHAnsi" w:eastAsia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16/j.egyai.2025.100601" TargetMode="External"/><Relationship Id="rId21" Type="http://schemas.openxmlformats.org/officeDocument/2006/relationships/hyperlink" Target="http://www.cs.umn.edu/faculty/kumar/dmbook/ch8.pdf" TargetMode="External"/><Relationship Id="rId34" Type="http://schemas.openxmlformats.org/officeDocument/2006/relationships/hyperlink" Target="https://icidr.org.ng/index.php/jeiadc/article/view/1371?utm_source=chatgpt.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20935/AL3799" TargetMode="External"/><Relationship Id="rId33" Type="http://schemas.openxmlformats.org/officeDocument/2006/relationships/hyperlink" Target="https://doi.org/10.1016/j.jcou.2025.10321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cs.ucf.edu/courses/cap6412/fall2009/papers/JainDataClusteringPRL09.pdf" TargetMode="External"/><Relationship Id="rId29" Type="http://schemas.openxmlformats.org/officeDocument/2006/relationships/hyperlink" Target="https://doi.org/10.2991/assehr.k.201010.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118/221681-MS" TargetMode="External"/><Relationship Id="rId32" Type="http://schemas.openxmlformats.org/officeDocument/2006/relationships/hyperlink" Target="https://doi.org/10.1186/s12859-022-04675-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petsci.2021.12.029" TargetMode="External"/><Relationship Id="rId28" Type="http://schemas.openxmlformats.org/officeDocument/2006/relationships/hyperlink" Target="https://www.nature.com/articles/s41598-025-17525-w" TargetMode="External"/><Relationship Id="rId36" Type="http://schemas.openxmlformats.org/officeDocument/2006/relationships/hyperlink" Target="https://doi.org/10.3390/app13031866" TargetMode="External"/><Relationship Id="rId10" Type="http://schemas.openxmlformats.org/officeDocument/2006/relationships/footer" Target="footer1.xml"/><Relationship Id="rId19" Type="http://schemas.openxmlformats.org/officeDocument/2006/relationships/hyperlink" Target="https://doi.org/10.3390/environments11070158" TargetMode="External"/><Relationship Id="rId31" Type="http://schemas.openxmlformats.org/officeDocument/2006/relationships/hyperlink" Target="https://doi.org/10.3390/e2306075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ins.2022.11.139" TargetMode="External"/><Relationship Id="rId27" Type="http://schemas.openxmlformats.org/officeDocument/2006/relationships/hyperlink" Target="https://doi.org/10.1016/j.jpse.2024.100250" TargetMode="External"/><Relationship Id="rId30" Type="http://schemas.openxmlformats.org/officeDocument/2006/relationships/hyperlink" Target="https://doi.org/10.1016/0377-0427(87)90125-7" TargetMode="External"/><Relationship Id="rId35" Type="http://schemas.openxmlformats.org/officeDocument/2006/relationships/hyperlink" Target="https://doi.org/10.3390/su14137626"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65096-5C02-4E0E-88AF-9DB605369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1337</TotalTime>
  <Pages>15</Pages>
  <Words>5421</Words>
  <Characters>30906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36255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Abinye Nwankwo</cp:lastModifiedBy>
  <cp:revision>105</cp:revision>
  <cp:lastPrinted>1999-07-06T11:00:00Z</cp:lastPrinted>
  <dcterms:created xsi:type="dcterms:W3CDTF">2025-11-23T19:33:00Z</dcterms:created>
  <dcterms:modified xsi:type="dcterms:W3CDTF">2025-11-29T22:32:00Z</dcterms:modified>
</cp:coreProperties>
</file>