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BC75" w14:textId="77777777" w:rsidR="00CA3124" w:rsidRDefault="00D91F10">
      <w:pPr>
        <w:jc w:val="center"/>
      </w:pPr>
      <w:r>
        <w:rPr>
          <w:rFonts w:ascii="Times New Roman" w:hAnsi="Times New Roman"/>
          <w:b/>
          <w:sz w:val="32"/>
        </w:rPr>
        <w:t>Renewable Fuel Production from Biogas and Carbon Dioxide: A Sustainability and Resilience Framework Analysis</w:t>
      </w:r>
    </w:p>
    <w:p w14:paraId="6DF6B68C" w14:textId="4A91E7C7" w:rsidR="00CA3124" w:rsidRDefault="00CA3124"/>
    <w:p w14:paraId="5A7599C1" w14:textId="77777777" w:rsidR="00E45E4B" w:rsidRDefault="00E45E4B"/>
    <w:p w14:paraId="0F539AA4" w14:textId="77777777" w:rsidR="00CA3124" w:rsidRPr="008277C2" w:rsidRDefault="00D91F10">
      <w:pPr>
        <w:pStyle w:val="Heading1"/>
        <w:rPr>
          <w:color w:val="auto"/>
        </w:rPr>
      </w:pPr>
      <w:r w:rsidRPr="008277C2">
        <w:rPr>
          <w:rFonts w:ascii="Times New Roman" w:hAnsi="Times New Roman"/>
          <w:color w:val="auto"/>
        </w:rPr>
        <w:t>ABSTRACT</w:t>
      </w:r>
    </w:p>
    <w:p w14:paraId="15603696" w14:textId="77777777" w:rsidR="00CA3124" w:rsidRDefault="00D91F10">
      <w:pPr>
        <w:spacing w:line="360" w:lineRule="auto"/>
        <w:jc w:val="both"/>
        <w:rPr>
          <w:rFonts w:ascii="Times New Roman" w:hAnsi="Times New Roman"/>
          <w:sz w:val="24"/>
        </w:rPr>
      </w:pPr>
      <w:r>
        <w:rPr>
          <w:rFonts w:ascii="Times New Roman" w:hAnsi="Times New Roman"/>
          <w:sz w:val="24"/>
        </w:rPr>
        <w:t>The global transition to renewable energy requires innovative approaches to address climate change while ensuring energy security. This study examines renewable fuel production using biogas from organic waste and carbon dioxide from industrial emissions as feedstocks, evaluating their contributions to sustainability and resilience through two distinct case studies. The Michigan State University South Campus Anaerobic Digester (SCAD) processes approximately 22,000 metric tons of organic waste annually, generating 300-500 kW of electricity while reducing methane emissions and producing nutrient-rich digestate for agricultural applications. Twelve Technologies' sustainable aviation fuel (SAF) production facility in Moses Lake, Washington, employs electrochemical carbon transformation to convert captured CO₂ into jet fuel, achieving up to 90% reduction in lifecycle greenhouse gas emissions compared to conventional aviation fuel. Through comparative analysis, this research demonstrates that both systems contribute significantly to circular economy principles through waste-to-resource conversion, greenhouse gas mitigation, and economic benefits. SCAD exemplifies localized energy solutions with educational outreach and community engagement, processing diverse feedstocks including dairy manure (52% by 2016) and fats, oils, and grease (23%). Twelve addresses aviation sector decarbonization through advanced Fischer-Tropsch synthesis, targeting initial production of 40,000 gallons annually with plans for tenfold expansion. The findings underscore the importance of policy support, technological advancement, and stakeholder collaboration in overcoming scalability and cost competitiveness challenges. This study provides empirical evidence for designing and implementing renewable energy projects that enhance both environmental sustainability and system resilience.</w:t>
      </w:r>
    </w:p>
    <w:p w14:paraId="5CB8CF15" w14:textId="2DC7C673" w:rsidR="00D71D5E" w:rsidRPr="00D71D5E" w:rsidRDefault="00D71D5E" w:rsidP="00D71D5E">
      <w:pPr>
        <w:spacing w:line="360" w:lineRule="auto"/>
        <w:jc w:val="both"/>
      </w:pPr>
      <w:r w:rsidRPr="00D71D5E">
        <w:rPr>
          <w:b/>
          <w:bCs/>
        </w:rPr>
        <w:t>Keywords:</w:t>
      </w:r>
      <w:r>
        <w:t xml:space="preserve"> </w:t>
      </w:r>
      <w:r w:rsidRPr="00D71D5E">
        <w:t>biogas; carbon dioxide utilization; anaerobic digestion; sustainable aviation fuel; circular economy; carbon capture and utilization; renewable fuel production; sustainability assessment; resilience framework; case study analysis</w:t>
      </w:r>
    </w:p>
    <w:p w14:paraId="13E908ED" w14:textId="77777777" w:rsidR="00D71D5E" w:rsidRDefault="00D71D5E">
      <w:pPr>
        <w:spacing w:line="360" w:lineRule="auto"/>
        <w:jc w:val="both"/>
      </w:pPr>
    </w:p>
    <w:p w14:paraId="271AC407" w14:textId="77777777" w:rsidR="00CA3124" w:rsidRPr="008277C2" w:rsidRDefault="00D91F10">
      <w:pPr>
        <w:pStyle w:val="Heading1"/>
        <w:rPr>
          <w:color w:val="auto"/>
        </w:rPr>
      </w:pPr>
      <w:r w:rsidRPr="008277C2">
        <w:rPr>
          <w:rFonts w:ascii="Times New Roman" w:hAnsi="Times New Roman"/>
          <w:color w:val="auto"/>
        </w:rPr>
        <w:t>1. INTRODUCTION</w:t>
      </w:r>
    </w:p>
    <w:p w14:paraId="48DF0879" w14:textId="77777777" w:rsidR="00CA3124" w:rsidRDefault="00D91F10">
      <w:pPr>
        <w:spacing w:line="360" w:lineRule="auto"/>
        <w:jc w:val="both"/>
      </w:pPr>
      <w:r>
        <w:rPr>
          <w:rFonts w:ascii="Times New Roman" w:hAnsi="Times New Roman"/>
          <w:sz w:val="24"/>
        </w:rPr>
        <w:t>Energy systems underpin modern civilization, yet global reliance on fossil fuels, natural gas, petroleum products, and coal, presents multifaceted challenges. These resources are finite, geographically concentrated, and subject to geopolitical tensions that create supply vulnerabilities (Gielen et al., 2021). Moreover, fossil fuel combustion drives climate change through greenhouse gas emissions, including carbon dioxide (CO₂), methane (CH₄), sulfur oxides (SOₓ), and nitrogen oxides (NOₓ). Industrial processes such as cement production, ethanol fermentation, and iron manufacturing further exacerbate emissions through both direct chemical reactions and indirect energy consumption (EPA, 2024c).</w:t>
      </w:r>
    </w:p>
    <w:p w14:paraId="2F54F22F" w14:textId="77777777" w:rsidR="00CA3124" w:rsidRDefault="00D91F10">
      <w:pPr>
        <w:spacing w:line="360" w:lineRule="auto"/>
        <w:jc w:val="both"/>
      </w:pPr>
      <w:r>
        <w:rPr>
          <w:rFonts w:ascii="Times New Roman" w:hAnsi="Times New Roman"/>
          <w:sz w:val="24"/>
        </w:rPr>
        <w:t>The urgency of transitioning to sustainable energy systems has intensified following the 2015 Paris Agreement, which established global commitments to limit temperature rise to 1.5°C by 2030. Current trajectories indicate that greenhouse gas emissions from fossil fuels increased from approximately 6 billion tonnes in 1950 to 34.81 billion tonnes in 2020, representing 89% of global CO₂ emissions (Ritchie et al., 2020). Despite growing renewable energy adoption, projected to constitute 30% of electricity generation by 2023, up from 25% in 2018 (Renewables, 2018), biomass-derived energy remains underutilized. As of 2024, the United States produces approximately 6,421 million gallons of biofuel annually from 78 facilities, with biomass contributing merely 1.1% to total electricity generation (EIA, 2024).</w:t>
      </w:r>
    </w:p>
    <w:p w14:paraId="68DBC1F3" w14:textId="77777777" w:rsidR="00CA3124" w:rsidRPr="00F14AAB" w:rsidRDefault="00D91F10">
      <w:pPr>
        <w:spacing w:line="360" w:lineRule="auto"/>
        <w:jc w:val="both"/>
        <w:rPr>
          <w:rFonts w:ascii="Times New Roman" w:hAnsi="Times New Roman" w:cs="Times New Roman"/>
        </w:rPr>
      </w:pPr>
      <w:r>
        <w:rPr>
          <w:rFonts w:ascii="Times New Roman" w:hAnsi="Times New Roman"/>
          <w:sz w:val="24"/>
        </w:rPr>
        <w:t xml:space="preserve">Renewable fuel production from waste biogas and captured CO₂ offers a promising pathway to address these challenges. Biogas, generated through anaerobic digestion of organic waste, consists of 50-60% methane, 40-50% CO₂, and trace constituents including hydrogen sulfide </w:t>
      </w:r>
      <w:r w:rsidRPr="00F14AAB">
        <w:rPr>
          <w:rFonts w:ascii="Times New Roman" w:hAnsi="Times New Roman" w:cs="Times New Roman"/>
          <w:sz w:val="24"/>
        </w:rPr>
        <w:t>(H₂S) (Hakawati et al., 2017). Left unmanaged, methane, with a global warming potential 25 times greater than CO₂, escapes from landfills and agricultural operations, significantly contributing to climate change (Change, 2014). Simultaneously, industrial CO₂ emissions from cement manufacturing (accounting for 8% of global emissions), ammonia synthesis, and ethanol production represent substantial yet potentially recoverable carbon sources (Gartner &amp; Hirao, 2015).</w:t>
      </w:r>
    </w:p>
    <w:p w14:paraId="51AC6F0D" w14:textId="77777777" w:rsidR="00CA3124" w:rsidRPr="00F14AAB" w:rsidRDefault="00D91F10">
      <w:pPr>
        <w:spacing w:line="360" w:lineRule="auto"/>
        <w:jc w:val="both"/>
        <w:rPr>
          <w:rFonts w:ascii="Times New Roman" w:hAnsi="Times New Roman" w:cs="Times New Roman"/>
        </w:rPr>
      </w:pPr>
      <w:r w:rsidRPr="00F14AAB">
        <w:rPr>
          <w:rFonts w:ascii="Times New Roman" w:hAnsi="Times New Roman" w:cs="Times New Roman"/>
          <w:sz w:val="24"/>
        </w:rPr>
        <w:lastRenderedPageBreak/>
        <w:t>Recent technological advances in carbon capture and utilization (CCU) and anaerobic digestion systems have enhanced the technical feasibility and economic viability of these approaches. However, as of September 2023, only fifteen carbon capture and storage facilities operate in the United States, capturing approximately 22 million metric tons of CO₂ annually, merely 0.4% of national emissions (Office, 2023). This significant gap between potential and implementation underscores the need for comprehensive analysis of existing systems to identify success factors and barriers.</w:t>
      </w:r>
    </w:p>
    <w:p w14:paraId="5F2D3584" w14:textId="77777777" w:rsidR="00CA3124" w:rsidRPr="00F14AAB" w:rsidRDefault="00D91F10">
      <w:pPr>
        <w:pStyle w:val="Heading2"/>
        <w:rPr>
          <w:rFonts w:ascii="Times New Roman" w:hAnsi="Times New Roman" w:cs="Times New Roman"/>
        </w:rPr>
      </w:pPr>
      <w:r w:rsidRPr="008277C2">
        <w:rPr>
          <w:rFonts w:ascii="Times New Roman" w:hAnsi="Times New Roman" w:cs="Times New Roman"/>
          <w:color w:val="auto"/>
        </w:rPr>
        <w:t>Research Gap and Objectives:</w:t>
      </w:r>
    </w:p>
    <w:p w14:paraId="646AE317" w14:textId="77777777" w:rsidR="00CA3124" w:rsidRPr="00F14AAB" w:rsidRDefault="00D91F10">
      <w:pPr>
        <w:spacing w:line="360" w:lineRule="auto"/>
        <w:jc w:val="both"/>
        <w:rPr>
          <w:rFonts w:ascii="Times New Roman" w:hAnsi="Times New Roman" w:cs="Times New Roman"/>
        </w:rPr>
      </w:pPr>
      <w:r w:rsidRPr="00F14AAB">
        <w:rPr>
          <w:rFonts w:ascii="Times New Roman" w:hAnsi="Times New Roman" w:cs="Times New Roman"/>
          <w:sz w:val="24"/>
        </w:rPr>
        <w:t>While individual studies have examined biogas production or CO₂ utilization independently, limited research provides comparative analysis of these distinct but complementary pathways within integrated sustainability and resilience frameworks. Furthermore, empirical case studies demonstrating operational performance, economic viability, and scalability challenges remain scarce in peer-reviewed literature.</w:t>
      </w:r>
    </w:p>
    <w:p w14:paraId="7396D6E6" w14:textId="474B68DB" w:rsidR="00CA3124" w:rsidRPr="00F14AAB" w:rsidRDefault="00D91F10" w:rsidP="00F14AAB">
      <w:pPr>
        <w:pStyle w:val="Heading2"/>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This study addresses these gaps through three primary objectives: first, to analyze operational performance and outcomes of two contrasting case studies</w:t>
      </w:r>
      <w:r w:rsidR="00F14AAB">
        <w:rPr>
          <w:rFonts w:ascii="Times New Roman" w:hAnsi="Times New Roman" w:cs="Times New Roman"/>
          <w:b w:val="0"/>
          <w:bCs w:val="0"/>
          <w:color w:val="auto"/>
          <w:sz w:val="24"/>
          <w:szCs w:val="24"/>
        </w:rPr>
        <w:t xml:space="preserve">, </w:t>
      </w:r>
      <w:r w:rsidRPr="00F14AAB">
        <w:rPr>
          <w:rFonts w:ascii="Times New Roman" w:hAnsi="Times New Roman" w:cs="Times New Roman"/>
          <w:b w:val="0"/>
          <w:bCs w:val="0"/>
          <w:color w:val="auto"/>
          <w:sz w:val="24"/>
          <w:szCs w:val="24"/>
        </w:rPr>
        <w:t>Michigan State University's localized anaerobic digestion system and Twelve Technologies' industrial-scale CO₂-to-fuel facility; second, to assess sustainability and resilience attributes using established frameworks, including the 4R's model (Robustness, Redundancy, Resourcefulness, Rapidity) and alignment with Sustainable Development Goals (SDGs); and third, to provide evidence-based recommendations for renewable fuel deployment.</w:t>
      </w:r>
    </w:p>
    <w:p w14:paraId="7CBF24D2" w14:textId="77777777" w:rsidR="00CA3124" w:rsidRPr="008277C2" w:rsidRDefault="00D91F10">
      <w:pPr>
        <w:pStyle w:val="Heading1"/>
        <w:rPr>
          <w:color w:val="auto"/>
        </w:rPr>
      </w:pPr>
      <w:r w:rsidRPr="008277C2">
        <w:rPr>
          <w:rFonts w:ascii="Times New Roman" w:hAnsi="Times New Roman"/>
          <w:color w:val="auto"/>
        </w:rPr>
        <w:t>2. LITERATURE REVIEW</w:t>
      </w:r>
    </w:p>
    <w:p w14:paraId="4BF48273" w14:textId="77777777" w:rsidR="00CA3124" w:rsidRPr="008277C2" w:rsidRDefault="00D91F10">
      <w:pPr>
        <w:pStyle w:val="Heading2"/>
        <w:rPr>
          <w:color w:val="auto"/>
        </w:rPr>
      </w:pPr>
      <w:r w:rsidRPr="008277C2">
        <w:rPr>
          <w:rFonts w:ascii="Times New Roman" w:hAnsi="Times New Roman"/>
          <w:color w:val="auto"/>
        </w:rPr>
        <w:t>2.1 Evolution of Renewable Energy Systems</w:t>
      </w:r>
    </w:p>
    <w:p w14:paraId="7E3D60D9" w14:textId="77777777" w:rsidR="00CA3124" w:rsidRDefault="00D91F10">
      <w:pPr>
        <w:spacing w:line="360" w:lineRule="auto"/>
        <w:jc w:val="both"/>
      </w:pPr>
      <w:r>
        <w:rPr>
          <w:rFonts w:ascii="Times New Roman" w:hAnsi="Times New Roman"/>
          <w:sz w:val="24"/>
        </w:rPr>
        <w:t>The global energy landscape has undergone significant transformation over the past two decades, driven by climate change imperatives, technological advancement, and policy innovation. Renewable energy capacity expanded from approximately 25% of global electricity generation in 2018 to a projected 30% by 2023, with projections suggesting two-thirds of global electricity capacity will originate from renewable sources by 2040 (Renewables, 2018). This trajectory reflects declining technology costs, improved performance characteristics, and strengthening policy frameworks supporting decarbonization.</w:t>
      </w:r>
    </w:p>
    <w:p w14:paraId="13B95454" w14:textId="77777777" w:rsidR="00CA3124" w:rsidRDefault="00D91F10">
      <w:pPr>
        <w:spacing w:line="360" w:lineRule="auto"/>
        <w:jc w:val="both"/>
      </w:pPr>
      <w:r>
        <w:rPr>
          <w:rFonts w:ascii="Times New Roman" w:hAnsi="Times New Roman"/>
          <w:sz w:val="24"/>
        </w:rPr>
        <w:lastRenderedPageBreak/>
        <w:t>Bioenergy sources, including biogas, biomethane, liquid biofuels, and solid biomass, are projected to constitute 25% of total primary energy supply by 2050 (Gielen et al., 2021). However, current utilization remains substantially below potential, with biomass contributing merely 1.1% to U.S. electricity generation as of 2023, including landfill gas (0.2%), wood (0.8%), municipal solid waste (0.1%), and other biomass waste (0.1%) totaling approximately 47 billion kWh (EIA, 2024). This gap between potential and realization motivates examination of barriers, enablers, and successful deployment models.</w:t>
      </w:r>
    </w:p>
    <w:p w14:paraId="47E4D8C8" w14:textId="77777777" w:rsidR="00CA3124" w:rsidRPr="008277C2" w:rsidRDefault="00D91F10">
      <w:pPr>
        <w:pStyle w:val="Heading2"/>
        <w:rPr>
          <w:color w:val="auto"/>
        </w:rPr>
      </w:pPr>
      <w:r w:rsidRPr="008277C2">
        <w:rPr>
          <w:rFonts w:ascii="Times New Roman" w:hAnsi="Times New Roman"/>
          <w:color w:val="auto"/>
        </w:rPr>
        <w:t>2.2 Biogas Production: State of Knowledge</w:t>
      </w:r>
    </w:p>
    <w:p w14:paraId="315D4853" w14:textId="77777777" w:rsidR="00CA3124" w:rsidRPr="008277C2" w:rsidRDefault="00D91F10">
      <w:pPr>
        <w:pStyle w:val="Heading2"/>
        <w:rPr>
          <w:color w:val="auto"/>
        </w:rPr>
      </w:pPr>
      <w:r w:rsidRPr="008277C2">
        <w:rPr>
          <w:rFonts w:ascii="Times New Roman" w:hAnsi="Times New Roman"/>
          <w:color w:val="auto"/>
        </w:rPr>
        <w:t>2.2.1 Anaerobic Digestion Technology Development</w:t>
      </w:r>
    </w:p>
    <w:p w14:paraId="62AC5F8F" w14:textId="77777777" w:rsidR="00CA3124" w:rsidRDefault="00D91F10">
      <w:pPr>
        <w:spacing w:line="360" w:lineRule="auto"/>
        <w:jc w:val="both"/>
      </w:pPr>
      <w:r>
        <w:rPr>
          <w:rFonts w:ascii="Times New Roman" w:hAnsi="Times New Roman"/>
          <w:sz w:val="24"/>
        </w:rPr>
        <w:t>Anaerobic digestion technology has evolved substantially since early applications in wastewater treatment during the 19th century. Mattocks (1984) provided seminal documentation of biogas generation fundamentals, establishing foundational understanding of microbial consortia, operational parameters, and feedstock characteristics. Subsequent research expanded knowledge regarding digester configurations (continuously stirred tank reactors, plug-flow reactors, covered lagoons, fixed-film systems), temperature regimes (psychrophilic, mesophilic, thermophilic), and retention time optimization (Chen et al., 2008).</w:t>
      </w:r>
    </w:p>
    <w:p w14:paraId="09DACEC3" w14:textId="77777777" w:rsidR="00CA3124" w:rsidRDefault="00D91F10">
      <w:pPr>
        <w:spacing w:line="360" w:lineRule="auto"/>
        <w:jc w:val="both"/>
      </w:pPr>
      <w:r>
        <w:rPr>
          <w:rFonts w:ascii="Times New Roman" w:hAnsi="Times New Roman"/>
          <w:sz w:val="24"/>
        </w:rPr>
        <w:t>Contemporary understanding recognizes anaerobic digestion as an attractive waste treatment practice achieving dual objectives: pollution control and energy recovery (Chen et al., 2008). The process involves complex microbial ecology wherein hydrolytic, acidogenic, acetogenic, and methanogenic microorganisms function synergistically to convert complex organic polymers into methane and carbon dioxide. Process stability requires careful management of pH, volatile fatty acid concentrations, alkalinity, ammonia levels, and toxic substance concentrations that can inhibit methanogenic archaea.</w:t>
      </w:r>
    </w:p>
    <w:p w14:paraId="2A3AD234" w14:textId="77777777" w:rsidR="00CA3124" w:rsidRPr="008277C2" w:rsidRDefault="00D91F10">
      <w:pPr>
        <w:pStyle w:val="Heading2"/>
        <w:rPr>
          <w:color w:val="auto"/>
        </w:rPr>
      </w:pPr>
      <w:r w:rsidRPr="008277C2">
        <w:rPr>
          <w:rFonts w:ascii="Times New Roman" w:hAnsi="Times New Roman"/>
          <w:color w:val="auto"/>
        </w:rPr>
        <w:t>2.2.2 Feedstock Characteristics and Co-Digestion Strategies</w:t>
      </w:r>
    </w:p>
    <w:p w14:paraId="2D9ED3AF" w14:textId="77777777" w:rsidR="00CA3124" w:rsidRDefault="00D91F10">
      <w:pPr>
        <w:spacing w:line="360" w:lineRule="auto"/>
        <w:jc w:val="both"/>
      </w:pPr>
      <w:r>
        <w:rPr>
          <w:rFonts w:ascii="Times New Roman" w:hAnsi="Times New Roman"/>
          <w:sz w:val="24"/>
        </w:rPr>
        <w:t>Hakawati et al. (2017) demonstrated that biogas composition, typically 50-60% methane, 40-50% carbon dioxide, plus minor constituents including hydrogen sulfide and water vapor, varies with feedstock characteristics and operational conditions. Carbon-to-nitrogen ratio significantly influences process stability and methane yield, with optimal ratios ranging from 20:1 to 30:1 (Chen et al., 2008).</w:t>
      </w:r>
    </w:p>
    <w:p w14:paraId="412B9C4B" w14:textId="77777777" w:rsidR="00CA3124" w:rsidRDefault="00D91F10">
      <w:pPr>
        <w:spacing w:line="360" w:lineRule="auto"/>
        <w:jc w:val="both"/>
      </w:pPr>
      <w:r>
        <w:rPr>
          <w:rFonts w:ascii="Times New Roman" w:hAnsi="Times New Roman"/>
          <w:sz w:val="24"/>
        </w:rPr>
        <w:lastRenderedPageBreak/>
        <w:t>Co-digestion strategies combining multiple feedstocks have emerged as effective approaches for optimizing nutrient balance, diluting inhibitory substances, and enhancing methane yields. High-lipid materials (fats, oils, grease) provide superior methane yields per unit mass due to elevated energy density, while nitrogen-rich substrates (animal manure, food waste) require carbon supplementation to prevent ammonia inhibition. Strategic co-digestion can achieve synergistic effects exceeding the weighted average of individual substrate yields (Mata-Alvarez et al., 2014).</w:t>
      </w:r>
    </w:p>
    <w:p w14:paraId="4117BA2B" w14:textId="77777777" w:rsidR="00CA3124" w:rsidRPr="008277C2" w:rsidRDefault="00D91F10">
      <w:pPr>
        <w:pStyle w:val="Heading2"/>
        <w:rPr>
          <w:color w:val="auto"/>
        </w:rPr>
      </w:pPr>
      <w:r w:rsidRPr="008277C2">
        <w:rPr>
          <w:rFonts w:ascii="Times New Roman" w:hAnsi="Times New Roman"/>
          <w:color w:val="auto"/>
        </w:rPr>
        <w:t>2.2.3 Environmental Performance and Lifecycle Assessment</w:t>
      </w:r>
    </w:p>
    <w:p w14:paraId="464DE40E" w14:textId="77777777" w:rsidR="00CA3124" w:rsidRDefault="00D91F10">
      <w:pPr>
        <w:spacing w:line="360" w:lineRule="auto"/>
        <w:jc w:val="both"/>
      </w:pPr>
      <w:r>
        <w:rPr>
          <w:rFonts w:ascii="Times New Roman" w:hAnsi="Times New Roman"/>
          <w:sz w:val="24"/>
        </w:rPr>
        <w:t>Lifecycle assessment studies consistently demonstrate substantial environmental benefits of biogas systems relative to conventional waste management and fossil fuel utilization. Lyng and Brekke (2019) documented that biogas-derived methane achieves up to 85% lower carbon intensity compared to natural gas, particularly when avoided methane emissions from waste sources are included in system boundaries. These emissions reductions reflect multiple factors: prevention of atmospheric methane release from uncontrolled waste decomposition, displacement of fossil fuel consumption, and potential carbon sequestration through digestate application.</w:t>
      </w:r>
    </w:p>
    <w:p w14:paraId="3532BE29" w14:textId="77777777" w:rsidR="00CA3124" w:rsidRDefault="00D91F10">
      <w:pPr>
        <w:spacing w:line="360" w:lineRule="auto"/>
        <w:jc w:val="both"/>
      </w:pPr>
      <w:r>
        <w:rPr>
          <w:rFonts w:ascii="Times New Roman" w:hAnsi="Times New Roman"/>
          <w:sz w:val="24"/>
        </w:rPr>
        <w:t>However, environmental performance varies substantially with system design and operational practices. Fugitive methane emissions from digesters, digestate storage, and distribution infrastructure can partially offset climate benefits if not properly managed (Møller et al., 2009). Comprehensive environmental assessment must also consider eutrophication potential from nutrient runoff, acidification from ammonia emissions, and photochemical ozone formation from volatile organic compound release.</w:t>
      </w:r>
    </w:p>
    <w:p w14:paraId="76B5F2E6" w14:textId="77777777" w:rsidR="00CA3124" w:rsidRPr="008277C2" w:rsidRDefault="00D91F10">
      <w:pPr>
        <w:pStyle w:val="Heading2"/>
        <w:rPr>
          <w:color w:val="auto"/>
        </w:rPr>
      </w:pPr>
      <w:r w:rsidRPr="008277C2">
        <w:rPr>
          <w:rFonts w:ascii="Times New Roman" w:hAnsi="Times New Roman"/>
          <w:color w:val="auto"/>
        </w:rPr>
        <w:t>2.3 Carbon Dioxide Utilization: Emerging Paradigms</w:t>
      </w:r>
    </w:p>
    <w:p w14:paraId="3D3450C0" w14:textId="77777777" w:rsidR="00CA3124" w:rsidRPr="008277C2" w:rsidRDefault="00D91F10">
      <w:pPr>
        <w:pStyle w:val="Heading2"/>
        <w:rPr>
          <w:color w:val="auto"/>
        </w:rPr>
      </w:pPr>
      <w:r w:rsidRPr="008277C2">
        <w:rPr>
          <w:rFonts w:ascii="Times New Roman" w:hAnsi="Times New Roman"/>
          <w:color w:val="auto"/>
        </w:rPr>
        <w:t>2.3.1 Carbon Capture Technology Advancement</w:t>
      </w:r>
    </w:p>
    <w:p w14:paraId="1B0A9E82" w14:textId="77777777" w:rsidR="00CA3124" w:rsidRDefault="00D91F10">
      <w:pPr>
        <w:spacing w:line="360" w:lineRule="auto"/>
        <w:jc w:val="both"/>
      </w:pPr>
      <w:r>
        <w:rPr>
          <w:rFonts w:ascii="Times New Roman" w:hAnsi="Times New Roman"/>
          <w:sz w:val="24"/>
        </w:rPr>
        <w:t>Carbon capture and storage (CCS) and carbon capture and utilization (CCU) technologies have progressed from conceptual proposals to commercial demonstration over the past three decades. Traditional approaches focus on post-combustion capture using chemical absorption (amine scrubbing), pre-combustion capture through gasification, or oxy-fuel combustion producing concentrated CO₂ streams (Osman et al., 2021). Recent innovations include membrane separation, cryogenic distillation, solid sorbent systems, and direct air capture technologies extracting CO₂ from ambient atmosphere.</w:t>
      </w:r>
    </w:p>
    <w:p w14:paraId="016FA305" w14:textId="77777777" w:rsidR="00CA3124" w:rsidRDefault="00D91F10">
      <w:pPr>
        <w:spacing w:line="360" w:lineRule="auto"/>
        <w:jc w:val="both"/>
      </w:pPr>
      <w:r>
        <w:rPr>
          <w:rFonts w:ascii="Times New Roman" w:hAnsi="Times New Roman"/>
          <w:sz w:val="24"/>
        </w:rPr>
        <w:lastRenderedPageBreak/>
        <w:t>Industrial point sources with high-concentration CO₂ streams offer particularly attractive capture opportunities due to lower energy requirements and capital costs. Ethanol fermentation produces nearly pure CO₂ streams, natural gas processing generates concentrated acid gas streams, and ammonia synthesis releases CO₂ from steam methane reforming (Smith et al., 2020). These industrial sources collectively represent substantial capture potential, though current deployment remains limited with only fifteen facilities operating in the United States as of September 2023, capturing approximately 22 million metric tons CO₂ annually (Office, 2023).</w:t>
      </w:r>
    </w:p>
    <w:p w14:paraId="32CD965D" w14:textId="77777777" w:rsidR="00CA3124" w:rsidRPr="004139E2" w:rsidRDefault="00D91F10">
      <w:pPr>
        <w:pStyle w:val="Heading2"/>
        <w:rPr>
          <w:color w:val="auto"/>
        </w:rPr>
      </w:pPr>
      <w:r w:rsidRPr="004139E2">
        <w:rPr>
          <w:rFonts w:ascii="Times New Roman" w:hAnsi="Times New Roman"/>
          <w:color w:val="auto"/>
        </w:rPr>
        <w:t>2.3.2 CO₂-to-Fuel Conversion Pathways</w:t>
      </w:r>
    </w:p>
    <w:p w14:paraId="140E3353" w14:textId="77777777" w:rsidR="00CA3124" w:rsidRDefault="00D91F10">
      <w:pPr>
        <w:spacing w:line="360" w:lineRule="auto"/>
        <w:jc w:val="both"/>
      </w:pPr>
      <w:r>
        <w:rPr>
          <w:rFonts w:ascii="Times New Roman" w:hAnsi="Times New Roman"/>
          <w:sz w:val="24"/>
        </w:rPr>
        <w:t>Transformation of captured CO₂ into valuable products, particularly transportation fuels, represents an emerging field with significant research activity but limited commercial deployment. Fischer-Tropsch synthesis enables conversion of CO₂-derived synthesis gas (carbon monoxide and hydrogen) into liquid hydrocarbons resembling conventional petroleum products (Dorner et al., 2010). This pathway requires initial CO₂ reduction to carbon monoxide via reverse water-gas shift reaction, followed by catalytic polymerization into hydrocarbon chains of varying lengths.</w:t>
      </w:r>
    </w:p>
    <w:p w14:paraId="7FD3A558" w14:textId="77777777" w:rsidR="00CA3124" w:rsidRDefault="00D91F10">
      <w:pPr>
        <w:spacing w:line="360" w:lineRule="auto"/>
        <w:jc w:val="both"/>
      </w:pPr>
      <w:r>
        <w:rPr>
          <w:rFonts w:ascii="Times New Roman" w:hAnsi="Times New Roman"/>
          <w:sz w:val="24"/>
        </w:rPr>
        <w:t>Electrochemical reduction offers alternative pathways for direct CO₂ conversion using specialized catalysts and electrical energy. Copper-based catalysts enable production of ethylene, ethanol, and other multi-carbon products, while other catalyst systems favor carbon monoxide, formic acid, or methane formation (Bushuyev et al., 2018). However, electrochemical approaches currently face challenges including low current densities, limited catalyst selectivity, and competition from hydrogen evolution reactions.</w:t>
      </w:r>
    </w:p>
    <w:p w14:paraId="757B0D46" w14:textId="77777777" w:rsidR="00CA3124" w:rsidRDefault="00D91F10">
      <w:pPr>
        <w:spacing w:line="360" w:lineRule="auto"/>
        <w:jc w:val="both"/>
      </w:pPr>
      <w:r>
        <w:rPr>
          <w:rFonts w:ascii="Times New Roman" w:hAnsi="Times New Roman"/>
          <w:sz w:val="24"/>
        </w:rPr>
        <w:t>The sustainability of CO₂-to-fuel systems critically depends on energy source characteristics. Processes powered by fossil-derived electricity may generate net greenhouse gas emissions exceeding those of conventional fuel production due to conversion inefficiencies and upstream energy inputs. Conversely, systems integrated with low-carbon electricity from wind, solar, nuclear, or hydropower can achieve substantial lifecycle emission reductions while creating markets for excess renewable generation during periods of low demand (Gustafsson &amp; Svensson, 2021).</w:t>
      </w:r>
    </w:p>
    <w:p w14:paraId="0CB93908" w14:textId="77777777" w:rsidR="00CA3124" w:rsidRPr="004139E2" w:rsidRDefault="00D91F10">
      <w:pPr>
        <w:pStyle w:val="Heading2"/>
        <w:rPr>
          <w:color w:val="auto"/>
        </w:rPr>
      </w:pPr>
      <w:r w:rsidRPr="004139E2">
        <w:rPr>
          <w:rFonts w:ascii="Times New Roman" w:hAnsi="Times New Roman"/>
          <w:color w:val="auto"/>
        </w:rPr>
        <w:lastRenderedPageBreak/>
        <w:t>2.3.3 Economic and Policy Considerations</w:t>
      </w:r>
    </w:p>
    <w:p w14:paraId="38CDB276" w14:textId="77777777" w:rsidR="00CA3124" w:rsidRDefault="00D91F10">
      <w:pPr>
        <w:spacing w:line="360" w:lineRule="auto"/>
        <w:jc w:val="both"/>
      </w:pPr>
      <w:r>
        <w:rPr>
          <w:rFonts w:ascii="Times New Roman" w:hAnsi="Times New Roman"/>
          <w:sz w:val="24"/>
        </w:rPr>
        <w:t>Economic viability of CO₂ utilization technologies remains challenging relative to established fossil fuel infrastructure. High capital costs, energy intensity of conversion processes, and competition with inexpensive petroleum products create substantial economic barriers. Kim et al. (2019) identified that policy support mechanisms, including carbon pricing, low carbon fuel standards, renewable fuel mandates, and government incentives, prove essential for accelerating technology deployment and market development.</w:t>
      </w:r>
    </w:p>
    <w:p w14:paraId="46442871" w14:textId="77777777" w:rsidR="00CA3124" w:rsidRDefault="00D91F10">
      <w:pPr>
        <w:spacing w:line="360" w:lineRule="auto"/>
        <w:jc w:val="both"/>
      </w:pPr>
      <w:r>
        <w:rPr>
          <w:rFonts w:ascii="Times New Roman" w:hAnsi="Times New Roman"/>
          <w:sz w:val="24"/>
        </w:rPr>
        <w:t>Successful commercialization requires supportive regulatory frameworks recognizing the climate mitigation value of CO₂ utilization. California's Low Carbon Fuel Standard provides precedent by creating premium markets for fuels with verified greenhouse gas intensity below conventional baselines (Agupugo et al., 2022). Similar policies in Canada, Europe, and other jurisdictions are emerging, though global policy harmonization remains limited.</w:t>
      </w:r>
    </w:p>
    <w:p w14:paraId="3FD04D25" w14:textId="77777777" w:rsidR="00CA3124" w:rsidRPr="004139E2" w:rsidRDefault="00D91F10">
      <w:pPr>
        <w:pStyle w:val="Heading2"/>
        <w:rPr>
          <w:color w:val="auto"/>
        </w:rPr>
      </w:pPr>
      <w:r w:rsidRPr="004139E2">
        <w:rPr>
          <w:rFonts w:ascii="Times New Roman" w:hAnsi="Times New Roman"/>
          <w:color w:val="auto"/>
        </w:rPr>
        <w:t>2.4 Sustainability and Resilience Frameworks</w:t>
      </w:r>
    </w:p>
    <w:p w14:paraId="352C52F8" w14:textId="77777777" w:rsidR="00CA3124" w:rsidRPr="004139E2" w:rsidRDefault="00D91F10">
      <w:pPr>
        <w:pStyle w:val="Heading2"/>
        <w:rPr>
          <w:color w:val="auto"/>
        </w:rPr>
      </w:pPr>
      <w:r w:rsidRPr="004139E2">
        <w:rPr>
          <w:rFonts w:ascii="Times New Roman" w:hAnsi="Times New Roman"/>
          <w:color w:val="auto"/>
        </w:rPr>
        <w:t>2.4.1 Sustainability Assessment Methodologies</w:t>
      </w:r>
    </w:p>
    <w:p w14:paraId="0077B55C" w14:textId="77777777" w:rsidR="00CA3124" w:rsidRDefault="00D91F10">
      <w:pPr>
        <w:spacing w:line="360" w:lineRule="auto"/>
        <w:jc w:val="both"/>
      </w:pPr>
      <w:r>
        <w:rPr>
          <w:rFonts w:ascii="Times New Roman" w:hAnsi="Times New Roman"/>
          <w:sz w:val="24"/>
        </w:rPr>
        <w:t>Sustainability evaluation of energy systems requires integrated analysis across environmental, economic, and social dimensions, commonly termed the triple bottom line or three pillars of sustainability. Ranjbari et al. (2022) emphasized that biofuel supply chain management within circular economy transitions demands holistic assessment considering resource flows, environmental impacts, economic viability, social acceptance, and policy alignment.</w:t>
      </w:r>
    </w:p>
    <w:p w14:paraId="0B7545EB" w14:textId="77777777" w:rsidR="00CA3124" w:rsidRDefault="00D91F10">
      <w:pPr>
        <w:spacing w:line="360" w:lineRule="auto"/>
        <w:jc w:val="both"/>
      </w:pPr>
      <w:r>
        <w:rPr>
          <w:rFonts w:ascii="Times New Roman" w:hAnsi="Times New Roman"/>
          <w:sz w:val="24"/>
        </w:rPr>
        <w:t>Lifecycle assessment (LCA) provides standardized methodology for quantifying environmental impacts across production chains, from raw material extraction through end-of-life disposal. However, traditional LCA often inadequately addresses social sustainability dimensions including equity, community acceptance, labor conditions, and stakeholder participation (Osman et al., 2021). Integrated frameworks combining LCA with social impact assessment, economic analysis, and multi-criteria decision analysis offer more comprehensive sustainability evaluation.</w:t>
      </w:r>
    </w:p>
    <w:p w14:paraId="2D080464" w14:textId="77777777" w:rsidR="00CA3124" w:rsidRPr="004139E2" w:rsidRDefault="00D91F10">
      <w:pPr>
        <w:pStyle w:val="Heading2"/>
        <w:rPr>
          <w:color w:val="auto"/>
        </w:rPr>
      </w:pPr>
      <w:r w:rsidRPr="004139E2">
        <w:rPr>
          <w:rFonts w:ascii="Times New Roman" w:hAnsi="Times New Roman"/>
          <w:color w:val="auto"/>
        </w:rPr>
        <w:t>2.4.2 Resilience in Energy Systems</w:t>
      </w:r>
    </w:p>
    <w:p w14:paraId="279D4244" w14:textId="77777777" w:rsidR="00CA3124" w:rsidRDefault="00D91F10">
      <w:pPr>
        <w:spacing w:line="360" w:lineRule="auto"/>
        <w:jc w:val="both"/>
      </w:pPr>
      <w:r>
        <w:rPr>
          <w:rFonts w:ascii="Times New Roman" w:hAnsi="Times New Roman"/>
          <w:sz w:val="24"/>
        </w:rPr>
        <w:t xml:space="preserve">Energy system resilience encompasses capacity to withstand disturbances, adapt to changing conditions, and rapidly recover functionality following disruptions. The 4R's framework, Robustness, Redundancy, Resourcefulness, and Rapidity, provides operational criteria for </w:t>
      </w:r>
      <w:r>
        <w:rPr>
          <w:rFonts w:ascii="Times New Roman" w:hAnsi="Times New Roman"/>
          <w:sz w:val="24"/>
        </w:rPr>
        <w:lastRenderedPageBreak/>
        <w:t>resilience assessment (Sharifi &amp; Yamagata, 2016). Robust systems maintain performance under stress; redundant systems possess backup capacity and pathway diversity; resourceful systems efficiently mobilize resources for adaptation; and rapid systems quickly restore functionality.</w:t>
      </w:r>
    </w:p>
    <w:p w14:paraId="5703E2F0" w14:textId="77777777" w:rsidR="00CA3124" w:rsidRDefault="00D91F10">
      <w:pPr>
        <w:spacing w:line="360" w:lineRule="auto"/>
        <w:jc w:val="both"/>
      </w:pPr>
      <w:r>
        <w:rPr>
          <w:rFonts w:ascii="Times New Roman" w:hAnsi="Times New Roman"/>
          <w:sz w:val="24"/>
        </w:rPr>
        <w:t>Renewable fuel production enhances resilience through multiple mechanisms: diversification of energy sources reducing fossil fuel dependence, distributed generation architecture resistant to centralized infrastructure failures, utilization of locally available feedstocks minimizing supply chain vulnerabilities, and flexibility to adapt feedstock composition based on availability (Antar et al., 2021). However, resilience challenges include weather-dependent feedstock generation, seasonal variation in organic waste availability, and vulnerability to policy discontinuity affecting economic viability.</w:t>
      </w:r>
    </w:p>
    <w:p w14:paraId="4B25E42C" w14:textId="77777777" w:rsidR="00CA3124" w:rsidRPr="004139E2" w:rsidRDefault="00D91F10">
      <w:pPr>
        <w:pStyle w:val="Heading2"/>
        <w:rPr>
          <w:color w:val="auto"/>
        </w:rPr>
      </w:pPr>
      <w:r w:rsidRPr="004139E2">
        <w:rPr>
          <w:rFonts w:ascii="Times New Roman" w:hAnsi="Times New Roman"/>
          <w:color w:val="auto"/>
        </w:rPr>
        <w:t>2.5 Case Study Research in Renewable Energy</w:t>
      </w:r>
    </w:p>
    <w:p w14:paraId="07AF3904" w14:textId="77777777" w:rsidR="00CA3124" w:rsidRDefault="00D91F10">
      <w:pPr>
        <w:spacing w:line="360" w:lineRule="auto"/>
        <w:jc w:val="both"/>
      </w:pPr>
      <w:r>
        <w:rPr>
          <w:rFonts w:ascii="Times New Roman" w:hAnsi="Times New Roman"/>
          <w:sz w:val="24"/>
        </w:rPr>
        <w:t>Comparative case study methodology enables in-depth investigation of renewable energy systems within real-world contexts, revealing implementation challenges, success factors, and transferable lessons often obscured in theoretical or laboratory studies. Bauer (2018) demonstrated that Michigan State University's anaerobic digester provides valuable insights regarding institutional-scale biogas production, educational integration, and community engagement. Such empirical documentation supports evidence-based policy development and project replication in similar contexts.</w:t>
      </w:r>
    </w:p>
    <w:p w14:paraId="682AF770" w14:textId="77777777" w:rsidR="00CA3124" w:rsidRDefault="00D91F10">
      <w:pPr>
        <w:spacing w:line="360" w:lineRule="auto"/>
        <w:jc w:val="both"/>
      </w:pPr>
      <w:r>
        <w:rPr>
          <w:rFonts w:ascii="Times New Roman" w:hAnsi="Times New Roman"/>
          <w:sz w:val="24"/>
        </w:rPr>
        <w:t>However, case study literature examining CO₂-to-fuel systems remains sparse due to limited commercial deployment. Most published research addresses laboratory demonstrations, pilot-scale facilities, or techno-economic modeling rather than operational commercial systems (Kim et al., 2019). This knowledge gap motivates documentation of emerging commercial facilities to inform future deployment strategies and policy design.</w:t>
      </w:r>
    </w:p>
    <w:p w14:paraId="53636B3D" w14:textId="77777777" w:rsidR="00CA3124" w:rsidRPr="004139E2" w:rsidRDefault="00D91F10">
      <w:pPr>
        <w:pStyle w:val="Heading2"/>
        <w:rPr>
          <w:color w:val="auto"/>
        </w:rPr>
      </w:pPr>
      <w:r w:rsidRPr="004139E2">
        <w:rPr>
          <w:rFonts w:ascii="Times New Roman" w:hAnsi="Times New Roman"/>
          <w:color w:val="auto"/>
        </w:rPr>
        <w:t>2.6 Research Gaps and Study Positioning</w:t>
      </w:r>
    </w:p>
    <w:p w14:paraId="2815DE0D" w14:textId="77777777" w:rsidR="00CA3124" w:rsidRDefault="00D91F10">
      <w:pPr>
        <w:spacing w:line="360" w:lineRule="auto"/>
        <w:jc w:val="both"/>
      </w:pPr>
      <w:r>
        <w:rPr>
          <w:rFonts w:ascii="Times New Roman" w:hAnsi="Times New Roman"/>
          <w:sz w:val="24"/>
        </w:rPr>
        <w:t>Despite substantial research addressing biogas production and CO₂ utilization independently, several critical gaps persist:</w:t>
      </w:r>
    </w:p>
    <w:p w14:paraId="69F458DC" w14:textId="77777777" w:rsidR="00CA3124" w:rsidRDefault="00D91F10">
      <w:pPr>
        <w:spacing w:line="360" w:lineRule="auto"/>
        <w:jc w:val="both"/>
      </w:pPr>
      <w:r>
        <w:rPr>
          <w:rFonts w:ascii="Times New Roman" w:hAnsi="Times New Roman"/>
          <w:sz w:val="24"/>
        </w:rPr>
        <w:t>i.</w:t>
      </w:r>
      <w:r>
        <w:rPr>
          <w:rFonts w:ascii="Times New Roman" w:hAnsi="Times New Roman"/>
          <w:sz w:val="24"/>
        </w:rPr>
        <w:tab/>
        <w:t>Limited Comparative Analysis: Few studies directly compare biogas and CO₂-based renewable fuel pathways within unified analytical frameworks, hindering comparative assessment of relative merits, limitations, and appropriate deployment contexts</w:t>
      </w:r>
    </w:p>
    <w:p w14:paraId="5E01DC57" w14:textId="77777777" w:rsidR="00CA3124" w:rsidRDefault="00D91F10">
      <w:pPr>
        <w:spacing w:line="360" w:lineRule="auto"/>
        <w:jc w:val="both"/>
      </w:pPr>
      <w:r>
        <w:rPr>
          <w:rFonts w:ascii="Times New Roman" w:hAnsi="Times New Roman"/>
          <w:sz w:val="24"/>
        </w:rPr>
        <w:lastRenderedPageBreak/>
        <w:t>ii.</w:t>
      </w:r>
      <w:r>
        <w:rPr>
          <w:rFonts w:ascii="Times New Roman" w:hAnsi="Times New Roman"/>
          <w:sz w:val="24"/>
        </w:rPr>
        <w:tab/>
        <w:t>Insufficient Empirical Documentation: Published literature emphasizes modeling and laboratory studies over operational performance data from commercial or institutional facilities, creating evidence gaps regarding real-world implementation challenges</w:t>
      </w:r>
    </w:p>
    <w:p w14:paraId="086EEF71" w14:textId="77777777" w:rsidR="00CA3124" w:rsidRDefault="00D91F10">
      <w:pPr>
        <w:spacing w:line="360" w:lineRule="auto"/>
        <w:jc w:val="both"/>
      </w:pPr>
      <w:r>
        <w:rPr>
          <w:rFonts w:ascii="Times New Roman" w:hAnsi="Times New Roman"/>
          <w:sz w:val="24"/>
        </w:rPr>
        <w:t>iii.</w:t>
      </w:r>
      <w:r>
        <w:rPr>
          <w:rFonts w:ascii="Times New Roman" w:hAnsi="Times New Roman"/>
          <w:sz w:val="24"/>
        </w:rPr>
        <w:tab/>
        <w:t>Incomplete Sustainability Assessment: Most studies emphasize environmental or economic dimensions while inadequately addressing social sustainability, policy integration, educational impacts, and community engagement</w:t>
      </w:r>
    </w:p>
    <w:p w14:paraId="22E482DE" w14:textId="77777777" w:rsidR="00CA3124" w:rsidRPr="004139E2" w:rsidRDefault="00D91F10">
      <w:pPr>
        <w:pStyle w:val="Heading2"/>
        <w:rPr>
          <w:b w:val="0"/>
          <w:bCs w:val="0"/>
          <w:color w:val="auto"/>
          <w:sz w:val="24"/>
          <w:szCs w:val="24"/>
        </w:rPr>
      </w:pPr>
      <w:r w:rsidRPr="004139E2">
        <w:rPr>
          <w:rFonts w:ascii="Times New Roman" w:hAnsi="Times New Roman"/>
          <w:b w:val="0"/>
          <w:bCs w:val="0"/>
          <w:color w:val="auto"/>
          <w:sz w:val="24"/>
          <w:szCs w:val="24"/>
        </w:rPr>
        <w:t>iv.</w:t>
      </w:r>
      <w:r w:rsidRPr="004139E2">
        <w:rPr>
          <w:rFonts w:ascii="Times New Roman" w:hAnsi="Times New Roman"/>
          <w:b w:val="0"/>
          <w:bCs w:val="0"/>
          <w:color w:val="auto"/>
          <w:sz w:val="24"/>
          <w:szCs w:val="24"/>
        </w:rPr>
        <w:tab/>
        <w:t>Resilience Framework Application: Limited research explicitly employs resilience frameworks for evaluating renewable fuel systems, despite growing recognition of resilience importance in climate change adaptation</w:t>
      </w:r>
    </w:p>
    <w:p w14:paraId="337D36B2" w14:textId="77777777" w:rsidR="00CA3124" w:rsidRDefault="00D91F10">
      <w:pPr>
        <w:spacing w:line="360" w:lineRule="auto"/>
        <w:jc w:val="both"/>
      </w:pPr>
      <w:r>
        <w:rPr>
          <w:rFonts w:ascii="Times New Roman" w:hAnsi="Times New Roman"/>
          <w:sz w:val="24"/>
        </w:rPr>
        <w:t>v.</w:t>
      </w:r>
      <w:r>
        <w:rPr>
          <w:rFonts w:ascii="Times New Roman" w:hAnsi="Times New Roman"/>
          <w:sz w:val="24"/>
        </w:rPr>
        <w:tab/>
        <w:t>Scalability and Replication Barriers: Insufficient documentation of barriers, enablers, and best practices for scaling successful pilot or demonstration projects to broader deployment</w:t>
      </w:r>
    </w:p>
    <w:p w14:paraId="65A81F68" w14:textId="77777777" w:rsidR="00CA3124" w:rsidRDefault="00D91F10">
      <w:pPr>
        <w:spacing w:line="360" w:lineRule="auto"/>
        <w:jc w:val="both"/>
      </w:pPr>
      <w:r>
        <w:rPr>
          <w:rFonts w:ascii="Times New Roman" w:hAnsi="Times New Roman"/>
          <w:sz w:val="24"/>
        </w:rPr>
        <w:t>This study addresses these gaps through integrated sustainability and resilience assessment of two contrasting case studies representing distinct renewable fuel pathways, operational scales, and deployment contexts. By examining both biogas-based and CO₂-based systems using consistent analytical frameworks, this research provides comparative insights supporting evidence-based decision-making for renewable energy development.</w:t>
      </w:r>
    </w:p>
    <w:p w14:paraId="7DC9C353" w14:textId="77777777" w:rsidR="00CA3124" w:rsidRPr="004139E2" w:rsidRDefault="00D91F10">
      <w:pPr>
        <w:pStyle w:val="Heading1"/>
        <w:rPr>
          <w:color w:val="auto"/>
        </w:rPr>
      </w:pPr>
      <w:r w:rsidRPr="004139E2">
        <w:rPr>
          <w:rFonts w:ascii="Times New Roman" w:hAnsi="Times New Roman"/>
          <w:color w:val="auto"/>
        </w:rPr>
        <w:t>3. METHODOLOGY</w:t>
      </w:r>
    </w:p>
    <w:p w14:paraId="40575298" w14:textId="05311167" w:rsidR="00CA3124" w:rsidRPr="004139E2" w:rsidRDefault="004139E2">
      <w:pPr>
        <w:pStyle w:val="Heading2"/>
        <w:rPr>
          <w:color w:val="auto"/>
        </w:rPr>
      </w:pPr>
      <w:r w:rsidRPr="004139E2">
        <w:rPr>
          <w:rFonts w:ascii="Times New Roman" w:hAnsi="Times New Roman"/>
          <w:color w:val="auto"/>
        </w:rPr>
        <w:t>3.1 Theoretical Framework</w:t>
      </w:r>
    </w:p>
    <w:p w14:paraId="71086C67" w14:textId="77777777" w:rsidR="00CA3124" w:rsidRDefault="00D91F10">
      <w:pPr>
        <w:spacing w:line="360" w:lineRule="auto"/>
        <w:jc w:val="both"/>
      </w:pPr>
      <w:r>
        <w:rPr>
          <w:rFonts w:ascii="Times New Roman" w:hAnsi="Times New Roman"/>
          <w:sz w:val="24"/>
        </w:rPr>
        <w:t>This study adopts an integrated analytical framework combining sustainability principles with resilience theory to evaluate renewable fuel production systems comprehensively. The framework recognizes that effective responses to climate change and energy security challenges require systems that simultaneously achieve environmental protection, economic viability, and social equity while maintaining functionality under stress and uncertainty.</w:t>
      </w:r>
    </w:p>
    <w:p w14:paraId="6B33ADCA" w14:textId="5891FC71" w:rsidR="00CA3124" w:rsidRPr="004139E2" w:rsidRDefault="00D91F10">
      <w:pPr>
        <w:pStyle w:val="Heading2"/>
        <w:rPr>
          <w:color w:val="auto"/>
        </w:rPr>
      </w:pPr>
      <w:r w:rsidRPr="004139E2">
        <w:rPr>
          <w:rFonts w:ascii="Times New Roman" w:hAnsi="Times New Roman"/>
          <w:color w:val="auto"/>
        </w:rPr>
        <w:lastRenderedPageBreak/>
        <w:t>Conceptualizing Sustainability in Energy Systems</w:t>
      </w:r>
    </w:p>
    <w:p w14:paraId="389F20AF" w14:textId="0FAC1D41" w:rsidR="00CA3124" w:rsidRPr="00F14AAB" w:rsidRDefault="00D91F10" w:rsidP="00F14AAB">
      <w:pPr>
        <w:pStyle w:val="Heading2"/>
        <w:jc w:val="both"/>
        <w:rPr>
          <w:rFonts w:ascii="Times New Roman" w:hAnsi="Times New Roman"/>
          <w:b w:val="0"/>
          <w:bCs w:val="0"/>
          <w:color w:val="auto"/>
          <w:sz w:val="24"/>
          <w:szCs w:val="24"/>
        </w:rPr>
      </w:pPr>
      <w:r w:rsidRPr="00F14AAB">
        <w:rPr>
          <w:rFonts w:ascii="Times New Roman" w:hAnsi="Times New Roman"/>
          <w:b w:val="0"/>
          <w:bCs w:val="0"/>
          <w:color w:val="auto"/>
          <w:sz w:val="24"/>
          <w:szCs w:val="24"/>
        </w:rPr>
        <w:t>Sustainability represents the capacity to meet present energy demands without compromising the ability of future generations to meet their own needs, as articulated in the Brundtland Commission's foundational definition and subsequently operationalized through the United Nations Sustainable Development Goals (Nations, 2015). Within energy systems specifically, sustainability extends beyond simple resource availability to encompass the broader ecological, economic, and social contexts within which energy production and consumption occur. Fawzy et al. (2020) emphasized that climate change mitigation strategies must address multiple vulnerable sectors simultaneously, including water resources, food security, health infrastructure, human habitation, and ecosystems, recognizing the interconnected nature of sustainability challenges.</w:t>
      </w:r>
    </w:p>
    <w:p w14:paraId="44A133BC" w14:textId="77777777" w:rsidR="00F14AAB" w:rsidRDefault="00F14AAB">
      <w:pPr>
        <w:spacing w:line="360" w:lineRule="auto"/>
        <w:jc w:val="both"/>
        <w:rPr>
          <w:rFonts w:ascii="Times New Roman" w:hAnsi="Times New Roman"/>
          <w:sz w:val="24"/>
        </w:rPr>
      </w:pPr>
    </w:p>
    <w:p w14:paraId="4BB5AE9E" w14:textId="199A043C" w:rsidR="00CA3124" w:rsidRDefault="00D91F10">
      <w:pPr>
        <w:spacing w:line="360" w:lineRule="auto"/>
        <w:jc w:val="both"/>
      </w:pPr>
      <w:r>
        <w:rPr>
          <w:rFonts w:ascii="Times New Roman" w:hAnsi="Times New Roman"/>
          <w:sz w:val="24"/>
        </w:rPr>
        <w:t>The triple bottom line framework, originally developed for corporate sustainability assessment but increasingly applied to infrastructure and energy systems analysis, provides structure for examining sustainability across three interconnected dimensions. Environmental sustainability addresses the ecological impacts of energy systems, including greenhouse gas emissions driving climate change, resource depletion threatening future availability, pollution affecting air and water quality, and ecosystem disruption from extraction and conversion processes (Ritchie et al., 2020). Economic sustainability evaluates financial viability, encompassing initial capital requirements, ongoing operational expenditures, revenue generation potential, employment creation, and long-term economic competitiveness relative to alternative energy sources (IRENA, 2021). Social sustainability examines the human dimensions of energy systems, including community acceptance and opposition, equitable distribution of benefits and burdens across populations, workforce development and employment quality, educational opportunities, and alignment with societal values and policy objectives (Ranjbari et al., 2022).</w:t>
      </w:r>
    </w:p>
    <w:p w14:paraId="13F8C376" w14:textId="77777777" w:rsidR="00CA3124" w:rsidRDefault="00D91F10">
      <w:pPr>
        <w:spacing w:line="360" w:lineRule="auto"/>
        <w:jc w:val="both"/>
      </w:pPr>
      <w:r>
        <w:rPr>
          <w:rFonts w:ascii="Times New Roman" w:hAnsi="Times New Roman"/>
          <w:sz w:val="24"/>
        </w:rPr>
        <w:t xml:space="preserve">Critically, these three dimensions exist in dynamic relationship rather than isolation. Environmental performance affects economic viability through regulatory compliance costs, carbon pricing mechanisms, and access to green financing. Economic considerations shape environmental outcomes through technology selection, operational practices, and investment in pollution control equipment. Social factors influence both environmental and economic dimensions through public acceptance affecting project feasibility, workforce skills determining operational efficiency, and policy frameworks establishing incentive structures. Comprehensive </w:t>
      </w:r>
      <w:r>
        <w:rPr>
          <w:rFonts w:ascii="Times New Roman" w:hAnsi="Times New Roman"/>
          <w:sz w:val="24"/>
        </w:rPr>
        <w:lastRenderedPageBreak/>
        <w:t>sustainability assessment therefore requires integrated analysis acknowledging these interdependencies and potential trade-offs.</w:t>
      </w:r>
    </w:p>
    <w:p w14:paraId="496F3419" w14:textId="744EE842" w:rsidR="00CA3124" w:rsidRPr="004139E2" w:rsidRDefault="00D91F10">
      <w:pPr>
        <w:pStyle w:val="Heading2"/>
        <w:rPr>
          <w:color w:val="auto"/>
        </w:rPr>
      </w:pPr>
      <w:r w:rsidRPr="004139E2">
        <w:rPr>
          <w:rFonts w:ascii="Times New Roman" w:hAnsi="Times New Roman"/>
          <w:color w:val="auto"/>
        </w:rPr>
        <w:t>Circular Economy Principles</w:t>
      </w:r>
    </w:p>
    <w:p w14:paraId="4A2E7FB1" w14:textId="77777777" w:rsidR="00CA3124" w:rsidRDefault="00D91F10">
      <w:pPr>
        <w:spacing w:line="360" w:lineRule="auto"/>
        <w:jc w:val="both"/>
      </w:pPr>
      <w:r>
        <w:rPr>
          <w:rFonts w:ascii="Times New Roman" w:hAnsi="Times New Roman"/>
          <w:sz w:val="24"/>
        </w:rPr>
        <w:t>Renewable fuel production from waste biogas and captured carbon dioxide exemplifies circular economy principles by transforming disposal liabilities into valuable resources. Ranjbari et al. (2022) articulated that biofuel supply chain management within circular economy transitions demands holistic assessment considering material flows, energy inputs, environmental impacts, economic viability, and social acceptance. Circular economy thinking emphasizes closed-loop material cycles where waste from one process becomes feedstock for another, contrasting with linear "take-make-dispose" models characterizing conventional fossil fuel systems.</w:t>
      </w:r>
    </w:p>
    <w:p w14:paraId="74E5969E" w14:textId="77777777" w:rsidR="00CA3124" w:rsidRDefault="00D91F10">
      <w:pPr>
        <w:spacing w:line="360" w:lineRule="auto"/>
        <w:jc w:val="both"/>
      </w:pPr>
      <w:r>
        <w:rPr>
          <w:rFonts w:ascii="Times New Roman" w:hAnsi="Times New Roman"/>
          <w:sz w:val="24"/>
        </w:rPr>
        <w:t>Biogas production converts organic waste that would otherwise decompose in landfills generating methane emissions and leachate contamination into renewable energy and nutrient-rich digestate returning to agricultural systems (Sharma et al., 2019). This transformation simultaneously addresses waste management challenges, reduces greenhouse gas emissions, generates renewable energy, and recovers nutrients for agricultural productivity. Similarly, carbon dioxide utilization captures industrial emissions that would otherwise enter the atmosphere and convert them into transportation fuels or other products, creating value from what conventional systems treat as worthless or harmful byproducts (Osman et al., 2021).</w:t>
      </w:r>
    </w:p>
    <w:p w14:paraId="26D02C21" w14:textId="77777777" w:rsidR="00CA3124" w:rsidRDefault="00D91F10">
      <w:pPr>
        <w:spacing w:line="360" w:lineRule="auto"/>
        <w:jc w:val="both"/>
      </w:pPr>
      <w:r>
        <w:rPr>
          <w:rFonts w:ascii="Times New Roman" w:hAnsi="Times New Roman"/>
          <w:sz w:val="24"/>
        </w:rPr>
        <w:t>Antar et al. (2021) documented that biomass production and utilization for sustainable bioeconomy development requires comprehensive analysis of resource flows, environmental impacts, and socioeconomic implications. Their global overview emphasized that biomass utilization strategies must balance competing demands for food production, ecosystem preservation, and energy generation while ensuring that intensified biomass harvesting does not degrade soil quality, deplete water resources, or diminish biodiversity. Circular economy approaches integrating agricultural production, waste recovery, energy generation, and nutrient recycling offer pathways for sustainable intensification maximizing resource productivity while minimizing environmental degradation.</w:t>
      </w:r>
    </w:p>
    <w:p w14:paraId="1B39A3DD" w14:textId="77777777" w:rsidR="00CA3124" w:rsidRPr="004139E2" w:rsidRDefault="00D91F10">
      <w:pPr>
        <w:pStyle w:val="Heading2"/>
        <w:rPr>
          <w:color w:val="auto"/>
        </w:rPr>
      </w:pPr>
      <w:r w:rsidRPr="004139E2">
        <w:rPr>
          <w:rFonts w:ascii="Times New Roman" w:hAnsi="Times New Roman"/>
          <w:color w:val="auto"/>
        </w:rPr>
        <w:t>Resilience Framework and the 4Rs</w:t>
      </w:r>
    </w:p>
    <w:p w14:paraId="0D501FC4" w14:textId="77777777" w:rsidR="00CA3124" w:rsidRDefault="00D91F10">
      <w:pPr>
        <w:spacing w:line="360" w:lineRule="auto"/>
        <w:jc w:val="both"/>
      </w:pPr>
      <w:r>
        <w:rPr>
          <w:rFonts w:ascii="Times New Roman" w:hAnsi="Times New Roman"/>
          <w:sz w:val="24"/>
        </w:rPr>
        <w:t xml:space="preserve">Resilience theory, originating in ecology but increasingly applied to social-ecological systems including energy infrastructure, addresses system capacity to absorb disturbances, adapt to </w:t>
      </w:r>
      <w:r>
        <w:rPr>
          <w:rFonts w:ascii="Times New Roman" w:hAnsi="Times New Roman"/>
          <w:sz w:val="24"/>
        </w:rPr>
        <w:lastRenderedPageBreak/>
        <w:t>changing conditions, and maintain core functions despite external pressures (Folke, 2006, as cited in Nations, 2015). Unlike traditional reliability concepts focusing on probability of component failure under normal operating conditions, resilience explicitly considers system behavior during rare but consequential disruptions including extreme weather events, supply chain interruptions, policy changes, or technological failures.</w:t>
      </w:r>
    </w:p>
    <w:p w14:paraId="55DF6ACF" w14:textId="77777777" w:rsidR="00CA3124" w:rsidRDefault="00D91F10">
      <w:pPr>
        <w:spacing w:line="360" w:lineRule="auto"/>
        <w:jc w:val="both"/>
      </w:pPr>
      <w:r>
        <w:rPr>
          <w:rFonts w:ascii="Times New Roman" w:hAnsi="Times New Roman"/>
          <w:sz w:val="24"/>
        </w:rPr>
        <w:t>The 4Rs framework operationalizes resilience assessment through four measurable system characteristics. Robustness represents the degree to which system components and connections can withstand stress without severe degradation or catastrophic failure (Sharifi &amp; Yamagata, 2016, as adapted in the present study). Robust energy systems possess sufficient capacity margins above typical demand, employ durable materials and construction standards exceeding minimum requirements, and incorporate protective mechanisms such as backup power systems, emergency shutdown procedures, and fire suppression equipment. For renewable fuel production specifically, robustness manifests in digester construction withstanding pressure fluctuations, corrosion-resistant materials handling hydrogen sulfide in biogas, and process control systems maintaining stable operation despite feedstock variability.</w:t>
      </w:r>
    </w:p>
    <w:p w14:paraId="77116169" w14:textId="77777777" w:rsidR="00CA3124" w:rsidRDefault="00D91F10">
      <w:pPr>
        <w:spacing w:line="360" w:lineRule="auto"/>
        <w:jc w:val="both"/>
      </w:pPr>
      <w:r>
        <w:rPr>
          <w:rFonts w:ascii="Times New Roman" w:hAnsi="Times New Roman"/>
          <w:sz w:val="24"/>
        </w:rPr>
        <w:t>Redundancy involves maintaining backup capacity, parallel operational pathways, and functional overlap such that single component failures minimally impact overall system performance. Redundant energy systems distribute generation across multiple facilities rather than concentrating production in single large plants, employ diverse feedstock sources reducing vulnerability to any single supply disruption, and maintain spare equipment enabling rapid replacement of failed components (Antar et al., 2021). Renewable fuel systems exhibit redundancy through capacity to process multiple feedstock types, backup power supplies maintaining critical operations during outages, and distributed production facilities limiting geographic concentration of risk.</w:t>
      </w:r>
    </w:p>
    <w:p w14:paraId="70D2EDA8" w14:textId="77777777" w:rsidR="00CA3124" w:rsidRDefault="00D91F10">
      <w:pPr>
        <w:spacing w:line="360" w:lineRule="auto"/>
        <w:jc w:val="both"/>
      </w:pPr>
      <w:r>
        <w:rPr>
          <w:rFonts w:ascii="Times New Roman" w:hAnsi="Times New Roman"/>
          <w:sz w:val="24"/>
        </w:rPr>
        <w:t xml:space="preserve">Resourcefulness captures the ability to mobilize resources including materials, labor, expertise, financing, and social capital for problem solving and adaptation during crises. Resourceful organizations maintain flexible management structures enabling rapid decision making, cultivate networks of suppliers and service providers available for emergency response, develop workforce skills supporting creative troubleshooting, and establish financial reserves or credit facilities funding unexpected expenditures (Černý et al., 2021). For renewable fuel facilities, </w:t>
      </w:r>
      <w:r>
        <w:rPr>
          <w:rFonts w:ascii="Times New Roman" w:hAnsi="Times New Roman"/>
          <w:sz w:val="24"/>
        </w:rPr>
        <w:lastRenderedPageBreak/>
        <w:t>resourcefulness appears in operators' capacity to adjust process parameters compensating for feedstock quality variations, identify alternative suppliers when primary sources become unavailable, modify operations during equipment failures to maintain partial production, and access technical expertise solving novel operational challenges.</w:t>
      </w:r>
    </w:p>
    <w:p w14:paraId="66F43140" w14:textId="77777777" w:rsidR="00CA3124" w:rsidRDefault="00D91F10">
      <w:pPr>
        <w:spacing w:line="360" w:lineRule="auto"/>
        <w:jc w:val="both"/>
      </w:pPr>
      <w:r>
        <w:rPr>
          <w:rFonts w:ascii="Times New Roman" w:hAnsi="Times New Roman"/>
          <w:sz w:val="24"/>
        </w:rPr>
        <w:t>Rapidity measures the speed of recovery following disruptions, with resilient systems quickly restoring functionality through rapid damage assessment, efficient mobilization of repair resources, and implementation of restoration plans (Sharifi &amp; Yamagata, 2016). Energy systems with high rapidity maintain detailed emergency response procedures regularly practiced through drills, stock critical spare parts enabling immediate repairs, employ modular designs allowing rapid component replacement, and establish clear communication protocols coordinating response activities. Renewable fuel production facilities demonstrate rapidity through streamlined maintenance procedures minimizing downtime, relationships with equipment suppliers enabling expedited part procurement, and operational flexibility allowing continued production at reduced capacity during partial system failures.</w:t>
      </w:r>
    </w:p>
    <w:p w14:paraId="411261C1" w14:textId="77777777" w:rsidR="00CA3124" w:rsidRPr="004139E2" w:rsidRDefault="00D91F10">
      <w:pPr>
        <w:pStyle w:val="Heading2"/>
        <w:rPr>
          <w:color w:val="auto"/>
        </w:rPr>
      </w:pPr>
      <w:r w:rsidRPr="004139E2">
        <w:rPr>
          <w:rFonts w:ascii="Times New Roman" w:hAnsi="Times New Roman"/>
          <w:color w:val="auto"/>
        </w:rPr>
        <w:t>Sustainable Development Goals Alignment</w:t>
      </w:r>
    </w:p>
    <w:p w14:paraId="793D0C77" w14:textId="77777777" w:rsidR="00CA3124" w:rsidRPr="00F14AAB" w:rsidRDefault="00D91F10" w:rsidP="00F14AAB">
      <w:pPr>
        <w:pStyle w:val="Heading2"/>
        <w:jc w:val="both"/>
        <w:rPr>
          <w:b w:val="0"/>
          <w:bCs w:val="0"/>
          <w:color w:val="auto"/>
          <w:sz w:val="24"/>
          <w:szCs w:val="24"/>
        </w:rPr>
      </w:pPr>
      <w:r w:rsidRPr="00F14AAB">
        <w:rPr>
          <w:rFonts w:ascii="Times New Roman" w:hAnsi="Times New Roman"/>
          <w:b w:val="0"/>
          <w:bCs w:val="0"/>
          <w:color w:val="auto"/>
          <w:sz w:val="24"/>
          <w:szCs w:val="24"/>
        </w:rPr>
        <w:t>The United Nations Sustainable Development Goals, adopted by 193 member states in 2015, establish global priorities for sustainable development across social, economic, and environmental dimensions through 2030 and beyond (Nations, 2015). The 17 goals encompass poverty elimination, zero hunger, health and wellbeing, quality education, gender equality, clean water and sanitation, affordable and clean energy, decent work and economic growth, industry innovation and infrastructure, reduced inequalities, sustainable cities and communities, responsible consumption and production, climate action, life below water, life on land, peace and justice, and partnerships for the goals. Each goal includes specific targets and indicators enabling progress measurement and accountability.</w:t>
      </w:r>
    </w:p>
    <w:p w14:paraId="36142BE4" w14:textId="77777777" w:rsidR="00CA3124" w:rsidRPr="00F14AAB" w:rsidRDefault="00D91F10" w:rsidP="00F14AAB">
      <w:pPr>
        <w:pStyle w:val="Heading2"/>
        <w:jc w:val="both"/>
        <w:rPr>
          <w:b w:val="0"/>
          <w:bCs w:val="0"/>
          <w:color w:val="auto"/>
          <w:sz w:val="24"/>
          <w:szCs w:val="24"/>
        </w:rPr>
      </w:pPr>
      <w:r w:rsidRPr="00F14AAB">
        <w:rPr>
          <w:rFonts w:ascii="Times New Roman" w:hAnsi="Times New Roman"/>
          <w:b w:val="0"/>
          <w:bCs w:val="0"/>
          <w:color w:val="auto"/>
          <w:sz w:val="24"/>
          <w:szCs w:val="24"/>
        </w:rPr>
        <w:t>Renewable fuel production from biogas and carbon dioxide contributes directly to multiple Sustainable Development Goals through interconnected mechanisms. SDG 7 (Affordable and Clean Energy) receives primary support through renewable energy generation reducing fossil fuel dependence, with biogas systems producing electricity and heat from waste resources while carbon dioxide utilization creates transportation fuels from captured emissions (Gielen et al., 2021). The affordability dimension remains challenging given current production costs exceeding conventional fuels, though policy support and technological advancement progressively improve economic competitiveness (IRENA, 2021).</w:t>
      </w:r>
    </w:p>
    <w:p w14:paraId="2268A748" w14:textId="77777777" w:rsidR="00F14AAB" w:rsidRDefault="00F14AAB">
      <w:pPr>
        <w:spacing w:line="360" w:lineRule="auto"/>
        <w:jc w:val="both"/>
        <w:rPr>
          <w:rFonts w:ascii="Times New Roman" w:hAnsi="Times New Roman"/>
          <w:sz w:val="24"/>
        </w:rPr>
      </w:pPr>
    </w:p>
    <w:p w14:paraId="3EE48AA4" w14:textId="16AA681C" w:rsidR="00CA3124" w:rsidRDefault="00D91F10">
      <w:pPr>
        <w:spacing w:line="360" w:lineRule="auto"/>
        <w:jc w:val="both"/>
      </w:pPr>
      <w:r>
        <w:rPr>
          <w:rFonts w:ascii="Times New Roman" w:hAnsi="Times New Roman"/>
          <w:sz w:val="24"/>
        </w:rPr>
        <w:lastRenderedPageBreak/>
        <w:t>SDG 12 (Responsible Consumption and Production) aligns with circular economy principles embedded in renewable fuel systems. Biogas production diverts organic waste from landfills, addressing unsustainable waste management practices while recovering energy and nutrients (Sharma et al., 2019). Carbon dioxide utilization transforms industrial emissions from disposal liabilities into valuable products, exemplifying responsible production approaches minimizing waste generation (Osman et al., 2021). These waste-to-resource transformations reduce pressure on virgin resource extraction while managing environmental impacts of disposal.</w:t>
      </w:r>
    </w:p>
    <w:p w14:paraId="60A793FC" w14:textId="77777777" w:rsidR="00CA3124" w:rsidRDefault="00D91F10">
      <w:pPr>
        <w:spacing w:line="360" w:lineRule="auto"/>
        <w:jc w:val="both"/>
      </w:pPr>
      <w:r>
        <w:rPr>
          <w:rFonts w:ascii="Times New Roman" w:hAnsi="Times New Roman"/>
          <w:sz w:val="24"/>
        </w:rPr>
        <w:t>SDG 13 (Climate Action) receives substantial contribution through greenhouse gas emission reductions achieved by renewable fuel systems. Biogas production prevents atmospheric methane release from organic waste decomposition while displacing fossil fuel combustion, with lifecycle emission reductions reaching 85 percent compared to conventional natural gas (Lyng &amp; Brekke, 2019). Carbon dioxide utilization captures industrial emissions that would otherwise enter the atmosphere, with conversion to sustainable aviation fuel achieving up to 90 percent emission reduction relative to petroleum-derived jet fuel when powered by renewable electricity (Twelve, 2024). These emission reductions support climate stabilization goals articulated in the Paris Agreement limiting global temperature increase to 1.5 degrees Celsius above preindustrial levels (Rogelj et al., 2018).</w:t>
      </w:r>
    </w:p>
    <w:p w14:paraId="17E525A8" w14:textId="77777777" w:rsidR="00CA3124" w:rsidRDefault="00D91F10">
      <w:pPr>
        <w:spacing w:line="360" w:lineRule="auto"/>
        <w:jc w:val="both"/>
      </w:pPr>
      <w:r>
        <w:rPr>
          <w:rFonts w:ascii="Times New Roman" w:hAnsi="Times New Roman"/>
          <w:sz w:val="24"/>
        </w:rPr>
        <w:t>SDG 9 (Industry, Innovation, and Infrastructure) connects to renewable fuel technology development and deployment. Electrochemical carbon dioxide conversion, advanced anaerobic digestion systems, and Fischer-Tropsch synthesis represent innovative technologies requiring continued research, development, and demonstration (Osman et al., 2021). Infrastructure development including biogas upgrading facilities, carbon dioxide capture equipment, and fuel distribution systems create resilient industrial capacity supporting sustainable economic growth. Technology transfer and capacity building enable developing nations to access renewable fuel opportunities without replicating the fossil fuel intensive development pathways of industrialized countries.</w:t>
      </w:r>
    </w:p>
    <w:p w14:paraId="4CE26237" w14:textId="77777777" w:rsidR="00CA3124" w:rsidRDefault="00D91F10">
      <w:pPr>
        <w:spacing w:line="360" w:lineRule="auto"/>
        <w:jc w:val="both"/>
      </w:pPr>
      <w:r>
        <w:rPr>
          <w:rFonts w:ascii="Times New Roman" w:hAnsi="Times New Roman"/>
          <w:sz w:val="24"/>
        </w:rPr>
        <w:t xml:space="preserve">SDG 11 (Sustainable Cities and Communities) benefits from renewable fuel integration into urban energy systems. Cities generate substantial organic waste from residential and commercial sources suitable for biogas production, while urban areas concentrate transportation demand creating markets for renewable fuels (Bong et al., 2017). Distributed renewable energy </w:t>
      </w:r>
      <w:r>
        <w:rPr>
          <w:rFonts w:ascii="Times New Roman" w:hAnsi="Times New Roman"/>
          <w:sz w:val="24"/>
        </w:rPr>
        <w:lastRenderedPageBreak/>
        <w:t>generation enhances urban resilience by reducing dependence on vulnerable centralized infrastructure and long-distance supply chains. Educational and outreach programs associated with renewable fuel facilities raise community awareness of sustainability issues and demonstrate feasible solutions.</w:t>
      </w:r>
    </w:p>
    <w:p w14:paraId="23DEBD10" w14:textId="77777777" w:rsidR="00CA3124" w:rsidRDefault="00D91F10">
      <w:pPr>
        <w:spacing w:line="360" w:lineRule="auto"/>
        <w:jc w:val="both"/>
      </w:pPr>
      <w:r>
        <w:rPr>
          <w:rFonts w:ascii="Times New Roman" w:hAnsi="Times New Roman"/>
          <w:sz w:val="24"/>
        </w:rPr>
        <w:t>SDG 15 (Life on Land) receives indirect support through reduced pressure on terrestrial ecosystems from fossil fuel extraction and through sustainable land management practices associated with biogas feedstock production. Digestate application as organic fertilizer improves agricultural soil quality, potentially increasing productivity per unit land area and reducing pressure for agricultural expansion into natural habitats (Sharma et al., 2019). However, potential negative impacts require careful management, including competition between energy crops and food production, nutrient runoff from excessive digestate application causing eutrophication, and land use change emissions if natural ecosystems convert to energy crop cultivation.</w:t>
      </w:r>
    </w:p>
    <w:p w14:paraId="3307C390" w14:textId="38E52346" w:rsidR="00CA3124" w:rsidRPr="00DD7623" w:rsidRDefault="00DD7623">
      <w:pPr>
        <w:pStyle w:val="Heading2"/>
        <w:rPr>
          <w:color w:val="auto"/>
        </w:rPr>
      </w:pPr>
      <w:r>
        <w:rPr>
          <w:rFonts w:ascii="Times New Roman" w:hAnsi="Times New Roman"/>
          <w:color w:val="auto"/>
        </w:rPr>
        <w:t>3</w:t>
      </w:r>
      <w:r w:rsidRPr="00DD7623">
        <w:rPr>
          <w:rFonts w:ascii="Times New Roman" w:hAnsi="Times New Roman"/>
          <w:color w:val="auto"/>
        </w:rPr>
        <w:t>.2 Research Design</w:t>
      </w:r>
    </w:p>
    <w:p w14:paraId="4BE6405B" w14:textId="77777777" w:rsidR="00CA3124" w:rsidRDefault="00D91F10">
      <w:pPr>
        <w:spacing w:line="360" w:lineRule="auto"/>
        <w:jc w:val="both"/>
      </w:pPr>
      <w:r>
        <w:rPr>
          <w:rFonts w:ascii="Times New Roman" w:hAnsi="Times New Roman"/>
          <w:sz w:val="24"/>
        </w:rPr>
        <w:t>This investigation employs comparative case study methodology to examine two contrasting renewable fuel production systems representing distinct technological pathways, operational scales, and deployment contexts. Case study research enables detailed investigation of contemporary phenomena within real-world settings, particularly valuable when boundaries between phenomenon and context prove indistinct and when understanding context proves essential for interpreting outcomes (Yin, 2018). The comparative approach examines multiple instances to identify patterns, contrasts, and contextual factors influencing outcomes, supporting more robust conclusions than single case examination alone.</w:t>
      </w:r>
    </w:p>
    <w:p w14:paraId="5B3FC31E" w14:textId="77777777" w:rsidR="00CA3124" w:rsidRPr="00DD7623" w:rsidRDefault="00D91F10">
      <w:pPr>
        <w:spacing w:line="360" w:lineRule="auto"/>
        <w:jc w:val="both"/>
        <w:rPr>
          <w:b/>
          <w:bCs/>
        </w:rPr>
      </w:pPr>
      <w:r w:rsidRPr="00DD7623">
        <w:rPr>
          <w:rFonts w:ascii="Times New Roman" w:hAnsi="Times New Roman"/>
          <w:b/>
          <w:bCs/>
          <w:sz w:val="24"/>
        </w:rPr>
        <w:t>Rationale for Case Study Approach</w:t>
      </w:r>
    </w:p>
    <w:p w14:paraId="382D2A7E" w14:textId="77777777" w:rsidR="00CA3124" w:rsidRDefault="00D91F10">
      <w:pPr>
        <w:spacing w:line="360" w:lineRule="auto"/>
        <w:jc w:val="both"/>
      </w:pPr>
      <w:r>
        <w:rPr>
          <w:rFonts w:ascii="Times New Roman" w:hAnsi="Times New Roman"/>
          <w:sz w:val="24"/>
        </w:rPr>
        <w:t xml:space="preserve">Renewable fuel production systems exist as complex sociotechnical arrangements integrating technological components, economic structures, policy frameworks, organizational practices, and social contexts. Understanding these systems requires holistic examination accounting for technological performance, economic viability, environmental impacts, social acceptance, and policy influence simultaneously rather than isolating individual dimensions. Case study methodology accommodates this complexity through in-depth analysis of actual functioning </w:t>
      </w:r>
      <w:r>
        <w:rPr>
          <w:rFonts w:ascii="Times New Roman" w:hAnsi="Times New Roman"/>
          <w:sz w:val="24"/>
        </w:rPr>
        <w:lastRenderedPageBreak/>
        <w:t>systems generating empirical evidence regarding implementation challenges, success factors, and transferable lessons often invisible in purely theoretical or modeling-based research.</w:t>
      </w:r>
    </w:p>
    <w:p w14:paraId="37C40063" w14:textId="77777777" w:rsidR="00CA3124" w:rsidRDefault="00D91F10">
      <w:pPr>
        <w:spacing w:line="360" w:lineRule="auto"/>
        <w:jc w:val="both"/>
      </w:pPr>
      <w:r>
        <w:rPr>
          <w:rFonts w:ascii="Times New Roman" w:hAnsi="Times New Roman"/>
          <w:sz w:val="24"/>
        </w:rPr>
        <w:t>Bauer (2018) demonstrated the value of detailed case documentation through analysis of Michigan State University's anaerobic digester, revealing operational challenges with feedstock contamination, process stability maintenance, and economic uncertainty that modeling studies typically overlook. This empirical grounding provides realistic assessment of technology performance under actual conditions with real feedstock variability, equipment aging, and institutional constraints rather than idealized laboratory or modeled scenarios. Such documentation proves particularly valuable for practitioners and policymakers making investment and regulatory decisions requiring realistic assessment of likely outcomes and challenges.</w:t>
      </w:r>
    </w:p>
    <w:p w14:paraId="754F9CEB" w14:textId="77777777" w:rsidR="00CA3124" w:rsidRDefault="00D91F10">
      <w:pPr>
        <w:spacing w:line="360" w:lineRule="auto"/>
        <w:jc w:val="both"/>
      </w:pPr>
      <w:r>
        <w:rPr>
          <w:rFonts w:ascii="Times New Roman" w:hAnsi="Times New Roman"/>
          <w:sz w:val="24"/>
        </w:rPr>
        <w:t>The limited commercial deployment of carbon dioxide to fuel systems creates particular need for case study research as laboratory demonstrations and techno-economic models dominate existing literature (Kim et al., 2019). As facilities transition from pilot to commercial scale, systematic documentation of operational performance, economic outcomes, scaling challenges, and stakeholder experiences generates knowledge supporting subsequent projects and policy development. Case studies of early commercial deployments therefore provide disproportionate value by establishing empirical baselines for technology performance and revealing unanticipated challenges invisible during development phases.</w:t>
      </w:r>
    </w:p>
    <w:p w14:paraId="0A43E41A" w14:textId="77777777" w:rsidR="00CA3124" w:rsidRPr="00DD7623" w:rsidRDefault="00D91F10">
      <w:pPr>
        <w:spacing w:line="360" w:lineRule="auto"/>
        <w:jc w:val="both"/>
        <w:rPr>
          <w:b/>
          <w:bCs/>
        </w:rPr>
      </w:pPr>
      <w:r w:rsidRPr="00DD7623">
        <w:rPr>
          <w:rFonts w:ascii="Times New Roman" w:hAnsi="Times New Roman"/>
          <w:b/>
          <w:bCs/>
          <w:sz w:val="24"/>
        </w:rPr>
        <w:t>Case Selection Strategy</w:t>
      </w:r>
    </w:p>
    <w:p w14:paraId="69926F51" w14:textId="77777777" w:rsidR="00CA3124" w:rsidRDefault="00D91F10">
      <w:pPr>
        <w:spacing w:line="360" w:lineRule="auto"/>
        <w:jc w:val="both"/>
      </w:pPr>
      <w:r>
        <w:rPr>
          <w:rFonts w:ascii="Times New Roman" w:hAnsi="Times New Roman"/>
          <w:sz w:val="24"/>
        </w:rPr>
        <w:t>This study employs purposive sampling selecting cases based on theoretical relevance and information richness rather than statistical representativeness. The two selected cases represent contrasting positions along multiple dimensions relevant to renewable fuel production, enabling examination of how different contexts, technologies, and scales influence sustainability and resilience outcomes.</w:t>
      </w:r>
    </w:p>
    <w:p w14:paraId="31C56745" w14:textId="77777777" w:rsidR="00CA3124" w:rsidRDefault="00D91F10">
      <w:pPr>
        <w:spacing w:line="360" w:lineRule="auto"/>
        <w:jc w:val="both"/>
      </w:pPr>
      <w:r>
        <w:rPr>
          <w:rFonts w:ascii="Times New Roman" w:hAnsi="Times New Roman"/>
          <w:sz w:val="24"/>
        </w:rPr>
        <w:t xml:space="preserve">Michigan State University's South Campus Anaerobic Digester exemplifies institutional scale biogas production integrated with educational and research missions. The facility processes approximately 22,000 metric tons of organic waste annually from on-campus and local sources, generating 300 to 500 kilowatts of electrical capacity through combined heat and power systems </w:t>
      </w:r>
      <w:r>
        <w:rPr>
          <w:rFonts w:ascii="Times New Roman" w:hAnsi="Times New Roman"/>
          <w:sz w:val="24"/>
        </w:rPr>
        <w:lastRenderedPageBreak/>
        <w:t>(Bauer, 2018). Operational since 2013, the digester provides nearly decade-long performance data spanning startup challenges, operational learning, and process optimization. The institutional context creates unique dynamics including educational integration, community engagement, and alignment with sustainability commitments that differ from purely commercial biogas facilities.</w:t>
      </w:r>
    </w:p>
    <w:p w14:paraId="7D178AAB" w14:textId="77777777" w:rsidR="00CA3124" w:rsidRDefault="00D91F10">
      <w:pPr>
        <w:spacing w:line="360" w:lineRule="auto"/>
        <w:jc w:val="both"/>
      </w:pPr>
      <w:r>
        <w:rPr>
          <w:rFonts w:ascii="Times New Roman" w:hAnsi="Times New Roman"/>
          <w:sz w:val="24"/>
        </w:rPr>
        <w:t>Twelve Technologies' sustainable aviation fuel production facility in Moses Lake, Washington represents emerging commercial scale carbon dioxide utilization producing transportation fuel through electrochemical reduction and Fischer-Tropsch synthesis. Initial production capacity targets 40,000 gallons annually with planned rapid expansion to 400,000 gallons, representing first-of-kind commercial demonstration of electrochemical carbon dioxide to liquid fuel conversion (Twelve, 2024). The commercial context emphasizes economic viability, scalability, and market development distinct from institutional facilities where educational and research objectives complement or sometimes supersede pure economic optimization.</w:t>
      </w:r>
    </w:p>
    <w:p w14:paraId="0B2FC2B4" w14:textId="77777777" w:rsidR="00CA3124" w:rsidRDefault="00D91F10">
      <w:pPr>
        <w:spacing w:line="360" w:lineRule="auto"/>
        <w:jc w:val="both"/>
      </w:pPr>
      <w:r>
        <w:rPr>
          <w:rFonts w:ascii="Times New Roman" w:hAnsi="Times New Roman"/>
          <w:sz w:val="24"/>
        </w:rPr>
        <w:t>Selection criteria guiding case choice included operational status with functioning facilities generating actual production data rather than proposed or under-construction projects, technological diversity representing distinct conversion pathways for comparative analysis, scale variation from institutional to commercial-industrial levels, geographic accessibility and data availability enabling detailed documentation, and representation of distinct sustainability and resilience characteristics supporting framework application. Both selected cases meet these criteria while occupying different positions along each dimension, enabling robust comparative analysis.</w:t>
      </w:r>
    </w:p>
    <w:p w14:paraId="424D1B2E" w14:textId="77777777" w:rsidR="00CA3124" w:rsidRPr="00DD7623" w:rsidRDefault="00D91F10">
      <w:pPr>
        <w:spacing w:line="360" w:lineRule="auto"/>
        <w:jc w:val="both"/>
        <w:rPr>
          <w:b/>
          <w:bCs/>
        </w:rPr>
      </w:pPr>
      <w:r w:rsidRPr="00DD7623">
        <w:rPr>
          <w:rFonts w:ascii="Times New Roman" w:hAnsi="Times New Roman"/>
          <w:b/>
          <w:bCs/>
          <w:sz w:val="24"/>
        </w:rPr>
        <w:t>Data Collection and Sources</w:t>
      </w:r>
    </w:p>
    <w:p w14:paraId="2318787F" w14:textId="77777777" w:rsidR="00CA3124" w:rsidRDefault="00D91F10">
      <w:pPr>
        <w:spacing w:line="360" w:lineRule="auto"/>
        <w:jc w:val="both"/>
      </w:pPr>
      <w:r>
        <w:rPr>
          <w:rFonts w:ascii="Times New Roman" w:hAnsi="Times New Roman"/>
          <w:sz w:val="24"/>
        </w:rPr>
        <w:t>Data collection synthesizes information from multiple sources to triangulate findings and ensure comprehensive coverage of relevant dimensions. Primary literature including peer-reviewed journal articles provides scientific evidence regarding technology performance, environmental impacts, and economic analysis grounded in systematic research methods. Technical documentation including facility design specifications, operational performance reports, maintenance records, and monitoring data offers empirical evidence of actual system performance under real operating conditions (Bauer, 2018; Magazine, 2024).</w:t>
      </w:r>
    </w:p>
    <w:p w14:paraId="7CD3703B" w14:textId="77777777" w:rsidR="00CA3124" w:rsidRDefault="00D91F10">
      <w:pPr>
        <w:spacing w:line="360" w:lineRule="auto"/>
        <w:jc w:val="both"/>
      </w:pPr>
      <w:r>
        <w:rPr>
          <w:rFonts w:ascii="Times New Roman" w:hAnsi="Times New Roman"/>
          <w:sz w:val="24"/>
        </w:rPr>
        <w:lastRenderedPageBreak/>
        <w:t>Institutional sources including U.S. Environmental Protection Agency databases documenting carbon capture facilities, Energy Information Administration statistics on electricity generation and biofuel production, and university sustainability reports provide authoritative data on sector-wide trends, regulatory compliance, and institutional performance (EPA, 2024a; EIA, 2024; Office, 2023). Industry publications including company websites, press releases, technical white papers, and stakeholder presentations offer insights into commercial strategies, technology development, partnerships, and market positioning (Twelve, 2024).</w:t>
      </w:r>
    </w:p>
    <w:p w14:paraId="56858E4E" w14:textId="77777777" w:rsidR="00CA3124" w:rsidRDefault="00D91F10">
      <w:pPr>
        <w:spacing w:line="360" w:lineRule="auto"/>
        <w:jc w:val="both"/>
      </w:pPr>
      <w:r>
        <w:rPr>
          <w:rFonts w:ascii="Times New Roman" w:hAnsi="Times New Roman"/>
          <w:sz w:val="24"/>
        </w:rPr>
        <w:t>The integration of diverse data sources enables comprehensive analysis while acknowledging limitations of individual sources. Peer-reviewed literature provides rigor but may lag current developments by months or years between research completion and publication. Industry sources offer current information but may emphasize positive aspects while downplaying challenges or limitations. Regulatory data provides comprehensive sector coverage but may lack operational detail. Synthesizing across sources creates more complete and balanced understanding than any single source provides.</w:t>
      </w:r>
    </w:p>
    <w:p w14:paraId="5CB11E60" w14:textId="5AAC2EB8" w:rsidR="00CA3124" w:rsidRPr="004B21E1" w:rsidRDefault="00EC6128">
      <w:pPr>
        <w:pStyle w:val="Heading2"/>
        <w:rPr>
          <w:color w:val="auto"/>
        </w:rPr>
      </w:pPr>
      <w:r>
        <w:rPr>
          <w:rFonts w:ascii="Times New Roman" w:hAnsi="Times New Roman"/>
          <w:color w:val="auto"/>
        </w:rPr>
        <w:t>3</w:t>
      </w:r>
      <w:r w:rsidRPr="004B21E1">
        <w:rPr>
          <w:rFonts w:ascii="Times New Roman" w:hAnsi="Times New Roman"/>
          <w:color w:val="auto"/>
        </w:rPr>
        <w:t>.3 Analytical Approach</w:t>
      </w:r>
    </w:p>
    <w:p w14:paraId="11E73320" w14:textId="77777777" w:rsidR="00CA3124" w:rsidRDefault="00D91F10">
      <w:pPr>
        <w:spacing w:line="360" w:lineRule="auto"/>
        <w:jc w:val="both"/>
      </w:pPr>
      <w:r>
        <w:rPr>
          <w:rFonts w:ascii="Times New Roman" w:hAnsi="Times New Roman"/>
          <w:sz w:val="24"/>
        </w:rPr>
        <w:t>The analytical framework examines each case across environmental, economic, social, and resilience dimensions using consistent criteria enabling systematic comparison while remaining sensitive to contextual differences influencing outcomes. The approach combines quantitative metrics where data permits with qualitative assessment of factors difficult to quantify but nonetheless important for comprehensive evaluation.</w:t>
      </w:r>
    </w:p>
    <w:p w14:paraId="6DA11BD4" w14:textId="77777777" w:rsidR="00CA3124" w:rsidRPr="00EC6128" w:rsidRDefault="00D91F10">
      <w:pPr>
        <w:spacing w:line="360" w:lineRule="auto"/>
        <w:jc w:val="both"/>
        <w:rPr>
          <w:b/>
          <w:bCs/>
        </w:rPr>
      </w:pPr>
      <w:r w:rsidRPr="00EC6128">
        <w:rPr>
          <w:rFonts w:ascii="Times New Roman" w:hAnsi="Times New Roman"/>
          <w:b/>
          <w:bCs/>
          <w:sz w:val="24"/>
        </w:rPr>
        <w:t>Environmental Analysis</w:t>
      </w:r>
    </w:p>
    <w:p w14:paraId="58B57F9D" w14:textId="77777777" w:rsidR="00CA3124" w:rsidRDefault="00D91F10">
      <w:pPr>
        <w:spacing w:line="360" w:lineRule="auto"/>
        <w:jc w:val="both"/>
      </w:pPr>
      <w:r>
        <w:rPr>
          <w:rFonts w:ascii="Times New Roman" w:hAnsi="Times New Roman"/>
          <w:sz w:val="24"/>
        </w:rPr>
        <w:t>Environmental assessment quantifies greenhouse gas emission reductions achieved by renewable fuel systems relative to fossil fuel baselines displaced. For biogas systems, avoided emissions include methane that would escape from uncontrolled organic waste decomposition plus carbon dioxide from displaced fossil fuel combustion (Lyng &amp; Brekke, 2019). The analysis accounts for fugitive methane emissions from digesters and digestate storage, energy consumption for facility operations, and emissions from feedstock transportation. Lifecycle boundaries extend from feedstock collection through energy utilization, including upstream impacts of displaced conventional fuels for comparative assessment.</w:t>
      </w:r>
    </w:p>
    <w:p w14:paraId="45ED7D95" w14:textId="77777777" w:rsidR="00CA3124" w:rsidRDefault="00D91F10">
      <w:pPr>
        <w:spacing w:line="360" w:lineRule="auto"/>
        <w:jc w:val="both"/>
      </w:pPr>
      <w:r>
        <w:rPr>
          <w:rFonts w:ascii="Times New Roman" w:hAnsi="Times New Roman"/>
          <w:sz w:val="24"/>
        </w:rPr>
        <w:lastRenderedPageBreak/>
        <w:t>For carbon dioxide utilization systems, emission reductions depend critically on carbon dioxide source characteristics and energy inputs powering conversion processes. Biogenic carbon dioxide from ethanol fermentation or biogas upgrading represents recently captured atmospheric carbon creating near-closed cycles, while fossil carbon dioxide from natural gas processing or cement production converts geological carbon that would otherwise enter atmosphere (Gustafsson &amp; Svensson, 2021). Energy source carbon intensity proves equally critical, with renewable electricity powered processes achieving substantial emission reductions while fossil electricity powered systems may generate net emission increases due to conversion inefficiencies.</w:t>
      </w:r>
    </w:p>
    <w:p w14:paraId="42F784E9" w14:textId="77777777" w:rsidR="00CA3124" w:rsidRDefault="00D91F10">
      <w:pPr>
        <w:spacing w:line="360" w:lineRule="auto"/>
        <w:jc w:val="both"/>
      </w:pPr>
      <w:r>
        <w:rPr>
          <w:rFonts w:ascii="Times New Roman" w:hAnsi="Times New Roman"/>
          <w:sz w:val="24"/>
        </w:rPr>
        <w:t>Waste diversion metrics quantify organic material diverted from landfill disposal, preventing leachate generation contaminating groundwater and reducing landfill capacity consumption (Sharma et al., 2019). Resource recovery assessment examines nutrient content in digestate suitable for agricultural application, displacing synthetic fertilizer production requiring energy intensive Haber-Bosch ammonia synthesis. Water consumption and wastewater generation receive evaluation given increasing water scarcity and pollution concerns in many regions.</w:t>
      </w:r>
    </w:p>
    <w:p w14:paraId="2CB2B8EF" w14:textId="77777777" w:rsidR="00CA3124" w:rsidRPr="00EC6128" w:rsidRDefault="00D91F10">
      <w:pPr>
        <w:spacing w:line="360" w:lineRule="auto"/>
        <w:jc w:val="both"/>
        <w:rPr>
          <w:b/>
          <w:bCs/>
        </w:rPr>
      </w:pPr>
      <w:r w:rsidRPr="00EC6128">
        <w:rPr>
          <w:rFonts w:ascii="Times New Roman" w:hAnsi="Times New Roman"/>
          <w:b/>
          <w:bCs/>
          <w:sz w:val="24"/>
        </w:rPr>
        <w:t>Economic Analysis</w:t>
      </w:r>
    </w:p>
    <w:p w14:paraId="5F6D7DF1" w14:textId="77777777" w:rsidR="00CA3124" w:rsidRDefault="00D91F10">
      <w:pPr>
        <w:spacing w:line="360" w:lineRule="auto"/>
        <w:jc w:val="both"/>
      </w:pPr>
      <w:r>
        <w:rPr>
          <w:rFonts w:ascii="Times New Roman" w:hAnsi="Times New Roman"/>
          <w:sz w:val="24"/>
        </w:rPr>
        <w:t>Economic assessment examines capital expenditures required for facility construction, equipment procurement, and commissioning. Capital intensity metrics comparing investment requirements per unit production capacity enable comparison across projects of different scales. Financing structures including equity investment, debt financing, grants, and tax incentives influence project economics and reveal role of public support in enabling renewable fuel deployment (IRENA, 2021).</w:t>
      </w:r>
    </w:p>
    <w:p w14:paraId="06856D95" w14:textId="77777777" w:rsidR="00CA3124" w:rsidRDefault="00D91F10">
      <w:pPr>
        <w:spacing w:line="360" w:lineRule="auto"/>
        <w:jc w:val="both"/>
      </w:pPr>
      <w:r>
        <w:rPr>
          <w:rFonts w:ascii="Times New Roman" w:hAnsi="Times New Roman"/>
          <w:sz w:val="24"/>
        </w:rPr>
        <w:t xml:space="preserve">Operational expenditure analysis disaggregates costs including feedstock acquisition and preprocessing, labor for facility operation and maintenance, utilities including electricity and process heat, consumables such as chemicals or replacement parts, regulatory compliance including permitting and monitoring, and insurance and administrative overhead. Revenue streams encompass energy sales at applicable rates, waste management fees charged for organic material acceptance, digestate or byproduct sales, environmental attribute certificates including </w:t>
      </w:r>
      <w:r>
        <w:rPr>
          <w:rFonts w:ascii="Times New Roman" w:hAnsi="Times New Roman"/>
          <w:sz w:val="24"/>
        </w:rPr>
        <w:lastRenderedPageBreak/>
        <w:t>renewable energy credits or carbon credits, and government incentives such as production tax credits (Bauer, 2018).</w:t>
      </w:r>
    </w:p>
    <w:p w14:paraId="47C9973D" w14:textId="77777777" w:rsidR="00CA3124" w:rsidRDefault="00D91F10">
      <w:pPr>
        <w:spacing w:line="360" w:lineRule="auto"/>
        <w:jc w:val="both"/>
      </w:pPr>
      <w:r>
        <w:rPr>
          <w:rFonts w:ascii="Times New Roman" w:hAnsi="Times New Roman"/>
          <w:sz w:val="24"/>
        </w:rPr>
        <w:t>Financial performance metrics including simple payback period, net present value, internal rate of return, and levelized cost of energy enable economic viability assessment and comparison with alternative investments. Sensitivity analysis examines how results vary with key assumptions including energy prices, feedstock costs, carbon credit values, and capital cost estimates, revealing which parameters most influence economic outcomes and where uncertainty most affects decision making.</w:t>
      </w:r>
    </w:p>
    <w:p w14:paraId="1BBBDC26" w14:textId="77777777" w:rsidR="00CA3124" w:rsidRDefault="00D91F10">
      <w:pPr>
        <w:spacing w:line="360" w:lineRule="auto"/>
        <w:jc w:val="both"/>
      </w:pPr>
      <w:r>
        <w:rPr>
          <w:rFonts w:ascii="Times New Roman" w:hAnsi="Times New Roman"/>
          <w:sz w:val="24"/>
        </w:rPr>
        <w:t>Job creation assessment quantifies direct employment for facility construction and operation plus indirect employment through supply chains and induced employment from spending by facility employees (Černý et al., 2021). Employment quality evaluation considers wage levels, skill requirements, training opportunities, and job permanence distinguishing temporary construction positions from ongoing operational roles.</w:t>
      </w:r>
    </w:p>
    <w:p w14:paraId="10F9613E" w14:textId="77777777" w:rsidR="00CA3124" w:rsidRPr="00EC6128" w:rsidRDefault="00D91F10">
      <w:pPr>
        <w:spacing w:line="360" w:lineRule="auto"/>
        <w:jc w:val="both"/>
        <w:rPr>
          <w:b/>
          <w:bCs/>
        </w:rPr>
      </w:pPr>
      <w:r w:rsidRPr="00EC6128">
        <w:rPr>
          <w:rFonts w:ascii="Times New Roman" w:hAnsi="Times New Roman"/>
          <w:b/>
          <w:bCs/>
          <w:sz w:val="24"/>
        </w:rPr>
        <w:t>Social and Policy Analysis</w:t>
      </w:r>
    </w:p>
    <w:p w14:paraId="4A144D48" w14:textId="77777777" w:rsidR="00CA3124" w:rsidRDefault="00D91F10">
      <w:pPr>
        <w:spacing w:line="360" w:lineRule="auto"/>
        <w:jc w:val="both"/>
      </w:pPr>
      <w:r>
        <w:rPr>
          <w:rFonts w:ascii="Times New Roman" w:hAnsi="Times New Roman"/>
          <w:sz w:val="24"/>
        </w:rPr>
        <w:t>Social assessment examines stakeholder engagement processes employed during project development, including consultation with affected communities, transparency in decision making, and mechanisms for public input. Community acceptance reflects expressed support or opposition, participation in educational programs, and integration of facilities into community identity and planning (Bauer et al., 2017). Equity analysis evaluates distribution of benefits and burdens across populations, identifying whether host communities receive fair compensation for hosting facilities and whether environmental justice concerns arise regarding disproportionate impacts on marginalized groups.</w:t>
      </w:r>
    </w:p>
    <w:p w14:paraId="07E5A11F" w14:textId="77777777" w:rsidR="00CA3124" w:rsidRDefault="00D91F10">
      <w:pPr>
        <w:spacing w:line="360" w:lineRule="auto"/>
        <w:jc w:val="both"/>
      </w:pPr>
      <w:r>
        <w:rPr>
          <w:rFonts w:ascii="Times New Roman" w:hAnsi="Times New Roman"/>
          <w:sz w:val="24"/>
        </w:rPr>
        <w:t>Educational impact assessment documents student participation in research projects, classroom exercises, facility tours, and experiential learning opportunities provided by renewable fuel facilities (Bauer, 2018). Workforce development examines training programs preparing workers for renewable energy careers, partnerships between facilities and educational institutions, and pathways from education to employment. Knowledge dissemination evaluation considers technology transfer, best practice sharing, and contribution to broader learning about renewable energy systems.</w:t>
      </w:r>
    </w:p>
    <w:p w14:paraId="0F62CD33" w14:textId="77777777" w:rsidR="00CA3124" w:rsidRDefault="00D91F10">
      <w:pPr>
        <w:spacing w:line="360" w:lineRule="auto"/>
        <w:jc w:val="both"/>
      </w:pPr>
      <w:r>
        <w:rPr>
          <w:rFonts w:ascii="Times New Roman" w:hAnsi="Times New Roman"/>
          <w:sz w:val="24"/>
        </w:rPr>
        <w:lastRenderedPageBreak/>
        <w:t>Policy alignment analysis examines consistency between renewable fuel projects and local, state, and national policy objectives including climate action plans, renewable energy targets, waste diversion mandates, and economic development strategies (Agupugo et al., 2022). Regulatory compliance assessment reviews permitting requirements, environmental monitoring obligations, and operational standards applicable to facilities. Policy influence evaluation considers how projects inform subsequent policy development through demonstration of technology viability, revelation of regulatory barriers, and generation of stakeholder support for enabling policies.</w:t>
      </w:r>
    </w:p>
    <w:p w14:paraId="5C66D413" w14:textId="77777777" w:rsidR="00CA3124" w:rsidRPr="00EC6128" w:rsidRDefault="00D91F10">
      <w:pPr>
        <w:spacing w:line="360" w:lineRule="auto"/>
        <w:jc w:val="both"/>
        <w:rPr>
          <w:b/>
          <w:bCs/>
        </w:rPr>
      </w:pPr>
      <w:r w:rsidRPr="00EC6128">
        <w:rPr>
          <w:rFonts w:ascii="Times New Roman" w:hAnsi="Times New Roman"/>
          <w:b/>
          <w:bCs/>
          <w:sz w:val="24"/>
        </w:rPr>
        <w:t>Resilience Assessment</w:t>
      </w:r>
    </w:p>
    <w:p w14:paraId="6FE2BFBB" w14:textId="77777777" w:rsidR="00CA3124" w:rsidRDefault="00D91F10">
      <w:pPr>
        <w:spacing w:line="360" w:lineRule="auto"/>
        <w:jc w:val="both"/>
      </w:pPr>
      <w:r>
        <w:rPr>
          <w:rFonts w:ascii="Times New Roman" w:hAnsi="Times New Roman"/>
          <w:sz w:val="24"/>
        </w:rPr>
        <w:t>Resilience evaluation applies the 4Rs framework examining system robustness, redundancy, resourcefulness, and rapidity through evidence of actual performance during disruptions or through assessment of system characteristics expected to influence resilience. Robustness assessment examines component design standards, capacity margins above typical operating conditions, protective systems preventing cascade failures, and historical performance during stress events including extreme weather, feedstock supply interruptions, or equipment failures.</w:t>
      </w:r>
    </w:p>
    <w:p w14:paraId="68E2592D" w14:textId="77777777" w:rsidR="00CA3124" w:rsidRDefault="00D91F10">
      <w:pPr>
        <w:spacing w:line="360" w:lineRule="auto"/>
        <w:jc w:val="both"/>
      </w:pPr>
      <w:r>
        <w:rPr>
          <w:rFonts w:ascii="Times New Roman" w:hAnsi="Times New Roman"/>
          <w:sz w:val="24"/>
        </w:rPr>
        <w:t>Redundancy evaluation documents feedstock diversity enabling continued operation when primary sources become unavailable, backup systems maintaining critical functions during component failures, and distributed facility networks reducing geographic concentration of risk (Antar et al., 2021). Resourcefulness assessment examines organizational flexibility supporting adaptive responses, workforce skills enabling creative problem solving, external networks providing access to expertise and resources during crises, and financial capacity funding unexpected expenditures.</w:t>
      </w:r>
    </w:p>
    <w:p w14:paraId="4E83F115" w14:textId="77777777" w:rsidR="00CA3124" w:rsidRDefault="00D91F10">
      <w:pPr>
        <w:spacing w:line="360" w:lineRule="auto"/>
        <w:jc w:val="both"/>
      </w:pPr>
      <w:r>
        <w:rPr>
          <w:rFonts w:ascii="Times New Roman" w:hAnsi="Times New Roman"/>
          <w:sz w:val="24"/>
        </w:rPr>
        <w:t>Rapidity evaluation considers factors influencing recovery speed including spare parts availability, supplier relationships enabling expedited procurement, workforce training supporting rapid troubleshooting and repair, and emergency response procedures guiding coordinated action. Historical incidents provide empirical evidence of actual recovery performance, while for systems without major disruption experience, assessment relies on planning documents, equipment specifications, and organizational capabilities expected to influence response speed.</w:t>
      </w:r>
    </w:p>
    <w:p w14:paraId="36C49563" w14:textId="77777777" w:rsidR="00CA3124" w:rsidRPr="00EC6128" w:rsidRDefault="00D91F10">
      <w:pPr>
        <w:spacing w:line="360" w:lineRule="auto"/>
        <w:jc w:val="both"/>
        <w:rPr>
          <w:b/>
          <w:bCs/>
        </w:rPr>
      </w:pPr>
      <w:r w:rsidRPr="00EC6128">
        <w:rPr>
          <w:rFonts w:ascii="Times New Roman" w:hAnsi="Times New Roman"/>
          <w:b/>
          <w:bCs/>
          <w:sz w:val="24"/>
        </w:rPr>
        <w:t>Comparative Analysis</w:t>
      </w:r>
    </w:p>
    <w:p w14:paraId="2EA3B9E1" w14:textId="77777777" w:rsidR="00CA3124" w:rsidRDefault="00D91F10">
      <w:pPr>
        <w:spacing w:line="360" w:lineRule="auto"/>
        <w:jc w:val="both"/>
      </w:pPr>
      <w:r>
        <w:rPr>
          <w:rFonts w:ascii="Times New Roman" w:hAnsi="Times New Roman"/>
          <w:sz w:val="24"/>
        </w:rPr>
        <w:lastRenderedPageBreak/>
        <w:t>Cross-case synthesis identifies similarities and differences across cases, examining whether patterns emerge consistently or whether outcomes vary with context. Pattern matching compares observed outcomes against predictions from theoretical frameworks, testing whether sustainability and resilience frameworks accurately characterize system performance (Yin, 2018). Divergent case analysis investigates factors explaining differences in outcomes, revealing contextual conditions influencing technology performance, economic viability, or social acceptance.</w:t>
      </w:r>
    </w:p>
    <w:p w14:paraId="5A1EA815" w14:textId="77777777" w:rsidR="00CA3124" w:rsidRDefault="00D91F10">
      <w:pPr>
        <w:spacing w:line="360" w:lineRule="auto"/>
        <w:jc w:val="both"/>
      </w:pPr>
      <w:r>
        <w:rPr>
          <w:rFonts w:ascii="Times New Roman" w:hAnsi="Times New Roman"/>
          <w:sz w:val="24"/>
        </w:rPr>
        <w:t>The analysis identifies transferable lessons applicable to future projects despite contextual differences, distinguishing generalizable principles from context-specific findings. Best practice documentation captures approaches proving effective for addressing common challenges including feedstock variability management, process stability maintenance, economic optimization, and stakeholder engagement. Barrier identification reveals obstacles hindering technology deployment or optimal performance, suggesting areas requiring technological innovation, policy support, or institutional capacity building.</w:t>
      </w:r>
    </w:p>
    <w:p w14:paraId="65230212" w14:textId="77777777" w:rsidR="00CA3124" w:rsidRDefault="00D91F10">
      <w:pPr>
        <w:spacing w:line="360" w:lineRule="auto"/>
        <w:jc w:val="both"/>
      </w:pPr>
      <w:r>
        <w:rPr>
          <w:rFonts w:ascii="Times New Roman" w:hAnsi="Times New Roman"/>
          <w:sz w:val="24"/>
        </w:rPr>
        <w:t>This systematic analytical approach generates comprehensive understanding of renewable fuel production systems as complex arrangements integrating technical, economic, environmental, social, and policy dimensions. The framework enables rigorous evaluation while remaining grounded in empirical evidence from actual operating facilities, supporting evidence-based conclusions regarding technology potential, implementation challenges, and strategies for accelerating sustainable energy transitions.</w:t>
      </w:r>
    </w:p>
    <w:p w14:paraId="0B136195" w14:textId="77777777" w:rsidR="00CA3124" w:rsidRPr="00EC6128" w:rsidRDefault="00D91F10">
      <w:pPr>
        <w:pStyle w:val="Heading1"/>
        <w:rPr>
          <w:color w:val="auto"/>
        </w:rPr>
      </w:pPr>
      <w:r w:rsidRPr="00EC6128">
        <w:rPr>
          <w:rFonts w:ascii="Times New Roman" w:hAnsi="Times New Roman"/>
          <w:color w:val="auto"/>
        </w:rPr>
        <w:t>4. RESULTS</w:t>
      </w:r>
    </w:p>
    <w:p w14:paraId="019339F8" w14:textId="77777777" w:rsidR="00CA3124" w:rsidRPr="00EC6128" w:rsidRDefault="00D91F10">
      <w:pPr>
        <w:pStyle w:val="Heading2"/>
        <w:rPr>
          <w:color w:val="auto"/>
        </w:rPr>
      </w:pPr>
      <w:r w:rsidRPr="00EC6128">
        <w:rPr>
          <w:rFonts w:ascii="Times New Roman" w:hAnsi="Times New Roman"/>
          <w:color w:val="auto"/>
        </w:rPr>
        <w:t>4.1 Case Study 1: Michigan State University South Campus Anaerobic Digester</w:t>
      </w:r>
    </w:p>
    <w:p w14:paraId="08239259" w14:textId="77777777" w:rsidR="00CA3124" w:rsidRPr="00EC6128" w:rsidRDefault="00D91F10">
      <w:pPr>
        <w:pStyle w:val="Heading2"/>
        <w:rPr>
          <w:color w:val="auto"/>
        </w:rPr>
      </w:pPr>
      <w:r w:rsidRPr="00EC6128">
        <w:rPr>
          <w:rFonts w:ascii="Times New Roman" w:hAnsi="Times New Roman"/>
          <w:color w:val="auto"/>
        </w:rPr>
        <w:t>4.1.1 Facility Overview and Operational Performance</w:t>
      </w:r>
    </w:p>
    <w:p w14:paraId="57B21D19" w14:textId="3EF7E6F3" w:rsidR="00CA3124" w:rsidRDefault="00D91F10">
      <w:pPr>
        <w:spacing w:line="360" w:lineRule="auto"/>
        <w:jc w:val="both"/>
      </w:pPr>
      <w:r>
        <w:rPr>
          <w:rFonts w:ascii="Times New Roman" w:hAnsi="Times New Roman"/>
          <w:sz w:val="24"/>
        </w:rPr>
        <w:t xml:space="preserve">Michigan State University established the South Campus Anaerobic Digester in 2013 as part of a comprehensive Energy Transition Plan adopted by the Board of Trustees in April 2012. The facility represents a strategic component of the university's commitment to environmental stewardship, renewable energy research expansion, and educational leadership in sustainability. </w:t>
      </w:r>
      <w:r>
        <w:rPr>
          <w:rFonts w:ascii="Times New Roman" w:hAnsi="Times New Roman"/>
          <w:sz w:val="24"/>
        </w:rPr>
        <w:lastRenderedPageBreak/>
        <w:t xml:space="preserve">The Energy Transition Plan established progressive targets for renewable energy contribution and greenhouse gas emission reduction through 2030, as documented in Table </w:t>
      </w:r>
      <w:r w:rsidR="004C0704">
        <w:rPr>
          <w:rFonts w:ascii="Times New Roman" w:hAnsi="Times New Roman"/>
          <w:sz w:val="24"/>
        </w:rPr>
        <w:t>1</w:t>
      </w:r>
      <w:r>
        <w:rPr>
          <w:rFonts w:ascii="Times New Roman" w:hAnsi="Times New Roman"/>
          <w:sz w:val="24"/>
        </w:rPr>
        <w:t>.</w:t>
      </w:r>
    </w:p>
    <w:p w14:paraId="67133956" w14:textId="59EE2CAD"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1</w:t>
      </w:r>
      <w:r>
        <w:rPr>
          <w:rFonts w:ascii="Times New Roman" w:hAnsi="Times New Roman"/>
          <w:sz w:val="24"/>
        </w:rPr>
        <w:t>: Goal Timetable of the MSU Energy Transition Plan (Bauer, 2018)</w:t>
      </w:r>
    </w:p>
    <w:p w14:paraId="678B73F4" w14:textId="77777777" w:rsidR="00CA3124" w:rsidRDefault="00CA3124"/>
    <w:tbl>
      <w:tblPr>
        <w:tblStyle w:val="LightGrid-Accent1"/>
        <w:tblW w:w="0" w:type="auto"/>
        <w:tblLook w:val="04A0" w:firstRow="1" w:lastRow="0" w:firstColumn="1" w:lastColumn="0" w:noHBand="0" w:noVBand="1"/>
      </w:tblPr>
      <w:tblGrid>
        <w:gridCol w:w="3120"/>
        <w:gridCol w:w="3120"/>
        <w:gridCol w:w="3120"/>
      </w:tblGrid>
      <w:tr w:rsidR="00CA3124" w14:paraId="2EEDACCF"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BEC3E11" w14:textId="77777777" w:rsidR="00CA3124" w:rsidRDefault="00D91F10">
            <w:r>
              <w:rPr>
                <w:rFonts w:ascii="Times New Roman" w:hAnsi="Times New Roman"/>
                <w:sz w:val="20"/>
              </w:rPr>
              <w:t>Fiscal Year</w:t>
            </w:r>
          </w:p>
        </w:tc>
        <w:tc>
          <w:tcPr>
            <w:tcW w:w="3120" w:type="dxa"/>
          </w:tcPr>
          <w:p w14:paraId="6115F7A1"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Campus Renewable Energy (%)</w:t>
            </w:r>
          </w:p>
        </w:tc>
        <w:tc>
          <w:tcPr>
            <w:tcW w:w="3120" w:type="dxa"/>
          </w:tcPr>
          <w:p w14:paraId="22C9B33B"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Greenhouse Gas Emission Reduction (%)</w:t>
            </w:r>
          </w:p>
        </w:tc>
      </w:tr>
      <w:tr w:rsidR="00CA3124" w14:paraId="5B2B3263"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F0B5AE3" w14:textId="77777777" w:rsidR="00CA3124" w:rsidRDefault="00D91F10">
            <w:r>
              <w:rPr>
                <w:rFonts w:ascii="Times New Roman" w:hAnsi="Times New Roman"/>
                <w:sz w:val="20"/>
              </w:rPr>
              <w:t>FY2015</w:t>
            </w:r>
          </w:p>
        </w:tc>
        <w:tc>
          <w:tcPr>
            <w:tcW w:w="3120" w:type="dxa"/>
          </w:tcPr>
          <w:p w14:paraId="21AAA09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15</w:t>
            </w:r>
          </w:p>
        </w:tc>
        <w:tc>
          <w:tcPr>
            <w:tcW w:w="3120" w:type="dxa"/>
          </w:tcPr>
          <w:p w14:paraId="29DE95F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30</w:t>
            </w:r>
          </w:p>
        </w:tc>
      </w:tr>
      <w:tr w:rsidR="00CA3124" w14:paraId="7FD76160"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338F920" w14:textId="77777777" w:rsidR="00CA3124" w:rsidRDefault="00D91F10">
            <w:r>
              <w:rPr>
                <w:rFonts w:ascii="Times New Roman" w:hAnsi="Times New Roman"/>
                <w:sz w:val="20"/>
              </w:rPr>
              <w:t>FY2020</w:t>
            </w:r>
          </w:p>
        </w:tc>
        <w:tc>
          <w:tcPr>
            <w:tcW w:w="3120" w:type="dxa"/>
          </w:tcPr>
          <w:p w14:paraId="5BBA0F7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w:t>
            </w:r>
          </w:p>
        </w:tc>
        <w:tc>
          <w:tcPr>
            <w:tcW w:w="3120" w:type="dxa"/>
          </w:tcPr>
          <w:p w14:paraId="0BEF8BE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45</w:t>
            </w:r>
          </w:p>
        </w:tc>
      </w:tr>
      <w:tr w:rsidR="00CA3124" w14:paraId="2BAF610E"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4BFAA1F" w14:textId="77777777" w:rsidR="00CA3124" w:rsidRDefault="00D91F10">
            <w:r>
              <w:rPr>
                <w:rFonts w:ascii="Times New Roman" w:hAnsi="Times New Roman"/>
                <w:sz w:val="20"/>
              </w:rPr>
              <w:t>FY2025</w:t>
            </w:r>
          </w:p>
        </w:tc>
        <w:tc>
          <w:tcPr>
            <w:tcW w:w="3120" w:type="dxa"/>
          </w:tcPr>
          <w:p w14:paraId="47EE1FAF"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25</w:t>
            </w:r>
          </w:p>
        </w:tc>
        <w:tc>
          <w:tcPr>
            <w:tcW w:w="3120" w:type="dxa"/>
          </w:tcPr>
          <w:p w14:paraId="15424DC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55</w:t>
            </w:r>
          </w:p>
        </w:tc>
      </w:tr>
      <w:tr w:rsidR="00CA3124" w14:paraId="6357D5E6"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2B16AE" w14:textId="77777777" w:rsidR="00CA3124" w:rsidRDefault="00D91F10">
            <w:r>
              <w:rPr>
                <w:rFonts w:ascii="Times New Roman" w:hAnsi="Times New Roman"/>
                <w:sz w:val="20"/>
              </w:rPr>
              <w:t>FY2030</w:t>
            </w:r>
          </w:p>
        </w:tc>
        <w:tc>
          <w:tcPr>
            <w:tcW w:w="3120" w:type="dxa"/>
          </w:tcPr>
          <w:p w14:paraId="4A11B45A"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40</w:t>
            </w:r>
          </w:p>
        </w:tc>
        <w:tc>
          <w:tcPr>
            <w:tcW w:w="3120" w:type="dxa"/>
          </w:tcPr>
          <w:p w14:paraId="2440C1CF"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65</w:t>
            </w:r>
          </w:p>
        </w:tc>
      </w:tr>
    </w:tbl>
    <w:p w14:paraId="3BB5BF22" w14:textId="77777777" w:rsidR="00CA3124" w:rsidRDefault="00CA3124"/>
    <w:p w14:paraId="46724861" w14:textId="77777777" w:rsidR="00CA3124" w:rsidRDefault="00D91F10">
      <w:pPr>
        <w:spacing w:line="360" w:lineRule="auto"/>
        <w:jc w:val="both"/>
      </w:pPr>
      <w:r>
        <w:rPr>
          <w:rFonts w:ascii="Times New Roman" w:hAnsi="Times New Roman"/>
          <w:sz w:val="24"/>
        </w:rPr>
        <w:t>The anaerobic digester processes approximately 22,000 metric tons of organic waste annually through mesophilic anaerobic digestion maintained at temperatures between 35 and 40 degrees Celsius with hydraulic retention times of approximately 20 to 25 days (Bauer, 2018). The facility produces biogas containing approximately 60 percent methane, which fuels a combined heat and power system generating 300 to 500 kilowatts of electrical capacity for campus consumption. Waste heat from the combined heat and power operation provides process heating for the digester, improving overall system efficiency through thermal integration.</w:t>
      </w:r>
    </w:p>
    <w:p w14:paraId="294F8097" w14:textId="77777777" w:rsidR="00CA3124" w:rsidRPr="00EC6128" w:rsidRDefault="00D91F10">
      <w:pPr>
        <w:pStyle w:val="Heading2"/>
        <w:rPr>
          <w:color w:val="auto"/>
        </w:rPr>
      </w:pPr>
      <w:r w:rsidRPr="00EC6128">
        <w:rPr>
          <w:rFonts w:ascii="Times New Roman" w:hAnsi="Times New Roman"/>
          <w:color w:val="auto"/>
        </w:rPr>
        <w:t>4.1.2 Feedstock Composition and Evolution</w:t>
      </w:r>
    </w:p>
    <w:p w14:paraId="6A04E20A" w14:textId="0045E9CE" w:rsidR="00CA3124" w:rsidRDefault="00D91F10">
      <w:pPr>
        <w:spacing w:line="360" w:lineRule="auto"/>
        <w:jc w:val="both"/>
      </w:pPr>
      <w:r>
        <w:rPr>
          <w:rFonts w:ascii="Times New Roman" w:hAnsi="Times New Roman"/>
          <w:sz w:val="24"/>
        </w:rPr>
        <w:t xml:space="preserve">Feedstock composition evolved substantially from initial planning projections to actual operational experience, as documented through three years of operational data. Table </w:t>
      </w:r>
      <w:r w:rsidR="004C0704">
        <w:rPr>
          <w:rFonts w:ascii="Times New Roman" w:hAnsi="Times New Roman"/>
          <w:sz w:val="24"/>
        </w:rPr>
        <w:t>2</w:t>
      </w:r>
      <w:r>
        <w:rPr>
          <w:rFonts w:ascii="Times New Roman" w:hAnsi="Times New Roman"/>
          <w:sz w:val="24"/>
        </w:rPr>
        <w:t xml:space="preserve"> presents the detailed feedstock quantities and proportions processed during 2014 through 2016.</w:t>
      </w:r>
    </w:p>
    <w:p w14:paraId="58609AE2" w14:textId="198AEBE1"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2</w:t>
      </w:r>
      <w:r>
        <w:rPr>
          <w:rFonts w:ascii="Times New Roman" w:hAnsi="Times New Roman"/>
          <w:sz w:val="24"/>
        </w:rPr>
        <w:t>: MSU South Campus Anaerobic Digester Feedstock (Bauer, 2018)</w:t>
      </w:r>
    </w:p>
    <w:p w14:paraId="0D22B69B" w14:textId="77777777" w:rsidR="00CA3124" w:rsidRDefault="00CA3124"/>
    <w:tbl>
      <w:tblPr>
        <w:tblStyle w:val="LightGrid-Accent1"/>
        <w:tblW w:w="0" w:type="auto"/>
        <w:tblLook w:val="04A0" w:firstRow="1" w:lastRow="0" w:firstColumn="1" w:lastColumn="0" w:noHBand="0" w:noVBand="1"/>
      </w:tblPr>
      <w:tblGrid>
        <w:gridCol w:w="1560"/>
        <w:gridCol w:w="1560"/>
        <w:gridCol w:w="1560"/>
        <w:gridCol w:w="1560"/>
        <w:gridCol w:w="1560"/>
        <w:gridCol w:w="1560"/>
      </w:tblGrid>
      <w:tr w:rsidR="00CA3124" w14:paraId="3F158520"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7C41E5F" w14:textId="77777777" w:rsidR="00CA3124" w:rsidRDefault="00D91F10">
            <w:r>
              <w:rPr>
                <w:rFonts w:ascii="Times New Roman" w:hAnsi="Times New Roman"/>
                <w:sz w:val="20"/>
              </w:rPr>
              <w:t>Feedstock</w:t>
            </w:r>
          </w:p>
        </w:tc>
        <w:tc>
          <w:tcPr>
            <w:tcW w:w="1560" w:type="dxa"/>
          </w:tcPr>
          <w:p w14:paraId="09CDCF9F"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Total Solids (%)</w:t>
            </w:r>
          </w:p>
        </w:tc>
        <w:tc>
          <w:tcPr>
            <w:tcW w:w="1560" w:type="dxa"/>
          </w:tcPr>
          <w:p w14:paraId="37A2C793"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2014 Planned</w:t>
            </w:r>
          </w:p>
        </w:tc>
        <w:tc>
          <w:tcPr>
            <w:tcW w:w="1560" w:type="dxa"/>
          </w:tcPr>
          <w:p w14:paraId="7ACF30CF"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2014 Actual</w:t>
            </w:r>
          </w:p>
        </w:tc>
        <w:tc>
          <w:tcPr>
            <w:tcW w:w="1560" w:type="dxa"/>
          </w:tcPr>
          <w:p w14:paraId="7990704E"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2015 Actual</w:t>
            </w:r>
          </w:p>
        </w:tc>
        <w:tc>
          <w:tcPr>
            <w:tcW w:w="1560" w:type="dxa"/>
          </w:tcPr>
          <w:p w14:paraId="35314AF6"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2016 Actual</w:t>
            </w:r>
          </w:p>
        </w:tc>
      </w:tr>
      <w:tr w:rsidR="00CA3124" w14:paraId="34141270"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7A0FA96" w14:textId="77777777" w:rsidR="00CA3124" w:rsidRDefault="00CA3124"/>
        </w:tc>
        <w:tc>
          <w:tcPr>
            <w:tcW w:w="1560" w:type="dxa"/>
          </w:tcPr>
          <w:p w14:paraId="35BA1DCA" w14:textId="77777777" w:rsidR="00CA3124" w:rsidRDefault="00CA3124">
            <w:pPr>
              <w:cnfStyle w:val="000000100000" w:firstRow="0" w:lastRow="0" w:firstColumn="0" w:lastColumn="0" w:oddVBand="0" w:evenVBand="0" w:oddHBand="1" w:evenHBand="0" w:firstRowFirstColumn="0" w:firstRowLastColumn="0" w:lastRowFirstColumn="0" w:lastRowLastColumn="0"/>
            </w:pPr>
          </w:p>
        </w:tc>
        <w:tc>
          <w:tcPr>
            <w:tcW w:w="1560" w:type="dxa"/>
          </w:tcPr>
          <w:p w14:paraId="4015AB4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c>
          <w:tcPr>
            <w:tcW w:w="1560" w:type="dxa"/>
          </w:tcPr>
          <w:p w14:paraId="1A593F1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c>
          <w:tcPr>
            <w:tcW w:w="1560" w:type="dxa"/>
          </w:tcPr>
          <w:p w14:paraId="6CD5AC2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c>
          <w:tcPr>
            <w:tcW w:w="1560" w:type="dxa"/>
          </w:tcPr>
          <w:p w14:paraId="5C39E50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tons (%)</w:t>
            </w:r>
          </w:p>
        </w:tc>
      </w:tr>
      <w:tr w:rsidR="00CA3124" w14:paraId="57AB00D2"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11424D0" w14:textId="77777777" w:rsidR="00CA3124" w:rsidRDefault="00D91F10">
            <w:r>
              <w:rPr>
                <w:rFonts w:ascii="Times New Roman" w:hAnsi="Times New Roman"/>
                <w:sz w:val="20"/>
              </w:rPr>
              <w:t>Dairy manure</w:t>
            </w:r>
          </w:p>
        </w:tc>
        <w:tc>
          <w:tcPr>
            <w:tcW w:w="1560" w:type="dxa"/>
          </w:tcPr>
          <w:p w14:paraId="7CD4F60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12</w:t>
            </w:r>
          </w:p>
        </w:tc>
        <w:tc>
          <w:tcPr>
            <w:tcW w:w="1560" w:type="dxa"/>
          </w:tcPr>
          <w:p w14:paraId="10EF932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7,000 (43)</w:t>
            </w:r>
          </w:p>
        </w:tc>
        <w:tc>
          <w:tcPr>
            <w:tcW w:w="1560" w:type="dxa"/>
          </w:tcPr>
          <w:p w14:paraId="51EC58E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16,000 (67)</w:t>
            </w:r>
          </w:p>
        </w:tc>
        <w:tc>
          <w:tcPr>
            <w:tcW w:w="1560" w:type="dxa"/>
          </w:tcPr>
          <w:p w14:paraId="731AFEF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9,525 (43)</w:t>
            </w:r>
          </w:p>
        </w:tc>
        <w:tc>
          <w:tcPr>
            <w:tcW w:w="1560" w:type="dxa"/>
          </w:tcPr>
          <w:p w14:paraId="6DB519C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10,554 (52)</w:t>
            </w:r>
          </w:p>
        </w:tc>
      </w:tr>
      <w:tr w:rsidR="00CA3124" w14:paraId="74AC6BF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64B592C" w14:textId="77777777" w:rsidR="00CA3124" w:rsidRDefault="00D91F10">
            <w:r>
              <w:rPr>
                <w:rFonts w:ascii="Times New Roman" w:hAnsi="Times New Roman"/>
                <w:sz w:val="20"/>
              </w:rPr>
              <w:t>Fruit and vegetable</w:t>
            </w:r>
          </w:p>
        </w:tc>
        <w:tc>
          <w:tcPr>
            <w:tcW w:w="1560" w:type="dxa"/>
          </w:tcPr>
          <w:p w14:paraId="23A8C18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11</w:t>
            </w:r>
          </w:p>
        </w:tc>
        <w:tc>
          <w:tcPr>
            <w:tcW w:w="1560" w:type="dxa"/>
          </w:tcPr>
          <w:p w14:paraId="1C14478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3,900 (24)</w:t>
            </w:r>
          </w:p>
        </w:tc>
        <w:tc>
          <w:tcPr>
            <w:tcW w:w="1560" w:type="dxa"/>
          </w:tcPr>
          <w:p w14:paraId="5108114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2,900 (12)</w:t>
            </w:r>
          </w:p>
        </w:tc>
        <w:tc>
          <w:tcPr>
            <w:tcW w:w="1560" w:type="dxa"/>
          </w:tcPr>
          <w:p w14:paraId="3D8CB75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2,900 (13)</w:t>
            </w:r>
          </w:p>
        </w:tc>
        <w:tc>
          <w:tcPr>
            <w:tcW w:w="1560" w:type="dxa"/>
          </w:tcPr>
          <w:p w14:paraId="5A61CAC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 (0)</w:t>
            </w:r>
          </w:p>
        </w:tc>
      </w:tr>
      <w:tr w:rsidR="00CA3124" w14:paraId="66C99C69"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5B797E3" w14:textId="77777777" w:rsidR="00CA3124" w:rsidRDefault="00D91F10">
            <w:r>
              <w:rPr>
                <w:rFonts w:ascii="Times New Roman" w:hAnsi="Times New Roman"/>
                <w:sz w:val="20"/>
              </w:rPr>
              <w:t>Fats, oil and grease</w:t>
            </w:r>
          </w:p>
        </w:tc>
        <w:tc>
          <w:tcPr>
            <w:tcW w:w="1560" w:type="dxa"/>
          </w:tcPr>
          <w:p w14:paraId="3F4AA45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w:t>
            </w:r>
          </w:p>
        </w:tc>
        <w:tc>
          <w:tcPr>
            <w:tcW w:w="1560" w:type="dxa"/>
          </w:tcPr>
          <w:p w14:paraId="2D8EDB3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5,000 (30)</w:t>
            </w:r>
          </w:p>
        </w:tc>
        <w:tc>
          <w:tcPr>
            <w:tcW w:w="1560" w:type="dxa"/>
          </w:tcPr>
          <w:p w14:paraId="5C7CCFB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4,400 (19)</w:t>
            </w:r>
          </w:p>
        </w:tc>
        <w:tc>
          <w:tcPr>
            <w:tcW w:w="1560" w:type="dxa"/>
          </w:tcPr>
          <w:p w14:paraId="3B3A115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3,730 (17)</w:t>
            </w:r>
          </w:p>
        </w:tc>
        <w:tc>
          <w:tcPr>
            <w:tcW w:w="1560" w:type="dxa"/>
          </w:tcPr>
          <w:p w14:paraId="3DB86A0F"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4,747 (23)</w:t>
            </w:r>
          </w:p>
        </w:tc>
      </w:tr>
      <w:tr w:rsidR="00CA3124" w14:paraId="660A1E7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F82559D" w14:textId="77777777" w:rsidR="00CA3124" w:rsidRDefault="00D91F10">
            <w:r>
              <w:rPr>
                <w:rFonts w:ascii="Times New Roman" w:hAnsi="Times New Roman"/>
                <w:sz w:val="20"/>
              </w:rPr>
              <w:t>Cafeteria food waste</w:t>
            </w:r>
          </w:p>
        </w:tc>
        <w:tc>
          <w:tcPr>
            <w:tcW w:w="1560" w:type="dxa"/>
          </w:tcPr>
          <w:p w14:paraId="261B505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10</w:t>
            </w:r>
          </w:p>
        </w:tc>
        <w:tc>
          <w:tcPr>
            <w:tcW w:w="1560" w:type="dxa"/>
          </w:tcPr>
          <w:p w14:paraId="00E5C71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750 (3)</w:t>
            </w:r>
          </w:p>
        </w:tc>
        <w:tc>
          <w:tcPr>
            <w:tcW w:w="1560" w:type="dxa"/>
          </w:tcPr>
          <w:p w14:paraId="0A137AA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430 (2)</w:t>
            </w:r>
          </w:p>
        </w:tc>
        <w:tc>
          <w:tcPr>
            <w:tcW w:w="1560" w:type="dxa"/>
          </w:tcPr>
          <w:p w14:paraId="2854FC1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440 (2)</w:t>
            </w:r>
          </w:p>
        </w:tc>
        <w:tc>
          <w:tcPr>
            <w:tcW w:w="1560" w:type="dxa"/>
          </w:tcPr>
          <w:p w14:paraId="5F58A04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513 (3)</w:t>
            </w:r>
          </w:p>
        </w:tc>
      </w:tr>
      <w:tr w:rsidR="00CA3124" w14:paraId="0AF9E0F1"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D3FD330" w14:textId="77777777" w:rsidR="00CA3124" w:rsidRDefault="00D91F10">
            <w:r>
              <w:rPr>
                <w:rFonts w:ascii="Times New Roman" w:hAnsi="Times New Roman"/>
                <w:sz w:val="20"/>
              </w:rPr>
              <w:t xml:space="preserve">Milk process </w:t>
            </w:r>
            <w:r>
              <w:rPr>
                <w:rFonts w:ascii="Times New Roman" w:hAnsi="Times New Roman"/>
                <w:sz w:val="20"/>
              </w:rPr>
              <w:lastRenderedPageBreak/>
              <w:t>waste</w:t>
            </w:r>
          </w:p>
        </w:tc>
        <w:tc>
          <w:tcPr>
            <w:tcW w:w="1560" w:type="dxa"/>
          </w:tcPr>
          <w:p w14:paraId="04959A01"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lastRenderedPageBreak/>
              <w:t>12</w:t>
            </w:r>
          </w:p>
        </w:tc>
        <w:tc>
          <w:tcPr>
            <w:tcW w:w="1560" w:type="dxa"/>
          </w:tcPr>
          <w:p w14:paraId="7A41C95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w:t>
            </w:r>
          </w:p>
        </w:tc>
        <w:tc>
          <w:tcPr>
            <w:tcW w:w="1560" w:type="dxa"/>
          </w:tcPr>
          <w:p w14:paraId="48D6ED0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w:t>
            </w:r>
          </w:p>
        </w:tc>
        <w:tc>
          <w:tcPr>
            <w:tcW w:w="1560" w:type="dxa"/>
          </w:tcPr>
          <w:p w14:paraId="7850AD5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5,475 (25)</w:t>
            </w:r>
          </w:p>
        </w:tc>
        <w:tc>
          <w:tcPr>
            <w:tcW w:w="1560" w:type="dxa"/>
          </w:tcPr>
          <w:p w14:paraId="4A17B7FA"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4,444 (22)</w:t>
            </w:r>
          </w:p>
        </w:tc>
      </w:tr>
      <w:tr w:rsidR="00CA3124" w14:paraId="012ADF6F"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F373F57" w14:textId="77777777" w:rsidR="00CA3124" w:rsidRDefault="00D91F10">
            <w:r>
              <w:rPr>
                <w:rFonts w:ascii="Times New Roman" w:hAnsi="Times New Roman"/>
                <w:sz w:val="20"/>
              </w:rPr>
              <w:t>Packing material</w:t>
            </w:r>
          </w:p>
        </w:tc>
        <w:tc>
          <w:tcPr>
            <w:tcW w:w="1560" w:type="dxa"/>
          </w:tcPr>
          <w:p w14:paraId="7585B28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90</w:t>
            </w:r>
          </w:p>
        </w:tc>
        <w:tc>
          <w:tcPr>
            <w:tcW w:w="1560" w:type="dxa"/>
          </w:tcPr>
          <w:p w14:paraId="251E377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t>
            </w:r>
          </w:p>
        </w:tc>
        <w:tc>
          <w:tcPr>
            <w:tcW w:w="1560" w:type="dxa"/>
          </w:tcPr>
          <w:p w14:paraId="13437F78"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t>
            </w:r>
          </w:p>
        </w:tc>
        <w:tc>
          <w:tcPr>
            <w:tcW w:w="1560" w:type="dxa"/>
          </w:tcPr>
          <w:p w14:paraId="1F7DD5E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60 (---)</w:t>
            </w:r>
          </w:p>
        </w:tc>
        <w:tc>
          <w:tcPr>
            <w:tcW w:w="1560" w:type="dxa"/>
          </w:tcPr>
          <w:p w14:paraId="3983679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34 (---)</w:t>
            </w:r>
          </w:p>
        </w:tc>
      </w:tr>
      <w:tr w:rsidR="00CA3124" w14:paraId="74790B2A"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4CA604A" w14:textId="77777777" w:rsidR="00CA3124" w:rsidRDefault="00D91F10">
            <w:r>
              <w:rPr>
                <w:rFonts w:ascii="Times New Roman" w:hAnsi="Times New Roman"/>
                <w:sz w:val="20"/>
              </w:rPr>
              <w:t>Total</w:t>
            </w:r>
          </w:p>
        </w:tc>
        <w:tc>
          <w:tcPr>
            <w:tcW w:w="1560" w:type="dxa"/>
          </w:tcPr>
          <w:p w14:paraId="42DCF53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15</w:t>
            </w:r>
          </w:p>
        </w:tc>
        <w:tc>
          <w:tcPr>
            <w:tcW w:w="1560" w:type="dxa"/>
          </w:tcPr>
          <w:p w14:paraId="31B8075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16,650</w:t>
            </w:r>
          </w:p>
        </w:tc>
        <w:tc>
          <w:tcPr>
            <w:tcW w:w="1560" w:type="dxa"/>
          </w:tcPr>
          <w:p w14:paraId="7BFF401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23,730</w:t>
            </w:r>
          </w:p>
        </w:tc>
        <w:tc>
          <w:tcPr>
            <w:tcW w:w="1560" w:type="dxa"/>
          </w:tcPr>
          <w:p w14:paraId="0A4AB33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22,070</w:t>
            </w:r>
          </w:p>
        </w:tc>
        <w:tc>
          <w:tcPr>
            <w:tcW w:w="1560" w:type="dxa"/>
          </w:tcPr>
          <w:p w14:paraId="6ECAC87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20,380</w:t>
            </w:r>
          </w:p>
        </w:tc>
      </w:tr>
    </w:tbl>
    <w:p w14:paraId="62AE425E" w14:textId="77777777" w:rsidR="00CA3124" w:rsidRDefault="00CA3124"/>
    <w:p w14:paraId="5234F095" w14:textId="77777777" w:rsidR="00CA3124" w:rsidRDefault="00D91F10">
      <w:pPr>
        <w:spacing w:line="360" w:lineRule="auto"/>
        <w:jc w:val="both"/>
      </w:pPr>
      <w:r>
        <w:rPr>
          <w:rFonts w:ascii="Times New Roman" w:hAnsi="Times New Roman"/>
          <w:sz w:val="24"/>
        </w:rPr>
        <w:t>Dairy manure from the on-campus teaching and research herd constituted the largest feedstock component by 2016, representing 52 percent of total input mass (Bauer, 2018). This substantial contribution reflects the reliable availability of dairy waste from continuous milking operations and the relatively short transportation distance from barn facilities to the digester. Fats, oils, and grease comprised 23 percent of feedstock input in 2016, sourced primarily from campus food service operations and local restaurants. These materials possess elevated energy density due to high lipid content, providing theoretical methane yields approaching 1.0 to 1.2 cubic meters per kilogram of volatile solids (Hakawati et al., 2017). Milk processing waste from the on-campus dairy plant contributed 22 percent of feedstock mass by 2016, representing a substantial addition not included in original planning projections. Cafeteria food waste remained relatively modest at 3 percent of total feedstock, likely reflecting challenges with source separation and contamination by non-organic materials such as plastic utensils and napkins.</w:t>
      </w:r>
    </w:p>
    <w:p w14:paraId="53FE5533" w14:textId="77777777" w:rsidR="00CA3124" w:rsidRPr="00EC6128" w:rsidRDefault="00D91F10">
      <w:pPr>
        <w:pStyle w:val="Heading2"/>
        <w:rPr>
          <w:color w:val="auto"/>
        </w:rPr>
      </w:pPr>
      <w:r w:rsidRPr="00EC6128">
        <w:rPr>
          <w:rFonts w:ascii="Times New Roman" w:hAnsi="Times New Roman"/>
          <w:color w:val="auto"/>
        </w:rPr>
        <w:t>4.1.3 Environmental and Economic Performance</w:t>
      </w:r>
    </w:p>
    <w:p w14:paraId="5F1773E5" w14:textId="77777777" w:rsidR="00CA3124" w:rsidRDefault="00D91F10">
      <w:pPr>
        <w:spacing w:line="360" w:lineRule="auto"/>
        <w:jc w:val="both"/>
      </w:pPr>
      <w:r>
        <w:rPr>
          <w:rFonts w:ascii="Times New Roman" w:hAnsi="Times New Roman"/>
          <w:sz w:val="24"/>
        </w:rPr>
        <w:t>The South Campus Anaerobic Digester achieved multiple environmental benefits through integrated waste management and renewable energy generation. The facility diverted between 20,000 and 23,000 metric tons of organic waste from landfill disposal annually during 2014 through 2016, preventing methane emissions and leachate generation. Digestate production provided nutrient recovery benefits through agricultural land application, with the facility generating approximately 18,000 to 20,000 metric tons of liquid digestate annually containing plant-available nitrogen, phosphorus, and potassium suitable for crop fertilization (Bauer, 2018). Capital investment totaled approximately 5.5 to 6.0 million dollars in 2013, representing capital intensity of approximately 15,000 to 18,000 dollars per kilowatt of electrical generation capacity. Annual waste disposal cost avoidance ranged from 50,000 to 100,000 dollars, while electricity production value ranged from 300,000 to 400,000 dollars annually. Net operational savings, comparing combined revenues against operational expenditures, ranged from 200,000 to 300,000 dollars annually. Simple payback period ranged from 11 to 20 years when grant funding reducing net capital requirements was incorporated.</w:t>
      </w:r>
    </w:p>
    <w:p w14:paraId="21C60763" w14:textId="77777777" w:rsidR="00CA3124" w:rsidRPr="00EC6128" w:rsidRDefault="00D91F10">
      <w:pPr>
        <w:pStyle w:val="Heading2"/>
        <w:rPr>
          <w:color w:val="auto"/>
        </w:rPr>
      </w:pPr>
      <w:r w:rsidRPr="00EC6128">
        <w:rPr>
          <w:rFonts w:ascii="Times New Roman" w:hAnsi="Times New Roman"/>
          <w:color w:val="auto"/>
        </w:rPr>
        <w:lastRenderedPageBreak/>
        <w:t>4.1.4 Educational and Social Impact</w:t>
      </w:r>
    </w:p>
    <w:p w14:paraId="451629B8" w14:textId="77777777" w:rsidR="00CA3124" w:rsidRDefault="00D91F10">
      <w:pPr>
        <w:spacing w:line="360" w:lineRule="auto"/>
        <w:jc w:val="both"/>
      </w:pPr>
      <w:r>
        <w:rPr>
          <w:rFonts w:ascii="Times New Roman" w:hAnsi="Times New Roman"/>
          <w:sz w:val="24"/>
        </w:rPr>
        <w:t>The facility functioned as a living laboratory providing experiential learning opportunities, with approximately 500 to 1,000 students annually participating in classroom visits, laboratory exercises, and research projects (Bauer, 2018). Graduate student research projects employed the digester as an experimental platform, generating peer-reviewed publications and contributing to scientific knowledge advancement. Community outreach extended benefits beyond campus boundaries through tours for K-12 school groups and presentations to community organizations, raising public awareness regarding renewable energy options while demonstrating institutional commitment to environmental leadership.</w:t>
      </w:r>
    </w:p>
    <w:p w14:paraId="7E4B5FFE" w14:textId="77777777" w:rsidR="00CA3124" w:rsidRPr="006E14C1" w:rsidRDefault="00D91F10">
      <w:pPr>
        <w:pStyle w:val="Heading2"/>
        <w:rPr>
          <w:color w:val="auto"/>
        </w:rPr>
      </w:pPr>
      <w:r w:rsidRPr="006E14C1">
        <w:rPr>
          <w:rFonts w:ascii="Times New Roman" w:hAnsi="Times New Roman"/>
          <w:color w:val="auto"/>
        </w:rPr>
        <w:t>4.2 Case Study 2: Twelve Technologies Sustainable Aviation Fuel Production</w:t>
      </w:r>
    </w:p>
    <w:p w14:paraId="2CAE7F8C" w14:textId="77777777" w:rsidR="00CA3124" w:rsidRPr="006E14C1" w:rsidRDefault="00D91F10">
      <w:pPr>
        <w:pStyle w:val="Heading2"/>
        <w:rPr>
          <w:color w:val="auto"/>
        </w:rPr>
      </w:pPr>
      <w:r w:rsidRPr="006E14C1">
        <w:rPr>
          <w:rFonts w:ascii="Times New Roman" w:hAnsi="Times New Roman"/>
          <w:color w:val="auto"/>
        </w:rPr>
        <w:t>4.2.1 Technology Overview and Operational Performance</w:t>
      </w:r>
    </w:p>
    <w:p w14:paraId="3D5FE378" w14:textId="77777777" w:rsidR="00CA3124" w:rsidRDefault="00D91F10">
      <w:pPr>
        <w:spacing w:line="360" w:lineRule="auto"/>
        <w:jc w:val="both"/>
      </w:pPr>
      <w:r>
        <w:rPr>
          <w:rFonts w:ascii="Times New Roman" w:hAnsi="Times New Roman"/>
          <w:sz w:val="24"/>
        </w:rPr>
        <w:t>Twelve Technologies' Moses Lake, Washington facility employs proprietary electrochemical carbon transformation technology converting captured CO₂ into sustainable aviation fuel. The process uses renewable electricity to reduce CO₂ to carbon monoxide, which undergoes Fischer-Tropsch synthesis producing liquid hydrocarbons resembling conventional jet fuel. Initial capacity targets 40,000 gallons annually with planned expansion to 400,000 gallons. CO₂ feedstock sources from industrial point emissions including ethanol plants, natural gas processing, and cement manufacturing. When powered by renewable electricity, particularly the abundant hydroelectric power available from Columbia River dams, the system achieves up to 90% lifecycle greenhouse gas reduction compared to conventional aviation fuel (Twelve, 2024).</w:t>
      </w:r>
    </w:p>
    <w:p w14:paraId="22A6429F" w14:textId="77777777" w:rsidR="00CA3124" w:rsidRPr="006E14C1" w:rsidRDefault="00D91F10">
      <w:pPr>
        <w:pStyle w:val="Heading2"/>
        <w:rPr>
          <w:color w:val="auto"/>
        </w:rPr>
      </w:pPr>
      <w:r w:rsidRPr="006E14C1">
        <w:rPr>
          <w:rFonts w:ascii="Times New Roman" w:hAnsi="Times New Roman"/>
          <w:color w:val="auto"/>
        </w:rPr>
        <w:t>4.2.2 Carbon Capture Context</w:t>
      </w:r>
    </w:p>
    <w:p w14:paraId="5F5680F0" w14:textId="558C49D5" w:rsidR="00CA3124" w:rsidRDefault="00D91F10">
      <w:pPr>
        <w:spacing w:line="360" w:lineRule="auto"/>
        <w:jc w:val="both"/>
      </w:pPr>
      <w:r>
        <w:rPr>
          <w:rFonts w:ascii="Times New Roman" w:hAnsi="Times New Roman"/>
          <w:sz w:val="24"/>
        </w:rPr>
        <w:t xml:space="preserve">To contextualize Twelve's carbon utilization approach within the broader carbon capture landscape, examination of existing U.S. carbon capture and storage facilities provides essential background. As of September 2023, only fifteen carbon capture and storage facilities operate in the United States, capturing approximately 22 million metric tons of CO₂ annually, representing merely 0.4% of national emissions (Office, 2023). Table </w:t>
      </w:r>
      <w:r w:rsidR="004C0704">
        <w:rPr>
          <w:rFonts w:ascii="Times New Roman" w:hAnsi="Times New Roman"/>
          <w:sz w:val="24"/>
        </w:rPr>
        <w:t>3</w:t>
      </w:r>
      <w:r>
        <w:rPr>
          <w:rFonts w:ascii="Times New Roman" w:hAnsi="Times New Roman"/>
          <w:sz w:val="24"/>
        </w:rPr>
        <w:t xml:space="preserve"> documents these facilities including location, production type, and capture capacity.</w:t>
      </w:r>
    </w:p>
    <w:p w14:paraId="149D535A" w14:textId="569D0921" w:rsidR="00CA3124" w:rsidRDefault="00D91F10">
      <w:pPr>
        <w:spacing w:line="360" w:lineRule="auto"/>
        <w:jc w:val="both"/>
      </w:pPr>
      <w:r>
        <w:rPr>
          <w:rFonts w:ascii="Times New Roman" w:hAnsi="Times New Roman"/>
          <w:sz w:val="24"/>
        </w:rPr>
        <w:t xml:space="preserve">Table </w:t>
      </w:r>
      <w:r w:rsidR="004C0704">
        <w:rPr>
          <w:rFonts w:ascii="Times New Roman" w:hAnsi="Times New Roman"/>
          <w:sz w:val="24"/>
        </w:rPr>
        <w:t>3</w:t>
      </w:r>
      <w:r>
        <w:rPr>
          <w:rFonts w:ascii="Times New Roman" w:hAnsi="Times New Roman"/>
          <w:sz w:val="24"/>
        </w:rPr>
        <w:t>: Carbon Capture and Storage Facilities Operating in the United States (Office, 2023)</w:t>
      </w:r>
    </w:p>
    <w:p w14:paraId="72936734" w14:textId="77777777" w:rsidR="00CA3124" w:rsidRDefault="00CA3124"/>
    <w:tbl>
      <w:tblPr>
        <w:tblStyle w:val="LightGrid-Accent1"/>
        <w:tblW w:w="0" w:type="auto"/>
        <w:tblLook w:val="04A0" w:firstRow="1" w:lastRow="0" w:firstColumn="1" w:lastColumn="0" w:noHBand="0" w:noVBand="1"/>
      </w:tblPr>
      <w:tblGrid>
        <w:gridCol w:w="1872"/>
        <w:gridCol w:w="1872"/>
        <w:gridCol w:w="1872"/>
        <w:gridCol w:w="1872"/>
        <w:gridCol w:w="1872"/>
      </w:tblGrid>
      <w:tr w:rsidR="00CA3124" w14:paraId="503EEC98"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BEB28FC" w14:textId="77777777" w:rsidR="00CA3124" w:rsidRDefault="00D91F10">
            <w:r>
              <w:rPr>
                <w:rFonts w:ascii="Times New Roman" w:hAnsi="Times New Roman"/>
                <w:sz w:val="20"/>
              </w:rPr>
              <w:lastRenderedPageBreak/>
              <w:t>Name of Facility</w:t>
            </w:r>
          </w:p>
        </w:tc>
        <w:tc>
          <w:tcPr>
            <w:tcW w:w="1872" w:type="dxa"/>
          </w:tcPr>
          <w:p w14:paraId="278FFF06"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Date CCS Operating Began</w:t>
            </w:r>
          </w:p>
        </w:tc>
        <w:tc>
          <w:tcPr>
            <w:tcW w:w="1872" w:type="dxa"/>
          </w:tcPr>
          <w:p w14:paraId="5A375ADA"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Location</w:t>
            </w:r>
          </w:p>
        </w:tc>
        <w:tc>
          <w:tcPr>
            <w:tcW w:w="1872" w:type="dxa"/>
          </w:tcPr>
          <w:p w14:paraId="18A53696"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Type of Production</w:t>
            </w:r>
          </w:p>
        </w:tc>
        <w:tc>
          <w:tcPr>
            <w:tcW w:w="1872" w:type="dxa"/>
          </w:tcPr>
          <w:p w14:paraId="152BE6B8"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CO₂ Capture Capacity (Millions of metric tons per year)</w:t>
            </w:r>
          </w:p>
        </w:tc>
      </w:tr>
      <w:tr w:rsidR="00CA3124" w14:paraId="7B55A1C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9077590" w14:textId="77777777" w:rsidR="00CA3124" w:rsidRDefault="00D91F10">
            <w:r>
              <w:rPr>
                <w:rFonts w:ascii="Times New Roman" w:hAnsi="Times New Roman"/>
                <w:sz w:val="20"/>
              </w:rPr>
              <w:t>Terrell</w:t>
            </w:r>
          </w:p>
        </w:tc>
        <w:tc>
          <w:tcPr>
            <w:tcW w:w="1872" w:type="dxa"/>
          </w:tcPr>
          <w:p w14:paraId="4E35CFD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1972</w:t>
            </w:r>
          </w:p>
        </w:tc>
        <w:tc>
          <w:tcPr>
            <w:tcW w:w="1872" w:type="dxa"/>
          </w:tcPr>
          <w:p w14:paraId="0172F2E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31DD373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0E9B6A9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0.5</w:t>
            </w:r>
          </w:p>
        </w:tc>
      </w:tr>
      <w:tr w:rsidR="00CA3124" w14:paraId="5156B5A9"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F2CFD5E" w14:textId="77777777" w:rsidR="00CA3124" w:rsidRDefault="00D91F10">
            <w:r>
              <w:rPr>
                <w:rFonts w:ascii="Times New Roman" w:hAnsi="Times New Roman"/>
                <w:sz w:val="20"/>
              </w:rPr>
              <w:t>Enid Fertilizer</w:t>
            </w:r>
          </w:p>
        </w:tc>
        <w:tc>
          <w:tcPr>
            <w:tcW w:w="1872" w:type="dxa"/>
          </w:tcPr>
          <w:p w14:paraId="1C00D0BF"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1982</w:t>
            </w:r>
          </w:p>
        </w:tc>
        <w:tc>
          <w:tcPr>
            <w:tcW w:w="1872" w:type="dxa"/>
          </w:tcPr>
          <w:p w14:paraId="665501CE"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Oklahoma</w:t>
            </w:r>
          </w:p>
        </w:tc>
        <w:tc>
          <w:tcPr>
            <w:tcW w:w="1872" w:type="dxa"/>
          </w:tcPr>
          <w:p w14:paraId="6633348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Ammonia (Fertilizer)</w:t>
            </w:r>
          </w:p>
        </w:tc>
        <w:tc>
          <w:tcPr>
            <w:tcW w:w="1872" w:type="dxa"/>
          </w:tcPr>
          <w:p w14:paraId="5573AA3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0.2</w:t>
            </w:r>
          </w:p>
        </w:tc>
      </w:tr>
      <w:tr w:rsidR="00CA3124" w14:paraId="001C32EF"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683E386" w14:textId="77777777" w:rsidR="00CA3124" w:rsidRDefault="00D91F10">
            <w:r>
              <w:rPr>
                <w:rFonts w:ascii="Times New Roman" w:hAnsi="Times New Roman"/>
                <w:sz w:val="20"/>
              </w:rPr>
              <w:t>Shute Creek</w:t>
            </w:r>
          </w:p>
        </w:tc>
        <w:tc>
          <w:tcPr>
            <w:tcW w:w="1872" w:type="dxa"/>
          </w:tcPr>
          <w:p w14:paraId="0CBC37F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1986</w:t>
            </w:r>
          </w:p>
        </w:tc>
        <w:tc>
          <w:tcPr>
            <w:tcW w:w="1872" w:type="dxa"/>
          </w:tcPr>
          <w:p w14:paraId="2BBBBF9F"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Wyoming</w:t>
            </w:r>
          </w:p>
        </w:tc>
        <w:tc>
          <w:tcPr>
            <w:tcW w:w="1872" w:type="dxa"/>
          </w:tcPr>
          <w:p w14:paraId="5CB2F5C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588BA3E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7.0</w:t>
            </w:r>
          </w:p>
        </w:tc>
      </w:tr>
      <w:tr w:rsidR="00CA3124" w14:paraId="2386F0BC"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4DAB604" w14:textId="77777777" w:rsidR="00CA3124" w:rsidRDefault="00D91F10">
            <w:r>
              <w:rPr>
                <w:rFonts w:ascii="Times New Roman" w:hAnsi="Times New Roman"/>
                <w:sz w:val="20"/>
              </w:rPr>
              <w:t>Great Plains</w:t>
            </w:r>
          </w:p>
        </w:tc>
        <w:tc>
          <w:tcPr>
            <w:tcW w:w="1872" w:type="dxa"/>
          </w:tcPr>
          <w:p w14:paraId="6585A45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2000</w:t>
            </w:r>
          </w:p>
        </w:tc>
        <w:tc>
          <w:tcPr>
            <w:tcW w:w="1872" w:type="dxa"/>
          </w:tcPr>
          <w:p w14:paraId="52FDE97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North Dakota</w:t>
            </w:r>
          </w:p>
        </w:tc>
        <w:tc>
          <w:tcPr>
            <w:tcW w:w="1872" w:type="dxa"/>
          </w:tcPr>
          <w:p w14:paraId="71F1F72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Hydrogen and Ammonia (fertilizer)</w:t>
            </w:r>
          </w:p>
        </w:tc>
        <w:tc>
          <w:tcPr>
            <w:tcW w:w="1872" w:type="dxa"/>
          </w:tcPr>
          <w:p w14:paraId="6AA3A89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3.0</w:t>
            </w:r>
          </w:p>
        </w:tc>
      </w:tr>
      <w:tr w:rsidR="00CA3124" w14:paraId="6AD33EBE"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ACE3444" w14:textId="77777777" w:rsidR="00CA3124" w:rsidRDefault="00D91F10">
            <w:r>
              <w:rPr>
                <w:rFonts w:ascii="Times New Roman" w:hAnsi="Times New Roman"/>
                <w:sz w:val="20"/>
              </w:rPr>
              <w:t>Core Energy</w:t>
            </w:r>
          </w:p>
        </w:tc>
        <w:tc>
          <w:tcPr>
            <w:tcW w:w="1872" w:type="dxa"/>
          </w:tcPr>
          <w:p w14:paraId="23B7D19F"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2003</w:t>
            </w:r>
          </w:p>
        </w:tc>
        <w:tc>
          <w:tcPr>
            <w:tcW w:w="1872" w:type="dxa"/>
          </w:tcPr>
          <w:p w14:paraId="5DF18E1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Michigan</w:t>
            </w:r>
          </w:p>
        </w:tc>
        <w:tc>
          <w:tcPr>
            <w:tcW w:w="1872" w:type="dxa"/>
          </w:tcPr>
          <w:p w14:paraId="16E4CD38"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62A18E0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0.4</w:t>
            </w:r>
          </w:p>
        </w:tc>
      </w:tr>
      <w:tr w:rsidR="00CA3124" w14:paraId="7E9DDE79"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51AFDCD" w14:textId="77777777" w:rsidR="00CA3124" w:rsidRDefault="00D91F10">
            <w:r>
              <w:rPr>
                <w:rFonts w:ascii="Times New Roman" w:hAnsi="Times New Roman"/>
                <w:sz w:val="20"/>
              </w:rPr>
              <w:t>Arkalon</w:t>
            </w:r>
          </w:p>
        </w:tc>
        <w:tc>
          <w:tcPr>
            <w:tcW w:w="1872" w:type="dxa"/>
          </w:tcPr>
          <w:p w14:paraId="37878833"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2009</w:t>
            </w:r>
          </w:p>
        </w:tc>
        <w:tc>
          <w:tcPr>
            <w:tcW w:w="1872" w:type="dxa"/>
          </w:tcPr>
          <w:p w14:paraId="6580E77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Kansas</w:t>
            </w:r>
          </w:p>
        </w:tc>
        <w:tc>
          <w:tcPr>
            <w:tcW w:w="1872" w:type="dxa"/>
          </w:tcPr>
          <w:p w14:paraId="1D3D93E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Ethanol</w:t>
            </w:r>
          </w:p>
        </w:tc>
        <w:tc>
          <w:tcPr>
            <w:tcW w:w="1872" w:type="dxa"/>
          </w:tcPr>
          <w:p w14:paraId="5E5F070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0.5</w:t>
            </w:r>
          </w:p>
        </w:tc>
      </w:tr>
      <w:tr w:rsidR="00CA3124" w14:paraId="08834A72"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96CD1FB" w14:textId="77777777" w:rsidR="00CA3124" w:rsidRDefault="00D91F10">
            <w:r>
              <w:rPr>
                <w:rFonts w:ascii="Times New Roman" w:hAnsi="Times New Roman"/>
                <w:sz w:val="20"/>
              </w:rPr>
              <w:t>Century Plant</w:t>
            </w:r>
          </w:p>
        </w:tc>
        <w:tc>
          <w:tcPr>
            <w:tcW w:w="1872" w:type="dxa"/>
          </w:tcPr>
          <w:p w14:paraId="2EC02DC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2010</w:t>
            </w:r>
          </w:p>
        </w:tc>
        <w:tc>
          <w:tcPr>
            <w:tcW w:w="1872" w:type="dxa"/>
          </w:tcPr>
          <w:p w14:paraId="1DA8E97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74120AB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73330CE9"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5.0</w:t>
            </w:r>
          </w:p>
        </w:tc>
      </w:tr>
      <w:tr w:rsidR="00CA3124" w14:paraId="413C8DC2"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2FCBBE5F" w14:textId="77777777" w:rsidR="00CA3124" w:rsidRDefault="00D91F10">
            <w:r>
              <w:rPr>
                <w:rFonts w:ascii="Times New Roman" w:hAnsi="Times New Roman"/>
                <w:sz w:val="20"/>
              </w:rPr>
              <w:t>Bonanza BioEnergy</w:t>
            </w:r>
          </w:p>
        </w:tc>
        <w:tc>
          <w:tcPr>
            <w:tcW w:w="1872" w:type="dxa"/>
          </w:tcPr>
          <w:p w14:paraId="36531CE0"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2012</w:t>
            </w:r>
          </w:p>
        </w:tc>
        <w:tc>
          <w:tcPr>
            <w:tcW w:w="1872" w:type="dxa"/>
          </w:tcPr>
          <w:p w14:paraId="2D87997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Kansas</w:t>
            </w:r>
          </w:p>
        </w:tc>
        <w:tc>
          <w:tcPr>
            <w:tcW w:w="1872" w:type="dxa"/>
          </w:tcPr>
          <w:p w14:paraId="461726C6"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Ethanol</w:t>
            </w:r>
          </w:p>
        </w:tc>
        <w:tc>
          <w:tcPr>
            <w:tcW w:w="1872" w:type="dxa"/>
          </w:tcPr>
          <w:p w14:paraId="01374AC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0.1</w:t>
            </w:r>
          </w:p>
        </w:tc>
      </w:tr>
      <w:tr w:rsidR="00CA3124" w14:paraId="3C9B8040"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B1720AC" w14:textId="77777777" w:rsidR="00CA3124" w:rsidRDefault="00D91F10">
            <w:r>
              <w:rPr>
                <w:rFonts w:ascii="Times New Roman" w:hAnsi="Times New Roman"/>
                <w:sz w:val="20"/>
              </w:rPr>
              <w:t>Air Products</w:t>
            </w:r>
          </w:p>
        </w:tc>
        <w:tc>
          <w:tcPr>
            <w:tcW w:w="1872" w:type="dxa"/>
          </w:tcPr>
          <w:p w14:paraId="514D399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2013</w:t>
            </w:r>
          </w:p>
        </w:tc>
        <w:tc>
          <w:tcPr>
            <w:tcW w:w="1872" w:type="dxa"/>
          </w:tcPr>
          <w:p w14:paraId="1AA6CD7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0C251AE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Hydrogen</w:t>
            </w:r>
          </w:p>
        </w:tc>
        <w:tc>
          <w:tcPr>
            <w:tcW w:w="1872" w:type="dxa"/>
          </w:tcPr>
          <w:p w14:paraId="068522F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w:t>
            </w:r>
          </w:p>
        </w:tc>
      </w:tr>
      <w:tr w:rsidR="00CA3124" w14:paraId="479F0B33"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493F044" w14:textId="77777777" w:rsidR="00CA3124" w:rsidRDefault="00D91F10">
            <w:r>
              <w:rPr>
                <w:rFonts w:ascii="Times New Roman" w:hAnsi="Times New Roman"/>
                <w:sz w:val="20"/>
              </w:rPr>
              <w:t>Coffeyville</w:t>
            </w:r>
          </w:p>
        </w:tc>
        <w:tc>
          <w:tcPr>
            <w:tcW w:w="1872" w:type="dxa"/>
          </w:tcPr>
          <w:p w14:paraId="2A75327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2013</w:t>
            </w:r>
          </w:p>
        </w:tc>
        <w:tc>
          <w:tcPr>
            <w:tcW w:w="1872" w:type="dxa"/>
          </w:tcPr>
          <w:p w14:paraId="6D1D462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Kansas</w:t>
            </w:r>
          </w:p>
        </w:tc>
        <w:tc>
          <w:tcPr>
            <w:tcW w:w="1872" w:type="dxa"/>
          </w:tcPr>
          <w:p w14:paraId="171876D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Hydrogen and Ammonia (fertilizer)</w:t>
            </w:r>
          </w:p>
        </w:tc>
        <w:tc>
          <w:tcPr>
            <w:tcW w:w="1872" w:type="dxa"/>
          </w:tcPr>
          <w:p w14:paraId="2093227E"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0.9</w:t>
            </w:r>
          </w:p>
        </w:tc>
      </w:tr>
      <w:tr w:rsidR="00CA3124" w14:paraId="6E385F1B"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B7D6BAF" w14:textId="77777777" w:rsidR="00CA3124" w:rsidRDefault="00D91F10">
            <w:r>
              <w:rPr>
                <w:rFonts w:ascii="Times New Roman" w:hAnsi="Times New Roman"/>
                <w:sz w:val="20"/>
              </w:rPr>
              <w:t>Lost Cabin</w:t>
            </w:r>
          </w:p>
        </w:tc>
        <w:tc>
          <w:tcPr>
            <w:tcW w:w="1872" w:type="dxa"/>
          </w:tcPr>
          <w:p w14:paraId="5598EF57"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2013</w:t>
            </w:r>
          </w:p>
        </w:tc>
        <w:tc>
          <w:tcPr>
            <w:tcW w:w="1872" w:type="dxa"/>
          </w:tcPr>
          <w:p w14:paraId="6722C37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Wyoming</w:t>
            </w:r>
          </w:p>
        </w:tc>
        <w:tc>
          <w:tcPr>
            <w:tcW w:w="1872" w:type="dxa"/>
          </w:tcPr>
          <w:p w14:paraId="3BB22E9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Natural Gas Processing</w:t>
            </w:r>
          </w:p>
        </w:tc>
        <w:tc>
          <w:tcPr>
            <w:tcW w:w="1872" w:type="dxa"/>
          </w:tcPr>
          <w:p w14:paraId="3DB1EF5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w:t>
            </w:r>
          </w:p>
        </w:tc>
      </w:tr>
      <w:tr w:rsidR="00CA3124" w14:paraId="1AD0EC95"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3A581FA" w14:textId="77777777" w:rsidR="00CA3124" w:rsidRDefault="00D91F10">
            <w:r>
              <w:rPr>
                <w:rFonts w:ascii="Times New Roman" w:hAnsi="Times New Roman"/>
                <w:sz w:val="20"/>
              </w:rPr>
              <w:t>PCS Nitrogen</w:t>
            </w:r>
          </w:p>
        </w:tc>
        <w:tc>
          <w:tcPr>
            <w:tcW w:w="1872" w:type="dxa"/>
          </w:tcPr>
          <w:p w14:paraId="7F780E56"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2013</w:t>
            </w:r>
          </w:p>
        </w:tc>
        <w:tc>
          <w:tcPr>
            <w:tcW w:w="1872" w:type="dxa"/>
          </w:tcPr>
          <w:p w14:paraId="3BCAF420"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Louisiana</w:t>
            </w:r>
          </w:p>
        </w:tc>
        <w:tc>
          <w:tcPr>
            <w:tcW w:w="1872" w:type="dxa"/>
          </w:tcPr>
          <w:p w14:paraId="7404454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Ammonia (Fertilizer)</w:t>
            </w:r>
          </w:p>
        </w:tc>
        <w:tc>
          <w:tcPr>
            <w:tcW w:w="1872" w:type="dxa"/>
          </w:tcPr>
          <w:p w14:paraId="62E2332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0.3</w:t>
            </w:r>
          </w:p>
        </w:tc>
      </w:tr>
      <w:tr w:rsidR="00CA3124" w14:paraId="17EF9BE6"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C10D74F" w14:textId="77777777" w:rsidR="00CA3124" w:rsidRDefault="00D91F10">
            <w:r>
              <w:rPr>
                <w:rFonts w:ascii="Times New Roman" w:hAnsi="Times New Roman"/>
                <w:sz w:val="20"/>
              </w:rPr>
              <w:t>Petra Nova</w:t>
            </w:r>
          </w:p>
        </w:tc>
        <w:tc>
          <w:tcPr>
            <w:tcW w:w="1872" w:type="dxa"/>
          </w:tcPr>
          <w:p w14:paraId="0D20E0F9"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2017</w:t>
            </w:r>
          </w:p>
        </w:tc>
        <w:tc>
          <w:tcPr>
            <w:tcW w:w="1872" w:type="dxa"/>
          </w:tcPr>
          <w:p w14:paraId="416359D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Texas</w:t>
            </w:r>
          </w:p>
        </w:tc>
        <w:tc>
          <w:tcPr>
            <w:tcW w:w="1872" w:type="dxa"/>
          </w:tcPr>
          <w:p w14:paraId="1B798AF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Electric Power</w:t>
            </w:r>
          </w:p>
        </w:tc>
        <w:tc>
          <w:tcPr>
            <w:tcW w:w="1872" w:type="dxa"/>
          </w:tcPr>
          <w:p w14:paraId="20D49F4A"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1.4</w:t>
            </w:r>
          </w:p>
        </w:tc>
      </w:tr>
      <w:tr w:rsidR="00CA3124" w14:paraId="2B983432"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E3C7B01" w14:textId="77777777" w:rsidR="00CA3124" w:rsidRDefault="00D91F10">
            <w:r>
              <w:rPr>
                <w:rFonts w:ascii="Times New Roman" w:hAnsi="Times New Roman"/>
                <w:sz w:val="20"/>
              </w:rPr>
              <w:t>Illinois Industrial</w:t>
            </w:r>
          </w:p>
        </w:tc>
        <w:tc>
          <w:tcPr>
            <w:tcW w:w="1872" w:type="dxa"/>
          </w:tcPr>
          <w:p w14:paraId="5147B4E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2017</w:t>
            </w:r>
          </w:p>
        </w:tc>
        <w:tc>
          <w:tcPr>
            <w:tcW w:w="1872" w:type="dxa"/>
          </w:tcPr>
          <w:p w14:paraId="46F3A5B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Illinois</w:t>
            </w:r>
          </w:p>
        </w:tc>
        <w:tc>
          <w:tcPr>
            <w:tcW w:w="1872" w:type="dxa"/>
          </w:tcPr>
          <w:p w14:paraId="0C29F06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Ethanol</w:t>
            </w:r>
          </w:p>
        </w:tc>
        <w:tc>
          <w:tcPr>
            <w:tcW w:w="1872" w:type="dxa"/>
          </w:tcPr>
          <w:p w14:paraId="3FF81707"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1.0</w:t>
            </w:r>
          </w:p>
        </w:tc>
      </w:tr>
      <w:tr w:rsidR="00CA3124" w14:paraId="1476EFC9"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917350A" w14:textId="77777777" w:rsidR="00CA3124" w:rsidRDefault="00D91F10">
            <w:r>
              <w:rPr>
                <w:rFonts w:ascii="Times New Roman" w:hAnsi="Times New Roman"/>
                <w:sz w:val="20"/>
              </w:rPr>
              <w:t>Red Trail Energy</w:t>
            </w:r>
          </w:p>
        </w:tc>
        <w:tc>
          <w:tcPr>
            <w:tcW w:w="1872" w:type="dxa"/>
          </w:tcPr>
          <w:p w14:paraId="5A5A701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2022</w:t>
            </w:r>
          </w:p>
        </w:tc>
        <w:tc>
          <w:tcPr>
            <w:tcW w:w="1872" w:type="dxa"/>
          </w:tcPr>
          <w:p w14:paraId="5A89EED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North Dakota</w:t>
            </w:r>
          </w:p>
        </w:tc>
        <w:tc>
          <w:tcPr>
            <w:tcW w:w="1872" w:type="dxa"/>
          </w:tcPr>
          <w:p w14:paraId="789C0CC2"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Ethanol</w:t>
            </w:r>
          </w:p>
        </w:tc>
        <w:tc>
          <w:tcPr>
            <w:tcW w:w="1872" w:type="dxa"/>
          </w:tcPr>
          <w:p w14:paraId="15A27533"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0.2</w:t>
            </w:r>
          </w:p>
        </w:tc>
      </w:tr>
    </w:tbl>
    <w:p w14:paraId="31D9A5B9" w14:textId="77777777" w:rsidR="00CA3124" w:rsidRDefault="00CA3124"/>
    <w:p w14:paraId="05B76A6D" w14:textId="77777777" w:rsidR="00CA3124" w:rsidRDefault="00D91F10">
      <w:pPr>
        <w:spacing w:line="360" w:lineRule="auto"/>
        <w:jc w:val="both"/>
      </w:pPr>
      <w:r>
        <w:rPr>
          <w:rFonts w:ascii="Times New Roman" w:hAnsi="Times New Roman"/>
          <w:sz w:val="24"/>
        </w:rPr>
        <w:t>Natural gas processing facilities dominated existing carbon capture capacity, with Shute Creek in Wyoming representing the largest single facility at 7.0 million metric tons annual capacity (Office, 2023). Natural gas processing generates concentrated carbon dioxide streams during acid gas removal required to meet pipeline quality specifications, creating favorable economics for capture compared to dilute flue gas streams from combustion sources. Ethanol fermentation facilities, producing nearly pure carbon dioxide as stoichiometric byproduct of yeast metabolism, represented another major capture source with five facilities operating by 2022.</w:t>
      </w:r>
    </w:p>
    <w:p w14:paraId="687A7E42" w14:textId="77777777" w:rsidR="00CA3124" w:rsidRPr="006E14C1" w:rsidRDefault="00D91F10">
      <w:pPr>
        <w:pStyle w:val="Heading2"/>
        <w:rPr>
          <w:color w:val="auto"/>
        </w:rPr>
      </w:pPr>
      <w:r w:rsidRPr="006E14C1">
        <w:rPr>
          <w:rFonts w:ascii="Times New Roman" w:hAnsi="Times New Roman"/>
          <w:color w:val="auto"/>
        </w:rPr>
        <w:t>4.3 Comparative Results Summary</w:t>
      </w:r>
    </w:p>
    <w:p w14:paraId="3E4A9FB0" w14:textId="77777777" w:rsidR="00CA3124" w:rsidRDefault="00D91F10">
      <w:pPr>
        <w:spacing w:line="360" w:lineRule="auto"/>
        <w:jc w:val="both"/>
      </w:pPr>
      <w:r>
        <w:rPr>
          <w:rFonts w:ascii="Times New Roman" w:hAnsi="Times New Roman"/>
          <w:sz w:val="24"/>
        </w:rPr>
        <w:t>The following table synthesizes key differences and similarities across the two case studies, revealing how distinct technological pathways, operational scales, and deployment contexts produce varying outcomes across multiple dimensions while achieving shared sustainability and resilience objectives.</w:t>
      </w:r>
    </w:p>
    <w:p w14:paraId="4FDD0A7D" w14:textId="6B0F7C19" w:rsidR="00CA3124" w:rsidRDefault="00D91F10">
      <w:pPr>
        <w:spacing w:line="360" w:lineRule="auto"/>
        <w:jc w:val="both"/>
      </w:pPr>
      <w:r>
        <w:rPr>
          <w:rFonts w:ascii="Times New Roman" w:hAnsi="Times New Roman"/>
          <w:sz w:val="24"/>
        </w:rPr>
        <w:lastRenderedPageBreak/>
        <w:t xml:space="preserve">Table </w:t>
      </w:r>
      <w:r w:rsidR="004C0704">
        <w:rPr>
          <w:rFonts w:ascii="Times New Roman" w:hAnsi="Times New Roman"/>
          <w:sz w:val="24"/>
        </w:rPr>
        <w:t>4.</w:t>
      </w:r>
      <w:r>
        <w:rPr>
          <w:rFonts w:ascii="Times New Roman" w:hAnsi="Times New Roman"/>
          <w:sz w:val="24"/>
        </w:rPr>
        <w:t xml:space="preserve"> Comparative Analysis of Michigan State University's Anaerobic Digester and Twelve's Sustainable Aviation Fuel Production</w:t>
      </w:r>
    </w:p>
    <w:p w14:paraId="6DE8384C" w14:textId="77777777" w:rsidR="00CA3124" w:rsidRDefault="00CA3124"/>
    <w:tbl>
      <w:tblPr>
        <w:tblStyle w:val="LightGrid-Accent1"/>
        <w:tblW w:w="0" w:type="auto"/>
        <w:tblLook w:val="04A0" w:firstRow="1" w:lastRow="0" w:firstColumn="1" w:lastColumn="0" w:noHBand="0" w:noVBand="1"/>
      </w:tblPr>
      <w:tblGrid>
        <w:gridCol w:w="3120"/>
        <w:gridCol w:w="3120"/>
        <w:gridCol w:w="3120"/>
      </w:tblGrid>
      <w:tr w:rsidR="00CA3124" w14:paraId="2DEFFC9E" w14:textId="77777777" w:rsidTr="00CA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0C4A21E" w14:textId="77777777" w:rsidR="00CA3124" w:rsidRDefault="00D91F10">
            <w:r>
              <w:rPr>
                <w:rFonts w:ascii="Times New Roman" w:hAnsi="Times New Roman"/>
                <w:sz w:val="20"/>
              </w:rPr>
              <w:t>Dimension</w:t>
            </w:r>
          </w:p>
        </w:tc>
        <w:tc>
          <w:tcPr>
            <w:tcW w:w="3120" w:type="dxa"/>
          </w:tcPr>
          <w:p w14:paraId="128BF899"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MSU Anaerobic Digester</w:t>
            </w:r>
          </w:p>
        </w:tc>
        <w:tc>
          <w:tcPr>
            <w:tcW w:w="3120" w:type="dxa"/>
          </w:tcPr>
          <w:p w14:paraId="1ECCB2B1" w14:textId="77777777" w:rsidR="00CA3124" w:rsidRDefault="00D91F10">
            <w:pPr>
              <w:cnfStyle w:val="100000000000" w:firstRow="1" w:lastRow="0" w:firstColumn="0" w:lastColumn="0" w:oddVBand="0" w:evenVBand="0" w:oddHBand="0" w:evenHBand="0" w:firstRowFirstColumn="0" w:firstRowLastColumn="0" w:lastRowFirstColumn="0" w:lastRowLastColumn="0"/>
            </w:pPr>
            <w:r>
              <w:rPr>
                <w:rFonts w:ascii="Times New Roman" w:hAnsi="Times New Roman"/>
                <w:sz w:val="20"/>
              </w:rPr>
              <w:t>Twelve SAF Production</w:t>
            </w:r>
          </w:p>
        </w:tc>
      </w:tr>
      <w:tr w:rsidR="00CA3124" w14:paraId="3F7AA7E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ABB0017" w14:textId="77777777" w:rsidR="00CA3124" w:rsidRDefault="00D91F10">
            <w:r>
              <w:rPr>
                <w:rFonts w:ascii="Times New Roman" w:hAnsi="Times New Roman"/>
                <w:sz w:val="20"/>
              </w:rPr>
              <w:t>Primary Feedstock</w:t>
            </w:r>
          </w:p>
        </w:tc>
        <w:tc>
          <w:tcPr>
            <w:tcW w:w="3120" w:type="dxa"/>
          </w:tcPr>
          <w:p w14:paraId="22FF6DE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Organic waste: dairy manure (52%), fats/oils/grease (23%), milk processing waste (22%), food waste (3%)</w:t>
            </w:r>
          </w:p>
        </w:tc>
        <w:tc>
          <w:tcPr>
            <w:tcW w:w="3120" w:type="dxa"/>
          </w:tcPr>
          <w:p w14:paraId="3C2701BE"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Industrial CO₂ emissions from ethanol refineries, pulp/paper mills, potential direct air capture</w:t>
            </w:r>
          </w:p>
        </w:tc>
      </w:tr>
      <w:tr w:rsidR="00CA3124" w14:paraId="33C6A003"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F88D0AA" w14:textId="77777777" w:rsidR="00CA3124" w:rsidRDefault="00D91F10">
            <w:r>
              <w:rPr>
                <w:rFonts w:ascii="Times New Roman" w:hAnsi="Times New Roman"/>
                <w:sz w:val="20"/>
              </w:rPr>
              <w:t>Conversion Technology</w:t>
            </w:r>
          </w:p>
        </w:tc>
        <w:tc>
          <w:tcPr>
            <w:tcW w:w="3120" w:type="dxa"/>
          </w:tcPr>
          <w:p w14:paraId="1EB9F1F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Mesophilic anaerobic digestion producing biogas for combined heat and power</w:t>
            </w:r>
          </w:p>
        </w:tc>
        <w:tc>
          <w:tcPr>
            <w:tcW w:w="3120" w:type="dxa"/>
          </w:tcPr>
          <w:p w14:paraId="5E851D6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Electrochemical CO₂ reduction plus Fischer-Tropsch synthesis producing liquid jet fuel</w:t>
            </w:r>
          </w:p>
        </w:tc>
      </w:tr>
      <w:tr w:rsidR="00CA3124" w14:paraId="2EF3AFD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5F55C85" w14:textId="77777777" w:rsidR="00CA3124" w:rsidRDefault="00D91F10">
            <w:r>
              <w:rPr>
                <w:rFonts w:ascii="Times New Roman" w:hAnsi="Times New Roman"/>
                <w:sz w:val="20"/>
              </w:rPr>
              <w:t>Energy Output</w:t>
            </w:r>
          </w:p>
        </w:tc>
        <w:tc>
          <w:tcPr>
            <w:tcW w:w="3120" w:type="dxa"/>
          </w:tcPr>
          <w:p w14:paraId="10EB3475"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300-500 kW electricity, process heat for digester</w:t>
            </w:r>
          </w:p>
        </w:tc>
        <w:tc>
          <w:tcPr>
            <w:tcW w:w="3120" w:type="dxa"/>
          </w:tcPr>
          <w:p w14:paraId="2A4833B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40,000 gallons SAF annually, planned expansion to 400,000 gallons</w:t>
            </w:r>
          </w:p>
        </w:tc>
      </w:tr>
      <w:tr w:rsidR="00CA3124" w14:paraId="5246A0C5"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5ADC131" w14:textId="77777777" w:rsidR="00CA3124" w:rsidRDefault="00D91F10">
            <w:r>
              <w:rPr>
                <w:rFonts w:ascii="Times New Roman" w:hAnsi="Times New Roman"/>
                <w:sz w:val="20"/>
              </w:rPr>
              <w:t>Primary Energy Source</w:t>
            </w:r>
          </w:p>
        </w:tc>
        <w:tc>
          <w:tcPr>
            <w:tcW w:w="3120" w:type="dxa"/>
          </w:tcPr>
          <w:p w14:paraId="05D958D5"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Biological conversion (microbial metabolism)</w:t>
            </w:r>
          </w:p>
        </w:tc>
        <w:tc>
          <w:tcPr>
            <w:tcW w:w="3120" w:type="dxa"/>
          </w:tcPr>
          <w:p w14:paraId="7E31A9A8"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Renewable hydroelectricity from Columbia River dams</w:t>
            </w:r>
          </w:p>
        </w:tc>
      </w:tr>
      <w:tr w:rsidR="00CA3124" w14:paraId="3F775B7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A928074" w14:textId="77777777" w:rsidR="00CA3124" w:rsidRDefault="00D91F10">
            <w:r>
              <w:rPr>
                <w:rFonts w:ascii="Times New Roman" w:hAnsi="Times New Roman"/>
                <w:sz w:val="20"/>
              </w:rPr>
              <w:t>Scale Classification</w:t>
            </w:r>
          </w:p>
        </w:tc>
        <w:tc>
          <w:tcPr>
            <w:tcW w:w="3120" w:type="dxa"/>
          </w:tcPr>
          <w:p w14:paraId="6156C8A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Institutional (university campus)</w:t>
            </w:r>
          </w:p>
        </w:tc>
        <w:tc>
          <w:tcPr>
            <w:tcW w:w="3120" w:type="dxa"/>
          </w:tcPr>
          <w:p w14:paraId="595C280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Commercial-industrial (first-of-kind)</w:t>
            </w:r>
          </w:p>
        </w:tc>
      </w:tr>
      <w:tr w:rsidR="00CA3124" w14:paraId="14212DDD"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0FCF1C5" w14:textId="77777777" w:rsidR="00CA3124" w:rsidRDefault="00D91F10">
            <w:r>
              <w:rPr>
                <w:rFonts w:ascii="Times New Roman" w:hAnsi="Times New Roman"/>
                <w:sz w:val="20"/>
              </w:rPr>
              <w:t>Operational Since</w:t>
            </w:r>
          </w:p>
        </w:tc>
        <w:tc>
          <w:tcPr>
            <w:tcW w:w="3120" w:type="dxa"/>
          </w:tcPr>
          <w:p w14:paraId="62D3F0F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2013 (11 years of data)</w:t>
            </w:r>
          </w:p>
        </w:tc>
        <w:tc>
          <w:tcPr>
            <w:tcW w:w="3120" w:type="dxa"/>
          </w:tcPr>
          <w:p w14:paraId="77D07B90"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2024 (initial commissioning)</w:t>
            </w:r>
          </w:p>
        </w:tc>
      </w:tr>
      <w:tr w:rsidR="00CA3124" w14:paraId="0F2C083C"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7E93626" w14:textId="77777777" w:rsidR="00CA3124" w:rsidRDefault="00D91F10">
            <w:r>
              <w:rPr>
                <w:rFonts w:ascii="Times New Roman" w:hAnsi="Times New Roman"/>
                <w:sz w:val="20"/>
              </w:rPr>
              <w:t>Capital Investment</w:t>
            </w:r>
          </w:p>
        </w:tc>
        <w:tc>
          <w:tcPr>
            <w:tcW w:w="3120" w:type="dxa"/>
          </w:tcPr>
          <w:p w14:paraId="28CF38D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$5.5-6.0 million (2013 dollars)</w:t>
            </w:r>
          </w:p>
        </w:tc>
        <w:tc>
          <w:tcPr>
            <w:tcW w:w="3120" w:type="dxa"/>
          </w:tcPr>
          <w:p w14:paraId="30C4F65D"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$50-70 million estimated</w:t>
            </w:r>
          </w:p>
        </w:tc>
      </w:tr>
      <w:tr w:rsidR="00CA3124" w14:paraId="321188B7"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7448CFC" w14:textId="77777777" w:rsidR="00CA3124" w:rsidRDefault="00D91F10">
            <w:r>
              <w:rPr>
                <w:rFonts w:ascii="Times New Roman" w:hAnsi="Times New Roman"/>
                <w:sz w:val="20"/>
              </w:rPr>
              <w:t>Capital Intensity</w:t>
            </w:r>
          </w:p>
        </w:tc>
        <w:tc>
          <w:tcPr>
            <w:tcW w:w="3120" w:type="dxa"/>
          </w:tcPr>
          <w:p w14:paraId="0BE17951"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$15,000-18,000 per kW</w:t>
            </w:r>
          </w:p>
        </w:tc>
        <w:tc>
          <w:tcPr>
            <w:tcW w:w="3120" w:type="dxa"/>
          </w:tcPr>
          <w:p w14:paraId="63F7BCC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Substantially higher per unit output due to emerging technology</w:t>
            </w:r>
          </w:p>
        </w:tc>
      </w:tr>
      <w:tr w:rsidR="00CA3124" w14:paraId="00D292C3"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5B6A254" w14:textId="77777777" w:rsidR="00CA3124" w:rsidRDefault="00D91F10">
            <w:r>
              <w:rPr>
                <w:rFonts w:ascii="Times New Roman" w:hAnsi="Times New Roman"/>
                <w:sz w:val="20"/>
              </w:rPr>
              <w:t>GHG Emission Reduction</w:t>
            </w:r>
          </w:p>
        </w:tc>
        <w:tc>
          <w:tcPr>
            <w:tcW w:w="3120" w:type="dxa"/>
          </w:tcPr>
          <w:p w14:paraId="2A7E6628"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3,000-3,500 tonnes CO₂-eq annually (prevented methane + displaced electricity)</w:t>
            </w:r>
          </w:p>
        </w:tc>
        <w:tc>
          <w:tcPr>
            <w:tcW w:w="3120" w:type="dxa"/>
          </w:tcPr>
          <w:p w14:paraId="4E21C6C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80-90% reduction vs. conventional jet fuel (10-20 g CO₂-eq/MJ vs. 85-95 g/MJ)</w:t>
            </w:r>
          </w:p>
        </w:tc>
      </w:tr>
      <w:tr w:rsidR="00CA3124" w14:paraId="74A4F09E"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955029B" w14:textId="77777777" w:rsidR="00CA3124" w:rsidRDefault="00D91F10">
            <w:r>
              <w:rPr>
                <w:rFonts w:ascii="Times New Roman" w:hAnsi="Times New Roman"/>
                <w:sz w:val="20"/>
              </w:rPr>
              <w:t>Waste Diversion</w:t>
            </w:r>
          </w:p>
        </w:tc>
        <w:tc>
          <w:tcPr>
            <w:tcW w:w="3120" w:type="dxa"/>
          </w:tcPr>
          <w:p w14:paraId="3D51BDE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20,000-23,000 tonnes organic waste annually</w:t>
            </w:r>
          </w:p>
        </w:tc>
        <w:tc>
          <w:tcPr>
            <w:tcW w:w="3120" w:type="dxa"/>
          </w:tcPr>
          <w:p w14:paraId="03EEA10C"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Not applicable (uses industrial emissions, not solid waste)</w:t>
            </w:r>
          </w:p>
        </w:tc>
      </w:tr>
      <w:tr w:rsidR="00CA3124" w14:paraId="0860FC07"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6AFE47E" w14:textId="77777777" w:rsidR="00CA3124" w:rsidRDefault="00D91F10">
            <w:r>
              <w:rPr>
                <w:rFonts w:ascii="Times New Roman" w:hAnsi="Times New Roman"/>
                <w:sz w:val="20"/>
              </w:rPr>
              <w:t>Co-Product</w:t>
            </w:r>
          </w:p>
        </w:tc>
        <w:tc>
          <w:tcPr>
            <w:tcW w:w="3120" w:type="dxa"/>
          </w:tcPr>
          <w:p w14:paraId="54DDA2CB"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Digestate (18,000-20,000 tonnes annually) as agricultural fertilizer</w:t>
            </w:r>
          </w:p>
        </w:tc>
        <w:tc>
          <w:tcPr>
            <w:tcW w:w="3120" w:type="dxa"/>
          </w:tcPr>
          <w:p w14:paraId="55BB2AAC"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Oxygen from electrolysis (potential commercial value)</w:t>
            </w:r>
          </w:p>
        </w:tc>
      </w:tr>
      <w:tr w:rsidR="00CA3124" w14:paraId="0FDD0907"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BB14F78" w14:textId="77777777" w:rsidR="00CA3124" w:rsidRDefault="00D91F10">
            <w:r>
              <w:rPr>
                <w:rFonts w:ascii="Times New Roman" w:hAnsi="Times New Roman"/>
                <w:sz w:val="20"/>
              </w:rPr>
              <w:t>Revenue Streams</w:t>
            </w:r>
          </w:p>
        </w:tc>
        <w:tc>
          <w:tcPr>
            <w:tcW w:w="3120" w:type="dxa"/>
          </w:tcPr>
          <w:p w14:paraId="2C42678A"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Tipping fees, electricity sales, digestate sales, avoided disposal costs</w:t>
            </w:r>
          </w:p>
        </w:tc>
        <w:tc>
          <w:tcPr>
            <w:tcW w:w="3120" w:type="dxa"/>
          </w:tcPr>
          <w:p w14:paraId="0A8AF4C6"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Premium fuel sales, LCFS credits, SAF tax credits, corporate offtake agreements</w:t>
            </w:r>
          </w:p>
        </w:tc>
      </w:tr>
      <w:tr w:rsidR="00CA3124" w14:paraId="52420747"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DB014C1" w14:textId="77777777" w:rsidR="00CA3124" w:rsidRDefault="00D91F10">
            <w:r>
              <w:rPr>
                <w:rFonts w:ascii="Times New Roman" w:hAnsi="Times New Roman"/>
                <w:sz w:val="20"/>
              </w:rPr>
              <w:t>Economic Payback</w:t>
            </w:r>
          </w:p>
        </w:tc>
        <w:tc>
          <w:tcPr>
            <w:tcW w:w="3120" w:type="dxa"/>
          </w:tcPr>
          <w:p w14:paraId="57190754"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18-30 years (simple); 11-20 years (with grants)</w:t>
            </w:r>
          </w:p>
        </w:tc>
        <w:tc>
          <w:tcPr>
            <w:tcW w:w="3120" w:type="dxa"/>
          </w:tcPr>
          <w:p w14:paraId="763B0BD6"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To be determined; heavily dependent on policy support and credit values</w:t>
            </w:r>
          </w:p>
        </w:tc>
      </w:tr>
      <w:tr w:rsidR="00CA3124" w14:paraId="53E19C26"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A1E166B" w14:textId="77777777" w:rsidR="00CA3124" w:rsidRDefault="00D91F10">
            <w:r>
              <w:rPr>
                <w:rFonts w:ascii="Times New Roman" w:hAnsi="Times New Roman"/>
                <w:sz w:val="20"/>
              </w:rPr>
              <w:t>Primary Market</w:t>
            </w:r>
          </w:p>
        </w:tc>
        <w:tc>
          <w:tcPr>
            <w:tcW w:w="3120" w:type="dxa"/>
          </w:tcPr>
          <w:p w14:paraId="7F4EE8B9"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Campus electricity demand, local agricultural fertilizer</w:t>
            </w:r>
          </w:p>
        </w:tc>
        <w:tc>
          <w:tcPr>
            <w:tcW w:w="3120" w:type="dxa"/>
          </w:tcPr>
          <w:p w14:paraId="114309F4"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Aviation industry, corporate sustainability commitments</w:t>
            </w:r>
          </w:p>
        </w:tc>
      </w:tr>
      <w:tr w:rsidR="00CA3124" w14:paraId="6FF601EA"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13034BA" w14:textId="77777777" w:rsidR="00CA3124" w:rsidRDefault="00D91F10">
            <w:r>
              <w:rPr>
                <w:rFonts w:ascii="Times New Roman" w:hAnsi="Times New Roman"/>
                <w:sz w:val="20"/>
              </w:rPr>
              <w:t>Policy Support</w:t>
            </w:r>
          </w:p>
        </w:tc>
        <w:tc>
          <w:tcPr>
            <w:tcW w:w="3120" w:type="dxa"/>
          </w:tcPr>
          <w:p w14:paraId="01636BA9"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State renewable energy incentives, waste diversion mandates</w:t>
            </w:r>
          </w:p>
        </w:tc>
        <w:tc>
          <w:tcPr>
            <w:tcW w:w="3120" w:type="dxa"/>
          </w:tcPr>
          <w:p w14:paraId="5E25ECB0"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LCFS credits, federal SAF tax credits, state clean fuel standards</w:t>
            </w:r>
          </w:p>
        </w:tc>
      </w:tr>
      <w:tr w:rsidR="00CA3124" w14:paraId="5B0FA9DA"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BB45B7A" w14:textId="77777777" w:rsidR="00CA3124" w:rsidRDefault="00D91F10">
            <w:r>
              <w:rPr>
                <w:rFonts w:ascii="Times New Roman" w:hAnsi="Times New Roman"/>
                <w:sz w:val="20"/>
              </w:rPr>
              <w:t>Educational Role</w:t>
            </w:r>
          </w:p>
        </w:tc>
        <w:tc>
          <w:tcPr>
            <w:tcW w:w="3120" w:type="dxa"/>
          </w:tcPr>
          <w:p w14:paraId="61263FB2"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Living laboratory: 500-1,000 students annually, graduate research, K-12 tours</w:t>
            </w:r>
          </w:p>
        </w:tc>
        <w:tc>
          <w:tcPr>
            <w:tcW w:w="3120" w:type="dxa"/>
          </w:tcPr>
          <w:p w14:paraId="13666A7B"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Technology demonstration, industry workforce development potential</w:t>
            </w:r>
          </w:p>
        </w:tc>
      </w:tr>
      <w:tr w:rsidR="00CA3124" w14:paraId="2C85DA38" w14:textId="77777777" w:rsidTr="00CA3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F400BE" w14:textId="77777777" w:rsidR="00CA3124" w:rsidRDefault="00D91F10">
            <w:r>
              <w:rPr>
                <w:rFonts w:ascii="Times New Roman" w:hAnsi="Times New Roman"/>
                <w:sz w:val="20"/>
              </w:rPr>
              <w:t>Technology Maturity</w:t>
            </w:r>
          </w:p>
        </w:tc>
        <w:tc>
          <w:tcPr>
            <w:tcW w:w="3120" w:type="dxa"/>
          </w:tcPr>
          <w:p w14:paraId="65CD25C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Established (anaerobic digestion widely deployed globally)</w:t>
            </w:r>
          </w:p>
        </w:tc>
        <w:tc>
          <w:tcPr>
            <w:tcW w:w="3120" w:type="dxa"/>
          </w:tcPr>
          <w:p w14:paraId="0A2E47D1" w14:textId="77777777" w:rsidR="00CA3124" w:rsidRDefault="00D91F10">
            <w:pPr>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Emerging (first commercial electrochemical CO₂-to-SAF)</w:t>
            </w:r>
          </w:p>
        </w:tc>
      </w:tr>
      <w:tr w:rsidR="00CA3124" w14:paraId="1D1B1921" w14:textId="77777777" w:rsidTr="00CA31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6116026" w14:textId="77777777" w:rsidR="00CA3124" w:rsidRDefault="00D91F10">
            <w:r>
              <w:rPr>
                <w:rFonts w:ascii="Times New Roman" w:hAnsi="Times New Roman"/>
                <w:sz w:val="20"/>
              </w:rPr>
              <w:t>Key Challenge</w:t>
            </w:r>
          </w:p>
        </w:tc>
        <w:tc>
          <w:tcPr>
            <w:tcW w:w="3120" w:type="dxa"/>
          </w:tcPr>
          <w:p w14:paraId="03A2686D"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Feedstock contamination, process stability, energy price volatility</w:t>
            </w:r>
          </w:p>
        </w:tc>
        <w:tc>
          <w:tcPr>
            <w:tcW w:w="3120" w:type="dxa"/>
          </w:tcPr>
          <w:p w14:paraId="088CD02E" w14:textId="77777777" w:rsidR="00CA3124" w:rsidRDefault="00D91F10">
            <w:pPr>
              <w:cnfStyle w:val="000000010000" w:firstRow="0" w:lastRow="0" w:firstColumn="0" w:lastColumn="0" w:oddVBand="0" w:evenVBand="0" w:oddHBand="0" w:evenHBand="1" w:firstRowFirstColumn="0" w:firstRowLastColumn="0" w:lastRowFirstColumn="0" w:lastRowLastColumn="0"/>
            </w:pPr>
            <w:r>
              <w:rPr>
                <w:rFonts w:ascii="Times New Roman" w:hAnsi="Times New Roman"/>
                <w:sz w:val="20"/>
              </w:rPr>
              <w:t>High capital costs, scale-up risks, long-term policy certainty</w:t>
            </w:r>
          </w:p>
        </w:tc>
      </w:tr>
    </w:tbl>
    <w:p w14:paraId="339FC51B" w14:textId="77777777" w:rsidR="00CA3124" w:rsidRDefault="00CA3124"/>
    <w:p w14:paraId="0DF5B3DA" w14:textId="77777777" w:rsidR="00F14AAB" w:rsidRDefault="00F14AAB">
      <w:pPr>
        <w:pStyle w:val="Heading1"/>
      </w:pPr>
    </w:p>
    <w:p w14:paraId="393AB167" w14:textId="77777777" w:rsidR="00F14AAB" w:rsidRPr="006E14C1" w:rsidRDefault="00F14AAB" w:rsidP="00F14AAB">
      <w:pPr>
        <w:pStyle w:val="Heading1"/>
        <w:rPr>
          <w:color w:val="auto"/>
        </w:rPr>
      </w:pPr>
      <w:r w:rsidRPr="006E14C1">
        <w:rPr>
          <w:color w:val="auto"/>
        </w:rPr>
        <w:t>5. DISCUSSION</w:t>
      </w:r>
    </w:p>
    <w:p w14:paraId="1BB49596"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5.1 Comparative Analysis of Biogas and CO₂-Based Renewable Fuel Pathways</w:t>
      </w:r>
    </w:p>
    <w:p w14:paraId="79DB54CF"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two case studies examined in this research represent fundamentally different approaches to renewable fuel production, yet both demonstrate significant potential for contributing to sustainable energy transitions. Michigan State University's anaerobic digester exemplifies the maturity of biogas technology, leveraging decades of research and development to create a reliable, institutionally-scaled system that addresses multiple sustainability objectives simultaneously. In contrast, Twelve Technologies' electrochemical CO₂-to-fuel facility represents an emerging technological frontier, demonstrating how recent advances in catalysis, electro chemistry, and renewable energy integration can transform industrial emissions into high-value transportation fuels.</w:t>
      </w:r>
    </w:p>
    <w:p w14:paraId="6E5187AD"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biogas pathway offers several distinct advantages that explain its relatively widespread adoption. The technology builds upon well-established microbiological processes, requires moderate capital investment compared to novel conversion technologies, and generates multiple valuable outputs including renewable energy, agricultural fertilizer, and waste management services. The Michigan State University facility demonstrates these benefits concretely, processing diverse organic feedstocks that would otherwise require disposal, generating reliable baseload electricity for campus operations, and producing digestate that displaces synthetic fertilizers in agricultural applications. The facility's educational mission further amplifies its value proposition, training future practitioners and raising public awareness about renewable energy opportunities.</w:t>
      </w:r>
    </w:p>
    <w:p w14:paraId="48CEE910"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However, biogas systems face inherent constraints limiting their scalability and applicability. Feedstock availability concentrates near agricultural operations, food processing facilities, and wastewater treatment plants, creating geographic limitations on deployment. Process biology imposes operational boundaries regarding temperature, pH, retention time, and feedstock composition that require careful management to maintain stable performance. The Michigan State University experience revealed challenges with feedstock contamination, seasonal availability variations, and the need for skilled operators capable of responding to process upsets. Economic viability depends critically on local conditions including waste disposal costs, electricity prices, and availability of digestate markets, creating site-specific uncertainty that complicates project replication.</w:t>
      </w:r>
    </w:p>
    <w:p w14:paraId="44CFF656"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lastRenderedPageBreak/>
        <w:t>5.2 Technological Maturity and Scalability Considerations</w:t>
      </w:r>
    </w:p>
    <w:p w14:paraId="792A0DD1"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technological maturity differential between the two pathways profoundly influences their current deployment potential and future trajectories. Anaerobic digestion represents a commercially mature technology with thousands of installations globally, established equipment supply chains, standardized design practices, and extensive operational experience. This maturity translates into lower technical risk, more predictable performance, and greater confidence in economic projections. Conversely, electrochemical CO₂ reduction to liquid fuels remains at commercial demonstration scale, with Twelve Technologies operating among the first facilities translating laboratory discoveries into industrial reality. This pioneering status brings both opportunities and challenges.</w:t>
      </w:r>
    </w:p>
    <w:p w14:paraId="5D60FD31"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Emerging technologies face inherent risks including unexpected technical problems, longer-than-anticipated learning curves, and potential discovery of fundamental limitations only apparent at scale. However, they also offer steeper cost reduction trajectories as manufacturing scales up, design optimizes, and operational experience accumulates. The renewable energy sector has witnessed dramatic cost declines in wind and solar photovoltaic technologies as they matured from niche applications to mainstream energy sources. Whether CO₂-to-fuel conversion can replicate these cost reduction curves depends on factors including catalyst improvements, manufacturing scale effects, and integration efficiencies that remain uncertain.</w:t>
      </w:r>
    </w:p>
    <w:p w14:paraId="6CDE1ACA"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5.3 Environmental Performance and Climate Mitigation Potential</w:t>
      </w:r>
    </w:p>
    <w:p w14:paraId="1FB696FE"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 xml:space="preserve">Both systems achieve substantial greenhouse gas emission reductions relative to conventional fossil fuel baseline systems, though through different mechanisms and with varying magnitudes. Biogas systems prevent methane emissions from uncontrolled organic waste decomposition while displacing fossil fuel consumption in electricity and heat generation. The Michigan State University digester achieves estimated emission reductions of 3,000 to 3,500 </w:t>
      </w:r>
      <w:proofErr w:type="spellStart"/>
      <w:r w:rsidRPr="00F14AAB">
        <w:rPr>
          <w:rFonts w:ascii="Times New Roman" w:hAnsi="Times New Roman" w:cs="Times New Roman"/>
          <w:b w:val="0"/>
          <w:bCs w:val="0"/>
          <w:color w:val="auto"/>
          <w:sz w:val="24"/>
          <w:szCs w:val="24"/>
        </w:rPr>
        <w:t>tonnes</w:t>
      </w:r>
      <w:proofErr w:type="spellEnd"/>
      <w:r w:rsidRPr="00F14AAB">
        <w:rPr>
          <w:rFonts w:ascii="Times New Roman" w:hAnsi="Times New Roman" w:cs="Times New Roman"/>
          <w:b w:val="0"/>
          <w:bCs w:val="0"/>
          <w:color w:val="auto"/>
          <w:sz w:val="24"/>
          <w:szCs w:val="24"/>
        </w:rPr>
        <w:t xml:space="preserve"> CO₂-equivalent annually, primarily through avoided methane release from dairy manure and food waste. This represents meaningful climate mitigation at institutional scale, though modest compared to total university emissions or regional energy consumption.</w:t>
      </w:r>
    </w:p>
    <w:p w14:paraId="3ACB5F6C"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lastRenderedPageBreak/>
        <w:t>Twelve Technologies' sustainable aviation fuel production potentially achieves higher emission reduction intensity, with lifecycle assessments indicating up to 90% greenhouse gas reduction compared to conventional jet fuel when powered by renewable electricity. This superior carbon performance reflects both the elimination of fossil fuel extraction and combustion emissions and the utilization of captured CO₂ that would otherwise enter the atmosphere. However, achieving these theoretical maxima requires renewable electricity supply, efficient carbon capture, and optimized conversion processes that may prove challenging to maintain consistently in commercial operations.</w:t>
      </w:r>
    </w:p>
    <w:p w14:paraId="27188136"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The aviation application context further amplifies climate mitigation potential given the sector's reliance on liquid hydrocarbon fuels and difficulty transitioning to alternative energy carriers like electricity or hydrogen. Aviation currently accounts for approximately 2-3% of global CO₂ emissions but lacks viable pathways to deep decarbonization without fundamental changes in fuel chemistry. Sustainable aviation fuel production from captured CO₂ therefore addresses a critical gap in climate mitigation strategies, potentially enabling continued aviation sector operation while substantially reducing climate impact.</w:t>
      </w:r>
    </w:p>
    <w:p w14:paraId="7221B953"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5.4 Economic Viability and Policy Support Requirements</w:t>
      </w:r>
    </w:p>
    <w:p w14:paraId="12CF94A6"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Economic analysis reveals that both renewable fuel pathways face challenges competing with established fossil fuel infrastructure in absence of supportive policy frameworks. The Michigan State University digester achieved payback periods of 18 to 30 years under conservative assumptions, improving to 11 to 20 years with grant funding that reduced net capital requirements. These timelines exceed typical institutional investment horizons and compare unfavorably to alternative sustainability investments offering shorter paybacks. However, the comprehensive value proposition including waste management, educational benefits, and environmental stewardship justifies the investment within the university's sustainability mission even absent pure economic optimization.</w:t>
      </w:r>
    </w:p>
    <w:p w14:paraId="40866292"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Twelve Technologies' economic model depends even more critically on policy support mechanisms including low carbon fuel standards, production tax credits, and voluntary corporate commitments to sustainable aviation fuel procurement. These policies create premium markets for low-carbon fuels, bridging the cost gap between sustainable alternatives and conventional petroleum products. California's Low Carbon Fuel Standard provides precedent, generating credit values that have supported renewable fuel commercialization including early sustainable aviation fuel production. However, policy durability remains uncertain given political dynamics and competing priorities, creating investment risk that may slow technology deployment.</w:t>
      </w:r>
    </w:p>
    <w:p w14:paraId="7E8052B4"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lastRenderedPageBreak/>
        <w:t>The economic challenge reflects fundamental asymmetries between emerging renewable technologies and incumbent fossil fuel systems. Conventional fuels benefit from decades of infrastructure investment, supply chain optimization, and operational learning that have driven costs to minimal levels. Renewable alternatives must overcome initial cost disadvantages while establishing new supply chains, training workforces, and developing markets. Policy intervention provides essential bridge support during this transition period, enabling technologies to achieve sufficient scale and learning to become cost-competitive independently.</w:t>
      </w:r>
    </w:p>
    <w:p w14:paraId="1BF1B12A"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5.5 Resilience Assessment Through the 4Rs Framework</w:t>
      </w:r>
    </w:p>
    <w:p w14:paraId="22264FC8"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Application of the 4Rs resilience framework reveals important distinctions in how these systems respond to disruptions and adapt to changing conditions. Both demonstrate robustness through engineered redundancy, protective systems, and operational margins, though manifested differently. The biogas facility maintains process stability through buffering capacity in digester volume, temperature control systems, and feedstock blending that dampens composition variations. The electrochemical facility achieves robustness through modular reactor design, quality control in catalyst production, and integration with reliable hydroelectric power supply.</w:t>
      </w:r>
    </w:p>
    <w:p w14:paraId="32CF75FC"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Redundancy appears more prominently in the biogas system through feedstock diversity enabling continued operation despite disruption to any single supply stream. The Michigan State University digester processed five distinct feedstock categories by 2016, with ability to adjust proportions based on seasonal availability and supply reliability. The electrochemical system operates with more concentrated feedstock dependency, sourcing CO₂ from industrial point emitters whose production may fluctuate with economic conditions. However, distributed deployment across multiple facilities could provide portfolio-level redundancy not evident in single-facility analysis.</w:t>
      </w:r>
    </w:p>
    <w:p w14:paraId="5BEE2594"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 xml:space="preserve">Resourcefulness manifests in organizational capabilities and external networks enabling adaptive responses to challenges. The university digester benefits from access to faculty expertise, student participation in troubleshooting, and connections to agricultural extension services providing guidance on digestate management. These resources proved valuable when addressing feedstock contamination issues and optimizing co-digestion ratios. Twelve Technologies demonstrates resourcefulness through proprietary catalyst expertise, partnerships with technology providers, and relationships with potential fuel </w:t>
      </w:r>
      <w:proofErr w:type="spellStart"/>
      <w:r w:rsidRPr="00F14AAB">
        <w:rPr>
          <w:rFonts w:ascii="Times New Roman" w:hAnsi="Times New Roman" w:cs="Times New Roman"/>
          <w:b w:val="0"/>
          <w:bCs w:val="0"/>
          <w:color w:val="auto"/>
          <w:sz w:val="24"/>
          <w:szCs w:val="24"/>
        </w:rPr>
        <w:t>offtakers</w:t>
      </w:r>
      <w:proofErr w:type="spellEnd"/>
      <w:r w:rsidRPr="00F14AAB">
        <w:rPr>
          <w:rFonts w:ascii="Times New Roman" w:hAnsi="Times New Roman" w:cs="Times New Roman"/>
          <w:b w:val="0"/>
          <w:bCs w:val="0"/>
          <w:color w:val="auto"/>
          <w:sz w:val="24"/>
          <w:szCs w:val="24"/>
        </w:rPr>
        <w:t xml:space="preserve"> willing to support technology development through volume commitments.</w:t>
      </w:r>
    </w:p>
    <w:p w14:paraId="5A248138"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lastRenderedPageBreak/>
        <w:t>Rapidity of recovery following disruptions depends on spare parts availability, workforce skills, and operational flexibility. The biogas system benefits from standardized equipment with established supply chains, though biological process recovery following severe upsets may require weeks for microbial populations to reestablish optimal activity. The electrochemical system's modular design potentially enables rapid replacement of failed reactor units, though catalyst degradation or contamination might require time-consuming regeneration or replacement procedures.</w:t>
      </w:r>
    </w:p>
    <w:p w14:paraId="457E351C" w14:textId="77777777"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t>5.6 Social Sustainability and Community Engagement</w:t>
      </w:r>
    </w:p>
    <w:p w14:paraId="15C83F01"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Social sustainability dimensions reveal important distinctions between institutional and commercial deployment contexts. The Michigan State University digester functions explicitly as an educational resource, with student learning and public outreach constituting primary mission components alongside energy production and waste management. Approximately 500 to 1,000 students annually participate in facility tours, classroom exercises, and research projects, generating substantial educational impact that extends beyond the facility's immediate operational outputs. Community engagement through K-12 school visits and presentations to local organizations further multiplies social benefits.</w:t>
      </w:r>
    </w:p>
    <w:p w14:paraId="3E25B5F2"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Commercial facilities like Twelve Technologies' Moses Lake plant operate primarily within economic logic, though potentially generating social benefits through employment, tax revenues, and demonstration of technological feasibility that informs broader policy discussions. The workforce development dimension deserves particular attention given emerging skill requirements in renewable energy sectors. Both anaerobic digestion operation and electrochemical synthesis require specialized training combining biological or chemical process knowledge with practical troubleshooting abilities. Educational programs preparing workers for these roles contribute to just transitions supporting communities and workers affected by fossil fuel sector declines.</w:t>
      </w:r>
    </w:p>
    <w:p w14:paraId="6C645AF4" w14:textId="77777777" w:rsidR="00F14AAB" w:rsidRDefault="00F14AAB" w:rsidP="00F14AAB">
      <w:pPr>
        <w:pStyle w:val="Heading1"/>
        <w:jc w:val="both"/>
        <w:rPr>
          <w:rFonts w:ascii="Times New Roman" w:hAnsi="Times New Roman" w:cs="Times New Roman"/>
          <w:b w:val="0"/>
          <w:bCs w:val="0"/>
          <w:color w:val="auto"/>
          <w:sz w:val="24"/>
          <w:szCs w:val="24"/>
        </w:rPr>
      </w:pPr>
    </w:p>
    <w:p w14:paraId="20B989BA" w14:textId="77777777" w:rsidR="00F14AAB" w:rsidRDefault="00F14AAB" w:rsidP="00F14AAB">
      <w:pPr>
        <w:pStyle w:val="Heading1"/>
        <w:jc w:val="both"/>
        <w:rPr>
          <w:rFonts w:ascii="Times New Roman" w:hAnsi="Times New Roman" w:cs="Times New Roman"/>
          <w:b w:val="0"/>
          <w:bCs w:val="0"/>
          <w:color w:val="auto"/>
          <w:sz w:val="24"/>
          <w:szCs w:val="24"/>
        </w:rPr>
      </w:pPr>
    </w:p>
    <w:p w14:paraId="66913AED" w14:textId="77777777" w:rsidR="00F14AAB" w:rsidRDefault="00F14AAB" w:rsidP="00F14AAB">
      <w:pPr>
        <w:pStyle w:val="Heading1"/>
        <w:jc w:val="both"/>
        <w:rPr>
          <w:rFonts w:ascii="Times New Roman" w:hAnsi="Times New Roman" w:cs="Times New Roman"/>
          <w:b w:val="0"/>
          <w:bCs w:val="0"/>
          <w:color w:val="auto"/>
          <w:sz w:val="24"/>
          <w:szCs w:val="24"/>
        </w:rPr>
      </w:pPr>
    </w:p>
    <w:p w14:paraId="34908080" w14:textId="77777777" w:rsidR="00F14AAB" w:rsidRDefault="00F14AAB" w:rsidP="00F14AAB">
      <w:pPr>
        <w:pStyle w:val="Heading1"/>
        <w:jc w:val="both"/>
        <w:rPr>
          <w:rFonts w:ascii="Times New Roman" w:hAnsi="Times New Roman" w:cs="Times New Roman"/>
          <w:b w:val="0"/>
          <w:bCs w:val="0"/>
          <w:color w:val="auto"/>
          <w:sz w:val="24"/>
          <w:szCs w:val="24"/>
        </w:rPr>
      </w:pPr>
    </w:p>
    <w:p w14:paraId="7C973424" w14:textId="6C8E9254" w:rsidR="00F14AAB" w:rsidRPr="006E14C1" w:rsidRDefault="00F14AAB" w:rsidP="00F14AAB">
      <w:pPr>
        <w:pStyle w:val="Heading1"/>
        <w:jc w:val="both"/>
        <w:rPr>
          <w:rFonts w:ascii="Times New Roman" w:hAnsi="Times New Roman" w:cs="Times New Roman"/>
          <w:color w:val="auto"/>
          <w:sz w:val="24"/>
          <w:szCs w:val="24"/>
        </w:rPr>
      </w:pPr>
      <w:r w:rsidRPr="006E14C1">
        <w:rPr>
          <w:rFonts w:ascii="Times New Roman" w:hAnsi="Times New Roman" w:cs="Times New Roman"/>
          <w:color w:val="auto"/>
          <w:sz w:val="24"/>
          <w:szCs w:val="24"/>
        </w:rPr>
        <w:lastRenderedPageBreak/>
        <w:t>5.7 Implementation Barriers and Enabling Strategies</w:t>
      </w:r>
    </w:p>
    <w:p w14:paraId="73FB7EBD" w14:textId="3C50A358"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Analysis of both cases reveals common implementation barriers alongside system-specific challenges. High upfront capital costs relative to conventional alternatives represents a universal obstacle, exacerbated by investor unfamiliarity with novel technologies and perception of elevated risk. Biogas systems require specialized equipment including digesters, gas handling systems, and combined heat and power units totaling millions of dollars even for modest institutional installations. Electrochemical facilities demand even larger investments in reactor systems, power electronics, and downstream processing equipment, with cost uncertainties inherent to emerging technologies.</w:t>
      </w:r>
    </w:p>
    <w:p w14:paraId="123A1126"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Regulatory frameworks often lag technological development, creating permitting uncertainties and compliance costs that disproportionately affect innovative approaches. Biogas facilities navigate agricultural waste regulations, air quality permitting for combustion emissions, and food safety requirements if processing certain feedstocks. Carbon capture and utilization technologies face evolving regulations regarding CO₂ pipeline transport, storage site permitting, and lifecycle accounting methodologies. Streamlined permitting processes recognizing climate mitigation benefits could reduce regulatory friction while maintaining environmental safeguards.</w:t>
      </w:r>
    </w:p>
    <w:p w14:paraId="58B09547" w14:textId="77777777"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Feedstock availability and reliability constitute critical success factors often underestimated in project planning. The Michigan State University experience demonstrated how feedstock supply assumptions evolved substantially between planning and operation, with dairy manure becoming more dominant than originally projected while fruit and vegetable waste proved less available. Developing robust supply agreements with backup sources provides essential risk mitigation, though potentially increasing procurement costs. Carbon dioxide supply for conversion facilities similarly requires long-term contracts with industrial emitters facing their own economic and operational uncertainties.</w:t>
      </w:r>
    </w:p>
    <w:p w14:paraId="1C9E0091" w14:textId="095BA0A9" w:rsidR="00F14AAB" w:rsidRPr="00F14AAB" w:rsidRDefault="00F14AAB" w:rsidP="00F14AAB">
      <w:pPr>
        <w:pStyle w:val="Heading1"/>
        <w:jc w:val="both"/>
        <w:rPr>
          <w:rFonts w:ascii="Times New Roman" w:hAnsi="Times New Roman" w:cs="Times New Roman"/>
          <w:b w:val="0"/>
          <w:bCs w:val="0"/>
          <w:color w:val="auto"/>
          <w:sz w:val="24"/>
          <w:szCs w:val="24"/>
        </w:rPr>
      </w:pPr>
      <w:r w:rsidRPr="00F14AAB">
        <w:rPr>
          <w:rFonts w:ascii="Times New Roman" w:hAnsi="Times New Roman" w:cs="Times New Roman"/>
          <w:b w:val="0"/>
          <w:bCs w:val="0"/>
          <w:color w:val="auto"/>
          <w:sz w:val="24"/>
          <w:szCs w:val="24"/>
        </w:rPr>
        <w:t>Market development for products represents another significant barrier, particularly for novel fuels lacking established distribution infrastructure and customer familiarity. Sustainable aviation fuel production confronts chicken-and-egg challenges wherein airlines hesitate to commit volume purchases absent supply certainty, while producers hesitate to invest absent demand assurance. Voluntary corporate commitments and government procurement policies can help break these impasses, providing demand signals that justify initial production investments.</w:t>
      </w:r>
    </w:p>
    <w:p w14:paraId="290F983B" w14:textId="77777777" w:rsidR="00F14AAB" w:rsidRDefault="00F14AAB">
      <w:pPr>
        <w:pStyle w:val="Heading1"/>
      </w:pPr>
    </w:p>
    <w:p w14:paraId="1359668B" w14:textId="269E7C34" w:rsidR="00CA3124" w:rsidRPr="006E14C1" w:rsidRDefault="00D91F10">
      <w:pPr>
        <w:pStyle w:val="Heading1"/>
        <w:rPr>
          <w:color w:val="auto"/>
        </w:rPr>
      </w:pPr>
      <w:r w:rsidRPr="006E14C1">
        <w:rPr>
          <w:color w:val="auto"/>
        </w:rPr>
        <w:lastRenderedPageBreak/>
        <w:t>6. CONCLUSION</w:t>
      </w:r>
    </w:p>
    <w:p w14:paraId="4F341C73" w14:textId="77777777" w:rsidR="00F14AAB" w:rsidRDefault="00F14AAB">
      <w:pPr>
        <w:spacing w:line="360" w:lineRule="auto"/>
        <w:jc w:val="both"/>
        <w:rPr>
          <w:rFonts w:ascii="Times New Roman" w:hAnsi="Times New Roman"/>
          <w:sz w:val="24"/>
        </w:rPr>
      </w:pPr>
    </w:p>
    <w:p w14:paraId="67BF8BC8" w14:textId="564FD1E5" w:rsidR="00CA3124" w:rsidRDefault="00D91F10">
      <w:pPr>
        <w:spacing w:line="360" w:lineRule="auto"/>
        <w:jc w:val="both"/>
      </w:pPr>
      <w:r>
        <w:rPr>
          <w:rFonts w:ascii="Times New Roman" w:hAnsi="Times New Roman"/>
          <w:sz w:val="24"/>
        </w:rPr>
        <w:t>This study demonstrates that renewable fuel production from biogas and captured CO₂ contributes significantly to sustainability and resilience objectives through waste-to-resource transformation, greenhouse gas mitigation, and energy system diversification. Michigan State University's anaerobic digester exemplifies institutional-scale biogas deployment integrating waste management, renewable energy generation, and educational outreach, achieving operational viability while providing community benefits. Twelve Technologies' sustainable aviation fuel facility advances commercial CO₂ utilization technology, addressing aviation sector decarbonization through electrochemical carbon transformation and Fischer-Tropsch synthesis.</w:t>
      </w:r>
    </w:p>
    <w:p w14:paraId="3A6254B8" w14:textId="77777777" w:rsidR="00CA3124" w:rsidRDefault="00D91F10">
      <w:pPr>
        <w:spacing w:line="360" w:lineRule="auto"/>
        <w:jc w:val="both"/>
        <w:rPr>
          <w:rFonts w:ascii="Times New Roman" w:hAnsi="Times New Roman"/>
          <w:sz w:val="24"/>
        </w:rPr>
      </w:pPr>
      <w:r>
        <w:rPr>
          <w:rFonts w:ascii="Times New Roman" w:hAnsi="Times New Roman"/>
          <w:sz w:val="24"/>
        </w:rPr>
        <w:t>Comparative analysis reveals complementary strengths: biogas systems leverage proven technology, diverse feedstock flexibility, and localized waste management benefits; CO₂-to-fuel technologies target hard-to-decarbonize sectors, achieve high emission reduction potential, and demonstrate technological innovation advancing commercial readiness. Both pathways face scalability challenges requiring supportive policy frameworks, continued technological advancement, and stakeholder collaboration. Successful deployment demands integrated approaches combining technological innovation, economic incentives, regulatory support, educational initiatives, and community engagement. As global energy systems transition toward sustainability and resilience, renewable fuel production from waste biogas and captured CO₂ represents promising pathways contributing to climate change mitigation, energy security enhancement, and circular economy advancement.</w:t>
      </w:r>
    </w:p>
    <w:p w14:paraId="1DE0EBF7" w14:textId="77777777" w:rsidR="00096983" w:rsidRDefault="00096983">
      <w:pPr>
        <w:spacing w:line="360" w:lineRule="auto"/>
        <w:jc w:val="both"/>
        <w:rPr>
          <w:rFonts w:ascii="Times New Roman" w:hAnsi="Times New Roman"/>
          <w:sz w:val="24"/>
        </w:rPr>
      </w:pPr>
    </w:p>
    <w:p w14:paraId="7C119F85" w14:textId="77777777" w:rsidR="00096983" w:rsidRDefault="00096983" w:rsidP="00096983">
      <w:pPr>
        <w:spacing w:line="360" w:lineRule="auto"/>
        <w:jc w:val="both"/>
      </w:pPr>
      <w:r>
        <w:t>COMPETING INTERESTS DISCLAIMER:</w:t>
      </w:r>
    </w:p>
    <w:p w14:paraId="3518246B" w14:textId="1B7D6A1F" w:rsidR="00096983" w:rsidRDefault="00096983" w:rsidP="00096983">
      <w:pPr>
        <w:spacing w:line="360" w:lineRule="auto"/>
        <w:jc w:val="both"/>
      </w:pPr>
      <w:r>
        <w:t>Authors have declared that they have no known competing financial interests OR non-financial interests OR personal relationships that could have appeared to influence the work reported in this paper.</w:t>
      </w:r>
    </w:p>
    <w:p w14:paraId="0B068B34" w14:textId="77777777" w:rsidR="003F78A4" w:rsidRDefault="006229A9" w:rsidP="006229A9">
      <w:r w:rsidRPr="003F78A4">
        <w:t>Disclaimer (Artificial intelligence)</w:t>
      </w:r>
    </w:p>
    <w:p w14:paraId="3444B4AA" w14:textId="34430AEA" w:rsidR="006229A9" w:rsidRPr="003F78A4" w:rsidRDefault="006229A9" w:rsidP="006229A9">
      <w:r w:rsidRPr="003F78A4">
        <w:lastRenderedPageBreak/>
        <w:t xml:space="preserve">Author(s) hereby declare that NO generative AI technologies such as Large Language Models (ChatGPT, COPILOT, etc.) and text-to-image generators have been used during the writing or editing of this manuscript. </w:t>
      </w:r>
    </w:p>
    <w:p w14:paraId="355CF62A" w14:textId="77777777" w:rsidR="006229A9" w:rsidRDefault="006229A9" w:rsidP="00096983">
      <w:pPr>
        <w:spacing w:line="360" w:lineRule="auto"/>
        <w:jc w:val="both"/>
      </w:pPr>
    </w:p>
    <w:p w14:paraId="6958E13F" w14:textId="7074EC94" w:rsidR="00CA3124" w:rsidRPr="006E14C1" w:rsidRDefault="00D91F10">
      <w:pPr>
        <w:pStyle w:val="Heading1"/>
        <w:rPr>
          <w:color w:val="auto"/>
        </w:rPr>
      </w:pPr>
      <w:r>
        <w:t xml:space="preserve"> </w:t>
      </w:r>
      <w:r w:rsidRPr="006E14C1">
        <w:rPr>
          <w:color w:val="auto"/>
        </w:rPr>
        <w:t>REFERENCES</w:t>
      </w:r>
    </w:p>
    <w:p w14:paraId="3F8FC975" w14:textId="77777777" w:rsidR="00F14AAB" w:rsidRDefault="00F14AAB">
      <w:pPr>
        <w:spacing w:line="360" w:lineRule="auto"/>
        <w:jc w:val="both"/>
        <w:rPr>
          <w:rFonts w:ascii="Times New Roman" w:hAnsi="Times New Roman"/>
          <w:sz w:val="24"/>
        </w:rPr>
      </w:pPr>
    </w:p>
    <w:p w14:paraId="73A3B9C4" w14:textId="083AAC61" w:rsidR="00CB5CB0" w:rsidRPr="002859EB" w:rsidRDefault="001A7E94" w:rsidP="002859EB">
      <w:pPr>
        <w:ind w:left="360"/>
        <w:rPr>
          <w:rFonts w:ascii="Times New Roman" w:hAnsi="Times New Roman" w:cs="Times New Roman"/>
          <w:sz w:val="24"/>
          <w:szCs w:val="24"/>
        </w:rPr>
      </w:pPr>
      <w:proofErr w:type="spellStart"/>
      <w:r w:rsidRPr="002859EB">
        <w:rPr>
          <w:rFonts w:ascii="Times New Roman" w:hAnsi="Times New Roman" w:cs="Times New Roman"/>
          <w:sz w:val="24"/>
          <w:szCs w:val="24"/>
        </w:rPr>
        <w:t>Agupugo</w:t>
      </w:r>
      <w:proofErr w:type="spellEnd"/>
      <w:r w:rsidRPr="002859EB">
        <w:rPr>
          <w:rFonts w:ascii="Times New Roman" w:hAnsi="Times New Roman" w:cs="Times New Roman"/>
          <w:sz w:val="24"/>
          <w:szCs w:val="24"/>
        </w:rPr>
        <w:t xml:space="preserve">, C. P., Ajayi, A. O., </w:t>
      </w:r>
      <w:proofErr w:type="spellStart"/>
      <w:r w:rsidRPr="002859EB">
        <w:rPr>
          <w:rFonts w:ascii="Times New Roman" w:hAnsi="Times New Roman" w:cs="Times New Roman"/>
          <w:sz w:val="24"/>
          <w:szCs w:val="24"/>
        </w:rPr>
        <w:t>Nwanevu</w:t>
      </w:r>
      <w:proofErr w:type="spellEnd"/>
      <w:r w:rsidRPr="002859EB">
        <w:rPr>
          <w:rFonts w:ascii="Times New Roman" w:hAnsi="Times New Roman" w:cs="Times New Roman"/>
          <w:sz w:val="24"/>
          <w:szCs w:val="24"/>
        </w:rPr>
        <w:t xml:space="preserve">, C., &amp; Oladipo, S. S. (2024). Policy and regulatory framework supporting renewable energy microgrids and energy storage systems. Eng. Sci. Technol. J, 5(8), 2589-2615. </w:t>
      </w:r>
      <w:hyperlink r:id="rId8" w:history="1">
        <w:r w:rsidRPr="002859EB">
          <w:rPr>
            <w:rStyle w:val="Hyperlink"/>
            <w:rFonts w:ascii="Times New Roman" w:hAnsi="Times New Roman" w:cs="Times New Roman"/>
            <w:sz w:val="24"/>
            <w:szCs w:val="24"/>
          </w:rPr>
          <w:t>https://doi.org/10.51594/estj.v5i8.1460</w:t>
        </w:r>
      </w:hyperlink>
      <w:r w:rsidRPr="002859EB">
        <w:rPr>
          <w:rFonts w:ascii="Times New Roman" w:hAnsi="Times New Roman" w:cs="Times New Roman"/>
          <w:sz w:val="24"/>
          <w:szCs w:val="24"/>
        </w:rPr>
        <w:t xml:space="preserve"> </w:t>
      </w:r>
    </w:p>
    <w:p w14:paraId="55C94321" w14:textId="4F3E741B" w:rsidR="00F14AAB" w:rsidRPr="002859EB" w:rsidRDefault="00525EFA"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Antar, M., Lyu, D., Nazari, M., Shah, A., Zhou, X., &amp; Smith, D. L. (2021). Biomass for a sustainable bioeconomy: An overview of world biomass production and utilization. Renewable and Sustainable Energy Reviews </w:t>
      </w:r>
      <w:hyperlink r:id="rId9" w:history="1">
        <w:r w:rsidRPr="002859EB">
          <w:rPr>
            <w:rStyle w:val="Hyperlink"/>
            <w:rFonts w:ascii="Times New Roman" w:hAnsi="Times New Roman" w:cs="Times New Roman"/>
            <w:sz w:val="24"/>
            <w:szCs w:val="24"/>
          </w:rPr>
          <w:t>https://doi.org/10.1016/j.rser.2020.110691</w:t>
        </w:r>
      </w:hyperlink>
      <w:r w:rsidRPr="002859EB">
        <w:rPr>
          <w:rFonts w:ascii="Times New Roman" w:hAnsi="Times New Roman" w:cs="Times New Roman"/>
          <w:sz w:val="24"/>
          <w:szCs w:val="24"/>
        </w:rPr>
        <w:t xml:space="preserve"> </w:t>
      </w:r>
    </w:p>
    <w:p w14:paraId="7457400F" w14:textId="17DEB4C2" w:rsidR="00F14AAB" w:rsidRPr="002859EB" w:rsidRDefault="00F14AAB" w:rsidP="002859EB">
      <w:pPr>
        <w:ind w:left="360"/>
        <w:rPr>
          <w:rFonts w:ascii="Times New Roman" w:hAnsi="Times New Roman" w:cs="Times New Roman"/>
          <w:sz w:val="24"/>
          <w:szCs w:val="24"/>
        </w:rPr>
      </w:pPr>
      <w:r w:rsidRPr="002859EB">
        <w:rPr>
          <w:rFonts w:ascii="Times New Roman" w:hAnsi="Times New Roman" w:cs="Times New Roman"/>
          <w:sz w:val="24"/>
          <w:szCs w:val="24"/>
        </w:rPr>
        <w:t>Bauer, M. E. (2018). Analysis of anaerobic digestion at Michigan State University's South Campus Anaerobic Digester. Master's thesis, Michigan State University. https://link.springer.com/chapter/10.1007/978-3-319-76885-4_25</w:t>
      </w:r>
    </w:p>
    <w:p w14:paraId="0464535C" w14:textId="77777777" w:rsidR="00F14AAB" w:rsidRPr="00F14AAB" w:rsidRDefault="00F14AAB" w:rsidP="002859EB">
      <w:pPr>
        <w:rPr>
          <w:rFonts w:ascii="Times New Roman" w:hAnsi="Times New Roman" w:cs="Times New Roman"/>
          <w:sz w:val="24"/>
          <w:szCs w:val="24"/>
        </w:rPr>
      </w:pPr>
    </w:p>
    <w:p w14:paraId="45B00893" w14:textId="0E7D7232" w:rsidR="00724254" w:rsidRPr="002859EB" w:rsidRDefault="00371985"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Bauer, W., Bollman, D., Ellerhorst, R., Latta, W. J., &amp; </w:t>
      </w:r>
      <w:proofErr w:type="spellStart"/>
      <w:r w:rsidRPr="002859EB">
        <w:rPr>
          <w:rFonts w:ascii="Times New Roman" w:hAnsi="Times New Roman" w:cs="Times New Roman"/>
          <w:sz w:val="24"/>
          <w:szCs w:val="24"/>
        </w:rPr>
        <w:t>Verhanovitz</w:t>
      </w:r>
      <w:proofErr w:type="spellEnd"/>
      <w:r w:rsidRPr="002859EB">
        <w:rPr>
          <w:rFonts w:ascii="Times New Roman" w:hAnsi="Times New Roman" w:cs="Times New Roman"/>
          <w:sz w:val="24"/>
          <w:szCs w:val="24"/>
        </w:rPr>
        <w:t xml:space="preserve">, N. (2016). Integration of research, teaching, and practice in the implementation of the Michigan State University energy transition plan. In W. L. Filho, L. Brandli, J. Newman, &amp; D. C. E. Balogun (Eds.), Handbook of theory and practice of sustainable development in higher education: Volume 2 (pp. 401-411). Springer International Publishing. </w:t>
      </w:r>
      <w:hyperlink r:id="rId10" w:history="1">
        <w:r w:rsidRPr="002859EB">
          <w:rPr>
            <w:rStyle w:val="Hyperlink"/>
            <w:rFonts w:ascii="Times New Roman" w:hAnsi="Times New Roman" w:cs="Times New Roman"/>
            <w:sz w:val="24"/>
            <w:szCs w:val="24"/>
          </w:rPr>
          <w:t>https://doi.org/10.1007/978-3-319-47889-0_28</w:t>
        </w:r>
      </w:hyperlink>
      <w:r w:rsidRPr="002859EB">
        <w:rPr>
          <w:rFonts w:ascii="Times New Roman" w:hAnsi="Times New Roman" w:cs="Times New Roman"/>
          <w:sz w:val="24"/>
          <w:szCs w:val="24"/>
        </w:rPr>
        <w:t xml:space="preserve"> </w:t>
      </w:r>
    </w:p>
    <w:p w14:paraId="3451B42C" w14:textId="3486AD4E" w:rsidR="00F14AAB" w:rsidRPr="002859EB" w:rsidRDefault="001815F0"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Bong, C. P. C., Lim, L. Y., Lee, C. T., </w:t>
      </w:r>
      <w:proofErr w:type="spellStart"/>
      <w:r w:rsidRPr="002859EB">
        <w:rPr>
          <w:rFonts w:ascii="Times New Roman" w:hAnsi="Times New Roman" w:cs="Times New Roman"/>
          <w:sz w:val="24"/>
          <w:szCs w:val="24"/>
        </w:rPr>
        <w:t>Klemeš</w:t>
      </w:r>
      <w:proofErr w:type="spellEnd"/>
      <w:r w:rsidRPr="002859EB">
        <w:rPr>
          <w:rFonts w:ascii="Times New Roman" w:hAnsi="Times New Roman" w:cs="Times New Roman"/>
          <w:sz w:val="24"/>
          <w:szCs w:val="24"/>
        </w:rPr>
        <w:t xml:space="preserve">, J. J., Ho, C. S., &amp; Ho, W. S. (2017). The </w:t>
      </w:r>
      <w:proofErr w:type="spellStart"/>
      <w:r w:rsidRPr="002859EB">
        <w:rPr>
          <w:rFonts w:ascii="Times New Roman" w:hAnsi="Times New Roman" w:cs="Times New Roman"/>
          <w:sz w:val="24"/>
          <w:szCs w:val="24"/>
        </w:rPr>
        <w:t>characterisation</w:t>
      </w:r>
      <w:proofErr w:type="spellEnd"/>
      <w:r w:rsidRPr="002859EB">
        <w:rPr>
          <w:rFonts w:ascii="Times New Roman" w:hAnsi="Times New Roman" w:cs="Times New Roman"/>
          <w:sz w:val="24"/>
          <w:szCs w:val="24"/>
        </w:rPr>
        <w:t xml:space="preserve"> and treatment of food waste for improvement of biogas production during anaerobic digestion – A review. Journal of Cleaner Production, 172, 1545-1558 </w:t>
      </w:r>
      <w:hyperlink r:id="rId11" w:history="1">
        <w:r w:rsidRPr="002859EB">
          <w:rPr>
            <w:rStyle w:val="Hyperlink"/>
            <w:rFonts w:ascii="Times New Roman" w:hAnsi="Times New Roman" w:cs="Times New Roman"/>
            <w:sz w:val="24"/>
            <w:szCs w:val="24"/>
          </w:rPr>
          <w:t>https://doi.org/10.1016/j.jclepro.2017.10.199</w:t>
        </w:r>
      </w:hyperlink>
      <w:r w:rsidRPr="002859EB">
        <w:rPr>
          <w:rFonts w:ascii="Times New Roman" w:hAnsi="Times New Roman" w:cs="Times New Roman"/>
          <w:sz w:val="24"/>
          <w:szCs w:val="24"/>
        </w:rPr>
        <w:t xml:space="preserve"> </w:t>
      </w:r>
    </w:p>
    <w:p w14:paraId="1C6E7884" w14:textId="69463ABE" w:rsidR="00F14AAB" w:rsidRPr="002859EB" w:rsidRDefault="00D77B61"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Bushuyev, O. S., De Luna, P., Dinh, C. T., Tao, L., Saur, G., van de </w:t>
      </w:r>
      <w:proofErr w:type="spellStart"/>
      <w:r w:rsidRPr="002859EB">
        <w:rPr>
          <w:rFonts w:ascii="Times New Roman" w:hAnsi="Times New Roman" w:cs="Times New Roman"/>
          <w:sz w:val="24"/>
          <w:szCs w:val="24"/>
        </w:rPr>
        <w:t>Lagemaat</w:t>
      </w:r>
      <w:proofErr w:type="spellEnd"/>
      <w:r w:rsidRPr="002859EB">
        <w:rPr>
          <w:rFonts w:ascii="Times New Roman" w:hAnsi="Times New Roman" w:cs="Times New Roman"/>
          <w:sz w:val="24"/>
          <w:szCs w:val="24"/>
        </w:rPr>
        <w:t xml:space="preserve">, J., Kelley, S. O., &amp; Sargent, E. H. (2018). What should we make with CO₂ and how can we make it? Joule, 2(5), 825-832. </w:t>
      </w:r>
      <w:hyperlink r:id="rId12" w:history="1">
        <w:r w:rsidRPr="002859EB">
          <w:rPr>
            <w:rStyle w:val="Hyperlink"/>
            <w:rFonts w:ascii="Times New Roman" w:hAnsi="Times New Roman" w:cs="Times New Roman"/>
            <w:sz w:val="24"/>
            <w:szCs w:val="24"/>
          </w:rPr>
          <w:t>https://doi.org/10.1016/j.joule.2017.09.003</w:t>
        </w:r>
      </w:hyperlink>
      <w:r w:rsidRPr="002859EB">
        <w:rPr>
          <w:rFonts w:ascii="Times New Roman" w:hAnsi="Times New Roman" w:cs="Times New Roman"/>
          <w:sz w:val="24"/>
          <w:szCs w:val="24"/>
        </w:rPr>
        <w:t xml:space="preserve"> </w:t>
      </w:r>
    </w:p>
    <w:p w14:paraId="156AFD8F" w14:textId="3BE0FD99" w:rsidR="00F14AAB" w:rsidRPr="002859EB" w:rsidRDefault="001A5015"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Černý, M., Bruckner, M., Weinzettel, J., Wiebe, K., Kimmich, C., Kerschner, C., &amp; Hubacek, K. (2021). Employment effects of the renewable energy transition in the electricity sector: An input-output approach. ETUI Research Paper-Working Paper. </w:t>
      </w:r>
      <w:hyperlink r:id="rId13" w:history="1">
        <w:r w:rsidRPr="002859EB">
          <w:rPr>
            <w:rStyle w:val="Hyperlink"/>
            <w:rFonts w:ascii="Times New Roman" w:hAnsi="Times New Roman" w:cs="Times New Roman"/>
            <w:sz w:val="24"/>
            <w:szCs w:val="24"/>
          </w:rPr>
          <w:t>https://doi.org/10.2139/ssrn.4013339</w:t>
        </w:r>
      </w:hyperlink>
      <w:r w:rsidRPr="002859EB">
        <w:rPr>
          <w:rFonts w:ascii="Times New Roman" w:hAnsi="Times New Roman" w:cs="Times New Roman"/>
          <w:sz w:val="24"/>
          <w:szCs w:val="24"/>
        </w:rPr>
        <w:t xml:space="preserve"> </w:t>
      </w:r>
    </w:p>
    <w:p w14:paraId="7D5FB304" w14:textId="2377C7C4" w:rsidR="00F14AAB" w:rsidRPr="002859EB" w:rsidRDefault="00336E7F" w:rsidP="002859EB">
      <w:pPr>
        <w:ind w:left="360"/>
        <w:rPr>
          <w:rFonts w:ascii="Times New Roman" w:hAnsi="Times New Roman" w:cs="Times New Roman"/>
          <w:sz w:val="24"/>
          <w:szCs w:val="24"/>
        </w:rPr>
      </w:pPr>
      <w:r w:rsidRPr="002859EB">
        <w:rPr>
          <w:rFonts w:ascii="Times New Roman" w:hAnsi="Times New Roman" w:cs="Times New Roman"/>
          <w:sz w:val="24"/>
          <w:szCs w:val="24"/>
        </w:rPr>
        <w:lastRenderedPageBreak/>
        <w:t xml:space="preserve">Intergovernmental Panel on Climate Change. (2014). Climate Change 2014: Mitigation of Climate Change. Contribution of Working Group III to the Fifth Assessment Report of the Intergovernmental Panel on Climate Change (O. Edenhofer, R. </w:t>
      </w:r>
      <w:proofErr w:type="spellStart"/>
      <w:r w:rsidRPr="002859EB">
        <w:rPr>
          <w:rFonts w:ascii="Times New Roman" w:hAnsi="Times New Roman" w:cs="Times New Roman"/>
          <w:sz w:val="24"/>
          <w:szCs w:val="24"/>
        </w:rPr>
        <w:t>Pichs</w:t>
      </w:r>
      <w:proofErr w:type="spellEnd"/>
      <w:r w:rsidRPr="002859EB">
        <w:rPr>
          <w:rFonts w:ascii="Times New Roman" w:hAnsi="Times New Roman" w:cs="Times New Roman"/>
          <w:sz w:val="24"/>
          <w:szCs w:val="24"/>
        </w:rPr>
        <w:t xml:space="preserve">-Madruga, Y. Sokona, E. Farahani, S. Kadner, K. Seyboth, A. Adler, I. Baum, S. Brunner, P. Eickemeier, B. Kriemann, J. Savolainen, S. Schlömer, C. von </w:t>
      </w:r>
      <w:proofErr w:type="spellStart"/>
      <w:r w:rsidRPr="002859EB">
        <w:rPr>
          <w:rFonts w:ascii="Times New Roman" w:hAnsi="Times New Roman" w:cs="Times New Roman"/>
          <w:sz w:val="24"/>
          <w:szCs w:val="24"/>
        </w:rPr>
        <w:t>Stechow</w:t>
      </w:r>
      <w:proofErr w:type="spellEnd"/>
      <w:r w:rsidRPr="002859EB">
        <w:rPr>
          <w:rFonts w:ascii="Times New Roman" w:hAnsi="Times New Roman" w:cs="Times New Roman"/>
          <w:sz w:val="24"/>
          <w:szCs w:val="24"/>
        </w:rPr>
        <w:t xml:space="preserve">, T. Zwickel, &amp; J.C. Minx, Eds.). Cambridge University Press. </w:t>
      </w:r>
      <w:hyperlink r:id="rId14" w:history="1">
        <w:r w:rsidRPr="002859EB">
          <w:rPr>
            <w:rStyle w:val="Hyperlink"/>
            <w:rFonts w:ascii="Times New Roman" w:hAnsi="Times New Roman" w:cs="Times New Roman"/>
            <w:sz w:val="24"/>
            <w:szCs w:val="24"/>
          </w:rPr>
          <w:t>https://www.ipcc.ch/report/ar5/wg3/</w:t>
        </w:r>
      </w:hyperlink>
      <w:r w:rsidRPr="002859EB">
        <w:rPr>
          <w:rFonts w:ascii="Times New Roman" w:hAnsi="Times New Roman" w:cs="Times New Roman"/>
          <w:sz w:val="24"/>
          <w:szCs w:val="24"/>
        </w:rPr>
        <w:t xml:space="preserve"> </w:t>
      </w:r>
    </w:p>
    <w:p w14:paraId="447F08EA" w14:textId="77777777" w:rsidR="008755E7" w:rsidRPr="002859EB" w:rsidRDefault="008755E7"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Chen, Y., Cheng, J. J., &amp; Creamer, K. S. (2008). Inhibition of anaerobic digestion process: A review. Bioresource Technology </w:t>
      </w:r>
      <w:hyperlink r:id="rId15" w:history="1">
        <w:r w:rsidRPr="002859EB">
          <w:rPr>
            <w:rStyle w:val="Hyperlink"/>
            <w:rFonts w:ascii="Times New Roman" w:hAnsi="Times New Roman" w:cs="Times New Roman"/>
            <w:sz w:val="24"/>
            <w:szCs w:val="24"/>
          </w:rPr>
          <w:t>https://doi.org/10.1016/j.biortech.2007.01.057</w:t>
        </w:r>
      </w:hyperlink>
      <w:r w:rsidRPr="002859EB">
        <w:rPr>
          <w:rFonts w:ascii="Times New Roman" w:hAnsi="Times New Roman" w:cs="Times New Roman"/>
          <w:sz w:val="24"/>
          <w:szCs w:val="24"/>
        </w:rPr>
        <w:t xml:space="preserve"> </w:t>
      </w:r>
    </w:p>
    <w:p w14:paraId="516A22DE" w14:textId="40C3C9D8" w:rsidR="00F14AAB" w:rsidRPr="002859EB" w:rsidRDefault="001A3EA0" w:rsidP="002859EB">
      <w:pPr>
        <w:ind w:left="360"/>
        <w:rPr>
          <w:rFonts w:ascii="Times New Roman" w:hAnsi="Times New Roman" w:cs="Times New Roman"/>
          <w:sz w:val="24"/>
          <w:szCs w:val="24"/>
        </w:rPr>
      </w:pPr>
      <w:r w:rsidRPr="002859EB">
        <w:rPr>
          <w:rFonts w:ascii="Times New Roman" w:hAnsi="Times New Roman" w:cs="Times New Roman"/>
          <w:sz w:val="24"/>
          <w:szCs w:val="24"/>
        </w:rPr>
        <w:t xml:space="preserve">Dorner, R. W., Hardy, D. R., Williams, F. W., &amp; Willauer, H. D. (2010). Heterogeneous catalytic CO₂ conversion to value-added hydrocarbons. Energy &amp; Environmental Science. </w:t>
      </w:r>
      <w:hyperlink r:id="rId16" w:history="1">
        <w:r w:rsidRPr="002859EB">
          <w:rPr>
            <w:rStyle w:val="Hyperlink"/>
            <w:rFonts w:ascii="Times New Roman" w:hAnsi="Times New Roman" w:cs="Times New Roman"/>
            <w:sz w:val="24"/>
            <w:szCs w:val="24"/>
          </w:rPr>
          <w:t>https://doi.org/10.1039/C001514H</w:t>
        </w:r>
      </w:hyperlink>
      <w:r w:rsidRPr="002859EB">
        <w:rPr>
          <w:rFonts w:ascii="Times New Roman" w:hAnsi="Times New Roman" w:cs="Times New Roman"/>
          <w:sz w:val="24"/>
          <w:szCs w:val="24"/>
        </w:rPr>
        <w:t xml:space="preserve"> </w:t>
      </w:r>
    </w:p>
    <w:p w14:paraId="2AFC36B7" w14:textId="22B66ED9" w:rsidR="00F14AAB" w:rsidRPr="00F14AAB" w:rsidRDefault="00D91F10" w:rsidP="00F14AAB">
      <w:pPr>
        <w:rPr>
          <w:rFonts w:ascii="Times New Roman" w:hAnsi="Times New Roman" w:cs="Times New Roman"/>
          <w:sz w:val="24"/>
          <w:szCs w:val="24"/>
        </w:rPr>
      </w:pPr>
      <w:r w:rsidRPr="00D91F10">
        <w:rPr>
          <w:rFonts w:ascii="Times New Roman" w:hAnsi="Times New Roman" w:cs="Times New Roman"/>
          <w:sz w:val="24"/>
          <w:szCs w:val="24"/>
        </w:rPr>
        <w:t xml:space="preserve">U.S. Energy Information Administration. (2024). Electricity data browser. U.S. Energy Information Administration. </w:t>
      </w:r>
      <w:hyperlink r:id="rId17" w:history="1">
        <w:r w:rsidR="00C62AAA" w:rsidRPr="00E35297">
          <w:rPr>
            <w:rStyle w:val="Hyperlink"/>
            <w:rFonts w:ascii="Times New Roman" w:hAnsi="Times New Roman" w:cs="Times New Roman"/>
            <w:sz w:val="24"/>
            <w:szCs w:val="24"/>
          </w:rPr>
          <w:t>https://www.eia.gov/electricity/data/browser/</w:t>
        </w:r>
      </w:hyperlink>
      <w:r w:rsidR="00C62AAA">
        <w:rPr>
          <w:rFonts w:ascii="Times New Roman" w:hAnsi="Times New Roman" w:cs="Times New Roman"/>
          <w:sz w:val="24"/>
          <w:szCs w:val="24"/>
        </w:rPr>
        <w:t xml:space="preserve"> </w:t>
      </w:r>
    </w:p>
    <w:p w14:paraId="790E2121" w14:textId="7778FB27" w:rsidR="00F14AAB" w:rsidRPr="00F14AAB" w:rsidRDefault="000B74E2" w:rsidP="00F14AAB">
      <w:pPr>
        <w:rPr>
          <w:rFonts w:ascii="Times New Roman" w:hAnsi="Times New Roman" w:cs="Times New Roman"/>
          <w:sz w:val="24"/>
          <w:szCs w:val="24"/>
        </w:rPr>
      </w:pPr>
      <w:r w:rsidRPr="000B74E2">
        <w:rPr>
          <w:rFonts w:ascii="Times New Roman" w:hAnsi="Times New Roman" w:cs="Times New Roman"/>
          <w:sz w:val="24"/>
          <w:szCs w:val="24"/>
        </w:rPr>
        <w:t xml:space="preserve">U.S. Environmental Protection Agency. (2024). Inventory of U.S. Greenhouse Gas Emissions and Sinks: 1990-2022. U.S. Environmental Protection Agency. EPA 430-R-24-004. </w:t>
      </w:r>
      <w:hyperlink r:id="rId18" w:history="1">
        <w:r w:rsidRPr="00E35297">
          <w:rPr>
            <w:rStyle w:val="Hyperlink"/>
            <w:rFonts w:ascii="Times New Roman" w:hAnsi="Times New Roman" w:cs="Times New Roman"/>
            <w:sz w:val="24"/>
            <w:szCs w:val="24"/>
          </w:rPr>
          <w:t>https://www.epa.gov/ghgemissions/inventory-us-greenhouse-gas-emissions-and-sinks-1990-2022</w:t>
        </w:r>
      </w:hyperlink>
      <w:r>
        <w:rPr>
          <w:rFonts w:ascii="Times New Roman" w:hAnsi="Times New Roman" w:cs="Times New Roman"/>
          <w:sz w:val="24"/>
          <w:szCs w:val="24"/>
        </w:rPr>
        <w:t xml:space="preserve"> </w:t>
      </w:r>
    </w:p>
    <w:p w14:paraId="5E44A14F" w14:textId="4E9EC025" w:rsidR="00F14AAB" w:rsidRPr="00F14AAB" w:rsidRDefault="00276A41" w:rsidP="00F14AAB">
      <w:pPr>
        <w:rPr>
          <w:rFonts w:ascii="Times New Roman" w:hAnsi="Times New Roman" w:cs="Times New Roman"/>
          <w:sz w:val="24"/>
          <w:szCs w:val="24"/>
        </w:rPr>
      </w:pPr>
      <w:r w:rsidRPr="00276A41">
        <w:rPr>
          <w:rFonts w:ascii="Times New Roman" w:hAnsi="Times New Roman" w:cs="Times New Roman"/>
          <w:sz w:val="24"/>
          <w:szCs w:val="24"/>
        </w:rPr>
        <w:t xml:space="preserve">U.S. Environmental Protection Agency. (2024). Sources of greenhouse gas emissions. </w:t>
      </w:r>
      <w:hyperlink r:id="rId19" w:history="1">
        <w:r w:rsidRPr="00E35297">
          <w:rPr>
            <w:rStyle w:val="Hyperlink"/>
            <w:rFonts w:ascii="Times New Roman" w:hAnsi="Times New Roman" w:cs="Times New Roman"/>
            <w:sz w:val="24"/>
            <w:szCs w:val="24"/>
          </w:rPr>
          <w:t>https://www.epa.gov/ghgemissions/sources-greenhouse-gas-emissions</w:t>
        </w:r>
      </w:hyperlink>
      <w:r>
        <w:rPr>
          <w:rFonts w:ascii="Times New Roman" w:hAnsi="Times New Roman" w:cs="Times New Roman"/>
          <w:sz w:val="24"/>
          <w:szCs w:val="24"/>
        </w:rPr>
        <w:t xml:space="preserve"> </w:t>
      </w:r>
    </w:p>
    <w:p w14:paraId="04F052B8" w14:textId="3AA118B5" w:rsidR="00F14AAB" w:rsidRPr="00F14AAB" w:rsidRDefault="00D8276D" w:rsidP="00F14AAB">
      <w:pPr>
        <w:rPr>
          <w:rFonts w:ascii="Times New Roman" w:hAnsi="Times New Roman" w:cs="Times New Roman"/>
          <w:sz w:val="24"/>
          <w:szCs w:val="24"/>
        </w:rPr>
      </w:pPr>
      <w:r w:rsidRPr="00D8276D">
        <w:rPr>
          <w:rFonts w:ascii="Times New Roman" w:hAnsi="Times New Roman" w:cs="Times New Roman"/>
          <w:sz w:val="24"/>
          <w:szCs w:val="24"/>
        </w:rPr>
        <w:t xml:space="preserve">Fawzy, S., Osman, A. I., Doran, J., &amp; Rooney, D. W. (2020). Strategies for mitigation of climate change: A review. Environmental Chemistry Letters, 18(6), 2069-2094. </w:t>
      </w:r>
      <w:hyperlink r:id="rId20" w:history="1">
        <w:r w:rsidRPr="00E35297">
          <w:rPr>
            <w:rStyle w:val="Hyperlink"/>
            <w:rFonts w:ascii="Times New Roman" w:hAnsi="Times New Roman" w:cs="Times New Roman"/>
            <w:sz w:val="24"/>
            <w:szCs w:val="24"/>
          </w:rPr>
          <w:t>https://doi.org/10.1007/s10311-020-01059-w</w:t>
        </w:r>
      </w:hyperlink>
      <w:r>
        <w:rPr>
          <w:rFonts w:ascii="Times New Roman" w:hAnsi="Times New Roman" w:cs="Times New Roman"/>
          <w:sz w:val="24"/>
          <w:szCs w:val="24"/>
        </w:rPr>
        <w:t xml:space="preserve"> </w:t>
      </w:r>
    </w:p>
    <w:p w14:paraId="69D9B222" w14:textId="1D64D1F8" w:rsidR="00F14AAB" w:rsidRPr="00F14AAB" w:rsidRDefault="00996900" w:rsidP="00F14AAB">
      <w:pPr>
        <w:rPr>
          <w:rFonts w:ascii="Times New Roman" w:hAnsi="Times New Roman" w:cs="Times New Roman"/>
          <w:sz w:val="24"/>
          <w:szCs w:val="24"/>
        </w:rPr>
      </w:pPr>
      <w:r w:rsidRPr="00996900">
        <w:rPr>
          <w:rFonts w:ascii="Times New Roman" w:hAnsi="Times New Roman" w:cs="Times New Roman"/>
          <w:sz w:val="24"/>
          <w:szCs w:val="24"/>
        </w:rPr>
        <w:t xml:space="preserve">Gartner, E. M., &amp; Hirao, H. (2015). A review of alternative approaches to the reduction of CO₂ emissions associated with the manufacture of the binder phase in concrete. Cement and Concrete Research </w:t>
      </w:r>
      <w:hyperlink r:id="rId21" w:history="1">
        <w:r w:rsidRPr="00E35297">
          <w:rPr>
            <w:rStyle w:val="Hyperlink"/>
            <w:rFonts w:ascii="Times New Roman" w:hAnsi="Times New Roman" w:cs="Times New Roman"/>
            <w:sz w:val="24"/>
            <w:szCs w:val="24"/>
          </w:rPr>
          <w:t>https://doi.org/10.1016/j.cemconres.2015.04.012</w:t>
        </w:r>
      </w:hyperlink>
      <w:r>
        <w:rPr>
          <w:rFonts w:ascii="Times New Roman" w:hAnsi="Times New Roman" w:cs="Times New Roman"/>
          <w:sz w:val="24"/>
          <w:szCs w:val="24"/>
        </w:rPr>
        <w:t xml:space="preserve"> </w:t>
      </w:r>
    </w:p>
    <w:p w14:paraId="0FDC825E" w14:textId="2F0908CD" w:rsidR="00F14AAB" w:rsidRPr="00F14AAB" w:rsidRDefault="00E12663" w:rsidP="00F14AAB">
      <w:pPr>
        <w:rPr>
          <w:rFonts w:ascii="Times New Roman" w:hAnsi="Times New Roman" w:cs="Times New Roman"/>
          <w:sz w:val="24"/>
          <w:szCs w:val="24"/>
        </w:rPr>
      </w:pPr>
      <w:r w:rsidRPr="00E12663">
        <w:rPr>
          <w:rFonts w:ascii="Times New Roman" w:hAnsi="Times New Roman" w:cs="Times New Roman"/>
          <w:sz w:val="24"/>
          <w:szCs w:val="24"/>
        </w:rPr>
        <w:t xml:space="preserve">Gielen, D., </w:t>
      </w:r>
      <w:proofErr w:type="spellStart"/>
      <w:r w:rsidRPr="00E12663">
        <w:rPr>
          <w:rFonts w:ascii="Times New Roman" w:hAnsi="Times New Roman" w:cs="Times New Roman"/>
          <w:sz w:val="24"/>
          <w:szCs w:val="24"/>
        </w:rPr>
        <w:t>Gorini</w:t>
      </w:r>
      <w:proofErr w:type="spellEnd"/>
      <w:r w:rsidRPr="00E12663">
        <w:rPr>
          <w:rFonts w:ascii="Times New Roman" w:hAnsi="Times New Roman" w:cs="Times New Roman"/>
          <w:sz w:val="24"/>
          <w:szCs w:val="24"/>
        </w:rPr>
        <w:t xml:space="preserve">, R., Leme, R., Prakash, G., Wagner, N., Janeiro, L., ... &amp; </w:t>
      </w:r>
      <w:proofErr w:type="spellStart"/>
      <w:r w:rsidRPr="00E12663">
        <w:rPr>
          <w:rFonts w:ascii="Times New Roman" w:hAnsi="Times New Roman" w:cs="Times New Roman"/>
          <w:sz w:val="24"/>
          <w:szCs w:val="24"/>
        </w:rPr>
        <w:t>Saygin</w:t>
      </w:r>
      <w:proofErr w:type="spellEnd"/>
      <w:r w:rsidRPr="00E12663">
        <w:rPr>
          <w:rFonts w:ascii="Times New Roman" w:hAnsi="Times New Roman" w:cs="Times New Roman"/>
          <w:sz w:val="24"/>
          <w:szCs w:val="24"/>
        </w:rPr>
        <w:t xml:space="preserve">, D. (2021). World energy transitions outlook: 1.5° C pathway. International Renewable Energy Agency (IRENA). </w:t>
      </w:r>
      <w:hyperlink r:id="rId22" w:history="1">
        <w:r w:rsidRPr="00E35297">
          <w:rPr>
            <w:rStyle w:val="Hyperlink"/>
            <w:rFonts w:ascii="Times New Roman" w:hAnsi="Times New Roman" w:cs="Times New Roman"/>
            <w:sz w:val="24"/>
            <w:szCs w:val="24"/>
          </w:rPr>
          <w:t>https://www.h2knowledgecentre.com/content/researchpaper1609</w:t>
        </w:r>
      </w:hyperlink>
      <w:r>
        <w:rPr>
          <w:rFonts w:ascii="Times New Roman" w:hAnsi="Times New Roman" w:cs="Times New Roman"/>
          <w:sz w:val="24"/>
          <w:szCs w:val="24"/>
        </w:rPr>
        <w:t xml:space="preserve"> </w:t>
      </w:r>
    </w:p>
    <w:p w14:paraId="0B9C4398" w14:textId="5B9C6279" w:rsidR="00F14AAB" w:rsidRPr="00F14AAB" w:rsidRDefault="00AC0F50" w:rsidP="00F14AAB">
      <w:pPr>
        <w:rPr>
          <w:rFonts w:ascii="Times New Roman" w:hAnsi="Times New Roman" w:cs="Times New Roman"/>
          <w:sz w:val="24"/>
          <w:szCs w:val="24"/>
        </w:rPr>
      </w:pPr>
      <w:r w:rsidRPr="00AC0F50">
        <w:rPr>
          <w:rFonts w:ascii="Times New Roman" w:hAnsi="Times New Roman" w:cs="Times New Roman"/>
          <w:sz w:val="24"/>
          <w:szCs w:val="24"/>
        </w:rPr>
        <w:t xml:space="preserve">Gustafsson, M., &amp; Svensson, N. (2021). Cleaner heavy transports–Environmental and economic analysis of liquefied natural gas and biomethane. Journal of Cleaner Production, 278, 123535. </w:t>
      </w:r>
      <w:hyperlink r:id="rId23" w:history="1">
        <w:r w:rsidRPr="00E35297">
          <w:rPr>
            <w:rStyle w:val="Hyperlink"/>
            <w:rFonts w:ascii="Times New Roman" w:hAnsi="Times New Roman" w:cs="Times New Roman"/>
            <w:sz w:val="24"/>
            <w:szCs w:val="24"/>
          </w:rPr>
          <w:t>https://doi.org/10.1016/j.jclepro.2020.123535</w:t>
        </w:r>
      </w:hyperlink>
      <w:r>
        <w:rPr>
          <w:rFonts w:ascii="Times New Roman" w:hAnsi="Times New Roman" w:cs="Times New Roman"/>
          <w:sz w:val="24"/>
          <w:szCs w:val="24"/>
        </w:rPr>
        <w:t xml:space="preserve"> </w:t>
      </w:r>
    </w:p>
    <w:p w14:paraId="1E38BA8B" w14:textId="0421BFC8" w:rsidR="00F14AAB" w:rsidRPr="00F14AAB" w:rsidRDefault="00972659" w:rsidP="00F14AAB">
      <w:pPr>
        <w:rPr>
          <w:rFonts w:ascii="Times New Roman" w:hAnsi="Times New Roman" w:cs="Times New Roman"/>
          <w:sz w:val="24"/>
          <w:szCs w:val="24"/>
        </w:rPr>
      </w:pPr>
      <w:proofErr w:type="spellStart"/>
      <w:r w:rsidRPr="00972659">
        <w:rPr>
          <w:rFonts w:ascii="Times New Roman" w:hAnsi="Times New Roman" w:cs="Times New Roman"/>
          <w:sz w:val="24"/>
          <w:szCs w:val="24"/>
        </w:rPr>
        <w:t>Hakawati</w:t>
      </w:r>
      <w:proofErr w:type="spellEnd"/>
      <w:r w:rsidRPr="00972659">
        <w:rPr>
          <w:rFonts w:ascii="Times New Roman" w:hAnsi="Times New Roman" w:cs="Times New Roman"/>
          <w:sz w:val="24"/>
          <w:szCs w:val="24"/>
        </w:rPr>
        <w:t xml:space="preserve">, R., Smyth, B. M., McCullough, G., De Rosa, F., &amp; Rooney, D. (2017). What is the most energy efficient route for biogas utilization: Heat, electricity or transport? Applied Energy, 206, 1076-1087. </w:t>
      </w:r>
      <w:hyperlink r:id="rId24" w:history="1">
        <w:r w:rsidRPr="00E35297">
          <w:rPr>
            <w:rStyle w:val="Hyperlink"/>
            <w:rFonts w:ascii="Times New Roman" w:hAnsi="Times New Roman" w:cs="Times New Roman"/>
            <w:sz w:val="24"/>
            <w:szCs w:val="24"/>
          </w:rPr>
          <w:t>https://doi.org/10.1016/j.apenergy.2017.08.068</w:t>
        </w:r>
      </w:hyperlink>
      <w:r>
        <w:rPr>
          <w:rFonts w:ascii="Times New Roman" w:hAnsi="Times New Roman" w:cs="Times New Roman"/>
          <w:sz w:val="24"/>
          <w:szCs w:val="24"/>
        </w:rPr>
        <w:t xml:space="preserve"> </w:t>
      </w:r>
    </w:p>
    <w:p w14:paraId="13BFB143" w14:textId="4E941916" w:rsidR="00F14AAB" w:rsidRPr="00F14AAB" w:rsidRDefault="001E0FA8" w:rsidP="00F14AAB">
      <w:pPr>
        <w:spacing w:after="160"/>
        <w:rPr>
          <w:rFonts w:ascii="Times New Roman" w:hAnsi="Times New Roman" w:cs="Times New Roman"/>
          <w:sz w:val="24"/>
          <w:szCs w:val="24"/>
        </w:rPr>
      </w:pPr>
      <w:r w:rsidRPr="001E0FA8">
        <w:rPr>
          <w:rFonts w:ascii="Times New Roman" w:hAnsi="Times New Roman" w:cs="Times New Roman"/>
          <w:sz w:val="24"/>
          <w:szCs w:val="24"/>
        </w:rPr>
        <w:lastRenderedPageBreak/>
        <w:t xml:space="preserve">IRENA. (2021). Renewable power generation costs in 2020. </w:t>
      </w:r>
      <w:hyperlink r:id="rId25" w:history="1">
        <w:r w:rsidRPr="00E35297">
          <w:rPr>
            <w:rStyle w:val="Hyperlink"/>
            <w:rFonts w:ascii="Times New Roman" w:hAnsi="Times New Roman" w:cs="Times New Roman"/>
            <w:sz w:val="24"/>
            <w:szCs w:val="24"/>
          </w:rPr>
          <w:t>https://www.irena.org/publications/2021/Jun/Renewable-Power-Costs-in-2020</w:t>
        </w:r>
      </w:hyperlink>
      <w:r>
        <w:rPr>
          <w:rFonts w:ascii="Times New Roman" w:hAnsi="Times New Roman" w:cs="Times New Roman"/>
          <w:sz w:val="24"/>
          <w:szCs w:val="24"/>
        </w:rPr>
        <w:t xml:space="preserve"> </w:t>
      </w:r>
    </w:p>
    <w:p w14:paraId="21E23186" w14:textId="333373BD" w:rsidR="00F14AAB" w:rsidRPr="00F14AAB" w:rsidRDefault="00EC6AC3" w:rsidP="00F14AAB">
      <w:pPr>
        <w:rPr>
          <w:rFonts w:ascii="Times New Roman" w:hAnsi="Times New Roman" w:cs="Times New Roman"/>
          <w:sz w:val="24"/>
          <w:szCs w:val="24"/>
        </w:rPr>
      </w:pPr>
      <w:r w:rsidRPr="00EC6AC3">
        <w:rPr>
          <w:rFonts w:ascii="Times New Roman" w:hAnsi="Times New Roman" w:cs="Times New Roman"/>
          <w:sz w:val="24"/>
          <w:szCs w:val="24"/>
        </w:rPr>
        <w:t xml:space="preserve">Khurshid, A., Rauf, A., Qayyum, S., Calin, A. C., &amp; Duan, W. (2023). Green innovation and carbon emissions: the role of carbon pricing and environmental policies in attaining sustainable development targets of carbon mitigation—evidence from Central-Eastern Europe. Environment, Development and Sustainability, 25(8), 8777-8798. </w:t>
      </w:r>
      <w:hyperlink r:id="rId26" w:history="1">
        <w:r w:rsidRPr="00E35297">
          <w:rPr>
            <w:rStyle w:val="Hyperlink"/>
            <w:rFonts w:ascii="Times New Roman" w:hAnsi="Times New Roman" w:cs="Times New Roman"/>
            <w:sz w:val="24"/>
            <w:szCs w:val="24"/>
          </w:rPr>
          <w:t>https://doi.org/10.1007/s10668-022-02422-3</w:t>
        </w:r>
      </w:hyperlink>
      <w:r>
        <w:rPr>
          <w:rFonts w:ascii="Times New Roman" w:hAnsi="Times New Roman" w:cs="Times New Roman"/>
          <w:sz w:val="24"/>
          <w:szCs w:val="24"/>
        </w:rPr>
        <w:t xml:space="preserve"> </w:t>
      </w:r>
    </w:p>
    <w:p w14:paraId="3F7B6D55" w14:textId="56EEB89C" w:rsidR="00F14AAB" w:rsidRPr="00F14AAB" w:rsidRDefault="000F7DCD" w:rsidP="00F14AAB">
      <w:pPr>
        <w:rPr>
          <w:rFonts w:ascii="Times New Roman" w:hAnsi="Times New Roman" w:cs="Times New Roman"/>
          <w:sz w:val="24"/>
          <w:szCs w:val="24"/>
        </w:rPr>
      </w:pPr>
      <w:r w:rsidRPr="000F7DCD">
        <w:rPr>
          <w:rFonts w:ascii="Times New Roman" w:hAnsi="Times New Roman" w:cs="Times New Roman"/>
          <w:sz w:val="24"/>
          <w:szCs w:val="24"/>
        </w:rPr>
        <w:t xml:space="preserve">Kim, Y., Lee, J., &amp; Ahn, J. (2019). Innovation towards sustainable technologies: A socio-technical perspective on accelerating transition to aviation biofuel. Technological Forecasting and Social Change. </w:t>
      </w:r>
      <w:hyperlink r:id="rId27" w:history="1">
        <w:r w:rsidRPr="00E35297">
          <w:rPr>
            <w:rStyle w:val="Hyperlink"/>
            <w:rFonts w:ascii="Times New Roman" w:hAnsi="Times New Roman" w:cs="Times New Roman"/>
            <w:sz w:val="24"/>
            <w:szCs w:val="24"/>
          </w:rPr>
          <w:t>https://doi.org/10.1016/j.techfore.2019.04.002</w:t>
        </w:r>
      </w:hyperlink>
      <w:r>
        <w:rPr>
          <w:rFonts w:ascii="Times New Roman" w:hAnsi="Times New Roman" w:cs="Times New Roman"/>
          <w:sz w:val="24"/>
          <w:szCs w:val="24"/>
        </w:rPr>
        <w:t xml:space="preserve"> </w:t>
      </w:r>
    </w:p>
    <w:p w14:paraId="46FDE7A2" w14:textId="70634928" w:rsidR="00F14AAB" w:rsidRPr="00F14AAB" w:rsidRDefault="00B37683" w:rsidP="00F14AAB">
      <w:pPr>
        <w:rPr>
          <w:rFonts w:ascii="Times New Roman" w:hAnsi="Times New Roman" w:cs="Times New Roman"/>
          <w:sz w:val="24"/>
          <w:szCs w:val="24"/>
        </w:rPr>
      </w:pPr>
      <w:r w:rsidRPr="00B37683">
        <w:rPr>
          <w:rFonts w:ascii="Times New Roman" w:hAnsi="Times New Roman" w:cs="Times New Roman"/>
          <w:sz w:val="24"/>
          <w:szCs w:val="24"/>
        </w:rPr>
        <w:t xml:space="preserve">Lyng, K.-A., &amp; Brekke, A. (2019). Environmental life cycle assessment of biogas as a fuel for transport compared with alternative fuels. Energies, 12(3), 532. </w:t>
      </w:r>
      <w:hyperlink r:id="rId28" w:history="1">
        <w:r w:rsidRPr="00E35297">
          <w:rPr>
            <w:rStyle w:val="Hyperlink"/>
            <w:rFonts w:ascii="Times New Roman" w:hAnsi="Times New Roman" w:cs="Times New Roman"/>
            <w:sz w:val="24"/>
            <w:szCs w:val="24"/>
          </w:rPr>
          <w:t>https://doi.org/10.3390/en12030532</w:t>
        </w:r>
      </w:hyperlink>
      <w:r>
        <w:rPr>
          <w:rFonts w:ascii="Times New Roman" w:hAnsi="Times New Roman" w:cs="Times New Roman"/>
          <w:sz w:val="24"/>
          <w:szCs w:val="24"/>
        </w:rPr>
        <w:t xml:space="preserve"> </w:t>
      </w:r>
    </w:p>
    <w:p w14:paraId="48EF71ED" w14:textId="2CA8B7F4" w:rsidR="00F14AAB" w:rsidRPr="00F14AAB" w:rsidRDefault="003548B1" w:rsidP="00F14AAB">
      <w:pPr>
        <w:rPr>
          <w:rFonts w:ascii="Times New Roman" w:hAnsi="Times New Roman" w:cs="Times New Roman"/>
          <w:sz w:val="24"/>
          <w:szCs w:val="24"/>
        </w:rPr>
      </w:pPr>
      <w:r w:rsidRPr="003548B1">
        <w:rPr>
          <w:rFonts w:ascii="Times New Roman" w:hAnsi="Times New Roman" w:cs="Times New Roman"/>
          <w:sz w:val="24"/>
          <w:szCs w:val="24"/>
        </w:rPr>
        <w:t>Mata-Alvarez, J., Dosta, J., Romero-</w:t>
      </w:r>
      <w:proofErr w:type="spellStart"/>
      <w:r w:rsidRPr="003548B1">
        <w:rPr>
          <w:rFonts w:ascii="Times New Roman" w:hAnsi="Times New Roman" w:cs="Times New Roman"/>
          <w:sz w:val="24"/>
          <w:szCs w:val="24"/>
        </w:rPr>
        <w:t>Güiza</w:t>
      </w:r>
      <w:proofErr w:type="spellEnd"/>
      <w:r w:rsidRPr="003548B1">
        <w:rPr>
          <w:rFonts w:ascii="Times New Roman" w:hAnsi="Times New Roman" w:cs="Times New Roman"/>
          <w:sz w:val="24"/>
          <w:szCs w:val="24"/>
        </w:rPr>
        <w:t xml:space="preserve">, M. S., Fonoll, X., </w:t>
      </w:r>
      <w:proofErr w:type="spellStart"/>
      <w:r w:rsidRPr="003548B1">
        <w:rPr>
          <w:rFonts w:ascii="Times New Roman" w:hAnsi="Times New Roman" w:cs="Times New Roman"/>
          <w:sz w:val="24"/>
          <w:szCs w:val="24"/>
        </w:rPr>
        <w:t>Peces</w:t>
      </w:r>
      <w:proofErr w:type="spellEnd"/>
      <w:r w:rsidRPr="003548B1">
        <w:rPr>
          <w:rFonts w:ascii="Times New Roman" w:hAnsi="Times New Roman" w:cs="Times New Roman"/>
          <w:sz w:val="24"/>
          <w:szCs w:val="24"/>
        </w:rPr>
        <w:t xml:space="preserve">, M., &amp; </w:t>
      </w:r>
      <w:proofErr w:type="spellStart"/>
      <w:r w:rsidRPr="003548B1">
        <w:rPr>
          <w:rFonts w:ascii="Times New Roman" w:hAnsi="Times New Roman" w:cs="Times New Roman"/>
          <w:sz w:val="24"/>
          <w:szCs w:val="24"/>
        </w:rPr>
        <w:t>Astals</w:t>
      </w:r>
      <w:proofErr w:type="spellEnd"/>
      <w:r w:rsidRPr="003548B1">
        <w:rPr>
          <w:rFonts w:ascii="Times New Roman" w:hAnsi="Times New Roman" w:cs="Times New Roman"/>
          <w:sz w:val="24"/>
          <w:szCs w:val="24"/>
        </w:rPr>
        <w:t xml:space="preserve">, S. (2014). A critical review on anaerobic co-digestion achievements between 2010 and 2013. Renewable and Sustainable Energy Reviews, 36, 412-427. </w:t>
      </w:r>
      <w:hyperlink r:id="rId29" w:history="1">
        <w:r w:rsidRPr="00E35297">
          <w:rPr>
            <w:rStyle w:val="Hyperlink"/>
            <w:rFonts w:ascii="Times New Roman" w:hAnsi="Times New Roman" w:cs="Times New Roman"/>
            <w:sz w:val="24"/>
            <w:szCs w:val="24"/>
          </w:rPr>
          <w:t>https://doi.org/10.1016/j.rser.2014.04.039</w:t>
        </w:r>
      </w:hyperlink>
      <w:r>
        <w:rPr>
          <w:rFonts w:ascii="Times New Roman" w:hAnsi="Times New Roman" w:cs="Times New Roman"/>
          <w:sz w:val="24"/>
          <w:szCs w:val="24"/>
        </w:rPr>
        <w:t xml:space="preserve"> </w:t>
      </w:r>
    </w:p>
    <w:p w14:paraId="5D144CD5" w14:textId="3617D691" w:rsidR="00F14AAB" w:rsidRPr="00F14AAB" w:rsidRDefault="001D2010" w:rsidP="00F14AAB">
      <w:pPr>
        <w:rPr>
          <w:rFonts w:ascii="Times New Roman" w:hAnsi="Times New Roman" w:cs="Times New Roman"/>
          <w:sz w:val="24"/>
          <w:szCs w:val="24"/>
        </w:rPr>
      </w:pPr>
      <w:r w:rsidRPr="001D2010">
        <w:rPr>
          <w:rFonts w:ascii="Times New Roman" w:hAnsi="Times New Roman" w:cs="Times New Roman"/>
          <w:sz w:val="24"/>
          <w:szCs w:val="24"/>
        </w:rPr>
        <w:t xml:space="preserve">Mattocks, R., Farrell, J. B., Haugh, C. G., &amp; Ingold, D. (1984). *Understanding biogas generation* (Technical Paper No. 4). Volunteers in Technical Assistance (VITA). </w:t>
      </w:r>
      <w:hyperlink r:id="rId30" w:history="1">
        <w:r w:rsidRPr="00E35297">
          <w:rPr>
            <w:rStyle w:val="Hyperlink"/>
            <w:rFonts w:ascii="Times New Roman" w:hAnsi="Times New Roman" w:cs="Times New Roman"/>
            <w:sz w:val="24"/>
            <w:szCs w:val="24"/>
          </w:rPr>
          <w:t>https://www.echocommunity.org/en/resources/1984-01-01_Understanding_Biogas_Generation</w:t>
        </w:r>
      </w:hyperlink>
      <w:r>
        <w:rPr>
          <w:rFonts w:ascii="Times New Roman" w:hAnsi="Times New Roman" w:cs="Times New Roman"/>
          <w:sz w:val="24"/>
          <w:szCs w:val="24"/>
        </w:rPr>
        <w:t xml:space="preserve"> </w:t>
      </w:r>
    </w:p>
    <w:p w14:paraId="5AEEDCC2" w14:textId="77777777" w:rsidR="001C74A9" w:rsidRPr="002859EB" w:rsidRDefault="001C74A9" w:rsidP="002859EB">
      <w:pPr>
        <w:rPr>
          <w:rFonts w:ascii="Times New Roman" w:hAnsi="Times New Roman" w:cs="Times New Roman"/>
          <w:sz w:val="24"/>
          <w:szCs w:val="24"/>
        </w:rPr>
      </w:pPr>
      <w:r w:rsidRPr="002859EB">
        <w:rPr>
          <w:rFonts w:ascii="Times New Roman" w:hAnsi="Times New Roman" w:cs="Times New Roman"/>
          <w:sz w:val="24"/>
          <w:szCs w:val="24"/>
        </w:rPr>
        <w:t xml:space="preserve">Congressional Budget Office. (2023). Carbon capture and storage in the United States. </w:t>
      </w:r>
      <w:hyperlink r:id="rId31" w:history="1">
        <w:r w:rsidRPr="002859EB">
          <w:rPr>
            <w:rStyle w:val="Hyperlink"/>
            <w:rFonts w:ascii="Times New Roman" w:hAnsi="Times New Roman" w:cs="Times New Roman"/>
            <w:sz w:val="24"/>
            <w:szCs w:val="24"/>
          </w:rPr>
          <w:t>https://www.cbo.gov/publication/59345</w:t>
        </w:r>
      </w:hyperlink>
      <w:r w:rsidRPr="002859EB">
        <w:rPr>
          <w:rFonts w:ascii="Times New Roman" w:hAnsi="Times New Roman" w:cs="Times New Roman"/>
          <w:sz w:val="24"/>
          <w:szCs w:val="24"/>
        </w:rPr>
        <w:t xml:space="preserve"> </w:t>
      </w:r>
    </w:p>
    <w:p w14:paraId="5C1B17AE" w14:textId="40FD2FC7" w:rsidR="00F14AAB" w:rsidRPr="00F14AAB" w:rsidRDefault="00220FAE" w:rsidP="00F14AAB">
      <w:pPr>
        <w:rPr>
          <w:rFonts w:ascii="Times New Roman" w:hAnsi="Times New Roman" w:cs="Times New Roman"/>
          <w:sz w:val="24"/>
          <w:szCs w:val="24"/>
        </w:rPr>
      </w:pPr>
      <w:r w:rsidRPr="00220FAE">
        <w:rPr>
          <w:rFonts w:ascii="Times New Roman" w:hAnsi="Times New Roman" w:cs="Times New Roman"/>
          <w:sz w:val="24"/>
          <w:szCs w:val="24"/>
        </w:rPr>
        <w:t xml:space="preserve">Osman, A. I., </w:t>
      </w:r>
      <w:proofErr w:type="spellStart"/>
      <w:r w:rsidRPr="00220FAE">
        <w:rPr>
          <w:rFonts w:ascii="Times New Roman" w:hAnsi="Times New Roman" w:cs="Times New Roman"/>
          <w:sz w:val="24"/>
          <w:szCs w:val="24"/>
        </w:rPr>
        <w:t>Hefny</w:t>
      </w:r>
      <w:proofErr w:type="spellEnd"/>
      <w:r w:rsidRPr="00220FAE">
        <w:rPr>
          <w:rFonts w:ascii="Times New Roman" w:hAnsi="Times New Roman" w:cs="Times New Roman"/>
          <w:sz w:val="24"/>
          <w:szCs w:val="24"/>
        </w:rPr>
        <w:t xml:space="preserve">, M., Abdel Maksoud, M. I. A., </w:t>
      </w:r>
      <w:proofErr w:type="spellStart"/>
      <w:r w:rsidRPr="00220FAE">
        <w:rPr>
          <w:rFonts w:ascii="Times New Roman" w:hAnsi="Times New Roman" w:cs="Times New Roman"/>
          <w:sz w:val="24"/>
          <w:szCs w:val="24"/>
        </w:rPr>
        <w:t>Elgarahy</w:t>
      </w:r>
      <w:proofErr w:type="spellEnd"/>
      <w:r w:rsidRPr="00220FAE">
        <w:rPr>
          <w:rFonts w:ascii="Times New Roman" w:hAnsi="Times New Roman" w:cs="Times New Roman"/>
          <w:sz w:val="24"/>
          <w:szCs w:val="24"/>
        </w:rPr>
        <w:t xml:space="preserve">, A. M., &amp; Rooney, D. W. (2021). Recent advances in carbon capture storage and </w:t>
      </w:r>
      <w:proofErr w:type="spellStart"/>
      <w:r w:rsidRPr="00220FAE">
        <w:rPr>
          <w:rFonts w:ascii="Times New Roman" w:hAnsi="Times New Roman" w:cs="Times New Roman"/>
          <w:sz w:val="24"/>
          <w:szCs w:val="24"/>
        </w:rPr>
        <w:t>utilisation</w:t>
      </w:r>
      <w:proofErr w:type="spellEnd"/>
      <w:r w:rsidRPr="00220FAE">
        <w:rPr>
          <w:rFonts w:ascii="Times New Roman" w:hAnsi="Times New Roman" w:cs="Times New Roman"/>
          <w:sz w:val="24"/>
          <w:szCs w:val="24"/>
        </w:rPr>
        <w:t xml:space="preserve"> technologies: A review. Environmental Chemistry Letters </w:t>
      </w:r>
      <w:hyperlink r:id="rId32" w:history="1">
        <w:r w:rsidRPr="00E35297">
          <w:rPr>
            <w:rStyle w:val="Hyperlink"/>
            <w:rFonts w:ascii="Times New Roman" w:hAnsi="Times New Roman" w:cs="Times New Roman"/>
            <w:sz w:val="24"/>
            <w:szCs w:val="24"/>
          </w:rPr>
          <w:t>https://doi.org/10.1007/s10311-020-01133-3</w:t>
        </w:r>
      </w:hyperlink>
      <w:r>
        <w:rPr>
          <w:rFonts w:ascii="Times New Roman" w:hAnsi="Times New Roman" w:cs="Times New Roman"/>
          <w:sz w:val="24"/>
          <w:szCs w:val="24"/>
        </w:rPr>
        <w:t xml:space="preserve"> </w:t>
      </w:r>
    </w:p>
    <w:p w14:paraId="1A433E31" w14:textId="77B21A8D" w:rsidR="00F14AAB" w:rsidRPr="00F14AAB" w:rsidRDefault="00975B29" w:rsidP="00F14AAB">
      <w:pPr>
        <w:rPr>
          <w:rFonts w:ascii="Times New Roman" w:hAnsi="Times New Roman" w:cs="Times New Roman"/>
          <w:sz w:val="24"/>
          <w:szCs w:val="24"/>
        </w:rPr>
      </w:pPr>
      <w:proofErr w:type="spellStart"/>
      <w:r w:rsidRPr="00975B29">
        <w:rPr>
          <w:rFonts w:ascii="Times New Roman" w:hAnsi="Times New Roman" w:cs="Times New Roman"/>
          <w:sz w:val="24"/>
          <w:szCs w:val="24"/>
        </w:rPr>
        <w:t>Ranjbari</w:t>
      </w:r>
      <w:proofErr w:type="spellEnd"/>
      <w:r w:rsidRPr="00975B29">
        <w:rPr>
          <w:rFonts w:ascii="Times New Roman" w:hAnsi="Times New Roman" w:cs="Times New Roman"/>
          <w:sz w:val="24"/>
          <w:szCs w:val="24"/>
        </w:rPr>
        <w:t xml:space="preserve">, M., </w:t>
      </w:r>
      <w:proofErr w:type="spellStart"/>
      <w:r w:rsidRPr="00975B29">
        <w:rPr>
          <w:rFonts w:ascii="Times New Roman" w:hAnsi="Times New Roman" w:cs="Times New Roman"/>
          <w:sz w:val="24"/>
          <w:szCs w:val="24"/>
        </w:rPr>
        <w:t>Esfandabadi</w:t>
      </w:r>
      <w:proofErr w:type="spellEnd"/>
      <w:r w:rsidRPr="00975B29">
        <w:rPr>
          <w:rFonts w:ascii="Times New Roman" w:hAnsi="Times New Roman" w:cs="Times New Roman"/>
          <w:sz w:val="24"/>
          <w:szCs w:val="24"/>
        </w:rPr>
        <w:t xml:space="preserve">, Z. S., Ferraris, A., Quatraro, F., Rehan, M., Nizami, A.-S., Gupta, V. K., Lam, S. S., </w:t>
      </w:r>
      <w:proofErr w:type="spellStart"/>
      <w:r w:rsidRPr="00975B29">
        <w:rPr>
          <w:rFonts w:ascii="Times New Roman" w:hAnsi="Times New Roman" w:cs="Times New Roman"/>
          <w:sz w:val="24"/>
          <w:szCs w:val="24"/>
        </w:rPr>
        <w:t>Aghbashlo</w:t>
      </w:r>
      <w:proofErr w:type="spellEnd"/>
      <w:r w:rsidRPr="00975B29">
        <w:rPr>
          <w:rFonts w:ascii="Times New Roman" w:hAnsi="Times New Roman" w:cs="Times New Roman"/>
          <w:sz w:val="24"/>
          <w:szCs w:val="24"/>
        </w:rPr>
        <w:t xml:space="preserve">, M., &amp; Tabatabaei, M. (2022). Biofuel supply chain management in the circular economy transition: An inclusive knowledge map of the field. Chemosphere, 296, 133968. </w:t>
      </w:r>
      <w:hyperlink r:id="rId33" w:history="1">
        <w:r w:rsidRPr="00E35297">
          <w:rPr>
            <w:rStyle w:val="Hyperlink"/>
            <w:rFonts w:ascii="Times New Roman" w:hAnsi="Times New Roman" w:cs="Times New Roman"/>
            <w:sz w:val="24"/>
            <w:szCs w:val="24"/>
          </w:rPr>
          <w:t>https://doi.org/10.1016/j.chemosphere.2022.133968</w:t>
        </w:r>
      </w:hyperlink>
      <w:r>
        <w:rPr>
          <w:rFonts w:ascii="Times New Roman" w:hAnsi="Times New Roman" w:cs="Times New Roman"/>
          <w:sz w:val="24"/>
          <w:szCs w:val="24"/>
        </w:rPr>
        <w:t xml:space="preserve"> </w:t>
      </w:r>
    </w:p>
    <w:p w14:paraId="1F7DA19F" w14:textId="71041119" w:rsidR="00F14AAB" w:rsidRPr="00F14AAB" w:rsidRDefault="005240A0" w:rsidP="00F14AAB">
      <w:pPr>
        <w:rPr>
          <w:rFonts w:ascii="Times New Roman" w:hAnsi="Times New Roman" w:cs="Times New Roman"/>
          <w:sz w:val="24"/>
          <w:szCs w:val="24"/>
        </w:rPr>
      </w:pPr>
      <w:r w:rsidRPr="005240A0">
        <w:rPr>
          <w:rFonts w:ascii="Times New Roman" w:hAnsi="Times New Roman" w:cs="Times New Roman"/>
          <w:sz w:val="24"/>
          <w:szCs w:val="24"/>
        </w:rPr>
        <w:t xml:space="preserve">International Energy Agency. (2018). Renewables 2018: Analysis and forecasts to 2023. </w:t>
      </w:r>
      <w:hyperlink r:id="rId34" w:history="1">
        <w:r w:rsidRPr="00E35297">
          <w:rPr>
            <w:rStyle w:val="Hyperlink"/>
            <w:rFonts w:ascii="Times New Roman" w:hAnsi="Times New Roman" w:cs="Times New Roman"/>
            <w:sz w:val="24"/>
            <w:szCs w:val="24"/>
          </w:rPr>
          <w:t>https://www.iea.org/reports/renewables-2018</w:t>
        </w:r>
      </w:hyperlink>
      <w:r>
        <w:rPr>
          <w:rFonts w:ascii="Times New Roman" w:hAnsi="Times New Roman" w:cs="Times New Roman"/>
          <w:sz w:val="24"/>
          <w:szCs w:val="24"/>
        </w:rPr>
        <w:t xml:space="preserve"> </w:t>
      </w:r>
    </w:p>
    <w:p w14:paraId="26CF7DCE" w14:textId="343095D0" w:rsidR="00F14AAB" w:rsidRPr="00F14AAB" w:rsidRDefault="002878F5" w:rsidP="00F14AAB">
      <w:pPr>
        <w:rPr>
          <w:rFonts w:ascii="Times New Roman" w:hAnsi="Times New Roman" w:cs="Times New Roman"/>
          <w:sz w:val="24"/>
          <w:szCs w:val="24"/>
        </w:rPr>
      </w:pPr>
      <w:r w:rsidRPr="002878F5">
        <w:rPr>
          <w:rFonts w:ascii="Times New Roman" w:hAnsi="Times New Roman" w:cs="Times New Roman"/>
          <w:sz w:val="24"/>
          <w:szCs w:val="24"/>
        </w:rPr>
        <w:t xml:space="preserve">Ritchie, H., Rosado, P., &amp; Roser, M. (2020). CO₂ and Greenhouse Gas Emissions. Our World in Data. </w:t>
      </w:r>
      <w:hyperlink r:id="rId35" w:history="1">
        <w:r w:rsidRPr="00E35297">
          <w:rPr>
            <w:rStyle w:val="Hyperlink"/>
            <w:rFonts w:ascii="Times New Roman" w:hAnsi="Times New Roman" w:cs="Times New Roman"/>
            <w:sz w:val="24"/>
            <w:szCs w:val="24"/>
          </w:rPr>
          <w:t>https://ourworldindata.org/co2-and-other-greenhouse-gas-emissions</w:t>
        </w:r>
      </w:hyperlink>
      <w:r>
        <w:rPr>
          <w:rFonts w:ascii="Times New Roman" w:hAnsi="Times New Roman" w:cs="Times New Roman"/>
          <w:sz w:val="24"/>
          <w:szCs w:val="24"/>
        </w:rPr>
        <w:t xml:space="preserve"> </w:t>
      </w:r>
    </w:p>
    <w:p w14:paraId="1076D8A6" w14:textId="6F08CC8A" w:rsidR="00F14AAB" w:rsidRPr="00F14AAB" w:rsidRDefault="004C1FAE" w:rsidP="00F14AAB">
      <w:pPr>
        <w:rPr>
          <w:rFonts w:ascii="Times New Roman" w:hAnsi="Times New Roman" w:cs="Times New Roman"/>
          <w:sz w:val="24"/>
          <w:szCs w:val="24"/>
        </w:rPr>
      </w:pPr>
      <w:r w:rsidRPr="004C1FAE">
        <w:rPr>
          <w:rFonts w:ascii="Times New Roman" w:hAnsi="Times New Roman" w:cs="Times New Roman"/>
          <w:sz w:val="24"/>
          <w:szCs w:val="24"/>
        </w:rPr>
        <w:t xml:space="preserve">Sharifi, A., &amp; Yamagata, Y. (2016). Principles and criteria for assessing urban energy resilience: A literature review. Renewable and Sustainable Energy Reviews, 60, 1654-1677. </w:t>
      </w:r>
      <w:hyperlink r:id="rId36" w:history="1">
        <w:r w:rsidRPr="00E35297">
          <w:rPr>
            <w:rStyle w:val="Hyperlink"/>
            <w:rFonts w:ascii="Times New Roman" w:hAnsi="Times New Roman" w:cs="Times New Roman"/>
            <w:sz w:val="24"/>
            <w:szCs w:val="24"/>
          </w:rPr>
          <w:t>https://doi.org/10.1016/j.rser.2016.03.028</w:t>
        </w:r>
      </w:hyperlink>
      <w:r>
        <w:rPr>
          <w:rFonts w:ascii="Times New Roman" w:hAnsi="Times New Roman" w:cs="Times New Roman"/>
          <w:sz w:val="24"/>
          <w:szCs w:val="24"/>
        </w:rPr>
        <w:t xml:space="preserve"> </w:t>
      </w:r>
    </w:p>
    <w:p w14:paraId="73926110" w14:textId="350C7919" w:rsidR="00F14AAB" w:rsidRPr="00F14AAB" w:rsidRDefault="003970D7" w:rsidP="00F14AAB">
      <w:pPr>
        <w:spacing w:after="160" w:line="278" w:lineRule="auto"/>
        <w:rPr>
          <w:rFonts w:ascii="Times New Roman" w:hAnsi="Times New Roman" w:cs="Times New Roman"/>
          <w:sz w:val="24"/>
          <w:szCs w:val="24"/>
        </w:rPr>
      </w:pPr>
      <w:r w:rsidRPr="003970D7">
        <w:rPr>
          <w:rFonts w:ascii="Times New Roman" w:hAnsi="Times New Roman" w:cs="Times New Roman"/>
          <w:sz w:val="24"/>
          <w:szCs w:val="24"/>
        </w:rPr>
        <w:lastRenderedPageBreak/>
        <w:t xml:space="preserve">Sharma, B., Vaish, B., Monika, Singh, U. K., Singh, P., &amp; Singh, R. P. (2019). Recycling of organic wastes in agriculture: An environmental perspective. International Journal of Environmental Research, 13(2), 409-429. </w:t>
      </w:r>
      <w:hyperlink r:id="rId37" w:history="1">
        <w:r w:rsidRPr="00E35297">
          <w:rPr>
            <w:rStyle w:val="Hyperlink"/>
            <w:rFonts w:ascii="Times New Roman" w:hAnsi="Times New Roman" w:cs="Times New Roman"/>
            <w:sz w:val="24"/>
            <w:szCs w:val="24"/>
          </w:rPr>
          <w:t>https://doi.org/10.1007/s41742-019-00175-y</w:t>
        </w:r>
      </w:hyperlink>
      <w:r>
        <w:rPr>
          <w:rFonts w:ascii="Times New Roman" w:hAnsi="Times New Roman" w:cs="Times New Roman"/>
          <w:sz w:val="24"/>
          <w:szCs w:val="24"/>
        </w:rPr>
        <w:t xml:space="preserve"> </w:t>
      </w:r>
    </w:p>
    <w:p w14:paraId="4B4A613A" w14:textId="70733F91" w:rsidR="00F14AAB" w:rsidRPr="00F14AAB" w:rsidRDefault="00143CD5" w:rsidP="00F14AAB">
      <w:pPr>
        <w:rPr>
          <w:rFonts w:ascii="Times New Roman" w:hAnsi="Times New Roman" w:cs="Times New Roman"/>
          <w:sz w:val="24"/>
          <w:szCs w:val="24"/>
        </w:rPr>
      </w:pPr>
      <w:r w:rsidRPr="00143CD5">
        <w:rPr>
          <w:rFonts w:ascii="Times New Roman" w:hAnsi="Times New Roman" w:cs="Times New Roman"/>
          <w:sz w:val="24"/>
          <w:szCs w:val="24"/>
        </w:rPr>
        <w:t>Smith, C., Hill, A. K., &amp; Torrente-</w:t>
      </w:r>
      <w:proofErr w:type="spellStart"/>
      <w:r w:rsidRPr="00143CD5">
        <w:rPr>
          <w:rFonts w:ascii="Times New Roman" w:hAnsi="Times New Roman" w:cs="Times New Roman"/>
          <w:sz w:val="24"/>
          <w:szCs w:val="24"/>
        </w:rPr>
        <w:t>Murciano</w:t>
      </w:r>
      <w:proofErr w:type="spellEnd"/>
      <w:r w:rsidRPr="00143CD5">
        <w:rPr>
          <w:rFonts w:ascii="Times New Roman" w:hAnsi="Times New Roman" w:cs="Times New Roman"/>
          <w:sz w:val="24"/>
          <w:szCs w:val="24"/>
        </w:rPr>
        <w:t xml:space="preserve">, L. (2020). Current and future role of Haber–Bosch ammonia in a carbon-free energy landscape. Energy &amp; Environmental Science, 13(2), 331-344. </w:t>
      </w:r>
      <w:hyperlink r:id="rId38" w:history="1">
        <w:r w:rsidRPr="00E35297">
          <w:rPr>
            <w:rStyle w:val="Hyperlink"/>
            <w:rFonts w:ascii="Times New Roman" w:hAnsi="Times New Roman" w:cs="Times New Roman"/>
            <w:sz w:val="24"/>
            <w:szCs w:val="24"/>
          </w:rPr>
          <w:t>https://doi.org/10.1039/C9EE02873K</w:t>
        </w:r>
      </w:hyperlink>
      <w:r>
        <w:rPr>
          <w:rFonts w:ascii="Times New Roman" w:hAnsi="Times New Roman" w:cs="Times New Roman"/>
          <w:sz w:val="24"/>
          <w:szCs w:val="24"/>
        </w:rPr>
        <w:t xml:space="preserve"> </w:t>
      </w:r>
    </w:p>
    <w:p w14:paraId="3C06465D" w14:textId="1E7520B3" w:rsidR="00F14AAB" w:rsidRPr="00F14AAB" w:rsidRDefault="00F84DD6" w:rsidP="00F14AAB">
      <w:pPr>
        <w:rPr>
          <w:rFonts w:ascii="Times New Roman" w:hAnsi="Times New Roman" w:cs="Times New Roman"/>
          <w:sz w:val="24"/>
          <w:szCs w:val="24"/>
        </w:rPr>
      </w:pPr>
      <w:r w:rsidRPr="00F84DD6">
        <w:rPr>
          <w:rFonts w:ascii="Times New Roman" w:hAnsi="Times New Roman" w:cs="Times New Roman"/>
          <w:sz w:val="24"/>
          <w:szCs w:val="24"/>
        </w:rPr>
        <w:t xml:space="preserve">Twelve Technologies. (2024). Sustainable aviation fuel. </w:t>
      </w:r>
      <w:hyperlink r:id="rId39" w:history="1">
        <w:r w:rsidRPr="00E35297">
          <w:rPr>
            <w:rStyle w:val="Hyperlink"/>
            <w:rFonts w:ascii="Times New Roman" w:hAnsi="Times New Roman" w:cs="Times New Roman"/>
            <w:sz w:val="24"/>
            <w:szCs w:val="24"/>
          </w:rPr>
          <w:t>https://www.twelve.co/saf</w:t>
        </w:r>
      </w:hyperlink>
      <w:r>
        <w:rPr>
          <w:rFonts w:ascii="Times New Roman" w:hAnsi="Times New Roman" w:cs="Times New Roman"/>
          <w:sz w:val="24"/>
          <w:szCs w:val="24"/>
        </w:rPr>
        <w:t xml:space="preserve"> </w:t>
      </w:r>
    </w:p>
    <w:p w14:paraId="7F92CB85" w14:textId="7AE24792" w:rsidR="00CA3124" w:rsidRPr="00F14AAB" w:rsidRDefault="00B50C54">
      <w:pPr>
        <w:spacing w:line="360" w:lineRule="auto"/>
        <w:jc w:val="both"/>
        <w:rPr>
          <w:rFonts w:ascii="Times New Roman" w:hAnsi="Times New Roman" w:cs="Times New Roman"/>
          <w:sz w:val="24"/>
          <w:szCs w:val="24"/>
        </w:rPr>
      </w:pPr>
      <w:r w:rsidRPr="00B50C54">
        <w:rPr>
          <w:rFonts w:ascii="Times New Roman" w:hAnsi="Times New Roman" w:cs="Times New Roman"/>
          <w:sz w:val="24"/>
          <w:szCs w:val="24"/>
        </w:rPr>
        <w:t xml:space="preserve">Yin, R. K. (2018). Case study research and applications: Design and methods (6th ed.). SAGE Publications. </w:t>
      </w:r>
      <w:hyperlink r:id="rId40" w:history="1">
        <w:r w:rsidRPr="00E35297">
          <w:rPr>
            <w:rStyle w:val="Hyperlink"/>
            <w:rFonts w:ascii="Times New Roman" w:hAnsi="Times New Roman" w:cs="Times New Roman"/>
            <w:sz w:val="24"/>
            <w:szCs w:val="24"/>
          </w:rPr>
          <w:t>https://us.sagepub.com/en-us/nam/case-study-research-and-applications/book246099</w:t>
        </w:r>
      </w:hyperlink>
      <w:r>
        <w:rPr>
          <w:rFonts w:ascii="Times New Roman" w:hAnsi="Times New Roman" w:cs="Times New Roman"/>
          <w:sz w:val="24"/>
          <w:szCs w:val="24"/>
        </w:rPr>
        <w:t xml:space="preserve"> </w:t>
      </w:r>
    </w:p>
    <w:sectPr w:rsidR="00CA3124" w:rsidRPr="00F14AAB" w:rsidSect="00034616">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39D9" w14:textId="77777777" w:rsidR="00472F47" w:rsidRDefault="00472F47" w:rsidP="00E45E4B">
      <w:pPr>
        <w:spacing w:after="0" w:line="240" w:lineRule="auto"/>
      </w:pPr>
      <w:r>
        <w:separator/>
      </w:r>
    </w:p>
  </w:endnote>
  <w:endnote w:type="continuationSeparator" w:id="0">
    <w:p w14:paraId="3CF10C4C" w14:textId="77777777" w:rsidR="00472F47" w:rsidRDefault="00472F47" w:rsidP="00E4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32C2" w14:textId="77777777" w:rsidR="00E45E4B" w:rsidRDefault="00E4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79A" w14:textId="77777777" w:rsidR="00E45E4B" w:rsidRDefault="00E4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FDFA" w14:textId="77777777" w:rsidR="00E45E4B" w:rsidRDefault="00E4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3DFC" w14:textId="77777777" w:rsidR="00472F47" w:rsidRDefault="00472F47" w:rsidP="00E45E4B">
      <w:pPr>
        <w:spacing w:after="0" w:line="240" w:lineRule="auto"/>
      </w:pPr>
      <w:r>
        <w:separator/>
      </w:r>
    </w:p>
  </w:footnote>
  <w:footnote w:type="continuationSeparator" w:id="0">
    <w:p w14:paraId="73D82F2B" w14:textId="77777777" w:rsidR="00472F47" w:rsidRDefault="00472F47" w:rsidP="00E4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F5AB" w14:textId="4B2C066F" w:rsidR="00E45E4B" w:rsidRDefault="00000000">
    <w:pPr>
      <w:pStyle w:val="Header"/>
    </w:pPr>
    <w:r>
      <w:rPr>
        <w:noProof/>
      </w:rPr>
      <w:pict w14:anchorId="790EE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907297" o:sp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7F6F" w14:textId="12247809" w:rsidR="00E45E4B" w:rsidRDefault="00000000">
    <w:pPr>
      <w:pStyle w:val="Header"/>
    </w:pPr>
    <w:r>
      <w:rPr>
        <w:noProof/>
      </w:rPr>
      <w:pict w14:anchorId="0F783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907298" o:spid="_x0000_s1027"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C0DC" w14:textId="0E975920" w:rsidR="00E45E4B" w:rsidRDefault="00000000">
    <w:pPr>
      <w:pStyle w:val="Header"/>
    </w:pPr>
    <w:r>
      <w:rPr>
        <w:noProof/>
      </w:rPr>
      <w:pict w14:anchorId="3D981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907296"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13F66F5"/>
    <w:multiLevelType w:val="hybridMultilevel"/>
    <w:tmpl w:val="0906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057804">
    <w:abstractNumId w:val="8"/>
  </w:num>
  <w:num w:numId="2" w16cid:durableId="1015574581">
    <w:abstractNumId w:val="6"/>
  </w:num>
  <w:num w:numId="3" w16cid:durableId="502474919">
    <w:abstractNumId w:val="5"/>
  </w:num>
  <w:num w:numId="4" w16cid:durableId="1117257986">
    <w:abstractNumId w:val="4"/>
  </w:num>
  <w:num w:numId="5" w16cid:durableId="1280642760">
    <w:abstractNumId w:val="7"/>
  </w:num>
  <w:num w:numId="6" w16cid:durableId="69355714">
    <w:abstractNumId w:val="3"/>
  </w:num>
  <w:num w:numId="7" w16cid:durableId="254898319">
    <w:abstractNumId w:val="2"/>
  </w:num>
  <w:num w:numId="8" w16cid:durableId="1883516492">
    <w:abstractNumId w:val="1"/>
  </w:num>
  <w:num w:numId="9" w16cid:durableId="201863459">
    <w:abstractNumId w:val="0"/>
  </w:num>
  <w:num w:numId="10" w16cid:durableId="1740521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026"/>
    <w:rsid w:val="0006063C"/>
    <w:rsid w:val="00096983"/>
    <w:rsid w:val="000B74E2"/>
    <w:rsid w:val="000F20C4"/>
    <w:rsid w:val="000F7DCD"/>
    <w:rsid w:val="00115F3C"/>
    <w:rsid w:val="00143CD5"/>
    <w:rsid w:val="0015074B"/>
    <w:rsid w:val="00167FB5"/>
    <w:rsid w:val="001815F0"/>
    <w:rsid w:val="001A3EA0"/>
    <w:rsid w:val="001A5015"/>
    <w:rsid w:val="001A7E94"/>
    <w:rsid w:val="001C74A9"/>
    <w:rsid w:val="001D2010"/>
    <w:rsid w:val="001E0FA8"/>
    <w:rsid w:val="00220FAE"/>
    <w:rsid w:val="00221C37"/>
    <w:rsid w:val="00276A41"/>
    <w:rsid w:val="002859EB"/>
    <w:rsid w:val="002878F5"/>
    <w:rsid w:val="0029639D"/>
    <w:rsid w:val="002A1954"/>
    <w:rsid w:val="002C793A"/>
    <w:rsid w:val="00326F90"/>
    <w:rsid w:val="00336E7F"/>
    <w:rsid w:val="00341450"/>
    <w:rsid w:val="003548B1"/>
    <w:rsid w:val="00371985"/>
    <w:rsid w:val="003970D7"/>
    <w:rsid w:val="003F78A4"/>
    <w:rsid w:val="004139E2"/>
    <w:rsid w:val="00472F47"/>
    <w:rsid w:val="00476C71"/>
    <w:rsid w:val="004B1783"/>
    <w:rsid w:val="004B21E1"/>
    <w:rsid w:val="004C0704"/>
    <w:rsid w:val="004C1FAE"/>
    <w:rsid w:val="005240A0"/>
    <w:rsid w:val="00525EFA"/>
    <w:rsid w:val="00592281"/>
    <w:rsid w:val="005D22D9"/>
    <w:rsid w:val="006229A9"/>
    <w:rsid w:val="006501E0"/>
    <w:rsid w:val="00677EBE"/>
    <w:rsid w:val="006B3C20"/>
    <w:rsid w:val="006B5F53"/>
    <w:rsid w:val="006E14C1"/>
    <w:rsid w:val="00724254"/>
    <w:rsid w:val="00765954"/>
    <w:rsid w:val="0078267D"/>
    <w:rsid w:val="00784AE3"/>
    <w:rsid w:val="007E215D"/>
    <w:rsid w:val="008277C2"/>
    <w:rsid w:val="00831A06"/>
    <w:rsid w:val="008755E7"/>
    <w:rsid w:val="008A293E"/>
    <w:rsid w:val="008F2E08"/>
    <w:rsid w:val="00972659"/>
    <w:rsid w:val="00975B29"/>
    <w:rsid w:val="00996900"/>
    <w:rsid w:val="00A3250E"/>
    <w:rsid w:val="00AA1D8D"/>
    <w:rsid w:val="00AC0F50"/>
    <w:rsid w:val="00AF4E0F"/>
    <w:rsid w:val="00B05FB5"/>
    <w:rsid w:val="00B2669A"/>
    <w:rsid w:val="00B37683"/>
    <w:rsid w:val="00B47730"/>
    <w:rsid w:val="00B50C54"/>
    <w:rsid w:val="00B85D9A"/>
    <w:rsid w:val="00BE61DB"/>
    <w:rsid w:val="00C56B16"/>
    <w:rsid w:val="00C62AAA"/>
    <w:rsid w:val="00C67A46"/>
    <w:rsid w:val="00C74FCD"/>
    <w:rsid w:val="00CA3124"/>
    <w:rsid w:val="00CB0664"/>
    <w:rsid w:val="00CB39E3"/>
    <w:rsid w:val="00CB5CB0"/>
    <w:rsid w:val="00CD463B"/>
    <w:rsid w:val="00D71D5E"/>
    <w:rsid w:val="00D77B61"/>
    <w:rsid w:val="00D8276D"/>
    <w:rsid w:val="00D854E6"/>
    <w:rsid w:val="00D91F10"/>
    <w:rsid w:val="00DB7E53"/>
    <w:rsid w:val="00DC6A0B"/>
    <w:rsid w:val="00DD563F"/>
    <w:rsid w:val="00DD7623"/>
    <w:rsid w:val="00E03C71"/>
    <w:rsid w:val="00E12663"/>
    <w:rsid w:val="00E12933"/>
    <w:rsid w:val="00E45E4B"/>
    <w:rsid w:val="00EB1DEA"/>
    <w:rsid w:val="00EC6128"/>
    <w:rsid w:val="00EC6AC3"/>
    <w:rsid w:val="00F14AAB"/>
    <w:rsid w:val="00F84DD6"/>
    <w:rsid w:val="00F87B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EFD57A"/>
  <w14:defaultImageDpi w14:val="300"/>
  <w15:docId w15:val="{EEDAF673-6C59-43CA-A0EC-3EFA3CD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14AAB"/>
    <w:rPr>
      <w:color w:val="0000FF" w:themeColor="hyperlink"/>
      <w:u w:val="single"/>
    </w:rPr>
  </w:style>
  <w:style w:type="character" w:customStyle="1" w:styleId="UnresolvedMention1">
    <w:name w:val="Unresolved Mention1"/>
    <w:basedOn w:val="DefaultParagraphFont"/>
    <w:uiPriority w:val="99"/>
    <w:semiHidden/>
    <w:unhideWhenUsed/>
    <w:rsid w:val="00D8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4013339" TargetMode="External"/><Relationship Id="rId18" Type="http://schemas.openxmlformats.org/officeDocument/2006/relationships/hyperlink" Target="https://www.epa.gov/ghgemissions/inventory-us-greenhouse-gas-emissions-and-sinks-1990-2022" TargetMode="External"/><Relationship Id="rId26" Type="http://schemas.openxmlformats.org/officeDocument/2006/relationships/hyperlink" Target="https://doi.org/10.1007/s10668-022-02422-3" TargetMode="External"/><Relationship Id="rId39" Type="http://schemas.openxmlformats.org/officeDocument/2006/relationships/hyperlink" Target="https://www.twelve.co/saf" TargetMode="External"/><Relationship Id="rId21" Type="http://schemas.openxmlformats.org/officeDocument/2006/relationships/hyperlink" Target="https://doi.org/10.1016/j.cemconres.2015.04.012" TargetMode="External"/><Relationship Id="rId34" Type="http://schemas.openxmlformats.org/officeDocument/2006/relationships/hyperlink" Target="https://www.iea.org/reports/renewables-201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9/C001514H" TargetMode="External"/><Relationship Id="rId29" Type="http://schemas.openxmlformats.org/officeDocument/2006/relationships/hyperlink" Target="https://doi.org/10.1016/j.rser.2014.04.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17.10.199" TargetMode="External"/><Relationship Id="rId24" Type="http://schemas.openxmlformats.org/officeDocument/2006/relationships/hyperlink" Target="https://doi.org/10.1016/j.apenergy.2017.08.068" TargetMode="External"/><Relationship Id="rId32" Type="http://schemas.openxmlformats.org/officeDocument/2006/relationships/hyperlink" Target="https://doi.org/10.1007/s10311-020-01133-3" TargetMode="External"/><Relationship Id="rId37" Type="http://schemas.openxmlformats.org/officeDocument/2006/relationships/hyperlink" Target="https://doi.org/10.1007/s41742-019-00175-y" TargetMode="External"/><Relationship Id="rId40" Type="http://schemas.openxmlformats.org/officeDocument/2006/relationships/hyperlink" Target="https://us.sagepub.com/en-us/nam/case-study-research-and-applications/book246099"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biortech.2007.01.057" TargetMode="External"/><Relationship Id="rId23" Type="http://schemas.openxmlformats.org/officeDocument/2006/relationships/hyperlink" Target="https://doi.org/10.1016/j.jclepro.2020.123535" TargetMode="External"/><Relationship Id="rId28" Type="http://schemas.openxmlformats.org/officeDocument/2006/relationships/hyperlink" Target="https://doi.org/10.3390/en12030532" TargetMode="External"/><Relationship Id="rId36" Type="http://schemas.openxmlformats.org/officeDocument/2006/relationships/hyperlink" Target="https://doi.org/10.1016/j.rser.2016.03.028" TargetMode="External"/><Relationship Id="rId10" Type="http://schemas.openxmlformats.org/officeDocument/2006/relationships/hyperlink" Target="https://doi.org/10.1007/978-3-319-47889-0_28" TargetMode="External"/><Relationship Id="rId19" Type="http://schemas.openxmlformats.org/officeDocument/2006/relationships/hyperlink" Target="https://www.epa.gov/ghgemissions/sources-greenhouse-gas-emissions" TargetMode="External"/><Relationship Id="rId31" Type="http://schemas.openxmlformats.org/officeDocument/2006/relationships/hyperlink" Target="https://www.cbo.gov/publication/5934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rser.2020.110691" TargetMode="External"/><Relationship Id="rId14" Type="http://schemas.openxmlformats.org/officeDocument/2006/relationships/hyperlink" Target="https://www.ipcc.ch/report/ar5/wg3/" TargetMode="External"/><Relationship Id="rId22" Type="http://schemas.openxmlformats.org/officeDocument/2006/relationships/hyperlink" Target="https://www.h2knowledgecentre.com/content/researchpaper1609" TargetMode="External"/><Relationship Id="rId27" Type="http://schemas.openxmlformats.org/officeDocument/2006/relationships/hyperlink" Target="https://doi.org/10.1016/j.techfore.2019.04.002" TargetMode="External"/><Relationship Id="rId30" Type="http://schemas.openxmlformats.org/officeDocument/2006/relationships/hyperlink" Target="https://www.echocommunity.org/en/resources/1984-01-01_Understanding_Biogas_Generation" TargetMode="External"/><Relationship Id="rId35" Type="http://schemas.openxmlformats.org/officeDocument/2006/relationships/hyperlink" Target="https://ourworldindata.org/co2-and-other-greenhouse-gas-emission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51594/estj.v5i8.1460" TargetMode="External"/><Relationship Id="rId3" Type="http://schemas.openxmlformats.org/officeDocument/2006/relationships/styles" Target="styles.xml"/><Relationship Id="rId12" Type="http://schemas.openxmlformats.org/officeDocument/2006/relationships/hyperlink" Target="https://doi.org/10.1016/j.joule.2017.09.003" TargetMode="External"/><Relationship Id="rId17" Type="http://schemas.openxmlformats.org/officeDocument/2006/relationships/hyperlink" Target="https://www.eia.gov/electricity/data/browser/" TargetMode="External"/><Relationship Id="rId25" Type="http://schemas.openxmlformats.org/officeDocument/2006/relationships/hyperlink" Target="https://www.irena.org/publications/2021/Jun/Renewable-Power-Costs-in-2020" TargetMode="External"/><Relationship Id="rId33" Type="http://schemas.openxmlformats.org/officeDocument/2006/relationships/hyperlink" Target="https://doi.org/10.1016/j.chemosphere.2022.133968" TargetMode="External"/><Relationship Id="rId38" Type="http://schemas.openxmlformats.org/officeDocument/2006/relationships/hyperlink" Target="https://doi.org/10.1039/C9EE02873K" TargetMode="External"/><Relationship Id="rId46" Type="http://schemas.openxmlformats.org/officeDocument/2006/relationships/footer" Target="footer3.xml"/><Relationship Id="rId20" Type="http://schemas.openxmlformats.org/officeDocument/2006/relationships/hyperlink" Target="https://doi.org/10.1007/s10311-020-01059-w"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23149-3A88-416F-8C00-1CEA437C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38</Pages>
  <Words>13613</Words>
  <Characters>77600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ovogunye</cp:lastModifiedBy>
  <cp:revision>96</cp:revision>
  <dcterms:created xsi:type="dcterms:W3CDTF">2013-12-23T23:15:00Z</dcterms:created>
  <dcterms:modified xsi:type="dcterms:W3CDTF">2025-12-04T04:00:00Z</dcterms:modified>
  <cp:category/>
</cp:coreProperties>
</file>