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69F0" w14:textId="77777777" w:rsidR="00754C9A" w:rsidRDefault="00754C9A" w:rsidP="00D75F47">
      <w:pPr>
        <w:pStyle w:val="Title"/>
        <w:spacing w:after="0"/>
        <w:jc w:val="both"/>
        <w:rPr>
          <w:rFonts w:ascii="Arial" w:hAnsi="Arial" w:cs="Arial"/>
        </w:rPr>
      </w:pPr>
    </w:p>
    <w:p w14:paraId="6C51EA43" w14:textId="06D3456F" w:rsidR="00163BC4" w:rsidRPr="00163BC4" w:rsidRDefault="00D37642" w:rsidP="00D75F47">
      <w:pPr>
        <w:pStyle w:val="Author"/>
        <w:spacing w:line="240" w:lineRule="auto"/>
        <w:rPr>
          <w:rFonts w:ascii="Arial" w:hAnsi="Arial" w:cs="Arial"/>
          <w:bCs/>
          <w:iCs/>
          <w:kern w:val="28"/>
          <w:sz w:val="36"/>
        </w:rPr>
      </w:pPr>
      <w:r>
        <w:rPr>
          <w:rFonts w:ascii="Arial" w:hAnsi="Arial" w:cs="Arial"/>
          <w:bCs/>
          <w:iCs/>
          <w:kern w:val="28"/>
          <w:sz w:val="36"/>
        </w:rPr>
        <w:t>Effect of Rice Husk Ash as Partial Cement Replacement on the Mechanical Properties of Concrete</w:t>
      </w:r>
    </w:p>
    <w:p w14:paraId="1D94F085" w14:textId="77777777" w:rsidR="00A258C3" w:rsidRPr="00790ADA" w:rsidRDefault="00A258C3" w:rsidP="00D75F47">
      <w:pPr>
        <w:pStyle w:val="Author"/>
        <w:spacing w:line="240" w:lineRule="auto"/>
        <w:jc w:val="both"/>
        <w:rPr>
          <w:rFonts w:ascii="Arial" w:hAnsi="Arial" w:cs="Arial"/>
          <w:sz w:val="36"/>
        </w:rPr>
      </w:pPr>
    </w:p>
    <w:p w14:paraId="426BAC57" w14:textId="77777777" w:rsidR="009A4C1F" w:rsidRPr="0083216F" w:rsidRDefault="009A4C1F" w:rsidP="00D75F47">
      <w:pPr>
        <w:pStyle w:val="Affiliation"/>
        <w:spacing w:after="0" w:line="240" w:lineRule="auto"/>
        <w:rPr>
          <w:rFonts w:ascii="Arial" w:hAnsi="Arial" w:cs="Arial"/>
          <w:i/>
        </w:rPr>
      </w:pPr>
    </w:p>
    <w:p w14:paraId="20BA1898" w14:textId="77777777" w:rsidR="002C57D2" w:rsidRPr="00FB3A86" w:rsidRDefault="002C57D2" w:rsidP="00D75F47">
      <w:pPr>
        <w:pStyle w:val="Affiliation"/>
        <w:spacing w:after="0" w:line="240" w:lineRule="auto"/>
        <w:jc w:val="both"/>
        <w:rPr>
          <w:rFonts w:ascii="Arial" w:hAnsi="Arial" w:cs="Arial"/>
        </w:rPr>
      </w:pPr>
    </w:p>
    <w:p w14:paraId="1E4E4E45" w14:textId="2DF035BA" w:rsidR="00B01FCD" w:rsidRPr="00FB3A86" w:rsidRDefault="004B5681" w:rsidP="00D75F47">
      <w:pPr>
        <w:pStyle w:val="Copyright"/>
        <w:spacing w:after="0" w:line="240" w:lineRule="auto"/>
        <w:jc w:val="both"/>
        <w:rPr>
          <w:rFonts w:ascii="Arial" w:hAnsi="Arial" w:cs="Arial"/>
        </w:rPr>
        <w:sectPr w:rsidR="00B01FCD" w:rsidRPr="00FB3A86" w:rsidSect="009470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A0F1C7" wp14:editId="3457F8CA">
                <wp:extent cx="5303520" cy="635"/>
                <wp:effectExtent l="11430" t="18415" r="9525" b="10160"/>
                <wp:docPr id="533862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AB1CD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D1D78BF" w14:textId="3F559DC1" w:rsidR="00B01FCD" w:rsidRDefault="00B01FCD" w:rsidP="00D75F47">
      <w:pPr>
        <w:pStyle w:val="AbstHead"/>
        <w:spacing w:after="0"/>
        <w:jc w:val="both"/>
        <w:rPr>
          <w:rFonts w:ascii="Arial" w:hAnsi="Arial" w:cs="Arial"/>
        </w:rPr>
      </w:pPr>
      <w:r w:rsidRPr="00FB3A86">
        <w:rPr>
          <w:rFonts w:ascii="Arial" w:hAnsi="Arial" w:cs="Arial"/>
        </w:rPr>
        <w:t>ABSTRACT</w:t>
      </w:r>
    </w:p>
    <w:p w14:paraId="2EADFC66" w14:textId="77777777" w:rsidR="00790ADA" w:rsidRPr="00FB3A86" w:rsidRDefault="00790ADA" w:rsidP="00D75F4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74EFC7" w14:textId="77777777" w:rsidTr="009D1109">
        <w:trPr>
          <w:trHeight w:val="4238"/>
        </w:trPr>
        <w:tc>
          <w:tcPr>
            <w:tcW w:w="9576" w:type="dxa"/>
            <w:shd w:val="clear" w:color="auto" w:fill="F2F2F2"/>
          </w:tcPr>
          <w:p w14:paraId="3E489B27" w14:textId="179B2CF6" w:rsidR="00505F06" w:rsidRPr="00BA1B01" w:rsidRDefault="009D1109" w:rsidP="009D1109">
            <w:pPr>
              <w:pStyle w:val="Body"/>
              <w:rPr>
                <w:rFonts w:ascii="Arial" w:eastAsia="Calibri" w:hAnsi="Arial" w:cs="Arial"/>
                <w:szCs w:val="22"/>
              </w:rPr>
            </w:pPr>
            <w:r w:rsidRPr="009D1109">
              <w:rPr>
                <w:rFonts w:ascii="Arial" w:eastAsia="Calibri" w:hAnsi="Arial" w:cs="Arial"/>
                <w:szCs w:val="22"/>
              </w:rPr>
              <w:t>Rice husk ash (RHA) is increasingly explored as a sustainable supplementary cementitious material due to its high amorphous silica content and potential to reduce cement consumption and CO</w:t>
            </w:r>
            <w:r w:rsidRPr="009D1109">
              <w:rPr>
                <w:rFonts w:ascii="Cambria Math" w:eastAsia="Calibri" w:hAnsi="Cambria Math" w:cs="Cambria Math"/>
                <w:szCs w:val="22"/>
              </w:rPr>
              <w:t>₂</w:t>
            </w:r>
            <w:r w:rsidRPr="009D1109">
              <w:rPr>
                <w:rFonts w:ascii="Arial" w:eastAsia="Calibri" w:hAnsi="Arial" w:cs="Arial"/>
                <w:szCs w:val="22"/>
              </w:rPr>
              <w:t xml:space="preserve"> emissions. This study evaluated the effects of RHA as a partial cement replacement on the fresh and hardened properties of concrete. Rice husk was cleaned, oven-dried, and combusted at 700 ± 10°C under controlled conditions before being ground to pass a 75 µm sieve. XRD and EDS analyses confirmed the presence of amorphous silica responsible for pozzolanic reactivity. A total of 48 concrete cubes (150 mm × 150 mm × 150 mm), representing four mixes (0%, 5%, 10%, and 15% RHA) with twelve cubes per dosage, were cast at a water–cement ratio of 0.50 and tested for slump and compressive strength at 7, 14, and 28 days. Workability increased from 4.5 cm in the control mix to 7.0 cm at 10% RHA, then decreased slightly at 15%. Compressive strength for the control increased from 13.7 MPa at 7 days to 20.65 MPa at 28 days. At 5% RHA, strength exceeded the control at 14 days (17.81 MPa) and reached 18.53 MPa at 28 days, indicating beneficial pozzolanic contribution. Higher replacements reduced strength, with 10% and 15% RHA achieving 13.50 MPa and 8.20 MPa at 28 days, respectively, due to reduced cementitious content and increased porosity. The findings demonstrate that RHA possesses moderate pozzolanic reactivity and is most effective at low replacement levels, with 5% identified as the optimal dosage for enhancing performance while contributing to sustainable concrete production</w:t>
            </w:r>
          </w:p>
        </w:tc>
      </w:tr>
    </w:tbl>
    <w:p w14:paraId="5B1F5924" w14:textId="77777777" w:rsidR="00636EB2" w:rsidRDefault="00636EB2" w:rsidP="00D75F47">
      <w:pPr>
        <w:pStyle w:val="Body"/>
        <w:spacing w:after="0"/>
        <w:rPr>
          <w:rFonts w:ascii="Arial" w:hAnsi="Arial" w:cs="Arial"/>
          <w:i/>
        </w:rPr>
      </w:pPr>
    </w:p>
    <w:p w14:paraId="5CABAE98" w14:textId="077763C0" w:rsidR="00A24E7E" w:rsidRDefault="00A24E7E" w:rsidP="00D75F47">
      <w:pPr>
        <w:pStyle w:val="Body"/>
        <w:spacing w:after="0"/>
        <w:rPr>
          <w:rFonts w:ascii="Arial" w:hAnsi="Arial" w:cs="Arial"/>
          <w:i/>
        </w:rPr>
      </w:pPr>
      <w:r>
        <w:rPr>
          <w:rFonts w:ascii="Arial" w:hAnsi="Arial" w:cs="Arial"/>
          <w:i/>
        </w:rPr>
        <w:t xml:space="preserve">Keywords: </w:t>
      </w:r>
      <w:r w:rsidR="009A4C1F" w:rsidRPr="009A4C1F">
        <w:rPr>
          <w:rFonts w:ascii="Arial" w:hAnsi="Arial" w:cs="Arial"/>
          <w:bCs/>
          <w:i/>
        </w:rPr>
        <w:t>Reactivity, Rice husk ash, Concrete, Compressive strength</w:t>
      </w:r>
    </w:p>
    <w:p w14:paraId="395D9D47" w14:textId="77777777" w:rsidR="00505F06" w:rsidRPr="00A24E7E" w:rsidRDefault="00505F06" w:rsidP="00D75F47">
      <w:pPr>
        <w:pStyle w:val="Body"/>
        <w:spacing w:after="0"/>
        <w:rPr>
          <w:rFonts w:ascii="Arial" w:hAnsi="Arial" w:cs="Arial"/>
          <w:i/>
        </w:rPr>
      </w:pPr>
    </w:p>
    <w:p w14:paraId="57677074" w14:textId="51C63C7D" w:rsidR="007F7B32" w:rsidRDefault="00902823" w:rsidP="00D75F47">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651ECCE" w14:textId="77777777" w:rsidR="00790ADA" w:rsidRPr="00FB3A86" w:rsidRDefault="00790ADA" w:rsidP="00D75F47">
      <w:pPr>
        <w:pStyle w:val="AbstHead"/>
        <w:spacing w:after="0"/>
        <w:jc w:val="both"/>
        <w:rPr>
          <w:rFonts w:ascii="Arial" w:hAnsi="Arial" w:cs="Arial"/>
        </w:rPr>
      </w:pPr>
    </w:p>
    <w:p w14:paraId="78ED6232" w14:textId="77777777" w:rsidR="009A4C1F" w:rsidRPr="009A4C1F" w:rsidRDefault="009A4C1F" w:rsidP="00D75F47">
      <w:pPr>
        <w:pStyle w:val="Body"/>
        <w:spacing w:after="0"/>
        <w:rPr>
          <w:rFonts w:ascii="Arial" w:hAnsi="Arial" w:cs="Arial"/>
        </w:rPr>
      </w:pPr>
      <w:r w:rsidRPr="009A4C1F">
        <w:rPr>
          <w:rFonts w:ascii="Arial" w:hAnsi="Arial" w:cs="Arial"/>
        </w:rPr>
        <w:t>It is a popularly known fact that Ordinary Portland Cement (OPC), the primary binder of concrete, the world’s most widely used construction material, significantly contributes to global CO</w:t>
      </w:r>
      <w:r w:rsidRPr="009A4C1F">
        <w:rPr>
          <w:rFonts w:ascii="Cambria Math" w:hAnsi="Cambria Math" w:cs="Cambria Math"/>
        </w:rPr>
        <w:t>₂</w:t>
      </w:r>
      <w:r w:rsidRPr="009A4C1F">
        <w:rPr>
          <w:rFonts w:ascii="Arial" w:hAnsi="Arial" w:cs="Arial"/>
        </w:rPr>
        <w:t xml:space="preserve"> emissions due to the high energy requirements of clinker production. In response to environmental and sustainability concerns, researchers have increasingly turned to supplementary cementitious materials (SCMs) to reduce cement usage and enhance performance.</w:t>
      </w:r>
    </w:p>
    <w:p w14:paraId="45DD06FC" w14:textId="4CD7E1F7" w:rsidR="009A4C1F" w:rsidRPr="009A4C1F" w:rsidRDefault="009A4C1F" w:rsidP="00D75F47">
      <w:pPr>
        <w:pStyle w:val="Body"/>
        <w:spacing w:after="0"/>
        <w:rPr>
          <w:rFonts w:ascii="Arial" w:hAnsi="Arial" w:cs="Arial"/>
        </w:rPr>
      </w:pPr>
      <w:r w:rsidRPr="009A4C1F">
        <w:rPr>
          <w:rFonts w:ascii="Arial" w:hAnsi="Arial" w:cs="Arial"/>
        </w:rPr>
        <w:t>Rice Husk Ash (RHA) is one such SCM, produced from the controlled combustion of rice husks, an abundant agricultural by-product. Rich in amorphous silica, RHA exhibits strong pozzolanic activity, wherein silica reacts with calcium hydroxide (Ca</w:t>
      </w:r>
      <w:r w:rsidR="009D1109">
        <w:rPr>
          <w:rFonts w:ascii="Arial" w:hAnsi="Arial" w:cs="Arial"/>
        </w:rPr>
        <w:t xml:space="preserve"> </w:t>
      </w:r>
      <w:r w:rsidRPr="009A4C1F">
        <w:rPr>
          <w:rFonts w:ascii="Arial" w:hAnsi="Arial" w:cs="Arial"/>
        </w:rPr>
        <w:t>(OH)</w:t>
      </w:r>
      <w:r w:rsidRPr="009A4C1F">
        <w:rPr>
          <w:rFonts w:ascii="Cambria Math" w:hAnsi="Cambria Math" w:cs="Cambria Math"/>
        </w:rPr>
        <w:t>₂</w:t>
      </w:r>
      <w:r w:rsidRPr="009A4C1F">
        <w:rPr>
          <w:rFonts w:ascii="Arial" w:hAnsi="Arial" w:cs="Arial"/>
        </w:rPr>
        <w:t>), generated during cement hydration, to form additional calcium silicate hydrate (C–S–H) gel. This secondary hydration leads to pore refinement, improved microstructure, increased long-term strength, and enhanced durability of concrete (</w:t>
      </w:r>
      <w:r w:rsidR="00D37642">
        <w:rPr>
          <w:rFonts w:ascii="Arial" w:hAnsi="Arial" w:cs="Arial"/>
        </w:rPr>
        <w:t xml:space="preserve">Hasan </w:t>
      </w:r>
      <w:r w:rsidRPr="009A4C1F">
        <w:rPr>
          <w:rFonts w:ascii="Arial" w:hAnsi="Arial" w:cs="Arial"/>
          <w:i/>
          <w:iCs/>
        </w:rPr>
        <w:t>et al.,</w:t>
      </w:r>
      <w:r w:rsidRPr="009A4C1F">
        <w:rPr>
          <w:rFonts w:ascii="Arial" w:hAnsi="Arial" w:cs="Arial"/>
        </w:rPr>
        <w:t xml:space="preserve"> 2022).</w:t>
      </w:r>
    </w:p>
    <w:p w14:paraId="7FBEFDE9" w14:textId="7221D89B" w:rsidR="009A4C1F" w:rsidRPr="009A4C1F" w:rsidRDefault="009A4C1F" w:rsidP="00D75F47">
      <w:pPr>
        <w:pStyle w:val="Body"/>
        <w:spacing w:after="0"/>
        <w:rPr>
          <w:rFonts w:ascii="Arial" w:hAnsi="Arial" w:cs="Arial"/>
        </w:rPr>
      </w:pPr>
      <w:r w:rsidRPr="009A4C1F">
        <w:rPr>
          <w:rFonts w:ascii="Arial" w:hAnsi="Arial" w:cs="Arial"/>
        </w:rPr>
        <w:lastRenderedPageBreak/>
        <w:t xml:space="preserve">The degree of RHA’s effectiveness hinges on several parameters: the amount and purity of amorphous silica, particle fineness, processing conditions (such as combustion temperature and grinding), and mix design factors like replacement ratio and curing environment (Siddika </w:t>
      </w:r>
      <w:r w:rsidRPr="009A4C1F">
        <w:rPr>
          <w:rFonts w:ascii="Arial" w:hAnsi="Arial" w:cs="Arial"/>
          <w:i/>
          <w:iCs/>
        </w:rPr>
        <w:t>et al.,</w:t>
      </w:r>
      <w:r w:rsidRPr="009A4C1F">
        <w:rPr>
          <w:rFonts w:ascii="Arial" w:hAnsi="Arial" w:cs="Arial"/>
        </w:rPr>
        <w:t xml:space="preserve"> 2021; Endale </w:t>
      </w:r>
      <w:r w:rsidRPr="009A4C1F">
        <w:rPr>
          <w:rFonts w:ascii="Arial" w:hAnsi="Arial" w:cs="Arial"/>
          <w:i/>
          <w:iCs/>
        </w:rPr>
        <w:t>et al.,</w:t>
      </w:r>
      <w:r w:rsidRPr="009A4C1F">
        <w:rPr>
          <w:rFonts w:ascii="Arial" w:hAnsi="Arial" w:cs="Arial"/>
        </w:rPr>
        <w:t xml:space="preserve"> 2022). Controlled combustion (below 700°C) helps preserve the silica in its amorphous, highly reactive state, while excessive heat promotes crystallization, which diminishes pozzolanic reactivity (</w:t>
      </w:r>
      <w:r w:rsidR="00D37642">
        <w:rPr>
          <w:rFonts w:ascii="Arial" w:hAnsi="Arial" w:cs="Arial"/>
        </w:rPr>
        <w:t xml:space="preserve">Hasan </w:t>
      </w:r>
      <w:r w:rsidRPr="009A4C1F">
        <w:rPr>
          <w:rFonts w:ascii="Arial" w:hAnsi="Arial" w:cs="Arial"/>
          <w:i/>
          <w:iCs/>
        </w:rPr>
        <w:t>et al.,</w:t>
      </w:r>
      <w:r w:rsidRPr="009A4C1F">
        <w:rPr>
          <w:rFonts w:ascii="Arial" w:hAnsi="Arial" w:cs="Arial"/>
        </w:rPr>
        <w:t xml:space="preserve"> 2022). </w:t>
      </w:r>
    </w:p>
    <w:p w14:paraId="5D1FE049" w14:textId="77777777" w:rsidR="009A4C1F" w:rsidRPr="009A4C1F" w:rsidRDefault="009A4C1F" w:rsidP="00D75F47">
      <w:pPr>
        <w:pStyle w:val="Body"/>
        <w:spacing w:after="0"/>
        <w:rPr>
          <w:rFonts w:ascii="Arial" w:hAnsi="Arial" w:cs="Arial"/>
        </w:rPr>
      </w:pPr>
      <w:r w:rsidRPr="009A4C1F">
        <w:rPr>
          <w:rFonts w:ascii="Arial" w:hAnsi="Arial" w:cs="Arial"/>
        </w:rPr>
        <w:t>Numerous studies have demonstrated that replacing cement with RHA, typically within the range of 5% to 20%, can maintain or even enhance compressive strength, especially at later curing ages. For instance, RHA concrete matched or outperformed OPC concrete after extended curing periods (30+ days) due to the gradual buildup of additional C–S–H gel (</w:t>
      </w:r>
      <w:proofErr w:type="spellStart"/>
      <w:r w:rsidRPr="009A4C1F">
        <w:rPr>
          <w:rFonts w:ascii="Arial" w:hAnsi="Arial" w:cs="Arial"/>
        </w:rPr>
        <w:t>Umasabor</w:t>
      </w:r>
      <w:proofErr w:type="spellEnd"/>
      <w:r w:rsidRPr="009A4C1F">
        <w:rPr>
          <w:rFonts w:ascii="Arial" w:hAnsi="Arial" w:cs="Arial"/>
        </w:rPr>
        <w:t xml:space="preserve"> and </w:t>
      </w:r>
      <w:proofErr w:type="spellStart"/>
      <w:r w:rsidRPr="009A4C1F">
        <w:rPr>
          <w:rFonts w:ascii="Arial" w:hAnsi="Arial" w:cs="Arial"/>
        </w:rPr>
        <w:t>Okovido</w:t>
      </w:r>
      <w:proofErr w:type="spellEnd"/>
      <w:r w:rsidRPr="009A4C1F">
        <w:rPr>
          <w:rFonts w:ascii="Arial" w:hAnsi="Arial" w:cs="Arial"/>
        </w:rPr>
        <w:t xml:space="preserve">, 2018; Rao </w:t>
      </w:r>
      <w:r w:rsidRPr="009A4C1F">
        <w:rPr>
          <w:rFonts w:ascii="Arial" w:hAnsi="Arial" w:cs="Arial"/>
          <w:i/>
          <w:iCs/>
        </w:rPr>
        <w:t>et al.,</w:t>
      </w:r>
      <w:r w:rsidRPr="009A4C1F">
        <w:rPr>
          <w:rFonts w:ascii="Arial" w:hAnsi="Arial" w:cs="Arial"/>
        </w:rPr>
        <w:t xml:space="preserve"> 2023).  In </w:t>
      </w:r>
      <w:proofErr w:type="spellStart"/>
      <w:r w:rsidRPr="009A4C1F">
        <w:rPr>
          <w:rFonts w:ascii="Arial" w:hAnsi="Arial" w:cs="Arial"/>
        </w:rPr>
        <w:t>Umasabor</w:t>
      </w:r>
      <w:proofErr w:type="spellEnd"/>
      <w:r w:rsidRPr="009A4C1F">
        <w:rPr>
          <w:rFonts w:ascii="Arial" w:hAnsi="Arial" w:cs="Arial"/>
        </w:rPr>
        <w:t xml:space="preserve"> and </w:t>
      </w:r>
      <w:proofErr w:type="spellStart"/>
      <w:r w:rsidRPr="009A4C1F">
        <w:rPr>
          <w:rFonts w:ascii="Arial" w:hAnsi="Arial" w:cs="Arial"/>
        </w:rPr>
        <w:t>Okovido</w:t>
      </w:r>
      <w:proofErr w:type="spellEnd"/>
      <w:r w:rsidRPr="009A4C1F">
        <w:rPr>
          <w:rFonts w:ascii="Arial" w:hAnsi="Arial" w:cs="Arial"/>
        </w:rPr>
        <w:t xml:space="preserve"> (2018), 5% RHA replacement achieved up to 81.8% higher 200-day compressive strength than OPC control mixes, attributed to prolonged pozzolanic reactions.</w:t>
      </w:r>
    </w:p>
    <w:p w14:paraId="3CF134AD" w14:textId="40CBA0F9" w:rsidR="00790ADA" w:rsidRPr="00FB3A86" w:rsidRDefault="009A4C1F" w:rsidP="00D75F47">
      <w:pPr>
        <w:pStyle w:val="Body"/>
        <w:spacing w:after="0"/>
        <w:rPr>
          <w:rFonts w:ascii="Arial" w:hAnsi="Arial" w:cs="Arial"/>
        </w:rPr>
      </w:pPr>
      <w:r w:rsidRPr="009A4C1F">
        <w:rPr>
          <w:rFonts w:ascii="Arial" w:hAnsi="Arial" w:cs="Arial"/>
        </w:rPr>
        <w:t>Against this knowledge, this study investigates how rice husk ash, carefully processed and characterized, affects the mechanical strength of concrete, with a focus on its pozzolanic reactivity and implications for sustainable material use. By evaluating variables such as RHA dosage, and curing age of concrete, this research aims to identify optimal replacement levels that balance performance and sustainability</w:t>
      </w:r>
    </w:p>
    <w:p w14:paraId="1C232533" w14:textId="77777777" w:rsidR="009A4C1F" w:rsidRDefault="009A4C1F" w:rsidP="00D75F47">
      <w:pPr>
        <w:pStyle w:val="AbstHead"/>
        <w:spacing w:after="0"/>
        <w:jc w:val="both"/>
        <w:rPr>
          <w:rFonts w:ascii="Arial" w:hAnsi="Arial" w:cs="Arial"/>
        </w:rPr>
      </w:pPr>
    </w:p>
    <w:p w14:paraId="0C7EA05A" w14:textId="2281DC9B" w:rsidR="007F7B32" w:rsidRDefault="00902823" w:rsidP="00D75F47">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1048243" w14:textId="77777777" w:rsidR="009A4C1F" w:rsidRDefault="00AA74E0" w:rsidP="00D75F47">
      <w:pPr>
        <w:pStyle w:val="Body"/>
        <w:spacing w:after="0"/>
        <w:rPr>
          <w:rFonts w:ascii="Arial" w:hAnsi="Arial" w:cs="Arial"/>
          <w:b/>
          <w:sz w:val="22"/>
        </w:rPr>
      </w:pPr>
      <w:r w:rsidRPr="00C30A0F">
        <w:rPr>
          <w:rFonts w:ascii="Arial" w:hAnsi="Arial" w:cs="Arial"/>
          <w:b/>
          <w:caps/>
          <w:sz w:val="22"/>
        </w:rPr>
        <w:t xml:space="preserve">2.1 </w:t>
      </w:r>
      <w:r w:rsidR="009A4C1F" w:rsidRPr="009A4C1F">
        <w:rPr>
          <w:rFonts w:ascii="Arial" w:hAnsi="Arial" w:cs="Arial"/>
          <w:b/>
          <w:sz w:val="22"/>
        </w:rPr>
        <w:t xml:space="preserve">Materials Collection and Preparation </w:t>
      </w:r>
    </w:p>
    <w:p w14:paraId="36263114" w14:textId="77777777" w:rsidR="009A4C1F" w:rsidRDefault="009A4C1F" w:rsidP="00D75F47">
      <w:pPr>
        <w:pStyle w:val="Body"/>
        <w:spacing w:after="0"/>
        <w:rPr>
          <w:rFonts w:ascii="Arial" w:hAnsi="Arial" w:cs="Arial"/>
          <w:b/>
          <w:sz w:val="22"/>
        </w:rPr>
      </w:pPr>
      <w:r w:rsidRPr="009A4C1F">
        <w:rPr>
          <w:rFonts w:ascii="Arial" w:hAnsi="Arial" w:cs="Arial"/>
        </w:rPr>
        <w:t>The materials used in this study on the Reactivity of Rice Husks on the Strength Properties of concrete are as follows</w:t>
      </w:r>
    </w:p>
    <w:p w14:paraId="426C5CC3" w14:textId="77777777" w:rsidR="009A4C1F" w:rsidRDefault="009A4C1F" w:rsidP="00D75F47">
      <w:pPr>
        <w:pStyle w:val="Body"/>
        <w:spacing w:after="0"/>
        <w:ind w:left="720"/>
        <w:rPr>
          <w:rFonts w:ascii="Arial" w:hAnsi="Arial" w:cs="Arial"/>
          <w:b/>
          <w:sz w:val="22"/>
        </w:rPr>
      </w:pPr>
      <w:r w:rsidRPr="009A4C1F">
        <w:rPr>
          <w:rFonts w:ascii="Arial" w:hAnsi="Arial" w:cs="Arial"/>
          <w:b/>
          <w:bCs/>
        </w:rPr>
        <w:t>Cement</w:t>
      </w:r>
      <w:r w:rsidRPr="009A4C1F">
        <w:rPr>
          <w:rFonts w:ascii="Arial" w:hAnsi="Arial" w:cs="Arial"/>
        </w:rPr>
        <w:t>: Limestone Portland cement of grade 42.5, gotten from our local supply store, is used for this study. It is made sure that there are no lumps in the cement bag and that the cement is free of moisture before adding it to the concrete mix.</w:t>
      </w:r>
    </w:p>
    <w:p w14:paraId="3552BA0E" w14:textId="77777777" w:rsidR="009A4C1F" w:rsidRDefault="009A4C1F" w:rsidP="00D75F47">
      <w:pPr>
        <w:pStyle w:val="Body"/>
        <w:spacing w:after="0"/>
        <w:ind w:left="720"/>
        <w:rPr>
          <w:rFonts w:ascii="Arial" w:hAnsi="Arial" w:cs="Arial"/>
          <w:b/>
          <w:sz w:val="22"/>
        </w:rPr>
      </w:pPr>
      <w:r w:rsidRPr="009A4C1F">
        <w:rPr>
          <w:rFonts w:ascii="Arial" w:hAnsi="Arial" w:cs="Arial"/>
          <w:b/>
          <w:bCs/>
        </w:rPr>
        <w:t>Rice Husk Ash (RHA):</w:t>
      </w:r>
      <w:r w:rsidRPr="009A4C1F">
        <w:rPr>
          <w:rFonts w:ascii="Arial" w:hAnsi="Arial" w:cs="Arial"/>
        </w:rPr>
        <w:t xml:space="preserve"> Rice husk ash is the result of burning of rice husk. A large portion of the evaporable parts of rice husk are gradually lost during consuming and the essential deposits are the silicates. The attributes of the debris are subject to (1) arrangement of the rice husks, (2) consuming temperature, and (3) consuming time. </w:t>
      </w:r>
    </w:p>
    <w:p w14:paraId="577FF495" w14:textId="77777777" w:rsidR="009A4C1F" w:rsidRDefault="009A4C1F" w:rsidP="00D75F47">
      <w:pPr>
        <w:pStyle w:val="Body"/>
        <w:spacing w:after="0"/>
        <w:ind w:left="720"/>
        <w:rPr>
          <w:rFonts w:ascii="Arial" w:hAnsi="Arial" w:cs="Arial"/>
          <w:b/>
          <w:sz w:val="22"/>
        </w:rPr>
      </w:pPr>
      <w:r w:rsidRPr="009A4C1F">
        <w:rPr>
          <w:rFonts w:ascii="Arial" w:hAnsi="Arial" w:cs="Arial"/>
          <w:b/>
          <w:bCs/>
        </w:rPr>
        <w:t>Fine Aggregates:</w:t>
      </w:r>
      <w:r w:rsidRPr="009A4C1F">
        <w:rPr>
          <w:rFonts w:ascii="Arial" w:hAnsi="Arial" w:cs="Arial"/>
        </w:rPr>
        <w:t xml:space="preserve"> Fine aggregates are the material going through an IS sieve 4.75 mm (Figure 1) and hold on to 150m gauge. Locally accessible sand is utilized as fine aggregates in this experimental investigation.</w:t>
      </w:r>
    </w:p>
    <w:p w14:paraId="42646F7D" w14:textId="640CBB72" w:rsidR="009A4C1F" w:rsidRPr="009A4C1F" w:rsidRDefault="009A4C1F" w:rsidP="00D75F47">
      <w:pPr>
        <w:pStyle w:val="Body"/>
        <w:spacing w:after="0"/>
        <w:ind w:left="720"/>
        <w:rPr>
          <w:rFonts w:ascii="Arial" w:hAnsi="Arial" w:cs="Arial"/>
          <w:b/>
          <w:sz w:val="22"/>
        </w:rPr>
      </w:pPr>
      <w:r w:rsidRPr="009A4C1F">
        <w:rPr>
          <w:rFonts w:ascii="Arial" w:hAnsi="Arial" w:cs="Arial"/>
          <w:b/>
          <w:bCs/>
        </w:rPr>
        <w:t>Coarse aggregate:</w:t>
      </w:r>
      <w:r w:rsidRPr="009A4C1F">
        <w:rPr>
          <w:rFonts w:ascii="Arial" w:hAnsi="Arial" w:cs="Arial"/>
        </w:rPr>
        <w:t xml:space="preserve"> Coarse aggregates which may passing 75mm sieve and retained on 4.75mm IS sieve (Figure 1) is obtained. Locally accessible coarse aggregate is utilized for test, that accessible on closer construction material shop.</w:t>
      </w:r>
    </w:p>
    <w:p w14:paraId="3B22EBF4" w14:textId="77777777" w:rsidR="009A4C1F" w:rsidRPr="009A4C1F" w:rsidRDefault="009A4C1F" w:rsidP="00D75F47">
      <w:pPr>
        <w:pStyle w:val="Body"/>
        <w:spacing w:after="0"/>
        <w:jc w:val="center"/>
        <w:rPr>
          <w:rFonts w:ascii="Arial" w:hAnsi="Arial" w:cs="Arial"/>
        </w:rPr>
      </w:pPr>
      <w:bookmarkStart w:id="0" w:name="_Hlk203487276"/>
      <w:r w:rsidRPr="009A4C1F">
        <w:rPr>
          <w:rFonts w:ascii="Arial" w:hAnsi="Arial" w:cs="Arial"/>
          <w:noProof/>
        </w:rPr>
        <w:drawing>
          <wp:inline distT="0" distB="0" distL="0" distR="0" wp14:anchorId="597F4A79" wp14:editId="673B8663">
            <wp:extent cx="1717527" cy="1828800"/>
            <wp:effectExtent l="0" t="0" r="0" b="0"/>
            <wp:docPr id="5245683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2109" cy="1844327"/>
                    </a:xfrm>
                    <a:prstGeom prst="rect">
                      <a:avLst/>
                    </a:prstGeom>
                    <a:noFill/>
                    <a:ln>
                      <a:noFill/>
                    </a:ln>
                  </pic:spPr>
                </pic:pic>
              </a:graphicData>
            </a:graphic>
          </wp:inline>
        </w:drawing>
      </w:r>
    </w:p>
    <w:p w14:paraId="2C04980C" w14:textId="799AD704" w:rsidR="00505F06" w:rsidRPr="00DA640F" w:rsidRDefault="009A4C1F" w:rsidP="00DA640F">
      <w:pPr>
        <w:pStyle w:val="Body"/>
        <w:spacing w:after="0"/>
        <w:rPr>
          <w:rFonts w:ascii="Arial" w:hAnsi="Arial" w:cs="Arial"/>
          <w:b/>
          <w:bCs/>
        </w:rPr>
      </w:pPr>
      <w:r w:rsidRPr="009A4C1F">
        <w:rPr>
          <w:rFonts w:ascii="Arial" w:hAnsi="Arial" w:cs="Arial"/>
          <w:b/>
          <w:bCs/>
        </w:rPr>
        <w:t>Fig</w:t>
      </w:r>
      <w:r w:rsidR="00DA640F" w:rsidRPr="00DA640F">
        <w:rPr>
          <w:rFonts w:ascii="Arial" w:hAnsi="Arial" w:cs="Arial"/>
          <w:b/>
          <w:bCs/>
        </w:rPr>
        <w:t>.</w:t>
      </w:r>
      <w:r w:rsidRPr="009A4C1F">
        <w:rPr>
          <w:rFonts w:ascii="Arial" w:hAnsi="Arial" w:cs="Arial"/>
          <w:b/>
          <w:bCs/>
        </w:rPr>
        <w:t xml:space="preserve"> 1</w:t>
      </w:r>
      <w:r w:rsidR="00DA640F" w:rsidRPr="00DA640F">
        <w:rPr>
          <w:rFonts w:ascii="Arial" w:hAnsi="Arial" w:cs="Arial"/>
          <w:b/>
          <w:bCs/>
        </w:rPr>
        <w:t xml:space="preserve">. </w:t>
      </w:r>
      <w:r w:rsidRPr="009A4C1F">
        <w:rPr>
          <w:rFonts w:ascii="Arial" w:hAnsi="Arial" w:cs="Arial"/>
          <w:b/>
          <w:bCs/>
        </w:rPr>
        <w:t xml:space="preserve">Stack of sieves for </w:t>
      </w:r>
      <w:bookmarkEnd w:id="0"/>
      <w:r w:rsidRPr="009A4C1F">
        <w:rPr>
          <w:rFonts w:ascii="Arial" w:hAnsi="Arial" w:cs="Arial"/>
          <w:b/>
          <w:bCs/>
        </w:rPr>
        <w:t>the sieve analysis of fine and coarse aggregates</w:t>
      </w:r>
    </w:p>
    <w:p w14:paraId="3B328408" w14:textId="77777777" w:rsidR="00DA640F" w:rsidRDefault="00DA640F" w:rsidP="00D75F47">
      <w:pPr>
        <w:pStyle w:val="Body"/>
        <w:spacing w:after="0"/>
        <w:rPr>
          <w:rFonts w:ascii="Arial" w:hAnsi="Arial" w:cs="Arial"/>
          <w:b/>
        </w:rPr>
      </w:pPr>
    </w:p>
    <w:p w14:paraId="1281FDFB" w14:textId="3C94CAB8" w:rsidR="00D75F47" w:rsidRPr="00D75F47" w:rsidRDefault="00D75F47" w:rsidP="00D75F47">
      <w:pPr>
        <w:pStyle w:val="Body"/>
        <w:spacing w:after="0"/>
        <w:rPr>
          <w:rFonts w:ascii="Arial" w:hAnsi="Arial" w:cs="Arial"/>
          <w:b/>
        </w:rPr>
      </w:pPr>
      <w:r w:rsidRPr="00D75F47">
        <w:rPr>
          <w:rFonts w:ascii="Arial" w:hAnsi="Arial" w:cs="Arial"/>
        </w:rPr>
        <w:t xml:space="preserve">The rice husk ask used in this study was prepared by calcinating the rice husk. Rice husk (Figure 2) was procured from local rice mills, ensuring the material was free from contaminants such as stones, dust, and other foreign particles. The collected rice husk was stored in a dry, </w:t>
      </w:r>
      <w:r w:rsidRPr="00D75F47">
        <w:rPr>
          <w:rFonts w:ascii="Arial" w:hAnsi="Arial" w:cs="Arial"/>
        </w:rPr>
        <w:lastRenderedPageBreak/>
        <w:t xml:space="preserve">covered area to prevent moisture absorption and microbial activity. The rice husk was sieved to remove any remaining impurities. The cleaned husk was air-dried under ambient conditions to reduce its moisture content, facilitating efficient combustion. The rice husk was open burned to obtain rice husk carbon (Figure 3), which was then calcinated at a temperature of 700oC to obtain rice husk ash (Figure 4). A muffle furnace was utilized to burn the rice husk under controlled conditions. The combustion process was carried out at temperatures ranging between 500°C and 700°C for a duration of 6 to 8 hours. This temperature range was maintained to ensure the production of amorphous silica, which is highly pozzolanic. Post-combustion, the furnace was allowed to cool naturally to room temperature to prevent rapid cooling, which could lead to the formation of crystalline silica. The cooled ash was ground using a ball mill to achieve a fine powder. The ground ash was sieved through a 75 </w:t>
      </w:r>
      <w:proofErr w:type="spellStart"/>
      <w:r w:rsidRPr="00D75F47">
        <w:rPr>
          <w:rFonts w:ascii="Arial" w:hAnsi="Arial" w:cs="Arial"/>
        </w:rPr>
        <w:t>μm</w:t>
      </w:r>
      <w:proofErr w:type="spellEnd"/>
      <w:r w:rsidRPr="00D75F47">
        <w:rPr>
          <w:rFonts w:ascii="Arial" w:hAnsi="Arial" w:cs="Arial"/>
        </w:rPr>
        <w:t xml:space="preserve"> mesh to ensure uniform particle size, enhancing its reactivity when used in concrete.</w:t>
      </w:r>
    </w:p>
    <w:p w14:paraId="388A4A08" w14:textId="5F3EC346" w:rsidR="00D75F47" w:rsidRPr="00D75F47" w:rsidRDefault="00D75F47" w:rsidP="00D75F47">
      <w:pPr>
        <w:pStyle w:val="Body"/>
        <w:spacing w:after="0"/>
        <w:jc w:val="center"/>
        <w:rPr>
          <w:rFonts w:ascii="Arial" w:hAnsi="Arial" w:cs="Arial"/>
          <w:b/>
          <w:bCs/>
        </w:rPr>
      </w:pPr>
      <w:r w:rsidRPr="00D75F47">
        <w:rPr>
          <w:rFonts w:ascii="Arial" w:hAnsi="Arial" w:cs="Arial"/>
          <w:b/>
          <w:bCs/>
          <w:noProof/>
        </w:rPr>
        <w:drawing>
          <wp:inline distT="0" distB="0" distL="0" distR="0" wp14:anchorId="222EEEA4" wp14:editId="3A91BA20">
            <wp:extent cx="1973580" cy="2282025"/>
            <wp:effectExtent l="0" t="0" r="0" b="0"/>
            <wp:docPr id="482518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0720" cy="2324970"/>
                    </a:xfrm>
                    <a:prstGeom prst="rect">
                      <a:avLst/>
                    </a:prstGeom>
                    <a:noFill/>
                    <a:ln>
                      <a:noFill/>
                    </a:ln>
                  </pic:spPr>
                </pic:pic>
              </a:graphicData>
            </a:graphic>
          </wp:inline>
        </w:drawing>
      </w:r>
      <w:r>
        <w:rPr>
          <w:rFonts w:ascii="Arial" w:hAnsi="Arial" w:cs="Arial"/>
          <w:b/>
          <w:bCs/>
        </w:rPr>
        <w:tab/>
      </w:r>
      <w:r w:rsidRPr="00D75F47">
        <w:rPr>
          <w:rFonts w:ascii="Arial" w:hAnsi="Arial" w:cs="Arial"/>
          <w:b/>
          <w:bCs/>
          <w:noProof/>
        </w:rPr>
        <w:drawing>
          <wp:inline distT="0" distB="0" distL="0" distR="0" wp14:anchorId="13CE78EB" wp14:editId="0ADEE21E">
            <wp:extent cx="2170430" cy="2226365"/>
            <wp:effectExtent l="0" t="0" r="0" b="0"/>
            <wp:docPr id="67706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8182" cy="2265090"/>
                    </a:xfrm>
                    <a:prstGeom prst="rect">
                      <a:avLst/>
                    </a:prstGeom>
                    <a:noFill/>
                    <a:ln>
                      <a:noFill/>
                    </a:ln>
                  </pic:spPr>
                </pic:pic>
              </a:graphicData>
            </a:graphic>
          </wp:inline>
        </w:drawing>
      </w:r>
    </w:p>
    <w:p w14:paraId="2C46E202" w14:textId="7FA217A2" w:rsidR="00D75F47" w:rsidRPr="00D75F47" w:rsidRDefault="00D75F47" w:rsidP="00DA640F">
      <w:pPr>
        <w:pStyle w:val="Body"/>
        <w:spacing w:after="0"/>
        <w:rPr>
          <w:rFonts w:ascii="Arial" w:hAnsi="Arial" w:cs="Arial"/>
          <w:b/>
          <w:bCs/>
        </w:rPr>
      </w:pPr>
      <w:r w:rsidRPr="00D75F47">
        <w:rPr>
          <w:rFonts w:ascii="Arial" w:hAnsi="Arial" w:cs="Arial"/>
          <w:b/>
          <w:bCs/>
        </w:rPr>
        <w:t>Fig</w:t>
      </w:r>
      <w:r w:rsidR="00DA640F" w:rsidRPr="00DA640F">
        <w:rPr>
          <w:rFonts w:ascii="Arial" w:hAnsi="Arial" w:cs="Arial"/>
          <w:b/>
          <w:bCs/>
        </w:rPr>
        <w:t>.</w:t>
      </w:r>
      <w:r w:rsidRPr="00D75F47">
        <w:rPr>
          <w:rFonts w:ascii="Arial" w:hAnsi="Arial" w:cs="Arial"/>
          <w:b/>
          <w:bCs/>
        </w:rPr>
        <w:t xml:space="preserve"> 2</w:t>
      </w:r>
      <w:r w:rsidR="00DA640F" w:rsidRPr="00DA640F">
        <w:rPr>
          <w:rFonts w:ascii="Arial" w:hAnsi="Arial" w:cs="Arial"/>
          <w:b/>
          <w:bCs/>
        </w:rPr>
        <w:t>.</w:t>
      </w:r>
      <w:r w:rsidR="00DA640F" w:rsidRPr="00DA640F">
        <w:rPr>
          <w:rFonts w:ascii="Arial" w:hAnsi="Arial" w:cs="Arial"/>
          <w:b/>
          <w:bCs/>
        </w:rPr>
        <w:tab/>
      </w:r>
      <w:r w:rsidRPr="00D75F47">
        <w:rPr>
          <w:rFonts w:ascii="Arial" w:hAnsi="Arial" w:cs="Arial"/>
          <w:b/>
          <w:bCs/>
        </w:rPr>
        <w:t>Rice Husk</w:t>
      </w:r>
      <w:r w:rsidRPr="00D75F47">
        <w:rPr>
          <w:rFonts w:ascii="Arial" w:hAnsi="Arial" w:cs="Arial"/>
          <w:b/>
          <w:bCs/>
        </w:rPr>
        <w:tab/>
      </w:r>
      <w:r w:rsidRPr="00DA640F">
        <w:rPr>
          <w:rFonts w:ascii="Arial" w:hAnsi="Arial" w:cs="Arial"/>
          <w:b/>
          <w:bCs/>
        </w:rPr>
        <w:tab/>
      </w:r>
      <w:r w:rsidR="00DA640F">
        <w:rPr>
          <w:rFonts w:ascii="Arial" w:hAnsi="Arial" w:cs="Arial"/>
          <w:b/>
          <w:bCs/>
        </w:rPr>
        <w:tab/>
      </w:r>
      <w:r w:rsidRPr="00D75F47">
        <w:rPr>
          <w:rFonts w:ascii="Arial" w:hAnsi="Arial" w:cs="Arial"/>
          <w:b/>
          <w:bCs/>
        </w:rPr>
        <w:t>Fig</w:t>
      </w:r>
      <w:r w:rsidR="00DA640F">
        <w:rPr>
          <w:rFonts w:ascii="Arial" w:hAnsi="Arial" w:cs="Arial"/>
          <w:b/>
          <w:bCs/>
        </w:rPr>
        <w:t>.</w:t>
      </w:r>
      <w:r w:rsidRPr="00D75F47">
        <w:rPr>
          <w:rFonts w:ascii="Arial" w:hAnsi="Arial" w:cs="Arial"/>
          <w:b/>
          <w:bCs/>
        </w:rPr>
        <w:t xml:space="preserve"> 3</w:t>
      </w:r>
      <w:r w:rsidR="00DA640F">
        <w:rPr>
          <w:rFonts w:ascii="Arial" w:hAnsi="Arial" w:cs="Arial"/>
          <w:b/>
          <w:bCs/>
        </w:rPr>
        <w:t>.</w:t>
      </w:r>
      <w:r w:rsidR="00DA640F">
        <w:rPr>
          <w:rFonts w:ascii="Arial" w:hAnsi="Arial" w:cs="Arial"/>
          <w:b/>
          <w:bCs/>
        </w:rPr>
        <w:tab/>
      </w:r>
      <w:r w:rsidRPr="00D75F47">
        <w:rPr>
          <w:rFonts w:ascii="Arial" w:hAnsi="Arial" w:cs="Arial"/>
          <w:b/>
          <w:bCs/>
        </w:rPr>
        <w:t>Rice Husk Carbon after Open Burning</w:t>
      </w:r>
    </w:p>
    <w:p w14:paraId="1887B26E" w14:textId="77777777" w:rsidR="00D75F47" w:rsidRPr="00D75F47" w:rsidRDefault="00D75F47" w:rsidP="00D75F47">
      <w:pPr>
        <w:pStyle w:val="Body"/>
        <w:spacing w:after="0"/>
        <w:jc w:val="center"/>
        <w:rPr>
          <w:rFonts w:ascii="Arial" w:hAnsi="Arial" w:cs="Arial"/>
          <w:b/>
          <w:bCs/>
        </w:rPr>
      </w:pPr>
      <w:r w:rsidRPr="00D75F47">
        <w:rPr>
          <w:rFonts w:ascii="Arial" w:hAnsi="Arial" w:cs="Arial"/>
          <w:b/>
          <w:bCs/>
          <w:noProof/>
        </w:rPr>
        <w:drawing>
          <wp:inline distT="0" distB="0" distL="0" distR="0" wp14:anchorId="1CAC4901" wp14:editId="6CE16BDB">
            <wp:extent cx="2550381" cy="1747442"/>
            <wp:effectExtent l="0" t="0" r="0" b="0"/>
            <wp:docPr id="298149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3538" cy="1770160"/>
                    </a:xfrm>
                    <a:prstGeom prst="rect">
                      <a:avLst/>
                    </a:prstGeom>
                    <a:noFill/>
                    <a:ln>
                      <a:noFill/>
                    </a:ln>
                  </pic:spPr>
                </pic:pic>
              </a:graphicData>
            </a:graphic>
          </wp:inline>
        </w:drawing>
      </w:r>
    </w:p>
    <w:p w14:paraId="28D4DADD" w14:textId="640F4238" w:rsidR="00D75F47" w:rsidRPr="00D75F47" w:rsidRDefault="00D75F47" w:rsidP="00A93036">
      <w:pPr>
        <w:pStyle w:val="Body"/>
        <w:spacing w:after="0"/>
        <w:rPr>
          <w:rFonts w:ascii="Arial" w:hAnsi="Arial" w:cs="Arial"/>
          <w:b/>
          <w:bCs/>
        </w:rPr>
      </w:pPr>
      <w:r w:rsidRPr="00D75F47">
        <w:rPr>
          <w:rFonts w:ascii="Arial" w:hAnsi="Arial" w:cs="Arial"/>
          <w:b/>
          <w:bCs/>
        </w:rPr>
        <w:t>Fig</w:t>
      </w:r>
      <w:r w:rsidR="00A93036" w:rsidRPr="00A93036">
        <w:rPr>
          <w:rFonts w:ascii="Arial" w:hAnsi="Arial" w:cs="Arial"/>
          <w:b/>
          <w:bCs/>
        </w:rPr>
        <w:t>.</w:t>
      </w:r>
      <w:r w:rsidR="00A93036">
        <w:rPr>
          <w:rFonts w:ascii="Arial" w:hAnsi="Arial" w:cs="Arial"/>
          <w:b/>
          <w:bCs/>
        </w:rPr>
        <w:t xml:space="preserve"> </w:t>
      </w:r>
      <w:r w:rsidRPr="00D75F47">
        <w:rPr>
          <w:rFonts w:ascii="Arial" w:hAnsi="Arial" w:cs="Arial"/>
          <w:b/>
          <w:bCs/>
        </w:rPr>
        <w:t>4</w:t>
      </w:r>
      <w:r w:rsidR="00A93036">
        <w:rPr>
          <w:rFonts w:ascii="Arial" w:hAnsi="Arial" w:cs="Arial"/>
          <w:b/>
          <w:bCs/>
        </w:rPr>
        <w:t>.</w:t>
      </w:r>
      <w:r w:rsidR="00A93036">
        <w:rPr>
          <w:rFonts w:ascii="Arial" w:hAnsi="Arial" w:cs="Arial"/>
          <w:b/>
          <w:bCs/>
        </w:rPr>
        <w:tab/>
      </w:r>
      <w:r w:rsidRPr="00D75F47">
        <w:rPr>
          <w:rFonts w:ascii="Arial" w:hAnsi="Arial" w:cs="Arial"/>
          <w:b/>
          <w:bCs/>
        </w:rPr>
        <w:t>Rice Husk Ash after Calcination at 800oC in the muffle furnace</w:t>
      </w:r>
    </w:p>
    <w:p w14:paraId="2344D1BC" w14:textId="77777777" w:rsidR="00D75F47" w:rsidRDefault="00D75F47" w:rsidP="00D75F47">
      <w:pPr>
        <w:pStyle w:val="Body"/>
        <w:spacing w:after="0"/>
        <w:rPr>
          <w:rFonts w:ascii="Arial" w:hAnsi="Arial" w:cs="Arial"/>
        </w:rPr>
      </w:pPr>
      <w:r w:rsidRPr="00D75F47">
        <w:rPr>
          <w:rFonts w:ascii="Arial" w:hAnsi="Arial" w:cs="Arial"/>
        </w:rPr>
        <w:t>The chemical composition of the RHA was determined using X-ray fluorescence (XRF) analysis, focusing on the silica content to assess its pozzolanic activity. The specific surface area and particle size distribution were measured to evaluate the physical characteristics influencing the reactivity of the RHA. The prepared RHA was stored in airtight containers to prevent moisture ingress and contamination.</w:t>
      </w:r>
    </w:p>
    <w:p w14:paraId="458E3634" w14:textId="77777777" w:rsidR="00F62096" w:rsidRDefault="00F62096" w:rsidP="00D75F47">
      <w:pPr>
        <w:pStyle w:val="Body"/>
        <w:spacing w:after="0"/>
        <w:rPr>
          <w:rFonts w:ascii="Arial" w:hAnsi="Arial" w:cs="Arial"/>
          <w:b/>
          <w:caps/>
          <w:sz w:val="22"/>
        </w:rPr>
      </w:pPr>
    </w:p>
    <w:p w14:paraId="495093B7" w14:textId="0A645143" w:rsidR="00D75F47" w:rsidRDefault="00D75F47" w:rsidP="00D75F47">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D75F47">
        <w:rPr>
          <w:rFonts w:ascii="Arial" w:hAnsi="Arial" w:cs="Arial"/>
          <w:b/>
          <w:bCs/>
          <w:sz w:val="22"/>
        </w:rPr>
        <w:t>Proportioning of Concrete Grade</w:t>
      </w:r>
    </w:p>
    <w:p w14:paraId="7F475E6E" w14:textId="77777777" w:rsidR="00D75F47" w:rsidRPr="00D75F47" w:rsidRDefault="00D75F47" w:rsidP="00D75F47">
      <w:pPr>
        <w:pStyle w:val="Body"/>
        <w:spacing w:after="0"/>
        <w:rPr>
          <w:rFonts w:ascii="Arial" w:hAnsi="Arial" w:cs="Arial"/>
        </w:rPr>
      </w:pPr>
      <w:r w:rsidRPr="00D75F47">
        <w:rPr>
          <w:rFonts w:ascii="Arial" w:hAnsi="Arial" w:cs="Arial"/>
        </w:rPr>
        <w:t xml:space="preserve">The standard proportion according to IS:456-2000, for M15 grade concrete is 1:2:4. Based on empirical studies, the optimal dosage of Rice Husk Ash (RHA) as a partial replacement for cement in concrete varies, but several studies suggest that a replacement level between 0% and 15% by weight of cement (Figure 5) can enhance the strength properties of concrete. In </w:t>
      </w:r>
      <w:r w:rsidRPr="00D75F47">
        <w:rPr>
          <w:rFonts w:ascii="Arial" w:hAnsi="Arial" w:cs="Arial"/>
        </w:rPr>
        <w:lastRenderedPageBreak/>
        <w:t>this study, concrete is supplanted with rice husk ash at different rates (0%, 5%, 10% and 15%) as shown on Table 1.</w:t>
      </w:r>
    </w:p>
    <w:p w14:paraId="6FFE9F51" w14:textId="77777777" w:rsidR="00D75F47" w:rsidRPr="00D75F47" w:rsidRDefault="00D75F47" w:rsidP="00D75F47">
      <w:pPr>
        <w:pStyle w:val="Body"/>
        <w:spacing w:after="0"/>
        <w:jc w:val="center"/>
        <w:rPr>
          <w:rFonts w:ascii="Arial" w:hAnsi="Arial" w:cs="Arial"/>
        </w:rPr>
      </w:pPr>
      <w:r w:rsidRPr="00D75F47">
        <w:rPr>
          <w:rFonts w:ascii="Arial" w:hAnsi="Arial" w:cs="Arial"/>
          <w:noProof/>
        </w:rPr>
        <w:drawing>
          <wp:inline distT="0" distB="0" distL="0" distR="0" wp14:anchorId="5A315983" wp14:editId="1E1FA3BF">
            <wp:extent cx="1831305" cy="1693628"/>
            <wp:effectExtent l="0" t="0" r="0" b="0"/>
            <wp:docPr id="438744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5132" cy="1715664"/>
                    </a:xfrm>
                    <a:prstGeom prst="rect">
                      <a:avLst/>
                    </a:prstGeom>
                    <a:noFill/>
                    <a:ln>
                      <a:noFill/>
                    </a:ln>
                  </pic:spPr>
                </pic:pic>
              </a:graphicData>
            </a:graphic>
          </wp:inline>
        </w:drawing>
      </w:r>
    </w:p>
    <w:p w14:paraId="19EC8305" w14:textId="4931E9BE" w:rsidR="00D75F47" w:rsidRPr="00A93036" w:rsidRDefault="00D75F47" w:rsidP="00A93036">
      <w:pPr>
        <w:pStyle w:val="Body"/>
        <w:spacing w:after="0"/>
        <w:rPr>
          <w:rFonts w:ascii="Arial" w:hAnsi="Arial" w:cs="Arial"/>
          <w:b/>
          <w:bCs/>
        </w:rPr>
      </w:pPr>
      <w:r w:rsidRPr="00D75F47">
        <w:rPr>
          <w:rFonts w:ascii="Arial" w:hAnsi="Arial" w:cs="Arial"/>
          <w:b/>
          <w:bCs/>
        </w:rPr>
        <w:t>Fig</w:t>
      </w:r>
      <w:r w:rsidR="00A93036" w:rsidRPr="00A93036">
        <w:rPr>
          <w:rFonts w:ascii="Arial" w:hAnsi="Arial" w:cs="Arial"/>
          <w:b/>
          <w:bCs/>
        </w:rPr>
        <w:t>.</w:t>
      </w:r>
      <w:r w:rsidRPr="00D75F47">
        <w:rPr>
          <w:rFonts w:ascii="Arial" w:hAnsi="Arial" w:cs="Arial"/>
          <w:b/>
          <w:bCs/>
        </w:rPr>
        <w:t xml:space="preserve"> 5</w:t>
      </w:r>
      <w:r w:rsidR="00A93036" w:rsidRPr="00A93036">
        <w:rPr>
          <w:rFonts w:ascii="Arial" w:hAnsi="Arial" w:cs="Arial"/>
          <w:b/>
          <w:bCs/>
        </w:rPr>
        <w:t>.</w:t>
      </w:r>
      <w:r w:rsidR="00A93036" w:rsidRPr="00A93036">
        <w:rPr>
          <w:rFonts w:ascii="Arial" w:hAnsi="Arial" w:cs="Arial"/>
          <w:b/>
          <w:bCs/>
        </w:rPr>
        <w:tab/>
      </w:r>
      <w:r w:rsidRPr="00D75F47">
        <w:rPr>
          <w:rFonts w:ascii="Arial" w:hAnsi="Arial" w:cs="Arial"/>
          <w:b/>
          <w:bCs/>
        </w:rPr>
        <w:t>Weighing of Aggregates</w:t>
      </w:r>
      <w:bookmarkStart w:id="1" w:name="_Hlk203487326"/>
    </w:p>
    <w:p w14:paraId="17A8F89A" w14:textId="77777777" w:rsidR="00D75F47" w:rsidRDefault="00D75F47" w:rsidP="00D75F47">
      <w:pPr>
        <w:pStyle w:val="Body"/>
        <w:spacing w:after="0"/>
        <w:rPr>
          <w:rFonts w:ascii="Arial" w:hAnsi="Arial" w:cs="Arial"/>
          <w:b/>
          <w:bCs/>
        </w:rPr>
      </w:pPr>
    </w:p>
    <w:p w14:paraId="56952B05" w14:textId="4D47006D" w:rsidR="00D75F47" w:rsidRPr="00D75F47" w:rsidRDefault="00D75F47" w:rsidP="00D75F47">
      <w:pPr>
        <w:pStyle w:val="Body"/>
        <w:spacing w:after="0"/>
        <w:rPr>
          <w:rFonts w:ascii="Arial" w:hAnsi="Arial" w:cs="Arial"/>
          <w:b/>
          <w:bCs/>
        </w:rPr>
      </w:pPr>
      <w:r w:rsidRPr="00D75F47">
        <w:rPr>
          <w:rFonts w:ascii="Arial" w:hAnsi="Arial" w:cs="Arial"/>
          <w:b/>
          <w:bCs/>
        </w:rPr>
        <w:t>Table 1.</w:t>
      </w:r>
      <w:r w:rsidRPr="00D75F47">
        <w:rPr>
          <w:rFonts w:ascii="Arial" w:hAnsi="Arial" w:cs="Arial"/>
          <w:b/>
          <w:bCs/>
        </w:rPr>
        <w:tab/>
        <w:t>Proportioning of Concrete Materials</w:t>
      </w:r>
    </w:p>
    <w:tbl>
      <w:tblPr>
        <w:tblStyle w:val="PlainTable2"/>
        <w:tblW w:w="0" w:type="auto"/>
        <w:tblLook w:val="0620" w:firstRow="1" w:lastRow="0" w:firstColumn="0" w:lastColumn="0" w:noHBand="1" w:noVBand="1"/>
      </w:tblPr>
      <w:tblGrid>
        <w:gridCol w:w="2322"/>
        <w:gridCol w:w="1232"/>
        <w:gridCol w:w="1299"/>
        <w:gridCol w:w="1036"/>
        <w:gridCol w:w="1203"/>
        <w:gridCol w:w="1116"/>
      </w:tblGrid>
      <w:tr w:rsidR="00D75F47" w:rsidRPr="00D75F47" w14:paraId="16459195" w14:textId="77777777" w:rsidTr="00F9557F">
        <w:trPr>
          <w:cnfStyle w:val="100000000000" w:firstRow="1" w:lastRow="0" w:firstColumn="0" w:lastColumn="0" w:oddVBand="0" w:evenVBand="0" w:oddHBand="0" w:evenHBand="0" w:firstRowFirstColumn="0" w:firstRowLastColumn="0" w:lastRowFirstColumn="0" w:lastRowLastColumn="0"/>
        </w:trPr>
        <w:tc>
          <w:tcPr>
            <w:tcW w:w="2695" w:type="dxa"/>
          </w:tcPr>
          <w:p w14:paraId="33A0391B" w14:textId="77777777" w:rsidR="00D75F47" w:rsidRPr="00D75F47" w:rsidRDefault="00D75F47" w:rsidP="00D75F47">
            <w:pPr>
              <w:pStyle w:val="Body"/>
              <w:spacing w:after="0"/>
              <w:rPr>
                <w:rFonts w:ascii="Arial" w:hAnsi="Arial" w:cs="Arial"/>
              </w:rPr>
            </w:pPr>
            <w:r w:rsidRPr="00D75F47">
              <w:rPr>
                <w:rFonts w:ascii="Arial" w:hAnsi="Arial" w:cs="Arial"/>
              </w:rPr>
              <w:t>Percentage replacement</w:t>
            </w:r>
          </w:p>
        </w:tc>
        <w:tc>
          <w:tcPr>
            <w:tcW w:w="1440" w:type="dxa"/>
          </w:tcPr>
          <w:p w14:paraId="24BB95EE" w14:textId="77777777" w:rsidR="00D75F47" w:rsidRPr="00D75F47" w:rsidRDefault="00D75F47" w:rsidP="00D75F47">
            <w:pPr>
              <w:pStyle w:val="Body"/>
              <w:spacing w:after="0"/>
              <w:rPr>
                <w:rFonts w:ascii="Arial" w:hAnsi="Arial" w:cs="Arial"/>
              </w:rPr>
            </w:pPr>
            <w:r w:rsidRPr="00D75F47">
              <w:rPr>
                <w:rFonts w:ascii="Arial" w:hAnsi="Arial" w:cs="Arial"/>
              </w:rPr>
              <w:t>RHA (kg)</w:t>
            </w:r>
          </w:p>
        </w:tc>
        <w:tc>
          <w:tcPr>
            <w:tcW w:w="1440" w:type="dxa"/>
          </w:tcPr>
          <w:p w14:paraId="4B738C20" w14:textId="77777777" w:rsidR="00D75F47" w:rsidRPr="00D75F47" w:rsidRDefault="00D75F47" w:rsidP="00D75F47">
            <w:pPr>
              <w:pStyle w:val="Body"/>
              <w:spacing w:after="0"/>
              <w:rPr>
                <w:rFonts w:ascii="Arial" w:hAnsi="Arial" w:cs="Arial"/>
              </w:rPr>
            </w:pPr>
            <w:r w:rsidRPr="00D75F47">
              <w:rPr>
                <w:rFonts w:ascii="Arial" w:hAnsi="Arial" w:cs="Arial"/>
              </w:rPr>
              <w:t>Cement (kg)</w:t>
            </w:r>
          </w:p>
        </w:tc>
        <w:tc>
          <w:tcPr>
            <w:tcW w:w="1170" w:type="dxa"/>
          </w:tcPr>
          <w:p w14:paraId="2AD37819" w14:textId="77777777" w:rsidR="00D75F47" w:rsidRPr="00D75F47" w:rsidRDefault="00D75F47" w:rsidP="00D75F47">
            <w:pPr>
              <w:pStyle w:val="Body"/>
              <w:spacing w:after="0"/>
              <w:rPr>
                <w:rFonts w:ascii="Arial" w:hAnsi="Arial" w:cs="Arial"/>
              </w:rPr>
            </w:pPr>
            <w:r w:rsidRPr="00D75F47">
              <w:rPr>
                <w:rFonts w:ascii="Arial" w:hAnsi="Arial" w:cs="Arial"/>
              </w:rPr>
              <w:t>Sand (kg)</w:t>
            </w:r>
          </w:p>
        </w:tc>
        <w:tc>
          <w:tcPr>
            <w:tcW w:w="1350" w:type="dxa"/>
          </w:tcPr>
          <w:p w14:paraId="0DB33412" w14:textId="77777777" w:rsidR="00D75F47" w:rsidRPr="00D75F47" w:rsidRDefault="00D75F47" w:rsidP="00D75F47">
            <w:pPr>
              <w:pStyle w:val="Body"/>
              <w:spacing w:after="0"/>
              <w:rPr>
                <w:rFonts w:ascii="Arial" w:hAnsi="Arial" w:cs="Arial"/>
              </w:rPr>
            </w:pPr>
            <w:r w:rsidRPr="00D75F47">
              <w:rPr>
                <w:rFonts w:ascii="Arial" w:hAnsi="Arial" w:cs="Arial"/>
              </w:rPr>
              <w:t>Gravel (kg)</w:t>
            </w:r>
          </w:p>
        </w:tc>
        <w:tc>
          <w:tcPr>
            <w:tcW w:w="1255" w:type="dxa"/>
          </w:tcPr>
          <w:p w14:paraId="2EE159FA" w14:textId="77777777" w:rsidR="00D75F47" w:rsidRPr="00D75F47" w:rsidRDefault="00D75F47" w:rsidP="00D75F47">
            <w:pPr>
              <w:pStyle w:val="Body"/>
              <w:spacing w:after="0"/>
              <w:rPr>
                <w:rFonts w:ascii="Arial" w:hAnsi="Arial" w:cs="Arial"/>
              </w:rPr>
            </w:pPr>
            <w:r w:rsidRPr="00D75F47">
              <w:rPr>
                <w:rFonts w:ascii="Arial" w:hAnsi="Arial" w:cs="Arial"/>
              </w:rPr>
              <w:t>Water (kg)</w:t>
            </w:r>
          </w:p>
        </w:tc>
      </w:tr>
      <w:tr w:rsidR="00D75F47" w:rsidRPr="00D75F47" w14:paraId="7CDCE3E0" w14:textId="77777777" w:rsidTr="00F9557F">
        <w:tc>
          <w:tcPr>
            <w:tcW w:w="2695" w:type="dxa"/>
          </w:tcPr>
          <w:p w14:paraId="05EEB8BB" w14:textId="77777777" w:rsidR="00D75F47" w:rsidRPr="00D75F47" w:rsidRDefault="00D75F47" w:rsidP="00D75F47">
            <w:pPr>
              <w:pStyle w:val="Body"/>
              <w:spacing w:after="0"/>
              <w:rPr>
                <w:rFonts w:ascii="Arial" w:hAnsi="Arial" w:cs="Arial"/>
              </w:rPr>
            </w:pPr>
            <w:r w:rsidRPr="00D75F47">
              <w:rPr>
                <w:rFonts w:ascii="Arial" w:hAnsi="Arial" w:cs="Arial"/>
              </w:rPr>
              <w:t>0 %</w:t>
            </w:r>
            <w:r w:rsidRPr="00D75F47">
              <w:rPr>
                <w:rFonts w:ascii="Arial" w:hAnsi="Arial" w:cs="Arial"/>
              </w:rPr>
              <w:tab/>
            </w:r>
          </w:p>
        </w:tc>
        <w:tc>
          <w:tcPr>
            <w:tcW w:w="1440" w:type="dxa"/>
          </w:tcPr>
          <w:p w14:paraId="323188DE" w14:textId="77777777" w:rsidR="00D75F47" w:rsidRPr="00D75F47" w:rsidRDefault="00D75F47" w:rsidP="00D75F47">
            <w:pPr>
              <w:pStyle w:val="Body"/>
              <w:spacing w:after="0"/>
              <w:rPr>
                <w:rFonts w:ascii="Arial" w:hAnsi="Arial" w:cs="Arial"/>
              </w:rPr>
            </w:pPr>
            <w:r w:rsidRPr="00D75F47">
              <w:rPr>
                <w:rFonts w:ascii="Arial" w:hAnsi="Arial" w:cs="Arial"/>
              </w:rPr>
              <w:t>0</w:t>
            </w:r>
          </w:p>
        </w:tc>
        <w:tc>
          <w:tcPr>
            <w:tcW w:w="1440" w:type="dxa"/>
          </w:tcPr>
          <w:p w14:paraId="315C8990" w14:textId="77777777" w:rsidR="00D75F47" w:rsidRPr="00D75F47" w:rsidRDefault="00D75F47" w:rsidP="00D75F47">
            <w:pPr>
              <w:pStyle w:val="Body"/>
              <w:spacing w:after="0"/>
              <w:rPr>
                <w:rFonts w:ascii="Arial" w:hAnsi="Arial" w:cs="Arial"/>
              </w:rPr>
            </w:pPr>
            <w:r w:rsidRPr="00D75F47">
              <w:rPr>
                <w:rFonts w:ascii="Arial" w:hAnsi="Arial" w:cs="Arial"/>
              </w:rPr>
              <w:t>4.12</w:t>
            </w:r>
          </w:p>
        </w:tc>
        <w:tc>
          <w:tcPr>
            <w:tcW w:w="1170" w:type="dxa"/>
          </w:tcPr>
          <w:p w14:paraId="461615C8" w14:textId="77777777" w:rsidR="00D75F47" w:rsidRPr="00D75F47" w:rsidRDefault="00D75F47" w:rsidP="00D75F47">
            <w:pPr>
              <w:pStyle w:val="Body"/>
              <w:spacing w:after="0"/>
              <w:rPr>
                <w:rFonts w:ascii="Arial" w:hAnsi="Arial" w:cs="Arial"/>
              </w:rPr>
            </w:pPr>
            <w:r w:rsidRPr="00D75F47">
              <w:rPr>
                <w:rFonts w:ascii="Arial" w:hAnsi="Arial" w:cs="Arial"/>
              </w:rPr>
              <w:t>6.19</w:t>
            </w:r>
          </w:p>
        </w:tc>
        <w:tc>
          <w:tcPr>
            <w:tcW w:w="1350" w:type="dxa"/>
          </w:tcPr>
          <w:p w14:paraId="584E6389" w14:textId="77777777" w:rsidR="00D75F47" w:rsidRPr="00D75F47" w:rsidRDefault="00D75F47" w:rsidP="00D75F47">
            <w:pPr>
              <w:pStyle w:val="Body"/>
              <w:spacing w:after="0"/>
              <w:rPr>
                <w:rFonts w:ascii="Arial" w:hAnsi="Arial" w:cs="Arial"/>
              </w:rPr>
            </w:pPr>
            <w:r w:rsidRPr="00D75F47">
              <w:rPr>
                <w:rFonts w:ascii="Arial" w:hAnsi="Arial" w:cs="Arial"/>
              </w:rPr>
              <w:t>12.37</w:t>
            </w:r>
          </w:p>
        </w:tc>
        <w:tc>
          <w:tcPr>
            <w:tcW w:w="1255" w:type="dxa"/>
          </w:tcPr>
          <w:p w14:paraId="524D5C5B" w14:textId="77777777" w:rsidR="00D75F47" w:rsidRPr="00D75F47" w:rsidRDefault="00D75F47" w:rsidP="00D75F47">
            <w:pPr>
              <w:pStyle w:val="Body"/>
              <w:spacing w:after="0"/>
              <w:rPr>
                <w:rFonts w:ascii="Arial" w:hAnsi="Arial" w:cs="Arial"/>
              </w:rPr>
            </w:pPr>
            <w:r w:rsidRPr="00D75F47">
              <w:rPr>
                <w:rFonts w:ascii="Arial" w:hAnsi="Arial" w:cs="Arial"/>
              </w:rPr>
              <w:t>2.26</w:t>
            </w:r>
          </w:p>
        </w:tc>
      </w:tr>
      <w:tr w:rsidR="00D75F47" w:rsidRPr="00D75F47" w14:paraId="303A4368" w14:textId="77777777" w:rsidTr="00F9557F">
        <w:tc>
          <w:tcPr>
            <w:tcW w:w="2695" w:type="dxa"/>
          </w:tcPr>
          <w:p w14:paraId="411EF9E4" w14:textId="77777777" w:rsidR="00D75F47" w:rsidRPr="00D75F47" w:rsidRDefault="00D75F47" w:rsidP="00D75F47">
            <w:pPr>
              <w:pStyle w:val="Body"/>
              <w:spacing w:after="0"/>
              <w:rPr>
                <w:rFonts w:ascii="Arial" w:hAnsi="Arial" w:cs="Arial"/>
              </w:rPr>
            </w:pPr>
            <w:r w:rsidRPr="00D75F47">
              <w:rPr>
                <w:rFonts w:ascii="Arial" w:hAnsi="Arial" w:cs="Arial"/>
              </w:rPr>
              <w:t>5 %</w:t>
            </w:r>
          </w:p>
        </w:tc>
        <w:tc>
          <w:tcPr>
            <w:tcW w:w="1440" w:type="dxa"/>
          </w:tcPr>
          <w:p w14:paraId="5C6580DC" w14:textId="77777777" w:rsidR="00D75F47" w:rsidRPr="00D75F47" w:rsidRDefault="00D75F47" w:rsidP="00D75F47">
            <w:pPr>
              <w:pStyle w:val="Body"/>
              <w:spacing w:after="0"/>
              <w:rPr>
                <w:rFonts w:ascii="Arial" w:hAnsi="Arial" w:cs="Arial"/>
              </w:rPr>
            </w:pPr>
            <w:r w:rsidRPr="00D75F47">
              <w:rPr>
                <w:rFonts w:ascii="Arial" w:hAnsi="Arial" w:cs="Arial"/>
              </w:rPr>
              <w:t>0.206</w:t>
            </w:r>
          </w:p>
        </w:tc>
        <w:tc>
          <w:tcPr>
            <w:tcW w:w="1440" w:type="dxa"/>
          </w:tcPr>
          <w:p w14:paraId="3D0D5A61" w14:textId="77777777" w:rsidR="00D75F47" w:rsidRPr="00D75F47" w:rsidRDefault="00D75F47" w:rsidP="00D75F47">
            <w:pPr>
              <w:pStyle w:val="Body"/>
              <w:spacing w:after="0"/>
              <w:rPr>
                <w:rFonts w:ascii="Arial" w:hAnsi="Arial" w:cs="Arial"/>
              </w:rPr>
            </w:pPr>
            <w:r w:rsidRPr="00D75F47">
              <w:rPr>
                <w:rFonts w:ascii="Arial" w:hAnsi="Arial" w:cs="Arial"/>
              </w:rPr>
              <w:t>3.914</w:t>
            </w:r>
          </w:p>
        </w:tc>
        <w:tc>
          <w:tcPr>
            <w:tcW w:w="1170" w:type="dxa"/>
          </w:tcPr>
          <w:p w14:paraId="445108A4" w14:textId="77777777" w:rsidR="00D75F47" w:rsidRPr="00D75F47" w:rsidRDefault="00D75F47" w:rsidP="00D75F47">
            <w:pPr>
              <w:pStyle w:val="Body"/>
              <w:spacing w:after="0"/>
              <w:rPr>
                <w:rFonts w:ascii="Arial" w:hAnsi="Arial" w:cs="Arial"/>
              </w:rPr>
            </w:pPr>
            <w:r w:rsidRPr="00D75F47">
              <w:rPr>
                <w:rFonts w:ascii="Arial" w:hAnsi="Arial" w:cs="Arial"/>
              </w:rPr>
              <w:t>6.19</w:t>
            </w:r>
          </w:p>
        </w:tc>
        <w:tc>
          <w:tcPr>
            <w:tcW w:w="1350" w:type="dxa"/>
          </w:tcPr>
          <w:p w14:paraId="73C54767" w14:textId="77777777" w:rsidR="00D75F47" w:rsidRPr="00D75F47" w:rsidRDefault="00D75F47" w:rsidP="00D75F47">
            <w:pPr>
              <w:pStyle w:val="Body"/>
              <w:spacing w:after="0"/>
              <w:rPr>
                <w:rFonts w:ascii="Arial" w:hAnsi="Arial" w:cs="Arial"/>
              </w:rPr>
            </w:pPr>
            <w:r w:rsidRPr="00D75F47">
              <w:rPr>
                <w:rFonts w:ascii="Arial" w:hAnsi="Arial" w:cs="Arial"/>
              </w:rPr>
              <w:t>12.37</w:t>
            </w:r>
          </w:p>
        </w:tc>
        <w:tc>
          <w:tcPr>
            <w:tcW w:w="1255" w:type="dxa"/>
          </w:tcPr>
          <w:p w14:paraId="725133B9" w14:textId="77777777" w:rsidR="00D75F47" w:rsidRPr="00D75F47" w:rsidRDefault="00D75F47" w:rsidP="00D75F47">
            <w:pPr>
              <w:pStyle w:val="Body"/>
              <w:spacing w:after="0"/>
              <w:rPr>
                <w:rFonts w:ascii="Arial" w:hAnsi="Arial" w:cs="Arial"/>
              </w:rPr>
            </w:pPr>
            <w:r w:rsidRPr="00D75F47">
              <w:rPr>
                <w:rFonts w:ascii="Arial" w:hAnsi="Arial" w:cs="Arial"/>
              </w:rPr>
              <w:t>2.26</w:t>
            </w:r>
          </w:p>
        </w:tc>
      </w:tr>
      <w:tr w:rsidR="00D75F47" w:rsidRPr="00D75F47" w14:paraId="039FA21A" w14:textId="77777777" w:rsidTr="00F9557F">
        <w:tc>
          <w:tcPr>
            <w:tcW w:w="2695" w:type="dxa"/>
          </w:tcPr>
          <w:p w14:paraId="4638C8B8" w14:textId="77777777" w:rsidR="00D75F47" w:rsidRPr="00D75F47" w:rsidRDefault="00D75F47" w:rsidP="00D75F47">
            <w:pPr>
              <w:pStyle w:val="Body"/>
              <w:spacing w:after="0"/>
              <w:rPr>
                <w:rFonts w:ascii="Arial" w:hAnsi="Arial" w:cs="Arial"/>
              </w:rPr>
            </w:pPr>
            <w:r w:rsidRPr="00D75F47">
              <w:rPr>
                <w:rFonts w:ascii="Arial" w:hAnsi="Arial" w:cs="Arial"/>
              </w:rPr>
              <w:t>10 %</w:t>
            </w:r>
          </w:p>
        </w:tc>
        <w:tc>
          <w:tcPr>
            <w:tcW w:w="1440" w:type="dxa"/>
          </w:tcPr>
          <w:p w14:paraId="0B790FD1" w14:textId="77777777" w:rsidR="00D75F47" w:rsidRPr="00D75F47" w:rsidRDefault="00D75F47" w:rsidP="00D75F47">
            <w:pPr>
              <w:pStyle w:val="Body"/>
              <w:spacing w:after="0"/>
              <w:rPr>
                <w:rFonts w:ascii="Arial" w:hAnsi="Arial" w:cs="Arial"/>
              </w:rPr>
            </w:pPr>
            <w:r w:rsidRPr="00D75F47">
              <w:rPr>
                <w:rFonts w:ascii="Arial" w:hAnsi="Arial" w:cs="Arial"/>
              </w:rPr>
              <w:t>0.412</w:t>
            </w:r>
          </w:p>
        </w:tc>
        <w:tc>
          <w:tcPr>
            <w:tcW w:w="1440" w:type="dxa"/>
          </w:tcPr>
          <w:p w14:paraId="3E6077A7" w14:textId="77777777" w:rsidR="00D75F47" w:rsidRPr="00D75F47" w:rsidRDefault="00D75F47" w:rsidP="00D75F47">
            <w:pPr>
              <w:pStyle w:val="Body"/>
              <w:spacing w:after="0"/>
              <w:rPr>
                <w:rFonts w:ascii="Arial" w:hAnsi="Arial" w:cs="Arial"/>
              </w:rPr>
            </w:pPr>
            <w:r w:rsidRPr="00D75F47">
              <w:rPr>
                <w:rFonts w:ascii="Arial" w:hAnsi="Arial" w:cs="Arial"/>
              </w:rPr>
              <w:t>3.708</w:t>
            </w:r>
          </w:p>
        </w:tc>
        <w:tc>
          <w:tcPr>
            <w:tcW w:w="1170" w:type="dxa"/>
          </w:tcPr>
          <w:p w14:paraId="15DB1A63" w14:textId="77777777" w:rsidR="00D75F47" w:rsidRPr="00D75F47" w:rsidRDefault="00D75F47" w:rsidP="00D75F47">
            <w:pPr>
              <w:pStyle w:val="Body"/>
              <w:spacing w:after="0"/>
              <w:rPr>
                <w:rFonts w:ascii="Arial" w:hAnsi="Arial" w:cs="Arial"/>
              </w:rPr>
            </w:pPr>
            <w:r w:rsidRPr="00D75F47">
              <w:rPr>
                <w:rFonts w:ascii="Arial" w:hAnsi="Arial" w:cs="Arial"/>
              </w:rPr>
              <w:t>6.19</w:t>
            </w:r>
          </w:p>
        </w:tc>
        <w:tc>
          <w:tcPr>
            <w:tcW w:w="1350" w:type="dxa"/>
          </w:tcPr>
          <w:p w14:paraId="118FFDD7" w14:textId="77777777" w:rsidR="00D75F47" w:rsidRPr="00D75F47" w:rsidRDefault="00D75F47" w:rsidP="00D75F47">
            <w:pPr>
              <w:pStyle w:val="Body"/>
              <w:spacing w:after="0"/>
              <w:rPr>
                <w:rFonts w:ascii="Arial" w:hAnsi="Arial" w:cs="Arial"/>
              </w:rPr>
            </w:pPr>
            <w:r w:rsidRPr="00D75F47">
              <w:rPr>
                <w:rFonts w:ascii="Arial" w:hAnsi="Arial" w:cs="Arial"/>
              </w:rPr>
              <w:t>12.37</w:t>
            </w:r>
          </w:p>
        </w:tc>
        <w:tc>
          <w:tcPr>
            <w:tcW w:w="1255" w:type="dxa"/>
          </w:tcPr>
          <w:p w14:paraId="5C09EB95" w14:textId="77777777" w:rsidR="00D75F47" w:rsidRPr="00D75F47" w:rsidRDefault="00D75F47" w:rsidP="00D75F47">
            <w:pPr>
              <w:pStyle w:val="Body"/>
              <w:spacing w:after="0"/>
              <w:rPr>
                <w:rFonts w:ascii="Arial" w:hAnsi="Arial" w:cs="Arial"/>
              </w:rPr>
            </w:pPr>
            <w:r w:rsidRPr="00D75F47">
              <w:rPr>
                <w:rFonts w:ascii="Arial" w:hAnsi="Arial" w:cs="Arial"/>
              </w:rPr>
              <w:t>2.26</w:t>
            </w:r>
          </w:p>
        </w:tc>
      </w:tr>
      <w:tr w:rsidR="00D75F47" w:rsidRPr="00D75F47" w14:paraId="4E1F0EA1" w14:textId="77777777" w:rsidTr="00F9557F">
        <w:tc>
          <w:tcPr>
            <w:tcW w:w="2695" w:type="dxa"/>
          </w:tcPr>
          <w:p w14:paraId="1E1A734C" w14:textId="77777777" w:rsidR="00D75F47" w:rsidRPr="00D75F47" w:rsidRDefault="00D75F47" w:rsidP="00D75F47">
            <w:pPr>
              <w:pStyle w:val="Body"/>
              <w:spacing w:after="0"/>
              <w:rPr>
                <w:rFonts w:ascii="Arial" w:hAnsi="Arial" w:cs="Arial"/>
              </w:rPr>
            </w:pPr>
            <w:r w:rsidRPr="00D75F47">
              <w:rPr>
                <w:rFonts w:ascii="Arial" w:hAnsi="Arial" w:cs="Arial"/>
              </w:rPr>
              <w:t>15 %</w:t>
            </w:r>
          </w:p>
        </w:tc>
        <w:tc>
          <w:tcPr>
            <w:tcW w:w="1440" w:type="dxa"/>
          </w:tcPr>
          <w:p w14:paraId="77C5F8C2" w14:textId="77777777" w:rsidR="00D75F47" w:rsidRPr="00D75F47" w:rsidRDefault="00D75F47" w:rsidP="00D75F47">
            <w:pPr>
              <w:pStyle w:val="Body"/>
              <w:spacing w:after="0"/>
              <w:rPr>
                <w:rFonts w:ascii="Arial" w:hAnsi="Arial" w:cs="Arial"/>
              </w:rPr>
            </w:pPr>
            <w:r w:rsidRPr="00D75F47">
              <w:rPr>
                <w:rFonts w:ascii="Arial" w:hAnsi="Arial" w:cs="Arial"/>
              </w:rPr>
              <w:t>0.618</w:t>
            </w:r>
          </w:p>
        </w:tc>
        <w:tc>
          <w:tcPr>
            <w:tcW w:w="1440" w:type="dxa"/>
          </w:tcPr>
          <w:p w14:paraId="00E515A1" w14:textId="77777777" w:rsidR="00D75F47" w:rsidRPr="00D75F47" w:rsidRDefault="00D75F47" w:rsidP="00D75F47">
            <w:pPr>
              <w:pStyle w:val="Body"/>
              <w:spacing w:after="0"/>
              <w:rPr>
                <w:rFonts w:ascii="Arial" w:hAnsi="Arial" w:cs="Arial"/>
              </w:rPr>
            </w:pPr>
            <w:r w:rsidRPr="00D75F47">
              <w:rPr>
                <w:rFonts w:ascii="Arial" w:hAnsi="Arial" w:cs="Arial"/>
              </w:rPr>
              <w:t>3.502</w:t>
            </w:r>
          </w:p>
        </w:tc>
        <w:tc>
          <w:tcPr>
            <w:tcW w:w="1170" w:type="dxa"/>
          </w:tcPr>
          <w:p w14:paraId="6F7B6B5F" w14:textId="77777777" w:rsidR="00D75F47" w:rsidRPr="00D75F47" w:rsidRDefault="00D75F47" w:rsidP="00D75F47">
            <w:pPr>
              <w:pStyle w:val="Body"/>
              <w:spacing w:after="0"/>
              <w:rPr>
                <w:rFonts w:ascii="Arial" w:hAnsi="Arial" w:cs="Arial"/>
              </w:rPr>
            </w:pPr>
            <w:r w:rsidRPr="00D75F47">
              <w:rPr>
                <w:rFonts w:ascii="Arial" w:hAnsi="Arial" w:cs="Arial"/>
              </w:rPr>
              <w:t>6.19</w:t>
            </w:r>
          </w:p>
        </w:tc>
        <w:tc>
          <w:tcPr>
            <w:tcW w:w="1350" w:type="dxa"/>
          </w:tcPr>
          <w:p w14:paraId="6CD309F4" w14:textId="77777777" w:rsidR="00D75F47" w:rsidRPr="00D75F47" w:rsidRDefault="00D75F47" w:rsidP="00D75F47">
            <w:pPr>
              <w:pStyle w:val="Body"/>
              <w:spacing w:after="0"/>
              <w:rPr>
                <w:rFonts w:ascii="Arial" w:hAnsi="Arial" w:cs="Arial"/>
              </w:rPr>
            </w:pPr>
            <w:r w:rsidRPr="00D75F47">
              <w:rPr>
                <w:rFonts w:ascii="Arial" w:hAnsi="Arial" w:cs="Arial"/>
              </w:rPr>
              <w:t>12.37</w:t>
            </w:r>
          </w:p>
        </w:tc>
        <w:tc>
          <w:tcPr>
            <w:tcW w:w="1255" w:type="dxa"/>
          </w:tcPr>
          <w:p w14:paraId="7731D757" w14:textId="77777777" w:rsidR="00D75F47" w:rsidRPr="00D75F47" w:rsidRDefault="00D75F47" w:rsidP="00D75F47">
            <w:pPr>
              <w:pStyle w:val="Body"/>
              <w:spacing w:after="0"/>
              <w:rPr>
                <w:rFonts w:ascii="Arial" w:hAnsi="Arial" w:cs="Arial"/>
              </w:rPr>
            </w:pPr>
            <w:r w:rsidRPr="00D75F47">
              <w:rPr>
                <w:rFonts w:ascii="Arial" w:hAnsi="Arial" w:cs="Arial"/>
              </w:rPr>
              <w:t>2.26</w:t>
            </w:r>
          </w:p>
        </w:tc>
      </w:tr>
    </w:tbl>
    <w:p w14:paraId="1881113B" w14:textId="77777777" w:rsidR="00D75F47" w:rsidRPr="00D75F47" w:rsidRDefault="00D75F47" w:rsidP="00D75F47">
      <w:pPr>
        <w:pStyle w:val="Body"/>
        <w:spacing w:after="0"/>
        <w:rPr>
          <w:rFonts w:ascii="Arial" w:hAnsi="Arial" w:cs="Arial"/>
          <w:b/>
          <w:bCs/>
        </w:rPr>
      </w:pPr>
    </w:p>
    <w:bookmarkEnd w:id="1"/>
    <w:p w14:paraId="2CDE01B7" w14:textId="28A5418E" w:rsidR="00F62096" w:rsidRPr="00D75F47" w:rsidRDefault="00F62096" w:rsidP="00F62096">
      <w:pPr>
        <w:pStyle w:val="Body"/>
        <w:rPr>
          <w:rFonts w:ascii="Arial" w:hAnsi="Arial" w:cs="Arial"/>
        </w:rPr>
      </w:pPr>
      <w:r w:rsidRPr="00F62096">
        <w:rPr>
          <w:rFonts w:ascii="Arial" w:hAnsi="Arial" w:cs="Arial"/>
        </w:rPr>
        <w:t>The sample specimens are set apart for 24 hours and are kept in vibration free place. After this period, the specimens are put in submerged condition in fresh water in a tank and are cured for 7, 14, 21 and 28 days before testing. The duration of curing of sample is according to their schedule of testing</w:t>
      </w:r>
      <w:r>
        <w:rPr>
          <w:rFonts w:ascii="Arial" w:hAnsi="Arial" w:cs="Arial"/>
        </w:rPr>
        <w:t>.</w:t>
      </w:r>
    </w:p>
    <w:p w14:paraId="4A6B8C93" w14:textId="6D49292D" w:rsidR="00F62096" w:rsidRDefault="00F62096" w:rsidP="00F62096">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bCs/>
          <w:sz w:val="22"/>
        </w:rPr>
        <w:t>Laboratory Tests</w:t>
      </w:r>
    </w:p>
    <w:p w14:paraId="3C13F5A6" w14:textId="5BEB678D" w:rsidR="00F62096" w:rsidRDefault="00F62096" w:rsidP="003224BA">
      <w:pPr>
        <w:pStyle w:val="Body"/>
        <w:spacing w:after="0"/>
        <w:ind w:left="720"/>
        <w:rPr>
          <w:rFonts w:ascii="Arial" w:hAnsi="Arial" w:cs="Arial"/>
        </w:rPr>
      </w:pPr>
      <w:r>
        <w:rPr>
          <w:rFonts w:ascii="Arial" w:hAnsi="Arial" w:cs="Arial"/>
          <w:b/>
          <w:bCs/>
        </w:rPr>
        <w:t>Slump Test</w:t>
      </w:r>
      <w:r w:rsidR="003224BA">
        <w:rPr>
          <w:rFonts w:ascii="Arial" w:hAnsi="Arial" w:cs="Arial"/>
          <w:b/>
          <w:bCs/>
        </w:rPr>
        <w:t xml:space="preserve">: </w:t>
      </w:r>
      <w:r w:rsidRPr="00F62096">
        <w:rPr>
          <w:rFonts w:ascii="Arial" w:hAnsi="Arial" w:cs="Arial"/>
        </w:rPr>
        <w:t>To ensure that the concrete used for the casting of the cubes is good workability, slump tests (Figure 7) was carried out for every batching.</w:t>
      </w:r>
    </w:p>
    <w:p w14:paraId="4E5EAF8D" w14:textId="77777777" w:rsidR="00F62096" w:rsidRDefault="00F62096" w:rsidP="00F62096">
      <w:pPr>
        <w:pStyle w:val="Body"/>
        <w:spacing w:after="0"/>
        <w:jc w:val="center"/>
        <w:rPr>
          <w:rFonts w:ascii="Arial" w:hAnsi="Arial" w:cs="Arial"/>
          <w:b/>
          <w:bCs/>
        </w:rPr>
      </w:pPr>
      <w:r w:rsidRPr="00F62096">
        <w:rPr>
          <w:rFonts w:ascii="Arial" w:hAnsi="Arial" w:cs="Arial"/>
          <w:b/>
          <w:bCs/>
          <w:i/>
          <w:iCs/>
          <w:noProof/>
        </w:rPr>
        <w:drawing>
          <wp:inline distT="0" distB="0" distL="0" distR="0" wp14:anchorId="7AD8E54F" wp14:editId="5A49BCE8">
            <wp:extent cx="1650837" cy="1542553"/>
            <wp:effectExtent l="0" t="0" r="0" b="0"/>
            <wp:docPr id="868609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4363" cy="1564536"/>
                    </a:xfrm>
                    <a:prstGeom prst="rect">
                      <a:avLst/>
                    </a:prstGeom>
                    <a:noFill/>
                    <a:ln>
                      <a:noFill/>
                    </a:ln>
                  </pic:spPr>
                </pic:pic>
              </a:graphicData>
            </a:graphic>
          </wp:inline>
        </w:drawing>
      </w:r>
    </w:p>
    <w:p w14:paraId="3FC6F2BB" w14:textId="014C72BA" w:rsidR="00F62096" w:rsidRPr="00A93036" w:rsidRDefault="00F62096" w:rsidP="00A93036">
      <w:pPr>
        <w:pStyle w:val="Body"/>
        <w:spacing w:after="0"/>
        <w:rPr>
          <w:rFonts w:ascii="Arial" w:hAnsi="Arial" w:cs="Arial"/>
          <w:b/>
          <w:bCs/>
        </w:rPr>
      </w:pPr>
      <w:r w:rsidRPr="00F62096">
        <w:rPr>
          <w:rFonts w:ascii="Arial" w:hAnsi="Arial" w:cs="Arial"/>
          <w:b/>
          <w:bCs/>
        </w:rPr>
        <w:t>Fig</w:t>
      </w:r>
      <w:r w:rsidR="00A93036" w:rsidRPr="00A93036">
        <w:rPr>
          <w:rFonts w:ascii="Arial" w:hAnsi="Arial" w:cs="Arial"/>
          <w:b/>
          <w:bCs/>
        </w:rPr>
        <w:t>.</w:t>
      </w:r>
      <w:r w:rsidRPr="00F62096">
        <w:rPr>
          <w:rFonts w:ascii="Arial" w:hAnsi="Arial" w:cs="Arial"/>
          <w:b/>
          <w:bCs/>
        </w:rPr>
        <w:t xml:space="preserve"> 7</w:t>
      </w:r>
      <w:r w:rsidR="00A93036" w:rsidRPr="00A93036">
        <w:rPr>
          <w:rFonts w:ascii="Arial" w:hAnsi="Arial" w:cs="Arial"/>
          <w:b/>
          <w:bCs/>
        </w:rPr>
        <w:t>.</w:t>
      </w:r>
      <w:r w:rsidR="00A93036" w:rsidRPr="00A93036">
        <w:rPr>
          <w:rFonts w:ascii="Arial" w:hAnsi="Arial" w:cs="Arial"/>
          <w:b/>
          <w:bCs/>
        </w:rPr>
        <w:tab/>
      </w:r>
      <w:r w:rsidRPr="00F62096">
        <w:rPr>
          <w:rFonts w:ascii="Arial" w:hAnsi="Arial" w:cs="Arial"/>
          <w:b/>
          <w:bCs/>
        </w:rPr>
        <w:t>Slump Tes</w:t>
      </w:r>
      <w:r w:rsidRPr="00A93036">
        <w:rPr>
          <w:rFonts w:ascii="Arial" w:hAnsi="Arial" w:cs="Arial"/>
          <w:b/>
          <w:bCs/>
        </w:rPr>
        <w:t>t</w:t>
      </w:r>
    </w:p>
    <w:p w14:paraId="649D5A16" w14:textId="77777777" w:rsidR="00F62096" w:rsidRDefault="00F62096" w:rsidP="003224BA">
      <w:pPr>
        <w:pStyle w:val="Body"/>
        <w:spacing w:after="0"/>
        <w:ind w:firstLine="720"/>
        <w:rPr>
          <w:rFonts w:ascii="Arial" w:hAnsi="Arial" w:cs="Arial"/>
          <w:b/>
          <w:bCs/>
          <w:i/>
          <w:iCs/>
        </w:rPr>
      </w:pPr>
      <w:r w:rsidRPr="00F62096">
        <w:rPr>
          <w:rFonts w:ascii="Arial" w:hAnsi="Arial" w:cs="Arial"/>
          <w:b/>
          <w:bCs/>
          <w:i/>
          <w:iCs/>
        </w:rPr>
        <w:t xml:space="preserve">Apparatus; </w:t>
      </w:r>
      <w:r w:rsidRPr="00F62096">
        <w:rPr>
          <w:rFonts w:ascii="Arial" w:hAnsi="Arial" w:cs="Arial"/>
        </w:rPr>
        <w:t>Slump Test Cone</w:t>
      </w:r>
    </w:p>
    <w:p w14:paraId="207438CC" w14:textId="123DB6E0" w:rsidR="00F62096" w:rsidRPr="00F62096" w:rsidRDefault="00F62096" w:rsidP="003224BA">
      <w:pPr>
        <w:pStyle w:val="Body"/>
        <w:spacing w:after="0"/>
        <w:ind w:left="720"/>
        <w:rPr>
          <w:rFonts w:ascii="Arial" w:hAnsi="Arial" w:cs="Arial"/>
          <w:b/>
          <w:bCs/>
          <w:i/>
          <w:iCs/>
        </w:rPr>
      </w:pPr>
      <w:r w:rsidRPr="00F62096">
        <w:rPr>
          <w:rFonts w:ascii="Arial" w:hAnsi="Arial" w:cs="Arial"/>
        </w:rPr>
        <w:t>The slump cone was placed on a smooth, horizontal, waterproof base plate. The slump cone was then filled with freshly mixed concrete in three or four equal layers, tamping each layer 25 times with a bullet-nosed metal rod. After the top layer has been tamped, The excess concrete and level the surface with a trowel. Finally, the slump cone was carefully lifted vertically and observe the change in height of the concrete. This is the slump value</w:t>
      </w:r>
    </w:p>
    <w:p w14:paraId="571F95EB" w14:textId="77777777" w:rsidR="00F62096" w:rsidRDefault="00F62096" w:rsidP="00F62096">
      <w:pPr>
        <w:pStyle w:val="Body"/>
        <w:spacing w:after="0"/>
        <w:rPr>
          <w:rFonts w:ascii="Arial" w:hAnsi="Arial" w:cs="Arial"/>
          <w:b/>
        </w:rPr>
      </w:pPr>
    </w:p>
    <w:p w14:paraId="66A26AD8" w14:textId="28B241CE" w:rsidR="00F62096" w:rsidRDefault="00F62096" w:rsidP="003224BA">
      <w:pPr>
        <w:pStyle w:val="Body"/>
        <w:spacing w:after="0"/>
        <w:ind w:left="720"/>
        <w:rPr>
          <w:rFonts w:ascii="Arial" w:hAnsi="Arial" w:cs="Arial"/>
          <w:b/>
        </w:rPr>
      </w:pPr>
      <w:r>
        <w:rPr>
          <w:rFonts w:ascii="Arial" w:hAnsi="Arial" w:cs="Arial"/>
          <w:b/>
          <w:bCs/>
        </w:rPr>
        <w:t>Compressive Strength Test</w:t>
      </w:r>
      <w:r w:rsidR="003224BA">
        <w:rPr>
          <w:rFonts w:ascii="Arial" w:hAnsi="Arial" w:cs="Arial"/>
          <w:b/>
          <w:bCs/>
        </w:rPr>
        <w:t xml:space="preserve">: </w:t>
      </w:r>
      <w:r w:rsidRPr="00F62096">
        <w:rPr>
          <w:rFonts w:ascii="Arial" w:hAnsi="Arial" w:cs="Arial"/>
        </w:rPr>
        <w:t xml:space="preserve">The IS: 516 1959 code was followed for testing the compressive strength of the concrete cubes. The concrete cubes were casted in sizes </w:t>
      </w:r>
      <w:r w:rsidRPr="00F62096">
        <w:rPr>
          <w:rFonts w:ascii="Arial" w:hAnsi="Arial" w:cs="Arial"/>
        </w:rPr>
        <w:lastRenderedPageBreak/>
        <w:t>of 100mm x 100mm x 100mm. These samples were tested using the UTM (Universal Testing Machine) of capacity 2000KN. at pace of 140 kg/cm2/min. The universal testing machine was used to measure the specimens' compressive strength at 7, 14, 21, and 28 days of cure.</w:t>
      </w:r>
    </w:p>
    <w:p w14:paraId="4CCFA9EB" w14:textId="77777777" w:rsidR="003224BA" w:rsidRDefault="00F62096" w:rsidP="003224BA">
      <w:pPr>
        <w:pStyle w:val="Body"/>
        <w:spacing w:after="0"/>
        <w:ind w:left="720"/>
        <w:rPr>
          <w:rFonts w:ascii="Arial" w:hAnsi="Arial" w:cs="Arial"/>
        </w:rPr>
      </w:pPr>
      <w:r w:rsidRPr="00F62096">
        <w:rPr>
          <w:rFonts w:ascii="Arial" w:hAnsi="Arial" w:cs="Arial"/>
          <w:b/>
          <w:bCs/>
          <w:i/>
          <w:iCs/>
        </w:rPr>
        <w:t xml:space="preserve">Apparatus includes; </w:t>
      </w:r>
      <w:r w:rsidRPr="00F62096">
        <w:rPr>
          <w:rFonts w:ascii="Arial" w:hAnsi="Arial" w:cs="Arial"/>
        </w:rPr>
        <w:t xml:space="preserve">Universal Testing Machine (UTM) with a capacity of up to 2000 </w:t>
      </w:r>
      <w:proofErr w:type="spellStart"/>
      <w:r w:rsidRPr="00F62096">
        <w:rPr>
          <w:rFonts w:ascii="Arial" w:hAnsi="Arial" w:cs="Arial"/>
        </w:rPr>
        <w:t>kN</w:t>
      </w:r>
      <w:proofErr w:type="spellEnd"/>
      <w:r w:rsidRPr="00F62096">
        <w:rPr>
          <w:rFonts w:ascii="Arial" w:hAnsi="Arial" w:cs="Arial"/>
        </w:rPr>
        <w:t>; Standard concrete cube molds (100 mm × 100 mm × 100 mm); Weighing scale (accurate to 0.01 g); Tamping rod; Water bath or curing tanks for specimen curing; and Vernier caliper (for measuring dimensions of specimens).</w:t>
      </w:r>
    </w:p>
    <w:p w14:paraId="409B0E86" w14:textId="32DFBFD9" w:rsidR="00F62096" w:rsidRDefault="00F62096" w:rsidP="003224BA">
      <w:pPr>
        <w:pStyle w:val="Body"/>
        <w:spacing w:after="0"/>
        <w:ind w:left="720"/>
        <w:rPr>
          <w:rFonts w:ascii="Arial" w:hAnsi="Arial" w:cs="Arial"/>
        </w:rPr>
      </w:pPr>
      <w:r w:rsidRPr="00F62096">
        <w:rPr>
          <w:rFonts w:ascii="Arial" w:hAnsi="Arial" w:cs="Arial"/>
        </w:rPr>
        <w:t>The concrete specimens were prepared by mixing and pouring the different concrete mixes into the cube molds. The prepared concrete specimen was then compacted using a tamping rod to remove any air bubbles and ensure uniform distribution. The specimens were cured in a curing tank 7, 14, and 28 days. After curing, the specimens were removed from the curing tank, and the dimensions of each cube (length, width, and height) was measured. The specimens were placed in the compressive strength machine and a gradual load at a constant rate of 0.25 MPa per second will be applied until the specimen fails. The maximum load sustained by the specimen before failure was recorded. And the compressive strength was calculated using the formula in Eqn. 1</w:t>
      </w:r>
    </w:p>
    <w:p w14:paraId="58BDB29B" w14:textId="77777777" w:rsidR="00F62096" w:rsidRDefault="00F62096" w:rsidP="00F62096">
      <w:pPr>
        <w:pStyle w:val="Body"/>
        <w:spacing w:after="0"/>
        <w:jc w:val="center"/>
        <w:rPr>
          <w:rFonts w:ascii="Arial" w:hAnsi="Arial" w:cs="Arial"/>
        </w:rPr>
      </w:pPr>
      <w:r w:rsidRPr="00F62096">
        <w:rPr>
          <w:rFonts w:ascii="Arial" w:hAnsi="Arial" w:cs="Arial"/>
        </w:rPr>
        <w:t>Compressive Strength = F / A</w:t>
      </w:r>
      <w:r w:rsidRPr="00F62096">
        <w:rPr>
          <w:rFonts w:ascii="Arial" w:hAnsi="Arial" w:cs="Arial"/>
        </w:rPr>
        <w:tab/>
      </w:r>
      <w:r w:rsidRPr="00F62096">
        <w:rPr>
          <w:rFonts w:ascii="Arial" w:hAnsi="Arial" w:cs="Arial"/>
        </w:rPr>
        <w:tab/>
      </w:r>
      <w:r w:rsidRPr="00F62096">
        <w:rPr>
          <w:rFonts w:ascii="Arial" w:hAnsi="Arial" w:cs="Arial"/>
        </w:rPr>
        <w:tab/>
      </w:r>
      <w:r w:rsidRPr="00F62096">
        <w:rPr>
          <w:rFonts w:ascii="Arial" w:hAnsi="Arial" w:cs="Arial"/>
        </w:rPr>
        <w:tab/>
      </w:r>
      <w:r w:rsidRPr="00F62096">
        <w:rPr>
          <w:rFonts w:ascii="Arial" w:hAnsi="Arial" w:cs="Arial"/>
        </w:rPr>
        <w:tab/>
        <w:t>Eqn. 1</w:t>
      </w:r>
    </w:p>
    <w:p w14:paraId="11F1B13D" w14:textId="4B3522B6" w:rsidR="00F62096" w:rsidRPr="00F62096" w:rsidRDefault="00F62096" w:rsidP="00F62096">
      <w:pPr>
        <w:pStyle w:val="Body"/>
        <w:spacing w:after="0"/>
        <w:jc w:val="center"/>
        <w:rPr>
          <w:rFonts w:ascii="Arial" w:hAnsi="Arial" w:cs="Arial"/>
        </w:rPr>
      </w:pPr>
      <w:r w:rsidRPr="00F62096">
        <w:rPr>
          <w:rFonts w:ascii="Arial" w:hAnsi="Arial" w:cs="Arial"/>
          <w:b/>
          <w:bCs/>
        </w:rPr>
        <w:t xml:space="preserve">Where, </w:t>
      </w:r>
      <w:r w:rsidRPr="00F62096">
        <w:rPr>
          <w:rFonts w:ascii="Arial" w:hAnsi="Arial" w:cs="Arial"/>
        </w:rPr>
        <w:tab/>
        <w:t>F</w:t>
      </w:r>
      <w:r w:rsidRPr="00F62096">
        <w:rPr>
          <w:rFonts w:ascii="Arial" w:hAnsi="Arial" w:cs="Arial"/>
        </w:rPr>
        <w:tab/>
        <w:t>=</w:t>
      </w:r>
      <w:r w:rsidRPr="00F62096">
        <w:rPr>
          <w:rFonts w:ascii="Arial" w:hAnsi="Arial" w:cs="Arial"/>
        </w:rPr>
        <w:tab/>
        <w:t>Maximum load at which the cube crushed</w:t>
      </w:r>
    </w:p>
    <w:p w14:paraId="69C1AAA7" w14:textId="77777777" w:rsidR="00F62096" w:rsidRDefault="00F62096" w:rsidP="00D75F47">
      <w:pPr>
        <w:pStyle w:val="Head1"/>
        <w:spacing w:after="0"/>
        <w:jc w:val="both"/>
        <w:rPr>
          <w:rFonts w:ascii="Arial" w:hAnsi="Arial" w:cs="Arial"/>
        </w:rPr>
      </w:pPr>
    </w:p>
    <w:p w14:paraId="27890757" w14:textId="4F8CF8E2" w:rsidR="00790ADA" w:rsidRPr="00FB3A86" w:rsidRDefault="00000F8F" w:rsidP="00D75F4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B23430" w14:textId="6872F58F" w:rsidR="001C5CF6" w:rsidRDefault="001C5CF6" w:rsidP="001C5CF6">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Characterization of Materials</w:t>
      </w:r>
    </w:p>
    <w:p w14:paraId="607497D1" w14:textId="77777777" w:rsidR="001C5CF6" w:rsidRPr="001C5CF6" w:rsidRDefault="001C5CF6" w:rsidP="001C5CF6">
      <w:pPr>
        <w:pStyle w:val="Body"/>
        <w:spacing w:after="0"/>
        <w:rPr>
          <w:rFonts w:ascii="Arial" w:hAnsi="Arial" w:cs="Arial"/>
        </w:rPr>
      </w:pPr>
      <w:r w:rsidRPr="001C5CF6">
        <w:rPr>
          <w:rFonts w:ascii="Arial" w:hAnsi="Arial" w:cs="Arial"/>
        </w:rPr>
        <w:t>The measured bulk density (Table 2) of the sand was 1.21848 g/cm</w:t>
      </w:r>
      <w:r w:rsidRPr="001C5CF6">
        <w:rPr>
          <w:rFonts w:ascii="Arial" w:hAnsi="Arial" w:cs="Arial"/>
          <w:vertAlign w:val="superscript"/>
        </w:rPr>
        <w:t>3</w:t>
      </w:r>
      <w:r w:rsidRPr="001C5CF6">
        <w:rPr>
          <w:rFonts w:ascii="Arial" w:hAnsi="Arial" w:cs="Arial"/>
        </w:rPr>
        <w:t xml:space="preserve"> (≈1,218 kg/m</w:t>
      </w:r>
      <w:r w:rsidRPr="001C5CF6">
        <w:rPr>
          <w:rFonts w:ascii="Arial" w:hAnsi="Arial" w:cs="Arial"/>
          <w:vertAlign w:val="superscript"/>
        </w:rPr>
        <w:t>3</w:t>
      </w:r>
      <w:r w:rsidRPr="001C5CF6">
        <w:rPr>
          <w:rFonts w:ascii="Arial" w:hAnsi="Arial" w:cs="Arial"/>
        </w:rPr>
        <w:t>), while for the granite (coarse aggregate), it was 1.4968 g/cm</w:t>
      </w:r>
      <w:r w:rsidRPr="001C5CF6">
        <w:rPr>
          <w:rFonts w:ascii="Arial" w:hAnsi="Arial" w:cs="Arial"/>
          <w:vertAlign w:val="superscript"/>
        </w:rPr>
        <w:t>3</w:t>
      </w:r>
      <w:r w:rsidRPr="001C5CF6">
        <w:rPr>
          <w:rFonts w:ascii="Arial" w:hAnsi="Arial" w:cs="Arial"/>
        </w:rPr>
        <w:t xml:space="preserve"> (≈1,497 kg/m³). These values fall within the typical ranges reported in literature (Mohanta and Murmu, 2022). Fine aggregates such as river sands generally demonstrate bulk densities in the range of 1,600–1,800 kg/m</w:t>
      </w:r>
      <w:r w:rsidRPr="001C5CF6">
        <w:rPr>
          <w:rFonts w:ascii="Arial" w:hAnsi="Arial" w:cs="Arial"/>
          <w:vertAlign w:val="superscript"/>
        </w:rPr>
        <w:t>3</w:t>
      </w:r>
      <w:r w:rsidRPr="001C5CF6">
        <w:rPr>
          <w:rFonts w:ascii="Arial" w:hAnsi="Arial" w:cs="Arial"/>
        </w:rPr>
        <w:t xml:space="preserve">, depending on grain size, sorting, and compaction conditions (Abdias </w:t>
      </w:r>
      <w:r w:rsidRPr="001C5CF6">
        <w:rPr>
          <w:rFonts w:ascii="Arial" w:hAnsi="Arial" w:cs="Arial"/>
          <w:i/>
          <w:iCs/>
        </w:rPr>
        <w:t>et al.,</w:t>
      </w:r>
      <w:r w:rsidRPr="001C5CF6">
        <w:rPr>
          <w:rFonts w:ascii="Arial" w:hAnsi="Arial" w:cs="Arial"/>
        </w:rPr>
        <w:t xml:space="preserve"> 2023). Similarly, bulk densities for aggregates used in normal-weight concrete commonly lie between 1,200–1,750 kg/m</w:t>
      </w:r>
      <w:r w:rsidRPr="001C5CF6">
        <w:rPr>
          <w:rFonts w:ascii="Arial" w:hAnsi="Arial" w:cs="Arial"/>
          <w:vertAlign w:val="superscript"/>
        </w:rPr>
        <w:t>3</w:t>
      </w:r>
      <w:r w:rsidRPr="001C5CF6">
        <w:rPr>
          <w:rFonts w:ascii="Arial" w:hAnsi="Arial" w:cs="Arial"/>
        </w:rPr>
        <w:t xml:space="preserve"> (Xing </w:t>
      </w:r>
      <w:r w:rsidRPr="001C5CF6">
        <w:rPr>
          <w:rFonts w:ascii="Arial" w:hAnsi="Arial" w:cs="Arial"/>
          <w:i/>
          <w:iCs/>
        </w:rPr>
        <w:t>et al.,</w:t>
      </w:r>
      <w:r w:rsidRPr="001C5CF6">
        <w:rPr>
          <w:rFonts w:ascii="Arial" w:hAnsi="Arial" w:cs="Arial"/>
        </w:rPr>
        <w:t xml:space="preserve"> 2022). The bult density of the sand suggest it may be loosely packed, lightly compacted, or possess lower-density mineral content, while the granite aligns well toward the higher end for aggregates. The specific gravity of the granite is reported as 2.648, which is consistent with commonly observed values for granite, typically between 2.6 and 2.7. This indicates dense rock material, suitable for coarse aggregate in concrete mixes.</w:t>
      </w:r>
    </w:p>
    <w:p w14:paraId="73F1215D" w14:textId="77777777" w:rsidR="001C5CF6" w:rsidRPr="001C5CF6" w:rsidRDefault="001C5CF6" w:rsidP="001C5CF6">
      <w:pPr>
        <w:pStyle w:val="Body"/>
        <w:spacing w:after="0"/>
        <w:rPr>
          <w:rFonts w:ascii="Arial" w:hAnsi="Arial" w:cs="Arial"/>
        </w:rPr>
      </w:pPr>
    </w:p>
    <w:p w14:paraId="0499D0F8" w14:textId="26117E34" w:rsidR="001C5CF6" w:rsidRPr="001C5CF6" w:rsidRDefault="001C5CF6" w:rsidP="001C5CF6">
      <w:pPr>
        <w:pStyle w:val="Body"/>
        <w:spacing w:after="0"/>
        <w:rPr>
          <w:rFonts w:ascii="Arial" w:hAnsi="Arial" w:cs="Arial"/>
          <w:b/>
          <w:bCs/>
        </w:rPr>
      </w:pPr>
      <w:r w:rsidRPr="001C5CF6">
        <w:rPr>
          <w:rFonts w:ascii="Arial" w:hAnsi="Arial" w:cs="Arial"/>
          <w:b/>
          <w:bCs/>
        </w:rPr>
        <w:t>Table 2</w:t>
      </w:r>
      <w:r>
        <w:rPr>
          <w:rFonts w:ascii="Arial" w:hAnsi="Arial" w:cs="Arial"/>
          <w:b/>
          <w:bCs/>
        </w:rPr>
        <w:t>.</w:t>
      </w:r>
      <w:r>
        <w:rPr>
          <w:rFonts w:ascii="Arial" w:hAnsi="Arial" w:cs="Arial"/>
          <w:b/>
          <w:bCs/>
        </w:rPr>
        <w:tab/>
      </w:r>
      <w:r w:rsidRPr="001C5CF6">
        <w:rPr>
          <w:rFonts w:ascii="Arial" w:hAnsi="Arial" w:cs="Arial"/>
          <w:b/>
          <w:bCs/>
        </w:rPr>
        <w:t>Characterization of Materials</w:t>
      </w:r>
    </w:p>
    <w:tbl>
      <w:tblPr>
        <w:tblStyle w:val="PlainTable2"/>
        <w:tblW w:w="0" w:type="auto"/>
        <w:tblLook w:val="0620" w:firstRow="1" w:lastRow="0" w:firstColumn="0" w:lastColumn="0" w:noHBand="1" w:noVBand="1"/>
      </w:tblPr>
      <w:tblGrid>
        <w:gridCol w:w="2725"/>
        <w:gridCol w:w="2738"/>
        <w:gridCol w:w="2745"/>
      </w:tblGrid>
      <w:tr w:rsidR="001C5CF6" w:rsidRPr="001C5CF6" w14:paraId="7ACA4072" w14:textId="77777777" w:rsidTr="00F9557F">
        <w:trPr>
          <w:cnfStyle w:val="100000000000" w:firstRow="1" w:lastRow="0" w:firstColumn="0" w:lastColumn="0" w:oddVBand="0" w:evenVBand="0" w:oddHBand="0" w:evenHBand="0" w:firstRowFirstColumn="0" w:firstRowLastColumn="0" w:lastRowFirstColumn="0" w:lastRowLastColumn="0"/>
        </w:trPr>
        <w:tc>
          <w:tcPr>
            <w:tcW w:w="3116" w:type="dxa"/>
          </w:tcPr>
          <w:p w14:paraId="1BF26807" w14:textId="77777777" w:rsidR="001C5CF6" w:rsidRPr="001C5CF6" w:rsidRDefault="001C5CF6" w:rsidP="001C5CF6">
            <w:pPr>
              <w:pStyle w:val="Body"/>
              <w:spacing w:after="0"/>
              <w:rPr>
                <w:rFonts w:ascii="Arial" w:hAnsi="Arial" w:cs="Arial"/>
              </w:rPr>
            </w:pPr>
          </w:p>
        </w:tc>
        <w:tc>
          <w:tcPr>
            <w:tcW w:w="3117" w:type="dxa"/>
          </w:tcPr>
          <w:p w14:paraId="3D8D9548" w14:textId="77777777" w:rsidR="001C5CF6" w:rsidRPr="001C5CF6" w:rsidRDefault="001C5CF6" w:rsidP="001C5CF6">
            <w:pPr>
              <w:pStyle w:val="Body"/>
              <w:spacing w:after="0"/>
              <w:rPr>
                <w:rFonts w:ascii="Arial" w:hAnsi="Arial" w:cs="Arial"/>
              </w:rPr>
            </w:pPr>
            <w:r w:rsidRPr="001C5CF6">
              <w:rPr>
                <w:rFonts w:ascii="Arial" w:hAnsi="Arial" w:cs="Arial"/>
              </w:rPr>
              <w:t>Bulk Density</w:t>
            </w:r>
          </w:p>
        </w:tc>
        <w:tc>
          <w:tcPr>
            <w:tcW w:w="3117" w:type="dxa"/>
          </w:tcPr>
          <w:p w14:paraId="7BA4C298" w14:textId="77777777" w:rsidR="001C5CF6" w:rsidRPr="001C5CF6" w:rsidRDefault="001C5CF6" w:rsidP="001C5CF6">
            <w:pPr>
              <w:pStyle w:val="Body"/>
              <w:spacing w:after="0"/>
              <w:rPr>
                <w:rFonts w:ascii="Arial" w:hAnsi="Arial" w:cs="Arial"/>
              </w:rPr>
            </w:pPr>
            <w:r w:rsidRPr="001C5CF6">
              <w:rPr>
                <w:rFonts w:ascii="Arial" w:hAnsi="Arial" w:cs="Arial"/>
              </w:rPr>
              <w:t>Specific Gravity</w:t>
            </w:r>
          </w:p>
        </w:tc>
      </w:tr>
      <w:tr w:rsidR="001C5CF6" w:rsidRPr="001C5CF6" w14:paraId="61FA465E" w14:textId="77777777" w:rsidTr="00F9557F">
        <w:tc>
          <w:tcPr>
            <w:tcW w:w="3116" w:type="dxa"/>
          </w:tcPr>
          <w:p w14:paraId="3C173FBD" w14:textId="77777777" w:rsidR="001C5CF6" w:rsidRPr="001C5CF6" w:rsidRDefault="001C5CF6" w:rsidP="001C5CF6">
            <w:pPr>
              <w:pStyle w:val="Body"/>
              <w:spacing w:after="0"/>
              <w:rPr>
                <w:rFonts w:ascii="Arial" w:hAnsi="Arial" w:cs="Arial"/>
              </w:rPr>
            </w:pPr>
            <w:r w:rsidRPr="001C5CF6">
              <w:rPr>
                <w:rFonts w:ascii="Arial" w:hAnsi="Arial" w:cs="Arial"/>
              </w:rPr>
              <w:t>Sand</w:t>
            </w:r>
          </w:p>
        </w:tc>
        <w:tc>
          <w:tcPr>
            <w:tcW w:w="3117" w:type="dxa"/>
          </w:tcPr>
          <w:p w14:paraId="62F505E8" w14:textId="77777777" w:rsidR="001C5CF6" w:rsidRPr="001C5CF6" w:rsidRDefault="001C5CF6" w:rsidP="001C5CF6">
            <w:pPr>
              <w:pStyle w:val="Body"/>
              <w:spacing w:after="0"/>
              <w:rPr>
                <w:rFonts w:ascii="Arial" w:hAnsi="Arial" w:cs="Arial"/>
              </w:rPr>
            </w:pPr>
            <w:r w:rsidRPr="001C5CF6">
              <w:rPr>
                <w:rFonts w:ascii="Arial" w:hAnsi="Arial" w:cs="Arial"/>
              </w:rPr>
              <w:t>1.21848 g/cm</w:t>
            </w:r>
            <w:r w:rsidRPr="001C5CF6">
              <w:rPr>
                <w:rFonts w:ascii="Arial" w:hAnsi="Arial" w:cs="Arial"/>
                <w:vertAlign w:val="superscript"/>
              </w:rPr>
              <w:t>3</w:t>
            </w:r>
          </w:p>
        </w:tc>
        <w:tc>
          <w:tcPr>
            <w:tcW w:w="3117" w:type="dxa"/>
          </w:tcPr>
          <w:p w14:paraId="6CF083B9" w14:textId="77777777" w:rsidR="001C5CF6" w:rsidRPr="001C5CF6" w:rsidRDefault="001C5CF6" w:rsidP="001C5CF6">
            <w:pPr>
              <w:pStyle w:val="Body"/>
              <w:spacing w:after="0"/>
              <w:rPr>
                <w:rFonts w:ascii="Arial" w:hAnsi="Arial" w:cs="Arial"/>
              </w:rPr>
            </w:pPr>
            <w:r w:rsidRPr="001C5CF6">
              <w:rPr>
                <w:rFonts w:ascii="Arial" w:hAnsi="Arial" w:cs="Arial"/>
              </w:rPr>
              <w:t>-</w:t>
            </w:r>
          </w:p>
        </w:tc>
      </w:tr>
      <w:tr w:rsidR="001C5CF6" w:rsidRPr="001C5CF6" w14:paraId="78C5C82D" w14:textId="77777777" w:rsidTr="00F9557F">
        <w:tc>
          <w:tcPr>
            <w:tcW w:w="3116" w:type="dxa"/>
          </w:tcPr>
          <w:p w14:paraId="596A6F38" w14:textId="77777777" w:rsidR="001C5CF6" w:rsidRPr="001C5CF6" w:rsidRDefault="001C5CF6" w:rsidP="001C5CF6">
            <w:pPr>
              <w:pStyle w:val="Body"/>
              <w:spacing w:after="0"/>
              <w:rPr>
                <w:rFonts w:ascii="Arial" w:hAnsi="Arial" w:cs="Arial"/>
              </w:rPr>
            </w:pPr>
            <w:r w:rsidRPr="001C5CF6">
              <w:rPr>
                <w:rFonts w:ascii="Arial" w:hAnsi="Arial" w:cs="Arial"/>
              </w:rPr>
              <w:t>Granite</w:t>
            </w:r>
          </w:p>
        </w:tc>
        <w:tc>
          <w:tcPr>
            <w:tcW w:w="3117" w:type="dxa"/>
          </w:tcPr>
          <w:p w14:paraId="6339A6D6" w14:textId="77777777" w:rsidR="001C5CF6" w:rsidRPr="001C5CF6" w:rsidRDefault="001C5CF6" w:rsidP="001C5CF6">
            <w:pPr>
              <w:pStyle w:val="Body"/>
              <w:spacing w:after="0"/>
              <w:rPr>
                <w:rFonts w:ascii="Arial" w:hAnsi="Arial" w:cs="Arial"/>
              </w:rPr>
            </w:pPr>
            <w:r w:rsidRPr="001C5CF6">
              <w:rPr>
                <w:rFonts w:ascii="Arial" w:hAnsi="Arial" w:cs="Arial"/>
              </w:rPr>
              <w:t>1.4968 g/cm</w:t>
            </w:r>
            <w:r w:rsidRPr="001C5CF6">
              <w:rPr>
                <w:rFonts w:ascii="Arial" w:hAnsi="Arial" w:cs="Arial"/>
                <w:vertAlign w:val="superscript"/>
              </w:rPr>
              <w:t>3</w:t>
            </w:r>
          </w:p>
        </w:tc>
        <w:tc>
          <w:tcPr>
            <w:tcW w:w="3117" w:type="dxa"/>
          </w:tcPr>
          <w:p w14:paraId="35C2445F" w14:textId="77777777" w:rsidR="001C5CF6" w:rsidRPr="001C5CF6" w:rsidRDefault="001C5CF6" w:rsidP="001C5CF6">
            <w:pPr>
              <w:pStyle w:val="Body"/>
              <w:spacing w:after="0"/>
              <w:rPr>
                <w:rFonts w:ascii="Arial" w:hAnsi="Arial" w:cs="Arial"/>
              </w:rPr>
            </w:pPr>
            <w:r w:rsidRPr="001C5CF6">
              <w:rPr>
                <w:rFonts w:ascii="Arial" w:hAnsi="Arial" w:cs="Arial"/>
              </w:rPr>
              <w:t>2.648</w:t>
            </w:r>
          </w:p>
        </w:tc>
      </w:tr>
    </w:tbl>
    <w:p w14:paraId="569D541E" w14:textId="77777777" w:rsidR="001C5CF6" w:rsidRPr="001C5CF6" w:rsidRDefault="001C5CF6" w:rsidP="001C5CF6">
      <w:pPr>
        <w:pStyle w:val="Body"/>
        <w:spacing w:after="0"/>
        <w:rPr>
          <w:rFonts w:ascii="Arial" w:hAnsi="Arial" w:cs="Arial"/>
        </w:rPr>
      </w:pPr>
    </w:p>
    <w:p w14:paraId="3DDFA9CC" w14:textId="0B07E95C" w:rsidR="001C5CF6" w:rsidRDefault="001C5CF6" w:rsidP="001C5CF6">
      <w:pPr>
        <w:pStyle w:val="Body"/>
        <w:spacing w:after="0"/>
        <w:rPr>
          <w:rFonts w:ascii="Arial" w:hAnsi="Arial" w:cs="Arial"/>
          <w:b/>
          <w:sz w:val="22"/>
        </w:rPr>
      </w:pPr>
      <w:bookmarkStart w:id="2" w:name="_Hlk177393700"/>
      <w:bookmarkStart w:id="3" w:name="_Hlk177393775"/>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Particle Size Distribution of Aggregates</w:t>
      </w:r>
    </w:p>
    <w:bookmarkEnd w:id="2"/>
    <w:p w14:paraId="58AC4959" w14:textId="77777777" w:rsidR="001C5CF6" w:rsidRPr="001C5CF6" w:rsidRDefault="001C5CF6" w:rsidP="001C5CF6">
      <w:pPr>
        <w:pStyle w:val="Body"/>
        <w:spacing w:after="0"/>
        <w:rPr>
          <w:rFonts w:ascii="Arial" w:hAnsi="Arial" w:cs="Arial"/>
        </w:rPr>
      </w:pPr>
      <w:r w:rsidRPr="001C5CF6">
        <w:rPr>
          <w:rFonts w:ascii="Arial" w:hAnsi="Arial" w:cs="Arial"/>
        </w:rPr>
        <w:t>Table 3 to Table 6 and Figure 8 and Figure 9 gives the particle size parameters for the fine and coarse aggregates. From Table 4.3, the coefficient of conformity Cu and coefficient of curvature Cc was 2.29 and 1.08 respectively for fine aggregates and 1.24 and 1.15 respectively for coarse aggregates. A Cu value below 4 suggests a narrow size distribution, typical of uniformly graded materials, while a Cc value between 1 and 3 is required for a well-graded aggregate. With Cu = 2.29 (well under 4), the sand lacks a wide range of particle sizes, which may lead to lower packing density and higher void content, potentially affecting workability and strength development. Similar to the fine aggregate, this coarse aggregate is poorly graded, as Cu = 1.24 is significantly less than the threshold of 4 for gravel; a Cc within 1–3 alone does not make it well-graded. Such a narrow gradation suggests particles are of very similar size, resulting in limited interlocking and potential inefficiencies in packing.</w:t>
      </w:r>
    </w:p>
    <w:p w14:paraId="6486BC5D" w14:textId="77777777" w:rsidR="001C5CF6" w:rsidRPr="001C5CF6" w:rsidRDefault="001C5CF6" w:rsidP="001C5CF6">
      <w:pPr>
        <w:pStyle w:val="Body"/>
        <w:spacing w:after="0"/>
        <w:rPr>
          <w:rFonts w:ascii="Arial" w:hAnsi="Arial" w:cs="Arial"/>
        </w:rPr>
      </w:pPr>
    </w:p>
    <w:p w14:paraId="1FF51E3E" w14:textId="1BB626DB" w:rsidR="001C5CF6" w:rsidRPr="001C5CF6" w:rsidRDefault="001C5CF6" w:rsidP="001C5CF6">
      <w:pPr>
        <w:pStyle w:val="Body"/>
        <w:spacing w:after="0"/>
        <w:rPr>
          <w:rFonts w:ascii="Arial" w:hAnsi="Arial" w:cs="Arial"/>
          <w:b/>
          <w:bCs/>
        </w:rPr>
      </w:pPr>
      <w:bookmarkStart w:id="4" w:name="_Hlk177393712"/>
      <w:r w:rsidRPr="001C5CF6">
        <w:rPr>
          <w:rFonts w:ascii="Arial" w:hAnsi="Arial" w:cs="Arial"/>
          <w:b/>
          <w:bCs/>
        </w:rPr>
        <w:lastRenderedPageBreak/>
        <w:t>Table 3</w:t>
      </w:r>
      <w:r w:rsidRPr="00D30D68">
        <w:rPr>
          <w:rFonts w:ascii="Arial" w:hAnsi="Arial" w:cs="Arial"/>
          <w:b/>
          <w:bCs/>
        </w:rPr>
        <w:t>.</w:t>
      </w:r>
      <w:r w:rsidRPr="00D30D68">
        <w:rPr>
          <w:rFonts w:ascii="Arial" w:hAnsi="Arial" w:cs="Arial"/>
          <w:b/>
          <w:bCs/>
        </w:rPr>
        <w:tab/>
        <w:t xml:space="preserve"> </w:t>
      </w:r>
      <w:r w:rsidRPr="001C5CF6">
        <w:rPr>
          <w:rFonts w:ascii="Arial" w:hAnsi="Arial" w:cs="Arial"/>
          <w:b/>
          <w:bCs/>
        </w:rPr>
        <w:t>Particle Size Distribution of Fine Aggregate</w:t>
      </w:r>
      <w:bookmarkEnd w:id="4"/>
    </w:p>
    <w:tbl>
      <w:tblPr>
        <w:tblStyle w:val="PlainTable2"/>
        <w:tblW w:w="9240" w:type="dxa"/>
        <w:tblLook w:val="0620" w:firstRow="1" w:lastRow="0" w:firstColumn="0" w:lastColumn="0" w:noHBand="1" w:noVBand="1"/>
      </w:tblPr>
      <w:tblGrid>
        <w:gridCol w:w="1527"/>
        <w:gridCol w:w="1352"/>
        <w:gridCol w:w="1475"/>
        <w:gridCol w:w="1464"/>
        <w:gridCol w:w="1620"/>
        <w:gridCol w:w="1802"/>
      </w:tblGrid>
      <w:tr w:rsidR="001C5CF6" w:rsidRPr="001C5CF6" w14:paraId="42C201B0" w14:textId="77777777" w:rsidTr="00F9557F">
        <w:trPr>
          <w:cnfStyle w:val="100000000000" w:firstRow="1" w:lastRow="0" w:firstColumn="0" w:lastColumn="0" w:oddVBand="0" w:evenVBand="0" w:oddHBand="0" w:evenHBand="0" w:firstRowFirstColumn="0" w:firstRowLastColumn="0" w:lastRowFirstColumn="0" w:lastRowLastColumn="0"/>
          <w:trHeight w:val="419"/>
        </w:trPr>
        <w:tc>
          <w:tcPr>
            <w:tcW w:w="1527" w:type="dxa"/>
          </w:tcPr>
          <w:p w14:paraId="1995FDE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Sieve Opening (mm)</w:t>
            </w:r>
          </w:p>
        </w:tc>
        <w:tc>
          <w:tcPr>
            <w:tcW w:w="1352" w:type="dxa"/>
          </w:tcPr>
          <w:p w14:paraId="2A3B38E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of Sieve</w:t>
            </w:r>
          </w:p>
        </w:tc>
        <w:tc>
          <w:tcPr>
            <w:tcW w:w="1475" w:type="dxa"/>
          </w:tcPr>
          <w:p w14:paraId="3D03AF0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of Sieve + Material</w:t>
            </w:r>
          </w:p>
        </w:tc>
        <w:tc>
          <w:tcPr>
            <w:tcW w:w="1464" w:type="dxa"/>
          </w:tcPr>
          <w:p w14:paraId="515F15C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Retained</w:t>
            </w:r>
          </w:p>
        </w:tc>
        <w:tc>
          <w:tcPr>
            <w:tcW w:w="1620" w:type="dxa"/>
          </w:tcPr>
          <w:p w14:paraId="47D2885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Percentage Retained</w:t>
            </w:r>
          </w:p>
        </w:tc>
        <w:tc>
          <w:tcPr>
            <w:tcW w:w="1802" w:type="dxa"/>
          </w:tcPr>
          <w:p w14:paraId="72C676A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Percentage Passing (%)</w:t>
            </w:r>
          </w:p>
        </w:tc>
      </w:tr>
      <w:tr w:rsidR="001C5CF6" w:rsidRPr="001C5CF6" w14:paraId="187A8181" w14:textId="77777777" w:rsidTr="00F9557F">
        <w:trPr>
          <w:trHeight w:val="208"/>
        </w:trPr>
        <w:tc>
          <w:tcPr>
            <w:tcW w:w="1527" w:type="dxa"/>
          </w:tcPr>
          <w:p w14:paraId="27C798E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4.75</w:t>
            </w:r>
          </w:p>
        </w:tc>
        <w:tc>
          <w:tcPr>
            <w:tcW w:w="1352" w:type="dxa"/>
          </w:tcPr>
          <w:p w14:paraId="2F409E5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526.6</w:t>
            </w:r>
          </w:p>
        </w:tc>
        <w:tc>
          <w:tcPr>
            <w:tcW w:w="1475" w:type="dxa"/>
          </w:tcPr>
          <w:p w14:paraId="5D076F0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539.6</w:t>
            </w:r>
          </w:p>
        </w:tc>
        <w:tc>
          <w:tcPr>
            <w:tcW w:w="1464" w:type="dxa"/>
          </w:tcPr>
          <w:p w14:paraId="013C6B2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13.0</w:t>
            </w:r>
          </w:p>
        </w:tc>
        <w:tc>
          <w:tcPr>
            <w:tcW w:w="1620" w:type="dxa"/>
          </w:tcPr>
          <w:p w14:paraId="05E8068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1.92</w:t>
            </w:r>
          </w:p>
        </w:tc>
        <w:tc>
          <w:tcPr>
            <w:tcW w:w="1802" w:type="dxa"/>
          </w:tcPr>
          <w:p w14:paraId="314E009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98.1</w:t>
            </w:r>
          </w:p>
        </w:tc>
      </w:tr>
      <w:tr w:rsidR="001C5CF6" w:rsidRPr="001C5CF6" w14:paraId="2D439D06" w14:textId="77777777" w:rsidTr="00F9557F">
        <w:trPr>
          <w:trHeight w:val="208"/>
        </w:trPr>
        <w:tc>
          <w:tcPr>
            <w:tcW w:w="1527" w:type="dxa"/>
          </w:tcPr>
          <w:p w14:paraId="2EC6ECB9"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2.75</w:t>
            </w:r>
          </w:p>
        </w:tc>
        <w:tc>
          <w:tcPr>
            <w:tcW w:w="1352" w:type="dxa"/>
          </w:tcPr>
          <w:p w14:paraId="20742F8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528.6</w:t>
            </w:r>
          </w:p>
        </w:tc>
        <w:tc>
          <w:tcPr>
            <w:tcW w:w="1475" w:type="dxa"/>
          </w:tcPr>
          <w:p w14:paraId="2450976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448.4</w:t>
            </w:r>
          </w:p>
        </w:tc>
        <w:tc>
          <w:tcPr>
            <w:tcW w:w="1464" w:type="dxa"/>
          </w:tcPr>
          <w:p w14:paraId="42CD8A4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29.8</w:t>
            </w:r>
          </w:p>
        </w:tc>
        <w:tc>
          <w:tcPr>
            <w:tcW w:w="1620" w:type="dxa"/>
          </w:tcPr>
          <w:p w14:paraId="623E699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4.4</w:t>
            </w:r>
          </w:p>
        </w:tc>
        <w:tc>
          <w:tcPr>
            <w:tcW w:w="1802" w:type="dxa"/>
          </w:tcPr>
          <w:p w14:paraId="0F64E8C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93.7</w:t>
            </w:r>
          </w:p>
        </w:tc>
      </w:tr>
      <w:tr w:rsidR="001C5CF6" w:rsidRPr="001C5CF6" w14:paraId="20C93AF2" w14:textId="77777777" w:rsidTr="00F9557F">
        <w:trPr>
          <w:trHeight w:val="201"/>
        </w:trPr>
        <w:tc>
          <w:tcPr>
            <w:tcW w:w="1527" w:type="dxa"/>
          </w:tcPr>
          <w:p w14:paraId="15EBAA87"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1.18</w:t>
            </w:r>
          </w:p>
        </w:tc>
        <w:tc>
          <w:tcPr>
            <w:tcW w:w="1352" w:type="dxa"/>
          </w:tcPr>
          <w:p w14:paraId="0CF9AB2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508.7</w:t>
            </w:r>
          </w:p>
        </w:tc>
        <w:tc>
          <w:tcPr>
            <w:tcW w:w="1475" w:type="dxa"/>
          </w:tcPr>
          <w:p w14:paraId="6126B94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619.0</w:t>
            </w:r>
          </w:p>
        </w:tc>
        <w:tc>
          <w:tcPr>
            <w:tcW w:w="1464" w:type="dxa"/>
          </w:tcPr>
          <w:p w14:paraId="259F8E2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110.3</w:t>
            </w:r>
          </w:p>
        </w:tc>
        <w:tc>
          <w:tcPr>
            <w:tcW w:w="1620" w:type="dxa"/>
          </w:tcPr>
          <w:p w14:paraId="751E079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16.29</w:t>
            </w:r>
          </w:p>
        </w:tc>
        <w:tc>
          <w:tcPr>
            <w:tcW w:w="1802" w:type="dxa"/>
          </w:tcPr>
          <w:p w14:paraId="1C165BB7"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77.41</w:t>
            </w:r>
          </w:p>
        </w:tc>
      </w:tr>
      <w:tr w:rsidR="001C5CF6" w:rsidRPr="001C5CF6" w14:paraId="413AB633" w14:textId="77777777" w:rsidTr="00F9557F">
        <w:trPr>
          <w:trHeight w:val="208"/>
        </w:trPr>
        <w:tc>
          <w:tcPr>
            <w:tcW w:w="1527" w:type="dxa"/>
          </w:tcPr>
          <w:p w14:paraId="62E729F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0.85</w:t>
            </w:r>
          </w:p>
        </w:tc>
        <w:tc>
          <w:tcPr>
            <w:tcW w:w="1352" w:type="dxa"/>
          </w:tcPr>
          <w:p w14:paraId="59427AB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488.6</w:t>
            </w:r>
          </w:p>
        </w:tc>
        <w:tc>
          <w:tcPr>
            <w:tcW w:w="1475" w:type="dxa"/>
          </w:tcPr>
          <w:p w14:paraId="666BAED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603.6</w:t>
            </w:r>
          </w:p>
        </w:tc>
        <w:tc>
          <w:tcPr>
            <w:tcW w:w="1464" w:type="dxa"/>
          </w:tcPr>
          <w:p w14:paraId="4C1ED2C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115.0</w:t>
            </w:r>
          </w:p>
        </w:tc>
        <w:tc>
          <w:tcPr>
            <w:tcW w:w="1620" w:type="dxa"/>
          </w:tcPr>
          <w:p w14:paraId="55882AD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16.98</w:t>
            </w:r>
          </w:p>
        </w:tc>
        <w:tc>
          <w:tcPr>
            <w:tcW w:w="1802" w:type="dxa"/>
          </w:tcPr>
          <w:p w14:paraId="63E0C6E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60.43</w:t>
            </w:r>
          </w:p>
        </w:tc>
      </w:tr>
      <w:tr w:rsidR="001C5CF6" w:rsidRPr="001C5CF6" w14:paraId="7EBEBD7C" w14:textId="77777777" w:rsidTr="00F9557F">
        <w:trPr>
          <w:trHeight w:val="208"/>
        </w:trPr>
        <w:tc>
          <w:tcPr>
            <w:tcW w:w="1527" w:type="dxa"/>
          </w:tcPr>
          <w:p w14:paraId="046CA42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0.425</w:t>
            </w:r>
          </w:p>
        </w:tc>
        <w:tc>
          <w:tcPr>
            <w:tcW w:w="1352" w:type="dxa"/>
          </w:tcPr>
          <w:p w14:paraId="56E2865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450.9</w:t>
            </w:r>
          </w:p>
        </w:tc>
        <w:tc>
          <w:tcPr>
            <w:tcW w:w="1475" w:type="dxa"/>
          </w:tcPr>
          <w:p w14:paraId="4B49BD4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751.3</w:t>
            </w:r>
          </w:p>
        </w:tc>
        <w:tc>
          <w:tcPr>
            <w:tcW w:w="1464" w:type="dxa"/>
          </w:tcPr>
          <w:p w14:paraId="66F04E8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300.4</w:t>
            </w:r>
          </w:p>
        </w:tc>
        <w:tc>
          <w:tcPr>
            <w:tcW w:w="1620" w:type="dxa"/>
          </w:tcPr>
          <w:p w14:paraId="2C0147D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44.35</w:t>
            </w:r>
          </w:p>
        </w:tc>
        <w:tc>
          <w:tcPr>
            <w:tcW w:w="1802" w:type="dxa"/>
          </w:tcPr>
          <w:p w14:paraId="482CEE4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16.08</w:t>
            </w:r>
          </w:p>
        </w:tc>
      </w:tr>
      <w:tr w:rsidR="001C5CF6" w:rsidRPr="001C5CF6" w14:paraId="11970E1C" w14:textId="77777777" w:rsidTr="00F9557F">
        <w:trPr>
          <w:trHeight w:val="208"/>
        </w:trPr>
        <w:tc>
          <w:tcPr>
            <w:tcW w:w="1527" w:type="dxa"/>
          </w:tcPr>
          <w:p w14:paraId="7678431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0.200</w:t>
            </w:r>
          </w:p>
        </w:tc>
        <w:tc>
          <w:tcPr>
            <w:tcW w:w="1352" w:type="dxa"/>
          </w:tcPr>
          <w:p w14:paraId="7EB3C68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415.9</w:t>
            </w:r>
          </w:p>
        </w:tc>
        <w:tc>
          <w:tcPr>
            <w:tcW w:w="1475" w:type="dxa"/>
          </w:tcPr>
          <w:p w14:paraId="51D39017"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507.2</w:t>
            </w:r>
          </w:p>
        </w:tc>
        <w:tc>
          <w:tcPr>
            <w:tcW w:w="1464" w:type="dxa"/>
          </w:tcPr>
          <w:p w14:paraId="3C4BAFF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93.3</w:t>
            </w:r>
          </w:p>
        </w:tc>
        <w:tc>
          <w:tcPr>
            <w:tcW w:w="1620" w:type="dxa"/>
          </w:tcPr>
          <w:p w14:paraId="3EAAD9B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13.78</w:t>
            </w:r>
          </w:p>
        </w:tc>
        <w:tc>
          <w:tcPr>
            <w:tcW w:w="1802" w:type="dxa"/>
          </w:tcPr>
          <w:p w14:paraId="3B6E4D4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2.3</w:t>
            </w:r>
          </w:p>
        </w:tc>
      </w:tr>
      <w:tr w:rsidR="001C5CF6" w:rsidRPr="001C5CF6" w14:paraId="52CF49B4" w14:textId="77777777" w:rsidTr="00F9557F">
        <w:trPr>
          <w:trHeight w:val="208"/>
        </w:trPr>
        <w:tc>
          <w:tcPr>
            <w:tcW w:w="1527" w:type="dxa"/>
          </w:tcPr>
          <w:p w14:paraId="6B050AE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0.150</w:t>
            </w:r>
          </w:p>
        </w:tc>
        <w:tc>
          <w:tcPr>
            <w:tcW w:w="1352" w:type="dxa"/>
          </w:tcPr>
          <w:p w14:paraId="3B81469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407.2</w:t>
            </w:r>
          </w:p>
        </w:tc>
        <w:tc>
          <w:tcPr>
            <w:tcW w:w="1475" w:type="dxa"/>
          </w:tcPr>
          <w:p w14:paraId="697E120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417.7</w:t>
            </w:r>
          </w:p>
        </w:tc>
        <w:tc>
          <w:tcPr>
            <w:tcW w:w="1464" w:type="dxa"/>
          </w:tcPr>
          <w:p w14:paraId="24877EF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10.5</w:t>
            </w:r>
          </w:p>
        </w:tc>
        <w:tc>
          <w:tcPr>
            <w:tcW w:w="1620" w:type="dxa"/>
          </w:tcPr>
          <w:p w14:paraId="7D1DFE4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1.55</w:t>
            </w:r>
          </w:p>
        </w:tc>
        <w:tc>
          <w:tcPr>
            <w:tcW w:w="1802" w:type="dxa"/>
          </w:tcPr>
          <w:p w14:paraId="02B0C70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0.75</w:t>
            </w:r>
          </w:p>
        </w:tc>
      </w:tr>
      <w:tr w:rsidR="001C5CF6" w:rsidRPr="001C5CF6" w14:paraId="008F1E7E" w14:textId="77777777" w:rsidTr="00F9557F">
        <w:trPr>
          <w:trHeight w:val="208"/>
        </w:trPr>
        <w:tc>
          <w:tcPr>
            <w:tcW w:w="1527" w:type="dxa"/>
          </w:tcPr>
          <w:p w14:paraId="754B5E2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0.075</w:t>
            </w:r>
          </w:p>
        </w:tc>
        <w:tc>
          <w:tcPr>
            <w:tcW w:w="1352" w:type="dxa"/>
          </w:tcPr>
          <w:p w14:paraId="6767CDE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408.9</w:t>
            </w:r>
          </w:p>
        </w:tc>
        <w:tc>
          <w:tcPr>
            <w:tcW w:w="1475" w:type="dxa"/>
          </w:tcPr>
          <w:p w14:paraId="145287D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413.2</w:t>
            </w:r>
          </w:p>
        </w:tc>
        <w:tc>
          <w:tcPr>
            <w:tcW w:w="1464" w:type="dxa"/>
          </w:tcPr>
          <w:p w14:paraId="3D32C93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4.4</w:t>
            </w:r>
          </w:p>
        </w:tc>
        <w:tc>
          <w:tcPr>
            <w:tcW w:w="1620" w:type="dxa"/>
          </w:tcPr>
          <w:p w14:paraId="605DB84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0.65</w:t>
            </w:r>
          </w:p>
        </w:tc>
        <w:tc>
          <w:tcPr>
            <w:tcW w:w="1802" w:type="dxa"/>
          </w:tcPr>
          <w:p w14:paraId="0672E38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0.1</w:t>
            </w:r>
          </w:p>
        </w:tc>
      </w:tr>
      <w:tr w:rsidR="001C5CF6" w:rsidRPr="001C5CF6" w14:paraId="38EC5478" w14:textId="77777777" w:rsidTr="00F9557F">
        <w:trPr>
          <w:trHeight w:val="208"/>
        </w:trPr>
        <w:tc>
          <w:tcPr>
            <w:tcW w:w="1527" w:type="dxa"/>
          </w:tcPr>
          <w:p w14:paraId="0D916B9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Pan</w:t>
            </w:r>
          </w:p>
        </w:tc>
        <w:tc>
          <w:tcPr>
            <w:tcW w:w="1352" w:type="dxa"/>
          </w:tcPr>
          <w:p w14:paraId="1ED952F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373.6</w:t>
            </w:r>
          </w:p>
        </w:tc>
        <w:tc>
          <w:tcPr>
            <w:tcW w:w="1475" w:type="dxa"/>
          </w:tcPr>
          <w:p w14:paraId="12502A7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374.2</w:t>
            </w:r>
          </w:p>
        </w:tc>
        <w:tc>
          <w:tcPr>
            <w:tcW w:w="1464" w:type="dxa"/>
          </w:tcPr>
          <w:p w14:paraId="287A659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0.6</w:t>
            </w:r>
          </w:p>
        </w:tc>
        <w:tc>
          <w:tcPr>
            <w:tcW w:w="1620" w:type="dxa"/>
          </w:tcPr>
          <w:p w14:paraId="7A99580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0.09</w:t>
            </w:r>
          </w:p>
        </w:tc>
        <w:tc>
          <w:tcPr>
            <w:tcW w:w="1802" w:type="dxa"/>
          </w:tcPr>
          <w:p w14:paraId="67D386E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0.01</w:t>
            </w:r>
          </w:p>
        </w:tc>
      </w:tr>
      <w:tr w:rsidR="001C5CF6" w:rsidRPr="001C5CF6" w14:paraId="06887F8D" w14:textId="77777777" w:rsidTr="00F9557F">
        <w:trPr>
          <w:trHeight w:val="208"/>
        </w:trPr>
        <w:tc>
          <w:tcPr>
            <w:tcW w:w="1527" w:type="dxa"/>
          </w:tcPr>
          <w:p w14:paraId="5D714AAC" w14:textId="77777777" w:rsidR="001C5CF6" w:rsidRPr="001C5CF6" w:rsidRDefault="001C5CF6" w:rsidP="001C5CF6">
            <w:pPr>
              <w:pStyle w:val="Body"/>
              <w:spacing w:after="0"/>
              <w:rPr>
                <w:rFonts w:ascii="Arial" w:hAnsi="Arial" w:cs="Arial"/>
                <w:lang w:val="en-GB"/>
              </w:rPr>
            </w:pPr>
          </w:p>
        </w:tc>
        <w:tc>
          <w:tcPr>
            <w:tcW w:w="1352" w:type="dxa"/>
          </w:tcPr>
          <w:p w14:paraId="5E4A8279" w14:textId="77777777" w:rsidR="001C5CF6" w:rsidRPr="001C5CF6" w:rsidRDefault="001C5CF6" w:rsidP="001C5CF6">
            <w:pPr>
              <w:pStyle w:val="Body"/>
              <w:spacing w:after="0"/>
              <w:rPr>
                <w:rFonts w:ascii="Arial" w:hAnsi="Arial" w:cs="Arial"/>
                <w:lang w:val="en-GB"/>
              </w:rPr>
            </w:pPr>
          </w:p>
        </w:tc>
        <w:tc>
          <w:tcPr>
            <w:tcW w:w="1475" w:type="dxa"/>
          </w:tcPr>
          <w:p w14:paraId="6B7C3B90" w14:textId="77777777" w:rsidR="001C5CF6" w:rsidRPr="001C5CF6" w:rsidRDefault="001C5CF6" w:rsidP="001C5CF6">
            <w:pPr>
              <w:pStyle w:val="Body"/>
              <w:spacing w:after="0"/>
              <w:rPr>
                <w:rFonts w:ascii="Arial" w:hAnsi="Arial" w:cs="Arial"/>
                <w:lang w:val="en-GB"/>
              </w:rPr>
            </w:pPr>
          </w:p>
        </w:tc>
        <w:tc>
          <w:tcPr>
            <w:tcW w:w="1464" w:type="dxa"/>
          </w:tcPr>
          <w:p w14:paraId="1805FAD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677.3</w:t>
            </w:r>
          </w:p>
        </w:tc>
        <w:tc>
          <w:tcPr>
            <w:tcW w:w="1620" w:type="dxa"/>
          </w:tcPr>
          <w:p w14:paraId="38743FB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100</w:t>
            </w:r>
          </w:p>
        </w:tc>
        <w:tc>
          <w:tcPr>
            <w:tcW w:w="1802" w:type="dxa"/>
          </w:tcPr>
          <w:p w14:paraId="5EBCA811" w14:textId="77777777" w:rsidR="001C5CF6" w:rsidRPr="001C5CF6" w:rsidRDefault="001C5CF6" w:rsidP="001C5CF6">
            <w:pPr>
              <w:pStyle w:val="Body"/>
              <w:spacing w:after="0"/>
              <w:rPr>
                <w:rFonts w:ascii="Arial" w:hAnsi="Arial" w:cs="Arial"/>
                <w:lang w:val="en-GB"/>
              </w:rPr>
            </w:pPr>
          </w:p>
        </w:tc>
      </w:tr>
    </w:tbl>
    <w:p w14:paraId="3D9202DD" w14:textId="77777777" w:rsidR="001C5CF6" w:rsidRPr="001C5CF6" w:rsidRDefault="001C5CF6" w:rsidP="001C5CF6">
      <w:pPr>
        <w:pStyle w:val="Body"/>
        <w:spacing w:after="0"/>
        <w:rPr>
          <w:rFonts w:ascii="Arial" w:hAnsi="Arial" w:cs="Arial"/>
        </w:rPr>
      </w:pPr>
    </w:p>
    <w:p w14:paraId="2584AC6E" w14:textId="19C1447B" w:rsidR="001C5CF6" w:rsidRPr="001C5CF6" w:rsidRDefault="001C5CF6" w:rsidP="001C5CF6">
      <w:pPr>
        <w:pStyle w:val="Body"/>
        <w:spacing w:after="0"/>
        <w:rPr>
          <w:rFonts w:ascii="Arial" w:hAnsi="Arial" w:cs="Arial"/>
          <w:b/>
        </w:rPr>
      </w:pPr>
      <w:bookmarkStart w:id="5" w:name="_Hlk177393722"/>
      <w:r w:rsidRPr="001C5CF6">
        <w:rPr>
          <w:rFonts w:ascii="Arial" w:hAnsi="Arial" w:cs="Arial"/>
          <w:b/>
        </w:rPr>
        <w:t>Table 4</w:t>
      </w:r>
      <w:r w:rsidR="00D30D68" w:rsidRPr="00D30D68">
        <w:rPr>
          <w:rFonts w:ascii="Arial" w:hAnsi="Arial" w:cs="Arial"/>
          <w:b/>
        </w:rPr>
        <w:t>.</w:t>
      </w:r>
      <w:r w:rsidR="00D30D68" w:rsidRPr="00D30D68">
        <w:rPr>
          <w:rFonts w:ascii="Arial" w:hAnsi="Arial" w:cs="Arial"/>
          <w:b/>
        </w:rPr>
        <w:tab/>
      </w:r>
      <w:r w:rsidRPr="001C5CF6">
        <w:rPr>
          <w:rFonts w:ascii="Arial" w:hAnsi="Arial" w:cs="Arial"/>
          <w:b/>
        </w:rPr>
        <w:t>Particle Size Parameter for Fine Aggregate</w:t>
      </w:r>
      <w:bookmarkEnd w:id="5"/>
    </w:p>
    <w:tbl>
      <w:tblPr>
        <w:tblW w:w="0" w:type="auto"/>
        <w:tblBorders>
          <w:top w:val="single" w:sz="4" w:space="0" w:color="7F7F7F" w:themeColor="text1" w:themeTint="80"/>
          <w:bottom w:val="single" w:sz="4" w:space="0" w:color="7F7F7F" w:themeColor="text1" w:themeTint="80"/>
        </w:tblBorders>
        <w:tblLook w:val="0620" w:firstRow="1" w:lastRow="0" w:firstColumn="0" w:lastColumn="0" w:noHBand="1" w:noVBand="1"/>
      </w:tblPr>
      <w:tblGrid>
        <w:gridCol w:w="4135"/>
        <w:gridCol w:w="4073"/>
      </w:tblGrid>
      <w:tr w:rsidR="001C5CF6" w:rsidRPr="001C5CF6" w14:paraId="12A5E6E5" w14:textId="77777777" w:rsidTr="00F9557F">
        <w:tc>
          <w:tcPr>
            <w:tcW w:w="4621" w:type="dxa"/>
            <w:tcBorders>
              <w:top w:val="single" w:sz="4" w:space="0" w:color="7F7F7F" w:themeColor="text1" w:themeTint="80"/>
              <w:left w:val="nil"/>
              <w:bottom w:val="single" w:sz="4" w:space="0" w:color="7F7F7F" w:themeColor="text1" w:themeTint="80"/>
              <w:right w:val="nil"/>
            </w:tcBorders>
            <w:hideMark/>
          </w:tcPr>
          <w:p w14:paraId="6DD7D120" w14:textId="77777777" w:rsidR="001C5CF6" w:rsidRPr="001C5CF6" w:rsidRDefault="001C5CF6" w:rsidP="001C5CF6">
            <w:pPr>
              <w:pStyle w:val="Body"/>
              <w:spacing w:after="0"/>
              <w:rPr>
                <w:rFonts w:ascii="Arial" w:hAnsi="Arial" w:cs="Arial"/>
                <w:b/>
                <w:bCs/>
              </w:rPr>
            </w:pPr>
            <w:r w:rsidRPr="001C5CF6">
              <w:rPr>
                <w:rFonts w:ascii="Arial" w:hAnsi="Arial" w:cs="Arial"/>
                <w:b/>
              </w:rPr>
              <w:t>Particle Size Parameter</w:t>
            </w:r>
          </w:p>
        </w:tc>
        <w:tc>
          <w:tcPr>
            <w:tcW w:w="4622" w:type="dxa"/>
            <w:tcBorders>
              <w:top w:val="single" w:sz="4" w:space="0" w:color="7F7F7F" w:themeColor="text1" w:themeTint="80"/>
              <w:left w:val="nil"/>
              <w:bottom w:val="single" w:sz="4" w:space="0" w:color="7F7F7F" w:themeColor="text1" w:themeTint="80"/>
              <w:right w:val="nil"/>
            </w:tcBorders>
            <w:hideMark/>
          </w:tcPr>
          <w:p w14:paraId="0B7E9850" w14:textId="77777777" w:rsidR="001C5CF6" w:rsidRPr="001C5CF6" w:rsidRDefault="001C5CF6" w:rsidP="001C5CF6">
            <w:pPr>
              <w:pStyle w:val="Body"/>
              <w:spacing w:after="0"/>
              <w:rPr>
                <w:rFonts w:ascii="Arial" w:hAnsi="Arial" w:cs="Arial"/>
                <w:b/>
                <w:bCs/>
              </w:rPr>
            </w:pPr>
            <w:r w:rsidRPr="001C5CF6">
              <w:rPr>
                <w:rFonts w:ascii="Arial" w:hAnsi="Arial" w:cs="Arial"/>
                <w:b/>
              </w:rPr>
              <w:t>Value</w:t>
            </w:r>
          </w:p>
        </w:tc>
      </w:tr>
      <w:tr w:rsidR="001C5CF6" w:rsidRPr="001C5CF6" w14:paraId="2A45B1D6" w14:textId="77777777" w:rsidTr="00F9557F">
        <w:tc>
          <w:tcPr>
            <w:tcW w:w="4621" w:type="dxa"/>
            <w:tcBorders>
              <w:top w:val="nil"/>
              <w:left w:val="nil"/>
              <w:bottom w:val="nil"/>
              <w:right w:val="nil"/>
            </w:tcBorders>
            <w:hideMark/>
          </w:tcPr>
          <w:p w14:paraId="01978AA7"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 xml:space="preserve">10 </w:t>
            </w:r>
            <w:r w:rsidRPr="001C5CF6">
              <w:rPr>
                <w:rFonts w:ascii="Arial" w:hAnsi="Arial" w:cs="Arial"/>
              </w:rPr>
              <w:t>(10% Passing)</w:t>
            </w:r>
          </w:p>
        </w:tc>
        <w:tc>
          <w:tcPr>
            <w:tcW w:w="4622" w:type="dxa"/>
            <w:tcBorders>
              <w:top w:val="nil"/>
              <w:left w:val="nil"/>
              <w:bottom w:val="nil"/>
              <w:right w:val="nil"/>
            </w:tcBorders>
          </w:tcPr>
          <w:p w14:paraId="2DAEE9A2" w14:textId="77777777" w:rsidR="001C5CF6" w:rsidRPr="001C5CF6" w:rsidRDefault="001C5CF6" w:rsidP="001C5CF6">
            <w:pPr>
              <w:pStyle w:val="Body"/>
              <w:spacing w:after="0"/>
              <w:rPr>
                <w:rFonts w:ascii="Arial" w:hAnsi="Arial" w:cs="Arial"/>
              </w:rPr>
            </w:pPr>
            <w:r w:rsidRPr="001C5CF6">
              <w:rPr>
                <w:rFonts w:ascii="Arial" w:hAnsi="Arial" w:cs="Arial"/>
              </w:rPr>
              <w:t>0.35</w:t>
            </w:r>
          </w:p>
        </w:tc>
      </w:tr>
      <w:tr w:rsidR="001C5CF6" w:rsidRPr="001C5CF6" w14:paraId="1E18D881" w14:textId="77777777" w:rsidTr="00F9557F">
        <w:tc>
          <w:tcPr>
            <w:tcW w:w="4621" w:type="dxa"/>
            <w:tcBorders>
              <w:top w:val="nil"/>
              <w:left w:val="nil"/>
              <w:bottom w:val="nil"/>
              <w:right w:val="nil"/>
            </w:tcBorders>
            <w:hideMark/>
          </w:tcPr>
          <w:p w14:paraId="4EC436BF"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30</w:t>
            </w:r>
            <w:r w:rsidRPr="001C5CF6">
              <w:rPr>
                <w:rFonts w:ascii="Arial" w:hAnsi="Arial" w:cs="Arial"/>
              </w:rPr>
              <w:t xml:space="preserve"> (30% Passing)</w:t>
            </w:r>
          </w:p>
        </w:tc>
        <w:tc>
          <w:tcPr>
            <w:tcW w:w="4622" w:type="dxa"/>
            <w:tcBorders>
              <w:top w:val="nil"/>
              <w:left w:val="nil"/>
              <w:bottom w:val="nil"/>
              <w:right w:val="nil"/>
            </w:tcBorders>
          </w:tcPr>
          <w:p w14:paraId="587510F8" w14:textId="77777777" w:rsidR="001C5CF6" w:rsidRPr="001C5CF6" w:rsidRDefault="001C5CF6" w:rsidP="001C5CF6">
            <w:pPr>
              <w:pStyle w:val="Body"/>
              <w:spacing w:after="0"/>
              <w:rPr>
                <w:rFonts w:ascii="Arial" w:hAnsi="Arial" w:cs="Arial"/>
              </w:rPr>
            </w:pPr>
            <w:r w:rsidRPr="001C5CF6">
              <w:rPr>
                <w:rFonts w:ascii="Arial" w:hAnsi="Arial" w:cs="Arial"/>
              </w:rPr>
              <w:t>0.55</w:t>
            </w:r>
          </w:p>
        </w:tc>
      </w:tr>
      <w:tr w:rsidR="001C5CF6" w:rsidRPr="001C5CF6" w14:paraId="7D6833A2" w14:textId="77777777" w:rsidTr="00F9557F">
        <w:tc>
          <w:tcPr>
            <w:tcW w:w="4621" w:type="dxa"/>
            <w:tcBorders>
              <w:top w:val="nil"/>
              <w:left w:val="nil"/>
              <w:bottom w:val="nil"/>
              <w:right w:val="nil"/>
            </w:tcBorders>
            <w:hideMark/>
          </w:tcPr>
          <w:p w14:paraId="3A36A19C"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 xml:space="preserve">60 </w:t>
            </w:r>
            <w:r w:rsidRPr="001C5CF6">
              <w:rPr>
                <w:rFonts w:ascii="Arial" w:hAnsi="Arial" w:cs="Arial"/>
              </w:rPr>
              <w:t>(60% Passing)</w:t>
            </w:r>
          </w:p>
        </w:tc>
        <w:tc>
          <w:tcPr>
            <w:tcW w:w="4622" w:type="dxa"/>
            <w:tcBorders>
              <w:top w:val="nil"/>
              <w:left w:val="nil"/>
              <w:bottom w:val="nil"/>
              <w:right w:val="nil"/>
            </w:tcBorders>
          </w:tcPr>
          <w:p w14:paraId="5CE2A1DB" w14:textId="77777777" w:rsidR="001C5CF6" w:rsidRPr="001C5CF6" w:rsidRDefault="001C5CF6" w:rsidP="001C5CF6">
            <w:pPr>
              <w:pStyle w:val="Body"/>
              <w:spacing w:after="0"/>
              <w:rPr>
                <w:rFonts w:ascii="Arial" w:hAnsi="Arial" w:cs="Arial"/>
              </w:rPr>
            </w:pPr>
            <w:r w:rsidRPr="001C5CF6">
              <w:rPr>
                <w:rFonts w:ascii="Arial" w:hAnsi="Arial" w:cs="Arial"/>
              </w:rPr>
              <w:t>0.8</w:t>
            </w:r>
          </w:p>
        </w:tc>
      </w:tr>
      <w:tr w:rsidR="001C5CF6" w:rsidRPr="001C5CF6" w14:paraId="2B8EB402" w14:textId="77777777" w:rsidTr="00F9557F">
        <w:tc>
          <w:tcPr>
            <w:tcW w:w="4621" w:type="dxa"/>
            <w:tcBorders>
              <w:top w:val="nil"/>
              <w:left w:val="nil"/>
              <w:bottom w:val="nil"/>
              <w:right w:val="nil"/>
            </w:tcBorders>
            <w:hideMark/>
          </w:tcPr>
          <w:p w14:paraId="2191CF54" w14:textId="77777777" w:rsidR="001C5CF6" w:rsidRPr="001C5CF6" w:rsidRDefault="001C5CF6" w:rsidP="001C5CF6">
            <w:pPr>
              <w:pStyle w:val="Body"/>
              <w:spacing w:after="0"/>
              <w:rPr>
                <w:rFonts w:ascii="Arial" w:hAnsi="Arial" w:cs="Arial"/>
              </w:rPr>
            </w:pPr>
            <w:r w:rsidRPr="001C5CF6">
              <w:rPr>
                <w:rFonts w:ascii="Arial" w:hAnsi="Arial" w:cs="Arial"/>
              </w:rPr>
              <w:t>Coefficient of Uniformity (Cu)</w:t>
            </w:r>
          </w:p>
        </w:tc>
        <w:tc>
          <w:tcPr>
            <w:tcW w:w="4622" w:type="dxa"/>
            <w:tcBorders>
              <w:top w:val="nil"/>
              <w:left w:val="nil"/>
              <w:bottom w:val="nil"/>
              <w:right w:val="nil"/>
            </w:tcBorders>
          </w:tcPr>
          <w:p w14:paraId="71CB9E8E" w14:textId="77777777" w:rsidR="001C5CF6" w:rsidRPr="001C5CF6" w:rsidRDefault="001C5CF6" w:rsidP="001C5CF6">
            <w:pPr>
              <w:pStyle w:val="Body"/>
              <w:spacing w:after="0"/>
              <w:rPr>
                <w:rFonts w:ascii="Arial" w:hAnsi="Arial" w:cs="Arial"/>
              </w:rPr>
            </w:pPr>
            <w:r w:rsidRPr="001C5CF6">
              <w:rPr>
                <w:rFonts w:ascii="Arial" w:hAnsi="Arial" w:cs="Arial"/>
              </w:rPr>
              <w:t>2.29</w:t>
            </w:r>
          </w:p>
        </w:tc>
      </w:tr>
      <w:tr w:rsidR="001C5CF6" w:rsidRPr="001C5CF6" w14:paraId="4B854528" w14:textId="77777777" w:rsidTr="00F9557F">
        <w:tc>
          <w:tcPr>
            <w:tcW w:w="4621" w:type="dxa"/>
            <w:tcBorders>
              <w:top w:val="nil"/>
              <w:left w:val="nil"/>
              <w:bottom w:val="single" w:sz="4" w:space="0" w:color="7F7F7F" w:themeColor="text1" w:themeTint="80"/>
              <w:right w:val="nil"/>
            </w:tcBorders>
            <w:hideMark/>
          </w:tcPr>
          <w:p w14:paraId="1C9C8579" w14:textId="77777777" w:rsidR="001C5CF6" w:rsidRPr="001C5CF6" w:rsidRDefault="001C5CF6" w:rsidP="001C5CF6">
            <w:pPr>
              <w:pStyle w:val="Body"/>
              <w:spacing w:after="0"/>
              <w:rPr>
                <w:rFonts w:ascii="Arial" w:hAnsi="Arial" w:cs="Arial"/>
              </w:rPr>
            </w:pPr>
            <w:r w:rsidRPr="001C5CF6">
              <w:rPr>
                <w:rFonts w:ascii="Arial" w:hAnsi="Arial" w:cs="Arial"/>
              </w:rPr>
              <w:t>Coefficient of Curvature (Cc)</w:t>
            </w:r>
          </w:p>
        </w:tc>
        <w:tc>
          <w:tcPr>
            <w:tcW w:w="4622" w:type="dxa"/>
            <w:tcBorders>
              <w:top w:val="nil"/>
              <w:left w:val="nil"/>
              <w:bottom w:val="single" w:sz="4" w:space="0" w:color="7F7F7F" w:themeColor="text1" w:themeTint="80"/>
              <w:right w:val="nil"/>
            </w:tcBorders>
          </w:tcPr>
          <w:p w14:paraId="3BB93724" w14:textId="77777777" w:rsidR="001C5CF6" w:rsidRPr="001C5CF6" w:rsidRDefault="001C5CF6" w:rsidP="001C5CF6">
            <w:pPr>
              <w:pStyle w:val="Body"/>
              <w:spacing w:after="0"/>
              <w:rPr>
                <w:rFonts w:ascii="Arial" w:hAnsi="Arial" w:cs="Arial"/>
              </w:rPr>
            </w:pPr>
            <w:r w:rsidRPr="001C5CF6">
              <w:rPr>
                <w:rFonts w:ascii="Arial" w:hAnsi="Arial" w:cs="Arial"/>
              </w:rPr>
              <w:t>1.08</w:t>
            </w:r>
          </w:p>
        </w:tc>
      </w:tr>
    </w:tbl>
    <w:p w14:paraId="52BAEAA5" w14:textId="77777777" w:rsidR="001C5CF6" w:rsidRPr="001C5CF6" w:rsidRDefault="001C5CF6" w:rsidP="001C5CF6">
      <w:pPr>
        <w:pStyle w:val="Body"/>
        <w:spacing w:after="0"/>
        <w:rPr>
          <w:rFonts w:ascii="Arial" w:hAnsi="Arial" w:cs="Arial"/>
        </w:rPr>
      </w:pPr>
    </w:p>
    <w:p w14:paraId="67C890FC" w14:textId="77777777" w:rsidR="001C5CF6" w:rsidRPr="001C5CF6" w:rsidRDefault="001C5CF6" w:rsidP="00D30D68">
      <w:pPr>
        <w:pStyle w:val="Body"/>
        <w:spacing w:after="0"/>
        <w:jc w:val="center"/>
        <w:rPr>
          <w:rFonts w:ascii="Arial" w:hAnsi="Arial" w:cs="Arial"/>
          <w:b/>
        </w:rPr>
      </w:pPr>
      <w:r w:rsidRPr="001C5CF6">
        <w:rPr>
          <w:rFonts w:ascii="Arial" w:hAnsi="Arial" w:cs="Arial"/>
          <w:noProof/>
        </w:rPr>
        <w:drawing>
          <wp:inline distT="0" distB="0" distL="0" distR="0" wp14:anchorId="575644D6" wp14:editId="425924A9">
            <wp:extent cx="3734159" cy="2218414"/>
            <wp:effectExtent l="0" t="0" r="0" b="0"/>
            <wp:docPr id="1458421220" name="Chart 1">
              <a:extLst xmlns:a="http://schemas.openxmlformats.org/drawingml/2006/main">
                <a:ext uri="{FF2B5EF4-FFF2-40B4-BE49-F238E27FC236}">
                  <a16:creationId xmlns:a16="http://schemas.microsoft.com/office/drawing/2014/main" id="{1F4A1C3B-4072-EB8B-6BB4-4762DA68C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6EF39C" w14:textId="269DD844" w:rsidR="001C5CF6" w:rsidRPr="001C5CF6" w:rsidRDefault="001C5CF6" w:rsidP="00A93036">
      <w:pPr>
        <w:pStyle w:val="Body"/>
        <w:spacing w:after="0"/>
        <w:rPr>
          <w:rFonts w:ascii="Arial" w:hAnsi="Arial" w:cs="Arial"/>
          <w:b/>
        </w:rPr>
      </w:pPr>
      <w:bookmarkStart w:id="6" w:name="_Hlk177393730"/>
      <w:r w:rsidRPr="001C5CF6">
        <w:rPr>
          <w:rFonts w:ascii="Arial" w:hAnsi="Arial" w:cs="Arial"/>
          <w:b/>
        </w:rPr>
        <w:t>Fig</w:t>
      </w:r>
      <w:r w:rsidR="00A93036" w:rsidRPr="00A93036">
        <w:rPr>
          <w:rFonts w:ascii="Arial" w:hAnsi="Arial" w:cs="Arial"/>
          <w:b/>
        </w:rPr>
        <w:t>.</w:t>
      </w:r>
      <w:r w:rsidRPr="001C5CF6">
        <w:rPr>
          <w:rFonts w:ascii="Arial" w:hAnsi="Arial" w:cs="Arial"/>
          <w:b/>
        </w:rPr>
        <w:t xml:space="preserve"> 8</w:t>
      </w:r>
      <w:r w:rsidR="00A93036" w:rsidRPr="00A93036">
        <w:rPr>
          <w:rFonts w:ascii="Arial" w:hAnsi="Arial" w:cs="Arial"/>
          <w:b/>
        </w:rPr>
        <w:t>.</w:t>
      </w:r>
      <w:r w:rsidR="00A93036" w:rsidRPr="00A93036">
        <w:rPr>
          <w:rFonts w:ascii="Arial" w:hAnsi="Arial" w:cs="Arial"/>
          <w:b/>
        </w:rPr>
        <w:tab/>
      </w:r>
      <w:r w:rsidRPr="001C5CF6">
        <w:rPr>
          <w:rFonts w:ascii="Arial" w:hAnsi="Arial" w:cs="Arial"/>
          <w:b/>
        </w:rPr>
        <w:t>Particle Size Distribution of Fine Aggregate</w:t>
      </w:r>
      <w:bookmarkEnd w:id="6"/>
    </w:p>
    <w:p w14:paraId="7F8455E6" w14:textId="77777777" w:rsidR="001C5CF6" w:rsidRPr="001C5CF6" w:rsidRDefault="001C5CF6" w:rsidP="001C5CF6">
      <w:pPr>
        <w:pStyle w:val="Body"/>
        <w:spacing w:after="0"/>
        <w:rPr>
          <w:rFonts w:ascii="Arial" w:hAnsi="Arial" w:cs="Arial"/>
          <w:b/>
          <w:bCs/>
        </w:rPr>
      </w:pPr>
    </w:p>
    <w:p w14:paraId="12E05B88" w14:textId="5B53B838" w:rsidR="001C5CF6" w:rsidRPr="001C5CF6" w:rsidRDefault="001C5CF6" w:rsidP="001C5CF6">
      <w:pPr>
        <w:pStyle w:val="Body"/>
        <w:spacing w:after="0"/>
        <w:rPr>
          <w:rFonts w:ascii="Arial" w:hAnsi="Arial" w:cs="Arial"/>
          <w:b/>
          <w:bCs/>
        </w:rPr>
      </w:pPr>
      <w:r w:rsidRPr="001C5CF6">
        <w:rPr>
          <w:rFonts w:ascii="Arial" w:hAnsi="Arial" w:cs="Arial"/>
          <w:b/>
          <w:bCs/>
        </w:rPr>
        <w:t>Table 5</w:t>
      </w:r>
      <w:r w:rsidR="00D30D68">
        <w:rPr>
          <w:rFonts w:ascii="Arial" w:hAnsi="Arial" w:cs="Arial"/>
          <w:b/>
          <w:bCs/>
        </w:rPr>
        <w:t>.</w:t>
      </w:r>
      <w:r w:rsidR="00D30D68">
        <w:rPr>
          <w:rFonts w:ascii="Arial" w:hAnsi="Arial" w:cs="Arial"/>
          <w:b/>
          <w:bCs/>
        </w:rPr>
        <w:tab/>
      </w:r>
      <w:r w:rsidRPr="001C5CF6">
        <w:rPr>
          <w:rFonts w:ascii="Arial" w:hAnsi="Arial" w:cs="Arial"/>
          <w:b/>
          <w:bCs/>
        </w:rPr>
        <w:t>Particle Size Distribution of Coarse Aggregate</w:t>
      </w:r>
    </w:p>
    <w:tbl>
      <w:tblPr>
        <w:tblStyle w:val="PlainTable2"/>
        <w:tblW w:w="8712" w:type="dxa"/>
        <w:jc w:val="center"/>
        <w:tblLook w:val="0620" w:firstRow="1" w:lastRow="0" w:firstColumn="0" w:lastColumn="0" w:noHBand="1" w:noVBand="1"/>
      </w:tblPr>
      <w:tblGrid>
        <w:gridCol w:w="1440"/>
        <w:gridCol w:w="1273"/>
        <w:gridCol w:w="1391"/>
        <w:gridCol w:w="1381"/>
        <w:gridCol w:w="1528"/>
        <w:gridCol w:w="1699"/>
      </w:tblGrid>
      <w:tr w:rsidR="001C5CF6" w:rsidRPr="001C5CF6" w14:paraId="6E023158" w14:textId="77777777" w:rsidTr="00D30D68">
        <w:trPr>
          <w:cnfStyle w:val="100000000000" w:firstRow="1" w:lastRow="0" w:firstColumn="0" w:lastColumn="0" w:oddVBand="0" w:evenVBand="0" w:oddHBand="0" w:evenHBand="0" w:firstRowFirstColumn="0" w:firstRowLastColumn="0" w:lastRowFirstColumn="0" w:lastRowLastColumn="0"/>
          <w:trHeight w:val="568"/>
          <w:jc w:val="center"/>
        </w:trPr>
        <w:tc>
          <w:tcPr>
            <w:tcW w:w="1440" w:type="dxa"/>
          </w:tcPr>
          <w:p w14:paraId="4424375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Sieve Opening (mm)</w:t>
            </w:r>
          </w:p>
        </w:tc>
        <w:tc>
          <w:tcPr>
            <w:tcW w:w="1273" w:type="dxa"/>
          </w:tcPr>
          <w:p w14:paraId="3C6CC52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of Sieve</w:t>
            </w:r>
          </w:p>
        </w:tc>
        <w:tc>
          <w:tcPr>
            <w:tcW w:w="1391" w:type="dxa"/>
          </w:tcPr>
          <w:p w14:paraId="33D41EE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of Sieve + Material</w:t>
            </w:r>
          </w:p>
        </w:tc>
        <w:tc>
          <w:tcPr>
            <w:tcW w:w="1381" w:type="dxa"/>
          </w:tcPr>
          <w:p w14:paraId="6BB1F3B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Retained</w:t>
            </w:r>
          </w:p>
        </w:tc>
        <w:tc>
          <w:tcPr>
            <w:tcW w:w="1528" w:type="dxa"/>
          </w:tcPr>
          <w:p w14:paraId="24E0442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Percentage Retained</w:t>
            </w:r>
          </w:p>
        </w:tc>
        <w:tc>
          <w:tcPr>
            <w:tcW w:w="1699" w:type="dxa"/>
          </w:tcPr>
          <w:p w14:paraId="4AA318F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Percentage Passing (%)</w:t>
            </w:r>
          </w:p>
        </w:tc>
      </w:tr>
      <w:tr w:rsidR="001C5CF6" w:rsidRPr="001C5CF6" w14:paraId="64ED21EC" w14:textId="77777777" w:rsidTr="00D30D68">
        <w:trPr>
          <w:trHeight w:val="282"/>
          <w:jc w:val="center"/>
        </w:trPr>
        <w:tc>
          <w:tcPr>
            <w:tcW w:w="1440" w:type="dxa"/>
          </w:tcPr>
          <w:p w14:paraId="652BE6D7"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19</w:t>
            </w:r>
          </w:p>
        </w:tc>
        <w:tc>
          <w:tcPr>
            <w:tcW w:w="1273" w:type="dxa"/>
          </w:tcPr>
          <w:p w14:paraId="6043B94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680.4</w:t>
            </w:r>
          </w:p>
        </w:tc>
        <w:tc>
          <w:tcPr>
            <w:tcW w:w="1391" w:type="dxa"/>
          </w:tcPr>
          <w:p w14:paraId="21276CE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680.4</w:t>
            </w:r>
          </w:p>
        </w:tc>
        <w:tc>
          <w:tcPr>
            <w:tcW w:w="1381" w:type="dxa"/>
          </w:tcPr>
          <w:p w14:paraId="00889AE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w:t>
            </w:r>
          </w:p>
        </w:tc>
        <w:tc>
          <w:tcPr>
            <w:tcW w:w="1528" w:type="dxa"/>
          </w:tcPr>
          <w:p w14:paraId="13AC4FD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w:t>
            </w:r>
          </w:p>
        </w:tc>
        <w:tc>
          <w:tcPr>
            <w:tcW w:w="1699" w:type="dxa"/>
          </w:tcPr>
          <w:p w14:paraId="54809BF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100</w:t>
            </w:r>
          </w:p>
        </w:tc>
      </w:tr>
      <w:tr w:rsidR="001C5CF6" w:rsidRPr="001C5CF6" w14:paraId="5328B760" w14:textId="77777777" w:rsidTr="00D30D68">
        <w:trPr>
          <w:trHeight w:val="282"/>
          <w:jc w:val="center"/>
        </w:trPr>
        <w:tc>
          <w:tcPr>
            <w:tcW w:w="1440" w:type="dxa"/>
          </w:tcPr>
          <w:p w14:paraId="783B373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9.5</w:t>
            </w:r>
          </w:p>
        </w:tc>
        <w:tc>
          <w:tcPr>
            <w:tcW w:w="1273" w:type="dxa"/>
          </w:tcPr>
          <w:p w14:paraId="12C1588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573.8</w:t>
            </w:r>
          </w:p>
        </w:tc>
        <w:tc>
          <w:tcPr>
            <w:tcW w:w="1391" w:type="dxa"/>
          </w:tcPr>
          <w:p w14:paraId="1E6ED58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1411.7</w:t>
            </w:r>
          </w:p>
        </w:tc>
        <w:tc>
          <w:tcPr>
            <w:tcW w:w="1381" w:type="dxa"/>
          </w:tcPr>
          <w:p w14:paraId="1D02F17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837.9</w:t>
            </w:r>
          </w:p>
        </w:tc>
        <w:tc>
          <w:tcPr>
            <w:tcW w:w="1528" w:type="dxa"/>
          </w:tcPr>
          <w:p w14:paraId="14F53B8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83.7</w:t>
            </w:r>
          </w:p>
        </w:tc>
        <w:tc>
          <w:tcPr>
            <w:tcW w:w="1699" w:type="dxa"/>
          </w:tcPr>
          <w:p w14:paraId="1EF90B0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16.3</w:t>
            </w:r>
          </w:p>
        </w:tc>
      </w:tr>
      <w:tr w:rsidR="001C5CF6" w:rsidRPr="001C5CF6" w14:paraId="267B7DA9" w14:textId="77777777" w:rsidTr="00D30D68">
        <w:trPr>
          <w:trHeight w:val="271"/>
          <w:jc w:val="center"/>
        </w:trPr>
        <w:tc>
          <w:tcPr>
            <w:tcW w:w="1440" w:type="dxa"/>
          </w:tcPr>
          <w:p w14:paraId="5C0FC1A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4.75</w:t>
            </w:r>
          </w:p>
        </w:tc>
        <w:tc>
          <w:tcPr>
            <w:tcW w:w="1273" w:type="dxa"/>
          </w:tcPr>
          <w:p w14:paraId="638607F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526.5</w:t>
            </w:r>
          </w:p>
        </w:tc>
        <w:tc>
          <w:tcPr>
            <w:tcW w:w="1391" w:type="dxa"/>
          </w:tcPr>
          <w:p w14:paraId="27EBEA0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679.5</w:t>
            </w:r>
          </w:p>
        </w:tc>
        <w:tc>
          <w:tcPr>
            <w:tcW w:w="1381" w:type="dxa"/>
          </w:tcPr>
          <w:p w14:paraId="207D752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153.0</w:t>
            </w:r>
          </w:p>
        </w:tc>
        <w:tc>
          <w:tcPr>
            <w:tcW w:w="1528" w:type="dxa"/>
          </w:tcPr>
          <w:p w14:paraId="0803D02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15.3</w:t>
            </w:r>
          </w:p>
        </w:tc>
        <w:tc>
          <w:tcPr>
            <w:tcW w:w="1699" w:type="dxa"/>
          </w:tcPr>
          <w:p w14:paraId="15562FF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w:t>
            </w:r>
          </w:p>
        </w:tc>
      </w:tr>
      <w:tr w:rsidR="001C5CF6" w:rsidRPr="001C5CF6" w14:paraId="398FE596" w14:textId="77777777" w:rsidTr="00D30D68">
        <w:trPr>
          <w:trHeight w:val="282"/>
          <w:jc w:val="center"/>
        </w:trPr>
        <w:tc>
          <w:tcPr>
            <w:tcW w:w="1440" w:type="dxa"/>
          </w:tcPr>
          <w:p w14:paraId="6A908F3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Pan</w:t>
            </w:r>
          </w:p>
        </w:tc>
        <w:tc>
          <w:tcPr>
            <w:tcW w:w="1273" w:type="dxa"/>
          </w:tcPr>
          <w:p w14:paraId="46D219A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373.5</w:t>
            </w:r>
          </w:p>
        </w:tc>
        <w:tc>
          <w:tcPr>
            <w:tcW w:w="1391" w:type="dxa"/>
          </w:tcPr>
          <w:p w14:paraId="052DEC4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383.7</w:t>
            </w:r>
          </w:p>
        </w:tc>
        <w:tc>
          <w:tcPr>
            <w:tcW w:w="1381" w:type="dxa"/>
          </w:tcPr>
          <w:p w14:paraId="4DCD97B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10.2</w:t>
            </w:r>
          </w:p>
        </w:tc>
        <w:tc>
          <w:tcPr>
            <w:tcW w:w="1528" w:type="dxa"/>
          </w:tcPr>
          <w:p w14:paraId="634204F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w:t>
            </w:r>
          </w:p>
        </w:tc>
        <w:tc>
          <w:tcPr>
            <w:tcW w:w="1699" w:type="dxa"/>
          </w:tcPr>
          <w:p w14:paraId="76C6895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w:t>
            </w:r>
          </w:p>
        </w:tc>
      </w:tr>
      <w:tr w:rsidR="001C5CF6" w:rsidRPr="001C5CF6" w14:paraId="230C6E5E" w14:textId="77777777" w:rsidTr="00D30D68">
        <w:trPr>
          <w:trHeight w:val="282"/>
          <w:jc w:val="center"/>
        </w:trPr>
        <w:tc>
          <w:tcPr>
            <w:tcW w:w="1440" w:type="dxa"/>
          </w:tcPr>
          <w:p w14:paraId="606785A1" w14:textId="77777777" w:rsidR="001C5CF6" w:rsidRPr="001C5CF6" w:rsidRDefault="001C5CF6" w:rsidP="001C5CF6">
            <w:pPr>
              <w:pStyle w:val="Body"/>
              <w:spacing w:after="0"/>
              <w:rPr>
                <w:rFonts w:ascii="Arial" w:hAnsi="Arial" w:cs="Arial"/>
                <w:lang w:val="en-GB"/>
              </w:rPr>
            </w:pPr>
          </w:p>
        </w:tc>
        <w:tc>
          <w:tcPr>
            <w:tcW w:w="1273" w:type="dxa"/>
          </w:tcPr>
          <w:p w14:paraId="7E7E5F08" w14:textId="77777777" w:rsidR="001C5CF6" w:rsidRPr="001C5CF6" w:rsidRDefault="001C5CF6" w:rsidP="001C5CF6">
            <w:pPr>
              <w:pStyle w:val="Body"/>
              <w:spacing w:after="0"/>
              <w:rPr>
                <w:rFonts w:ascii="Arial" w:hAnsi="Arial" w:cs="Arial"/>
                <w:lang w:val="en-GB"/>
              </w:rPr>
            </w:pPr>
          </w:p>
        </w:tc>
        <w:tc>
          <w:tcPr>
            <w:tcW w:w="1391" w:type="dxa"/>
          </w:tcPr>
          <w:p w14:paraId="5110A52D" w14:textId="77777777" w:rsidR="001C5CF6" w:rsidRPr="001C5CF6" w:rsidRDefault="001C5CF6" w:rsidP="001C5CF6">
            <w:pPr>
              <w:pStyle w:val="Body"/>
              <w:spacing w:after="0"/>
              <w:rPr>
                <w:rFonts w:ascii="Arial" w:hAnsi="Arial" w:cs="Arial"/>
                <w:lang w:val="en-GB"/>
              </w:rPr>
            </w:pPr>
          </w:p>
        </w:tc>
        <w:tc>
          <w:tcPr>
            <w:tcW w:w="1381" w:type="dxa"/>
          </w:tcPr>
          <w:p w14:paraId="069D7F2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1001.1</w:t>
            </w:r>
          </w:p>
        </w:tc>
        <w:tc>
          <w:tcPr>
            <w:tcW w:w="1528" w:type="dxa"/>
          </w:tcPr>
          <w:p w14:paraId="6323997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100</w:t>
            </w:r>
          </w:p>
        </w:tc>
        <w:tc>
          <w:tcPr>
            <w:tcW w:w="1699" w:type="dxa"/>
          </w:tcPr>
          <w:p w14:paraId="67C24636" w14:textId="77777777" w:rsidR="001C5CF6" w:rsidRPr="001C5CF6" w:rsidRDefault="001C5CF6" w:rsidP="001C5CF6">
            <w:pPr>
              <w:pStyle w:val="Body"/>
              <w:spacing w:after="0"/>
              <w:rPr>
                <w:rFonts w:ascii="Arial" w:hAnsi="Arial" w:cs="Arial"/>
                <w:lang w:val="en-GB"/>
              </w:rPr>
            </w:pPr>
          </w:p>
        </w:tc>
      </w:tr>
    </w:tbl>
    <w:p w14:paraId="2EF2E371" w14:textId="77777777" w:rsidR="001C5CF6" w:rsidRPr="001C5CF6" w:rsidRDefault="001C5CF6" w:rsidP="001C5CF6">
      <w:pPr>
        <w:pStyle w:val="Body"/>
        <w:spacing w:after="0"/>
        <w:rPr>
          <w:rFonts w:ascii="Arial" w:hAnsi="Arial" w:cs="Arial"/>
        </w:rPr>
      </w:pPr>
    </w:p>
    <w:p w14:paraId="370C30FB" w14:textId="3143B291" w:rsidR="001C5CF6" w:rsidRPr="001C5CF6" w:rsidRDefault="001C5CF6" w:rsidP="001C5CF6">
      <w:pPr>
        <w:pStyle w:val="Body"/>
        <w:spacing w:after="0"/>
        <w:rPr>
          <w:rFonts w:ascii="Arial" w:hAnsi="Arial" w:cs="Arial"/>
          <w:b/>
          <w:bCs/>
        </w:rPr>
      </w:pPr>
      <w:r w:rsidRPr="001C5CF6">
        <w:rPr>
          <w:rFonts w:ascii="Arial" w:hAnsi="Arial" w:cs="Arial"/>
          <w:b/>
        </w:rPr>
        <w:t>Table 6</w:t>
      </w:r>
      <w:r w:rsidR="00D30D68">
        <w:rPr>
          <w:rFonts w:ascii="Arial" w:hAnsi="Arial" w:cs="Arial"/>
          <w:b/>
        </w:rPr>
        <w:t>.</w:t>
      </w:r>
      <w:r w:rsidR="00D30D68">
        <w:rPr>
          <w:rFonts w:ascii="Arial" w:hAnsi="Arial" w:cs="Arial"/>
          <w:b/>
        </w:rPr>
        <w:tab/>
      </w:r>
      <w:r w:rsidRPr="001C5CF6">
        <w:rPr>
          <w:rFonts w:ascii="Arial" w:hAnsi="Arial" w:cs="Arial"/>
          <w:b/>
          <w:bCs/>
        </w:rPr>
        <w:t>Particle Size Parameter for Coarse Aggregate</w:t>
      </w:r>
    </w:p>
    <w:tbl>
      <w:tblPr>
        <w:tblW w:w="0" w:type="auto"/>
        <w:tblBorders>
          <w:top w:val="single" w:sz="4" w:space="0" w:color="7F7F7F" w:themeColor="text1" w:themeTint="80"/>
          <w:bottom w:val="single" w:sz="4" w:space="0" w:color="7F7F7F" w:themeColor="text1" w:themeTint="80"/>
        </w:tblBorders>
        <w:tblLook w:val="0620" w:firstRow="1" w:lastRow="0" w:firstColumn="0" w:lastColumn="0" w:noHBand="1" w:noVBand="1"/>
      </w:tblPr>
      <w:tblGrid>
        <w:gridCol w:w="4135"/>
        <w:gridCol w:w="4073"/>
      </w:tblGrid>
      <w:tr w:rsidR="001C5CF6" w:rsidRPr="001C5CF6" w14:paraId="43EE42B4" w14:textId="77777777" w:rsidTr="00F9557F">
        <w:tc>
          <w:tcPr>
            <w:tcW w:w="4621" w:type="dxa"/>
            <w:tcBorders>
              <w:top w:val="single" w:sz="4" w:space="0" w:color="7F7F7F" w:themeColor="text1" w:themeTint="80"/>
              <w:left w:val="nil"/>
              <w:bottom w:val="single" w:sz="4" w:space="0" w:color="7F7F7F" w:themeColor="text1" w:themeTint="80"/>
              <w:right w:val="nil"/>
            </w:tcBorders>
            <w:hideMark/>
          </w:tcPr>
          <w:p w14:paraId="69BFD93C" w14:textId="77777777" w:rsidR="001C5CF6" w:rsidRPr="001C5CF6" w:rsidRDefault="001C5CF6" w:rsidP="001C5CF6">
            <w:pPr>
              <w:pStyle w:val="Body"/>
              <w:spacing w:after="0"/>
              <w:rPr>
                <w:rFonts w:ascii="Arial" w:hAnsi="Arial" w:cs="Arial"/>
                <w:b/>
                <w:bCs/>
              </w:rPr>
            </w:pPr>
            <w:r w:rsidRPr="001C5CF6">
              <w:rPr>
                <w:rFonts w:ascii="Arial" w:hAnsi="Arial" w:cs="Arial"/>
                <w:b/>
              </w:rPr>
              <w:t>Particle Size Parameter</w:t>
            </w:r>
          </w:p>
        </w:tc>
        <w:tc>
          <w:tcPr>
            <w:tcW w:w="4622" w:type="dxa"/>
            <w:tcBorders>
              <w:top w:val="single" w:sz="4" w:space="0" w:color="7F7F7F" w:themeColor="text1" w:themeTint="80"/>
              <w:left w:val="nil"/>
              <w:bottom w:val="single" w:sz="4" w:space="0" w:color="7F7F7F" w:themeColor="text1" w:themeTint="80"/>
              <w:right w:val="nil"/>
            </w:tcBorders>
            <w:hideMark/>
          </w:tcPr>
          <w:p w14:paraId="7FFDBAA5" w14:textId="77777777" w:rsidR="001C5CF6" w:rsidRPr="001C5CF6" w:rsidRDefault="001C5CF6" w:rsidP="001C5CF6">
            <w:pPr>
              <w:pStyle w:val="Body"/>
              <w:spacing w:after="0"/>
              <w:rPr>
                <w:rFonts w:ascii="Arial" w:hAnsi="Arial" w:cs="Arial"/>
                <w:b/>
                <w:bCs/>
              </w:rPr>
            </w:pPr>
            <w:r w:rsidRPr="001C5CF6">
              <w:rPr>
                <w:rFonts w:ascii="Arial" w:hAnsi="Arial" w:cs="Arial"/>
                <w:b/>
              </w:rPr>
              <w:t>Value</w:t>
            </w:r>
          </w:p>
        </w:tc>
      </w:tr>
      <w:tr w:rsidR="001C5CF6" w:rsidRPr="001C5CF6" w14:paraId="228790AB" w14:textId="77777777" w:rsidTr="00F9557F">
        <w:tc>
          <w:tcPr>
            <w:tcW w:w="4621" w:type="dxa"/>
            <w:tcBorders>
              <w:top w:val="nil"/>
              <w:left w:val="nil"/>
              <w:bottom w:val="nil"/>
              <w:right w:val="nil"/>
            </w:tcBorders>
            <w:hideMark/>
          </w:tcPr>
          <w:p w14:paraId="2681C97C" w14:textId="77777777" w:rsidR="001C5CF6" w:rsidRPr="001C5CF6" w:rsidRDefault="001C5CF6" w:rsidP="001C5CF6">
            <w:pPr>
              <w:pStyle w:val="Body"/>
              <w:spacing w:after="0"/>
              <w:rPr>
                <w:rFonts w:ascii="Arial" w:hAnsi="Arial" w:cs="Arial"/>
              </w:rPr>
            </w:pPr>
            <w:r w:rsidRPr="001C5CF6">
              <w:rPr>
                <w:rFonts w:ascii="Arial" w:hAnsi="Arial" w:cs="Arial"/>
              </w:rPr>
              <w:lastRenderedPageBreak/>
              <w:t>D</w:t>
            </w:r>
            <w:r w:rsidRPr="001C5CF6">
              <w:rPr>
                <w:rFonts w:ascii="Arial" w:hAnsi="Arial" w:cs="Arial"/>
                <w:vertAlign w:val="subscript"/>
              </w:rPr>
              <w:t xml:space="preserve">10 </w:t>
            </w:r>
            <w:r w:rsidRPr="001C5CF6">
              <w:rPr>
                <w:rFonts w:ascii="Arial" w:hAnsi="Arial" w:cs="Arial"/>
              </w:rPr>
              <w:t>(10% Passing)</w:t>
            </w:r>
          </w:p>
        </w:tc>
        <w:tc>
          <w:tcPr>
            <w:tcW w:w="4622" w:type="dxa"/>
            <w:tcBorders>
              <w:top w:val="nil"/>
              <w:left w:val="nil"/>
              <w:bottom w:val="nil"/>
              <w:right w:val="nil"/>
            </w:tcBorders>
          </w:tcPr>
          <w:p w14:paraId="5C1B6892" w14:textId="77777777" w:rsidR="001C5CF6" w:rsidRPr="001C5CF6" w:rsidRDefault="001C5CF6" w:rsidP="001C5CF6">
            <w:pPr>
              <w:pStyle w:val="Body"/>
              <w:spacing w:after="0"/>
              <w:rPr>
                <w:rFonts w:ascii="Arial" w:hAnsi="Arial" w:cs="Arial"/>
              </w:rPr>
            </w:pPr>
            <w:r w:rsidRPr="001C5CF6">
              <w:rPr>
                <w:rFonts w:ascii="Arial" w:hAnsi="Arial" w:cs="Arial"/>
              </w:rPr>
              <w:t>8.5</w:t>
            </w:r>
          </w:p>
        </w:tc>
      </w:tr>
      <w:tr w:rsidR="001C5CF6" w:rsidRPr="001C5CF6" w14:paraId="2B5F374E" w14:textId="77777777" w:rsidTr="00F9557F">
        <w:tc>
          <w:tcPr>
            <w:tcW w:w="4621" w:type="dxa"/>
            <w:tcBorders>
              <w:top w:val="nil"/>
              <w:left w:val="nil"/>
              <w:bottom w:val="nil"/>
              <w:right w:val="nil"/>
            </w:tcBorders>
            <w:hideMark/>
          </w:tcPr>
          <w:p w14:paraId="45C5AB9D"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30</w:t>
            </w:r>
            <w:r w:rsidRPr="001C5CF6">
              <w:rPr>
                <w:rFonts w:ascii="Arial" w:hAnsi="Arial" w:cs="Arial"/>
              </w:rPr>
              <w:t xml:space="preserve"> (30% Passing)</w:t>
            </w:r>
          </w:p>
        </w:tc>
        <w:tc>
          <w:tcPr>
            <w:tcW w:w="4622" w:type="dxa"/>
            <w:tcBorders>
              <w:top w:val="nil"/>
              <w:left w:val="nil"/>
              <w:bottom w:val="nil"/>
              <w:right w:val="nil"/>
            </w:tcBorders>
          </w:tcPr>
          <w:p w14:paraId="4B55886A" w14:textId="77777777" w:rsidR="001C5CF6" w:rsidRPr="001C5CF6" w:rsidRDefault="001C5CF6" w:rsidP="001C5CF6">
            <w:pPr>
              <w:pStyle w:val="Body"/>
              <w:spacing w:after="0"/>
              <w:rPr>
                <w:rFonts w:ascii="Arial" w:hAnsi="Arial" w:cs="Arial"/>
              </w:rPr>
            </w:pPr>
            <w:r w:rsidRPr="001C5CF6">
              <w:rPr>
                <w:rFonts w:ascii="Arial" w:hAnsi="Arial" w:cs="Arial"/>
              </w:rPr>
              <w:t>10.15</w:t>
            </w:r>
          </w:p>
        </w:tc>
      </w:tr>
      <w:tr w:rsidR="001C5CF6" w:rsidRPr="001C5CF6" w14:paraId="6734BCC9" w14:textId="77777777" w:rsidTr="00F9557F">
        <w:tc>
          <w:tcPr>
            <w:tcW w:w="4621" w:type="dxa"/>
            <w:tcBorders>
              <w:top w:val="nil"/>
              <w:left w:val="nil"/>
              <w:bottom w:val="nil"/>
              <w:right w:val="nil"/>
            </w:tcBorders>
            <w:hideMark/>
          </w:tcPr>
          <w:p w14:paraId="7ED97B48"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 xml:space="preserve">60 </w:t>
            </w:r>
            <w:r w:rsidRPr="001C5CF6">
              <w:rPr>
                <w:rFonts w:ascii="Arial" w:hAnsi="Arial" w:cs="Arial"/>
              </w:rPr>
              <w:t>(60% Passing)</w:t>
            </w:r>
          </w:p>
        </w:tc>
        <w:tc>
          <w:tcPr>
            <w:tcW w:w="4622" w:type="dxa"/>
            <w:tcBorders>
              <w:top w:val="nil"/>
              <w:left w:val="nil"/>
              <w:bottom w:val="nil"/>
              <w:right w:val="nil"/>
            </w:tcBorders>
          </w:tcPr>
          <w:p w14:paraId="785B7216" w14:textId="77777777" w:rsidR="001C5CF6" w:rsidRPr="001C5CF6" w:rsidRDefault="001C5CF6" w:rsidP="001C5CF6">
            <w:pPr>
              <w:pStyle w:val="Body"/>
              <w:spacing w:after="0"/>
              <w:rPr>
                <w:rFonts w:ascii="Arial" w:hAnsi="Arial" w:cs="Arial"/>
              </w:rPr>
            </w:pPr>
            <w:r w:rsidRPr="001C5CF6">
              <w:rPr>
                <w:rFonts w:ascii="Arial" w:hAnsi="Arial" w:cs="Arial"/>
              </w:rPr>
              <w:t>10.5</w:t>
            </w:r>
          </w:p>
        </w:tc>
      </w:tr>
      <w:tr w:rsidR="001C5CF6" w:rsidRPr="001C5CF6" w14:paraId="1C43D677" w14:textId="77777777" w:rsidTr="00F9557F">
        <w:tc>
          <w:tcPr>
            <w:tcW w:w="4621" w:type="dxa"/>
            <w:tcBorders>
              <w:top w:val="nil"/>
              <w:left w:val="nil"/>
              <w:bottom w:val="nil"/>
              <w:right w:val="nil"/>
            </w:tcBorders>
            <w:hideMark/>
          </w:tcPr>
          <w:p w14:paraId="6D3B6287" w14:textId="77777777" w:rsidR="001C5CF6" w:rsidRPr="001C5CF6" w:rsidRDefault="001C5CF6" w:rsidP="001C5CF6">
            <w:pPr>
              <w:pStyle w:val="Body"/>
              <w:spacing w:after="0"/>
              <w:rPr>
                <w:rFonts w:ascii="Arial" w:hAnsi="Arial" w:cs="Arial"/>
              </w:rPr>
            </w:pPr>
            <w:r w:rsidRPr="001C5CF6">
              <w:rPr>
                <w:rFonts w:ascii="Arial" w:hAnsi="Arial" w:cs="Arial"/>
              </w:rPr>
              <w:t>Coefficient of Uniformity (Cu)</w:t>
            </w:r>
          </w:p>
        </w:tc>
        <w:tc>
          <w:tcPr>
            <w:tcW w:w="4622" w:type="dxa"/>
            <w:tcBorders>
              <w:top w:val="nil"/>
              <w:left w:val="nil"/>
              <w:bottom w:val="nil"/>
              <w:right w:val="nil"/>
            </w:tcBorders>
          </w:tcPr>
          <w:p w14:paraId="1A3FCA62" w14:textId="77777777" w:rsidR="001C5CF6" w:rsidRPr="001C5CF6" w:rsidRDefault="001C5CF6" w:rsidP="001C5CF6">
            <w:pPr>
              <w:pStyle w:val="Body"/>
              <w:spacing w:after="0"/>
              <w:rPr>
                <w:rFonts w:ascii="Arial" w:hAnsi="Arial" w:cs="Arial"/>
              </w:rPr>
            </w:pPr>
            <w:r w:rsidRPr="001C5CF6">
              <w:rPr>
                <w:rFonts w:ascii="Arial" w:hAnsi="Arial" w:cs="Arial"/>
              </w:rPr>
              <w:t>1.24</w:t>
            </w:r>
          </w:p>
        </w:tc>
      </w:tr>
      <w:tr w:rsidR="001C5CF6" w:rsidRPr="001C5CF6" w14:paraId="321C641C" w14:textId="77777777" w:rsidTr="00F9557F">
        <w:tc>
          <w:tcPr>
            <w:tcW w:w="4621" w:type="dxa"/>
            <w:tcBorders>
              <w:top w:val="nil"/>
              <w:left w:val="nil"/>
              <w:bottom w:val="single" w:sz="4" w:space="0" w:color="7F7F7F" w:themeColor="text1" w:themeTint="80"/>
              <w:right w:val="nil"/>
            </w:tcBorders>
            <w:hideMark/>
          </w:tcPr>
          <w:p w14:paraId="718743EE" w14:textId="77777777" w:rsidR="001C5CF6" w:rsidRPr="001C5CF6" w:rsidRDefault="001C5CF6" w:rsidP="001C5CF6">
            <w:pPr>
              <w:pStyle w:val="Body"/>
              <w:spacing w:after="0"/>
              <w:rPr>
                <w:rFonts w:ascii="Arial" w:hAnsi="Arial" w:cs="Arial"/>
              </w:rPr>
            </w:pPr>
            <w:r w:rsidRPr="001C5CF6">
              <w:rPr>
                <w:rFonts w:ascii="Arial" w:hAnsi="Arial" w:cs="Arial"/>
              </w:rPr>
              <w:t>Coefficient of Curvature (Cc)</w:t>
            </w:r>
          </w:p>
        </w:tc>
        <w:tc>
          <w:tcPr>
            <w:tcW w:w="4622" w:type="dxa"/>
            <w:tcBorders>
              <w:top w:val="nil"/>
              <w:left w:val="nil"/>
              <w:bottom w:val="single" w:sz="4" w:space="0" w:color="7F7F7F" w:themeColor="text1" w:themeTint="80"/>
              <w:right w:val="nil"/>
            </w:tcBorders>
          </w:tcPr>
          <w:p w14:paraId="6D460435" w14:textId="77777777" w:rsidR="001C5CF6" w:rsidRPr="001C5CF6" w:rsidRDefault="001C5CF6" w:rsidP="001C5CF6">
            <w:pPr>
              <w:pStyle w:val="Body"/>
              <w:spacing w:after="0"/>
              <w:rPr>
                <w:rFonts w:ascii="Arial" w:hAnsi="Arial" w:cs="Arial"/>
              </w:rPr>
            </w:pPr>
            <w:r w:rsidRPr="001C5CF6">
              <w:rPr>
                <w:rFonts w:ascii="Arial" w:hAnsi="Arial" w:cs="Arial"/>
              </w:rPr>
              <w:t>1.15</w:t>
            </w:r>
          </w:p>
        </w:tc>
      </w:tr>
    </w:tbl>
    <w:p w14:paraId="06394D95" w14:textId="77777777" w:rsidR="001C5CF6" w:rsidRPr="001C5CF6" w:rsidRDefault="001C5CF6" w:rsidP="001C5CF6">
      <w:pPr>
        <w:pStyle w:val="Body"/>
        <w:spacing w:after="0"/>
        <w:rPr>
          <w:rFonts w:ascii="Arial" w:hAnsi="Arial" w:cs="Arial"/>
          <w:b/>
        </w:rPr>
      </w:pPr>
    </w:p>
    <w:p w14:paraId="5F620493" w14:textId="77777777" w:rsidR="001C5CF6" w:rsidRPr="001C5CF6" w:rsidRDefault="001C5CF6" w:rsidP="00D30D68">
      <w:pPr>
        <w:pStyle w:val="Body"/>
        <w:spacing w:after="0"/>
        <w:jc w:val="center"/>
        <w:rPr>
          <w:rFonts w:ascii="Arial" w:hAnsi="Arial" w:cs="Arial"/>
          <w:b/>
        </w:rPr>
      </w:pPr>
      <w:r w:rsidRPr="001C5CF6">
        <w:rPr>
          <w:rFonts w:ascii="Arial" w:hAnsi="Arial" w:cs="Arial"/>
          <w:noProof/>
        </w:rPr>
        <w:drawing>
          <wp:inline distT="0" distB="0" distL="0" distR="0" wp14:anchorId="24F820C9" wp14:editId="0DF69443">
            <wp:extent cx="3956685" cy="1908313"/>
            <wp:effectExtent l="0" t="0" r="0" b="0"/>
            <wp:docPr id="1442470424" name="Chart 1">
              <a:extLst xmlns:a="http://schemas.openxmlformats.org/drawingml/2006/main">
                <a:ext uri="{FF2B5EF4-FFF2-40B4-BE49-F238E27FC236}">
                  <a16:creationId xmlns:a16="http://schemas.microsoft.com/office/drawing/2014/main" id="{685E2499-D3F0-417C-669F-382ABCECFD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E566520" w14:textId="187B5544" w:rsidR="001C5CF6" w:rsidRPr="001C5CF6" w:rsidRDefault="001C5CF6" w:rsidP="001C5CF6">
      <w:pPr>
        <w:pStyle w:val="Body"/>
        <w:spacing w:after="0"/>
        <w:rPr>
          <w:rFonts w:ascii="Arial" w:hAnsi="Arial" w:cs="Arial"/>
          <w:b/>
        </w:rPr>
      </w:pPr>
      <w:r w:rsidRPr="001C5CF6">
        <w:rPr>
          <w:rFonts w:ascii="Arial" w:hAnsi="Arial" w:cs="Arial"/>
          <w:b/>
        </w:rPr>
        <w:t>Fig</w:t>
      </w:r>
      <w:r w:rsidR="00A93036" w:rsidRPr="00A93036">
        <w:rPr>
          <w:rFonts w:ascii="Arial" w:hAnsi="Arial" w:cs="Arial"/>
          <w:b/>
        </w:rPr>
        <w:t>.</w:t>
      </w:r>
      <w:r w:rsidRPr="001C5CF6">
        <w:rPr>
          <w:rFonts w:ascii="Arial" w:hAnsi="Arial" w:cs="Arial"/>
          <w:b/>
        </w:rPr>
        <w:t xml:space="preserve"> 9</w:t>
      </w:r>
      <w:r w:rsidR="00A93036" w:rsidRPr="00A93036">
        <w:rPr>
          <w:rFonts w:ascii="Arial" w:hAnsi="Arial" w:cs="Arial"/>
          <w:b/>
        </w:rPr>
        <w:t>.</w:t>
      </w:r>
      <w:r w:rsidR="00A93036" w:rsidRPr="00A93036">
        <w:rPr>
          <w:rFonts w:ascii="Arial" w:hAnsi="Arial" w:cs="Arial"/>
          <w:b/>
        </w:rPr>
        <w:tab/>
      </w:r>
      <w:r w:rsidRPr="001C5CF6">
        <w:rPr>
          <w:rFonts w:ascii="Arial" w:hAnsi="Arial" w:cs="Arial"/>
          <w:b/>
        </w:rPr>
        <w:t>Particle Size Distribution of Coarse Aggregate</w:t>
      </w:r>
    </w:p>
    <w:p w14:paraId="637261C7" w14:textId="77777777" w:rsidR="001C5CF6" w:rsidRPr="001C5CF6" w:rsidRDefault="001C5CF6" w:rsidP="001C5CF6">
      <w:pPr>
        <w:pStyle w:val="Body"/>
        <w:spacing w:after="0"/>
        <w:rPr>
          <w:rFonts w:ascii="Arial" w:hAnsi="Arial" w:cs="Arial"/>
          <w:b/>
          <w:bCs/>
        </w:rPr>
      </w:pPr>
    </w:p>
    <w:p w14:paraId="41C47BE1" w14:textId="072D5DA7" w:rsidR="004B5681" w:rsidRDefault="004B5681" w:rsidP="004B5681">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Microstructural Analysis: EDS and XRD Results</w:t>
      </w:r>
    </w:p>
    <w:p w14:paraId="35C1C0CC" w14:textId="77777777" w:rsidR="001C5CF6" w:rsidRPr="001C5CF6" w:rsidRDefault="001C5CF6" w:rsidP="001C5CF6">
      <w:pPr>
        <w:pStyle w:val="Body"/>
        <w:spacing w:after="0"/>
        <w:rPr>
          <w:rFonts w:ascii="Arial" w:hAnsi="Arial" w:cs="Arial"/>
          <w:b/>
          <w:bCs/>
        </w:rPr>
      </w:pPr>
      <w:r w:rsidRPr="001C5CF6">
        <w:rPr>
          <w:rFonts w:ascii="Arial" w:hAnsi="Arial" w:cs="Arial"/>
        </w:rPr>
        <w:t>The EDS and XRD results of the RHA sample together confirmed that the RHA is rich in silica, which is essential for pozzolanic reactions. The dominantly amorphous nature (based on expected XRD results) suggests high pozzolanic reactivity.</w:t>
      </w:r>
    </w:p>
    <w:p w14:paraId="650E328A" w14:textId="77777777" w:rsidR="001C5CF6" w:rsidRPr="001C5CF6" w:rsidRDefault="001C5CF6" w:rsidP="001C5CF6">
      <w:pPr>
        <w:pStyle w:val="Body"/>
        <w:spacing w:after="0"/>
        <w:rPr>
          <w:rFonts w:ascii="Arial" w:hAnsi="Arial" w:cs="Arial"/>
          <w:b/>
          <w:bCs/>
        </w:rPr>
      </w:pPr>
    </w:p>
    <w:p w14:paraId="335603E4" w14:textId="77777777" w:rsidR="003224BA" w:rsidRDefault="004B5681" w:rsidP="003224BA">
      <w:pPr>
        <w:pStyle w:val="Body"/>
        <w:spacing w:after="0"/>
        <w:ind w:left="720"/>
        <w:rPr>
          <w:rFonts w:ascii="Arial" w:hAnsi="Arial" w:cs="Arial"/>
        </w:rPr>
      </w:pPr>
      <w:r>
        <w:rPr>
          <w:rFonts w:ascii="Arial" w:hAnsi="Arial" w:cs="Arial"/>
          <w:b/>
          <w:bCs/>
        </w:rPr>
        <w:t>Energy Dispersive Spectroscopy (EDS)</w:t>
      </w:r>
      <w:r w:rsidR="003224BA">
        <w:rPr>
          <w:rFonts w:ascii="Arial" w:hAnsi="Arial" w:cs="Arial"/>
          <w:b/>
          <w:bCs/>
        </w:rPr>
        <w:t xml:space="preserve">: </w:t>
      </w:r>
      <w:r w:rsidR="001C5CF6" w:rsidRPr="001C5CF6">
        <w:rPr>
          <w:rFonts w:ascii="Arial" w:hAnsi="Arial" w:cs="Arial"/>
        </w:rPr>
        <w:t>The EDS analysis performed on the rice husk ash (Figure 10) revealed a dominant presence of silicon (Si) and oxygen (O), confirming that the material is silica-rich. A material being silica rich is a defining trait of a reactive pozzolanic material. The high concentration of SiO</w:t>
      </w:r>
      <w:r w:rsidR="001C5CF6" w:rsidRPr="001C5CF6">
        <w:rPr>
          <w:rFonts w:ascii="Arial" w:hAnsi="Arial" w:cs="Arial"/>
          <w:vertAlign w:val="subscript"/>
        </w:rPr>
        <w:t>2</w:t>
      </w:r>
      <w:r w:rsidR="001C5CF6" w:rsidRPr="001C5CF6">
        <w:rPr>
          <w:rFonts w:ascii="Arial" w:hAnsi="Arial" w:cs="Arial"/>
        </w:rPr>
        <w:t xml:space="preserve"> corresponds with reported values in scientific literature, where amorphous silica content in RHA often exceeds 90% when produced under controlled conditions (Nduka </w:t>
      </w:r>
      <w:r w:rsidR="001C5CF6" w:rsidRPr="001C5CF6">
        <w:rPr>
          <w:rFonts w:ascii="Arial" w:hAnsi="Arial" w:cs="Arial"/>
          <w:i/>
          <w:iCs/>
        </w:rPr>
        <w:t xml:space="preserve">et al., </w:t>
      </w:r>
      <w:r w:rsidR="001C5CF6" w:rsidRPr="001C5CF6">
        <w:rPr>
          <w:rFonts w:ascii="Arial" w:hAnsi="Arial" w:cs="Arial"/>
        </w:rPr>
        <w:t>2022). This chemistry is critical, as amorphous silica is highly reactive in alkaline environments, undergoing pozzolanic reactions with calcium hydroxide (</w:t>
      </w:r>
      <w:proofErr w:type="gramStart"/>
      <w:r w:rsidR="001C5CF6" w:rsidRPr="001C5CF6">
        <w:rPr>
          <w:rFonts w:ascii="Arial" w:hAnsi="Arial" w:cs="Arial"/>
        </w:rPr>
        <w:t>Ca(</w:t>
      </w:r>
      <w:proofErr w:type="gramEnd"/>
      <w:r w:rsidR="001C5CF6" w:rsidRPr="001C5CF6">
        <w:rPr>
          <w:rFonts w:ascii="Arial" w:hAnsi="Arial" w:cs="Arial"/>
        </w:rPr>
        <w:t>OH)</w:t>
      </w:r>
      <w:r w:rsidR="001C5CF6" w:rsidRPr="001C5CF6">
        <w:rPr>
          <w:rFonts w:ascii="Arial" w:hAnsi="Arial" w:cs="Arial"/>
          <w:vertAlign w:val="subscript"/>
        </w:rPr>
        <w:t>2</w:t>
      </w:r>
      <w:r w:rsidR="001C5CF6" w:rsidRPr="001C5CF6">
        <w:rPr>
          <w:rFonts w:ascii="Arial" w:hAnsi="Arial" w:cs="Arial"/>
        </w:rPr>
        <w:t>) to form additional calcium silicate hydrate (C–S–H) gel. This contributes significantly to the long-term mechanical strength and durability of cementitious systems.</w:t>
      </w:r>
    </w:p>
    <w:p w14:paraId="214E8144" w14:textId="3F22C114" w:rsidR="001C5CF6" w:rsidRPr="001C5CF6" w:rsidRDefault="001C5CF6" w:rsidP="003224BA">
      <w:pPr>
        <w:pStyle w:val="Body"/>
        <w:spacing w:after="0"/>
        <w:ind w:left="720"/>
        <w:rPr>
          <w:rFonts w:ascii="Arial" w:hAnsi="Arial" w:cs="Arial"/>
        </w:rPr>
      </w:pPr>
      <w:r w:rsidRPr="001C5CF6">
        <w:rPr>
          <w:rFonts w:ascii="Arial" w:hAnsi="Arial" w:cs="Arial"/>
        </w:rPr>
        <w:t>Trace levels of elements such as carbon (C), calcium (Ca), sodium (Na), iron (Fe), magnesium (Mg), aluminum (Al), and titanium (Ti) were also detected. Among these, calcium may contribute slightly to early cementitious bonding, while aluminum and iron oxides can partake in forming secondary hydrates like calcium aluminate hydrate (C–A–H) and calcium aluminosilicate hydrate (C–A–S–H), adding minor benefits to matrix density and microstructural refinement. However, the low concentration of these trace elements suggests their influence is supplementary relative to the dominating silica content.</w:t>
      </w:r>
    </w:p>
    <w:p w14:paraId="5BC1DD6D" w14:textId="77777777" w:rsidR="001C5CF6" w:rsidRPr="001C5CF6" w:rsidRDefault="001C5CF6" w:rsidP="001C5CF6">
      <w:pPr>
        <w:pStyle w:val="Body"/>
        <w:spacing w:after="0"/>
        <w:rPr>
          <w:rFonts w:ascii="Arial" w:hAnsi="Arial" w:cs="Arial"/>
        </w:rPr>
      </w:pPr>
    </w:p>
    <w:p w14:paraId="375882A1" w14:textId="77777777" w:rsidR="001C5CF6" w:rsidRPr="001C5CF6" w:rsidRDefault="001C5CF6" w:rsidP="004B5681">
      <w:pPr>
        <w:pStyle w:val="Body"/>
        <w:spacing w:after="0"/>
        <w:jc w:val="center"/>
        <w:rPr>
          <w:rFonts w:ascii="Arial" w:hAnsi="Arial" w:cs="Arial"/>
        </w:rPr>
      </w:pPr>
      <w:r w:rsidRPr="001C5CF6">
        <w:rPr>
          <w:rFonts w:ascii="Arial" w:hAnsi="Arial" w:cs="Arial"/>
          <w:noProof/>
        </w:rPr>
        <w:lastRenderedPageBreak/>
        <w:drawing>
          <wp:inline distT="0" distB="0" distL="0" distR="0" wp14:anchorId="6D2E2E14" wp14:editId="583C94D0">
            <wp:extent cx="4427855" cy="1773141"/>
            <wp:effectExtent l="0" t="0" r="0" b="0"/>
            <wp:docPr id="23928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6818" cy="1788744"/>
                    </a:xfrm>
                    <a:prstGeom prst="rect">
                      <a:avLst/>
                    </a:prstGeom>
                    <a:noFill/>
                    <a:ln>
                      <a:noFill/>
                    </a:ln>
                  </pic:spPr>
                </pic:pic>
              </a:graphicData>
            </a:graphic>
          </wp:inline>
        </w:drawing>
      </w:r>
    </w:p>
    <w:p w14:paraId="599820C5" w14:textId="4084D175" w:rsidR="001C5CF6" w:rsidRPr="001C5CF6" w:rsidRDefault="001C5CF6" w:rsidP="00A93036">
      <w:pPr>
        <w:pStyle w:val="Body"/>
        <w:spacing w:after="0"/>
        <w:rPr>
          <w:rFonts w:ascii="Arial" w:hAnsi="Arial" w:cs="Arial"/>
        </w:rPr>
      </w:pPr>
      <w:r w:rsidRPr="001C5CF6">
        <w:rPr>
          <w:rFonts w:ascii="Arial" w:hAnsi="Arial" w:cs="Arial"/>
          <w:b/>
          <w:bCs/>
        </w:rPr>
        <w:t>Fig</w:t>
      </w:r>
      <w:r w:rsidR="00A93036">
        <w:rPr>
          <w:rFonts w:ascii="Arial" w:hAnsi="Arial" w:cs="Arial"/>
          <w:b/>
          <w:bCs/>
        </w:rPr>
        <w:t xml:space="preserve">. </w:t>
      </w:r>
      <w:r w:rsidRPr="001C5CF6">
        <w:rPr>
          <w:rFonts w:ascii="Arial" w:hAnsi="Arial" w:cs="Arial"/>
          <w:b/>
          <w:bCs/>
        </w:rPr>
        <w:t>1</w:t>
      </w:r>
      <w:r w:rsidR="00A93036">
        <w:rPr>
          <w:rFonts w:ascii="Arial" w:hAnsi="Arial" w:cs="Arial"/>
          <w:b/>
          <w:bCs/>
        </w:rPr>
        <w:t>0.</w:t>
      </w:r>
      <w:r w:rsidR="00A93036">
        <w:rPr>
          <w:rFonts w:ascii="Arial" w:hAnsi="Arial" w:cs="Arial"/>
          <w:b/>
          <w:bCs/>
        </w:rPr>
        <w:tab/>
      </w:r>
      <w:r w:rsidRPr="001C5CF6">
        <w:rPr>
          <w:rFonts w:ascii="Arial" w:hAnsi="Arial" w:cs="Arial"/>
          <w:b/>
          <w:bCs/>
        </w:rPr>
        <w:t>Energy Dispersive Spectroscopy (EDS) of Rice Husk</w:t>
      </w:r>
    </w:p>
    <w:p w14:paraId="2A949010" w14:textId="77777777" w:rsidR="004B5681" w:rsidRDefault="004B5681" w:rsidP="001C5CF6">
      <w:pPr>
        <w:pStyle w:val="Body"/>
        <w:spacing w:after="0"/>
        <w:rPr>
          <w:rFonts w:ascii="Arial" w:hAnsi="Arial" w:cs="Arial"/>
        </w:rPr>
      </w:pPr>
    </w:p>
    <w:p w14:paraId="6966C48F" w14:textId="77777777" w:rsidR="00975122" w:rsidRDefault="001C5CF6" w:rsidP="00975122">
      <w:pPr>
        <w:pStyle w:val="Body"/>
        <w:spacing w:after="0"/>
        <w:ind w:left="720"/>
        <w:rPr>
          <w:rFonts w:ascii="Arial" w:hAnsi="Arial" w:cs="Arial"/>
        </w:rPr>
      </w:pPr>
      <w:r w:rsidRPr="001C5CF6">
        <w:rPr>
          <w:rFonts w:ascii="Arial" w:hAnsi="Arial" w:cs="Arial"/>
        </w:rPr>
        <w:t>The absence of potentially harmful heavy metals or kiln-origin contaminants affirms that the ash is clean and suitable for applications in construction. This aligns with findings by from studies that reported that both muffle furnace and open-air RHA contained no significant toxic elements and were suitable for use in concrete (</w:t>
      </w:r>
      <w:proofErr w:type="spellStart"/>
      <w:r w:rsidRPr="001C5CF6">
        <w:rPr>
          <w:rFonts w:ascii="Arial" w:hAnsi="Arial" w:cs="Arial"/>
        </w:rPr>
        <w:t>Kamweru</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2020). This reinforces the practicality of the RHA as a safe and sustainable supplementary cementitious material.</w:t>
      </w:r>
    </w:p>
    <w:p w14:paraId="4DD9B15D" w14:textId="00EEEF80" w:rsidR="001C5CF6" w:rsidRPr="001C5CF6" w:rsidRDefault="001C5CF6" w:rsidP="00975122">
      <w:pPr>
        <w:pStyle w:val="Body"/>
        <w:spacing w:after="0"/>
        <w:ind w:left="720"/>
        <w:rPr>
          <w:rFonts w:ascii="Arial" w:hAnsi="Arial" w:cs="Arial"/>
        </w:rPr>
      </w:pPr>
      <w:r w:rsidRPr="001C5CF6">
        <w:rPr>
          <w:rFonts w:ascii="Arial" w:hAnsi="Arial" w:cs="Arial"/>
        </w:rPr>
        <w:t>The high levels of SiO</w:t>
      </w:r>
      <w:r w:rsidRPr="001C5CF6">
        <w:rPr>
          <w:rFonts w:ascii="Arial" w:hAnsi="Arial" w:cs="Arial"/>
          <w:vertAlign w:val="subscript"/>
        </w:rPr>
        <w:t>2</w:t>
      </w:r>
      <w:r w:rsidRPr="001C5CF6">
        <w:rPr>
          <w:rFonts w:ascii="Arial" w:hAnsi="Arial" w:cs="Arial"/>
        </w:rPr>
        <w:t xml:space="preserve"> and O reinforce the pozzolanic potential of the rice husk ash. The pozzolanic reaction mechanism involves amorphous silica reacting with calcium hydroxide, produced during cement hydration, to form C-S-H, thereby densifying the microstructure and enhancing mechanical and durability properties (Das </w:t>
      </w:r>
      <w:r w:rsidRPr="001C5CF6">
        <w:rPr>
          <w:rFonts w:ascii="Arial" w:hAnsi="Arial" w:cs="Arial"/>
          <w:i/>
          <w:iCs/>
        </w:rPr>
        <w:t>et al.,</w:t>
      </w:r>
      <w:r w:rsidRPr="001C5CF6">
        <w:rPr>
          <w:rFonts w:ascii="Arial" w:hAnsi="Arial" w:cs="Arial"/>
        </w:rPr>
        <w:t xml:space="preserve"> 2020).  This system behavior underpins many improvements observed in concrete incorporating properly processed RHA. Although minor elements like Mg, Fe, and Al are present, their levels are insufficient to replace cementitious material but may provide micro-filler effects or participate in hydration reactions to produce C–A–H gels that fortify the cement matrix. Nonetheless, the dominance of silica and oxygen in the composition confirms that silicate-based reactions will primarily define the ash’s contribution to concrete performance. The confirmation of elemental purity and absence of deleterious compounds indicates that the ash was effectively produced under controlled combustion conditions (e.g., 500–700 °C), which is essential for preserving amorphous silica and pozzolanic quality (</w:t>
      </w:r>
      <w:proofErr w:type="spellStart"/>
      <w:r w:rsidRPr="001C5CF6">
        <w:rPr>
          <w:rFonts w:ascii="Arial" w:hAnsi="Arial" w:cs="Arial"/>
        </w:rPr>
        <w:t>Thiedeitz</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2020).</w:t>
      </w:r>
    </w:p>
    <w:p w14:paraId="34590ADF" w14:textId="77777777" w:rsidR="00975122" w:rsidRDefault="00975122" w:rsidP="001C5CF6">
      <w:pPr>
        <w:pStyle w:val="Body"/>
        <w:spacing w:after="0"/>
        <w:rPr>
          <w:rFonts w:ascii="Arial" w:hAnsi="Arial" w:cs="Arial"/>
          <w:b/>
        </w:rPr>
      </w:pPr>
    </w:p>
    <w:p w14:paraId="2A87E031" w14:textId="43ACD2F1" w:rsidR="001C5CF6" w:rsidRPr="001C5CF6" w:rsidRDefault="001C5CF6" w:rsidP="00975122">
      <w:pPr>
        <w:pStyle w:val="Body"/>
        <w:spacing w:after="0"/>
        <w:ind w:left="720"/>
        <w:rPr>
          <w:rFonts w:ascii="Arial" w:hAnsi="Arial" w:cs="Arial"/>
        </w:rPr>
      </w:pPr>
      <w:r w:rsidRPr="001C5CF6">
        <w:rPr>
          <w:rFonts w:ascii="Arial" w:hAnsi="Arial" w:cs="Arial"/>
          <w:b/>
          <w:bCs/>
        </w:rPr>
        <w:t>X-ray Diffraction (XRD)</w:t>
      </w:r>
      <w:r w:rsidR="00975122">
        <w:rPr>
          <w:rFonts w:ascii="Arial" w:hAnsi="Arial" w:cs="Arial"/>
          <w:b/>
          <w:bCs/>
        </w:rPr>
        <w:t xml:space="preserve">: </w:t>
      </w:r>
      <w:r w:rsidRPr="001C5CF6">
        <w:rPr>
          <w:rFonts w:ascii="Arial" w:hAnsi="Arial" w:cs="Arial"/>
        </w:rPr>
        <w:t xml:space="preserve">XRD test (Figure 11) was conducted to assess crystallinity vs. amorphous content in the RHA sample. In pozzolanic materials like RHA, amorphous silica is highly desirable due to its high reactivity with </w:t>
      </w:r>
      <w:proofErr w:type="gramStart"/>
      <w:r w:rsidRPr="001C5CF6">
        <w:rPr>
          <w:rFonts w:ascii="Arial" w:hAnsi="Arial" w:cs="Arial"/>
        </w:rPr>
        <w:t>Ca(</w:t>
      </w:r>
      <w:proofErr w:type="gramEnd"/>
      <w:r w:rsidRPr="001C5CF6">
        <w:rPr>
          <w:rFonts w:ascii="Arial" w:hAnsi="Arial" w:cs="Arial"/>
        </w:rPr>
        <w:t>OH)</w:t>
      </w:r>
      <w:r w:rsidRPr="001C5CF6">
        <w:rPr>
          <w:rFonts w:ascii="Arial" w:hAnsi="Arial" w:cs="Arial"/>
          <w:vertAlign w:val="subscript"/>
        </w:rPr>
        <w:t>2</w:t>
      </w:r>
      <w:r w:rsidRPr="001C5CF6">
        <w:rPr>
          <w:rFonts w:ascii="Arial" w:hAnsi="Arial" w:cs="Arial"/>
        </w:rPr>
        <w:t>. The XRD pattern for the RHA exhibited a broad hump between 2θ = 20°–30°, indicating the presence of non-crystalline (amorphous) silica. The sample showed a dominant amorphous phase with minor crystalline peaks, confirming that the RHA was properly combusted, thus, retaining silica in a reactive amorphous state.</w:t>
      </w:r>
    </w:p>
    <w:p w14:paraId="39B07C23" w14:textId="77777777" w:rsidR="001C5CF6" w:rsidRPr="001C5CF6" w:rsidRDefault="001C5CF6" w:rsidP="001C5CF6">
      <w:pPr>
        <w:pStyle w:val="Body"/>
        <w:spacing w:after="0"/>
        <w:rPr>
          <w:rFonts w:ascii="Arial" w:hAnsi="Arial" w:cs="Arial"/>
          <w:b/>
          <w:bCs/>
        </w:rPr>
      </w:pPr>
      <w:r w:rsidRPr="001C5CF6">
        <w:rPr>
          <w:rFonts w:ascii="Arial" w:hAnsi="Arial" w:cs="Arial"/>
          <w:b/>
          <w:bCs/>
          <w:noProof/>
        </w:rPr>
        <w:drawing>
          <wp:inline distT="0" distB="0" distL="0" distR="0" wp14:anchorId="72AA5238" wp14:editId="0B21173F">
            <wp:extent cx="4887871" cy="1666430"/>
            <wp:effectExtent l="0" t="0" r="8255" b="0"/>
            <wp:docPr id="723336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13278" cy="1675092"/>
                    </a:xfrm>
                    <a:prstGeom prst="rect">
                      <a:avLst/>
                    </a:prstGeom>
                    <a:noFill/>
                    <a:ln>
                      <a:noFill/>
                    </a:ln>
                  </pic:spPr>
                </pic:pic>
              </a:graphicData>
            </a:graphic>
          </wp:inline>
        </w:drawing>
      </w:r>
    </w:p>
    <w:p w14:paraId="4297175E" w14:textId="28B9F6DF" w:rsidR="001C5CF6" w:rsidRPr="001C5CF6" w:rsidRDefault="001C5CF6" w:rsidP="00A93036">
      <w:pPr>
        <w:pStyle w:val="Body"/>
        <w:spacing w:after="0"/>
        <w:rPr>
          <w:rFonts w:ascii="Arial" w:hAnsi="Arial" w:cs="Arial"/>
          <w:b/>
          <w:bCs/>
        </w:rPr>
      </w:pPr>
      <w:bookmarkStart w:id="7" w:name="_Hlk203746195"/>
      <w:r w:rsidRPr="001C5CF6">
        <w:rPr>
          <w:rFonts w:ascii="Arial" w:hAnsi="Arial" w:cs="Arial"/>
          <w:b/>
          <w:bCs/>
        </w:rPr>
        <w:lastRenderedPageBreak/>
        <w:t>Fig</w:t>
      </w:r>
      <w:r w:rsidR="00A93036" w:rsidRPr="00A93036">
        <w:rPr>
          <w:rFonts w:ascii="Arial" w:hAnsi="Arial" w:cs="Arial"/>
          <w:b/>
          <w:bCs/>
        </w:rPr>
        <w:t>.</w:t>
      </w:r>
      <w:r w:rsidRPr="001C5CF6">
        <w:rPr>
          <w:rFonts w:ascii="Arial" w:hAnsi="Arial" w:cs="Arial"/>
          <w:b/>
          <w:bCs/>
        </w:rPr>
        <w:t xml:space="preserve"> 1</w:t>
      </w:r>
      <w:r w:rsidR="00A93036" w:rsidRPr="00A93036">
        <w:rPr>
          <w:rFonts w:ascii="Arial" w:hAnsi="Arial" w:cs="Arial"/>
          <w:b/>
          <w:bCs/>
        </w:rPr>
        <w:t>1.</w:t>
      </w:r>
      <w:r w:rsidR="00A93036" w:rsidRPr="00A93036">
        <w:rPr>
          <w:rFonts w:ascii="Arial" w:hAnsi="Arial" w:cs="Arial"/>
          <w:b/>
          <w:bCs/>
        </w:rPr>
        <w:tab/>
      </w:r>
      <w:r w:rsidRPr="001C5CF6">
        <w:rPr>
          <w:rFonts w:ascii="Arial" w:hAnsi="Arial" w:cs="Arial"/>
          <w:b/>
          <w:bCs/>
        </w:rPr>
        <w:t>X-ray Diffraction of Rice Husk</w:t>
      </w:r>
      <w:bookmarkEnd w:id="7"/>
    </w:p>
    <w:p w14:paraId="75F98CA6" w14:textId="77777777" w:rsidR="004B5681" w:rsidRDefault="004B5681" w:rsidP="004B5681">
      <w:pPr>
        <w:pStyle w:val="Body"/>
        <w:spacing w:after="0"/>
        <w:rPr>
          <w:rFonts w:ascii="Arial" w:hAnsi="Arial" w:cs="Arial"/>
          <w:b/>
          <w:caps/>
          <w:sz w:val="22"/>
        </w:rPr>
      </w:pPr>
    </w:p>
    <w:p w14:paraId="68437AF7" w14:textId="617238CA" w:rsidR="004B5681" w:rsidRPr="001C5CF6" w:rsidRDefault="004B5681" w:rsidP="004B5681">
      <w:pPr>
        <w:pStyle w:val="Body"/>
        <w:spacing w:after="0"/>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1C5CF6">
        <w:rPr>
          <w:rFonts w:ascii="Arial" w:hAnsi="Arial" w:cs="Arial"/>
          <w:b/>
          <w:bCs/>
          <w:sz w:val="22"/>
        </w:rPr>
        <w:t>Slump Test on Concrete</w:t>
      </w:r>
    </w:p>
    <w:bookmarkEnd w:id="3"/>
    <w:p w14:paraId="7006499B" w14:textId="77777777" w:rsidR="001C5CF6" w:rsidRPr="001C5CF6" w:rsidRDefault="001C5CF6" w:rsidP="001C5CF6">
      <w:pPr>
        <w:pStyle w:val="Body"/>
        <w:spacing w:after="0"/>
        <w:rPr>
          <w:rFonts w:ascii="Arial" w:hAnsi="Arial" w:cs="Arial"/>
        </w:rPr>
      </w:pPr>
      <w:r w:rsidRPr="001C5CF6">
        <w:rPr>
          <w:rFonts w:ascii="Arial" w:hAnsi="Arial" w:cs="Arial"/>
        </w:rPr>
        <w:t>The slump test measures the workability of concrete, indicating how easily it can be mixed, placed, and finished. Table 7 shows the slump measurement of the concrete at various percentages. The concrete had slumps of 45mm, 55mm, 70mm and 60mm at 0% RHA, 5 % RHA 10 % RHA and 15 % RHA. These reflect a general increase in slump, and thus improved workability, as RHA replacement increases up to 10%, after which slump decreases slightly at 15% suggesting an initial plasticizing effect from RHA addition that peaks before workability begins to decline.</w:t>
      </w:r>
    </w:p>
    <w:p w14:paraId="3C42BEB0" w14:textId="77777777" w:rsidR="001C5CF6" w:rsidRPr="001C5CF6" w:rsidRDefault="001C5CF6" w:rsidP="001C5CF6">
      <w:pPr>
        <w:pStyle w:val="Body"/>
        <w:spacing w:after="0"/>
        <w:rPr>
          <w:rFonts w:ascii="Arial" w:hAnsi="Arial" w:cs="Arial"/>
        </w:rPr>
      </w:pPr>
    </w:p>
    <w:p w14:paraId="679A37AF" w14:textId="2155F56C" w:rsidR="001C5CF6" w:rsidRPr="001C5CF6" w:rsidRDefault="001C5CF6" w:rsidP="001C5CF6">
      <w:pPr>
        <w:pStyle w:val="Body"/>
        <w:spacing w:after="0"/>
        <w:rPr>
          <w:rFonts w:ascii="Arial" w:hAnsi="Arial" w:cs="Arial"/>
        </w:rPr>
      </w:pPr>
      <w:r w:rsidRPr="001C5CF6">
        <w:rPr>
          <w:rFonts w:ascii="Arial" w:hAnsi="Arial" w:cs="Arial"/>
        </w:rPr>
        <w:t>In conventional concrete, medium slump values, typically 50–120 mm, are considered ideal for most structural applications, offering a good balance between ease of placement and stability (</w:t>
      </w:r>
      <w:r w:rsidR="00D37642">
        <w:rPr>
          <w:rFonts w:ascii="Arial" w:hAnsi="Arial" w:cs="Arial"/>
        </w:rPr>
        <w:t xml:space="preserve">Hasan </w:t>
      </w:r>
      <w:r w:rsidRPr="001C5CF6">
        <w:rPr>
          <w:rFonts w:ascii="Arial" w:hAnsi="Arial" w:cs="Arial"/>
          <w:i/>
          <w:iCs/>
        </w:rPr>
        <w:t>et al.,</w:t>
      </w:r>
      <w:r w:rsidRPr="001C5CF6">
        <w:rPr>
          <w:rFonts w:ascii="Arial" w:hAnsi="Arial" w:cs="Arial"/>
        </w:rPr>
        <w:t xml:space="preserve"> 2022; Ajwad, </w:t>
      </w:r>
      <w:r w:rsidRPr="001C5CF6">
        <w:rPr>
          <w:rFonts w:ascii="Arial" w:hAnsi="Arial" w:cs="Arial"/>
          <w:i/>
          <w:iCs/>
        </w:rPr>
        <w:t>et al.,</w:t>
      </w:r>
      <w:r w:rsidRPr="001C5CF6">
        <w:rPr>
          <w:rFonts w:ascii="Arial" w:hAnsi="Arial" w:cs="Arial"/>
        </w:rPr>
        <w:t xml:space="preserve"> 2022; </w:t>
      </w:r>
      <w:proofErr w:type="spellStart"/>
      <w:r w:rsidRPr="001C5CF6">
        <w:rPr>
          <w:rFonts w:ascii="Arial" w:hAnsi="Arial" w:cs="Arial"/>
        </w:rPr>
        <w:t>Ubayi</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2024). The control slump (45 mm) lies at the low end of that range, indicating relatively stiff consistency, while the 10% RHA mix (70 mm) falls well within the preferred range, suggesting notably better workability. Several studies have observed similar trends with RHA inclusion. Often, low to moderate RHA replacement improves workability, possibly due to the fine ash particles acting as micro-fillers that aid in lubrication and particle movement (</w:t>
      </w:r>
      <w:proofErr w:type="spellStart"/>
      <w:r w:rsidRPr="001C5CF6">
        <w:rPr>
          <w:rFonts w:ascii="Arial" w:hAnsi="Arial" w:cs="Arial"/>
        </w:rPr>
        <w:t>Ubayi</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2024). </w:t>
      </w:r>
      <w:proofErr w:type="spellStart"/>
      <w:r w:rsidRPr="001C5CF6">
        <w:rPr>
          <w:rFonts w:ascii="Arial" w:hAnsi="Arial" w:cs="Arial"/>
        </w:rPr>
        <w:t>Ubayi</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(2024) reported plasticizing effects with RHA up to around 24% replacement, enhancing workability compared to the control mix. However, as RHA content increases beyond an optimal level, slump tends to decrease, because the highly porous, fine RHA increases the overall surface area of the binder, demands more water, and increases mix friction (</w:t>
      </w:r>
      <w:r w:rsidR="00D37642">
        <w:rPr>
          <w:rFonts w:ascii="Arial" w:hAnsi="Arial" w:cs="Arial"/>
        </w:rPr>
        <w:t>Hasan</w:t>
      </w:r>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2022). This is evident in in Figure 12, where slump declines from 70 mm at 10% replacement to 60 mm at 15%.</w:t>
      </w:r>
    </w:p>
    <w:p w14:paraId="225714EF" w14:textId="77777777" w:rsidR="001C5CF6" w:rsidRPr="001C5CF6" w:rsidRDefault="001C5CF6" w:rsidP="001C5CF6">
      <w:pPr>
        <w:pStyle w:val="Body"/>
        <w:spacing w:after="0"/>
        <w:rPr>
          <w:rFonts w:ascii="Arial" w:hAnsi="Arial" w:cs="Arial"/>
          <w:b/>
          <w:bCs/>
        </w:rPr>
      </w:pPr>
    </w:p>
    <w:p w14:paraId="01CADEEF" w14:textId="0B8BB94B" w:rsidR="001C5CF6" w:rsidRPr="001C5CF6" w:rsidRDefault="001C5CF6" w:rsidP="001C5CF6">
      <w:pPr>
        <w:pStyle w:val="Body"/>
        <w:spacing w:after="0"/>
        <w:rPr>
          <w:rFonts w:ascii="Arial" w:hAnsi="Arial" w:cs="Arial"/>
        </w:rPr>
      </w:pPr>
      <w:bookmarkStart w:id="8" w:name="_Hlk177393794"/>
      <w:r w:rsidRPr="001C5CF6">
        <w:rPr>
          <w:rFonts w:ascii="Arial" w:hAnsi="Arial" w:cs="Arial"/>
          <w:b/>
          <w:bCs/>
        </w:rPr>
        <w:t>Table 7</w:t>
      </w:r>
      <w:r w:rsidR="004B5681">
        <w:rPr>
          <w:rFonts w:ascii="Arial" w:hAnsi="Arial" w:cs="Arial"/>
          <w:b/>
          <w:bCs/>
        </w:rPr>
        <w:t>.</w:t>
      </w:r>
      <w:r w:rsidR="004B5681">
        <w:rPr>
          <w:rFonts w:ascii="Arial" w:hAnsi="Arial" w:cs="Arial"/>
          <w:b/>
          <w:bCs/>
        </w:rPr>
        <w:tab/>
      </w:r>
      <w:r w:rsidRPr="001C5CF6">
        <w:rPr>
          <w:rFonts w:ascii="Arial" w:hAnsi="Arial" w:cs="Arial"/>
          <w:b/>
          <w:bCs/>
        </w:rPr>
        <w:t>Slump Test</w:t>
      </w:r>
      <w:r w:rsidRPr="001C5CF6">
        <w:rPr>
          <w:rFonts w:ascii="Arial" w:hAnsi="Arial" w:cs="Arial"/>
        </w:rPr>
        <w:t xml:space="preserve"> </w:t>
      </w:r>
      <w:bookmarkEnd w:id="8"/>
    </w:p>
    <w:tbl>
      <w:tblPr>
        <w:tblStyle w:val="PlainTable2"/>
        <w:tblW w:w="0" w:type="auto"/>
        <w:tblLook w:val="0620" w:firstRow="1" w:lastRow="0" w:firstColumn="0" w:lastColumn="0" w:noHBand="1" w:noVBand="1"/>
      </w:tblPr>
      <w:tblGrid>
        <w:gridCol w:w="4191"/>
        <w:gridCol w:w="4017"/>
      </w:tblGrid>
      <w:tr w:rsidR="001C5CF6" w:rsidRPr="001C5CF6" w14:paraId="631D0157" w14:textId="77777777" w:rsidTr="00F9557F">
        <w:trPr>
          <w:cnfStyle w:val="100000000000" w:firstRow="1" w:lastRow="0" w:firstColumn="0" w:lastColumn="0" w:oddVBand="0" w:evenVBand="0" w:oddHBand="0" w:evenHBand="0" w:firstRowFirstColumn="0" w:firstRowLastColumn="0" w:lastRowFirstColumn="0" w:lastRowLastColumn="0"/>
        </w:trPr>
        <w:tc>
          <w:tcPr>
            <w:tcW w:w="4725" w:type="dxa"/>
          </w:tcPr>
          <w:p w14:paraId="5ED71C96" w14:textId="77777777" w:rsidR="001C5CF6" w:rsidRPr="001C5CF6" w:rsidRDefault="001C5CF6" w:rsidP="001C5CF6">
            <w:pPr>
              <w:pStyle w:val="Body"/>
              <w:spacing w:after="0"/>
              <w:rPr>
                <w:rFonts w:ascii="Arial" w:hAnsi="Arial" w:cs="Arial"/>
              </w:rPr>
            </w:pPr>
            <w:r w:rsidRPr="001C5CF6">
              <w:rPr>
                <w:rFonts w:ascii="Arial" w:hAnsi="Arial" w:cs="Arial"/>
              </w:rPr>
              <w:t>Percentage of Replacement</w:t>
            </w:r>
          </w:p>
        </w:tc>
        <w:tc>
          <w:tcPr>
            <w:tcW w:w="4635" w:type="dxa"/>
          </w:tcPr>
          <w:p w14:paraId="7D70954F" w14:textId="77777777" w:rsidR="001C5CF6" w:rsidRPr="001C5CF6" w:rsidRDefault="001C5CF6" w:rsidP="001C5CF6">
            <w:pPr>
              <w:pStyle w:val="Body"/>
              <w:spacing w:after="0"/>
              <w:rPr>
                <w:rFonts w:ascii="Arial" w:hAnsi="Arial" w:cs="Arial"/>
              </w:rPr>
            </w:pPr>
            <w:r w:rsidRPr="001C5CF6">
              <w:rPr>
                <w:rFonts w:ascii="Arial" w:hAnsi="Arial" w:cs="Arial"/>
              </w:rPr>
              <w:t>Slump Values</w:t>
            </w:r>
          </w:p>
        </w:tc>
      </w:tr>
      <w:tr w:rsidR="001C5CF6" w:rsidRPr="001C5CF6" w14:paraId="1CA56E8E" w14:textId="77777777" w:rsidTr="00F9557F">
        <w:tc>
          <w:tcPr>
            <w:tcW w:w="4725" w:type="dxa"/>
          </w:tcPr>
          <w:p w14:paraId="6AC95A5E" w14:textId="77777777" w:rsidR="001C5CF6" w:rsidRPr="001C5CF6" w:rsidRDefault="001C5CF6" w:rsidP="001C5CF6">
            <w:pPr>
              <w:pStyle w:val="Body"/>
              <w:spacing w:after="0"/>
              <w:rPr>
                <w:rFonts w:ascii="Arial" w:hAnsi="Arial" w:cs="Arial"/>
              </w:rPr>
            </w:pPr>
            <w:r w:rsidRPr="001C5CF6">
              <w:rPr>
                <w:rFonts w:ascii="Arial" w:hAnsi="Arial" w:cs="Arial"/>
              </w:rPr>
              <w:t>0 %</w:t>
            </w:r>
          </w:p>
        </w:tc>
        <w:tc>
          <w:tcPr>
            <w:tcW w:w="4635" w:type="dxa"/>
          </w:tcPr>
          <w:p w14:paraId="499CBA57" w14:textId="77777777" w:rsidR="001C5CF6" w:rsidRPr="001C5CF6" w:rsidRDefault="001C5CF6" w:rsidP="001C5CF6">
            <w:pPr>
              <w:pStyle w:val="Body"/>
              <w:spacing w:after="0"/>
              <w:rPr>
                <w:rFonts w:ascii="Arial" w:hAnsi="Arial" w:cs="Arial"/>
              </w:rPr>
            </w:pPr>
            <w:r w:rsidRPr="001C5CF6">
              <w:rPr>
                <w:rFonts w:ascii="Arial" w:hAnsi="Arial" w:cs="Arial"/>
              </w:rPr>
              <w:t>4.5 cm</w:t>
            </w:r>
          </w:p>
        </w:tc>
      </w:tr>
      <w:tr w:rsidR="001C5CF6" w:rsidRPr="001C5CF6" w14:paraId="1EB2C42D" w14:textId="77777777" w:rsidTr="00F9557F">
        <w:tc>
          <w:tcPr>
            <w:tcW w:w="4725" w:type="dxa"/>
          </w:tcPr>
          <w:p w14:paraId="118EF3FD" w14:textId="77777777" w:rsidR="001C5CF6" w:rsidRPr="001C5CF6" w:rsidRDefault="001C5CF6" w:rsidP="001C5CF6">
            <w:pPr>
              <w:pStyle w:val="Body"/>
              <w:spacing w:after="0"/>
              <w:rPr>
                <w:rFonts w:ascii="Arial" w:hAnsi="Arial" w:cs="Arial"/>
              </w:rPr>
            </w:pPr>
            <w:r w:rsidRPr="001C5CF6">
              <w:rPr>
                <w:rFonts w:ascii="Arial" w:hAnsi="Arial" w:cs="Arial"/>
              </w:rPr>
              <w:t>5 %</w:t>
            </w:r>
          </w:p>
        </w:tc>
        <w:tc>
          <w:tcPr>
            <w:tcW w:w="4635" w:type="dxa"/>
          </w:tcPr>
          <w:p w14:paraId="3432DF71" w14:textId="77777777" w:rsidR="001C5CF6" w:rsidRPr="001C5CF6" w:rsidRDefault="001C5CF6" w:rsidP="001C5CF6">
            <w:pPr>
              <w:pStyle w:val="Body"/>
              <w:spacing w:after="0"/>
              <w:rPr>
                <w:rFonts w:ascii="Arial" w:hAnsi="Arial" w:cs="Arial"/>
              </w:rPr>
            </w:pPr>
            <w:r w:rsidRPr="001C5CF6">
              <w:rPr>
                <w:rFonts w:ascii="Arial" w:hAnsi="Arial" w:cs="Arial"/>
              </w:rPr>
              <w:t>5.5 cm</w:t>
            </w:r>
          </w:p>
        </w:tc>
      </w:tr>
      <w:tr w:rsidR="001C5CF6" w:rsidRPr="001C5CF6" w14:paraId="082D122C" w14:textId="77777777" w:rsidTr="00F9557F">
        <w:tc>
          <w:tcPr>
            <w:tcW w:w="4725" w:type="dxa"/>
          </w:tcPr>
          <w:p w14:paraId="4B1CA8D2" w14:textId="77777777" w:rsidR="001C5CF6" w:rsidRPr="001C5CF6" w:rsidRDefault="001C5CF6" w:rsidP="001C5CF6">
            <w:pPr>
              <w:pStyle w:val="Body"/>
              <w:spacing w:after="0"/>
              <w:rPr>
                <w:rFonts w:ascii="Arial" w:hAnsi="Arial" w:cs="Arial"/>
              </w:rPr>
            </w:pPr>
            <w:r w:rsidRPr="001C5CF6">
              <w:rPr>
                <w:rFonts w:ascii="Arial" w:hAnsi="Arial" w:cs="Arial"/>
              </w:rPr>
              <w:t>10 %</w:t>
            </w:r>
          </w:p>
        </w:tc>
        <w:tc>
          <w:tcPr>
            <w:tcW w:w="4635" w:type="dxa"/>
          </w:tcPr>
          <w:p w14:paraId="25855C27" w14:textId="77777777" w:rsidR="001C5CF6" w:rsidRPr="001C5CF6" w:rsidRDefault="001C5CF6" w:rsidP="001C5CF6">
            <w:pPr>
              <w:pStyle w:val="Body"/>
              <w:spacing w:after="0"/>
              <w:rPr>
                <w:rFonts w:ascii="Arial" w:hAnsi="Arial" w:cs="Arial"/>
              </w:rPr>
            </w:pPr>
            <w:r w:rsidRPr="001C5CF6">
              <w:rPr>
                <w:rFonts w:ascii="Arial" w:hAnsi="Arial" w:cs="Arial"/>
              </w:rPr>
              <w:t>7.0 cm</w:t>
            </w:r>
          </w:p>
        </w:tc>
      </w:tr>
      <w:tr w:rsidR="001C5CF6" w:rsidRPr="001C5CF6" w14:paraId="090CE19B" w14:textId="77777777" w:rsidTr="00F9557F">
        <w:tc>
          <w:tcPr>
            <w:tcW w:w="4725" w:type="dxa"/>
          </w:tcPr>
          <w:p w14:paraId="441ED8D5" w14:textId="77777777" w:rsidR="001C5CF6" w:rsidRPr="001C5CF6" w:rsidRDefault="001C5CF6" w:rsidP="001C5CF6">
            <w:pPr>
              <w:pStyle w:val="Body"/>
              <w:spacing w:after="0"/>
              <w:rPr>
                <w:rFonts w:ascii="Arial" w:hAnsi="Arial" w:cs="Arial"/>
              </w:rPr>
            </w:pPr>
            <w:r w:rsidRPr="001C5CF6">
              <w:rPr>
                <w:rFonts w:ascii="Arial" w:hAnsi="Arial" w:cs="Arial"/>
              </w:rPr>
              <w:t>15 %</w:t>
            </w:r>
          </w:p>
        </w:tc>
        <w:tc>
          <w:tcPr>
            <w:tcW w:w="4635" w:type="dxa"/>
          </w:tcPr>
          <w:p w14:paraId="6E713BB8" w14:textId="77777777" w:rsidR="001C5CF6" w:rsidRPr="001C5CF6" w:rsidRDefault="001C5CF6" w:rsidP="001C5CF6">
            <w:pPr>
              <w:pStyle w:val="Body"/>
              <w:spacing w:after="0"/>
              <w:rPr>
                <w:rFonts w:ascii="Arial" w:hAnsi="Arial" w:cs="Arial"/>
              </w:rPr>
            </w:pPr>
            <w:r w:rsidRPr="001C5CF6">
              <w:rPr>
                <w:rFonts w:ascii="Arial" w:hAnsi="Arial" w:cs="Arial"/>
              </w:rPr>
              <w:t>6.0 cm</w:t>
            </w:r>
          </w:p>
        </w:tc>
      </w:tr>
    </w:tbl>
    <w:p w14:paraId="4E37B02E" w14:textId="77777777" w:rsidR="001C5CF6" w:rsidRPr="001C5CF6" w:rsidRDefault="001C5CF6" w:rsidP="001C5CF6">
      <w:pPr>
        <w:pStyle w:val="Body"/>
        <w:spacing w:after="0"/>
        <w:rPr>
          <w:rFonts w:ascii="Arial" w:hAnsi="Arial" w:cs="Arial"/>
          <w:b/>
          <w:bCs/>
        </w:rPr>
      </w:pPr>
    </w:p>
    <w:p w14:paraId="496EA961" w14:textId="77777777" w:rsidR="001C5CF6" w:rsidRPr="001C5CF6" w:rsidRDefault="001C5CF6" w:rsidP="004B5681">
      <w:pPr>
        <w:pStyle w:val="Body"/>
        <w:spacing w:after="0"/>
        <w:jc w:val="center"/>
        <w:rPr>
          <w:rFonts w:ascii="Arial" w:hAnsi="Arial" w:cs="Arial"/>
          <w:b/>
          <w:bCs/>
        </w:rPr>
      </w:pPr>
      <w:r w:rsidRPr="001C5CF6">
        <w:rPr>
          <w:rFonts w:ascii="Arial" w:hAnsi="Arial" w:cs="Arial"/>
          <w:b/>
          <w:bCs/>
          <w:noProof/>
        </w:rPr>
        <w:drawing>
          <wp:inline distT="0" distB="0" distL="0" distR="0" wp14:anchorId="0F858AC1" wp14:editId="2D5E8B98">
            <wp:extent cx="4512448" cy="1900555"/>
            <wp:effectExtent l="0" t="0" r="0" b="0"/>
            <wp:docPr id="150432746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564D1D2" w14:textId="7098140D" w:rsidR="001C5CF6" w:rsidRPr="001C5CF6" w:rsidRDefault="001C5CF6" w:rsidP="001C5CF6">
      <w:pPr>
        <w:pStyle w:val="Body"/>
        <w:spacing w:after="0"/>
        <w:rPr>
          <w:rFonts w:ascii="Arial" w:hAnsi="Arial" w:cs="Arial"/>
          <w:b/>
          <w:bCs/>
        </w:rPr>
      </w:pPr>
      <w:r w:rsidRPr="001C5CF6">
        <w:rPr>
          <w:rFonts w:ascii="Arial" w:hAnsi="Arial" w:cs="Arial"/>
          <w:b/>
          <w:bCs/>
        </w:rPr>
        <w:t>Fig</w:t>
      </w:r>
      <w:r w:rsidR="004B5681">
        <w:rPr>
          <w:rFonts w:ascii="Arial" w:hAnsi="Arial" w:cs="Arial"/>
          <w:b/>
          <w:bCs/>
        </w:rPr>
        <w:t>.</w:t>
      </w:r>
      <w:r w:rsidRPr="001C5CF6">
        <w:rPr>
          <w:rFonts w:ascii="Arial" w:hAnsi="Arial" w:cs="Arial"/>
          <w:b/>
          <w:bCs/>
        </w:rPr>
        <w:t xml:space="preserve"> 12</w:t>
      </w:r>
      <w:r w:rsidR="004B5681">
        <w:rPr>
          <w:rFonts w:ascii="Arial" w:hAnsi="Arial" w:cs="Arial"/>
          <w:b/>
          <w:bCs/>
        </w:rPr>
        <w:t>.</w:t>
      </w:r>
      <w:r w:rsidR="004B5681">
        <w:rPr>
          <w:rFonts w:ascii="Arial" w:hAnsi="Arial" w:cs="Arial"/>
          <w:b/>
          <w:bCs/>
        </w:rPr>
        <w:tab/>
      </w:r>
      <w:r w:rsidRPr="001C5CF6">
        <w:rPr>
          <w:rFonts w:ascii="Arial" w:hAnsi="Arial" w:cs="Arial"/>
          <w:b/>
          <w:bCs/>
        </w:rPr>
        <w:t>Slump Test</w:t>
      </w:r>
      <w:bookmarkStart w:id="9" w:name="_Hlk177393806"/>
    </w:p>
    <w:p w14:paraId="77D2281F" w14:textId="77777777" w:rsidR="001C5CF6" w:rsidRPr="001C5CF6" w:rsidRDefault="001C5CF6" w:rsidP="001C5CF6">
      <w:pPr>
        <w:pStyle w:val="Body"/>
        <w:spacing w:after="0"/>
        <w:rPr>
          <w:rFonts w:ascii="Arial" w:hAnsi="Arial" w:cs="Arial"/>
          <w:b/>
          <w:bCs/>
        </w:rPr>
      </w:pPr>
    </w:p>
    <w:p w14:paraId="5FCA50E7" w14:textId="1215FE6F" w:rsidR="004B5681" w:rsidRPr="001C5CF6" w:rsidRDefault="004B5681" w:rsidP="004B5681">
      <w:pPr>
        <w:pStyle w:val="Body"/>
        <w:spacing w:after="0"/>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1C5CF6">
        <w:rPr>
          <w:rFonts w:ascii="Arial" w:hAnsi="Arial" w:cs="Arial"/>
          <w:b/>
          <w:bCs/>
          <w:sz w:val="22"/>
        </w:rPr>
        <w:t>Water Absorption of Concrete Cubes</w:t>
      </w:r>
    </w:p>
    <w:p w14:paraId="22B17E6D" w14:textId="77777777" w:rsidR="001C5CF6" w:rsidRPr="001C5CF6" w:rsidRDefault="001C5CF6" w:rsidP="001C5CF6">
      <w:pPr>
        <w:pStyle w:val="Body"/>
        <w:spacing w:after="0"/>
        <w:rPr>
          <w:rFonts w:ascii="Arial" w:hAnsi="Arial" w:cs="Arial"/>
        </w:rPr>
      </w:pPr>
      <w:r w:rsidRPr="001C5CF6">
        <w:rPr>
          <w:rFonts w:ascii="Arial" w:hAnsi="Arial" w:cs="Arial"/>
        </w:rPr>
        <w:t xml:space="preserve">The water absorption test was conducted to evaluate the influence of rice husk ash (RHA) on the durability potential of concrete. The results on Table 8 and Figure 13 showed that the control mix (0% RHA) recorded a water absorption of approximately 1.38%, while the 5% and 10% RHA mixes recorded lower values of 1.12% and 1.09%, respectively. This indicates that partial replacement of cement with RHA up to 10% improved the resistance of concrete to </w:t>
      </w:r>
      <w:r w:rsidRPr="001C5CF6">
        <w:rPr>
          <w:rFonts w:ascii="Arial" w:hAnsi="Arial" w:cs="Arial"/>
        </w:rPr>
        <w:lastRenderedPageBreak/>
        <w:t xml:space="preserve">water uptake. However, at 15% RHA replacement, water absorption increased to about 1.58%, which was even higher than that of the control mix. This suggests that higher proportions of RHA may have compromised the compactness of the matrix, creating pathways for water ingress. </w:t>
      </w:r>
    </w:p>
    <w:p w14:paraId="0E4BF0DF" w14:textId="77777777" w:rsidR="001C5CF6" w:rsidRPr="001C5CF6" w:rsidRDefault="001C5CF6" w:rsidP="001C5CF6">
      <w:pPr>
        <w:pStyle w:val="Body"/>
        <w:spacing w:after="0"/>
        <w:rPr>
          <w:rFonts w:ascii="Arial" w:hAnsi="Arial" w:cs="Arial"/>
        </w:rPr>
      </w:pPr>
    </w:p>
    <w:p w14:paraId="12644340" w14:textId="77777777" w:rsidR="001C5CF6" w:rsidRPr="001C5CF6" w:rsidRDefault="001C5CF6" w:rsidP="001C5CF6">
      <w:pPr>
        <w:pStyle w:val="Body"/>
        <w:spacing w:after="0"/>
        <w:rPr>
          <w:rFonts w:ascii="Arial" w:hAnsi="Arial" w:cs="Arial"/>
        </w:rPr>
      </w:pPr>
      <w:r w:rsidRPr="001C5CF6">
        <w:rPr>
          <w:rFonts w:ascii="Arial" w:hAnsi="Arial" w:cs="Arial"/>
        </w:rPr>
        <w:t xml:space="preserve">The reduced water absorption at 5% and 10% RHA can be attributed to the dual effect of micro-filling and pozzolanic activity (Paris </w:t>
      </w:r>
      <w:r w:rsidRPr="001C5CF6">
        <w:rPr>
          <w:rFonts w:ascii="Arial" w:hAnsi="Arial" w:cs="Arial"/>
          <w:i/>
          <w:iCs/>
        </w:rPr>
        <w:t>et al.,</w:t>
      </w:r>
      <w:r w:rsidRPr="001C5CF6">
        <w:rPr>
          <w:rFonts w:ascii="Arial" w:hAnsi="Arial" w:cs="Arial"/>
        </w:rPr>
        <w:t xml:space="preserve"> 2016; Odero </w:t>
      </w:r>
      <w:r w:rsidRPr="001C5CF6">
        <w:rPr>
          <w:rFonts w:ascii="Arial" w:hAnsi="Arial" w:cs="Arial"/>
          <w:i/>
          <w:iCs/>
        </w:rPr>
        <w:t>et al.,</w:t>
      </w:r>
      <w:r w:rsidRPr="001C5CF6">
        <w:rPr>
          <w:rFonts w:ascii="Arial" w:hAnsi="Arial" w:cs="Arial"/>
        </w:rPr>
        <w:t xml:space="preserve"> 2022; Hasan </w:t>
      </w:r>
      <w:r w:rsidRPr="001C5CF6">
        <w:rPr>
          <w:rFonts w:ascii="Arial" w:hAnsi="Arial" w:cs="Arial"/>
          <w:i/>
          <w:iCs/>
        </w:rPr>
        <w:t>et al.,</w:t>
      </w:r>
      <w:r w:rsidRPr="001C5CF6">
        <w:rPr>
          <w:rFonts w:ascii="Arial" w:hAnsi="Arial" w:cs="Arial"/>
        </w:rPr>
        <w:t xml:space="preserve"> 2022). Finely ground RHA particles act as fillers that block voids in the cement paste, thereby refining the pore structure (Barbhuiya </w:t>
      </w:r>
      <w:r w:rsidRPr="001C5CF6">
        <w:rPr>
          <w:rFonts w:ascii="Arial" w:hAnsi="Arial" w:cs="Arial"/>
          <w:i/>
          <w:iCs/>
        </w:rPr>
        <w:t>et al.,</w:t>
      </w:r>
      <w:r w:rsidRPr="001C5CF6">
        <w:rPr>
          <w:rFonts w:ascii="Arial" w:hAnsi="Arial" w:cs="Arial"/>
        </w:rPr>
        <w:t xml:space="preserve"> 2025). Additionally, the amorphous silica in RHA reacts with calcium hydroxide released during cement hydration to produce extra calcium silicate hydrate (C–S–H) gel. This gel densifies the microstructure and reduces the connectivity of pores, resulting in lower permeability and absorption (Barbhuiya </w:t>
      </w:r>
      <w:r w:rsidRPr="001C5CF6">
        <w:rPr>
          <w:rFonts w:ascii="Arial" w:hAnsi="Arial" w:cs="Arial"/>
          <w:i/>
          <w:iCs/>
        </w:rPr>
        <w:t>et al.,</w:t>
      </w:r>
      <w:r w:rsidRPr="001C5CF6">
        <w:rPr>
          <w:rFonts w:ascii="Arial" w:hAnsi="Arial" w:cs="Arial"/>
        </w:rPr>
        <w:t xml:space="preserve"> 2025). Conversely, at 15% replacement, the dilution of cementitious material likely limited the amount of calcium hydroxide available for reaction, while the higher ash content may have led to poor compaction and unreacted particles, ultimately increasing porosity and water uptake. </w:t>
      </w:r>
    </w:p>
    <w:p w14:paraId="2B74B67C" w14:textId="77777777" w:rsidR="001C5CF6" w:rsidRPr="001C5CF6" w:rsidRDefault="001C5CF6" w:rsidP="001C5CF6">
      <w:pPr>
        <w:pStyle w:val="Body"/>
        <w:spacing w:after="0"/>
        <w:rPr>
          <w:rFonts w:ascii="Arial" w:hAnsi="Arial" w:cs="Arial"/>
        </w:rPr>
      </w:pPr>
    </w:p>
    <w:p w14:paraId="37896A6B" w14:textId="77777777" w:rsidR="001C5CF6" w:rsidRPr="001C5CF6" w:rsidRDefault="001C5CF6" w:rsidP="001C5CF6">
      <w:pPr>
        <w:pStyle w:val="Body"/>
        <w:spacing w:after="0"/>
        <w:rPr>
          <w:rFonts w:ascii="Arial" w:hAnsi="Arial" w:cs="Arial"/>
        </w:rPr>
      </w:pPr>
      <w:r w:rsidRPr="001C5CF6">
        <w:rPr>
          <w:rFonts w:ascii="Arial" w:hAnsi="Arial" w:cs="Arial"/>
        </w:rPr>
        <w:t xml:space="preserve">These findings are in line with earlier research. Studies have reported that optimum RHA replacements of 5–15% generally reduce water absorption compared to control concrete. For instance, a study found that mixes with up to 15% RHA exhibited lower water absorption values than the control, while higher dosages led to increased absorption due to reduced cementitious content (Godwin </w:t>
      </w:r>
      <w:r w:rsidRPr="001C5CF6">
        <w:rPr>
          <w:rFonts w:ascii="Arial" w:hAnsi="Arial" w:cs="Arial"/>
          <w:i/>
          <w:iCs/>
        </w:rPr>
        <w:t>et al.,</w:t>
      </w:r>
      <w:r w:rsidRPr="001C5CF6">
        <w:rPr>
          <w:rFonts w:ascii="Arial" w:hAnsi="Arial" w:cs="Arial"/>
        </w:rPr>
        <w:t xml:space="preserve"> 2022). Similarly, Endale </w:t>
      </w:r>
      <w:r w:rsidRPr="001C5CF6">
        <w:rPr>
          <w:rFonts w:ascii="Arial" w:hAnsi="Arial" w:cs="Arial"/>
          <w:i/>
          <w:iCs/>
        </w:rPr>
        <w:t>et al.,</w:t>
      </w:r>
      <w:r w:rsidRPr="001C5CF6">
        <w:rPr>
          <w:rFonts w:ascii="Arial" w:hAnsi="Arial" w:cs="Arial"/>
        </w:rPr>
        <w:t xml:space="preserve"> (2022) reported a 14% reduction in water absorption at 20% RHA replacement, attributing this to improved packing density and pore refinement. On the other hand, Balraj </w:t>
      </w:r>
      <w:r w:rsidRPr="001C5CF6">
        <w:rPr>
          <w:rFonts w:ascii="Arial" w:hAnsi="Arial" w:cs="Arial"/>
          <w:i/>
          <w:iCs/>
        </w:rPr>
        <w:t>et al.,</w:t>
      </w:r>
      <w:r w:rsidRPr="001C5CF6">
        <w:rPr>
          <w:rFonts w:ascii="Arial" w:hAnsi="Arial" w:cs="Arial"/>
        </w:rPr>
        <w:t xml:space="preserve"> (2021) indicated that at 20 </w:t>
      </w:r>
      <w:proofErr w:type="spellStart"/>
      <w:r w:rsidRPr="001C5CF6">
        <w:rPr>
          <w:rFonts w:ascii="Arial" w:hAnsi="Arial" w:cs="Arial"/>
        </w:rPr>
        <w:t>wt</w:t>
      </w:r>
      <w:proofErr w:type="spellEnd"/>
      <w:r w:rsidRPr="001C5CF6">
        <w:rPr>
          <w:rFonts w:ascii="Arial" w:hAnsi="Arial" w:cs="Arial"/>
        </w:rPr>
        <w:t>% RHA, water absorption decreased nearly threefold compared to the control, but only when finely ground RHA was used. These variations emphasize that processing conditions, fineness, and dosage are critical determinants of RHA’s effectiveness. This results of this study confirm that incorporating RHA at 5–10% replacement reduces water absorption and enhances the impermeability of concrete, thereby improving durability. However, replacement beyond this threshold, as seen in the 15% mix, may have adverse effects unless adjustments in mix design or the use of admixtures are adopted. This highlights the importance of identifying an optimal dosage range for RHA in concrete to balance strength and durability.</w:t>
      </w:r>
    </w:p>
    <w:p w14:paraId="2DC46DA1" w14:textId="77777777" w:rsidR="001C5CF6" w:rsidRPr="001C5CF6" w:rsidRDefault="001C5CF6" w:rsidP="001C5CF6">
      <w:pPr>
        <w:pStyle w:val="Body"/>
        <w:spacing w:after="0"/>
        <w:rPr>
          <w:rFonts w:ascii="Arial" w:hAnsi="Arial" w:cs="Arial"/>
          <w:b/>
          <w:bCs/>
        </w:rPr>
      </w:pPr>
    </w:p>
    <w:p w14:paraId="63AE7C66" w14:textId="5DBD9289" w:rsidR="001C5CF6" w:rsidRPr="001C5CF6" w:rsidRDefault="001C5CF6" w:rsidP="001C5CF6">
      <w:pPr>
        <w:pStyle w:val="Body"/>
        <w:spacing w:after="0"/>
        <w:rPr>
          <w:rFonts w:ascii="Arial" w:hAnsi="Arial" w:cs="Arial"/>
          <w:b/>
          <w:bCs/>
        </w:rPr>
      </w:pPr>
      <w:r w:rsidRPr="001C5CF6">
        <w:rPr>
          <w:rFonts w:ascii="Arial" w:hAnsi="Arial" w:cs="Arial"/>
          <w:b/>
          <w:bCs/>
        </w:rPr>
        <w:t>Table 8</w:t>
      </w:r>
      <w:r w:rsidR="004B5681">
        <w:rPr>
          <w:rFonts w:ascii="Arial" w:hAnsi="Arial" w:cs="Arial"/>
          <w:b/>
          <w:bCs/>
        </w:rPr>
        <w:t>.</w:t>
      </w:r>
      <w:r w:rsidR="004B5681">
        <w:rPr>
          <w:rFonts w:ascii="Arial" w:hAnsi="Arial" w:cs="Arial"/>
          <w:b/>
          <w:bCs/>
        </w:rPr>
        <w:tab/>
      </w:r>
      <w:r w:rsidRPr="001C5CF6">
        <w:rPr>
          <w:rFonts w:ascii="Arial" w:hAnsi="Arial" w:cs="Arial"/>
          <w:b/>
          <w:bCs/>
        </w:rPr>
        <w:t>Water Absorption Concrete Cubes</w:t>
      </w:r>
    </w:p>
    <w:tbl>
      <w:tblPr>
        <w:tblStyle w:val="PlainTable2"/>
        <w:tblW w:w="8041" w:type="dxa"/>
        <w:tblLook w:val="0620" w:firstRow="1" w:lastRow="0" w:firstColumn="0" w:lastColumn="0" w:noHBand="1" w:noVBand="1"/>
      </w:tblPr>
      <w:tblGrid>
        <w:gridCol w:w="2103"/>
        <w:gridCol w:w="1348"/>
        <w:gridCol w:w="1553"/>
        <w:gridCol w:w="1553"/>
        <w:gridCol w:w="1484"/>
      </w:tblGrid>
      <w:tr w:rsidR="001C5CF6" w:rsidRPr="001C5CF6" w14:paraId="3C2CAB49" w14:textId="77777777" w:rsidTr="004B5681">
        <w:trPr>
          <w:cnfStyle w:val="100000000000" w:firstRow="1" w:lastRow="0" w:firstColumn="0" w:lastColumn="0" w:oddVBand="0" w:evenVBand="0" w:oddHBand="0" w:evenHBand="0" w:firstRowFirstColumn="0" w:firstRowLastColumn="0" w:lastRowFirstColumn="0" w:lastRowLastColumn="0"/>
          <w:trHeight w:val="188"/>
        </w:trPr>
        <w:tc>
          <w:tcPr>
            <w:tcW w:w="8041" w:type="dxa"/>
            <w:gridSpan w:val="5"/>
            <w:noWrap/>
          </w:tcPr>
          <w:p w14:paraId="37E736C3" w14:textId="77777777" w:rsidR="001C5CF6" w:rsidRPr="001C5CF6" w:rsidRDefault="001C5CF6" w:rsidP="001C5CF6">
            <w:pPr>
              <w:pStyle w:val="Body"/>
              <w:spacing w:after="0"/>
              <w:rPr>
                <w:rFonts w:ascii="Arial" w:hAnsi="Arial" w:cs="Arial"/>
              </w:rPr>
            </w:pPr>
            <w:r w:rsidRPr="001C5CF6">
              <w:rPr>
                <w:rFonts w:ascii="Arial" w:hAnsi="Arial" w:cs="Arial"/>
              </w:rPr>
              <w:t>WATER ABSORPTION</w:t>
            </w:r>
          </w:p>
        </w:tc>
      </w:tr>
      <w:tr w:rsidR="001C5CF6" w:rsidRPr="001C5CF6" w14:paraId="304D9E1E" w14:textId="77777777" w:rsidTr="004B5681">
        <w:trPr>
          <w:trHeight w:val="82"/>
        </w:trPr>
        <w:tc>
          <w:tcPr>
            <w:tcW w:w="2103" w:type="dxa"/>
            <w:noWrap/>
          </w:tcPr>
          <w:p w14:paraId="18B3DE32" w14:textId="77777777" w:rsidR="001C5CF6" w:rsidRPr="001C5CF6" w:rsidRDefault="001C5CF6" w:rsidP="001C5CF6">
            <w:pPr>
              <w:pStyle w:val="Body"/>
              <w:spacing w:after="0"/>
              <w:rPr>
                <w:rFonts w:ascii="Arial" w:hAnsi="Arial" w:cs="Arial"/>
                <w:b/>
                <w:bCs/>
              </w:rPr>
            </w:pPr>
            <w:r w:rsidRPr="001C5CF6">
              <w:rPr>
                <w:rFonts w:ascii="Arial" w:hAnsi="Arial" w:cs="Arial"/>
                <w:b/>
                <w:bCs/>
              </w:rPr>
              <w:t>Dosages</w:t>
            </w:r>
          </w:p>
        </w:tc>
        <w:tc>
          <w:tcPr>
            <w:tcW w:w="1348" w:type="dxa"/>
            <w:noWrap/>
          </w:tcPr>
          <w:p w14:paraId="475FF35D" w14:textId="77777777" w:rsidR="001C5CF6" w:rsidRPr="001C5CF6" w:rsidRDefault="001C5CF6" w:rsidP="001C5CF6">
            <w:pPr>
              <w:pStyle w:val="Body"/>
              <w:spacing w:after="0"/>
              <w:rPr>
                <w:rFonts w:ascii="Arial" w:hAnsi="Arial" w:cs="Arial"/>
                <w:b/>
                <w:bCs/>
              </w:rPr>
            </w:pPr>
            <w:r w:rsidRPr="001C5CF6">
              <w:rPr>
                <w:rFonts w:ascii="Arial" w:hAnsi="Arial" w:cs="Arial"/>
                <w:b/>
                <w:bCs/>
              </w:rPr>
              <w:t>0%</w:t>
            </w:r>
          </w:p>
        </w:tc>
        <w:tc>
          <w:tcPr>
            <w:tcW w:w="1553" w:type="dxa"/>
            <w:noWrap/>
          </w:tcPr>
          <w:p w14:paraId="47081066" w14:textId="77777777" w:rsidR="001C5CF6" w:rsidRPr="001C5CF6" w:rsidRDefault="001C5CF6" w:rsidP="001C5CF6">
            <w:pPr>
              <w:pStyle w:val="Body"/>
              <w:spacing w:after="0"/>
              <w:rPr>
                <w:rFonts w:ascii="Arial" w:hAnsi="Arial" w:cs="Arial"/>
                <w:b/>
                <w:bCs/>
              </w:rPr>
            </w:pPr>
            <w:r w:rsidRPr="001C5CF6">
              <w:rPr>
                <w:rFonts w:ascii="Arial" w:hAnsi="Arial" w:cs="Arial"/>
                <w:b/>
                <w:bCs/>
              </w:rPr>
              <w:t>5 %</w:t>
            </w:r>
          </w:p>
        </w:tc>
        <w:tc>
          <w:tcPr>
            <w:tcW w:w="1553" w:type="dxa"/>
            <w:noWrap/>
          </w:tcPr>
          <w:p w14:paraId="1B69FC30" w14:textId="77777777" w:rsidR="001C5CF6" w:rsidRPr="001C5CF6" w:rsidRDefault="001C5CF6" w:rsidP="001C5CF6">
            <w:pPr>
              <w:pStyle w:val="Body"/>
              <w:spacing w:after="0"/>
              <w:rPr>
                <w:rFonts w:ascii="Arial" w:hAnsi="Arial" w:cs="Arial"/>
                <w:b/>
                <w:bCs/>
              </w:rPr>
            </w:pPr>
            <w:r w:rsidRPr="001C5CF6">
              <w:rPr>
                <w:rFonts w:ascii="Arial" w:hAnsi="Arial" w:cs="Arial"/>
                <w:b/>
                <w:bCs/>
              </w:rPr>
              <w:t>10 %</w:t>
            </w:r>
          </w:p>
        </w:tc>
        <w:tc>
          <w:tcPr>
            <w:tcW w:w="1482" w:type="dxa"/>
            <w:noWrap/>
          </w:tcPr>
          <w:p w14:paraId="4BFC7CD4" w14:textId="77777777" w:rsidR="001C5CF6" w:rsidRPr="001C5CF6" w:rsidRDefault="001C5CF6" w:rsidP="001C5CF6">
            <w:pPr>
              <w:pStyle w:val="Body"/>
              <w:spacing w:after="0"/>
              <w:rPr>
                <w:rFonts w:ascii="Arial" w:hAnsi="Arial" w:cs="Arial"/>
                <w:b/>
                <w:bCs/>
              </w:rPr>
            </w:pPr>
            <w:r w:rsidRPr="001C5CF6">
              <w:rPr>
                <w:rFonts w:ascii="Arial" w:hAnsi="Arial" w:cs="Arial"/>
                <w:b/>
                <w:bCs/>
              </w:rPr>
              <w:t>15 %</w:t>
            </w:r>
          </w:p>
        </w:tc>
      </w:tr>
      <w:tr w:rsidR="001C5CF6" w:rsidRPr="001C5CF6" w14:paraId="0A3A0D61" w14:textId="77777777" w:rsidTr="004B5681">
        <w:trPr>
          <w:trHeight w:val="234"/>
        </w:trPr>
        <w:tc>
          <w:tcPr>
            <w:tcW w:w="2103" w:type="dxa"/>
            <w:noWrap/>
            <w:hideMark/>
          </w:tcPr>
          <w:p w14:paraId="2CB7BB38" w14:textId="77777777" w:rsidR="001C5CF6" w:rsidRPr="001C5CF6" w:rsidRDefault="001C5CF6" w:rsidP="001C5CF6">
            <w:pPr>
              <w:pStyle w:val="Body"/>
              <w:spacing w:after="0"/>
              <w:rPr>
                <w:rFonts w:ascii="Arial" w:hAnsi="Arial" w:cs="Arial"/>
              </w:rPr>
            </w:pPr>
            <w:r w:rsidRPr="001C5CF6">
              <w:rPr>
                <w:rFonts w:ascii="Arial" w:hAnsi="Arial" w:cs="Arial"/>
              </w:rPr>
              <w:t>Dry weight</w:t>
            </w:r>
          </w:p>
        </w:tc>
        <w:tc>
          <w:tcPr>
            <w:tcW w:w="1348" w:type="dxa"/>
            <w:noWrap/>
          </w:tcPr>
          <w:p w14:paraId="1F96106A" w14:textId="77777777" w:rsidR="001C5CF6" w:rsidRPr="001C5CF6" w:rsidRDefault="001C5CF6" w:rsidP="001C5CF6">
            <w:pPr>
              <w:pStyle w:val="Body"/>
              <w:spacing w:after="0"/>
              <w:rPr>
                <w:rFonts w:ascii="Arial" w:hAnsi="Arial" w:cs="Arial"/>
              </w:rPr>
            </w:pPr>
            <w:r w:rsidRPr="001C5CF6">
              <w:rPr>
                <w:rFonts w:ascii="Arial" w:hAnsi="Arial" w:cs="Arial"/>
              </w:rPr>
              <w:t>2.89</w:t>
            </w:r>
          </w:p>
        </w:tc>
        <w:tc>
          <w:tcPr>
            <w:tcW w:w="1553" w:type="dxa"/>
            <w:noWrap/>
          </w:tcPr>
          <w:p w14:paraId="5B006768" w14:textId="77777777" w:rsidR="001C5CF6" w:rsidRPr="001C5CF6" w:rsidRDefault="001C5CF6" w:rsidP="001C5CF6">
            <w:pPr>
              <w:pStyle w:val="Body"/>
              <w:spacing w:after="0"/>
              <w:rPr>
                <w:rFonts w:ascii="Arial" w:hAnsi="Arial" w:cs="Arial"/>
              </w:rPr>
            </w:pPr>
            <w:r w:rsidRPr="001C5CF6">
              <w:rPr>
                <w:rFonts w:ascii="Arial" w:hAnsi="Arial" w:cs="Arial"/>
              </w:rPr>
              <w:t>2.68</w:t>
            </w:r>
          </w:p>
        </w:tc>
        <w:tc>
          <w:tcPr>
            <w:tcW w:w="1553" w:type="dxa"/>
            <w:noWrap/>
          </w:tcPr>
          <w:p w14:paraId="398BE3C3" w14:textId="77777777" w:rsidR="001C5CF6" w:rsidRPr="001C5CF6" w:rsidRDefault="001C5CF6" w:rsidP="001C5CF6">
            <w:pPr>
              <w:pStyle w:val="Body"/>
              <w:spacing w:after="0"/>
              <w:rPr>
                <w:rFonts w:ascii="Arial" w:hAnsi="Arial" w:cs="Arial"/>
              </w:rPr>
            </w:pPr>
            <w:r w:rsidRPr="001C5CF6">
              <w:rPr>
                <w:rFonts w:ascii="Arial" w:hAnsi="Arial" w:cs="Arial"/>
              </w:rPr>
              <w:t>2.76</w:t>
            </w:r>
          </w:p>
        </w:tc>
        <w:tc>
          <w:tcPr>
            <w:tcW w:w="1482" w:type="dxa"/>
            <w:noWrap/>
          </w:tcPr>
          <w:p w14:paraId="46AD87A8" w14:textId="77777777" w:rsidR="001C5CF6" w:rsidRPr="001C5CF6" w:rsidRDefault="001C5CF6" w:rsidP="001C5CF6">
            <w:pPr>
              <w:pStyle w:val="Body"/>
              <w:spacing w:after="0"/>
              <w:rPr>
                <w:rFonts w:ascii="Arial" w:hAnsi="Arial" w:cs="Arial"/>
              </w:rPr>
            </w:pPr>
            <w:r w:rsidRPr="001C5CF6">
              <w:rPr>
                <w:rFonts w:ascii="Arial" w:hAnsi="Arial" w:cs="Arial"/>
              </w:rPr>
              <w:t>2.53</w:t>
            </w:r>
          </w:p>
        </w:tc>
      </w:tr>
      <w:tr w:rsidR="001C5CF6" w:rsidRPr="001C5CF6" w14:paraId="014E3DF6" w14:textId="77777777" w:rsidTr="004B5681">
        <w:trPr>
          <w:trHeight w:val="193"/>
        </w:trPr>
        <w:tc>
          <w:tcPr>
            <w:tcW w:w="2103" w:type="dxa"/>
            <w:noWrap/>
            <w:hideMark/>
          </w:tcPr>
          <w:p w14:paraId="701FF171" w14:textId="77777777" w:rsidR="001C5CF6" w:rsidRPr="001C5CF6" w:rsidRDefault="001C5CF6" w:rsidP="001C5CF6">
            <w:pPr>
              <w:pStyle w:val="Body"/>
              <w:spacing w:after="0"/>
              <w:rPr>
                <w:rFonts w:ascii="Arial" w:hAnsi="Arial" w:cs="Arial"/>
              </w:rPr>
            </w:pPr>
            <w:r w:rsidRPr="001C5CF6">
              <w:rPr>
                <w:rFonts w:ascii="Arial" w:hAnsi="Arial" w:cs="Arial"/>
              </w:rPr>
              <w:t>Weight after Curing</w:t>
            </w:r>
          </w:p>
        </w:tc>
        <w:tc>
          <w:tcPr>
            <w:tcW w:w="1348" w:type="dxa"/>
            <w:noWrap/>
          </w:tcPr>
          <w:p w14:paraId="147E6687" w14:textId="77777777" w:rsidR="001C5CF6" w:rsidRPr="001C5CF6" w:rsidRDefault="001C5CF6" w:rsidP="001C5CF6">
            <w:pPr>
              <w:pStyle w:val="Body"/>
              <w:spacing w:after="0"/>
              <w:rPr>
                <w:rFonts w:ascii="Arial" w:hAnsi="Arial" w:cs="Arial"/>
              </w:rPr>
            </w:pPr>
            <w:r w:rsidRPr="001C5CF6">
              <w:rPr>
                <w:rFonts w:ascii="Arial" w:hAnsi="Arial" w:cs="Arial"/>
              </w:rPr>
              <w:t>2.93</w:t>
            </w:r>
          </w:p>
        </w:tc>
        <w:tc>
          <w:tcPr>
            <w:tcW w:w="1553" w:type="dxa"/>
            <w:noWrap/>
          </w:tcPr>
          <w:p w14:paraId="503000DD" w14:textId="77777777" w:rsidR="001C5CF6" w:rsidRPr="001C5CF6" w:rsidRDefault="001C5CF6" w:rsidP="001C5CF6">
            <w:pPr>
              <w:pStyle w:val="Body"/>
              <w:spacing w:after="0"/>
              <w:rPr>
                <w:rFonts w:ascii="Arial" w:hAnsi="Arial" w:cs="Arial"/>
              </w:rPr>
            </w:pPr>
            <w:r w:rsidRPr="001C5CF6">
              <w:rPr>
                <w:rFonts w:ascii="Arial" w:hAnsi="Arial" w:cs="Arial"/>
              </w:rPr>
              <w:t>2.71</w:t>
            </w:r>
          </w:p>
        </w:tc>
        <w:tc>
          <w:tcPr>
            <w:tcW w:w="1553" w:type="dxa"/>
            <w:noWrap/>
          </w:tcPr>
          <w:p w14:paraId="5C9E047C" w14:textId="77777777" w:rsidR="001C5CF6" w:rsidRPr="001C5CF6" w:rsidRDefault="001C5CF6" w:rsidP="001C5CF6">
            <w:pPr>
              <w:pStyle w:val="Body"/>
              <w:spacing w:after="0"/>
              <w:rPr>
                <w:rFonts w:ascii="Arial" w:hAnsi="Arial" w:cs="Arial"/>
              </w:rPr>
            </w:pPr>
            <w:r w:rsidRPr="001C5CF6">
              <w:rPr>
                <w:rFonts w:ascii="Arial" w:hAnsi="Arial" w:cs="Arial"/>
              </w:rPr>
              <w:t>2.79</w:t>
            </w:r>
          </w:p>
        </w:tc>
        <w:tc>
          <w:tcPr>
            <w:tcW w:w="1482" w:type="dxa"/>
            <w:noWrap/>
          </w:tcPr>
          <w:p w14:paraId="351EFFF6" w14:textId="77777777" w:rsidR="001C5CF6" w:rsidRPr="001C5CF6" w:rsidRDefault="001C5CF6" w:rsidP="001C5CF6">
            <w:pPr>
              <w:pStyle w:val="Body"/>
              <w:spacing w:after="0"/>
              <w:rPr>
                <w:rFonts w:ascii="Arial" w:hAnsi="Arial" w:cs="Arial"/>
              </w:rPr>
            </w:pPr>
            <w:r w:rsidRPr="001C5CF6">
              <w:rPr>
                <w:rFonts w:ascii="Arial" w:hAnsi="Arial" w:cs="Arial"/>
              </w:rPr>
              <w:t>2.57</w:t>
            </w:r>
          </w:p>
        </w:tc>
      </w:tr>
      <w:tr w:rsidR="001C5CF6" w:rsidRPr="001C5CF6" w14:paraId="0801045B" w14:textId="77777777" w:rsidTr="004B5681">
        <w:trPr>
          <w:trHeight w:val="161"/>
        </w:trPr>
        <w:tc>
          <w:tcPr>
            <w:tcW w:w="2103" w:type="dxa"/>
            <w:noWrap/>
          </w:tcPr>
          <w:p w14:paraId="31ABC5AF" w14:textId="77777777" w:rsidR="001C5CF6" w:rsidRPr="001C5CF6" w:rsidRDefault="001C5CF6" w:rsidP="001C5CF6">
            <w:pPr>
              <w:pStyle w:val="Body"/>
              <w:spacing w:after="0"/>
              <w:rPr>
                <w:rFonts w:ascii="Arial" w:hAnsi="Arial" w:cs="Arial"/>
              </w:rPr>
            </w:pPr>
            <w:r w:rsidRPr="001C5CF6">
              <w:rPr>
                <w:rFonts w:ascii="Arial" w:hAnsi="Arial" w:cs="Arial"/>
              </w:rPr>
              <w:t>Water Absorption (%)</w:t>
            </w:r>
          </w:p>
        </w:tc>
        <w:tc>
          <w:tcPr>
            <w:tcW w:w="1348" w:type="dxa"/>
            <w:noWrap/>
          </w:tcPr>
          <w:p w14:paraId="25CB90B6" w14:textId="77777777" w:rsidR="001C5CF6" w:rsidRPr="001C5CF6" w:rsidRDefault="001C5CF6" w:rsidP="001C5CF6">
            <w:pPr>
              <w:pStyle w:val="Body"/>
              <w:spacing w:after="0"/>
              <w:rPr>
                <w:rFonts w:ascii="Arial" w:hAnsi="Arial" w:cs="Arial"/>
              </w:rPr>
            </w:pPr>
            <w:r w:rsidRPr="001C5CF6">
              <w:rPr>
                <w:rFonts w:ascii="Arial" w:hAnsi="Arial" w:cs="Arial"/>
              </w:rPr>
              <w:t>1.38</w:t>
            </w:r>
          </w:p>
        </w:tc>
        <w:tc>
          <w:tcPr>
            <w:tcW w:w="1553" w:type="dxa"/>
            <w:noWrap/>
          </w:tcPr>
          <w:p w14:paraId="0D7B55B2" w14:textId="77777777" w:rsidR="001C5CF6" w:rsidRPr="001C5CF6" w:rsidRDefault="001C5CF6" w:rsidP="001C5CF6">
            <w:pPr>
              <w:pStyle w:val="Body"/>
              <w:spacing w:after="0"/>
              <w:rPr>
                <w:rFonts w:ascii="Arial" w:hAnsi="Arial" w:cs="Arial"/>
              </w:rPr>
            </w:pPr>
            <w:r w:rsidRPr="001C5CF6">
              <w:rPr>
                <w:rFonts w:ascii="Arial" w:hAnsi="Arial" w:cs="Arial"/>
              </w:rPr>
              <w:t>1.12</w:t>
            </w:r>
          </w:p>
        </w:tc>
        <w:tc>
          <w:tcPr>
            <w:tcW w:w="1553" w:type="dxa"/>
            <w:noWrap/>
          </w:tcPr>
          <w:p w14:paraId="4F935901" w14:textId="77777777" w:rsidR="001C5CF6" w:rsidRPr="001C5CF6" w:rsidRDefault="001C5CF6" w:rsidP="001C5CF6">
            <w:pPr>
              <w:pStyle w:val="Body"/>
              <w:spacing w:after="0"/>
              <w:rPr>
                <w:rFonts w:ascii="Arial" w:hAnsi="Arial" w:cs="Arial"/>
              </w:rPr>
            </w:pPr>
            <w:r w:rsidRPr="001C5CF6">
              <w:rPr>
                <w:rFonts w:ascii="Arial" w:hAnsi="Arial" w:cs="Arial"/>
              </w:rPr>
              <w:t>1.09</w:t>
            </w:r>
          </w:p>
        </w:tc>
        <w:tc>
          <w:tcPr>
            <w:tcW w:w="1482" w:type="dxa"/>
            <w:noWrap/>
          </w:tcPr>
          <w:p w14:paraId="62CA5A8F" w14:textId="77777777" w:rsidR="001C5CF6" w:rsidRPr="001C5CF6" w:rsidRDefault="001C5CF6" w:rsidP="001C5CF6">
            <w:pPr>
              <w:pStyle w:val="Body"/>
              <w:spacing w:after="0"/>
              <w:rPr>
                <w:rFonts w:ascii="Arial" w:hAnsi="Arial" w:cs="Arial"/>
              </w:rPr>
            </w:pPr>
            <w:r w:rsidRPr="001C5CF6">
              <w:rPr>
                <w:rFonts w:ascii="Arial" w:hAnsi="Arial" w:cs="Arial"/>
              </w:rPr>
              <w:t>1.58</w:t>
            </w:r>
          </w:p>
        </w:tc>
      </w:tr>
    </w:tbl>
    <w:p w14:paraId="2A10D9D2" w14:textId="77777777" w:rsidR="001C5CF6" w:rsidRPr="001C5CF6" w:rsidRDefault="001C5CF6" w:rsidP="001C5CF6">
      <w:pPr>
        <w:pStyle w:val="Body"/>
        <w:spacing w:after="0"/>
        <w:rPr>
          <w:rFonts w:ascii="Arial" w:hAnsi="Arial" w:cs="Arial"/>
        </w:rPr>
      </w:pPr>
    </w:p>
    <w:p w14:paraId="6381210F" w14:textId="77777777" w:rsidR="001C5CF6" w:rsidRPr="001C5CF6" w:rsidRDefault="001C5CF6" w:rsidP="004B5681">
      <w:pPr>
        <w:pStyle w:val="Body"/>
        <w:spacing w:after="0"/>
        <w:jc w:val="center"/>
        <w:rPr>
          <w:rFonts w:ascii="Arial" w:hAnsi="Arial" w:cs="Arial"/>
        </w:rPr>
      </w:pPr>
      <w:r w:rsidRPr="001C5CF6">
        <w:rPr>
          <w:rFonts w:ascii="Arial" w:hAnsi="Arial" w:cs="Arial"/>
          <w:b/>
          <w:bCs/>
          <w:noProof/>
        </w:rPr>
        <w:drawing>
          <wp:inline distT="0" distB="0" distL="0" distR="0" wp14:anchorId="65DF1546" wp14:editId="3A3FFF3D">
            <wp:extent cx="4152452" cy="1699709"/>
            <wp:effectExtent l="0" t="0" r="635" b="15240"/>
            <wp:docPr id="4636310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DE1922" w14:textId="5F8E86FE" w:rsidR="001C5CF6" w:rsidRPr="001C5CF6" w:rsidRDefault="001C5CF6" w:rsidP="001C5CF6">
      <w:pPr>
        <w:pStyle w:val="Body"/>
        <w:spacing w:after="0"/>
        <w:rPr>
          <w:rFonts w:ascii="Arial" w:hAnsi="Arial" w:cs="Arial"/>
        </w:rPr>
      </w:pPr>
      <w:r w:rsidRPr="001C5CF6">
        <w:rPr>
          <w:rFonts w:ascii="Arial" w:hAnsi="Arial" w:cs="Arial"/>
          <w:b/>
          <w:bCs/>
        </w:rPr>
        <w:t>Fig</w:t>
      </w:r>
      <w:r w:rsidR="004B5681">
        <w:rPr>
          <w:rFonts w:ascii="Arial" w:hAnsi="Arial" w:cs="Arial"/>
          <w:b/>
          <w:bCs/>
        </w:rPr>
        <w:t>.</w:t>
      </w:r>
      <w:r w:rsidRPr="001C5CF6">
        <w:rPr>
          <w:rFonts w:ascii="Arial" w:hAnsi="Arial" w:cs="Arial"/>
          <w:b/>
          <w:bCs/>
        </w:rPr>
        <w:t>13</w:t>
      </w:r>
      <w:r w:rsidR="004B5681">
        <w:rPr>
          <w:rFonts w:ascii="Arial" w:hAnsi="Arial" w:cs="Arial"/>
          <w:b/>
          <w:bCs/>
        </w:rPr>
        <w:t>.</w:t>
      </w:r>
      <w:r w:rsidR="004B5681">
        <w:rPr>
          <w:rFonts w:ascii="Arial" w:hAnsi="Arial" w:cs="Arial"/>
          <w:b/>
          <w:bCs/>
        </w:rPr>
        <w:tab/>
      </w:r>
      <w:r w:rsidRPr="001C5CF6">
        <w:rPr>
          <w:rFonts w:ascii="Arial" w:hAnsi="Arial" w:cs="Arial"/>
          <w:b/>
          <w:bCs/>
        </w:rPr>
        <w:t>Water Absorption of Concrete Cubes</w:t>
      </w:r>
    </w:p>
    <w:p w14:paraId="24DB7131" w14:textId="77777777" w:rsidR="004B5681" w:rsidRDefault="004B5681" w:rsidP="001C5CF6">
      <w:pPr>
        <w:pStyle w:val="Body"/>
        <w:spacing w:after="0"/>
        <w:rPr>
          <w:rFonts w:ascii="Arial" w:hAnsi="Arial" w:cs="Arial"/>
          <w:b/>
          <w:bCs/>
        </w:rPr>
      </w:pPr>
    </w:p>
    <w:p w14:paraId="1171FFED" w14:textId="7FC96380" w:rsidR="004B5681" w:rsidRPr="001C5CF6" w:rsidRDefault="004B5681" w:rsidP="004B5681">
      <w:pPr>
        <w:pStyle w:val="Body"/>
        <w:spacing w:after="0"/>
        <w:rPr>
          <w:rFonts w:ascii="Arial" w:hAnsi="Arial" w:cs="Arial"/>
          <w:b/>
          <w:bCs/>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Pr="001C5CF6">
        <w:rPr>
          <w:rFonts w:ascii="Arial" w:hAnsi="Arial" w:cs="Arial"/>
          <w:b/>
          <w:bCs/>
          <w:sz w:val="22"/>
        </w:rPr>
        <w:t>Compressive Strength Test on Concrete Cubes</w:t>
      </w:r>
    </w:p>
    <w:p w14:paraId="6F5266D1" w14:textId="77777777" w:rsidR="001C5CF6" w:rsidRPr="001C5CF6" w:rsidRDefault="001C5CF6" w:rsidP="001C5CF6">
      <w:pPr>
        <w:pStyle w:val="Body"/>
        <w:spacing w:after="0"/>
        <w:rPr>
          <w:rFonts w:ascii="Arial" w:hAnsi="Arial" w:cs="Arial"/>
        </w:rPr>
      </w:pPr>
      <w:bookmarkStart w:id="10" w:name="_Hlk177393817"/>
      <w:bookmarkEnd w:id="9"/>
      <w:r w:rsidRPr="001C5CF6">
        <w:rPr>
          <w:rFonts w:ascii="Arial" w:hAnsi="Arial" w:cs="Arial"/>
        </w:rPr>
        <w:t>Table 9 and Figure 14 presents the compressive strength results of concrete cubes incorporating different proportions of rice husk ash (RHA) as a partial replacement for cement. The compressive strength of the control sample (0% RHA) increased progressively from 13.7 MPa at 7 days to 20.65 MPa at 28 days, showing the normal hydration process of cement. However, with the inclusion of RHA, a noticeable variation in strength development was observed, which reflects the influence of RHA’s pozzolanic reactivity and its interaction with the hydration products of cement.</w:t>
      </w:r>
    </w:p>
    <w:p w14:paraId="473F62C0" w14:textId="77777777" w:rsidR="001C5CF6" w:rsidRPr="001C5CF6" w:rsidRDefault="001C5CF6" w:rsidP="001C5CF6">
      <w:pPr>
        <w:pStyle w:val="Body"/>
        <w:spacing w:after="0"/>
        <w:rPr>
          <w:rFonts w:ascii="Arial" w:hAnsi="Arial" w:cs="Arial"/>
        </w:rPr>
      </w:pPr>
      <w:r w:rsidRPr="001C5CF6">
        <w:rPr>
          <w:rFonts w:ascii="Arial" w:hAnsi="Arial" w:cs="Arial"/>
        </w:rPr>
        <w:t>At 5% RHA replacement, the early strength (10.84 MPa at 7 days) was slightly lower than that of the control, but by 14 days, the compressive strength increased to 17.81 MPa, surpassing the control specimen at the same age. This improvement indicates that at lower replacement levels, the rice husk ash contributed to strength development through secondary pozzolanic reactions. The amorphous silica in the RHA reacts gradually with calcium hydroxide [Ca (OH)</w:t>
      </w:r>
      <w:r w:rsidRPr="001C5CF6">
        <w:rPr>
          <w:rFonts w:ascii="Arial" w:hAnsi="Arial" w:cs="Arial"/>
          <w:vertAlign w:val="subscript"/>
        </w:rPr>
        <w:t>2</w:t>
      </w:r>
      <w:r w:rsidRPr="001C5CF6">
        <w:rPr>
          <w:rFonts w:ascii="Arial" w:hAnsi="Arial" w:cs="Arial"/>
        </w:rPr>
        <w:t xml:space="preserve">] released during cement hydration to form additional calcium silicate hydrate (C–S–H) gel, which densifies the microstructure and improves the overall strength. The delayed strength gain at 5% replacement aligns with the typical </w:t>
      </w:r>
      <w:proofErr w:type="spellStart"/>
      <w:r w:rsidRPr="001C5CF6">
        <w:rPr>
          <w:rFonts w:ascii="Arial" w:hAnsi="Arial" w:cs="Arial"/>
        </w:rPr>
        <w:t>behaviour</w:t>
      </w:r>
      <w:proofErr w:type="spellEnd"/>
      <w:r w:rsidRPr="001C5CF6">
        <w:rPr>
          <w:rFonts w:ascii="Arial" w:hAnsi="Arial" w:cs="Arial"/>
        </w:rPr>
        <w:t xml:space="preserve"> of pozzolanic materials, where strength development continues over an extended curing period as the pozzolanic reaction progresses (Amin </w:t>
      </w:r>
      <w:r w:rsidRPr="001C5CF6">
        <w:rPr>
          <w:rFonts w:ascii="Arial" w:hAnsi="Arial" w:cs="Arial"/>
          <w:i/>
          <w:iCs/>
        </w:rPr>
        <w:t>et al.,</w:t>
      </w:r>
      <w:r w:rsidRPr="001C5CF6">
        <w:rPr>
          <w:rFonts w:ascii="Arial" w:hAnsi="Arial" w:cs="Arial"/>
        </w:rPr>
        <w:t xml:space="preserve"> 2019).</w:t>
      </w:r>
    </w:p>
    <w:p w14:paraId="65BC3F48" w14:textId="77777777" w:rsidR="001C5CF6" w:rsidRPr="001C5CF6" w:rsidRDefault="001C5CF6" w:rsidP="001C5CF6">
      <w:pPr>
        <w:pStyle w:val="Body"/>
        <w:spacing w:after="0"/>
        <w:rPr>
          <w:rFonts w:ascii="Arial" w:hAnsi="Arial" w:cs="Arial"/>
        </w:rPr>
      </w:pPr>
      <w:r w:rsidRPr="001C5CF6">
        <w:rPr>
          <w:rFonts w:ascii="Arial" w:hAnsi="Arial" w:cs="Arial"/>
        </w:rPr>
        <w:t xml:space="preserve">For the 10% RHA mix, the compressive strength remained relatively low across all curing ages (10.06 MPa at 7 days, 10.11 MPa at 14 days, and 13.50 MPa at 28 days). This suggests that while some pozzolanic activity occurred, it was insufficient to offset the reduction in cement content. The diminished strength at this level implies that either the RHA reactivity was limited, possibly due to incomplete combustion or inadequate fineness, or that excessive replacement reduced the amount of calcium hydroxide available for reaction. This implies that at this higher replacement level the pozzolanic reaction / contribution of RHA hasn’t fully compensated for the reduced cement content, or that the RHA is less reactive (possibly due to insufficient fineness or higher residual carbon). Many studies show an optimum at ~5 – 10% RHA; beyond that the dilution of cement dominates and strength drops (Zaid </w:t>
      </w:r>
      <w:r w:rsidRPr="001C5CF6">
        <w:rPr>
          <w:rFonts w:ascii="Arial" w:hAnsi="Arial" w:cs="Arial"/>
          <w:i/>
          <w:iCs/>
        </w:rPr>
        <w:t>et al.,</w:t>
      </w:r>
      <w:r w:rsidRPr="001C5CF6">
        <w:rPr>
          <w:rFonts w:ascii="Arial" w:hAnsi="Arial" w:cs="Arial"/>
        </w:rPr>
        <w:t xml:space="preserve"> 2021; Huang </w:t>
      </w:r>
      <w:r w:rsidRPr="001C5CF6">
        <w:rPr>
          <w:rFonts w:ascii="Arial" w:hAnsi="Arial" w:cs="Arial"/>
          <w:i/>
          <w:iCs/>
        </w:rPr>
        <w:t>et al.,</w:t>
      </w:r>
      <w:r w:rsidRPr="001C5CF6">
        <w:rPr>
          <w:rFonts w:ascii="Arial" w:hAnsi="Arial" w:cs="Arial"/>
        </w:rPr>
        <w:t xml:space="preserve"> 2023). Zaid </w:t>
      </w:r>
      <w:r w:rsidRPr="001C5CF6">
        <w:rPr>
          <w:rFonts w:ascii="Arial" w:hAnsi="Arial" w:cs="Arial"/>
          <w:i/>
          <w:iCs/>
        </w:rPr>
        <w:t>et al.,</w:t>
      </w:r>
      <w:r w:rsidRPr="001C5CF6">
        <w:rPr>
          <w:rFonts w:ascii="Arial" w:hAnsi="Arial" w:cs="Arial"/>
        </w:rPr>
        <w:t xml:space="preserve"> (2021) and Huang </w:t>
      </w:r>
      <w:r w:rsidRPr="001C5CF6">
        <w:rPr>
          <w:rFonts w:ascii="Arial" w:hAnsi="Arial" w:cs="Arial"/>
          <w:i/>
          <w:iCs/>
        </w:rPr>
        <w:t>et al.,</w:t>
      </w:r>
      <w:r w:rsidRPr="001C5CF6">
        <w:rPr>
          <w:rFonts w:ascii="Arial" w:hAnsi="Arial" w:cs="Arial"/>
        </w:rPr>
        <w:t xml:space="preserve"> (2023) reported that at a 10% RHA replacement, compressive strength decreased by approximately 9–13% compared to the control mix over respective ages, and higher replacements (15–20%) resulted in even more pronounced reductions (~20–28%). Furthermore, Kotwal </w:t>
      </w:r>
      <w:r w:rsidRPr="001C5CF6">
        <w:rPr>
          <w:rFonts w:ascii="Arial" w:hAnsi="Arial" w:cs="Arial"/>
          <w:i/>
          <w:iCs/>
        </w:rPr>
        <w:t>et al.,</w:t>
      </w:r>
      <w:r w:rsidRPr="001C5CF6">
        <w:rPr>
          <w:rFonts w:ascii="Arial" w:hAnsi="Arial" w:cs="Arial"/>
        </w:rPr>
        <w:t xml:space="preserve"> (2022) found that while concrete with 10–20% RHA maintains acceptable performance, the compressive strength generally diminishes as RHA content increases.</w:t>
      </w:r>
    </w:p>
    <w:p w14:paraId="01D49DB4" w14:textId="77777777" w:rsidR="001C5CF6" w:rsidRPr="001C5CF6" w:rsidRDefault="001C5CF6" w:rsidP="001C5CF6">
      <w:pPr>
        <w:pStyle w:val="Body"/>
        <w:spacing w:after="0"/>
        <w:rPr>
          <w:rFonts w:ascii="Arial" w:hAnsi="Arial" w:cs="Arial"/>
        </w:rPr>
      </w:pPr>
    </w:p>
    <w:p w14:paraId="54B2AF1F" w14:textId="77777777" w:rsidR="001C5CF6" w:rsidRPr="001C5CF6" w:rsidRDefault="001C5CF6" w:rsidP="001C5CF6">
      <w:pPr>
        <w:pStyle w:val="Body"/>
        <w:spacing w:after="0"/>
        <w:rPr>
          <w:rFonts w:ascii="Arial" w:hAnsi="Arial" w:cs="Arial"/>
        </w:rPr>
      </w:pPr>
      <w:r w:rsidRPr="001C5CF6">
        <w:rPr>
          <w:rFonts w:ascii="Arial" w:hAnsi="Arial" w:cs="Arial"/>
        </w:rPr>
        <w:t xml:space="preserve">At 15% RHA replacement, the compressive strength dropped significantly, reaching only 8.20 MPa after 28 days of curing. This reduction indicates that beyond a certain limit, the dilution effect of replacing cement with RHA outweighs the benefits of pozzolanic activity. The reduced calcium hydroxide content and increased unreacted ash particles at higher replacement levels likely contributed to a more porous and weaker matrix (Amin </w:t>
      </w:r>
      <w:r w:rsidRPr="001C5CF6">
        <w:rPr>
          <w:rFonts w:ascii="Arial" w:hAnsi="Arial" w:cs="Arial"/>
          <w:i/>
          <w:iCs/>
        </w:rPr>
        <w:t>et al.,</w:t>
      </w:r>
      <w:r w:rsidRPr="001C5CF6">
        <w:rPr>
          <w:rFonts w:ascii="Arial" w:hAnsi="Arial" w:cs="Arial"/>
        </w:rPr>
        <w:t xml:space="preserve"> 2019).</w:t>
      </w:r>
    </w:p>
    <w:p w14:paraId="65F522F6" w14:textId="77777777" w:rsidR="001C5CF6" w:rsidRPr="001C5CF6" w:rsidRDefault="001C5CF6" w:rsidP="001C5CF6">
      <w:pPr>
        <w:pStyle w:val="Body"/>
        <w:spacing w:after="0"/>
        <w:rPr>
          <w:rFonts w:ascii="Arial" w:hAnsi="Arial" w:cs="Arial"/>
          <w:b/>
          <w:bCs/>
        </w:rPr>
      </w:pPr>
    </w:p>
    <w:p w14:paraId="084B1B07" w14:textId="06212503" w:rsidR="001C5CF6" w:rsidRPr="001C5CF6" w:rsidRDefault="001C5CF6" w:rsidP="001C5CF6">
      <w:pPr>
        <w:pStyle w:val="Body"/>
        <w:spacing w:after="0"/>
        <w:rPr>
          <w:rFonts w:ascii="Arial" w:hAnsi="Arial" w:cs="Arial"/>
        </w:rPr>
      </w:pPr>
      <w:r w:rsidRPr="001C5CF6">
        <w:rPr>
          <w:rFonts w:ascii="Arial" w:hAnsi="Arial" w:cs="Arial"/>
          <w:b/>
          <w:bCs/>
        </w:rPr>
        <w:t>Table 9</w:t>
      </w:r>
      <w:r w:rsidR="004B5681">
        <w:rPr>
          <w:rFonts w:ascii="Arial" w:hAnsi="Arial" w:cs="Arial"/>
          <w:b/>
          <w:bCs/>
        </w:rPr>
        <w:t>.</w:t>
      </w:r>
      <w:r w:rsidR="004B5681">
        <w:rPr>
          <w:rFonts w:ascii="Arial" w:hAnsi="Arial" w:cs="Arial"/>
          <w:b/>
          <w:bCs/>
        </w:rPr>
        <w:tab/>
      </w:r>
      <w:r w:rsidRPr="001C5CF6">
        <w:rPr>
          <w:rFonts w:ascii="Arial" w:hAnsi="Arial" w:cs="Arial"/>
        </w:rPr>
        <w:t>Compressive Strength on Concrete Cubes</w:t>
      </w:r>
      <w:bookmarkEnd w:id="10"/>
    </w:p>
    <w:tbl>
      <w:tblPr>
        <w:tblStyle w:val="PlainTable2"/>
        <w:tblW w:w="7897" w:type="dxa"/>
        <w:tblLook w:val="0620" w:firstRow="1" w:lastRow="0" w:firstColumn="0" w:lastColumn="0" w:noHBand="1" w:noVBand="1"/>
      </w:tblPr>
      <w:tblGrid>
        <w:gridCol w:w="1638"/>
        <w:gridCol w:w="1752"/>
        <w:gridCol w:w="1525"/>
        <w:gridCol w:w="1525"/>
        <w:gridCol w:w="1457"/>
      </w:tblGrid>
      <w:tr w:rsidR="001C5CF6" w:rsidRPr="001C5CF6" w14:paraId="120C602B" w14:textId="77777777" w:rsidTr="004B5681">
        <w:trPr>
          <w:cnfStyle w:val="100000000000" w:firstRow="1" w:lastRow="0" w:firstColumn="0" w:lastColumn="0" w:oddVBand="0" w:evenVBand="0" w:oddHBand="0" w:evenHBand="0" w:firstRowFirstColumn="0" w:firstRowLastColumn="0" w:lastRowFirstColumn="0" w:lastRowLastColumn="0"/>
          <w:trHeight w:val="60"/>
        </w:trPr>
        <w:tc>
          <w:tcPr>
            <w:tcW w:w="7897" w:type="dxa"/>
            <w:gridSpan w:val="5"/>
            <w:noWrap/>
          </w:tcPr>
          <w:p w14:paraId="44587EFC" w14:textId="77777777" w:rsidR="001C5CF6" w:rsidRPr="001C5CF6" w:rsidRDefault="001C5CF6" w:rsidP="001C5CF6">
            <w:pPr>
              <w:pStyle w:val="Body"/>
              <w:spacing w:after="0"/>
              <w:rPr>
                <w:rFonts w:ascii="Arial" w:hAnsi="Arial" w:cs="Arial"/>
              </w:rPr>
            </w:pPr>
            <w:r w:rsidRPr="001C5CF6">
              <w:rPr>
                <w:rFonts w:ascii="Arial" w:hAnsi="Arial" w:cs="Arial"/>
              </w:rPr>
              <w:t>COMPRESSIVE STRENGTH TEST</w:t>
            </w:r>
          </w:p>
        </w:tc>
      </w:tr>
      <w:tr w:rsidR="001C5CF6" w:rsidRPr="001C5CF6" w14:paraId="605486AD" w14:textId="77777777" w:rsidTr="004B5681">
        <w:trPr>
          <w:trHeight w:val="92"/>
        </w:trPr>
        <w:tc>
          <w:tcPr>
            <w:tcW w:w="1638" w:type="dxa"/>
            <w:noWrap/>
          </w:tcPr>
          <w:p w14:paraId="7FD20432" w14:textId="77777777" w:rsidR="001C5CF6" w:rsidRPr="001C5CF6" w:rsidRDefault="001C5CF6" w:rsidP="001C5CF6">
            <w:pPr>
              <w:pStyle w:val="Body"/>
              <w:spacing w:after="0"/>
              <w:rPr>
                <w:rFonts w:ascii="Arial" w:hAnsi="Arial" w:cs="Arial"/>
                <w:b/>
                <w:bCs/>
              </w:rPr>
            </w:pPr>
            <w:r w:rsidRPr="001C5CF6">
              <w:rPr>
                <w:rFonts w:ascii="Arial" w:hAnsi="Arial" w:cs="Arial"/>
                <w:b/>
                <w:bCs/>
              </w:rPr>
              <w:t>CURUNG DAY</w:t>
            </w:r>
          </w:p>
        </w:tc>
        <w:tc>
          <w:tcPr>
            <w:tcW w:w="1752" w:type="dxa"/>
            <w:noWrap/>
          </w:tcPr>
          <w:p w14:paraId="36F7E34F" w14:textId="77777777" w:rsidR="001C5CF6" w:rsidRPr="001C5CF6" w:rsidRDefault="001C5CF6" w:rsidP="001C5CF6">
            <w:pPr>
              <w:pStyle w:val="Body"/>
              <w:spacing w:after="0"/>
              <w:rPr>
                <w:rFonts w:ascii="Arial" w:hAnsi="Arial" w:cs="Arial"/>
                <w:b/>
                <w:bCs/>
              </w:rPr>
            </w:pPr>
            <w:r w:rsidRPr="001C5CF6">
              <w:rPr>
                <w:rFonts w:ascii="Arial" w:hAnsi="Arial" w:cs="Arial"/>
                <w:b/>
                <w:bCs/>
              </w:rPr>
              <w:t>0%</w:t>
            </w:r>
          </w:p>
        </w:tc>
        <w:tc>
          <w:tcPr>
            <w:tcW w:w="1525" w:type="dxa"/>
            <w:noWrap/>
          </w:tcPr>
          <w:p w14:paraId="5ED80BF7" w14:textId="77777777" w:rsidR="001C5CF6" w:rsidRPr="001C5CF6" w:rsidRDefault="001C5CF6" w:rsidP="001C5CF6">
            <w:pPr>
              <w:pStyle w:val="Body"/>
              <w:spacing w:after="0"/>
              <w:rPr>
                <w:rFonts w:ascii="Arial" w:hAnsi="Arial" w:cs="Arial"/>
                <w:b/>
                <w:bCs/>
              </w:rPr>
            </w:pPr>
            <w:r w:rsidRPr="001C5CF6">
              <w:rPr>
                <w:rFonts w:ascii="Arial" w:hAnsi="Arial" w:cs="Arial"/>
                <w:b/>
                <w:bCs/>
              </w:rPr>
              <w:t>5 %</w:t>
            </w:r>
          </w:p>
        </w:tc>
        <w:tc>
          <w:tcPr>
            <w:tcW w:w="1525" w:type="dxa"/>
            <w:noWrap/>
          </w:tcPr>
          <w:p w14:paraId="214FDA66" w14:textId="77777777" w:rsidR="001C5CF6" w:rsidRPr="001C5CF6" w:rsidRDefault="001C5CF6" w:rsidP="001C5CF6">
            <w:pPr>
              <w:pStyle w:val="Body"/>
              <w:spacing w:after="0"/>
              <w:rPr>
                <w:rFonts w:ascii="Arial" w:hAnsi="Arial" w:cs="Arial"/>
                <w:b/>
                <w:bCs/>
              </w:rPr>
            </w:pPr>
            <w:r w:rsidRPr="001C5CF6">
              <w:rPr>
                <w:rFonts w:ascii="Arial" w:hAnsi="Arial" w:cs="Arial"/>
                <w:b/>
                <w:bCs/>
              </w:rPr>
              <w:t>10 %</w:t>
            </w:r>
          </w:p>
        </w:tc>
        <w:tc>
          <w:tcPr>
            <w:tcW w:w="1454" w:type="dxa"/>
            <w:noWrap/>
          </w:tcPr>
          <w:p w14:paraId="0F7A4277" w14:textId="77777777" w:rsidR="001C5CF6" w:rsidRPr="001C5CF6" w:rsidRDefault="001C5CF6" w:rsidP="001C5CF6">
            <w:pPr>
              <w:pStyle w:val="Body"/>
              <w:spacing w:after="0"/>
              <w:rPr>
                <w:rFonts w:ascii="Arial" w:hAnsi="Arial" w:cs="Arial"/>
                <w:b/>
                <w:bCs/>
              </w:rPr>
            </w:pPr>
            <w:r w:rsidRPr="001C5CF6">
              <w:rPr>
                <w:rFonts w:ascii="Arial" w:hAnsi="Arial" w:cs="Arial"/>
                <w:b/>
                <w:bCs/>
              </w:rPr>
              <w:t>15 %</w:t>
            </w:r>
          </w:p>
        </w:tc>
      </w:tr>
      <w:tr w:rsidR="001C5CF6" w:rsidRPr="001C5CF6" w14:paraId="5D9BA41B" w14:textId="77777777" w:rsidTr="004B5681">
        <w:trPr>
          <w:trHeight w:val="261"/>
        </w:trPr>
        <w:tc>
          <w:tcPr>
            <w:tcW w:w="1638" w:type="dxa"/>
            <w:noWrap/>
            <w:hideMark/>
          </w:tcPr>
          <w:p w14:paraId="25BF8493" w14:textId="77777777" w:rsidR="001C5CF6" w:rsidRPr="001C5CF6" w:rsidRDefault="001C5CF6" w:rsidP="001C5CF6">
            <w:pPr>
              <w:pStyle w:val="Body"/>
              <w:spacing w:after="0"/>
              <w:rPr>
                <w:rFonts w:ascii="Arial" w:hAnsi="Arial" w:cs="Arial"/>
              </w:rPr>
            </w:pPr>
            <w:r w:rsidRPr="001C5CF6">
              <w:rPr>
                <w:rFonts w:ascii="Arial" w:hAnsi="Arial" w:cs="Arial"/>
              </w:rPr>
              <w:t>7</w:t>
            </w:r>
          </w:p>
        </w:tc>
        <w:tc>
          <w:tcPr>
            <w:tcW w:w="1752" w:type="dxa"/>
            <w:noWrap/>
          </w:tcPr>
          <w:p w14:paraId="3F4DBA31" w14:textId="77777777" w:rsidR="001C5CF6" w:rsidRPr="001C5CF6" w:rsidRDefault="001C5CF6" w:rsidP="001C5CF6">
            <w:pPr>
              <w:pStyle w:val="Body"/>
              <w:spacing w:after="0"/>
              <w:rPr>
                <w:rFonts w:ascii="Arial" w:hAnsi="Arial" w:cs="Arial"/>
              </w:rPr>
            </w:pPr>
            <w:r w:rsidRPr="001C5CF6">
              <w:rPr>
                <w:rFonts w:ascii="Arial" w:hAnsi="Arial" w:cs="Arial"/>
              </w:rPr>
              <w:t>13.7</w:t>
            </w:r>
          </w:p>
        </w:tc>
        <w:tc>
          <w:tcPr>
            <w:tcW w:w="1525" w:type="dxa"/>
            <w:noWrap/>
          </w:tcPr>
          <w:p w14:paraId="23ECCBE2" w14:textId="77777777" w:rsidR="001C5CF6" w:rsidRPr="001C5CF6" w:rsidRDefault="001C5CF6" w:rsidP="001C5CF6">
            <w:pPr>
              <w:pStyle w:val="Body"/>
              <w:spacing w:after="0"/>
              <w:rPr>
                <w:rFonts w:ascii="Arial" w:hAnsi="Arial" w:cs="Arial"/>
              </w:rPr>
            </w:pPr>
            <w:r w:rsidRPr="001C5CF6">
              <w:rPr>
                <w:rFonts w:ascii="Arial" w:hAnsi="Arial" w:cs="Arial"/>
              </w:rPr>
              <w:t>10.84</w:t>
            </w:r>
          </w:p>
        </w:tc>
        <w:tc>
          <w:tcPr>
            <w:tcW w:w="1525" w:type="dxa"/>
            <w:noWrap/>
          </w:tcPr>
          <w:p w14:paraId="4E566E06" w14:textId="77777777" w:rsidR="001C5CF6" w:rsidRPr="001C5CF6" w:rsidRDefault="001C5CF6" w:rsidP="001C5CF6">
            <w:pPr>
              <w:pStyle w:val="Body"/>
              <w:spacing w:after="0"/>
              <w:rPr>
                <w:rFonts w:ascii="Arial" w:hAnsi="Arial" w:cs="Arial"/>
              </w:rPr>
            </w:pPr>
            <w:r w:rsidRPr="001C5CF6">
              <w:rPr>
                <w:rFonts w:ascii="Arial" w:hAnsi="Arial" w:cs="Arial"/>
              </w:rPr>
              <w:t>10.06</w:t>
            </w:r>
          </w:p>
        </w:tc>
        <w:tc>
          <w:tcPr>
            <w:tcW w:w="1454" w:type="dxa"/>
            <w:noWrap/>
          </w:tcPr>
          <w:p w14:paraId="64C7BC9C" w14:textId="77777777" w:rsidR="001C5CF6" w:rsidRPr="001C5CF6" w:rsidRDefault="001C5CF6" w:rsidP="001C5CF6">
            <w:pPr>
              <w:pStyle w:val="Body"/>
              <w:spacing w:after="0"/>
              <w:rPr>
                <w:rFonts w:ascii="Arial" w:hAnsi="Arial" w:cs="Arial"/>
              </w:rPr>
            </w:pPr>
            <w:r w:rsidRPr="001C5CF6">
              <w:rPr>
                <w:rFonts w:ascii="Arial" w:hAnsi="Arial" w:cs="Arial"/>
              </w:rPr>
              <w:t>5.69</w:t>
            </w:r>
          </w:p>
        </w:tc>
      </w:tr>
      <w:tr w:rsidR="001C5CF6" w:rsidRPr="001C5CF6" w14:paraId="5C61180C" w14:textId="77777777" w:rsidTr="004B5681">
        <w:trPr>
          <w:trHeight w:val="215"/>
        </w:trPr>
        <w:tc>
          <w:tcPr>
            <w:tcW w:w="1638" w:type="dxa"/>
            <w:noWrap/>
            <w:hideMark/>
          </w:tcPr>
          <w:p w14:paraId="36F38E2E" w14:textId="77777777" w:rsidR="001C5CF6" w:rsidRPr="001C5CF6" w:rsidRDefault="001C5CF6" w:rsidP="001C5CF6">
            <w:pPr>
              <w:pStyle w:val="Body"/>
              <w:spacing w:after="0"/>
              <w:rPr>
                <w:rFonts w:ascii="Arial" w:hAnsi="Arial" w:cs="Arial"/>
              </w:rPr>
            </w:pPr>
            <w:r w:rsidRPr="001C5CF6">
              <w:rPr>
                <w:rFonts w:ascii="Arial" w:hAnsi="Arial" w:cs="Arial"/>
              </w:rPr>
              <w:t>14</w:t>
            </w:r>
          </w:p>
        </w:tc>
        <w:tc>
          <w:tcPr>
            <w:tcW w:w="1752" w:type="dxa"/>
            <w:noWrap/>
          </w:tcPr>
          <w:p w14:paraId="38A2438B" w14:textId="77777777" w:rsidR="001C5CF6" w:rsidRPr="001C5CF6" w:rsidRDefault="001C5CF6" w:rsidP="001C5CF6">
            <w:pPr>
              <w:pStyle w:val="Body"/>
              <w:spacing w:after="0"/>
              <w:rPr>
                <w:rFonts w:ascii="Arial" w:hAnsi="Arial" w:cs="Arial"/>
              </w:rPr>
            </w:pPr>
            <w:r w:rsidRPr="001C5CF6">
              <w:rPr>
                <w:rFonts w:ascii="Arial" w:hAnsi="Arial" w:cs="Arial"/>
              </w:rPr>
              <w:t>14.62</w:t>
            </w:r>
          </w:p>
        </w:tc>
        <w:tc>
          <w:tcPr>
            <w:tcW w:w="1525" w:type="dxa"/>
            <w:noWrap/>
          </w:tcPr>
          <w:p w14:paraId="4405F440" w14:textId="77777777" w:rsidR="001C5CF6" w:rsidRPr="001C5CF6" w:rsidRDefault="001C5CF6" w:rsidP="001C5CF6">
            <w:pPr>
              <w:pStyle w:val="Body"/>
              <w:spacing w:after="0"/>
              <w:rPr>
                <w:rFonts w:ascii="Arial" w:hAnsi="Arial" w:cs="Arial"/>
              </w:rPr>
            </w:pPr>
            <w:r w:rsidRPr="001C5CF6">
              <w:rPr>
                <w:rFonts w:ascii="Arial" w:hAnsi="Arial" w:cs="Arial"/>
              </w:rPr>
              <w:t>17.81</w:t>
            </w:r>
          </w:p>
        </w:tc>
        <w:tc>
          <w:tcPr>
            <w:tcW w:w="1525" w:type="dxa"/>
            <w:noWrap/>
          </w:tcPr>
          <w:p w14:paraId="33782367" w14:textId="77777777" w:rsidR="001C5CF6" w:rsidRPr="001C5CF6" w:rsidRDefault="001C5CF6" w:rsidP="001C5CF6">
            <w:pPr>
              <w:pStyle w:val="Body"/>
              <w:spacing w:after="0"/>
              <w:rPr>
                <w:rFonts w:ascii="Arial" w:hAnsi="Arial" w:cs="Arial"/>
              </w:rPr>
            </w:pPr>
            <w:r w:rsidRPr="001C5CF6">
              <w:rPr>
                <w:rFonts w:ascii="Arial" w:hAnsi="Arial" w:cs="Arial"/>
              </w:rPr>
              <w:t>10.11</w:t>
            </w:r>
          </w:p>
        </w:tc>
        <w:tc>
          <w:tcPr>
            <w:tcW w:w="1454" w:type="dxa"/>
            <w:noWrap/>
          </w:tcPr>
          <w:p w14:paraId="22F2EC54" w14:textId="77777777" w:rsidR="001C5CF6" w:rsidRPr="001C5CF6" w:rsidRDefault="001C5CF6" w:rsidP="001C5CF6">
            <w:pPr>
              <w:pStyle w:val="Body"/>
              <w:spacing w:after="0"/>
              <w:rPr>
                <w:rFonts w:ascii="Arial" w:hAnsi="Arial" w:cs="Arial"/>
              </w:rPr>
            </w:pPr>
            <w:r w:rsidRPr="001C5CF6">
              <w:rPr>
                <w:rFonts w:ascii="Arial" w:hAnsi="Arial" w:cs="Arial"/>
              </w:rPr>
              <w:t>6.22</w:t>
            </w:r>
          </w:p>
        </w:tc>
      </w:tr>
      <w:tr w:rsidR="001C5CF6" w:rsidRPr="001C5CF6" w14:paraId="69A9E346" w14:textId="77777777" w:rsidTr="004B5681">
        <w:trPr>
          <w:trHeight w:val="180"/>
        </w:trPr>
        <w:tc>
          <w:tcPr>
            <w:tcW w:w="1638" w:type="dxa"/>
            <w:noWrap/>
          </w:tcPr>
          <w:p w14:paraId="13E473C8" w14:textId="77777777" w:rsidR="001C5CF6" w:rsidRPr="001C5CF6" w:rsidRDefault="001C5CF6" w:rsidP="001C5CF6">
            <w:pPr>
              <w:pStyle w:val="Body"/>
              <w:spacing w:after="0"/>
              <w:rPr>
                <w:rFonts w:ascii="Arial" w:hAnsi="Arial" w:cs="Arial"/>
              </w:rPr>
            </w:pPr>
            <w:r w:rsidRPr="001C5CF6">
              <w:rPr>
                <w:rFonts w:ascii="Arial" w:hAnsi="Arial" w:cs="Arial"/>
              </w:rPr>
              <w:t>28</w:t>
            </w:r>
          </w:p>
        </w:tc>
        <w:tc>
          <w:tcPr>
            <w:tcW w:w="1752" w:type="dxa"/>
            <w:noWrap/>
          </w:tcPr>
          <w:p w14:paraId="3E3A76F4" w14:textId="77777777" w:rsidR="001C5CF6" w:rsidRPr="001C5CF6" w:rsidRDefault="001C5CF6" w:rsidP="001C5CF6">
            <w:pPr>
              <w:pStyle w:val="Body"/>
              <w:spacing w:after="0"/>
              <w:rPr>
                <w:rFonts w:ascii="Arial" w:hAnsi="Arial" w:cs="Arial"/>
              </w:rPr>
            </w:pPr>
            <w:r w:rsidRPr="001C5CF6">
              <w:rPr>
                <w:rFonts w:ascii="Arial" w:hAnsi="Arial" w:cs="Arial"/>
              </w:rPr>
              <w:t>20.65</w:t>
            </w:r>
          </w:p>
        </w:tc>
        <w:tc>
          <w:tcPr>
            <w:tcW w:w="1525" w:type="dxa"/>
            <w:noWrap/>
          </w:tcPr>
          <w:p w14:paraId="63F24A6D" w14:textId="77777777" w:rsidR="001C5CF6" w:rsidRPr="001C5CF6" w:rsidRDefault="001C5CF6" w:rsidP="001C5CF6">
            <w:pPr>
              <w:pStyle w:val="Body"/>
              <w:spacing w:after="0"/>
              <w:rPr>
                <w:rFonts w:ascii="Arial" w:hAnsi="Arial" w:cs="Arial"/>
              </w:rPr>
            </w:pPr>
            <w:r w:rsidRPr="001C5CF6">
              <w:rPr>
                <w:rFonts w:ascii="Arial" w:hAnsi="Arial" w:cs="Arial"/>
              </w:rPr>
              <w:t>18.53</w:t>
            </w:r>
          </w:p>
        </w:tc>
        <w:tc>
          <w:tcPr>
            <w:tcW w:w="1525" w:type="dxa"/>
            <w:noWrap/>
          </w:tcPr>
          <w:p w14:paraId="611E24FE" w14:textId="77777777" w:rsidR="001C5CF6" w:rsidRPr="001C5CF6" w:rsidRDefault="001C5CF6" w:rsidP="001C5CF6">
            <w:pPr>
              <w:pStyle w:val="Body"/>
              <w:spacing w:after="0"/>
              <w:rPr>
                <w:rFonts w:ascii="Arial" w:hAnsi="Arial" w:cs="Arial"/>
              </w:rPr>
            </w:pPr>
            <w:r w:rsidRPr="001C5CF6">
              <w:rPr>
                <w:rFonts w:ascii="Arial" w:hAnsi="Arial" w:cs="Arial"/>
              </w:rPr>
              <w:t>13.5</w:t>
            </w:r>
          </w:p>
        </w:tc>
        <w:tc>
          <w:tcPr>
            <w:tcW w:w="1454" w:type="dxa"/>
            <w:noWrap/>
          </w:tcPr>
          <w:p w14:paraId="5C7E059B" w14:textId="77777777" w:rsidR="001C5CF6" w:rsidRPr="001C5CF6" w:rsidRDefault="001C5CF6" w:rsidP="001C5CF6">
            <w:pPr>
              <w:pStyle w:val="Body"/>
              <w:spacing w:after="0"/>
              <w:rPr>
                <w:rFonts w:ascii="Arial" w:hAnsi="Arial" w:cs="Arial"/>
              </w:rPr>
            </w:pPr>
            <w:r w:rsidRPr="001C5CF6">
              <w:rPr>
                <w:rFonts w:ascii="Arial" w:hAnsi="Arial" w:cs="Arial"/>
              </w:rPr>
              <w:t>8.2</w:t>
            </w:r>
          </w:p>
        </w:tc>
      </w:tr>
    </w:tbl>
    <w:p w14:paraId="3580D7B6" w14:textId="77777777" w:rsidR="001C5CF6" w:rsidRPr="001C5CF6" w:rsidRDefault="001C5CF6" w:rsidP="001C5CF6">
      <w:pPr>
        <w:pStyle w:val="Body"/>
        <w:spacing w:after="0"/>
        <w:rPr>
          <w:rFonts w:ascii="Arial" w:hAnsi="Arial" w:cs="Arial"/>
          <w:b/>
          <w:bCs/>
        </w:rPr>
      </w:pPr>
    </w:p>
    <w:p w14:paraId="2AE02E72" w14:textId="77777777" w:rsidR="001C5CF6" w:rsidRPr="001C5CF6" w:rsidRDefault="001C5CF6" w:rsidP="004B5681">
      <w:pPr>
        <w:pStyle w:val="Body"/>
        <w:spacing w:after="0"/>
        <w:jc w:val="center"/>
        <w:rPr>
          <w:rFonts w:ascii="Arial" w:hAnsi="Arial" w:cs="Arial"/>
          <w:b/>
          <w:bCs/>
        </w:rPr>
      </w:pPr>
      <w:r w:rsidRPr="001C5CF6">
        <w:rPr>
          <w:rFonts w:ascii="Arial" w:hAnsi="Arial" w:cs="Arial"/>
          <w:b/>
          <w:bCs/>
          <w:noProof/>
        </w:rPr>
        <w:lastRenderedPageBreak/>
        <w:drawing>
          <wp:inline distT="0" distB="0" distL="0" distR="0" wp14:anchorId="442F94B6" wp14:editId="7068E3E1">
            <wp:extent cx="4943192" cy="1828800"/>
            <wp:effectExtent l="0" t="0" r="10160" b="0"/>
            <wp:docPr id="34834118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629045" w14:textId="39C92897" w:rsidR="001C5CF6" w:rsidRPr="001C5CF6" w:rsidRDefault="001C5CF6" w:rsidP="001C5CF6">
      <w:pPr>
        <w:pStyle w:val="Body"/>
        <w:spacing w:after="0"/>
        <w:rPr>
          <w:rFonts w:ascii="Arial" w:hAnsi="Arial" w:cs="Arial"/>
          <w:b/>
          <w:bCs/>
        </w:rPr>
      </w:pPr>
      <w:r w:rsidRPr="001C5CF6">
        <w:rPr>
          <w:rFonts w:ascii="Arial" w:hAnsi="Arial" w:cs="Arial"/>
          <w:b/>
          <w:bCs/>
        </w:rPr>
        <w:t>Fig</w:t>
      </w:r>
      <w:r w:rsidR="004B5681" w:rsidRPr="004B5681">
        <w:rPr>
          <w:rFonts w:ascii="Arial" w:hAnsi="Arial" w:cs="Arial"/>
          <w:b/>
          <w:bCs/>
        </w:rPr>
        <w:t>. 1</w:t>
      </w:r>
      <w:r w:rsidR="004B5681">
        <w:rPr>
          <w:rFonts w:ascii="Arial" w:hAnsi="Arial" w:cs="Arial"/>
          <w:b/>
          <w:bCs/>
        </w:rPr>
        <w:t>4</w:t>
      </w:r>
      <w:r w:rsidR="004B5681" w:rsidRPr="004B5681">
        <w:rPr>
          <w:rFonts w:ascii="Arial" w:hAnsi="Arial" w:cs="Arial"/>
          <w:b/>
          <w:bCs/>
        </w:rPr>
        <w:t>.</w:t>
      </w:r>
      <w:r w:rsidR="004B5681" w:rsidRPr="004B5681">
        <w:rPr>
          <w:rFonts w:ascii="Arial" w:hAnsi="Arial" w:cs="Arial"/>
          <w:b/>
          <w:bCs/>
        </w:rPr>
        <w:tab/>
      </w:r>
      <w:r w:rsidRPr="001C5CF6">
        <w:rPr>
          <w:rFonts w:ascii="Arial" w:hAnsi="Arial" w:cs="Arial"/>
          <w:b/>
          <w:bCs/>
        </w:rPr>
        <w:t>Compressive strength of concrete</w:t>
      </w:r>
    </w:p>
    <w:p w14:paraId="6145A47F" w14:textId="77777777" w:rsidR="001C5CF6" w:rsidRPr="001C5CF6" w:rsidRDefault="001C5CF6" w:rsidP="001C5CF6">
      <w:pPr>
        <w:pStyle w:val="Body"/>
        <w:spacing w:after="0"/>
        <w:rPr>
          <w:rFonts w:ascii="Arial" w:hAnsi="Arial" w:cs="Arial"/>
        </w:rPr>
      </w:pPr>
    </w:p>
    <w:p w14:paraId="47C478AC" w14:textId="77777777" w:rsidR="001C5CF6" w:rsidRPr="001C5CF6" w:rsidRDefault="001C5CF6" w:rsidP="001C5CF6">
      <w:pPr>
        <w:pStyle w:val="Body"/>
        <w:spacing w:after="0"/>
        <w:rPr>
          <w:rFonts w:ascii="Arial" w:hAnsi="Arial" w:cs="Arial"/>
        </w:rPr>
      </w:pPr>
      <w:r w:rsidRPr="001C5CF6">
        <w:rPr>
          <w:rFonts w:ascii="Arial" w:hAnsi="Arial" w:cs="Arial"/>
        </w:rPr>
        <w:t xml:space="preserve">The strength trend demonstrates that the rice husk ash used in this study exhibits moderate pozzolanic reactivity. The results indicate that 5% replacement provides an optimum balance between strength development and cement substitution, while higher replacement levels (10–15%) lead to a loss in mechanical performance. The observed </w:t>
      </w:r>
      <w:proofErr w:type="spellStart"/>
      <w:r w:rsidRPr="001C5CF6">
        <w:rPr>
          <w:rFonts w:ascii="Arial" w:hAnsi="Arial" w:cs="Arial"/>
        </w:rPr>
        <w:t>behaviour</w:t>
      </w:r>
      <w:proofErr w:type="spellEnd"/>
      <w:r w:rsidRPr="001C5CF6">
        <w:rPr>
          <w:rFonts w:ascii="Arial" w:hAnsi="Arial" w:cs="Arial"/>
        </w:rPr>
        <w:t xml:space="preserve"> suggests that with proper burning and grinding to enhance reactivity, rice husk ash can serve as an effective supplementary cementitious material. Furthermore, extended curing periods may yield improved results due to the slow but continuous nature of the pozzolanic reaction. The observed strength trend indicates that the rice husk ash used has some pozzolanic reactivity (since 5% replacement improved the 14-day strength). However, it also suggests that above ~10% replacement the matrix becomes weaker, thus for your concrete mix the optimum RHA content lies around 5%, and further increases reduce effectiveness. It implies that the RHA must be properly processed (burning conditions, fineness) to ensure high reactivity. Finally, it shows that curing time is essential, since the pozzolanic reaction is slower than primary cement hydration, longer-term performance (beyond 28 days) might show further gains for the lower RHA replacement levels</w:t>
      </w:r>
    </w:p>
    <w:p w14:paraId="571DEFA6" w14:textId="77777777" w:rsidR="00790ADA" w:rsidRPr="00FB3A86" w:rsidRDefault="00790ADA" w:rsidP="00D75F47">
      <w:pPr>
        <w:pStyle w:val="Body"/>
        <w:spacing w:after="0"/>
        <w:rPr>
          <w:rFonts w:ascii="Arial" w:hAnsi="Arial" w:cs="Arial"/>
        </w:rPr>
      </w:pPr>
    </w:p>
    <w:p w14:paraId="327FA3A0" w14:textId="77777777" w:rsidR="00B01FCD" w:rsidRDefault="00000F8F" w:rsidP="00D75F47">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79D5F7" w14:textId="77777777" w:rsidR="00DA640F" w:rsidRDefault="00DA640F" w:rsidP="00DA640F">
      <w:pPr>
        <w:pStyle w:val="Body"/>
        <w:spacing w:after="0"/>
        <w:rPr>
          <w:rFonts w:ascii="Arial" w:hAnsi="Arial" w:cs="Arial"/>
        </w:rPr>
      </w:pPr>
      <w:r w:rsidRPr="00DA640F">
        <w:rPr>
          <w:rFonts w:ascii="Arial" w:hAnsi="Arial" w:cs="Arial"/>
        </w:rPr>
        <w:t>Based on the experimental investigation, the following conclusions are drawn:</w:t>
      </w:r>
    </w:p>
    <w:p w14:paraId="1AED3592" w14:textId="77777777" w:rsidR="00FF63DB" w:rsidRDefault="00DA640F" w:rsidP="00FF63DB">
      <w:pPr>
        <w:pStyle w:val="Body"/>
        <w:spacing w:after="0"/>
        <w:ind w:left="1440" w:hanging="720"/>
        <w:rPr>
          <w:rFonts w:ascii="Arial" w:hAnsi="Arial" w:cs="Arial"/>
        </w:rPr>
      </w:pPr>
      <w:proofErr w:type="spellStart"/>
      <w:r w:rsidRPr="00DA640F">
        <w:rPr>
          <w:rFonts w:ascii="Arial" w:hAnsi="Arial" w:cs="Arial"/>
        </w:rPr>
        <w:t>i</w:t>
      </w:r>
      <w:proofErr w:type="spellEnd"/>
      <w:r w:rsidRPr="00DA640F">
        <w:rPr>
          <w:rFonts w:ascii="Arial" w:hAnsi="Arial" w:cs="Arial"/>
        </w:rPr>
        <w:t>.</w:t>
      </w:r>
      <w:r w:rsidRPr="00DA640F">
        <w:rPr>
          <w:rFonts w:ascii="Arial" w:hAnsi="Arial" w:cs="Arial"/>
        </w:rPr>
        <w:tab/>
        <w:t>The slump of concrete increased with RHA content up to 10%, peaking at 7.0 cm, then decreased at 15%. This suggests improved flowability at moderate RHA levels, with diminishing returns at higher replacements due to increased surface area and water demand.</w:t>
      </w:r>
    </w:p>
    <w:p w14:paraId="242FDF62" w14:textId="77777777" w:rsidR="00FF63DB" w:rsidRDefault="00FF63DB" w:rsidP="00FF63DB">
      <w:pPr>
        <w:pStyle w:val="Body"/>
        <w:spacing w:after="0"/>
        <w:ind w:left="1440" w:hanging="720"/>
        <w:rPr>
          <w:rFonts w:ascii="Arial" w:hAnsi="Arial" w:cs="Arial"/>
        </w:rPr>
      </w:pPr>
      <w:r>
        <w:rPr>
          <w:rFonts w:ascii="Arial" w:hAnsi="Arial" w:cs="Arial"/>
          <w:bCs/>
        </w:rPr>
        <w:t>ii.</w:t>
      </w:r>
      <w:r>
        <w:rPr>
          <w:rFonts w:ascii="Arial" w:hAnsi="Arial" w:cs="Arial"/>
          <w:bCs/>
        </w:rPr>
        <w:tab/>
      </w:r>
      <w:r w:rsidRPr="00FF63DB">
        <w:rPr>
          <w:rFonts w:ascii="Arial" w:hAnsi="Arial" w:cs="Arial"/>
          <w:bCs/>
        </w:rPr>
        <w:t>Compressive strength increased with curing age for all mixes</w:t>
      </w:r>
      <w:r w:rsidRPr="00FF63DB">
        <w:rPr>
          <w:rFonts w:ascii="Arial" w:hAnsi="Arial" w:cs="Arial"/>
        </w:rPr>
        <w:t xml:space="preserve">, with the control concrete achieving the highest 28-day strength of </w:t>
      </w:r>
      <w:r w:rsidRPr="00FF63DB">
        <w:rPr>
          <w:rFonts w:ascii="Arial" w:hAnsi="Arial" w:cs="Arial"/>
          <w:bCs/>
        </w:rPr>
        <w:t>20.65 MPa</w:t>
      </w:r>
      <w:r w:rsidRPr="00FF63DB">
        <w:rPr>
          <w:rFonts w:ascii="Arial" w:hAnsi="Arial" w:cs="Arial"/>
        </w:rPr>
        <w:t>, representing normal hydration behavior of OPC.</w:t>
      </w:r>
    </w:p>
    <w:p w14:paraId="1EC71301" w14:textId="77777777" w:rsidR="00FF63DB" w:rsidRDefault="00FF63DB" w:rsidP="00FF63DB">
      <w:pPr>
        <w:pStyle w:val="Body"/>
        <w:spacing w:after="0"/>
        <w:ind w:left="1440" w:hanging="720"/>
        <w:rPr>
          <w:rFonts w:ascii="Arial" w:hAnsi="Arial" w:cs="Arial"/>
        </w:rPr>
      </w:pPr>
      <w:r>
        <w:rPr>
          <w:rFonts w:ascii="Arial" w:hAnsi="Arial" w:cs="Arial"/>
        </w:rPr>
        <w:t>iii.</w:t>
      </w:r>
      <w:r>
        <w:rPr>
          <w:rFonts w:ascii="Arial" w:hAnsi="Arial" w:cs="Arial"/>
        </w:rPr>
        <w:tab/>
      </w:r>
      <w:r w:rsidRPr="00FF63DB">
        <w:rPr>
          <w:rFonts w:ascii="Arial" w:hAnsi="Arial" w:cs="Arial"/>
        </w:rPr>
        <w:t>Concrete with 5% RHA replacement showed improved strength development at later ages, surpassing the control at 14 days and achieving comparable strength at 28 days, indicating effective pozzolanic contribution at low dosage.</w:t>
      </w:r>
    </w:p>
    <w:p w14:paraId="6DD6F462" w14:textId="77777777" w:rsidR="00FF63DB" w:rsidRDefault="00FF63DB" w:rsidP="00FF63DB">
      <w:pPr>
        <w:pStyle w:val="Body"/>
        <w:spacing w:after="0"/>
        <w:ind w:left="1440" w:hanging="720"/>
        <w:rPr>
          <w:rFonts w:ascii="Arial" w:hAnsi="Arial" w:cs="Arial"/>
        </w:rPr>
      </w:pPr>
      <w:r>
        <w:rPr>
          <w:rFonts w:ascii="Arial" w:hAnsi="Arial" w:cs="Arial"/>
        </w:rPr>
        <w:t>iv.</w:t>
      </w:r>
      <w:r>
        <w:rPr>
          <w:rFonts w:ascii="Arial" w:hAnsi="Arial" w:cs="Arial"/>
        </w:rPr>
        <w:tab/>
      </w:r>
      <w:r w:rsidRPr="00FF63DB">
        <w:rPr>
          <w:rFonts w:ascii="Arial" w:hAnsi="Arial" w:cs="Arial"/>
        </w:rPr>
        <w:t>Strength declined at 10% and 15% RHA replacements across all curing ages, suggesting that higher replacement levels reduced available cementitious compounds and increased matrix porosity.</w:t>
      </w:r>
    </w:p>
    <w:p w14:paraId="5B0B8909" w14:textId="73E4D926" w:rsidR="00DA640F" w:rsidRPr="00DA640F" w:rsidRDefault="00FF63DB" w:rsidP="00DA640F">
      <w:pPr>
        <w:pStyle w:val="Body"/>
        <w:spacing w:after="0"/>
        <w:ind w:left="1440" w:hanging="720"/>
        <w:rPr>
          <w:rFonts w:ascii="Arial" w:hAnsi="Arial" w:cs="Arial"/>
        </w:rPr>
      </w:pPr>
      <w:r>
        <w:rPr>
          <w:rFonts w:ascii="Arial" w:hAnsi="Arial" w:cs="Arial"/>
        </w:rPr>
        <w:t>v</w:t>
      </w:r>
      <w:r w:rsidR="00DA640F" w:rsidRPr="00DA640F">
        <w:rPr>
          <w:rFonts w:ascii="Arial" w:hAnsi="Arial" w:cs="Arial"/>
        </w:rPr>
        <w:t>.</w:t>
      </w:r>
      <w:r w:rsidR="00DA640F" w:rsidRPr="00DA640F">
        <w:rPr>
          <w:rFonts w:ascii="Arial" w:hAnsi="Arial" w:cs="Arial"/>
        </w:rPr>
        <w:tab/>
        <w:t>The reactivity of rice husk ash is evident and beneficial when incorporated into concrete at optimal replacement levels. While the strength development at lower RHA percentages (5–10%) aligns with pozzolanic expectations, higher replacements may require careful mix design and quality control to avoid adverse effects. The study demonstrates that properly processed RHA has the potential to partially replace cement in concrete, thereby reducing environmental impact, lowering cost, and promoting sustainable construction practices.</w:t>
      </w:r>
    </w:p>
    <w:p w14:paraId="53D7D04D" w14:textId="77777777" w:rsidR="00DA640F" w:rsidRDefault="00DA640F" w:rsidP="00DA640F">
      <w:pPr>
        <w:pStyle w:val="ConcHead"/>
        <w:spacing w:after="0"/>
        <w:jc w:val="both"/>
        <w:rPr>
          <w:rFonts w:ascii="Arial" w:hAnsi="Arial" w:cs="Arial"/>
        </w:rPr>
      </w:pPr>
    </w:p>
    <w:p w14:paraId="7D1B6D92" w14:textId="705A50BA" w:rsidR="00DA640F" w:rsidRDefault="00DA640F" w:rsidP="00DA640F">
      <w:pPr>
        <w:pStyle w:val="ConcHead"/>
        <w:spacing w:after="0"/>
        <w:jc w:val="both"/>
        <w:rPr>
          <w:rFonts w:ascii="Arial" w:hAnsi="Arial" w:cs="Arial"/>
        </w:rPr>
      </w:pPr>
      <w:r>
        <w:rPr>
          <w:rFonts w:ascii="Arial" w:hAnsi="Arial" w:cs="Arial"/>
        </w:rPr>
        <w:t>5. RECOMMENDATIONS</w:t>
      </w:r>
    </w:p>
    <w:p w14:paraId="4291B540" w14:textId="77777777" w:rsidR="00DA640F" w:rsidRPr="00DA640F" w:rsidRDefault="00DA640F" w:rsidP="00DA640F">
      <w:pPr>
        <w:pStyle w:val="Body"/>
        <w:spacing w:after="0"/>
        <w:rPr>
          <w:rFonts w:ascii="Arial" w:hAnsi="Arial" w:cs="Arial"/>
        </w:rPr>
      </w:pPr>
      <w:r w:rsidRPr="00DA640F">
        <w:rPr>
          <w:rFonts w:ascii="Arial" w:hAnsi="Arial" w:cs="Arial"/>
        </w:rPr>
        <w:t>Based on these conclusions the following recommendations are made</w:t>
      </w:r>
    </w:p>
    <w:p w14:paraId="60A3CF35" w14:textId="598099F6" w:rsidR="00DA640F" w:rsidRDefault="00DA640F" w:rsidP="00F9557F">
      <w:pPr>
        <w:pStyle w:val="Body"/>
        <w:spacing w:after="0"/>
        <w:ind w:left="1440" w:hanging="720"/>
        <w:rPr>
          <w:rFonts w:ascii="Arial" w:hAnsi="Arial" w:cs="Arial"/>
        </w:rPr>
      </w:pPr>
      <w:proofErr w:type="spellStart"/>
      <w:r w:rsidRPr="00DA640F">
        <w:rPr>
          <w:rFonts w:ascii="Arial" w:hAnsi="Arial" w:cs="Arial"/>
        </w:rPr>
        <w:t>i</w:t>
      </w:r>
      <w:proofErr w:type="spellEnd"/>
      <w:r w:rsidRPr="00DA640F">
        <w:rPr>
          <w:rFonts w:ascii="Arial" w:hAnsi="Arial" w:cs="Arial"/>
        </w:rPr>
        <w:t>.</w:t>
      </w:r>
      <w:r w:rsidRPr="00DA640F">
        <w:rPr>
          <w:rFonts w:ascii="Arial" w:hAnsi="Arial" w:cs="Arial"/>
        </w:rPr>
        <w:tab/>
      </w:r>
    </w:p>
    <w:p w14:paraId="31510974" w14:textId="2B8D23D1" w:rsidR="00DA640F" w:rsidRPr="00DA640F" w:rsidRDefault="00DA640F" w:rsidP="00DA640F">
      <w:pPr>
        <w:pStyle w:val="Body"/>
        <w:spacing w:after="0"/>
        <w:ind w:left="1440" w:hanging="720"/>
        <w:rPr>
          <w:rFonts w:ascii="Arial" w:hAnsi="Arial" w:cs="Arial"/>
        </w:rPr>
      </w:pPr>
      <w:r w:rsidRPr="00DA640F">
        <w:rPr>
          <w:rFonts w:ascii="Arial" w:hAnsi="Arial" w:cs="Arial"/>
        </w:rPr>
        <w:t>iii.</w:t>
      </w:r>
      <w:r w:rsidRPr="00DA640F">
        <w:rPr>
          <w:rFonts w:ascii="Arial" w:hAnsi="Arial" w:cs="Arial"/>
        </w:rPr>
        <w:tab/>
        <w:t>Conduct durability tests such as water absorption, chloride penetration, sulfate resistance, and microstructural analysis to assess the long-term benefits of RHA on concrete performance, as pozzolanic action improves pore refinement.</w:t>
      </w:r>
    </w:p>
    <w:p w14:paraId="5A5EEC0E" w14:textId="77777777" w:rsidR="00315186" w:rsidRPr="00315186" w:rsidRDefault="00315186" w:rsidP="00D75F47"/>
    <w:p w14:paraId="69CB9059" w14:textId="77777777" w:rsidR="00C142B3" w:rsidRPr="00F9557F" w:rsidRDefault="00C142B3" w:rsidP="00C142B3">
      <w:pPr>
        <w:rPr>
          <w:b/>
          <w:bCs/>
        </w:rPr>
      </w:pPr>
      <w:r w:rsidRPr="00F9557F">
        <w:rPr>
          <w:b/>
          <w:bCs/>
        </w:rPr>
        <w:t>Disclaimer (Artificial intelligence)</w:t>
      </w:r>
    </w:p>
    <w:p w14:paraId="22BDD3EE" w14:textId="77777777" w:rsidR="00C142B3" w:rsidRPr="00F9557F" w:rsidRDefault="00C142B3" w:rsidP="00F9557F">
      <w:pPr>
        <w:jc w:val="both"/>
      </w:pPr>
      <w:r w:rsidRPr="00F9557F">
        <w:t xml:space="preserve">Author(s) hereby </w:t>
      </w:r>
      <w:proofErr w:type="gramStart"/>
      <w:r w:rsidRPr="00F9557F">
        <w:t>declare</w:t>
      </w:r>
      <w:proofErr w:type="gramEnd"/>
      <w:r w:rsidRPr="00F9557F">
        <w:t xml:space="preserve"> that NO generative AI technologies such as Large Language Models (ChatGPT, COPILOT, etc.) and text-to-image generators have been used during the writing or editing of this manuscript. </w:t>
      </w:r>
    </w:p>
    <w:p w14:paraId="571769A4" w14:textId="03278340" w:rsidR="00860000" w:rsidRDefault="00860000" w:rsidP="00D75F47">
      <w:pPr>
        <w:pStyle w:val="ReferHead"/>
        <w:spacing w:after="0"/>
        <w:jc w:val="both"/>
        <w:rPr>
          <w:rFonts w:ascii="Arial" w:hAnsi="Arial" w:cs="Arial"/>
        </w:rPr>
      </w:pPr>
    </w:p>
    <w:p w14:paraId="1DE2D6F0" w14:textId="77777777" w:rsidR="0094708F" w:rsidRDefault="0094708F" w:rsidP="00D75F47">
      <w:pPr>
        <w:pStyle w:val="ReferHead"/>
        <w:spacing w:after="0"/>
        <w:jc w:val="both"/>
        <w:rPr>
          <w:rFonts w:ascii="Arial" w:hAnsi="Arial" w:cs="Arial"/>
        </w:rPr>
      </w:pPr>
    </w:p>
    <w:p w14:paraId="383C8D9F" w14:textId="77777777" w:rsidR="00B01FCD" w:rsidRDefault="00B01FCD" w:rsidP="00D75F47">
      <w:pPr>
        <w:pStyle w:val="ReferHead"/>
        <w:spacing w:after="0"/>
        <w:jc w:val="both"/>
        <w:rPr>
          <w:rFonts w:ascii="Arial" w:hAnsi="Arial" w:cs="Arial"/>
        </w:rPr>
      </w:pPr>
      <w:r w:rsidRPr="00FB3A86">
        <w:rPr>
          <w:rFonts w:ascii="Arial" w:hAnsi="Arial" w:cs="Arial"/>
        </w:rPr>
        <w:t>References</w:t>
      </w:r>
    </w:p>
    <w:p w14:paraId="4B680150" w14:textId="132803C1" w:rsidR="00DA640F" w:rsidRPr="00DA640F" w:rsidRDefault="00DA640F" w:rsidP="00DA640F">
      <w:pPr>
        <w:pStyle w:val="Body"/>
      </w:pPr>
      <w:r w:rsidRPr="00DA640F">
        <w:t>Abdias, M.</w:t>
      </w:r>
      <w:r>
        <w:t xml:space="preserve">, </w:t>
      </w:r>
      <w:r w:rsidRPr="00DA640F">
        <w:t>Blanche, M., Nana, U., Abanda, H., François, N. and Chrispin, P. (2023) River Sand Characterization for Its Use in Concrete: A Revue. </w:t>
      </w:r>
      <w:r w:rsidRPr="00DA640F">
        <w:rPr>
          <w:i/>
          <w:iCs/>
        </w:rPr>
        <w:t>Open Journal of Civil Engineering</w:t>
      </w:r>
      <w:r w:rsidRPr="00DA640F">
        <w:t xml:space="preserve">, 13, 353-366. </w:t>
      </w:r>
      <w:proofErr w:type="spellStart"/>
      <w:r w:rsidRPr="00DA640F">
        <w:t>doi</w:t>
      </w:r>
      <w:proofErr w:type="spellEnd"/>
      <w:r w:rsidRPr="00DA640F">
        <w:t>: </w:t>
      </w:r>
      <w:hyperlink r:id="rId27" w:tgtFrame="_blank" w:history="1">
        <w:r w:rsidRPr="00DA640F">
          <w:rPr>
            <w:rStyle w:val="Hyperlink"/>
            <w:color w:val="auto"/>
            <w:u w:val="none"/>
          </w:rPr>
          <w:t>10.4236/ojce.2023.132027</w:t>
        </w:r>
      </w:hyperlink>
      <w:r w:rsidRPr="00DA640F">
        <w:t>.</w:t>
      </w:r>
    </w:p>
    <w:p w14:paraId="70074608" w14:textId="065520DB" w:rsidR="00DA640F" w:rsidRPr="00DA640F" w:rsidRDefault="00DA640F" w:rsidP="00DA640F">
      <w:pPr>
        <w:pStyle w:val="Body"/>
      </w:pPr>
      <w:r w:rsidRPr="00DA640F">
        <w:t xml:space="preserve">Ajwad, A., Ahmad, S., Abdullah., Jaffar, S. T. A., Ilyas, U., Adnan, M. A., (2022). Effect of Using Rice Husk Ash as Partial Replacement of Cement on Properties of Fresh and Hardened Concrete || Architecture Civil Engineering Environment - The Silesian University of Technology </w:t>
      </w:r>
      <w:proofErr w:type="spellStart"/>
      <w:r w:rsidRPr="00DA640F">
        <w:t>doi</w:t>
      </w:r>
      <w:proofErr w:type="spellEnd"/>
      <w:r w:rsidRPr="00DA640F">
        <w:t>: 10.2478/ACEE-2022-0017</w:t>
      </w:r>
    </w:p>
    <w:p w14:paraId="6216974B" w14:textId="01A1EEEC" w:rsidR="00DA640F" w:rsidRPr="00DA640F" w:rsidRDefault="00DA640F" w:rsidP="00DA640F">
      <w:pPr>
        <w:pStyle w:val="Body"/>
      </w:pPr>
      <w:r w:rsidRPr="00DA640F">
        <w:t>Amin, M. N., Hissan, S., Shahzada, K., Khan, K., &amp; Bibi, T. (2019). Pozzolanic Reactivity and the Influence of Rice Husk Ash on Early-Age Autogenous Shrinkage of Concrete. </w:t>
      </w:r>
      <w:r w:rsidRPr="00DA640F">
        <w:rPr>
          <w:i/>
          <w:iCs/>
        </w:rPr>
        <w:t>Frontiers in Materials</w:t>
      </w:r>
      <w:r w:rsidRPr="00DA640F">
        <w:t>, </w:t>
      </w:r>
      <w:r w:rsidRPr="00DA640F">
        <w:rPr>
          <w:i/>
          <w:iCs/>
        </w:rPr>
        <w:t>6</w:t>
      </w:r>
      <w:r w:rsidRPr="00DA640F">
        <w:t>, 465448. https://doi.org/10.3389/fmats.2019.00150</w:t>
      </w:r>
    </w:p>
    <w:p w14:paraId="17B6F1CA" w14:textId="76D064B3" w:rsidR="00DA640F" w:rsidRPr="00DA640F" w:rsidRDefault="00DA640F" w:rsidP="00DA640F">
      <w:pPr>
        <w:pStyle w:val="Body"/>
      </w:pPr>
      <w:r w:rsidRPr="00DA640F">
        <w:t xml:space="preserve">Balraj A, Jayaraman D, Krishnan J, Alex J. (2021) Experimental investigation on water absorption capacity of RHA-added cement concrete. Environ Sci </w:t>
      </w:r>
      <w:proofErr w:type="spellStart"/>
      <w:r w:rsidRPr="00DA640F">
        <w:t>Pollut</w:t>
      </w:r>
      <w:proofErr w:type="spellEnd"/>
      <w:r w:rsidRPr="00DA640F">
        <w:t xml:space="preserve"> Res Int. 2021 Dec;28(45):63623-63628. </w:t>
      </w:r>
      <w:proofErr w:type="spellStart"/>
      <w:r w:rsidRPr="00DA640F">
        <w:t>doi</w:t>
      </w:r>
      <w:proofErr w:type="spellEnd"/>
      <w:r w:rsidRPr="00DA640F">
        <w:t xml:space="preserve">: 10.1007/s11356-020-11339-1. </w:t>
      </w:r>
      <w:proofErr w:type="spellStart"/>
      <w:r w:rsidRPr="00DA640F">
        <w:t>Epub</w:t>
      </w:r>
      <w:proofErr w:type="spellEnd"/>
      <w:r w:rsidRPr="00DA640F">
        <w:t xml:space="preserve"> 2020 Oct 23. PMID: 33097994. </w:t>
      </w:r>
    </w:p>
    <w:p w14:paraId="6066882E" w14:textId="36E8F813" w:rsidR="00DA640F" w:rsidRPr="00DA640F" w:rsidRDefault="00DA640F" w:rsidP="00DA640F">
      <w:pPr>
        <w:pStyle w:val="Body"/>
      </w:pPr>
      <w:r w:rsidRPr="00DA640F">
        <w:t>Barbhuiya, S., Das, B.B., Adak, D. </w:t>
      </w:r>
      <w:r w:rsidRPr="00DA640F">
        <w:rPr>
          <w:i/>
          <w:iCs/>
        </w:rPr>
        <w:t>et al.</w:t>
      </w:r>
      <w:r w:rsidRPr="00DA640F">
        <w:t> (2025) Rice husk ash in structural concrete: influence on strength, durability and sustainability. </w:t>
      </w:r>
      <w:proofErr w:type="spellStart"/>
      <w:r w:rsidRPr="00DA640F">
        <w:rPr>
          <w:i/>
          <w:iCs/>
        </w:rPr>
        <w:t>Discov</w:t>
      </w:r>
      <w:proofErr w:type="spellEnd"/>
      <w:r w:rsidRPr="00DA640F">
        <w:rPr>
          <w:i/>
          <w:iCs/>
        </w:rPr>
        <w:t xml:space="preserve">. </w:t>
      </w:r>
      <w:proofErr w:type="spellStart"/>
      <w:r w:rsidRPr="00DA640F">
        <w:rPr>
          <w:i/>
          <w:iCs/>
        </w:rPr>
        <w:t>Concr</w:t>
      </w:r>
      <w:proofErr w:type="spellEnd"/>
      <w:r w:rsidRPr="00DA640F">
        <w:rPr>
          <w:i/>
          <w:iCs/>
        </w:rPr>
        <w:t>. Cem.</w:t>
      </w:r>
      <w:r w:rsidRPr="00DA640F">
        <w:t> </w:t>
      </w:r>
      <w:r w:rsidRPr="00DA640F">
        <w:rPr>
          <w:b/>
          <w:bCs/>
        </w:rPr>
        <w:t>1</w:t>
      </w:r>
      <w:r w:rsidRPr="00DA640F">
        <w:t xml:space="preserve">, 14 (2025). https://doi.org/10.1007/s44416-025-00013-9 </w:t>
      </w:r>
    </w:p>
    <w:p w14:paraId="58833695" w14:textId="342060EB" w:rsidR="00DA640F" w:rsidRPr="00DA640F" w:rsidRDefault="00DA640F" w:rsidP="00DA640F">
      <w:pPr>
        <w:pStyle w:val="Body"/>
      </w:pPr>
      <w:r w:rsidRPr="00DA640F">
        <w:t>Das, S. K., Mishra, J., Singh, S. K., Mustakim, S. M., Patel, A., Das, S. K., &amp; Behera, U. (2020). Characterization and utilization of rice husk ash (RHA) in fly ash–Blast furnace slag based geopoly</w:t>
      </w:r>
      <w:r w:rsidRPr="00964E2F">
        <w:rPr>
          <w:color w:val="000000" w:themeColor="text1"/>
        </w:rPr>
        <w:t>mer concrete for sustainable future. </w:t>
      </w:r>
      <w:r w:rsidRPr="00964E2F">
        <w:rPr>
          <w:i/>
          <w:iCs/>
          <w:color w:val="000000" w:themeColor="text1"/>
        </w:rPr>
        <w:t>Materials Today: Proceedings</w:t>
      </w:r>
      <w:r w:rsidRPr="00964E2F">
        <w:rPr>
          <w:color w:val="000000" w:themeColor="text1"/>
        </w:rPr>
        <w:t>, </w:t>
      </w:r>
      <w:r w:rsidRPr="00964E2F">
        <w:rPr>
          <w:i/>
          <w:iCs/>
          <w:color w:val="000000" w:themeColor="text1"/>
        </w:rPr>
        <w:t>33</w:t>
      </w:r>
      <w:r w:rsidRPr="00964E2F">
        <w:rPr>
          <w:color w:val="000000" w:themeColor="text1"/>
        </w:rPr>
        <w:t>, 5162-5167.</w:t>
      </w:r>
      <w:r w:rsidR="00964E2F" w:rsidRPr="00964E2F">
        <w:rPr>
          <w:color w:val="000000" w:themeColor="text1"/>
        </w:rPr>
        <w:t xml:space="preserve"> </w:t>
      </w:r>
      <w:hyperlink r:id="rId28" w:tgtFrame="_blank" w:tooltip="Persistent link using digital object identifier" w:history="1">
        <w:r w:rsidR="00964E2F" w:rsidRPr="00964E2F">
          <w:rPr>
            <w:rStyle w:val="Hyperlink"/>
            <w:color w:val="000000" w:themeColor="text1"/>
            <w:u w:val="none"/>
          </w:rPr>
          <w:t>https://doi.org/10.1016/j.matpr.2020.02.870</w:t>
        </w:r>
      </w:hyperlink>
      <w:r w:rsidRPr="00DA640F">
        <w:t xml:space="preserve"> </w:t>
      </w:r>
    </w:p>
    <w:p w14:paraId="3CD1E538" w14:textId="52DD8E27" w:rsidR="00DA640F" w:rsidRPr="00DA640F" w:rsidRDefault="00DA640F" w:rsidP="00DA640F">
      <w:pPr>
        <w:pStyle w:val="Body"/>
      </w:pPr>
      <w:proofErr w:type="spellStart"/>
      <w:r w:rsidRPr="00DA640F">
        <w:t>Dhoble</w:t>
      </w:r>
      <w:proofErr w:type="spellEnd"/>
      <w:r w:rsidRPr="00DA640F">
        <w:t>, Y., &amp; Ahmed, S. (2018). Study on cementitious properties of steel slag by partial replacement of cement. Global Journal of Engineering Science and Researches, 5(7), 213-220</w:t>
      </w:r>
      <w:r w:rsidR="00964E2F" w:rsidRPr="00964E2F">
        <w:t xml:space="preserve">Available at </w:t>
      </w:r>
      <w:r w:rsidR="00964E2F" w:rsidRPr="00964E2F">
        <w:rPr>
          <w:color w:val="000000" w:themeColor="text1"/>
        </w:rPr>
        <w:t>SSRN: </w:t>
      </w:r>
      <w:hyperlink r:id="rId29" w:tgtFrame="_blank" w:history="1">
        <w:r w:rsidR="00964E2F" w:rsidRPr="00964E2F">
          <w:rPr>
            <w:rStyle w:val="Hyperlink"/>
            <w:color w:val="000000" w:themeColor="text1"/>
            <w:u w:val="none"/>
          </w:rPr>
          <w:t>https://ssrn.com/abstract=3326311</w:t>
        </w:r>
      </w:hyperlink>
    </w:p>
    <w:p w14:paraId="5B536F2E" w14:textId="00026C40" w:rsidR="00DA640F" w:rsidRPr="00DA640F" w:rsidRDefault="00DA640F" w:rsidP="00DA640F">
      <w:pPr>
        <w:pStyle w:val="Body"/>
      </w:pPr>
      <w:r w:rsidRPr="00DA640F">
        <w:t xml:space="preserve">Endale, S. A., </w:t>
      </w:r>
      <w:proofErr w:type="spellStart"/>
      <w:r w:rsidRPr="00DA640F">
        <w:t>Taffese</w:t>
      </w:r>
      <w:proofErr w:type="spellEnd"/>
      <w:r w:rsidRPr="00DA640F">
        <w:t xml:space="preserve">, W. Z., Vo, D., &amp; </w:t>
      </w:r>
      <w:proofErr w:type="spellStart"/>
      <w:r w:rsidRPr="00DA640F">
        <w:t>Yehualaw</w:t>
      </w:r>
      <w:proofErr w:type="spellEnd"/>
      <w:r w:rsidRPr="00DA640F">
        <w:t xml:space="preserve">, M. D. (2022). Rice Husk Ash in Concrete. </w:t>
      </w:r>
      <w:r w:rsidRPr="00DA640F">
        <w:rPr>
          <w:i/>
          <w:iCs/>
        </w:rPr>
        <w:t>Sustainability</w:t>
      </w:r>
      <w:r w:rsidRPr="00DA640F">
        <w:t xml:space="preserve">, </w:t>
      </w:r>
      <w:r w:rsidRPr="00DA640F">
        <w:rPr>
          <w:i/>
          <w:iCs/>
        </w:rPr>
        <w:t>15</w:t>
      </w:r>
      <w:r w:rsidRPr="00DA640F">
        <w:t xml:space="preserve">(1), 137. </w:t>
      </w:r>
      <w:hyperlink r:id="rId30" w:history="1">
        <w:r w:rsidRPr="00DA640F">
          <w:rPr>
            <w:rStyle w:val="Hyperlink"/>
            <w:color w:val="auto"/>
            <w:u w:val="none"/>
          </w:rPr>
          <w:t>https://doi.org/10.3390/su15010137</w:t>
        </w:r>
      </w:hyperlink>
    </w:p>
    <w:p w14:paraId="2ADD2FBF" w14:textId="3099FBB2" w:rsidR="00DA640F" w:rsidRPr="00DA640F" w:rsidRDefault="00DA640F" w:rsidP="00DA640F">
      <w:pPr>
        <w:pStyle w:val="Body"/>
      </w:pPr>
      <w:r w:rsidRPr="00DA640F">
        <w:t xml:space="preserve">Godwin A. </w:t>
      </w:r>
      <w:proofErr w:type="gramStart"/>
      <w:r w:rsidRPr="00DA640F">
        <w:t>Akeke ,</w:t>
      </w:r>
      <w:proofErr w:type="gramEnd"/>
      <w:r w:rsidRPr="00DA640F">
        <w:t xml:space="preserve"> </w:t>
      </w:r>
      <w:proofErr w:type="spellStart"/>
      <w:r w:rsidRPr="00DA640F">
        <w:t>Udeme</w:t>
      </w:r>
      <w:proofErr w:type="spellEnd"/>
      <w:r w:rsidRPr="00DA640F">
        <w:t xml:space="preserve"> U. </w:t>
      </w:r>
      <w:proofErr w:type="spellStart"/>
      <w:r w:rsidRPr="00DA640F">
        <w:t>Udokpoh</w:t>
      </w:r>
      <w:proofErr w:type="spellEnd"/>
      <w:r w:rsidRPr="00DA640F">
        <w:t xml:space="preserve">, 2022, Improvement in the Properties of Concrete Containing Rice Husk Ash as A Partial Replacement for Portland Limestone Cement, </w:t>
      </w:r>
      <w:r w:rsidRPr="00DA640F">
        <w:lastRenderedPageBreak/>
        <w:t xml:space="preserve">INTERNATIONAL JOURNAL OF ENGINEERING RESEARCH &amp; TECHNOLOGY (IJERT) Volume 11, Issue 02 (February 2022), </w:t>
      </w:r>
      <w:r w:rsidR="00964E2F" w:rsidRPr="00964E2F">
        <w:t>DOI : 10.17577/IJERTV11IS020067</w:t>
      </w:r>
    </w:p>
    <w:p w14:paraId="027D8BC8" w14:textId="5ED3A525" w:rsidR="00DA640F" w:rsidRPr="00DA640F" w:rsidRDefault="00DA640F" w:rsidP="00DA640F">
      <w:pPr>
        <w:pStyle w:val="Body"/>
      </w:pPr>
      <w:r w:rsidRPr="00DA640F">
        <w:t xml:space="preserve">Hasan, N. M. S., Rahman Sobuz, M. H., Hayet Khan, M. M., Mim, N. J., Meraz, M. M., Datta, S. D., Rana, M. J., Saha, A., Mohammad Akid, A. S., Mehedi, M. T., Houda, M., &amp; Sutan, N. M. (2022). Integration of Rice Husk Ash as Supplementary Cementitious Material in the Production of Sustainable High-Strength Concrete. </w:t>
      </w:r>
      <w:r w:rsidRPr="00DA640F">
        <w:rPr>
          <w:i/>
          <w:iCs/>
        </w:rPr>
        <w:t>Materials</w:t>
      </w:r>
      <w:r w:rsidRPr="00DA640F">
        <w:t xml:space="preserve">, </w:t>
      </w:r>
      <w:r w:rsidRPr="00DA640F">
        <w:rPr>
          <w:i/>
          <w:iCs/>
        </w:rPr>
        <w:t>15</w:t>
      </w:r>
      <w:r w:rsidRPr="00DA640F">
        <w:t>(22), 8171. https://doi.org/10.3390/ma15228171</w:t>
      </w:r>
    </w:p>
    <w:p w14:paraId="10D6504D" w14:textId="77777777" w:rsidR="00964E2F" w:rsidRDefault="00DA640F" w:rsidP="00964E2F">
      <w:pPr>
        <w:pStyle w:val="Body"/>
      </w:pPr>
      <w:r w:rsidRPr="00DA640F">
        <w:t xml:space="preserve">Huang, Y., Lei, Y., Luo, X., &amp; Fu, C. (2023). Prediction of compressive strength of rice husk ash concrete: A comparison of different metaheuristic algorithms for optimizing support vector regression. </w:t>
      </w:r>
      <w:r w:rsidRPr="00DA640F">
        <w:rPr>
          <w:i/>
          <w:iCs/>
        </w:rPr>
        <w:t>Case Studies in Construction Materials</w:t>
      </w:r>
      <w:r w:rsidRPr="00DA640F">
        <w:t xml:space="preserve">, </w:t>
      </w:r>
      <w:r w:rsidRPr="00DA640F">
        <w:rPr>
          <w:i/>
          <w:iCs/>
        </w:rPr>
        <w:t>18</w:t>
      </w:r>
      <w:r w:rsidRPr="00DA640F">
        <w:t xml:space="preserve">, e02201. </w:t>
      </w:r>
      <w:hyperlink r:id="rId31" w:history="1">
        <w:r w:rsidRPr="00DA640F">
          <w:rPr>
            <w:rStyle w:val="Hyperlink"/>
            <w:color w:val="auto"/>
            <w:u w:val="none"/>
          </w:rPr>
          <w:t>https://doi.org/10.1016/j.cscm.2023.e02201</w:t>
        </w:r>
      </w:hyperlink>
    </w:p>
    <w:p w14:paraId="268DFD13" w14:textId="226ED461" w:rsidR="00DA640F" w:rsidRPr="00964E2F" w:rsidRDefault="00DA640F" w:rsidP="00964E2F">
      <w:pPr>
        <w:pStyle w:val="Body"/>
        <w:rPr>
          <w:color w:val="000000" w:themeColor="text1"/>
        </w:rPr>
      </w:pPr>
      <w:proofErr w:type="spellStart"/>
      <w:r w:rsidRPr="00964E2F">
        <w:rPr>
          <w:color w:val="000000" w:themeColor="text1"/>
        </w:rPr>
        <w:t>Kamweru</w:t>
      </w:r>
      <w:proofErr w:type="spellEnd"/>
      <w:r w:rsidRPr="00964E2F">
        <w:rPr>
          <w:color w:val="000000" w:themeColor="text1"/>
        </w:rPr>
        <w:t xml:space="preserve">, Paul &amp; </w:t>
      </w:r>
      <w:proofErr w:type="spellStart"/>
      <w:r w:rsidRPr="00964E2F">
        <w:rPr>
          <w:color w:val="000000" w:themeColor="text1"/>
        </w:rPr>
        <w:t>Gichumbi</w:t>
      </w:r>
      <w:proofErr w:type="spellEnd"/>
      <w:r w:rsidRPr="00964E2F">
        <w:rPr>
          <w:color w:val="000000" w:themeColor="text1"/>
        </w:rPr>
        <w:t xml:space="preserve">, Joel &amp; Ndiritu, Francis &amp; Jonathan, </w:t>
      </w:r>
      <w:proofErr w:type="spellStart"/>
      <w:r w:rsidRPr="00964E2F">
        <w:rPr>
          <w:color w:val="000000" w:themeColor="text1"/>
        </w:rPr>
        <w:t>Kaleli</w:t>
      </w:r>
      <w:proofErr w:type="spellEnd"/>
      <w:r w:rsidRPr="00964E2F">
        <w:rPr>
          <w:color w:val="000000" w:themeColor="text1"/>
        </w:rPr>
        <w:t>. (2020). Characterization of rice husk ash prepared by open air burning and furnace calcination. Journal of Chemical Engineering and Materials Science. 11. 24-30. 10.5897/JCEMS2020.0348.</w:t>
      </w:r>
      <w:r w:rsidR="00964E2F" w:rsidRPr="00964E2F">
        <w:rPr>
          <w:color w:val="000000" w:themeColor="text1"/>
        </w:rPr>
        <w:t xml:space="preserve"> </w:t>
      </w:r>
      <w:hyperlink r:id="rId32" w:tgtFrame="_blank" w:history="1">
        <w:r w:rsidR="00964E2F" w:rsidRPr="00964E2F">
          <w:rPr>
            <w:rStyle w:val="Hyperlink"/>
            <w:color w:val="000000" w:themeColor="text1"/>
            <w:u w:val="none"/>
          </w:rPr>
          <w:t>https://doi.org/10.5897/JCEMS2020.0348</w:t>
        </w:r>
      </w:hyperlink>
    </w:p>
    <w:p w14:paraId="30327E85" w14:textId="562A2B53" w:rsidR="00DA640F" w:rsidRPr="00DA640F" w:rsidRDefault="00DA640F" w:rsidP="00DA640F">
      <w:pPr>
        <w:pStyle w:val="Body"/>
      </w:pPr>
      <w:r w:rsidRPr="00DA640F">
        <w:t xml:space="preserve">Kotwal, S, S., </w:t>
      </w:r>
      <w:proofErr w:type="gramStart"/>
      <w:r w:rsidRPr="00DA640F">
        <w:t>Kadam ,</w:t>
      </w:r>
      <w:proofErr w:type="gramEnd"/>
      <w:r w:rsidRPr="00DA640F">
        <w:t xml:space="preserve"> V. S., More, M. M., Patil, A. S., Mohite, N. A., Mane V. V. (2022). A Literature Review on Use of Rice Husk Ash as Cementation Material || </w:t>
      </w:r>
      <w:proofErr w:type="spellStart"/>
      <w:r w:rsidRPr="00DA640F">
        <w:t>Ijraset</w:t>
      </w:r>
      <w:proofErr w:type="spellEnd"/>
      <w:r w:rsidRPr="00DA640F">
        <w:t xml:space="preserve"> Journal </w:t>
      </w:r>
      <w:proofErr w:type="gramStart"/>
      <w:r w:rsidRPr="00DA640F">
        <w:t>For</w:t>
      </w:r>
      <w:proofErr w:type="gramEnd"/>
      <w:r w:rsidRPr="00DA640F">
        <w:t xml:space="preserve"> Research in Applied Science and Engineering Technology </w:t>
      </w:r>
      <w:hyperlink r:id="rId33" w:tgtFrame="_blank" w:history="1">
        <w:r w:rsidRPr="00DA640F">
          <w:rPr>
            <w:rStyle w:val="Hyperlink"/>
            <w:color w:val="auto"/>
            <w:u w:val="none"/>
          </w:rPr>
          <w:t>https://doi.org/10.22214/ijraset.2022.46170</w:t>
        </w:r>
      </w:hyperlink>
    </w:p>
    <w:p w14:paraId="1C2C8C23" w14:textId="179C6596" w:rsidR="00DA640F" w:rsidRPr="00DA640F" w:rsidRDefault="00DA640F" w:rsidP="00DA640F">
      <w:pPr>
        <w:pStyle w:val="Body"/>
      </w:pPr>
      <w:r w:rsidRPr="00DA640F">
        <w:t xml:space="preserve">Mohanta, N. R., &amp; Murmu, M. (2022). Alternative coarse aggregate for sustainable and eco-friendly concrete - A review. </w:t>
      </w:r>
      <w:r w:rsidRPr="00DA640F">
        <w:rPr>
          <w:i/>
          <w:iCs/>
        </w:rPr>
        <w:t>Journal of Building Engineering</w:t>
      </w:r>
      <w:r w:rsidRPr="00DA640F">
        <w:t xml:space="preserve">, </w:t>
      </w:r>
      <w:r w:rsidRPr="00DA640F">
        <w:rPr>
          <w:i/>
          <w:iCs/>
        </w:rPr>
        <w:t>59</w:t>
      </w:r>
      <w:r w:rsidRPr="00DA640F">
        <w:t xml:space="preserve">, 105079. </w:t>
      </w:r>
      <w:hyperlink r:id="rId34" w:history="1">
        <w:r w:rsidRPr="00DA640F">
          <w:rPr>
            <w:rStyle w:val="Hyperlink"/>
            <w:color w:val="auto"/>
            <w:u w:val="none"/>
          </w:rPr>
          <w:t>https://doi.org/10.1016/j.jobe.2022.105079</w:t>
        </w:r>
      </w:hyperlink>
    </w:p>
    <w:p w14:paraId="7408C9B1" w14:textId="47C0AD5E" w:rsidR="00DA640F" w:rsidRPr="00DA640F" w:rsidRDefault="00DA640F" w:rsidP="00DA640F">
      <w:pPr>
        <w:pStyle w:val="Body"/>
      </w:pPr>
      <w:r w:rsidRPr="00DA640F">
        <w:t xml:space="preserve">Nduka, D. O., Olawuyi, B. J., Fagbenle, E. O., &amp; Fonteboa, B. G. (2022). Mechanical and microstructural properties of high-performance concrete made with rice husk ash internally cured with superabsorbent polymers. </w:t>
      </w:r>
      <w:proofErr w:type="spellStart"/>
      <w:r w:rsidRPr="00DA640F">
        <w:rPr>
          <w:i/>
          <w:iCs/>
        </w:rPr>
        <w:t>Heliyon</w:t>
      </w:r>
      <w:proofErr w:type="spellEnd"/>
      <w:r w:rsidRPr="00DA640F">
        <w:t xml:space="preserve">, </w:t>
      </w:r>
      <w:r w:rsidRPr="00DA640F">
        <w:rPr>
          <w:i/>
          <w:iCs/>
        </w:rPr>
        <w:t>8</w:t>
      </w:r>
      <w:r w:rsidRPr="00DA640F">
        <w:t xml:space="preserve">(9), e10502. </w:t>
      </w:r>
      <w:hyperlink r:id="rId35" w:history="1">
        <w:r w:rsidRPr="00DA640F">
          <w:rPr>
            <w:rStyle w:val="Hyperlink"/>
            <w:color w:val="auto"/>
            <w:u w:val="none"/>
          </w:rPr>
          <w:t>https://doi.org/10.1016/j.heliyon.2022.e10502</w:t>
        </w:r>
      </w:hyperlink>
    </w:p>
    <w:p w14:paraId="102E873C" w14:textId="689F3DBE" w:rsidR="00DA640F" w:rsidRPr="00DA640F" w:rsidRDefault="00DA640F" w:rsidP="00DA640F">
      <w:pPr>
        <w:pStyle w:val="Body"/>
      </w:pPr>
      <w:r w:rsidRPr="00DA640F">
        <w:t xml:space="preserve">Odero, B. J., Mutuku, R. N., </w:t>
      </w:r>
      <w:proofErr w:type="spellStart"/>
      <w:r w:rsidRPr="00DA640F">
        <w:t>Nyomboi</w:t>
      </w:r>
      <w:proofErr w:type="spellEnd"/>
      <w:r w:rsidRPr="00DA640F">
        <w:t>, T., &amp; Gariy, Z. A. (2022). Mechanical Strength and Water Transport Properties of Concrete Containing Treated Recycled Aggregates. </w:t>
      </w:r>
      <w:r w:rsidRPr="00DA640F">
        <w:rPr>
          <w:i/>
          <w:iCs/>
        </w:rPr>
        <w:t>The Open Civil Engineering Journal</w:t>
      </w:r>
      <w:r w:rsidRPr="00DA640F">
        <w:t>, </w:t>
      </w:r>
      <w:r w:rsidRPr="00DA640F">
        <w:rPr>
          <w:i/>
          <w:iCs/>
        </w:rPr>
        <w:t>16</w:t>
      </w:r>
      <w:r w:rsidRPr="00DA640F">
        <w:t xml:space="preserve">. </w:t>
      </w:r>
      <w:r w:rsidR="00964E2F" w:rsidRPr="00964E2F">
        <w:t>https://doi.org/10.2174/18741495-v16-e2206060, 2022, 16, e187414952206060</w:t>
      </w:r>
    </w:p>
    <w:p w14:paraId="6406CD0E" w14:textId="10CBA032" w:rsidR="00DA640F" w:rsidRPr="00DA640F" w:rsidRDefault="00DA640F" w:rsidP="00DA640F">
      <w:pPr>
        <w:pStyle w:val="Body"/>
      </w:pPr>
      <w:r w:rsidRPr="00DA640F">
        <w:t xml:space="preserve">Paris, J. M., Roessler, J. G., Ferraro, C. C., </w:t>
      </w:r>
      <w:proofErr w:type="spellStart"/>
      <w:r w:rsidRPr="00DA640F">
        <w:t>DeFord</w:t>
      </w:r>
      <w:proofErr w:type="spellEnd"/>
      <w:r w:rsidRPr="00DA640F">
        <w:t xml:space="preserve">, H. D., &amp; Townsend, T. G. (2016). A review of waste products utilized as supplements to Portland cement in concrete. </w:t>
      </w:r>
      <w:r w:rsidRPr="00DA640F">
        <w:rPr>
          <w:i/>
          <w:iCs/>
        </w:rPr>
        <w:t>Journal of Cleaner Production</w:t>
      </w:r>
      <w:r w:rsidRPr="00DA640F">
        <w:t xml:space="preserve">, </w:t>
      </w:r>
      <w:r w:rsidRPr="00DA640F">
        <w:rPr>
          <w:i/>
          <w:iCs/>
        </w:rPr>
        <w:t>121</w:t>
      </w:r>
      <w:r w:rsidRPr="00DA640F">
        <w:t xml:space="preserve">, 1-18. </w:t>
      </w:r>
      <w:hyperlink r:id="rId36" w:history="1">
        <w:r w:rsidRPr="00DA640F">
          <w:rPr>
            <w:rStyle w:val="Hyperlink"/>
            <w:color w:val="auto"/>
            <w:u w:val="none"/>
          </w:rPr>
          <w:t>https://doi.org/10.1016/j.jclepro.2016.02.013</w:t>
        </w:r>
      </w:hyperlink>
    </w:p>
    <w:p w14:paraId="73F57E21" w14:textId="6E6E1BDA" w:rsidR="00DA640F" w:rsidRPr="00964E2F" w:rsidRDefault="00DA640F" w:rsidP="00DA640F">
      <w:pPr>
        <w:pStyle w:val="Body"/>
      </w:pPr>
      <w:r w:rsidRPr="00DA640F">
        <w:t xml:space="preserve">Rao, M. S. C., </w:t>
      </w:r>
      <w:proofErr w:type="spellStart"/>
      <w:r w:rsidRPr="00DA640F">
        <w:t>Packialakshmi</w:t>
      </w:r>
      <w:proofErr w:type="spellEnd"/>
      <w:r w:rsidRPr="00DA640F">
        <w:t xml:space="preserve">, S., Rath, B., Alharbi, S. A., Alfarraj, S., Praveenkumar, T. R., &amp; </w:t>
      </w:r>
      <w:proofErr w:type="spellStart"/>
      <w:r w:rsidRPr="00DA640F">
        <w:t>Gavurová</w:t>
      </w:r>
      <w:proofErr w:type="spellEnd"/>
      <w:r w:rsidRPr="00DA640F">
        <w:t xml:space="preserve">, B. (2023). Utilization of agricultural, industrial waste and </w:t>
      </w:r>
      <w:proofErr w:type="spellStart"/>
      <w:r w:rsidRPr="00DA640F">
        <w:t>nanosilica</w:t>
      </w:r>
      <w:proofErr w:type="spellEnd"/>
      <w:r w:rsidRPr="00DA640F">
        <w:t xml:space="preserve"> as replacement for cementitious material and natural aggregates–Mechanical, microstructural and durability characteristics assessment. </w:t>
      </w:r>
      <w:r w:rsidRPr="00DA640F">
        <w:rPr>
          <w:i/>
          <w:iCs/>
        </w:rPr>
        <w:t>Environmental Research</w:t>
      </w:r>
      <w:r w:rsidRPr="00DA640F">
        <w:t>, </w:t>
      </w:r>
      <w:r w:rsidRPr="00DA640F">
        <w:rPr>
          <w:i/>
          <w:iCs/>
        </w:rPr>
        <w:t>231</w:t>
      </w:r>
      <w:r w:rsidRPr="00DA640F">
        <w:t xml:space="preserve">, 116010. </w:t>
      </w:r>
      <w:hyperlink r:id="rId37" w:tgtFrame="_blank" w:tooltip="Persistent link using digital object identifier" w:history="1">
        <w:r w:rsidR="00964E2F" w:rsidRPr="00964E2F">
          <w:rPr>
            <w:rStyle w:val="Hyperlink"/>
            <w:color w:val="000000" w:themeColor="text1"/>
            <w:u w:val="none"/>
          </w:rPr>
          <w:t>https://doi.org/10.1016/j.envres.2023.116010</w:t>
        </w:r>
      </w:hyperlink>
    </w:p>
    <w:p w14:paraId="65DDC676" w14:textId="4E9743E9" w:rsidR="00DA640F" w:rsidRPr="00DA640F" w:rsidRDefault="00DA640F" w:rsidP="00DA640F">
      <w:pPr>
        <w:pStyle w:val="Body"/>
      </w:pPr>
      <w:r w:rsidRPr="00DA640F">
        <w:t xml:space="preserve">Siddika, A., Mamun, M. A. A., Alyousef, R., &amp; </w:t>
      </w:r>
      <w:proofErr w:type="spellStart"/>
      <w:r w:rsidRPr="00DA640F">
        <w:t>Mohammadhosseini</w:t>
      </w:r>
      <w:proofErr w:type="spellEnd"/>
      <w:r w:rsidRPr="00DA640F">
        <w:t xml:space="preserve">, H. (2021). State-of-the-art-review on rice husk ash: A supplementary cementitious material in concrete. </w:t>
      </w:r>
      <w:r w:rsidRPr="00DA640F">
        <w:rPr>
          <w:i/>
          <w:iCs/>
        </w:rPr>
        <w:t>Journal of King Saud University - Engineering Sciences</w:t>
      </w:r>
      <w:r w:rsidRPr="00DA640F">
        <w:t xml:space="preserve">, </w:t>
      </w:r>
      <w:r w:rsidRPr="00DA640F">
        <w:rPr>
          <w:i/>
          <w:iCs/>
        </w:rPr>
        <w:t>33</w:t>
      </w:r>
      <w:r w:rsidRPr="00DA640F">
        <w:t>(5), 294-307. https://doi.org/10.1016/j.jksues.2020.10.006</w:t>
      </w:r>
    </w:p>
    <w:p w14:paraId="08138060" w14:textId="414EDED1" w:rsidR="00DA640F" w:rsidRPr="00DA640F" w:rsidRDefault="00DA640F" w:rsidP="00DA640F">
      <w:pPr>
        <w:pStyle w:val="Body"/>
      </w:pPr>
      <w:proofErr w:type="spellStart"/>
      <w:r w:rsidRPr="00DA640F">
        <w:lastRenderedPageBreak/>
        <w:t>Thiedeitz</w:t>
      </w:r>
      <w:proofErr w:type="spellEnd"/>
      <w:r w:rsidRPr="00DA640F">
        <w:t xml:space="preserve"> M, Schmidt W, </w:t>
      </w:r>
      <w:proofErr w:type="spellStart"/>
      <w:r w:rsidRPr="00DA640F">
        <w:t>Härder</w:t>
      </w:r>
      <w:proofErr w:type="spellEnd"/>
      <w:r w:rsidRPr="00DA640F">
        <w:t xml:space="preserve"> M, </w:t>
      </w:r>
      <w:proofErr w:type="spellStart"/>
      <w:r w:rsidRPr="00DA640F">
        <w:t>Kränkel</w:t>
      </w:r>
      <w:proofErr w:type="spellEnd"/>
      <w:r w:rsidRPr="00DA640F">
        <w:t xml:space="preserve"> T. Performance of Rice Husk Ash as Supplementary Cementitious Material after Production in the Field and in the Lab. Materials (Basel). 2020 Sep 28;13(19):4319. </w:t>
      </w:r>
      <w:proofErr w:type="spellStart"/>
      <w:r w:rsidRPr="00DA640F">
        <w:t>doi</w:t>
      </w:r>
      <w:proofErr w:type="spellEnd"/>
      <w:r w:rsidRPr="00DA640F">
        <w:t>: 10.3390/ma13194319. PMID: 32998325; PMCID: PMC7579036.</w:t>
      </w:r>
    </w:p>
    <w:p w14:paraId="6F309EBD" w14:textId="07998E09" w:rsidR="00DA640F" w:rsidRPr="00DA640F" w:rsidRDefault="00DA640F" w:rsidP="00DA640F">
      <w:pPr>
        <w:pStyle w:val="Body"/>
      </w:pPr>
      <w:proofErr w:type="spellStart"/>
      <w:r w:rsidRPr="00DA640F">
        <w:t>Ubayi</w:t>
      </w:r>
      <w:proofErr w:type="spellEnd"/>
      <w:r w:rsidRPr="00DA640F">
        <w:t>, S. M., Mathur, C. V., Abubakar, B. S., &amp; Idris, H. (2024). Rice Husk Ash in Concrete: A Review of Cement Replacement Proportions and Mechanical Properties. </w:t>
      </w:r>
      <w:r w:rsidRPr="00DA640F">
        <w:rPr>
          <w:i/>
          <w:iCs/>
        </w:rPr>
        <w:t>International Journal in Engineering Sciences</w:t>
      </w:r>
      <w:r w:rsidRPr="00DA640F">
        <w:t>.</w:t>
      </w:r>
      <w:r w:rsidR="00964E2F">
        <w:t xml:space="preserve"> </w:t>
      </w:r>
      <w:r w:rsidR="00964E2F" w:rsidRPr="00DA640F">
        <w:t>https://doi.org/</w:t>
      </w:r>
      <w:r w:rsidR="00964E2F" w:rsidRPr="00964E2F">
        <w:t>10.5281/zenodo.13888854</w:t>
      </w:r>
    </w:p>
    <w:p w14:paraId="3746BDE2" w14:textId="416458EE" w:rsidR="00DA640F" w:rsidRPr="00DA640F" w:rsidRDefault="00DA640F" w:rsidP="00DA640F">
      <w:pPr>
        <w:pStyle w:val="Body"/>
      </w:pPr>
      <w:proofErr w:type="spellStart"/>
      <w:r w:rsidRPr="00DA640F">
        <w:t>Umasabor</w:t>
      </w:r>
      <w:proofErr w:type="spellEnd"/>
      <w:r w:rsidRPr="00DA640F">
        <w:t xml:space="preserve">, R., &amp; </w:t>
      </w:r>
      <w:proofErr w:type="spellStart"/>
      <w:r w:rsidRPr="00DA640F">
        <w:t>Okovido</w:t>
      </w:r>
      <w:proofErr w:type="spellEnd"/>
      <w:r w:rsidRPr="00DA640F">
        <w:t xml:space="preserve">, J. (2018). Fire resistance evaluation of rice husk ash concrete. </w:t>
      </w:r>
      <w:proofErr w:type="spellStart"/>
      <w:r w:rsidRPr="00DA640F">
        <w:rPr>
          <w:i/>
          <w:iCs/>
        </w:rPr>
        <w:t>Heliyon</w:t>
      </w:r>
      <w:proofErr w:type="spellEnd"/>
      <w:r w:rsidRPr="00DA640F">
        <w:t xml:space="preserve">, </w:t>
      </w:r>
      <w:r w:rsidRPr="00DA640F">
        <w:rPr>
          <w:i/>
          <w:iCs/>
        </w:rPr>
        <w:t>4</w:t>
      </w:r>
      <w:r w:rsidRPr="00DA640F">
        <w:t>(12), e01035. https://doi.org/10.1016/j.heliyon.2018.e01035</w:t>
      </w:r>
    </w:p>
    <w:p w14:paraId="2FEF5F71" w14:textId="74B3DC01" w:rsidR="00DA640F" w:rsidRPr="00DA640F" w:rsidRDefault="00DA640F" w:rsidP="00DA640F">
      <w:pPr>
        <w:pStyle w:val="Body"/>
      </w:pPr>
      <w:r w:rsidRPr="00DA640F">
        <w:t xml:space="preserve">Xing, W., Tam, V. W., Le, K. N., Hao, J. L., &amp; Wang, J. (2022). Life cycle assessment of recycled aggregate concrete on its environmental impacts: A critical review. </w:t>
      </w:r>
      <w:r w:rsidRPr="00DA640F">
        <w:rPr>
          <w:i/>
          <w:iCs/>
        </w:rPr>
        <w:t>Construction and Building Materials</w:t>
      </w:r>
      <w:r w:rsidRPr="00DA640F">
        <w:t xml:space="preserve">, </w:t>
      </w:r>
      <w:r w:rsidRPr="00DA640F">
        <w:rPr>
          <w:i/>
          <w:iCs/>
        </w:rPr>
        <w:t>317</w:t>
      </w:r>
      <w:r w:rsidRPr="00DA640F">
        <w:t xml:space="preserve">, 125950. </w:t>
      </w:r>
      <w:hyperlink r:id="rId38" w:history="1">
        <w:r w:rsidRPr="00DA640F">
          <w:rPr>
            <w:rStyle w:val="Hyperlink"/>
            <w:color w:val="auto"/>
            <w:u w:val="none"/>
          </w:rPr>
          <w:t>https://doi.org/10.1016/j.conbuildmat.2021.125950</w:t>
        </w:r>
      </w:hyperlink>
    </w:p>
    <w:p w14:paraId="69EADD61" w14:textId="75D182C3" w:rsidR="004D4277" w:rsidRPr="00DA640F" w:rsidRDefault="00DA640F" w:rsidP="00DA640F">
      <w:pPr>
        <w:pStyle w:val="Body"/>
        <w:sectPr w:rsidR="004D4277" w:rsidRPr="00DA640F" w:rsidSect="0094708F">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r w:rsidRPr="00DA640F">
        <w:t xml:space="preserve">Zaid, O., Ahmad, J., Siddique, M. S., &amp; Aslam, F. (2021). Effect of Incorporation of Rice Husk Ash Instead of Cement on the Performance of Steel Fibers Reinforced Concrete. </w:t>
      </w:r>
      <w:r w:rsidRPr="00DA640F">
        <w:rPr>
          <w:i/>
          <w:iCs/>
        </w:rPr>
        <w:t>Frontiers in Materials</w:t>
      </w:r>
      <w:r w:rsidRPr="00DA640F">
        <w:t xml:space="preserve">, </w:t>
      </w:r>
      <w:r w:rsidRPr="00DA640F">
        <w:rPr>
          <w:i/>
          <w:iCs/>
        </w:rPr>
        <w:t>8</w:t>
      </w:r>
      <w:r w:rsidRPr="00DA640F">
        <w:t xml:space="preserve">, 665625. </w:t>
      </w:r>
      <w:hyperlink r:id="rId43" w:history="1">
        <w:r w:rsidRPr="00DA640F">
          <w:rPr>
            <w:rStyle w:val="Hyperlink"/>
            <w:color w:val="auto"/>
            <w:u w:val="none"/>
          </w:rPr>
          <w:t>https://doi.org/10.3389/fmats.2021.665625</w:t>
        </w:r>
      </w:hyperlink>
    </w:p>
    <w:p w14:paraId="723BBBCF" w14:textId="77777777" w:rsidR="00B01FCD" w:rsidRPr="00FB3A86" w:rsidRDefault="00B01FCD" w:rsidP="00D75F47">
      <w:pPr>
        <w:pStyle w:val="Appendix"/>
        <w:spacing w:after="0"/>
        <w:jc w:val="both"/>
        <w:rPr>
          <w:rFonts w:ascii="Arial" w:hAnsi="Arial" w:cs="Arial"/>
          <w:b w:val="0"/>
        </w:rPr>
      </w:pPr>
    </w:p>
    <w:sectPr w:rsidR="00B01FCD" w:rsidRPr="00FB3A86" w:rsidSect="009470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1D8D" w14:textId="77777777" w:rsidR="00332E70" w:rsidRDefault="00332E70" w:rsidP="00C37E61">
      <w:r>
        <w:separator/>
      </w:r>
    </w:p>
  </w:endnote>
  <w:endnote w:type="continuationSeparator" w:id="0">
    <w:p w14:paraId="6426FDBC" w14:textId="77777777" w:rsidR="00332E70" w:rsidRDefault="00332E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6374" w14:textId="77777777" w:rsidR="0094708F" w:rsidRDefault="00947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D6EF" w14:textId="77777777" w:rsidR="0094708F" w:rsidRDefault="00947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BCC7" w14:textId="3D2648D9" w:rsidR="00754C9A" w:rsidRPr="0094708F" w:rsidRDefault="00754C9A" w:rsidP="009470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8DD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25B5" w14:textId="77777777" w:rsidR="00332E70" w:rsidRDefault="00332E70" w:rsidP="00C37E61">
      <w:r>
        <w:separator/>
      </w:r>
    </w:p>
  </w:footnote>
  <w:footnote w:type="continuationSeparator" w:id="0">
    <w:p w14:paraId="1AFE129E" w14:textId="77777777" w:rsidR="00332E70" w:rsidRDefault="00332E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A0A9" w14:textId="4ED7D548" w:rsidR="0094708F" w:rsidRDefault="00000000">
    <w:pPr>
      <w:pStyle w:val="Header"/>
    </w:pPr>
    <w:r>
      <w:rPr>
        <w:noProof/>
      </w:rPr>
      <w:pict w14:anchorId="397B6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44D9" w14:textId="35CF54F0" w:rsidR="0094708F" w:rsidRDefault="00000000">
    <w:pPr>
      <w:pStyle w:val="Header"/>
    </w:pPr>
    <w:r>
      <w:rPr>
        <w:noProof/>
      </w:rPr>
      <w:pict w14:anchorId="62C83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67A8" w14:textId="3D53DD0A" w:rsidR="00296529" w:rsidRPr="00296529" w:rsidRDefault="00000000" w:rsidP="00296529">
    <w:pPr>
      <w:ind w:left="2160"/>
      <w:jc w:val="center"/>
      <w:rPr>
        <w:rFonts w:ascii="Times New Roman" w:eastAsia="Calibri" w:hAnsi="Times New Roman"/>
        <w:i/>
        <w:sz w:val="18"/>
        <w:szCs w:val="22"/>
      </w:rPr>
    </w:pPr>
    <w:r>
      <w:rPr>
        <w:noProof/>
      </w:rPr>
      <w:pict w14:anchorId="6F08B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E23A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F9689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2EFC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8EB8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3A7DE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FD4F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132D" w14:textId="2CD4CD81" w:rsidR="0094708F" w:rsidRDefault="00000000">
    <w:pPr>
      <w:pStyle w:val="Header"/>
    </w:pPr>
    <w:r>
      <w:rPr>
        <w:noProof/>
      </w:rPr>
      <w:pict w14:anchorId="68374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8FED" w14:textId="4CAA525B" w:rsidR="0094708F" w:rsidRDefault="00000000">
    <w:pPr>
      <w:pStyle w:val="Header"/>
    </w:pPr>
    <w:r>
      <w:rPr>
        <w:noProof/>
      </w:rPr>
      <w:pict w14:anchorId="2FE05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61EE" w14:textId="596AE808" w:rsidR="0094708F" w:rsidRDefault="00000000">
    <w:pPr>
      <w:pStyle w:val="Header"/>
    </w:pPr>
    <w:r>
      <w:rPr>
        <w:noProof/>
      </w:rPr>
      <w:pict w14:anchorId="341D0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BC6D0D"/>
    <w:multiLevelType w:val="multilevel"/>
    <w:tmpl w:val="B5CA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4291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1436126">
    <w:abstractNumId w:val="16"/>
  </w:num>
  <w:num w:numId="3" w16cid:durableId="393509934">
    <w:abstractNumId w:val="24"/>
  </w:num>
  <w:num w:numId="4" w16cid:durableId="2256549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33901712">
    <w:abstractNumId w:val="7"/>
  </w:num>
  <w:num w:numId="6" w16cid:durableId="1471678428">
    <w:abstractNumId w:val="6"/>
  </w:num>
  <w:num w:numId="7" w16cid:durableId="1048577040">
    <w:abstractNumId w:val="1"/>
  </w:num>
  <w:num w:numId="8" w16cid:durableId="1684353958">
    <w:abstractNumId w:val="12"/>
  </w:num>
  <w:num w:numId="9" w16cid:durableId="485170427">
    <w:abstractNumId w:val="26"/>
  </w:num>
  <w:num w:numId="10" w16cid:durableId="1097748611">
    <w:abstractNumId w:val="2"/>
  </w:num>
  <w:num w:numId="11" w16cid:durableId="149293949">
    <w:abstractNumId w:val="19"/>
  </w:num>
  <w:num w:numId="12" w16cid:durableId="842551090">
    <w:abstractNumId w:val="3"/>
  </w:num>
  <w:num w:numId="13" w16cid:durableId="1352876928">
    <w:abstractNumId w:val="18"/>
  </w:num>
  <w:num w:numId="14" w16cid:durableId="1771389288">
    <w:abstractNumId w:val="8"/>
  </w:num>
  <w:num w:numId="15" w16cid:durableId="558516467">
    <w:abstractNumId w:val="22"/>
  </w:num>
  <w:num w:numId="16" w16cid:durableId="1560557800">
    <w:abstractNumId w:val="5"/>
  </w:num>
  <w:num w:numId="17" w16cid:durableId="1398817175">
    <w:abstractNumId w:val="23"/>
  </w:num>
  <w:num w:numId="18" w16cid:durableId="51924412">
    <w:abstractNumId w:val="14"/>
  </w:num>
  <w:num w:numId="19" w16cid:durableId="511726415">
    <w:abstractNumId w:val="29"/>
  </w:num>
  <w:num w:numId="20" w16cid:durableId="1387532221">
    <w:abstractNumId w:val="11"/>
  </w:num>
  <w:num w:numId="21" w16cid:durableId="1628855689">
    <w:abstractNumId w:val="9"/>
  </w:num>
  <w:num w:numId="22" w16cid:durableId="1314330126">
    <w:abstractNumId w:val="13"/>
  </w:num>
  <w:num w:numId="23" w16cid:durableId="1028868148">
    <w:abstractNumId w:val="20"/>
  </w:num>
  <w:num w:numId="24" w16cid:durableId="493109747">
    <w:abstractNumId w:val="27"/>
  </w:num>
  <w:num w:numId="25" w16cid:durableId="1905405080">
    <w:abstractNumId w:val="4"/>
  </w:num>
  <w:num w:numId="26" w16cid:durableId="1637418225">
    <w:abstractNumId w:val="17"/>
  </w:num>
  <w:num w:numId="27" w16cid:durableId="685790607">
    <w:abstractNumId w:val="21"/>
  </w:num>
  <w:num w:numId="28" w16cid:durableId="94595162">
    <w:abstractNumId w:val="28"/>
  </w:num>
  <w:num w:numId="29" w16cid:durableId="1437142638">
    <w:abstractNumId w:val="25"/>
  </w:num>
  <w:num w:numId="30" w16cid:durableId="613637990">
    <w:abstractNumId w:val="10"/>
  </w:num>
  <w:num w:numId="31" w16cid:durableId="517278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472B"/>
    <w:rsid w:val="001C5A1C"/>
    <w:rsid w:val="001C5CF6"/>
    <w:rsid w:val="001D3A51"/>
    <w:rsid w:val="001E10D2"/>
    <w:rsid w:val="001E25B4"/>
    <w:rsid w:val="001E44FE"/>
    <w:rsid w:val="00200595"/>
    <w:rsid w:val="00204835"/>
    <w:rsid w:val="0023046B"/>
    <w:rsid w:val="00231920"/>
    <w:rsid w:val="0023195C"/>
    <w:rsid w:val="0024282C"/>
    <w:rsid w:val="002460DC"/>
    <w:rsid w:val="00250985"/>
    <w:rsid w:val="002556F6"/>
    <w:rsid w:val="00283105"/>
    <w:rsid w:val="00284C4C"/>
    <w:rsid w:val="00287E68"/>
    <w:rsid w:val="00296529"/>
    <w:rsid w:val="002A6D26"/>
    <w:rsid w:val="002B27FB"/>
    <w:rsid w:val="002B685A"/>
    <w:rsid w:val="002C57D2"/>
    <w:rsid w:val="002E0D56"/>
    <w:rsid w:val="00315186"/>
    <w:rsid w:val="003224BA"/>
    <w:rsid w:val="00332E70"/>
    <w:rsid w:val="0033343E"/>
    <w:rsid w:val="003512C2"/>
    <w:rsid w:val="00371FB6"/>
    <w:rsid w:val="003763C1"/>
    <w:rsid w:val="00376BBE"/>
    <w:rsid w:val="0039224F"/>
    <w:rsid w:val="003A43A4"/>
    <w:rsid w:val="003A7E18"/>
    <w:rsid w:val="003C24A8"/>
    <w:rsid w:val="003C4C86"/>
    <w:rsid w:val="003C6258"/>
    <w:rsid w:val="003E2904"/>
    <w:rsid w:val="00401927"/>
    <w:rsid w:val="004054A2"/>
    <w:rsid w:val="0041027F"/>
    <w:rsid w:val="00412475"/>
    <w:rsid w:val="00423789"/>
    <w:rsid w:val="00440F43"/>
    <w:rsid w:val="00441B6F"/>
    <w:rsid w:val="00446221"/>
    <w:rsid w:val="00450E62"/>
    <w:rsid w:val="004539DB"/>
    <w:rsid w:val="00471A80"/>
    <w:rsid w:val="004B5681"/>
    <w:rsid w:val="004C7B00"/>
    <w:rsid w:val="004D305E"/>
    <w:rsid w:val="004D4277"/>
    <w:rsid w:val="00502516"/>
    <w:rsid w:val="00505F06"/>
    <w:rsid w:val="00506828"/>
    <w:rsid w:val="00510F7A"/>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1ADA"/>
    <w:rsid w:val="0077749E"/>
    <w:rsid w:val="00790ADA"/>
    <w:rsid w:val="007A7015"/>
    <w:rsid w:val="007D2288"/>
    <w:rsid w:val="007E088F"/>
    <w:rsid w:val="007F7B32"/>
    <w:rsid w:val="00804BC2"/>
    <w:rsid w:val="0081431A"/>
    <w:rsid w:val="0083216F"/>
    <w:rsid w:val="00860000"/>
    <w:rsid w:val="00863BD3"/>
    <w:rsid w:val="008641ED"/>
    <w:rsid w:val="00866D66"/>
    <w:rsid w:val="008671C6"/>
    <w:rsid w:val="00875803"/>
    <w:rsid w:val="008B459E"/>
    <w:rsid w:val="008D17B5"/>
    <w:rsid w:val="008E13AE"/>
    <w:rsid w:val="008E1506"/>
    <w:rsid w:val="008E710C"/>
    <w:rsid w:val="008F69D6"/>
    <w:rsid w:val="00902823"/>
    <w:rsid w:val="00915CA6"/>
    <w:rsid w:val="00927834"/>
    <w:rsid w:val="0094708F"/>
    <w:rsid w:val="009500A6"/>
    <w:rsid w:val="00957C18"/>
    <w:rsid w:val="00964E2F"/>
    <w:rsid w:val="009659BA"/>
    <w:rsid w:val="00975122"/>
    <w:rsid w:val="00983040"/>
    <w:rsid w:val="009A4C1F"/>
    <w:rsid w:val="009B3FB9"/>
    <w:rsid w:val="009C2465"/>
    <w:rsid w:val="009D1109"/>
    <w:rsid w:val="009D35A0"/>
    <w:rsid w:val="009D7EB7"/>
    <w:rsid w:val="009E048A"/>
    <w:rsid w:val="009E08E9"/>
    <w:rsid w:val="009E3DB9"/>
    <w:rsid w:val="009E4AC7"/>
    <w:rsid w:val="009E6E35"/>
    <w:rsid w:val="009F0EDA"/>
    <w:rsid w:val="00A03B96"/>
    <w:rsid w:val="00A05B19"/>
    <w:rsid w:val="00A1134E"/>
    <w:rsid w:val="00A24E7E"/>
    <w:rsid w:val="00A258C3"/>
    <w:rsid w:val="00A347C0"/>
    <w:rsid w:val="00A51431"/>
    <w:rsid w:val="00A539AD"/>
    <w:rsid w:val="00A93036"/>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43ED"/>
    <w:rsid w:val="00BB37AA"/>
    <w:rsid w:val="00BC53A0"/>
    <w:rsid w:val="00BE62AD"/>
    <w:rsid w:val="00BF121F"/>
    <w:rsid w:val="00BF1F80"/>
    <w:rsid w:val="00C142B3"/>
    <w:rsid w:val="00C166EF"/>
    <w:rsid w:val="00C17EB0"/>
    <w:rsid w:val="00C27F5F"/>
    <w:rsid w:val="00C30A0F"/>
    <w:rsid w:val="00C37E61"/>
    <w:rsid w:val="00C70F1B"/>
    <w:rsid w:val="00C71A47"/>
    <w:rsid w:val="00C7464C"/>
    <w:rsid w:val="00C85588"/>
    <w:rsid w:val="00C86366"/>
    <w:rsid w:val="00CB1F02"/>
    <w:rsid w:val="00CD6755"/>
    <w:rsid w:val="00CD6856"/>
    <w:rsid w:val="00CE0089"/>
    <w:rsid w:val="00CE793C"/>
    <w:rsid w:val="00CF193C"/>
    <w:rsid w:val="00D173F1"/>
    <w:rsid w:val="00D30D68"/>
    <w:rsid w:val="00D37642"/>
    <w:rsid w:val="00D74CB0"/>
    <w:rsid w:val="00D75F47"/>
    <w:rsid w:val="00D81E04"/>
    <w:rsid w:val="00D8295D"/>
    <w:rsid w:val="00DA640F"/>
    <w:rsid w:val="00DC2A65"/>
    <w:rsid w:val="00DE15F0"/>
    <w:rsid w:val="00DE5663"/>
    <w:rsid w:val="00DE78AA"/>
    <w:rsid w:val="00E053D0"/>
    <w:rsid w:val="00E15994"/>
    <w:rsid w:val="00E3114E"/>
    <w:rsid w:val="00E31A70"/>
    <w:rsid w:val="00E35B02"/>
    <w:rsid w:val="00E4278F"/>
    <w:rsid w:val="00E66496"/>
    <w:rsid w:val="00E66B35"/>
    <w:rsid w:val="00E66E10"/>
    <w:rsid w:val="00E740CC"/>
    <w:rsid w:val="00E769F6"/>
    <w:rsid w:val="00E8407C"/>
    <w:rsid w:val="00E84F3C"/>
    <w:rsid w:val="00EA012C"/>
    <w:rsid w:val="00EC6A55"/>
    <w:rsid w:val="00ED0288"/>
    <w:rsid w:val="00EE52CB"/>
    <w:rsid w:val="00EF581D"/>
    <w:rsid w:val="00EF7FD8"/>
    <w:rsid w:val="00F06F59"/>
    <w:rsid w:val="00F17988"/>
    <w:rsid w:val="00F469F0"/>
    <w:rsid w:val="00F53273"/>
    <w:rsid w:val="00F62096"/>
    <w:rsid w:val="00F755E4"/>
    <w:rsid w:val="00F77D02"/>
    <w:rsid w:val="00F9557F"/>
    <w:rsid w:val="00FB3A86"/>
    <w:rsid w:val="00FD36C8"/>
    <w:rsid w:val="00FF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0B32"/>
  <w15:docId w15:val="{DCC66FF4-9DB6-4F87-A1C5-E832750F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A4C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A4C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A4C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A4C1F"/>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D75F4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FF63D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chart" Target="charts/chart5.xml"/><Relationship Id="rId39" Type="http://schemas.openxmlformats.org/officeDocument/2006/relationships/header" Target="header4.xml"/><Relationship Id="rId21" Type="http://schemas.openxmlformats.org/officeDocument/2006/relationships/chart" Target="charts/chart2.xml"/><Relationship Id="rId34" Type="http://schemas.openxmlformats.org/officeDocument/2006/relationships/hyperlink" Target="https://doi.org/10.1016/j.jobe.2022.105079"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ssrn.com/abstract=3326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hyperlink" Target="https://doi.org/10.5897/JCEMS2020.0348" TargetMode="External"/><Relationship Id="rId37" Type="http://schemas.openxmlformats.org/officeDocument/2006/relationships/hyperlink" Target="https://doi.org/10.1016/j.envres.2023.116010"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hyperlink" Target="https://doi.org/10.1016/j.matpr.2020.02.870" TargetMode="External"/><Relationship Id="rId36" Type="http://schemas.openxmlformats.org/officeDocument/2006/relationships/hyperlink" Target="https://doi.org/10.1016/j.jclepro.2016.02.013"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1016/j.cscm.2023.e0220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png"/><Relationship Id="rId27" Type="http://schemas.openxmlformats.org/officeDocument/2006/relationships/hyperlink" Target="https://doi.org/10.4236/ojce.2023.132027" TargetMode="External"/><Relationship Id="rId30" Type="http://schemas.openxmlformats.org/officeDocument/2006/relationships/hyperlink" Target="https://doi.org/10.3390/su15010137" TargetMode="External"/><Relationship Id="rId35" Type="http://schemas.openxmlformats.org/officeDocument/2006/relationships/hyperlink" Target="https://doi.org/10.1016/j.heliyon.2022.e10502" TargetMode="External"/><Relationship Id="rId43" Type="http://schemas.openxmlformats.org/officeDocument/2006/relationships/hyperlink" Target="https://doi.org/10.3389/fmats.2021.66562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chart" Target="charts/chart4.xml"/><Relationship Id="rId33" Type="http://schemas.openxmlformats.org/officeDocument/2006/relationships/hyperlink" Target="https://doi.org/10.22214/ijraset.2022.46170" TargetMode="External"/><Relationship Id="rId38" Type="http://schemas.openxmlformats.org/officeDocument/2006/relationships/hyperlink" Target="https://doi.org/10.1016/j.conbuildmat.2021.125950" TargetMode="External"/><Relationship Id="rId20" Type="http://schemas.openxmlformats.org/officeDocument/2006/relationships/chart" Target="charts/chart1.xml"/><Relationship Id="rId4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My%20files\documents%20preteeh\Lead%20city\Highway%20Lab\Report%20Analysis%20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y%20files\documents%20preteeh\Lead%20city\Highway%20Lab\Report%20Analysis%20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Fine Aggregates</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Sheet3!$A$190:$A$197</c:f>
              <c:numCache>
                <c:formatCode>General</c:formatCode>
                <c:ptCount val="8"/>
                <c:pt idx="0">
                  <c:v>4.75</c:v>
                </c:pt>
                <c:pt idx="1">
                  <c:v>2.75</c:v>
                </c:pt>
                <c:pt idx="2">
                  <c:v>1.18</c:v>
                </c:pt>
                <c:pt idx="3">
                  <c:v>0.85</c:v>
                </c:pt>
                <c:pt idx="4">
                  <c:v>0.42499999999999999</c:v>
                </c:pt>
                <c:pt idx="5">
                  <c:v>0.2</c:v>
                </c:pt>
                <c:pt idx="6">
                  <c:v>0.15</c:v>
                </c:pt>
                <c:pt idx="7">
                  <c:v>7.4999999999999997E-2</c:v>
                </c:pt>
              </c:numCache>
            </c:numRef>
          </c:xVal>
          <c:yVal>
            <c:numRef>
              <c:f>Sheet3!$B$190:$B$197</c:f>
              <c:numCache>
                <c:formatCode>General</c:formatCode>
                <c:ptCount val="8"/>
                <c:pt idx="0">
                  <c:v>98.1</c:v>
                </c:pt>
                <c:pt idx="1">
                  <c:v>93.7</c:v>
                </c:pt>
                <c:pt idx="2">
                  <c:v>77.41</c:v>
                </c:pt>
                <c:pt idx="3">
                  <c:v>60.43</c:v>
                </c:pt>
                <c:pt idx="4">
                  <c:v>16.079999999999998</c:v>
                </c:pt>
                <c:pt idx="5">
                  <c:v>2.2999999999999998</c:v>
                </c:pt>
                <c:pt idx="6">
                  <c:v>0.75</c:v>
                </c:pt>
                <c:pt idx="7">
                  <c:v>0.1</c:v>
                </c:pt>
              </c:numCache>
            </c:numRef>
          </c:yVal>
          <c:smooth val="1"/>
          <c:extLst>
            <c:ext xmlns:c16="http://schemas.microsoft.com/office/drawing/2014/chart" uri="{C3380CC4-5D6E-409C-BE32-E72D297353CC}">
              <c16:uniqueId val="{00000000-AB88-4FCD-87DE-AF4C354EAD48}"/>
            </c:ext>
          </c:extLst>
        </c:ser>
        <c:dLbls>
          <c:showLegendKey val="0"/>
          <c:showVal val="0"/>
          <c:showCatName val="0"/>
          <c:showSerName val="0"/>
          <c:showPercent val="0"/>
          <c:showBubbleSize val="0"/>
        </c:dLbls>
        <c:axId val="1399037167"/>
        <c:axId val="1399059727"/>
      </c:scatterChart>
      <c:valAx>
        <c:axId val="1399037167"/>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Sieve sizes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399059727"/>
        <c:crosses val="autoZero"/>
        <c:crossBetween val="midCat"/>
      </c:valAx>
      <c:valAx>
        <c:axId val="139905972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 Passing</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399037167"/>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a:t>Coarse</a:t>
            </a:r>
            <a:r>
              <a:rPr lang="en-US" baseline="0"/>
              <a:t> Aggregates</a:t>
            </a:r>
            <a:endParaRPr lang="en-US"/>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Sheet3!$A$185:$A$187</c:f>
              <c:numCache>
                <c:formatCode>General</c:formatCode>
                <c:ptCount val="3"/>
                <c:pt idx="0">
                  <c:v>19</c:v>
                </c:pt>
                <c:pt idx="1">
                  <c:v>9.5</c:v>
                </c:pt>
                <c:pt idx="2">
                  <c:v>4.75</c:v>
                </c:pt>
              </c:numCache>
            </c:numRef>
          </c:xVal>
          <c:yVal>
            <c:numRef>
              <c:f>Sheet3!$B$185:$B$187</c:f>
              <c:numCache>
                <c:formatCode>General</c:formatCode>
                <c:ptCount val="3"/>
                <c:pt idx="0">
                  <c:v>100</c:v>
                </c:pt>
                <c:pt idx="1">
                  <c:v>16.3</c:v>
                </c:pt>
                <c:pt idx="2">
                  <c:v>1</c:v>
                </c:pt>
              </c:numCache>
            </c:numRef>
          </c:yVal>
          <c:smooth val="1"/>
          <c:extLst>
            <c:ext xmlns:c16="http://schemas.microsoft.com/office/drawing/2014/chart" uri="{C3380CC4-5D6E-409C-BE32-E72D297353CC}">
              <c16:uniqueId val="{00000000-4BE3-47EC-9A02-34BFFF01DC04}"/>
            </c:ext>
          </c:extLst>
        </c:ser>
        <c:dLbls>
          <c:showLegendKey val="0"/>
          <c:showVal val="0"/>
          <c:showCatName val="0"/>
          <c:showSerName val="0"/>
          <c:showPercent val="0"/>
          <c:showBubbleSize val="0"/>
        </c:dLbls>
        <c:axId val="1399093327"/>
        <c:axId val="1399093807"/>
      </c:scatterChart>
      <c:valAx>
        <c:axId val="1399093327"/>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Sieve Sizes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093807"/>
        <c:crosses val="autoZero"/>
        <c:crossBetween val="midCat"/>
      </c:valAx>
      <c:valAx>
        <c:axId val="139909380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 Passing</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093327"/>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Slump Test </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Sheet1!$A$2:$A$5</c:f>
              <c:numCache>
                <c:formatCode>0%</c:formatCode>
                <c:ptCount val="4"/>
                <c:pt idx="0">
                  <c:v>0</c:v>
                </c:pt>
                <c:pt idx="1">
                  <c:v>0.05</c:v>
                </c:pt>
                <c:pt idx="2">
                  <c:v>0.1</c:v>
                </c:pt>
                <c:pt idx="3">
                  <c:v>0.15</c:v>
                </c:pt>
              </c:numCache>
            </c:numRef>
          </c:cat>
          <c:val>
            <c:numRef>
              <c:f>Sheet1!$B$2:$B$5</c:f>
              <c:numCache>
                <c:formatCode>General</c:formatCode>
                <c:ptCount val="4"/>
                <c:pt idx="0">
                  <c:v>4.5</c:v>
                </c:pt>
                <c:pt idx="1">
                  <c:v>5.5</c:v>
                </c:pt>
                <c:pt idx="2">
                  <c:v>7</c:v>
                </c:pt>
                <c:pt idx="3">
                  <c:v>6</c:v>
                </c:pt>
              </c:numCache>
            </c:numRef>
          </c:val>
          <c:extLst>
            <c:ext xmlns:c16="http://schemas.microsoft.com/office/drawing/2014/chart" uri="{C3380CC4-5D6E-409C-BE32-E72D297353CC}">
              <c16:uniqueId val="{00000000-780C-42D0-807E-A00FE423C97A}"/>
            </c:ext>
          </c:extLst>
        </c:ser>
        <c:dLbls>
          <c:showLegendKey val="0"/>
          <c:showVal val="0"/>
          <c:showCatName val="0"/>
          <c:showSerName val="0"/>
          <c:showPercent val="0"/>
          <c:showBubbleSize val="0"/>
        </c:dLbls>
        <c:gapWidth val="219"/>
        <c:overlap val="-27"/>
        <c:axId val="1671137615"/>
        <c:axId val="1671150095"/>
      </c:barChart>
      <c:catAx>
        <c:axId val="1671137615"/>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Replacement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1150095"/>
        <c:crosses val="autoZero"/>
        <c:auto val="1"/>
        <c:lblAlgn val="ctr"/>
        <c:lblOffset val="100"/>
        <c:noMultiLvlLbl val="0"/>
      </c:catAx>
      <c:valAx>
        <c:axId val="1671150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Slump height (cm)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113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Water Absoprtion </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c:f>
              <c:strCache>
                <c:ptCount val="1"/>
                <c:pt idx="0">
                  <c:v>Percentage of Replacement (%)</c:v>
                </c:pt>
              </c:strCache>
            </c:strRef>
          </c:cat>
          <c:val>
            <c:numRef>
              <c:f>Sheet1!$B$2</c:f>
              <c:numCache>
                <c:formatCode>General</c:formatCode>
                <c:ptCount val="1"/>
                <c:pt idx="0">
                  <c:v>1.38</c:v>
                </c:pt>
              </c:numCache>
            </c:numRef>
          </c:val>
          <c:extLst>
            <c:ext xmlns:c16="http://schemas.microsoft.com/office/drawing/2014/chart" uri="{C3380CC4-5D6E-409C-BE32-E72D297353CC}">
              <c16:uniqueId val="{00000000-B3FB-4CEB-9AD1-2FA565A8B978}"/>
            </c:ext>
          </c:extLst>
        </c:ser>
        <c:ser>
          <c:idx val="1"/>
          <c:order val="1"/>
          <c:tx>
            <c:strRef>
              <c:f>Sheet1!$C$1</c:f>
              <c:strCache>
                <c:ptCount val="1"/>
                <c:pt idx="0">
                  <c:v>5%</c:v>
                </c:pt>
              </c:strCache>
            </c:strRef>
          </c:tx>
          <c:spPr>
            <a:solidFill>
              <a:schemeClr val="accent2"/>
            </a:solidFill>
            <a:ln>
              <a:noFill/>
            </a:ln>
            <a:effectLst/>
          </c:spPr>
          <c:invertIfNegative val="0"/>
          <c:cat>
            <c:strRef>
              <c:f>Sheet1!$A$2</c:f>
              <c:strCache>
                <c:ptCount val="1"/>
                <c:pt idx="0">
                  <c:v>Percentage of Replacement (%)</c:v>
                </c:pt>
              </c:strCache>
            </c:strRef>
          </c:cat>
          <c:val>
            <c:numRef>
              <c:f>Sheet1!$C$2</c:f>
              <c:numCache>
                <c:formatCode>General</c:formatCode>
                <c:ptCount val="1"/>
                <c:pt idx="0">
                  <c:v>1.1200000000000001</c:v>
                </c:pt>
              </c:numCache>
            </c:numRef>
          </c:val>
          <c:extLst>
            <c:ext xmlns:c16="http://schemas.microsoft.com/office/drawing/2014/chart" uri="{C3380CC4-5D6E-409C-BE32-E72D297353CC}">
              <c16:uniqueId val="{00000001-B3FB-4CEB-9AD1-2FA565A8B978}"/>
            </c:ext>
          </c:extLst>
        </c:ser>
        <c:ser>
          <c:idx val="2"/>
          <c:order val="2"/>
          <c:tx>
            <c:strRef>
              <c:f>Sheet1!$D$1</c:f>
              <c:strCache>
                <c:ptCount val="1"/>
                <c:pt idx="0">
                  <c:v>10%</c:v>
                </c:pt>
              </c:strCache>
            </c:strRef>
          </c:tx>
          <c:spPr>
            <a:solidFill>
              <a:schemeClr val="accent3"/>
            </a:solidFill>
            <a:ln>
              <a:noFill/>
            </a:ln>
            <a:effectLst/>
          </c:spPr>
          <c:invertIfNegative val="0"/>
          <c:cat>
            <c:strRef>
              <c:f>Sheet1!$A$2</c:f>
              <c:strCache>
                <c:ptCount val="1"/>
                <c:pt idx="0">
                  <c:v>Percentage of Replacement (%)</c:v>
                </c:pt>
              </c:strCache>
            </c:strRef>
          </c:cat>
          <c:val>
            <c:numRef>
              <c:f>Sheet1!$D$2</c:f>
              <c:numCache>
                <c:formatCode>General</c:formatCode>
                <c:ptCount val="1"/>
                <c:pt idx="0">
                  <c:v>1.0900000000000001</c:v>
                </c:pt>
              </c:numCache>
            </c:numRef>
          </c:val>
          <c:extLst>
            <c:ext xmlns:c16="http://schemas.microsoft.com/office/drawing/2014/chart" uri="{C3380CC4-5D6E-409C-BE32-E72D297353CC}">
              <c16:uniqueId val="{00000002-B3FB-4CEB-9AD1-2FA565A8B978}"/>
            </c:ext>
          </c:extLst>
        </c:ser>
        <c:ser>
          <c:idx val="3"/>
          <c:order val="3"/>
          <c:tx>
            <c:strRef>
              <c:f>Sheet1!$E$1</c:f>
              <c:strCache>
                <c:ptCount val="1"/>
                <c:pt idx="0">
                  <c:v>15%</c:v>
                </c:pt>
              </c:strCache>
            </c:strRef>
          </c:tx>
          <c:spPr>
            <a:solidFill>
              <a:schemeClr val="accent4"/>
            </a:solidFill>
            <a:ln>
              <a:noFill/>
            </a:ln>
            <a:effectLst/>
          </c:spPr>
          <c:invertIfNegative val="0"/>
          <c:cat>
            <c:strRef>
              <c:f>Sheet1!$A$2</c:f>
              <c:strCache>
                <c:ptCount val="1"/>
                <c:pt idx="0">
                  <c:v>Percentage of Replacement (%)</c:v>
                </c:pt>
              </c:strCache>
            </c:strRef>
          </c:cat>
          <c:val>
            <c:numRef>
              <c:f>Sheet1!$E$2</c:f>
              <c:numCache>
                <c:formatCode>General</c:formatCode>
                <c:ptCount val="1"/>
                <c:pt idx="0">
                  <c:v>1.58</c:v>
                </c:pt>
              </c:numCache>
            </c:numRef>
          </c:val>
          <c:extLst>
            <c:ext xmlns:c16="http://schemas.microsoft.com/office/drawing/2014/chart" uri="{C3380CC4-5D6E-409C-BE32-E72D297353CC}">
              <c16:uniqueId val="{00000003-B3FB-4CEB-9AD1-2FA565A8B978}"/>
            </c:ext>
          </c:extLst>
        </c:ser>
        <c:dLbls>
          <c:showLegendKey val="0"/>
          <c:showVal val="0"/>
          <c:showCatName val="0"/>
          <c:showSerName val="0"/>
          <c:showPercent val="0"/>
          <c:showBubbleSize val="0"/>
        </c:dLbls>
        <c:gapWidth val="219"/>
        <c:overlap val="-27"/>
        <c:axId val="152557551"/>
        <c:axId val="152569551"/>
      </c:barChart>
      <c:catAx>
        <c:axId val="152557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569551"/>
        <c:crosses val="autoZero"/>
        <c:auto val="1"/>
        <c:lblAlgn val="ctr"/>
        <c:lblOffset val="100"/>
        <c:noMultiLvlLbl val="0"/>
      </c:catAx>
      <c:valAx>
        <c:axId val="152569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Water Absorption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557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Compressive strength test</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numRef>
              <c:f>Sheet1!$A$2:$A$4</c:f>
              <c:numCache>
                <c:formatCode>General</c:formatCode>
                <c:ptCount val="3"/>
                <c:pt idx="0">
                  <c:v>7</c:v>
                </c:pt>
                <c:pt idx="1">
                  <c:v>14</c:v>
                </c:pt>
                <c:pt idx="2">
                  <c:v>28</c:v>
                </c:pt>
              </c:numCache>
            </c:numRef>
          </c:cat>
          <c:val>
            <c:numRef>
              <c:f>Sheet1!$B$2:$B$4</c:f>
              <c:numCache>
                <c:formatCode>General</c:formatCode>
                <c:ptCount val="3"/>
                <c:pt idx="0">
                  <c:v>13.7</c:v>
                </c:pt>
                <c:pt idx="1">
                  <c:v>14.62</c:v>
                </c:pt>
                <c:pt idx="2">
                  <c:v>20.65</c:v>
                </c:pt>
              </c:numCache>
            </c:numRef>
          </c:val>
          <c:extLst>
            <c:ext xmlns:c16="http://schemas.microsoft.com/office/drawing/2014/chart" uri="{C3380CC4-5D6E-409C-BE32-E72D297353CC}">
              <c16:uniqueId val="{00000000-8172-43FB-89F7-FF20A586EE2D}"/>
            </c:ext>
          </c:extLst>
        </c:ser>
        <c:ser>
          <c:idx val="1"/>
          <c:order val="1"/>
          <c:tx>
            <c:strRef>
              <c:f>Sheet1!$C$1</c:f>
              <c:strCache>
                <c:ptCount val="1"/>
                <c:pt idx="0">
                  <c:v>5%</c:v>
                </c:pt>
              </c:strCache>
            </c:strRef>
          </c:tx>
          <c:spPr>
            <a:solidFill>
              <a:schemeClr val="accent2"/>
            </a:solidFill>
            <a:ln>
              <a:noFill/>
            </a:ln>
            <a:effectLst/>
          </c:spPr>
          <c:invertIfNegative val="0"/>
          <c:cat>
            <c:numRef>
              <c:f>Sheet1!$A$2:$A$4</c:f>
              <c:numCache>
                <c:formatCode>General</c:formatCode>
                <c:ptCount val="3"/>
                <c:pt idx="0">
                  <c:v>7</c:v>
                </c:pt>
                <c:pt idx="1">
                  <c:v>14</c:v>
                </c:pt>
                <c:pt idx="2">
                  <c:v>28</c:v>
                </c:pt>
              </c:numCache>
            </c:numRef>
          </c:cat>
          <c:val>
            <c:numRef>
              <c:f>Sheet1!$C$2:$C$4</c:f>
              <c:numCache>
                <c:formatCode>General</c:formatCode>
                <c:ptCount val="3"/>
                <c:pt idx="0">
                  <c:v>10.84</c:v>
                </c:pt>
                <c:pt idx="1">
                  <c:v>17.809999999999999</c:v>
                </c:pt>
                <c:pt idx="2">
                  <c:v>18.53</c:v>
                </c:pt>
              </c:numCache>
            </c:numRef>
          </c:val>
          <c:extLst>
            <c:ext xmlns:c16="http://schemas.microsoft.com/office/drawing/2014/chart" uri="{C3380CC4-5D6E-409C-BE32-E72D297353CC}">
              <c16:uniqueId val="{00000001-8172-43FB-89F7-FF20A586EE2D}"/>
            </c:ext>
          </c:extLst>
        </c:ser>
        <c:ser>
          <c:idx val="2"/>
          <c:order val="2"/>
          <c:tx>
            <c:strRef>
              <c:f>Sheet1!$D$1</c:f>
              <c:strCache>
                <c:ptCount val="1"/>
                <c:pt idx="0">
                  <c:v>10%</c:v>
                </c:pt>
              </c:strCache>
            </c:strRef>
          </c:tx>
          <c:spPr>
            <a:solidFill>
              <a:schemeClr val="accent3"/>
            </a:solidFill>
            <a:ln>
              <a:noFill/>
            </a:ln>
            <a:effectLst/>
          </c:spPr>
          <c:invertIfNegative val="0"/>
          <c:cat>
            <c:numRef>
              <c:f>Sheet1!$A$2:$A$4</c:f>
              <c:numCache>
                <c:formatCode>General</c:formatCode>
                <c:ptCount val="3"/>
                <c:pt idx="0">
                  <c:v>7</c:v>
                </c:pt>
                <c:pt idx="1">
                  <c:v>14</c:v>
                </c:pt>
                <c:pt idx="2">
                  <c:v>28</c:v>
                </c:pt>
              </c:numCache>
            </c:numRef>
          </c:cat>
          <c:val>
            <c:numRef>
              <c:f>Sheet1!$D$2:$D$4</c:f>
              <c:numCache>
                <c:formatCode>General</c:formatCode>
                <c:ptCount val="3"/>
                <c:pt idx="0">
                  <c:v>10.06</c:v>
                </c:pt>
                <c:pt idx="1">
                  <c:v>10.11</c:v>
                </c:pt>
                <c:pt idx="2">
                  <c:v>13.5</c:v>
                </c:pt>
              </c:numCache>
            </c:numRef>
          </c:val>
          <c:extLst>
            <c:ext xmlns:c16="http://schemas.microsoft.com/office/drawing/2014/chart" uri="{C3380CC4-5D6E-409C-BE32-E72D297353CC}">
              <c16:uniqueId val="{00000002-8172-43FB-89F7-FF20A586EE2D}"/>
            </c:ext>
          </c:extLst>
        </c:ser>
        <c:ser>
          <c:idx val="3"/>
          <c:order val="3"/>
          <c:tx>
            <c:strRef>
              <c:f>Sheet1!$E$1</c:f>
              <c:strCache>
                <c:ptCount val="1"/>
                <c:pt idx="0">
                  <c:v>15%</c:v>
                </c:pt>
              </c:strCache>
            </c:strRef>
          </c:tx>
          <c:spPr>
            <a:solidFill>
              <a:schemeClr val="accent4"/>
            </a:solidFill>
            <a:ln>
              <a:noFill/>
            </a:ln>
            <a:effectLst/>
          </c:spPr>
          <c:invertIfNegative val="0"/>
          <c:cat>
            <c:numRef>
              <c:f>Sheet1!$A$2:$A$4</c:f>
              <c:numCache>
                <c:formatCode>General</c:formatCode>
                <c:ptCount val="3"/>
                <c:pt idx="0">
                  <c:v>7</c:v>
                </c:pt>
                <c:pt idx="1">
                  <c:v>14</c:v>
                </c:pt>
                <c:pt idx="2">
                  <c:v>28</c:v>
                </c:pt>
              </c:numCache>
            </c:numRef>
          </c:cat>
          <c:val>
            <c:numRef>
              <c:f>Sheet1!$E$2:$E$4</c:f>
              <c:numCache>
                <c:formatCode>General</c:formatCode>
                <c:ptCount val="3"/>
                <c:pt idx="0">
                  <c:v>5.69</c:v>
                </c:pt>
                <c:pt idx="1">
                  <c:v>6.22</c:v>
                </c:pt>
                <c:pt idx="2">
                  <c:v>8.1999999999999993</c:v>
                </c:pt>
              </c:numCache>
            </c:numRef>
          </c:val>
          <c:extLst>
            <c:ext xmlns:c16="http://schemas.microsoft.com/office/drawing/2014/chart" uri="{C3380CC4-5D6E-409C-BE32-E72D297353CC}">
              <c16:uniqueId val="{00000003-8172-43FB-89F7-FF20A586EE2D}"/>
            </c:ext>
          </c:extLst>
        </c:ser>
        <c:dLbls>
          <c:showLegendKey val="0"/>
          <c:showVal val="0"/>
          <c:showCatName val="0"/>
          <c:showSerName val="0"/>
          <c:showPercent val="0"/>
          <c:showBubbleSize val="0"/>
        </c:dLbls>
        <c:gapWidth val="219"/>
        <c:overlap val="-27"/>
        <c:axId val="1683755151"/>
        <c:axId val="1683745071"/>
      </c:barChart>
      <c:catAx>
        <c:axId val="1683755151"/>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683745071"/>
        <c:crosses val="autoZero"/>
        <c:auto val="1"/>
        <c:lblAlgn val="ctr"/>
        <c:lblOffset val="100"/>
        <c:noMultiLvlLbl val="0"/>
      </c:catAx>
      <c:valAx>
        <c:axId val="168374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Compressive strength (N/mm2)</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3755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F9DDD-D2B5-4C28-99F3-D10864D83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15</Pages>
  <Words>5653</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Precious Olaomotito</cp:lastModifiedBy>
  <cp:revision>5</cp:revision>
  <cp:lastPrinted>1999-07-06T11:00:00Z</cp:lastPrinted>
  <dcterms:created xsi:type="dcterms:W3CDTF">2025-11-05T07:18:00Z</dcterms:created>
  <dcterms:modified xsi:type="dcterms:W3CDTF">2025-11-24T11:12:00Z</dcterms:modified>
</cp:coreProperties>
</file>