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9B62" w14:textId="78979587" w:rsidR="00754C9A" w:rsidRDefault="003F401D" w:rsidP="00441B6F">
      <w:pPr>
        <w:pStyle w:val="Title"/>
        <w:spacing w:after="0"/>
        <w:jc w:val="both"/>
        <w:rPr>
          <w:rFonts w:ascii="Arial" w:hAnsi="Arial" w:cs="Arial"/>
        </w:rPr>
      </w:pPr>
      <w:r w:rsidRPr="003F401D">
        <w:rPr>
          <w:rFonts w:ascii="Arial" w:hAnsi="Arial" w:cs="Arial"/>
        </w:rPr>
        <w:t>Original Research Article</w:t>
      </w:r>
    </w:p>
    <w:p w14:paraId="71E013BE" w14:textId="6DA94B90" w:rsidR="00790ADA" w:rsidRDefault="00FA3657" w:rsidP="00441B6F">
      <w:pPr>
        <w:pStyle w:val="Author"/>
        <w:spacing w:line="240" w:lineRule="auto"/>
        <w:rPr>
          <w:rFonts w:ascii="Arial" w:hAnsi="Arial" w:cs="Arial"/>
        </w:rPr>
      </w:pPr>
      <w:r w:rsidRPr="00FA3657">
        <w:rPr>
          <w:rFonts w:ascii="Arial" w:hAnsi="Arial" w:cs="Arial"/>
          <w:bCs/>
          <w:iCs/>
          <w:kern w:val="28"/>
          <w:sz w:val="36"/>
        </w:rPr>
        <w:t>Reduced Graphene Oxide/Polypyrrole (rGO/PPy) Nanocomposite Optimization and Electrochemical Performance for High-Performance Supercapacitors</w:t>
      </w:r>
    </w:p>
    <w:p w14:paraId="6FF47AD7" w14:textId="1DD90DAA" w:rsidR="00B01FCD" w:rsidRPr="00FB3A86" w:rsidRDefault="00B01FCD" w:rsidP="00441B6F">
      <w:pPr>
        <w:pStyle w:val="Copyright"/>
        <w:spacing w:after="0" w:line="240" w:lineRule="auto"/>
        <w:jc w:val="both"/>
        <w:rPr>
          <w:rFonts w:ascii="Arial" w:hAnsi="Arial" w:cs="Arial"/>
        </w:rPr>
        <w:sectPr w:rsidR="00B01FCD" w:rsidRPr="00FB3A86" w:rsidSect="002031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1198E82" w14:textId="7833587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7CC33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E9FFC64" w14:textId="77777777" w:rsidTr="001E44FE">
        <w:tc>
          <w:tcPr>
            <w:tcW w:w="9576" w:type="dxa"/>
            <w:shd w:val="clear" w:color="auto" w:fill="F2F2F2"/>
          </w:tcPr>
          <w:p w14:paraId="047B70B8" w14:textId="05D7B6C7" w:rsidR="00505F06" w:rsidRPr="00273239" w:rsidRDefault="00273239" w:rsidP="00273239">
            <w:pPr>
              <w:pStyle w:val="Body"/>
              <w:spacing w:after="0"/>
              <w:jc w:val="left"/>
              <w:rPr>
                <w:rFonts w:asciiTheme="minorBidi" w:eastAsia="Calibri" w:hAnsiTheme="minorBidi" w:cstheme="minorBidi"/>
                <w:b/>
                <w:bCs/>
                <w:sz w:val="22"/>
                <w:szCs w:val="24"/>
              </w:rPr>
            </w:pPr>
            <w:r>
              <w:rPr>
                <w:rFonts w:asciiTheme="minorBidi" w:eastAsia="Calibri" w:hAnsiTheme="minorBidi" w:cstheme="minorBidi"/>
                <w:b/>
                <w:bCs/>
                <w:sz w:val="22"/>
                <w:szCs w:val="24"/>
              </w:rPr>
              <w:t xml:space="preserve">The present </w:t>
            </w:r>
            <w:r w:rsidRPr="00273239">
              <w:rPr>
                <w:rFonts w:asciiTheme="minorBidi" w:eastAsia="Calibri" w:hAnsiTheme="minorBidi" w:cstheme="minorBidi"/>
                <w:b/>
                <w:bCs/>
                <w:sz w:val="22"/>
                <w:szCs w:val="24"/>
              </w:rPr>
              <w:t>study</w:t>
            </w:r>
            <w:r>
              <w:rPr>
                <w:rFonts w:asciiTheme="minorBidi" w:eastAsia="Calibri" w:hAnsiTheme="minorBidi" w:cstheme="minorBidi"/>
                <w:b/>
                <w:bCs/>
                <w:sz w:val="22"/>
                <w:szCs w:val="24"/>
              </w:rPr>
              <w:t xml:space="preserve"> discusses the successful synthesis of a series of reduced graphene oxide/polypyrrole (rGO/PPy) nanocomposites using an in situ oxidative polymerization method. The focus of the evaluation was on their performance as electrode materials for supercapacitor applications, with assessments conducted using cyclic voltammetry (CV). Specifically, the investigation aimed to elucidate the impact of varying PPy content on the electrochemical characteristics of the rGO/PPy system. Four distinct composites were analyzed, characterized by differing PPy loadings, rGO/PPy5, rGO/PPy10, rGO/PPy15, and rGO/PPy20, measured at a scan rate of 10 mV s</w:t>
            </w:r>
            <w:r>
              <w:rPr>
                <w:rFonts w:ascii="Cambria Math" w:eastAsia="Calibri" w:hAnsi="Cambria Math" w:cs="Cambria Math"/>
                <w:b/>
                <w:bCs/>
                <w:sz w:val="22"/>
                <w:szCs w:val="24"/>
              </w:rPr>
              <w:t>⁻</w:t>
            </w:r>
            <w:r>
              <w:rPr>
                <w:rFonts w:ascii="Arial" w:eastAsia="Calibri" w:hAnsi="Arial" w:cs="Arial"/>
                <w:b/>
                <w:bCs/>
                <w:sz w:val="22"/>
                <w:szCs w:val="24"/>
              </w:rPr>
              <w:t>¹</w:t>
            </w:r>
            <w:r>
              <w:rPr>
                <w:rFonts w:asciiTheme="minorBidi" w:eastAsia="Calibri" w:hAnsiTheme="minorBidi" w:cstheme="minorBidi"/>
                <w:b/>
                <w:bCs/>
                <w:sz w:val="22"/>
                <w:szCs w:val="24"/>
              </w:rPr>
              <w:t>. The CV profiles revealed quasi-rectangular shapes with pronounced redox peaks, thus confirming the presence of both electric double-layer capacitance (EDLC) and pseudocapacitance within the composite structure. The specific capacitance values were measured at 115.66, 89.20, 230.36, and 189.93 F g</w:t>
            </w:r>
            <w:r>
              <w:rPr>
                <w:rFonts w:ascii="Cambria Math" w:eastAsia="Calibri" w:hAnsi="Cambria Math" w:cs="Cambria Math"/>
                <w:b/>
                <w:bCs/>
                <w:sz w:val="22"/>
                <w:szCs w:val="24"/>
              </w:rPr>
              <w:t>⁻</w:t>
            </w:r>
            <w:r>
              <w:rPr>
                <w:rFonts w:ascii="Arial" w:eastAsia="Calibri" w:hAnsi="Arial" w:cs="Arial"/>
                <w:b/>
                <w:bCs/>
                <w:sz w:val="22"/>
                <w:szCs w:val="24"/>
              </w:rPr>
              <w:t>¹</w:t>
            </w:r>
            <w:r>
              <w:rPr>
                <w:rFonts w:asciiTheme="minorBidi" w:eastAsia="Calibri" w:hAnsiTheme="minorBidi" w:cstheme="minorBidi"/>
                <w:b/>
                <w:bCs/>
                <w:sz w:val="22"/>
                <w:szCs w:val="24"/>
              </w:rPr>
              <w:t xml:space="preserve"> for rGO/PPy5, rGO/PPy10, rGO/PPy15, and rGO/PPy20, respectively. Notably, the rGO/PPy15 composite exhibited the highest capacitance, indicating an optimal loading of PPy that promotes efficient charge transfer, enhanced ion diffusion, and optimal utilization of electroactive sites. Lower concentrations of PPy resulted in inadequate redox contributions, while excessive PPy content obstructed the rGO conductive network, impeding charge transport. The observed synergistic interaction between the highly conductive rGO framework and the redox-active PPy matrix facilitates superior charge storage capabilities and stability. In conclusion, this study demonstrates that the optimization of PPy content within rGO/PPy composites significantly enhances their electrochemical performance. The rGO/PPy15 formulation stands out for its excellent combination of high capacitance, substantial reversibility, and robust structural integrity, thereby positioning it as a promising candidate for next-generation high-performance supercapacitor devices.</w:t>
            </w:r>
          </w:p>
        </w:tc>
      </w:tr>
    </w:tbl>
    <w:p w14:paraId="2AA24EFD" w14:textId="77777777" w:rsidR="00636EB2" w:rsidRDefault="00636EB2" w:rsidP="00441B6F">
      <w:pPr>
        <w:pStyle w:val="Body"/>
        <w:spacing w:after="0"/>
        <w:rPr>
          <w:rFonts w:ascii="Arial" w:hAnsi="Arial" w:cs="Arial"/>
          <w:i/>
        </w:rPr>
      </w:pPr>
    </w:p>
    <w:p w14:paraId="00787BA1" w14:textId="527B768A" w:rsidR="00790ADA" w:rsidRDefault="00A24E7E" w:rsidP="0003172E">
      <w:pPr>
        <w:spacing w:before="100" w:beforeAutospacing="1" w:after="100" w:afterAutospacing="1"/>
        <w:jc w:val="both"/>
        <w:rPr>
          <w:rFonts w:ascii="Arial" w:hAnsi="Arial" w:cs="Arial"/>
          <w:i/>
        </w:rPr>
      </w:pPr>
      <w:r>
        <w:rPr>
          <w:rFonts w:ascii="Arial" w:hAnsi="Arial" w:cs="Arial"/>
          <w:i/>
        </w:rPr>
        <w:t xml:space="preserve">Keywords: </w:t>
      </w:r>
      <w:r w:rsidR="0003172E" w:rsidRPr="0003172E">
        <w:rPr>
          <w:rFonts w:asciiTheme="minorBidi" w:hAnsiTheme="minorBidi" w:cstheme="minorBidi"/>
          <w:lang w:eastAsia="en-IN"/>
        </w:rPr>
        <w:t>Supercapacitors, Cyclic Voltammetry, Specific Capacitance</w:t>
      </w:r>
      <w:r w:rsidR="0003172E">
        <w:rPr>
          <w:rFonts w:ascii="Times New Roman" w:hAnsi="Times New Roman"/>
          <w:lang w:eastAsia="en-IN"/>
        </w:rPr>
        <w:t>, Polypyrrole</w:t>
      </w:r>
    </w:p>
    <w:p w14:paraId="76C1A30D" w14:textId="77777777" w:rsidR="0024282C" w:rsidRDefault="0024282C" w:rsidP="00441B6F">
      <w:pPr>
        <w:pStyle w:val="Body"/>
        <w:spacing w:after="0"/>
        <w:rPr>
          <w:rFonts w:ascii="Arial" w:hAnsi="Arial" w:cs="Arial"/>
          <w:i/>
          <w:sz w:val="18"/>
        </w:rPr>
      </w:pPr>
    </w:p>
    <w:p w14:paraId="7D9911DF" w14:textId="77777777" w:rsidR="00505F06" w:rsidRDefault="00505F06" w:rsidP="00441B6F">
      <w:pPr>
        <w:pStyle w:val="Body"/>
        <w:spacing w:after="0"/>
        <w:rPr>
          <w:rFonts w:ascii="Arial" w:hAnsi="Arial" w:cs="Arial"/>
          <w:i/>
        </w:rPr>
      </w:pPr>
    </w:p>
    <w:p w14:paraId="6308084A" w14:textId="77777777" w:rsidR="007C3526" w:rsidRDefault="007C3526" w:rsidP="00441B6F">
      <w:pPr>
        <w:pStyle w:val="Body"/>
        <w:spacing w:after="0"/>
        <w:rPr>
          <w:rFonts w:ascii="Arial" w:hAnsi="Arial" w:cs="Arial"/>
          <w:i/>
        </w:rPr>
      </w:pPr>
    </w:p>
    <w:p w14:paraId="152E680F" w14:textId="77777777" w:rsidR="0003172E" w:rsidRDefault="0003172E" w:rsidP="00441B6F">
      <w:pPr>
        <w:pStyle w:val="Body"/>
        <w:spacing w:after="0"/>
        <w:rPr>
          <w:rFonts w:ascii="Arial" w:hAnsi="Arial" w:cs="Arial"/>
          <w:i/>
        </w:rPr>
      </w:pPr>
    </w:p>
    <w:p w14:paraId="36589AC0" w14:textId="77777777" w:rsidR="00111842" w:rsidRPr="00A24E7E" w:rsidRDefault="00111842" w:rsidP="00441B6F">
      <w:pPr>
        <w:pStyle w:val="Body"/>
        <w:spacing w:after="0"/>
        <w:rPr>
          <w:rFonts w:ascii="Arial" w:hAnsi="Arial" w:cs="Arial"/>
          <w:i/>
        </w:rPr>
      </w:pPr>
    </w:p>
    <w:p w14:paraId="744F846E" w14:textId="7DF0C35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99869DF" w14:textId="77777777" w:rsidR="00790ADA" w:rsidRPr="00FB3A86" w:rsidRDefault="00790ADA" w:rsidP="00441B6F">
      <w:pPr>
        <w:pStyle w:val="AbstHead"/>
        <w:spacing w:after="0"/>
        <w:jc w:val="both"/>
        <w:rPr>
          <w:rFonts w:ascii="Arial" w:hAnsi="Arial" w:cs="Arial"/>
        </w:rPr>
      </w:pPr>
    </w:p>
    <w:p w14:paraId="0A806CE1" w14:textId="77777777" w:rsidR="0003172E" w:rsidRDefault="0003172E" w:rsidP="00441B6F">
      <w:pPr>
        <w:pStyle w:val="Body"/>
        <w:spacing w:after="0"/>
        <w:rPr>
          <w:rFonts w:ascii="Arial" w:hAnsi="Arial" w:cs="Arial"/>
        </w:rPr>
      </w:pPr>
    </w:p>
    <w:p w14:paraId="165B8F3A" w14:textId="48261DD7" w:rsidR="00411502" w:rsidRDefault="00411502" w:rsidP="00411502">
      <w:pPr>
        <w:jc w:val="both"/>
        <w:rPr>
          <w:rFonts w:asciiTheme="minorBidi" w:hAnsiTheme="minorBidi" w:cstheme="minorBidi"/>
        </w:rPr>
      </w:pPr>
      <w:r>
        <w:rPr>
          <w:rFonts w:asciiTheme="minorBidi" w:hAnsiTheme="minorBidi" w:cstheme="minorBidi"/>
        </w:rPr>
        <w:t>The rapid advancement of portable electronics, electric vehicles, and renewable energy systems has precipitated an urgent demand for efficient and reliable energy storage technologies. Among the various energy storage devices, supercapacitors, also referred to as electrochemical capacitors, have emerged as promising alternatives or complements to conventional batteries. Their advantages stem from high power density, rapid charge–discharge rates, excellent reversibility, and long cycle life. Supercapacitors effectively bridge the gap between the high energy density characteristic of batteries and the high power density associated with traditional capacitors, thereby making them particularly suitable for applications necessitating fast energy delivery and sustained operational stability [1]. Supercapacitors can be categorized into two primary types based on their energy storage mechanisms: electric double-layer capacitors (EDLCs) and pseudocapacitors. EDLCs store energy physically through the electrostatic accumulation of ions at the electrode–electrolyte interface. In this context, carbon-based materials such as activated carbon, carbon nanotubes, and graphene are extensively utilized in EDLCs due to their high surface area, exceptional conductivity, and chemical stability. Conversely, pseudocapacitors store energy through fast and reversible Faradaic redox reactions occurring at or near the surface of the electrode materials [2]. Common materials for pseudocapacitors include transition metal oxides (e.g., MnO</w:t>
      </w:r>
      <w:r>
        <w:rPr>
          <w:rFonts w:ascii="Cambria Math" w:hAnsi="Cambria Math" w:cs="Cambria Math"/>
        </w:rPr>
        <w:t>₂</w:t>
      </w:r>
      <w:r>
        <w:rPr>
          <w:rFonts w:asciiTheme="minorBidi" w:hAnsiTheme="minorBidi" w:cstheme="minorBidi"/>
        </w:rPr>
        <w:t xml:space="preserve"> and RuO</w:t>
      </w:r>
      <w:r>
        <w:rPr>
          <w:rFonts w:ascii="Cambria Math" w:hAnsi="Cambria Math" w:cs="Cambria Math"/>
        </w:rPr>
        <w:t>₂</w:t>
      </w:r>
      <w:r>
        <w:rPr>
          <w:rFonts w:asciiTheme="minorBidi" w:hAnsiTheme="minorBidi" w:cstheme="minorBidi"/>
        </w:rPr>
        <w:t>) and conducting polymers (e.g., polyaniline, polypyrrole, and polythiophene). Although pseudocapacitors generally exhibit higher specific capacitance than EDLCs, their performance may be constrained by structural degradation and suboptimal cycling stability resulting from volumetric changes during repeated redox processes [3].</w:t>
      </w:r>
    </w:p>
    <w:p w14:paraId="78ED083B" w14:textId="77777777" w:rsidR="00411502" w:rsidRDefault="00411502" w:rsidP="0003172E">
      <w:pPr>
        <w:jc w:val="both"/>
        <w:rPr>
          <w:rFonts w:asciiTheme="minorBidi" w:hAnsiTheme="minorBidi" w:cstheme="minorBidi"/>
        </w:rPr>
      </w:pPr>
    </w:p>
    <w:p w14:paraId="51D131AD" w14:textId="15CA8264" w:rsidR="00411502" w:rsidRDefault="00411502" w:rsidP="00411502">
      <w:pPr>
        <w:jc w:val="both"/>
        <w:rPr>
          <w:rFonts w:asciiTheme="minorBidi" w:hAnsiTheme="minorBidi" w:cstheme="minorBidi"/>
        </w:rPr>
      </w:pPr>
      <w:r>
        <w:rPr>
          <w:rFonts w:asciiTheme="minorBidi" w:hAnsiTheme="minorBidi" w:cstheme="minorBidi"/>
        </w:rPr>
        <w:t>To harness the advantages of both mechanisms—high capacitance and exceptional stability, recent research has concentrated on hybrid electrode materials that amalgamate carbon-based structures with pseudocapacitive components. Among these, reduced graphene oxide (rGO) and polypyrrole (PPy) have emerged as particularly promising candidates. Reduced graphene oxide, a derivative of graphene, possesses remarkable electrical conductivity, an extensive specific surface area, and mechanical flexibility. It serves effectively as a substrate for the growth or deposition of pseudocapacitive materials, thereby enhancing charge transfer and structural stability [4]. In parallel, polypyrrole is one of the most thoroughly investigated conducting polymers, noted for its high electrical conductivity, environmental stability, and straightforward synthesis through chemical or electrochemical polymerization. PPy exhibits pseudocapacitance due to its reversible redox transitions between doped and undoped states, facilitating rapid charge storage [4,5]. However, each of these materials presents intrinsic limitations when utilized in isolation. Pristine PPy tends to suffer from inadequate mechanical integrity and limited cycle life, primarily due to volumetric swelling and contraction during redox cycling. This issue results in cracking, delamination, and a loss of electrical contact between polymer chains and the current collector. Conversely, while rGO offers superior conductivity and a large surface area, it demonstrates relatively low specific capacitance since its energy storage mechanism is predominantly based on non-Faradaic electrostatic processes [6]. Therefore, the development of rGO/PPy nanocomposites represents a strategic approach to combine the strengths of both components. In such hybrid materials, rGO acts as a conductive backbone accommodating the volume fluctuations of PPy, while PPy contributes Faradaic pseudocapacitance, resulting in a synergistic enhancement of overall electrochemical performance [6,7].</w:t>
      </w:r>
    </w:p>
    <w:p w14:paraId="7732F6ED" w14:textId="77777777" w:rsidR="00411502" w:rsidRDefault="00411502" w:rsidP="0003172E">
      <w:pPr>
        <w:jc w:val="both"/>
        <w:rPr>
          <w:rFonts w:asciiTheme="minorBidi" w:hAnsiTheme="minorBidi" w:cstheme="minorBidi"/>
        </w:rPr>
      </w:pPr>
    </w:p>
    <w:p w14:paraId="3E3EDDD8" w14:textId="24AAD6D0" w:rsidR="0003172E" w:rsidRDefault="00411502" w:rsidP="0003172E">
      <w:pPr>
        <w:jc w:val="both"/>
        <w:rPr>
          <w:rFonts w:asciiTheme="minorBidi" w:hAnsiTheme="minorBidi" w:cstheme="minorBidi"/>
        </w:rPr>
      </w:pPr>
      <w:r>
        <w:rPr>
          <w:rFonts w:asciiTheme="minorBidi" w:hAnsiTheme="minorBidi" w:cstheme="minorBidi"/>
        </w:rPr>
        <w:t xml:space="preserve">The interaction between rGO sheets and PPy chains within the composite significantly improves several critical performance parameters. First, the conductivity of the electrode is enhanced as rGO provides efficient pathways for electron transport. Second, ionic </w:t>
      </w:r>
      <w:r>
        <w:rPr>
          <w:rFonts w:asciiTheme="minorBidi" w:hAnsiTheme="minorBidi" w:cstheme="minorBidi"/>
        </w:rPr>
        <w:lastRenderedPageBreak/>
        <w:t>accessibility is improved, as the polymer coating inhibits the restacking of rGO sheets and maintains open channels for electrolyte ions to diffuse. Third, structural stability is bolstered as the flexible rGO sheets help buffer the mechanical stress generated during volumetric expansion and contraction of PPy. Consequently, the rGO/PPy nanocomposite typically exhibits superior specific capacitance, enhanced rate capability, and significantly improved long-term stability compared to either component when utilized independently [8].</w:t>
      </w:r>
    </w:p>
    <w:p w14:paraId="13D61C2D" w14:textId="77777777" w:rsidR="00411502" w:rsidRPr="0003172E" w:rsidRDefault="00411502" w:rsidP="0003172E">
      <w:pPr>
        <w:jc w:val="both"/>
        <w:rPr>
          <w:rFonts w:asciiTheme="minorBidi" w:hAnsiTheme="minorBidi" w:cstheme="minorBidi"/>
        </w:rPr>
      </w:pPr>
    </w:p>
    <w:p w14:paraId="5B9FADC7" w14:textId="05184AED" w:rsidR="0003172E" w:rsidRDefault="0003172E" w:rsidP="00411502">
      <w:pPr>
        <w:jc w:val="both"/>
        <w:rPr>
          <w:rFonts w:asciiTheme="minorBidi" w:hAnsiTheme="minorBidi" w:cstheme="minorBidi"/>
        </w:rPr>
      </w:pPr>
      <w:r w:rsidRPr="0003172E">
        <w:rPr>
          <w:rFonts w:asciiTheme="minorBidi" w:hAnsiTheme="minorBidi" w:cstheme="minorBidi"/>
        </w:rPr>
        <w:t>Recent studies have demonstrated that the synthesis route and microstructural design of rGO/PPy composites play a crucial role in determining their electrochemical behavior. Common methods for preparing such composites include in-situ chemical oxidative polymerization, electrochemical deposition, and solution blending. Among these, in-situ polymerization of pyrrole monomer in the presence of dispersed rGO has been widely adopted due to its simplicity and ability to ensure uniform PPy coating on the rGO surface. This method promotes intimate contact between the two components, leading to enhanced charge transfer and mechanical integrity [9-11].</w:t>
      </w:r>
      <w:r w:rsidR="00411502">
        <w:rPr>
          <w:rFonts w:asciiTheme="minorBidi" w:hAnsiTheme="minorBidi" w:cstheme="minorBidi"/>
        </w:rPr>
        <w:t xml:space="preserve"> </w:t>
      </w:r>
      <w:r w:rsidRPr="0003172E">
        <w:rPr>
          <w:rFonts w:asciiTheme="minorBidi" w:hAnsiTheme="minorBidi" w:cstheme="minorBidi"/>
        </w:rPr>
        <w:t>The performance of supercapacitor electrodes is typically evaluated by several electrochemical techniques, among which cyclic voltammetry (CV) is one of the most informative and fundamental tools. CV analysis provides insight into the charge storage mechanism, reversibility of redox reactions, capacitance behavior, and rate capability of the material. By sweeping the potential at various scan rates, one can distinguish between capacitive (surface-controlled) and diffusion-controlled processes, observe redox peaks characteristic of pseudocapacitive materials, and calculate the specific capacitance based on the integrated area under the CV curve. Moreover, the shape and symmetry of the CV curves reveal information about the electrode’s charge–discharge reversibility and internal resistance. In an ideal EDLC, the CV curve is nearly rectangular, indicating perfect capacitive behavior. In contrast, pseudocapacitive materials display redox peaks due to Faradaic processes. A well-designed rGO/PPy composite often exhibits a quasi-rectangular CV profile with small redox humps, signifying a balanced contribution from both double-layer and pseudocapacitance mechanisms [12].</w:t>
      </w:r>
    </w:p>
    <w:p w14:paraId="55329476" w14:textId="77777777" w:rsidR="00411502" w:rsidRPr="0003172E" w:rsidRDefault="00411502" w:rsidP="0003172E">
      <w:pPr>
        <w:jc w:val="both"/>
        <w:rPr>
          <w:rFonts w:asciiTheme="minorBidi" w:hAnsiTheme="minorBidi" w:cstheme="minorBidi"/>
        </w:rPr>
      </w:pPr>
    </w:p>
    <w:p w14:paraId="6CEEFA35" w14:textId="0AE14E06" w:rsidR="0003172E" w:rsidRPr="0003172E" w:rsidRDefault="0003172E" w:rsidP="00411502">
      <w:pPr>
        <w:jc w:val="both"/>
        <w:rPr>
          <w:rFonts w:asciiTheme="minorBidi" w:hAnsiTheme="minorBidi" w:cstheme="minorBidi"/>
        </w:rPr>
      </w:pPr>
      <w:r w:rsidRPr="0003172E">
        <w:rPr>
          <w:rFonts w:asciiTheme="minorBidi" w:hAnsiTheme="minorBidi" w:cstheme="minorBidi"/>
        </w:rPr>
        <w:t>In this study, the electrochemical performance of an rGO/PPy nanocomposite electrode was systematically evaluated using cyclic voltammetry in an aqueous electrolyte. The focus was placed on understanding how the composite structure influences the capacitive behavior, redox characteristics, and cycling stability of the electrode. The composite was synthesized via in-situ oxidative polymerization, ensuring strong interfacial contact between rGO and PPy. The electrochemical tests were conducted at various scan rates to assess the rate capability and charge transfer kinetics.</w:t>
      </w:r>
      <w:r w:rsidR="00411502">
        <w:rPr>
          <w:rFonts w:asciiTheme="minorBidi" w:hAnsiTheme="minorBidi" w:cstheme="minorBidi"/>
        </w:rPr>
        <w:t xml:space="preserve"> </w:t>
      </w:r>
      <w:r w:rsidRPr="0003172E">
        <w:rPr>
          <w:rFonts w:asciiTheme="minorBidi" w:hAnsiTheme="minorBidi" w:cstheme="minorBidi"/>
        </w:rPr>
        <w:t>By comparing the CV profiles of rGO, PPy, and rGO/PPy electrodes, the synergistic effects of the hybrid composition can be elucidated. The incorporation of rGO is expected to facilitate rapid electron transport, reduce charge transfer resistance, and improve the mechanical durability of the PPy layer [13]. Meanwhile, the presence of PPy introduces reversible redox activity, enhancing the overall capacitance of the system. Furthermore, the role of scan rate on the shape and area of CV curves provides valuable information on ion diffusion and electrode utilization efficiency.</w:t>
      </w:r>
      <w:r w:rsidR="00411502">
        <w:rPr>
          <w:rFonts w:asciiTheme="minorBidi" w:hAnsiTheme="minorBidi" w:cstheme="minorBidi"/>
        </w:rPr>
        <w:t xml:space="preserve"> </w:t>
      </w:r>
      <w:r w:rsidRPr="0003172E">
        <w:rPr>
          <w:rFonts w:asciiTheme="minorBidi" w:hAnsiTheme="minorBidi" w:cstheme="minorBidi"/>
        </w:rPr>
        <w:t>The overarching objective of this work is to demonstrate that the rGO/PPy nanocomposite can serve as a highly efficient electrode material for supercapacitors by combining the advantages of EDLC and pseudocapacitive mechanisms within a single structure. Through cyclic voltammetry analysis, the study aims to highlight the synergy between the conductive carbon framework and the redox-active polymer matrix. Understanding this relationship will not only advance the design of hybrid electrodes for next-generation energy storage devices but also provide insights into optimizing the interfacial engineering of composite materials for improved electrochemical performance.</w:t>
      </w:r>
    </w:p>
    <w:p w14:paraId="2F3FCE23" w14:textId="77777777" w:rsidR="0003172E" w:rsidRDefault="0003172E" w:rsidP="00441B6F">
      <w:pPr>
        <w:pStyle w:val="Body"/>
        <w:spacing w:after="0"/>
        <w:rPr>
          <w:rFonts w:ascii="Arial" w:hAnsi="Arial" w:cs="Arial"/>
        </w:rPr>
      </w:pPr>
    </w:p>
    <w:p w14:paraId="4BAE6C32" w14:textId="77777777" w:rsidR="00790ADA" w:rsidRPr="00FB3A86" w:rsidRDefault="00790ADA" w:rsidP="00441B6F">
      <w:pPr>
        <w:pStyle w:val="Body"/>
        <w:spacing w:after="0"/>
        <w:rPr>
          <w:rFonts w:ascii="Arial" w:hAnsi="Arial" w:cs="Arial"/>
        </w:rPr>
      </w:pPr>
    </w:p>
    <w:p w14:paraId="7D79871D" w14:textId="7D0020E6"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60E3A282" w14:textId="77777777" w:rsidR="0003172E" w:rsidRDefault="0003172E" w:rsidP="00441B6F">
      <w:pPr>
        <w:pStyle w:val="AbstHead"/>
        <w:spacing w:after="0"/>
        <w:jc w:val="both"/>
        <w:rPr>
          <w:rFonts w:ascii="Arial" w:hAnsi="Arial" w:cs="Arial"/>
        </w:rPr>
      </w:pPr>
    </w:p>
    <w:p w14:paraId="42C492CB" w14:textId="77777777" w:rsidR="0003172E" w:rsidRPr="0003172E" w:rsidRDefault="0003172E" w:rsidP="0003172E">
      <w:pPr>
        <w:jc w:val="both"/>
        <w:rPr>
          <w:rFonts w:asciiTheme="minorBidi" w:hAnsiTheme="minorBidi" w:cstheme="minorBidi"/>
          <w:b/>
          <w:bCs/>
        </w:rPr>
      </w:pPr>
      <w:r w:rsidRPr="0003172E">
        <w:rPr>
          <w:rFonts w:asciiTheme="minorBidi" w:hAnsiTheme="minorBidi" w:cstheme="minorBidi"/>
          <w:b/>
          <w:bCs/>
        </w:rPr>
        <w:t>2.1. Synthesis of rGO</w:t>
      </w:r>
    </w:p>
    <w:p w14:paraId="0A404420" w14:textId="77777777" w:rsidR="0003172E" w:rsidRPr="0003172E" w:rsidRDefault="0003172E" w:rsidP="0003172E">
      <w:pPr>
        <w:jc w:val="both"/>
        <w:rPr>
          <w:rFonts w:asciiTheme="minorBidi" w:hAnsiTheme="minorBidi" w:cstheme="minorBidi"/>
        </w:rPr>
      </w:pPr>
      <w:r w:rsidRPr="0003172E">
        <w:rPr>
          <w:rFonts w:asciiTheme="minorBidi" w:hAnsiTheme="minorBidi" w:cstheme="minorBidi"/>
        </w:rPr>
        <w:t>Graphene oxide (GO) was synthesized using a modified Hummers’ method and subsequently reduced with hydrazine hydrate to obtain rGO. The product was washed with deionized water and ethanol, then dried under vacuum at 60 °C.</w:t>
      </w:r>
    </w:p>
    <w:p w14:paraId="5E8232F3" w14:textId="77777777" w:rsidR="0003172E" w:rsidRPr="0003172E" w:rsidRDefault="0003172E" w:rsidP="0003172E">
      <w:pPr>
        <w:jc w:val="both"/>
        <w:rPr>
          <w:rFonts w:asciiTheme="minorBidi" w:hAnsiTheme="minorBidi" w:cstheme="minorBidi"/>
          <w:b/>
          <w:bCs/>
        </w:rPr>
      </w:pPr>
      <w:r w:rsidRPr="0003172E">
        <w:rPr>
          <w:rFonts w:asciiTheme="minorBidi" w:hAnsiTheme="minorBidi" w:cstheme="minorBidi"/>
          <w:b/>
          <w:bCs/>
        </w:rPr>
        <w:t>2.2. Preparation of rGO/PPy Nanocomposite</w:t>
      </w:r>
    </w:p>
    <w:p w14:paraId="3532EC7B" w14:textId="7DA6F216" w:rsidR="006F2375" w:rsidRDefault="0003172E" w:rsidP="0003172E">
      <w:pPr>
        <w:jc w:val="both"/>
        <w:rPr>
          <w:rFonts w:asciiTheme="minorBidi" w:hAnsiTheme="minorBidi" w:cstheme="minorBidi"/>
        </w:rPr>
      </w:pPr>
      <w:r w:rsidRPr="0003172E">
        <w:rPr>
          <w:rFonts w:asciiTheme="minorBidi" w:hAnsiTheme="minorBidi" w:cstheme="minorBidi"/>
        </w:rPr>
        <w:t xml:space="preserve">An in-situ oxidative polymerization method was employed. rGO (50 mg) was dispersed in 100 mL </w:t>
      </w:r>
      <w:r w:rsidR="006F2375">
        <w:rPr>
          <w:rFonts w:asciiTheme="minorBidi" w:hAnsiTheme="minorBidi" w:cstheme="minorBidi"/>
        </w:rPr>
        <w:t xml:space="preserve">of </w:t>
      </w:r>
      <w:r w:rsidRPr="0003172E">
        <w:rPr>
          <w:rFonts w:asciiTheme="minorBidi" w:hAnsiTheme="minorBidi" w:cstheme="minorBidi"/>
        </w:rPr>
        <w:t>deionized water by ultrasonication. Pyrrole monomer (0.1 M) was added, followed by dropwise addition of ammonium persulfate (APS, 0.1 M) as the oxidant under stirring at 0–5 °C for 6 h. The resulting rGO/PPy composite was filtered, washed, and dried under vacuum.</w:t>
      </w:r>
      <w:r w:rsidR="006F2375">
        <w:rPr>
          <w:rFonts w:asciiTheme="minorBidi" w:hAnsiTheme="minorBidi" w:cstheme="minorBidi"/>
        </w:rPr>
        <w:t xml:space="preserve"> 5 – 20 wt% rGO to PPy samples were prepared, namely, rGO/PPy5, rGO/PPy10, rGO/PPy15, rGO/PPy20.</w:t>
      </w:r>
    </w:p>
    <w:p w14:paraId="43E97E60" w14:textId="21397B11" w:rsidR="0003172E" w:rsidRPr="0003172E" w:rsidRDefault="006F2375" w:rsidP="0003172E">
      <w:pPr>
        <w:jc w:val="both"/>
        <w:rPr>
          <w:rFonts w:asciiTheme="minorBidi" w:hAnsiTheme="minorBidi" w:cstheme="minorBidi"/>
        </w:rPr>
      </w:pPr>
      <w:r>
        <w:rPr>
          <w:rFonts w:asciiTheme="minorBidi" w:hAnsiTheme="minorBidi" w:cstheme="minorBidi"/>
        </w:rPr>
        <w:t xml:space="preserve"> </w:t>
      </w:r>
    </w:p>
    <w:p w14:paraId="6FA20A81" w14:textId="77777777" w:rsidR="0003172E" w:rsidRPr="0003172E" w:rsidRDefault="0003172E" w:rsidP="0003172E">
      <w:pPr>
        <w:jc w:val="both"/>
        <w:rPr>
          <w:rFonts w:asciiTheme="minorBidi" w:hAnsiTheme="minorBidi" w:cstheme="minorBidi"/>
          <w:b/>
          <w:bCs/>
        </w:rPr>
      </w:pPr>
      <w:r w:rsidRPr="0003172E">
        <w:rPr>
          <w:rFonts w:asciiTheme="minorBidi" w:hAnsiTheme="minorBidi" w:cstheme="minorBidi"/>
          <w:b/>
          <w:bCs/>
        </w:rPr>
        <w:t>2.3. Electrode Preparation</w:t>
      </w:r>
    </w:p>
    <w:p w14:paraId="3679EAB4" w14:textId="3BA2DB12" w:rsidR="0003172E" w:rsidRPr="0003172E" w:rsidRDefault="0003172E" w:rsidP="0003172E">
      <w:pPr>
        <w:jc w:val="both"/>
        <w:rPr>
          <w:rFonts w:asciiTheme="minorBidi" w:hAnsiTheme="minorBidi" w:cstheme="minorBidi"/>
        </w:rPr>
      </w:pPr>
      <w:r w:rsidRPr="0003172E">
        <w:rPr>
          <w:rFonts w:asciiTheme="minorBidi" w:hAnsiTheme="minorBidi" w:cstheme="minorBidi"/>
        </w:rPr>
        <w:t>The working electrode was fabricated by coating a slurry of active material (rGO/PPy), carbon black, and polyvinylidene fluoride (PVDF) binder (80:10:10 wt%) onto a nickel foam substrate, followed by drying at 80 °C for 12 h. A platinum wire and Ag/AgCl electrode were used as counter and reference electrodes, respectively.</w:t>
      </w:r>
      <w:r w:rsidR="006F2375">
        <w:rPr>
          <w:rFonts w:asciiTheme="minorBidi" w:hAnsiTheme="minorBidi" w:cstheme="minorBidi"/>
        </w:rPr>
        <w:t xml:space="preserve"> The mass loading is about 1mg for every electrode.</w:t>
      </w:r>
    </w:p>
    <w:p w14:paraId="7E2DCE55" w14:textId="77777777" w:rsidR="0003172E" w:rsidRPr="0003172E" w:rsidRDefault="0003172E" w:rsidP="0003172E">
      <w:pPr>
        <w:jc w:val="both"/>
        <w:rPr>
          <w:rFonts w:asciiTheme="minorBidi" w:hAnsiTheme="minorBidi" w:cstheme="minorBidi"/>
          <w:b/>
          <w:bCs/>
        </w:rPr>
      </w:pPr>
      <w:r w:rsidRPr="0003172E">
        <w:rPr>
          <w:rFonts w:asciiTheme="minorBidi" w:hAnsiTheme="minorBidi" w:cstheme="minorBidi"/>
          <w:b/>
          <w:bCs/>
        </w:rPr>
        <w:t>2.4. Electrochemical Measurements</w:t>
      </w:r>
    </w:p>
    <w:p w14:paraId="3E519601" w14:textId="23C310E6" w:rsidR="0003172E" w:rsidRPr="0003172E" w:rsidRDefault="0003172E" w:rsidP="0003172E">
      <w:pPr>
        <w:jc w:val="both"/>
        <w:rPr>
          <w:rFonts w:asciiTheme="minorBidi" w:hAnsiTheme="minorBidi" w:cstheme="minorBidi"/>
        </w:rPr>
      </w:pPr>
      <w:r w:rsidRPr="0003172E">
        <w:rPr>
          <w:rFonts w:asciiTheme="minorBidi" w:hAnsiTheme="minorBidi" w:cstheme="minorBidi"/>
        </w:rPr>
        <w:t>Cyclic voltammetry (CV) was performed in a 1 M H</w:t>
      </w:r>
      <w:r w:rsidRPr="0003172E">
        <w:rPr>
          <w:rFonts w:ascii="Cambria Math" w:hAnsi="Cambria Math" w:cs="Cambria Math"/>
        </w:rPr>
        <w:t>₂</w:t>
      </w:r>
      <w:r w:rsidRPr="0003172E">
        <w:rPr>
          <w:rFonts w:asciiTheme="minorBidi" w:hAnsiTheme="minorBidi" w:cstheme="minorBidi"/>
        </w:rPr>
        <w:t>SO</w:t>
      </w:r>
      <w:r w:rsidRPr="0003172E">
        <w:rPr>
          <w:rFonts w:ascii="Cambria Math" w:hAnsi="Cambria Math" w:cs="Cambria Math"/>
        </w:rPr>
        <w:t>₄</w:t>
      </w:r>
      <w:r w:rsidRPr="0003172E">
        <w:rPr>
          <w:rFonts w:asciiTheme="minorBidi" w:hAnsiTheme="minorBidi" w:cstheme="minorBidi"/>
        </w:rPr>
        <w:t xml:space="preserve"> aqueous electrolyte using a potentiostat</w:t>
      </w:r>
      <w:r w:rsidR="006F2375">
        <w:rPr>
          <w:rFonts w:asciiTheme="minorBidi" w:hAnsiTheme="minorBidi" w:cstheme="minorBidi"/>
        </w:rPr>
        <w:t xml:space="preserve"> due to the fact that </w:t>
      </w:r>
      <w:r w:rsidR="00293663">
        <w:rPr>
          <w:rFonts w:asciiTheme="minorBidi" w:hAnsiTheme="minorBidi" w:cstheme="minorBidi"/>
        </w:rPr>
        <w:t>PPy is suitable in neutral and acidic electrolyte</w:t>
      </w:r>
      <w:r w:rsidRPr="0003172E">
        <w:rPr>
          <w:rFonts w:asciiTheme="minorBidi" w:hAnsiTheme="minorBidi" w:cstheme="minorBidi"/>
        </w:rPr>
        <w:t xml:space="preserve">. The potential window was set from </w:t>
      </w:r>
      <w:r w:rsidRPr="0003172E">
        <w:rPr>
          <w:rFonts w:ascii="Arial" w:hAnsi="Arial" w:cs="Arial"/>
        </w:rPr>
        <w:t>–</w:t>
      </w:r>
      <w:r w:rsidRPr="0003172E">
        <w:rPr>
          <w:rFonts w:asciiTheme="minorBidi" w:hAnsiTheme="minorBidi" w:cstheme="minorBidi"/>
        </w:rPr>
        <w:t xml:space="preserve">0.2 V to 0.8 V at </w:t>
      </w:r>
      <w:r w:rsidR="00293663">
        <w:rPr>
          <w:rFonts w:asciiTheme="minorBidi" w:hAnsiTheme="minorBidi" w:cstheme="minorBidi"/>
        </w:rPr>
        <w:t>optimized 10 mV/s scan rate.</w:t>
      </w:r>
    </w:p>
    <w:p w14:paraId="3A415DBE" w14:textId="6F9338A6" w:rsidR="00790ADA" w:rsidRPr="0003172E" w:rsidRDefault="00790ADA" w:rsidP="00441B6F">
      <w:pPr>
        <w:pStyle w:val="AbstHead"/>
        <w:spacing w:after="0"/>
        <w:jc w:val="both"/>
        <w:rPr>
          <w:rFonts w:ascii="Arial" w:hAnsi="Arial" w:cs="Arial"/>
          <w:b w:val="0"/>
          <w:bCs/>
        </w:rPr>
      </w:pPr>
    </w:p>
    <w:p w14:paraId="44D9D6DB" w14:textId="77777777" w:rsidR="00790ADA" w:rsidRPr="00FB3A86" w:rsidRDefault="00790ADA" w:rsidP="00441B6F">
      <w:pPr>
        <w:pStyle w:val="Body"/>
        <w:spacing w:after="0"/>
        <w:rPr>
          <w:rFonts w:ascii="Arial" w:hAnsi="Arial" w:cs="Arial"/>
        </w:rPr>
      </w:pPr>
    </w:p>
    <w:p w14:paraId="741473E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D1465F" w14:textId="77777777" w:rsidR="00BF2F12" w:rsidRDefault="00BF2F12" w:rsidP="00441B6F">
      <w:pPr>
        <w:pStyle w:val="Head1"/>
        <w:spacing w:after="0"/>
        <w:jc w:val="both"/>
        <w:rPr>
          <w:rFonts w:ascii="Arial" w:hAnsi="Arial" w:cs="Arial"/>
        </w:rPr>
      </w:pPr>
    </w:p>
    <w:p w14:paraId="4FAEAD9F" w14:textId="739B8D7A" w:rsidR="00790ADA" w:rsidRPr="00BF2F12" w:rsidRDefault="00BF2F12" w:rsidP="00BF2F12">
      <w:pPr>
        <w:rPr>
          <w:b/>
          <w:bCs/>
        </w:rPr>
      </w:pPr>
      <w:r w:rsidRPr="00BF2F12">
        <w:rPr>
          <w:b/>
          <w:bCs/>
        </w:rPr>
        <w:t>3.1 XRD Results</w:t>
      </w:r>
    </w:p>
    <w:p w14:paraId="71616BCE" w14:textId="77777777" w:rsidR="00BF2F12" w:rsidRDefault="00BF2F12" w:rsidP="00441B6F">
      <w:pPr>
        <w:pStyle w:val="Head1"/>
        <w:spacing w:after="0"/>
        <w:jc w:val="both"/>
        <w:rPr>
          <w:rFonts w:ascii="Arial" w:hAnsi="Arial" w:cs="Arial"/>
        </w:rPr>
      </w:pPr>
    </w:p>
    <w:p w14:paraId="14ED46DA" w14:textId="7BD9C63C" w:rsidR="000D504A" w:rsidRPr="000D504A" w:rsidRDefault="000D504A" w:rsidP="000D504A">
      <w:pPr>
        <w:jc w:val="both"/>
      </w:pPr>
      <w:r w:rsidRPr="000D504A">
        <w:t>The XRD pattern of the rGO/PPy composite</w:t>
      </w:r>
      <w:r>
        <w:t xml:space="preserve"> [Fig. 1]</w:t>
      </w:r>
      <w:r w:rsidRPr="000D504A">
        <w:t xml:space="preserve"> exhibits a broad diffraction feature centered around ~22–25°, which is characteristic of poorly ordered, turbostratic carbon structures typically observed in reduced graphene oxide. The broadness and low intensity of this peak indicate a highly exfoliated graphene framework with reduced interlayer stacking, confirming effective reduction and disruption of the graphitic order during composite formation. Notably, no sharp crystalline peaks corresponding to polypyrrole are observed, suggesting that PPy exists in an amorphous or nanostructured form uniformly coated or embedded within the rGO sheets. The absence of additional crystalline impurities, along with the overall amorphous halo extending up to ~60°, further indicates intimate interaction between rGO and PPy, which leads to structural disorder and prevents restacking of graphene layers. Such a disordered, partially amorphous structure is beneficial for electrochemical applications, as it enhances ion diffusion pathways and provides a larger accessible surface area.</w:t>
      </w:r>
      <w:r>
        <w:t xml:space="preserve"> All four composite exhibit same XRD shape.</w:t>
      </w:r>
    </w:p>
    <w:p w14:paraId="6927EA94" w14:textId="77777777" w:rsidR="000D504A" w:rsidRDefault="000D504A" w:rsidP="00441B6F">
      <w:pPr>
        <w:pStyle w:val="Head1"/>
        <w:spacing w:after="0"/>
        <w:jc w:val="both"/>
        <w:rPr>
          <w:rFonts w:ascii="Arial" w:hAnsi="Arial" w:cs="Arial"/>
          <w:noProof/>
        </w:rPr>
      </w:pPr>
    </w:p>
    <w:p w14:paraId="490C6797" w14:textId="0748BAA3" w:rsidR="00BF2F12" w:rsidRDefault="000D504A" w:rsidP="000D504A">
      <w:pPr>
        <w:pStyle w:val="Head1"/>
        <w:spacing w:after="0"/>
        <w:jc w:val="both"/>
        <w:rPr>
          <w:rFonts w:ascii="Arial" w:hAnsi="Arial" w:cs="Arial"/>
          <w:noProof/>
        </w:rPr>
      </w:pPr>
      <w:r>
        <w:rPr>
          <w:rFonts w:ascii="Arial" w:hAnsi="Arial" w:cs="Arial"/>
          <w:noProof/>
        </w:rPr>
        <w:t xml:space="preserve">               </w:t>
      </w:r>
      <w:r w:rsidRPr="000D504A">
        <w:rPr>
          <w:rFonts w:ascii="Arial" w:hAnsi="Arial" w:cs="Arial"/>
          <w:noProof/>
        </w:rPr>
        <w:drawing>
          <wp:inline distT="0" distB="0" distL="0" distR="0" wp14:anchorId="425ABE97" wp14:editId="12FE7FE2">
            <wp:extent cx="3556000" cy="2973628"/>
            <wp:effectExtent l="0" t="0" r="0" b="0"/>
            <wp:docPr id="873867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9950" t="9603" r="10640" b="4097"/>
                    <a:stretch>
                      <a:fillRect/>
                    </a:stretch>
                  </pic:blipFill>
                  <pic:spPr bwMode="auto">
                    <a:xfrm>
                      <a:off x="0" y="0"/>
                      <a:ext cx="3561395" cy="2978140"/>
                    </a:xfrm>
                    <a:prstGeom prst="rect">
                      <a:avLst/>
                    </a:prstGeom>
                    <a:solidFill>
                      <a:schemeClr val="bg1"/>
                    </a:solidFill>
                    <a:ln>
                      <a:noFill/>
                    </a:ln>
                    <a:extLst>
                      <a:ext uri="{53640926-AAD7-44D8-BBD7-CCE9431645EC}">
                        <a14:shadowObscured xmlns:a14="http://schemas.microsoft.com/office/drawing/2010/main"/>
                      </a:ext>
                    </a:extLst>
                  </pic:spPr>
                </pic:pic>
              </a:graphicData>
            </a:graphic>
          </wp:inline>
        </w:drawing>
      </w:r>
    </w:p>
    <w:p w14:paraId="2937A8D4" w14:textId="77777777" w:rsidR="000D504A" w:rsidRDefault="000D504A" w:rsidP="000D504A">
      <w:pPr>
        <w:pStyle w:val="Head1"/>
        <w:spacing w:after="0"/>
        <w:jc w:val="both"/>
        <w:rPr>
          <w:rFonts w:ascii="Arial" w:hAnsi="Arial" w:cs="Arial"/>
          <w:noProof/>
        </w:rPr>
      </w:pPr>
    </w:p>
    <w:p w14:paraId="63BD664F" w14:textId="1B6E7655" w:rsidR="000D504A" w:rsidRDefault="000D504A" w:rsidP="000D504A">
      <w:pPr>
        <w:jc w:val="center"/>
        <w:rPr>
          <w:noProof/>
        </w:rPr>
      </w:pPr>
      <w:r w:rsidRPr="000D504A">
        <w:rPr>
          <w:b/>
          <w:bCs/>
          <w:noProof/>
        </w:rPr>
        <w:t>Fig. 1.</w:t>
      </w:r>
      <w:r>
        <w:rPr>
          <w:noProof/>
        </w:rPr>
        <w:t xml:space="preserve"> XRD of rGO/PPy composite</w:t>
      </w:r>
    </w:p>
    <w:p w14:paraId="15989EBB" w14:textId="77777777" w:rsidR="00BF2F12" w:rsidRDefault="00BF2F12" w:rsidP="00441B6F">
      <w:pPr>
        <w:pStyle w:val="Head1"/>
        <w:spacing w:after="0"/>
        <w:jc w:val="both"/>
        <w:rPr>
          <w:rFonts w:ascii="Arial" w:hAnsi="Arial" w:cs="Arial"/>
        </w:rPr>
      </w:pPr>
    </w:p>
    <w:p w14:paraId="046458F4" w14:textId="74990704" w:rsidR="00BF2F12" w:rsidRPr="00BF2F12" w:rsidRDefault="00BF2F12" w:rsidP="00BF2F12">
      <w:pPr>
        <w:rPr>
          <w:b/>
          <w:bCs/>
        </w:rPr>
      </w:pPr>
      <w:r w:rsidRPr="00BF2F12">
        <w:rPr>
          <w:b/>
          <w:bCs/>
        </w:rPr>
        <w:t>3.2 FE-SEM Results</w:t>
      </w:r>
    </w:p>
    <w:p w14:paraId="45D2CF4D" w14:textId="42A1E8CD" w:rsidR="00C629B1" w:rsidRDefault="00C629B1" w:rsidP="00C629B1">
      <w:pPr>
        <w:jc w:val="both"/>
      </w:pPr>
      <w:r>
        <w:t>The scanning electron microscopy (SEM) images of the synthesized rGO/PPy material [Fig. 2] exhibit a highly irregular and fragmented structure, characterized by loosely aggregated particles dispersed throughout a porous, carbon-rich matrix. At higher magnification, one can observe large plate-like flakes that bear resemblance to partially exfoliated graphene sheets, alongside smaller granular formations, likely corresponding to polymeric or carbonized regions deposited on the surface of reduced graphene oxide (rGO). The rough texture, combined with a considerable abundance of micro- and nano-sized particles, suggests effective nucleation and growth of the secondary phase on the rGO sheets, thereby resulting in a composite with enhanced surface diversity. At lower magnification, the material displays a continuous, interconnected framework featuring distinct voids and open channels, indicating a porous structure that facilitates efficient electrolyte infiltration and ion transport. Collectively, the SEM results substantiate the development of a structurally disordered, hierarchical morphology that is advantageous for promoting high electrochemical accessibility in energy-storage applications.</w:t>
      </w:r>
    </w:p>
    <w:p w14:paraId="7A088499" w14:textId="2F1984EC" w:rsidR="00C629B1" w:rsidRDefault="00C629B1" w:rsidP="00441B6F">
      <w:pPr>
        <w:pStyle w:val="Head1"/>
        <w:spacing w:after="0"/>
        <w:jc w:val="both"/>
        <w:rPr>
          <w:rFonts w:ascii="Arial" w:hAnsi="Arial" w:cs="Arial"/>
        </w:rPr>
      </w:pPr>
    </w:p>
    <w:p w14:paraId="289580F3" w14:textId="26A4CC24" w:rsidR="00BF2F12" w:rsidRDefault="00BF2F12" w:rsidP="00441B6F">
      <w:pPr>
        <w:pStyle w:val="Head1"/>
        <w:spacing w:after="0"/>
        <w:jc w:val="both"/>
        <w:rPr>
          <w:rFonts w:ascii="Arial" w:hAnsi="Arial" w:cs="Arial"/>
        </w:rPr>
      </w:pPr>
    </w:p>
    <w:p w14:paraId="32EA551B" w14:textId="7D644DEF" w:rsidR="00BF2F12" w:rsidRDefault="00BF2F12" w:rsidP="00441B6F">
      <w:pPr>
        <w:pStyle w:val="Head1"/>
        <w:spacing w:after="0"/>
        <w:jc w:val="both"/>
        <w:rPr>
          <w:rFonts w:ascii="Arial" w:hAnsi="Arial" w:cs="Arial"/>
        </w:rPr>
      </w:pPr>
    </w:p>
    <w:p w14:paraId="589CF91F" w14:textId="74D92FCA" w:rsidR="00BF2F12" w:rsidRDefault="00C629B1" w:rsidP="00441B6F">
      <w:pPr>
        <w:pStyle w:val="Head1"/>
        <w:spacing w:after="0"/>
        <w:jc w:val="both"/>
        <w:rPr>
          <w:rFonts w:ascii="Arial" w:hAnsi="Arial" w:cs="Arial"/>
        </w:rPr>
      </w:pPr>
      <w:r>
        <w:rPr>
          <w:noProof/>
        </w:rPr>
        <w:drawing>
          <wp:anchor distT="0" distB="0" distL="114300" distR="114300" simplePos="0" relativeHeight="251677696" behindDoc="0" locked="0" layoutInCell="1" allowOverlap="1" wp14:anchorId="3F104502" wp14:editId="60709E38">
            <wp:simplePos x="0" y="0"/>
            <wp:positionH relativeFrom="column">
              <wp:posOffset>2905760</wp:posOffset>
            </wp:positionH>
            <wp:positionV relativeFrom="paragraph">
              <wp:posOffset>175895</wp:posOffset>
            </wp:positionV>
            <wp:extent cx="2809875" cy="2108200"/>
            <wp:effectExtent l="0" t="0" r="0" b="0"/>
            <wp:wrapTopAndBottom/>
            <wp:docPr id="17193535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9875" cy="2108200"/>
                    </a:xfrm>
                    <a:prstGeom prst="rect">
                      <a:avLst/>
                    </a:prstGeom>
                    <a:noFill/>
                    <a:ln>
                      <a:noFill/>
                    </a:ln>
                  </pic:spPr>
                </pic:pic>
              </a:graphicData>
            </a:graphic>
          </wp:anchor>
        </w:drawing>
      </w:r>
      <w:r>
        <w:rPr>
          <w:noProof/>
        </w:rPr>
        <w:drawing>
          <wp:anchor distT="0" distB="0" distL="114300" distR="114300" simplePos="0" relativeHeight="251638784" behindDoc="0" locked="0" layoutInCell="1" allowOverlap="1" wp14:anchorId="0AB48F87" wp14:editId="586CC93A">
            <wp:simplePos x="0" y="0"/>
            <wp:positionH relativeFrom="column">
              <wp:posOffset>0</wp:posOffset>
            </wp:positionH>
            <wp:positionV relativeFrom="paragraph">
              <wp:posOffset>175895</wp:posOffset>
            </wp:positionV>
            <wp:extent cx="2809875" cy="2108200"/>
            <wp:effectExtent l="0" t="0" r="0" b="0"/>
            <wp:wrapTopAndBottom/>
            <wp:docPr id="315002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9875" cy="2108200"/>
                    </a:xfrm>
                    <a:prstGeom prst="rect">
                      <a:avLst/>
                    </a:prstGeom>
                    <a:noFill/>
                    <a:ln>
                      <a:noFill/>
                    </a:ln>
                  </pic:spPr>
                </pic:pic>
              </a:graphicData>
            </a:graphic>
          </wp:anchor>
        </w:drawing>
      </w:r>
    </w:p>
    <w:p w14:paraId="0B2099E4" w14:textId="77777777" w:rsidR="00C629B1" w:rsidRDefault="00C629B1" w:rsidP="00441B6F">
      <w:pPr>
        <w:pStyle w:val="Head1"/>
        <w:spacing w:after="0"/>
        <w:jc w:val="both"/>
        <w:rPr>
          <w:rFonts w:ascii="Arial" w:hAnsi="Arial" w:cs="Arial"/>
        </w:rPr>
      </w:pPr>
    </w:p>
    <w:p w14:paraId="5D3AD56F" w14:textId="3A41F383" w:rsidR="00C629B1" w:rsidRPr="00C629B1" w:rsidRDefault="00C629B1" w:rsidP="00C629B1">
      <w:pPr>
        <w:jc w:val="center"/>
      </w:pPr>
      <w:r w:rsidRPr="00C629B1">
        <w:rPr>
          <w:b/>
          <w:bCs/>
        </w:rPr>
        <w:t xml:space="preserve">Fig. 2. </w:t>
      </w:r>
      <w:r>
        <w:t>SEM Images of rGO/PPy composite</w:t>
      </w:r>
    </w:p>
    <w:p w14:paraId="653A79A9" w14:textId="77777777" w:rsidR="00C629B1" w:rsidRDefault="00C629B1" w:rsidP="00441B6F">
      <w:pPr>
        <w:pStyle w:val="Head1"/>
        <w:spacing w:after="0"/>
        <w:jc w:val="both"/>
        <w:rPr>
          <w:rFonts w:ascii="Arial" w:hAnsi="Arial" w:cs="Arial"/>
        </w:rPr>
      </w:pPr>
    </w:p>
    <w:p w14:paraId="764F4F10" w14:textId="77777777" w:rsidR="0003172E" w:rsidRPr="00482C88" w:rsidRDefault="0003172E" w:rsidP="0003172E">
      <w:pPr>
        <w:jc w:val="both"/>
        <w:rPr>
          <w:rFonts w:asciiTheme="minorBidi" w:hAnsiTheme="minorBidi" w:cstheme="minorBidi"/>
          <w:b/>
          <w:bCs/>
        </w:rPr>
      </w:pPr>
      <w:r w:rsidRPr="00482C88">
        <w:rPr>
          <w:rFonts w:asciiTheme="minorBidi" w:hAnsiTheme="minorBidi" w:cstheme="minorBidi"/>
          <w:b/>
          <w:bCs/>
        </w:rPr>
        <w:t>3.1. Cyclic Voltammetry Characterization</w:t>
      </w:r>
    </w:p>
    <w:p w14:paraId="5B9904A2" w14:textId="77777777" w:rsidR="0003172E" w:rsidRDefault="0003172E" w:rsidP="0003172E">
      <w:pPr>
        <w:jc w:val="both"/>
        <w:rPr>
          <w:rFonts w:asciiTheme="majorBidi" w:hAnsiTheme="majorBidi" w:cstheme="majorBidi"/>
        </w:rPr>
      </w:pPr>
    </w:p>
    <w:p w14:paraId="22EECAAB" w14:textId="77777777" w:rsidR="00293663" w:rsidRDefault="00293663" w:rsidP="0003172E">
      <w:pPr>
        <w:jc w:val="both"/>
        <w:rPr>
          <w:rFonts w:asciiTheme="majorBidi" w:hAnsiTheme="majorBidi" w:cstheme="majorBidi"/>
          <w:noProof/>
        </w:rPr>
      </w:pPr>
    </w:p>
    <w:p w14:paraId="1853A361" w14:textId="3515E78B" w:rsidR="0003172E" w:rsidRPr="0003172E" w:rsidRDefault="00293663" w:rsidP="0003172E">
      <w:pPr>
        <w:jc w:val="both"/>
        <w:rPr>
          <w:rFonts w:asciiTheme="minorBidi" w:hAnsiTheme="minorBidi" w:cstheme="minorBidi"/>
        </w:rPr>
      </w:pPr>
      <w:r w:rsidRPr="00AB690F">
        <w:rPr>
          <w:rFonts w:asciiTheme="majorBidi" w:hAnsiTheme="majorBidi" w:cstheme="majorBidi"/>
          <w:noProof/>
        </w:rPr>
        <w:drawing>
          <wp:anchor distT="0" distB="0" distL="114300" distR="114300" simplePos="0" relativeHeight="251692032" behindDoc="0" locked="0" layoutInCell="1" allowOverlap="1" wp14:anchorId="1F5E206C" wp14:editId="48157F50">
            <wp:simplePos x="0" y="0"/>
            <wp:positionH relativeFrom="column">
              <wp:posOffset>2660650</wp:posOffset>
            </wp:positionH>
            <wp:positionV relativeFrom="paragraph">
              <wp:posOffset>1109980</wp:posOffset>
            </wp:positionV>
            <wp:extent cx="3350260" cy="2578100"/>
            <wp:effectExtent l="0" t="0" r="0" b="0"/>
            <wp:wrapTopAndBottom/>
            <wp:docPr id="1764312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0260" cy="2578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690F">
        <w:rPr>
          <w:rFonts w:asciiTheme="majorBidi" w:hAnsiTheme="majorBidi" w:cstheme="majorBidi"/>
          <w:noProof/>
        </w:rPr>
        <w:drawing>
          <wp:anchor distT="0" distB="0" distL="114300" distR="114300" simplePos="0" relativeHeight="251685888" behindDoc="0" locked="0" layoutInCell="1" allowOverlap="1" wp14:anchorId="4F1E1CF9" wp14:editId="0F8AA559">
            <wp:simplePos x="0" y="0"/>
            <wp:positionH relativeFrom="column">
              <wp:posOffset>-289560</wp:posOffset>
            </wp:positionH>
            <wp:positionV relativeFrom="paragraph">
              <wp:posOffset>1109980</wp:posOffset>
            </wp:positionV>
            <wp:extent cx="3340100" cy="2705100"/>
            <wp:effectExtent l="0" t="0" r="0" b="0"/>
            <wp:wrapTopAndBottom/>
            <wp:docPr id="462626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4032" t="2962" r="3768"/>
                    <a:stretch>
                      <a:fillRect/>
                    </a:stretch>
                  </pic:blipFill>
                  <pic:spPr bwMode="auto">
                    <a:xfrm>
                      <a:off x="0" y="0"/>
                      <a:ext cx="3340100" cy="2705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172E" w:rsidRPr="0003172E">
        <w:rPr>
          <w:rFonts w:asciiTheme="minorBidi" w:hAnsiTheme="minorBidi" w:cstheme="minorBidi"/>
        </w:rPr>
        <w:t>Cyclic voltammetry (CV) is a fundamental electrochemical technique widely used to evaluate the capacitive and redox characteristics of electrode materials [14]. In the present study, CV curves for a series of reduced graphene oxide/polypyrrole (rGO/PPy) composites with varying PPy content</w:t>
      </w:r>
      <w:r>
        <w:rPr>
          <w:rFonts w:asciiTheme="minorBidi" w:hAnsiTheme="minorBidi" w:cstheme="minorBidi"/>
        </w:rPr>
        <w:t xml:space="preserve">, </w:t>
      </w:r>
      <w:r w:rsidR="0003172E" w:rsidRPr="0003172E">
        <w:rPr>
          <w:rFonts w:asciiTheme="minorBidi" w:hAnsiTheme="minorBidi" w:cstheme="minorBidi"/>
        </w:rPr>
        <w:t>rGO/PPy5, rGO/PPy10, rGO/PPy15, and rGO/PPy20</w:t>
      </w:r>
      <w:r>
        <w:rPr>
          <w:rFonts w:asciiTheme="minorBidi" w:hAnsiTheme="minorBidi" w:cstheme="minorBidi"/>
        </w:rPr>
        <w:t xml:space="preserve">, </w:t>
      </w:r>
      <w:r w:rsidR="0003172E" w:rsidRPr="0003172E">
        <w:rPr>
          <w:rFonts w:asciiTheme="minorBidi" w:hAnsiTheme="minorBidi" w:cstheme="minorBidi"/>
        </w:rPr>
        <w:t>were recorded at a scan rate of 10 mV/s to analyze their electrochemical behavior</w:t>
      </w:r>
      <w:r>
        <w:rPr>
          <w:rFonts w:asciiTheme="minorBidi" w:hAnsiTheme="minorBidi" w:cstheme="minorBidi"/>
        </w:rPr>
        <w:t xml:space="preserve"> [Fig. 3]</w:t>
      </w:r>
      <w:r w:rsidR="0003172E" w:rsidRPr="0003172E">
        <w:rPr>
          <w:rFonts w:asciiTheme="minorBidi" w:hAnsiTheme="minorBidi" w:cstheme="minorBidi"/>
        </w:rPr>
        <w:t>. Each curve reveals distinct features corresponding to the synergistic interactions between the conductive polymer and the graphene-based matrix.</w:t>
      </w:r>
    </w:p>
    <w:p w14:paraId="5FDDC00D" w14:textId="4444D2F5" w:rsidR="0003172E" w:rsidRPr="00FB3A86" w:rsidRDefault="0003172E" w:rsidP="00441B6F">
      <w:pPr>
        <w:pStyle w:val="Head1"/>
        <w:spacing w:after="0"/>
        <w:jc w:val="both"/>
        <w:rPr>
          <w:rFonts w:ascii="Arial" w:hAnsi="Arial" w:cs="Arial"/>
        </w:rPr>
      </w:pPr>
    </w:p>
    <w:p w14:paraId="6228EB65" w14:textId="64C8CA12" w:rsidR="0003172E" w:rsidRDefault="0003172E" w:rsidP="00441B6F">
      <w:pPr>
        <w:pStyle w:val="Body"/>
        <w:spacing w:after="0"/>
        <w:rPr>
          <w:rFonts w:ascii="Arial" w:hAnsi="Arial" w:cs="Arial"/>
        </w:rPr>
      </w:pPr>
      <w:r>
        <w:rPr>
          <w:rFonts w:ascii="Arial" w:hAnsi="Arial" w:cs="Arial"/>
        </w:rPr>
        <w:t xml:space="preserve">              </w:t>
      </w:r>
    </w:p>
    <w:p w14:paraId="681C7680" w14:textId="0B79FE5E" w:rsidR="0003172E" w:rsidRDefault="00293663" w:rsidP="00293663">
      <w:pPr>
        <w:pStyle w:val="Body"/>
        <w:spacing w:after="0"/>
        <w:rPr>
          <w:rFonts w:ascii="Arial" w:hAnsi="Arial" w:cs="Arial"/>
        </w:rPr>
      </w:pPr>
      <w:r w:rsidRPr="00AB690F">
        <w:rPr>
          <w:rFonts w:asciiTheme="majorBidi" w:hAnsiTheme="majorBidi" w:cstheme="majorBidi"/>
          <w:b/>
          <w:bCs/>
          <w:noProof/>
        </w:rPr>
        <w:lastRenderedPageBreak/>
        <w:drawing>
          <wp:anchor distT="0" distB="0" distL="114300" distR="114300" simplePos="0" relativeHeight="251712512" behindDoc="0" locked="0" layoutInCell="1" allowOverlap="1" wp14:anchorId="25D62EF9" wp14:editId="18FE04A5">
            <wp:simplePos x="0" y="0"/>
            <wp:positionH relativeFrom="column">
              <wp:posOffset>-16510</wp:posOffset>
            </wp:positionH>
            <wp:positionV relativeFrom="paragraph">
              <wp:posOffset>2260600</wp:posOffset>
            </wp:positionV>
            <wp:extent cx="5156200" cy="3967480"/>
            <wp:effectExtent l="0" t="0" r="0" b="0"/>
            <wp:wrapTopAndBottom/>
            <wp:docPr id="7776902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6200" cy="3967480"/>
                    </a:xfrm>
                    <a:prstGeom prst="rect">
                      <a:avLst/>
                    </a:prstGeom>
                    <a:noFill/>
                    <a:ln>
                      <a:noFill/>
                    </a:ln>
                  </pic:spPr>
                </pic:pic>
              </a:graphicData>
            </a:graphic>
          </wp:anchor>
        </w:drawing>
      </w:r>
      <w:r w:rsidRPr="00AB690F">
        <w:rPr>
          <w:rFonts w:asciiTheme="majorBidi" w:hAnsiTheme="majorBidi" w:cstheme="majorBidi"/>
          <w:noProof/>
        </w:rPr>
        <w:drawing>
          <wp:anchor distT="0" distB="0" distL="114300" distR="114300" simplePos="0" relativeHeight="251710464" behindDoc="0" locked="0" layoutInCell="1" allowOverlap="1" wp14:anchorId="563AC690" wp14:editId="4BAAE3AC">
            <wp:simplePos x="0" y="0"/>
            <wp:positionH relativeFrom="column">
              <wp:posOffset>2567940</wp:posOffset>
            </wp:positionH>
            <wp:positionV relativeFrom="paragraph">
              <wp:posOffset>25400</wp:posOffset>
            </wp:positionV>
            <wp:extent cx="3185160" cy="2451100"/>
            <wp:effectExtent l="0" t="0" r="0" b="0"/>
            <wp:wrapTopAndBottom/>
            <wp:docPr id="743877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85160" cy="245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690F">
        <w:rPr>
          <w:rFonts w:asciiTheme="majorBidi" w:hAnsiTheme="majorBidi" w:cstheme="majorBidi"/>
          <w:noProof/>
        </w:rPr>
        <w:drawing>
          <wp:anchor distT="0" distB="0" distL="114300" distR="114300" simplePos="0" relativeHeight="251701248" behindDoc="0" locked="0" layoutInCell="1" allowOverlap="1" wp14:anchorId="4260B8E7" wp14:editId="35012230">
            <wp:simplePos x="0" y="0"/>
            <wp:positionH relativeFrom="column">
              <wp:posOffset>-187960</wp:posOffset>
            </wp:positionH>
            <wp:positionV relativeFrom="paragraph">
              <wp:posOffset>25400</wp:posOffset>
            </wp:positionV>
            <wp:extent cx="3168650" cy="2438400"/>
            <wp:effectExtent l="0" t="0" r="0" b="0"/>
            <wp:wrapTopAndBottom/>
            <wp:docPr id="20272669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68650"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3D5763" w14:textId="6BAAB699" w:rsidR="0003172E" w:rsidRDefault="0003172E" w:rsidP="0003172E">
      <w:pPr>
        <w:pStyle w:val="Body"/>
        <w:spacing w:after="0"/>
        <w:rPr>
          <w:rFonts w:ascii="Arial" w:hAnsi="Arial" w:cs="Arial"/>
        </w:rPr>
      </w:pPr>
    </w:p>
    <w:p w14:paraId="3366FC4B" w14:textId="3D24477B" w:rsidR="0003172E" w:rsidRPr="0003172E" w:rsidRDefault="0003172E" w:rsidP="00293663">
      <w:pPr>
        <w:jc w:val="center"/>
        <w:rPr>
          <w:rFonts w:asciiTheme="minorBidi" w:hAnsiTheme="minorBidi" w:cstheme="minorBidi"/>
        </w:rPr>
      </w:pPr>
      <w:r w:rsidRPr="0003172E">
        <w:rPr>
          <w:rFonts w:asciiTheme="minorBidi" w:hAnsiTheme="minorBidi" w:cstheme="minorBidi"/>
          <w:b/>
          <w:bCs/>
        </w:rPr>
        <w:t>Fig</w:t>
      </w:r>
      <w:r w:rsidR="00293663">
        <w:rPr>
          <w:rFonts w:asciiTheme="minorBidi" w:hAnsiTheme="minorBidi" w:cstheme="minorBidi"/>
          <w:b/>
          <w:bCs/>
        </w:rPr>
        <w:t>.</w:t>
      </w:r>
      <w:r w:rsidRPr="0003172E">
        <w:rPr>
          <w:rFonts w:asciiTheme="minorBidi" w:hAnsiTheme="minorBidi" w:cstheme="minorBidi"/>
          <w:b/>
          <w:bCs/>
        </w:rPr>
        <w:t xml:space="preserve"> </w:t>
      </w:r>
      <w:r w:rsidR="00293663">
        <w:rPr>
          <w:rFonts w:asciiTheme="minorBidi" w:hAnsiTheme="minorBidi" w:cstheme="minorBidi"/>
          <w:b/>
          <w:bCs/>
        </w:rPr>
        <w:t>3</w:t>
      </w:r>
      <w:r w:rsidRPr="0003172E">
        <w:rPr>
          <w:rFonts w:asciiTheme="minorBidi" w:hAnsiTheme="minorBidi" w:cstheme="minorBidi"/>
          <w:b/>
          <w:bCs/>
        </w:rPr>
        <w:t xml:space="preserve">. </w:t>
      </w:r>
      <w:r w:rsidRPr="0003172E">
        <w:rPr>
          <w:rFonts w:asciiTheme="minorBidi" w:hAnsiTheme="minorBidi" w:cstheme="minorBidi"/>
        </w:rPr>
        <w:t>Cyclic Voltammetry Curves of rGO/PPy Composite at various concentrations</w:t>
      </w:r>
    </w:p>
    <w:p w14:paraId="6DB1E609" w14:textId="77777777" w:rsidR="0003172E" w:rsidRDefault="0003172E" w:rsidP="0003172E">
      <w:pPr>
        <w:pStyle w:val="Body"/>
        <w:spacing w:after="0"/>
        <w:rPr>
          <w:rFonts w:ascii="Arial" w:hAnsi="Arial" w:cs="Arial"/>
        </w:rPr>
      </w:pPr>
    </w:p>
    <w:p w14:paraId="4988875D" w14:textId="2BAE4973" w:rsidR="0003172E" w:rsidRDefault="0003172E" w:rsidP="00441B6F">
      <w:pPr>
        <w:pStyle w:val="Body"/>
        <w:spacing w:after="0"/>
        <w:rPr>
          <w:rFonts w:ascii="Arial" w:hAnsi="Arial" w:cs="Arial"/>
        </w:rPr>
      </w:pPr>
    </w:p>
    <w:p w14:paraId="07D630AD" w14:textId="7809C0C6" w:rsidR="0003172E" w:rsidRPr="0003172E" w:rsidRDefault="00482C88" w:rsidP="0003172E">
      <w:pPr>
        <w:spacing w:before="100" w:beforeAutospacing="1" w:after="100" w:afterAutospacing="1"/>
        <w:jc w:val="both"/>
        <w:outlineLvl w:val="2"/>
        <w:rPr>
          <w:rFonts w:asciiTheme="minorBidi" w:hAnsiTheme="minorBidi" w:cstheme="minorBidi"/>
          <w:b/>
          <w:bCs/>
          <w:lang w:eastAsia="en-IN"/>
        </w:rPr>
      </w:pPr>
      <w:r>
        <w:rPr>
          <w:rFonts w:asciiTheme="minorBidi" w:hAnsiTheme="minorBidi" w:cstheme="minorBidi"/>
          <w:b/>
          <w:bCs/>
          <w:lang w:eastAsia="en-IN"/>
        </w:rPr>
        <w:t>3.2</w:t>
      </w:r>
      <w:r w:rsidR="0003172E" w:rsidRPr="0003172E">
        <w:rPr>
          <w:rFonts w:asciiTheme="minorBidi" w:hAnsiTheme="minorBidi" w:cstheme="minorBidi"/>
          <w:b/>
          <w:bCs/>
          <w:lang w:eastAsia="en-IN"/>
        </w:rPr>
        <w:t xml:space="preserve"> General Electrochemical Behavior</w:t>
      </w:r>
    </w:p>
    <w:p w14:paraId="3F16023D"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All four CV profiles exhibit a quasi-rectangular shape with distinguishable redox humps, suggesting a combination of double-layer capacitance and pseudocapacitive behavior. The </w:t>
      </w:r>
      <w:r w:rsidRPr="0003172E">
        <w:rPr>
          <w:rFonts w:asciiTheme="minorBidi" w:hAnsiTheme="minorBidi" w:cstheme="minorBidi"/>
          <w:lang w:eastAsia="en-IN"/>
        </w:rPr>
        <w:lastRenderedPageBreak/>
        <w:t xml:space="preserve">near-rectangular baseline reflects the capacitive response typically associated with the large surface area and high conductivity of reduced graphene oxide (rGO), while the superimposed redox peaks correspond to the faradaic processes contributed by the polypyrrole (PPy) component. This hybrid characteristic confirms that the charge storage mechanism in these composites is governed by both </w:t>
      </w:r>
      <w:r w:rsidRPr="00912499">
        <w:rPr>
          <w:rFonts w:asciiTheme="minorBidi" w:hAnsiTheme="minorBidi" w:cstheme="minorBidi"/>
          <w:lang w:eastAsia="en-IN"/>
        </w:rPr>
        <w:t>electrostatic ion adsorption (EDLC behavior) and reversible redox reactions</w:t>
      </w:r>
      <w:r w:rsidRPr="0003172E">
        <w:rPr>
          <w:rFonts w:asciiTheme="minorBidi" w:hAnsiTheme="minorBidi" w:cstheme="minorBidi"/>
          <w:lang w:eastAsia="en-IN"/>
        </w:rPr>
        <w:t xml:space="preserve"> involving the PPy chains [15].</w:t>
      </w:r>
    </w:p>
    <w:p w14:paraId="4A60AA23"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The anodic and cathodic currents increase gradually with potential, showing good symmetry, which indicates efficient redox reversibility and stable charge propagation within the electrode structure. Moreover, the absence of any pronounced distortion or peak splitting in the CV profiles suggests minimal internal resistance and satisfactory electron transport across the rGO–PPy interfaces [15-16].</w:t>
      </w:r>
    </w:p>
    <w:p w14:paraId="796BE198" w14:textId="77CDF12E" w:rsidR="0003172E" w:rsidRPr="0003172E" w:rsidRDefault="00482C88" w:rsidP="0003172E">
      <w:pPr>
        <w:spacing w:before="100" w:beforeAutospacing="1" w:after="100" w:afterAutospacing="1"/>
        <w:jc w:val="both"/>
        <w:outlineLvl w:val="2"/>
        <w:rPr>
          <w:rFonts w:asciiTheme="minorBidi" w:hAnsiTheme="minorBidi" w:cstheme="minorBidi"/>
          <w:b/>
          <w:bCs/>
          <w:lang w:eastAsia="en-IN"/>
        </w:rPr>
      </w:pPr>
      <w:r>
        <w:rPr>
          <w:rFonts w:asciiTheme="minorBidi" w:hAnsiTheme="minorBidi" w:cstheme="minorBidi"/>
          <w:b/>
          <w:bCs/>
          <w:lang w:eastAsia="en-IN"/>
        </w:rPr>
        <w:t>3.3</w:t>
      </w:r>
      <w:r w:rsidR="0003172E" w:rsidRPr="0003172E">
        <w:rPr>
          <w:rFonts w:asciiTheme="minorBidi" w:hAnsiTheme="minorBidi" w:cstheme="minorBidi"/>
          <w:b/>
          <w:bCs/>
          <w:lang w:eastAsia="en-IN"/>
        </w:rPr>
        <w:t xml:space="preserve"> Influence of PPy Loading</w:t>
      </w:r>
    </w:p>
    <w:p w14:paraId="3ABA7F1A"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The CV curves show a clear dependence of current response on the PPy content. The sample with the lowest PPy fraction (rGO/PPy5) displays a smaller integrated area under the curve, implying a lower overall capacitance. As the PPy content increases to 10 and 15 wt%, the CV area expands progressively, suggesting an enhancement in the electrochemical activity. This improvement can be attributed to the introduction of more redox-active PPy sites that participate in charge transfer processes, thereby boosting pseudocapacitive contributions.</w:t>
      </w:r>
    </w:p>
    <w:p w14:paraId="1FAADE17"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At 15 wt% PPy, the CV curve (rGO/PPy15) exhibits the most pronounced redox peaks and the broadest enclosed area among the four samples. This indicates that an optimal PPy content exists where the composite achieves maximum electrochemical synergy [17]. Beyond this point, however, a further increase in PPy loading (as in rGO/PPy20) results in a slight decrease in the current response, as reflected by the smaller CV area compared to rGO/PPy15. The reduction in electrochemical activity at higher PPy content is likely due to the polymer’s intrinsic limitations—namely, its poor long-term conductivity and tendency to form dense, agglomerated layers that impede ion diffusion [18].</w:t>
      </w:r>
    </w:p>
    <w:p w14:paraId="7916E36E" w14:textId="61A95047" w:rsidR="0003172E" w:rsidRPr="0003172E" w:rsidRDefault="0003172E" w:rsidP="0003172E">
      <w:pPr>
        <w:spacing w:before="100" w:beforeAutospacing="1" w:after="100" w:afterAutospacing="1"/>
        <w:jc w:val="both"/>
        <w:outlineLvl w:val="2"/>
        <w:rPr>
          <w:rFonts w:asciiTheme="minorBidi" w:hAnsiTheme="minorBidi" w:cstheme="minorBidi"/>
          <w:b/>
          <w:bCs/>
          <w:lang w:eastAsia="en-IN"/>
        </w:rPr>
      </w:pPr>
      <w:r w:rsidRPr="0003172E">
        <w:rPr>
          <w:rFonts w:asciiTheme="minorBidi" w:hAnsiTheme="minorBidi" w:cstheme="minorBidi"/>
          <w:b/>
          <w:bCs/>
          <w:lang w:eastAsia="en-IN"/>
        </w:rPr>
        <w:t>3.</w:t>
      </w:r>
      <w:r w:rsidR="00482C88">
        <w:rPr>
          <w:rFonts w:asciiTheme="minorBidi" w:hAnsiTheme="minorBidi" w:cstheme="minorBidi"/>
          <w:b/>
          <w:bCs/>
          <w:lang w:eastAsia="en-IN"/>
        </w:rPr>
        <w:t>4</w:t>
      </w:r>
      <w:r w:rsidRPr="0003172E">
        <w:rPr>
          <w:rFonts w:asciiTheme="minorBidi" w:hAnsiTheme="minorBidi" w:cstheme="minorBidi"/>
          <w:b/>
          <w:bCs/>
          <w:lang w:eastAsia="en-IN"/>
        </w:rPr>
        <w:t xml:space="preserve"> Redox Behavior and Charge Storage Mechanism</w:t>
      </w:r>
    </w:p>
    <w:p w14:paraId="7E1FF34F"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The redox features observed around 0.3–0.5 V are characteristic of the </w:t>
      </w:r>
      <w:r w:rsidRPr="0003172E">
        <w:rPr>
          <w:rFonts w:asciiTheme="minorBidi" w:hAnsiTheme="minorBidi" w:cstheme="minorBidi"/>
          <w:b/>
          <w:bCs/>
          <w:lang w:eastAsia="en-IN"/>
        </w:rPr>
        <w:t>doping and dedoping processes</w:t>
      </w:r>
      <w:r w:rsidRPr="0003172E">
        <w:rPr>
          <w:rFonts w:asciiTheme="minorBidi" w:hAnsiTheme="minorBidi" w:cstheme="minorBidi"/>
          <w:lang w:eastAsia="en-IN"/>
        </w:rPr>
        <w:t xml:space="preserve"> in polypyrrole. The peaks can be ascribed to the transition between the leucoemeraldine (reduced) and pernigraniline (oxidized) states of PPy, which involve the exchange of counter ions from the electrolyte. The general redox process can be described as:</w:t>
      </w:r>
    </w:p>
    <w:p w14:paraId="2AC623BF" w14:textId="77777777" w:rsidR="0003172E" w:rsidRPr="0003172E" w:rsidRDefault="00000000" w:rsidP="0003172E">
      <w:pPr>
        <w:jc w:val="both"/>
        <w:rPr>
          <w:rFonts w:asciiTheme="minorBidi" w:hAnsiTheme="minorBidi" w:cstheme="minorBidi"/>
          <w:lang w:eastAsia="en-IN"/>
        </w:rPr>
      </w:pPr>
      <m:oMathPara>
        <m:oMath>
          <m:sSup>
            <m:sSupPr>
              <m:ctrlPr>
                <w:rPr>
                  <w:rFonts w:ascii="Cambria Math" w:hAnsi="Cambria Math" w:cstheme="minorBidi"/>
                  <w:lang w:eastAsia="en-IN"/>
                </w:rPr>
              </m:ctrlPr>
            </m:sSupPr>
            <m:e>
              <m:r>
                <m:rPr>
                  <m:nor/>
                </m:rPr>
                <w:rPr>
                  <w:rFonts w:asciiTheme="minorBidi" w:hAnsiTheme="minorBidi" w:cstheme="minorBidi"/>
                  <w:lang w:eastAsia="en-IN"/>
                </w:rPr>
                <m:t>PPy</m:t>
              </m:r>
            </m:e>
            <m:sup>
              <m:r>
                <w:rPr>
                  <w:rFonts w:ascii="Cambria Math" w:hAnsi="Cambria Math" w:cstheme="minorBidi"/>
                  <w:lang w:eastAsia="en-IN"/>
                </w:rPr>
                <m:t>0</m:t>
              </m:r>
            </m:sup>
          </m:sSup>
          <m:r>
            <w:rPr>
              <w:rFonts w:ascii="Cambria Math" w:hAnsi="Cambria Math" w:cstheme="minorBidi"/>
              <w:lang w:eastAsia="en-IN"/>
            </w:rPr>
            <m:t>+</m:t>
          </m:r>
          <m:sSup>
            <m:sSupPr>
              <m:ctrlPr>
                <w:rPr>
                  <w:rFonts w:ascii="Cambria Math" w:hAnsi="Cambria Math" w:cstheme="minorBidi"/>
                  <w:lang w:eastAsia="en-IN"/>
                </w:rPr>
              </m:ctrlPr>
            </m:sSupPr>
            <m:e>
              <m:r>
                <w:rPr>
                  <w:rFonts w:ascii="Cambria Math" w:hAnsi="Cambria Math" w:cstheme="minorBidi"/>
                  <w:lang w:eastAsia="en-IN"/>
                </w:rPr>
                <m:t>A</m:t>
              </m:r>
            </m:e>
            <m:sup>
              <m:r>
                <w:rPr>
                  <w:rFonts w:ascii="Cambria Math" w:hAnsi="Cambria Math" w:cstheme="minorBidi"/>
                  <w:lang w:eastAsia="en-IN"/>
                </w:rPr>
                <m:t>-</m:t>
              </m:r>
            </m:sup>
          </m:sSup>
          <m:r>
            <w:rPr>
              <w:rFonts w:ascii="Cambria Math" w:hAnsi="Cambria Math" w:cstheme="minorBidi"/>
              <w:lang w:eastAsia="en-IN"/>
            </w:rPr>
            <m:t>↔</m:t>
          </m:r>
          <m:sSup>
            <m:sSupPr>
              <m:ctrlPr>
                <w:rPr>
                  <w:rFonts w:ascii="Cambria Math" w:hAnsi="Cambria Math" w:cstheme="minorBidi"/>
                  <w:lang w:eastAsia="en-IN"/>
                </w:rPr>
              </m:ctrlPr>
            </m:sSupPr>
            <m:e>
              <m:r>
                <m:rPr>
                  <m:nor/>
                </m:rPr>
                <w:rPr>
                  <w:rFonts w:asciiTheme="minorBidi" w:hAnsiTheme="minorBidi" w:cstheme="minorBidi"/>
                  <w:lang w:eastAsia="en-IN"/>
                </w:rPr>
                <m:t>PPy</m:t>
              </m:r>
            </m:e>
            <m:sup>
              <m:r>
                <w:rPr>
                  <w:rFonts w:ascii="Cambria Math" w:hAnsi="Cambria Math" w:cstheme="minorBidi"/>
                  <w:lang w:eastAsia="en-IN"/>
                </w:rPr>
                <m:t>+</m:t>
              </m:r>
            </m:sup>
          </m:sSup>
          <m:sSup>
            <m:sSupPr>
              <m:ctrlPr>
                <w:rPr>
                  <w:rFonts w:ascii="Cambria Math" w:hAnsi="Cambria Math" w:cstheme="minorBidi"/>
                  <w:lang w:eastAsia="en-IN"/>
                </w:rPr>
              </m:ctrlPr>
            </m:sSupPr>
            <m:e>
              <m:r>
                <w:rPr>
                  <w:rFonts w:ascii="Cambria Math" w:hAnsi="Cambria Math" w:cstheme="minorBidi"/>
                  <w:lang w:eastAsia="en-IN"/>
                </w:rPr>
                <m:t>A</m:t>
              </m:r>
            </m:e>
            <m:sup>
              <m:r>
                <w:rPr>
                  <w:rFonts w:ascii="Cambria Math" w:hAnsi="Cambria Math" w:cstheme="minorBidi"/>
                  <w:lang w:eastAsia="en-IN"/>
                </w:rPr>
                <m:t>-</m:t>
              </m:r>
            </m:sup>
          </m:sSup>
          <m:r>
            <w:rPr>
              <w:rFonts w:ascii="Cambria Math" w:hAnsi="Cambria Math" w:cstheme="minorBidi"/>
              <w:lang w:eastAsia="en-IN"/>
            </w:rPr>
            <m:t>+</m:t>
          </m:r>
          <m:sSup>
            <m:sSupPr>
              <m:ctrlPr>
                <w:rPr>
                  <w:rFonts w:ascii="Cambria Math" w:hAnsi="Cambria Math" w:cstheme="minorBidi"/>
                  <w:lang w:eastAsia="en-IN"/>
                </w:rPr>
              </m:ctrlPr>
            </m:sSupPr>
            <m:e>
              <m:r>
                <w:rPr>
                  <w:rFonts w:ascii="Cambria Math" w:hAnsi="Cambria Math" w:cstheme="minorBidi"/>
                  <w:lang w:eastAsia="en-IN"/>
                </w:rPr>
                <m:t>e</m:t>
              </m:r>
            </m:e>
            <m:sup>
              <m:r>
                <w:rPr>
                  <w:rFonts w:ascii="Cambria Math" w:hAnsi="Cambria Math" w:cstheme="minorBidi"/>
                  <w:lang w:eastAsia="en-IN"/>
                </w:rPr>
                <m:t>-</m:t>
              </m:r>
            </m:sup>
          </m:sSup>
          <m:r>
            <m:rPr>
              <m:sty m:val="p"/>
            </m:rPr>
            <w:rPr>
              <w:rFonts w:ascii="Cambria Math" w:hAnsi="Cambria Math" w:cstheme="minorBidi"/>
              <w:lang w:eastAsia="en-IN"/>
            </w:rPr>
            <w:br/>
          </m:r>
        </m:oMath>
      </m:oMathPara>
    </w:p>
    <w:p w14:paraId="0E562E95"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where </w:t>
      </w:r>
      <m:oMath>
        <m:sSup>
          <m:sSupPr>
            <m:ctrlPr>
              <w:rPr>
                <w:rFonts w:ascii="Cambria Math" w:hAnsi="Cambria Math" w:cstheme="minorBidi"/>
                <w:lang w:eastAsia="en-IN"/>
              </w:rPr>
            </m:ctrlPr>
          </m:sSupPr>
          <m:e>
            <m:r>
              <w:rPr>
                <w:rFonts w:ascii="Cambria Math" w:hAnsi="Cambria Math" w:cstheme="minorBidi"/>
                <w:lang w:eastAsia="en-IN"/>
              </w:rPr>
              <m:t>A</m:t>
            </m:r>
          </m:e>
          <m:sup>
            <m:r>
              <w:rPr>
                <w:rFonts w:ascii="Cambria Math" w:hAnsi="Cambria Math" w:cstheme="minorBidi"/>
                <w:lang w:eastAsia="en-IN"/>
              </w:rPr>
              <m:t>-</m:t>
            </m:r>
          </m:sup>
        </m:sSup>
      </m:oMath>
      <w:r w:rsidRPr="0003172E">
        <w:rPr>
          <w:rFonts w:asciiTheme="minorBidi" w:hAnsiTheme="minorBidi" w:cstheme="minorBidi"/>
          <w:lang w:eastAsia="en-IN"/>
        </w:rPr>
        <w:t>represents an anion from the electrolyte that compensates the positive charge on the polymer backbone during oxidation [19].</w:t>
      </w:r>
    </w:p>
    <w:p w14:paraId="1B45B597" w14:textId="1809DE0E"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The presence of rGO provides an electronically conductive scaffold that facilitates rapid charge transfer and enhances the stability of the PPy during continuous cycling. The two components thus exhibit a </w:t>
      </w:r>
      <w:r w:rsidRPr="0003172E">
        <w:rPr>
          <w:rFonts w:asciiTheme="minorBidi" w:hAnsiTheme="minorBidi" w:cstheme="minorBidi"/>
          <w:b/>
          <w:bCs/>
          <w:lang w:eastAsia="en-IN"/>
        </w:rPr>
        <w:t>mutual reinforcement effect</w:t>
      </w:r>
      <w:r w:rsidR="00FA3657">
        <w:rPr>
          <w:rFonts w:asciiTheme="minorBidi" w:hAnsiTheme="minorBidi" w:cstheme="minorBidi"/>
          <w:lang w:eastAsia="en-IN"/>
        </w:rPr>
        <w:t xml:space="preserve">, </w:t>
      </w:r>
      <w:r w:rsidRPr="0003172E">
        <w:rPr>
          <w:rFonts w:asciiTheme="minorBidi" w:hAnsiTheme="minorBidi" w:cstheme="minorBidi"/>
          <w:lang w:eastAsia="en-IN"/>
        </w:rPr>
        <w:t xml:space="preserve">rGO prevents the volumetric swelling and shrinkage of PPy during redox cycling, while PPy improves the wettability and pseudocapacitance of rGO. This synergy explains the improved current density and overall </w:t>
      </w:r>
      <w:r w:rsidRPr="0003172E">
        <w:rPr>
          <w:rFonts w:asciiTheme="minorBidi" w:hAnsiTheme="minorBidi" w:cstheme="minorBidi"/>
          <w:lang w:eastAsia="en-IN"/>
        </w:rPr>
        <w:lastRenderedPageBreak/>
        <w:t>capacitive performance seen in the composite samples relative to pristine rGO or PPy alone [20-22].</w:t>
      </w:r>
    </w:p>
    <w:p w14:paraId="5C5422D1" w14:textId="42C2CC7B" w:rsidR="0003172E" w:rsidRPr="0003172E" w:rsidRDefault="00482C88" w:rsidP="0003172E">
      <w:pPr>
        <w:spacing w:before="100" w:beforeAutospacing="1" w:after="100" w:afterAutospacing="1"/>
        <w:jc w:val="both"/>
        <w:outlineLvl w:val="2"/>
        <w:rPr>
          <w:rFonts w:asciiTheme="minorBidi" w:hAnsiTheme="minorBidi" w:cstheme="minorBidi"/>
          <w:b/>
          <w:bCs/>
          <w:lang w:eastAsia="en-IN"/>
        </w:rPr>
      </w:pPr>
      <w:r>
        <w:rPr>
          <w:rFonts w:asciiTheme="minorBidi" w:hAnsiTheme="minorBidi" w:cstheme="minorBidi"/>
          <w:b/>
          <w:bCs/>
          <w:lang w:eastAsia="en-IN"/>
        </w:rPr>
        <w:t>3.5</w:t>
      </w:r>
      <w:r w:rsidR="0003172E" w:rsidRPr="0003172E">
        <w:rPr>
          <w:rFonts w:asciiTheme="minorBidi" w:hAnsiTheme="minorBidi" w:cstheme="minorBidi"/>
          <w:b/>
          <w:bCs/>
          <w:lang w:eastAsia="en-IN"/>
        </w:rPr>
        <w:t xml:space="preserve"> Comparative Evaluation of Electrochemical Performance</w:t>
      </w:r>
    </w:p>
    <w:p w14:paraId="22C89846" w14:textId="77777777" w:rsidR="0003172E" w:rsidRPr="0003172E" w:rsidRDefault="0003172E" w:rsidP="0003172E">
      <w:pPr>
        <w:spacing w:before="100" w:beforeAutospacing="1" w:after="100" w:afterAutospacing="1"/>
        <w:jc w:val="both"/>
        <w:outlineLvl w:val="3"/>
        <w:rPr>
          <w:rFonts w:asciiTheme="minorBidi" w:hAnsiTheme="minorBidi" w:cstheme="minorBidi"/>
          <w:b/>
          <w:bCs/>
          <w:lang w:eastAsia="en-IN"/>
        </w:rPr>
      </w:pPr>
      <w:r w:rsidRPr="0003172E">
        <w:rPr>
          <w:rFonts w:asciiTheme="minorBidi" w:hAnsiTheme="minorBidi" w:cstheme="minorBidi"/>
          <w:b/>
          <w:bCs/>
          <w:lang w:eastAsia="en-IN"/>
        </w:rPr>
        <w:t>rGO/PPy5</w:t>
      </w:r>
    </w:p>
    <w:p w14:paraId="048681EF"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The CV profile of rGO/PPy5 shows modest current response and relatively less defined redox peaks. The limited presence of PPy restricts the pseudocapacitive contribution, and the overall behavior is dominated by electric double-layer capacitance. Nevertheless, the linearity of the curve near the origin indicates good reversibility and stable ion transport. This composition may be beneficial for applications demanding fast charge–discharge cycles but moderate energy density.</w:t>
      </w:r>
    </w:p>
    <w:p w14:paraId="373372C2" w14:textId="77777777" w:rsidR="0003172E" w:rsidRPr="0003172E" w:rsidRDefault="0003172E" w:rsidP="0003172E">
      <w:pPr>
        <w:spacing w:before="100" w:beforeAutospacing="1" w:after="100" w:afterAutospacing="1"/>
        <w:jc w:val="both"/>
        <w:outlineLvl w:val="3"/>
        <w:rPr>
          <w:rFonts w:asciiTheme="minorBidi" w:hAnsiTheme="minorBidi" w:cstheme="minorBidi"/>
          <w:b/>
          <w:bCs/>
          <w:lang w:eastAsia="en-IN"/>
        </w:rPr>
      </w:pPr>
      <w:r w:rsidRPr="0003172E">
        <w:rPr>
          <w:rFonts w:asciiTheme="minorBidi" w:hAnsiTheme="minorBidi" w:cstheme="minorBidi"/>
          <w:b/>
          <w:bCs/>
          <w:lang w:eastAsia="en-IN"/>
        </w:rPr>
        <w:t>rGO/PPy10</w:t>
      </w:r>
    </w:p>
    <w:p w14:paraId="4BC65A83"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Increasing the PPy content to 10 wt% enhances both the current magnitude and the peak definition, reflecting improved redox kinetics. The CV curve becomes broader, and the area enclosed by the loop increases significantly. This suggests that the PPy content is now sufficient to contribute actively to pseudocapacitance without compromising the structural conductivity provided by rGO. The smooth and nearly symmetrical shape of the forward and reverse scans demonstrates good charge–discharge reversibility.</w:t>
      </w:r>
    </w:p>
    <w:p w14:paraId="138B2BDC" w14:textId="77777777" w:rsidR="0003172E" w:rsidRPr="0003172E" w:rsidRDefault="0003172E" w:rsidP="0003172E">
      <w:pPr>
        <w:spacing w:before="100" w:beforeAutospacing="1" w:after="100" w:afterAutospacing="1"/>
        <w:jc w:val="both"/>
        <w:outlineLvl w:val="3"/>
        <w:rPr>
          <w:rFonts w:asciiTheme="minorBidi" w:hAnsiTheme="minorBidi" w:cstheme="minorBidi"/>
          <w:b/>
          <w:bCs/>
          <w:lang w:eastAsia="en-IN"/>
        </w:rPr>
      </w:pPr>
      <w:r w:rsidRPr="0003172E">
        <w:rPr>
          <w:rFonts w:asciiTheme="minorBidi" w:hAnsiTheme="minorBidi" w:cstheme="minorBidi"/>
          <w:b/>
          <w:bCs/>
          <w:lang w:eastAsia="en-IN"/>
        </w:rPr>
        <w:t>rGO/PPy15</w:t>
      </w:r>
    </w:p>
    <w:p w14:paraId="5D1E4959"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At this intermediate loading, the rGO/PPy15 composite shows the most balanced electrochemical response. The CV loop area is the largest among all samples, and both anodic and cathodic peaks are well developed, indicating efficient utilization of active sites. This composition achieves the optimal compromise between electronic conductivity and pseudocapacitive activity. The high surface interaction between rGO sheets and PPy chains likely creates a porous, interconnected network that maximizes ion accessibility and minimizes charge transfer resistance. Consequently, rGO/PPy15 can be regarded as the composition with the best overall electrochemical performance at the tested scan rate.</w:t>
      </w:r>
    </w:p>
    <w:p w14:paraId="6DF0BE89" w14:textId="77777777" w:rsidR="0003172E" w:rsidRPr="0003172E" w:rsidRDefault="0003172E" w:rsidP="0003172E">
      <w:pPr>
        <w:spacing w:before="100" w:beforeAutospacing="1" w:after="100" w:afterAutospacing="1"/>
        <w:jc w:val="both"/>
        <w:outlineLvl w:val="3"/>
        <w:rPr>
          <w:rFonts w:asciiTheme="minorBidi" w:hAnsiTheme="minorBidi" w:cstheme="minorBidi"/>
          <w:b/>
          <w:bCs/>
          <w:lang w:eastAsia="en-IN"/>
        </w:rPr>
      </w:pPr>
      <w:r w:rsidRPr="0003172E">
        <w:rPr>
          <w:rFonts w:asciiTheme="minorBidi" w:hAnsiTheme="minorBidi" w:cstheme="minorBidi"/>
          <w:b/>
          <w:bCs/>
          <w:lang w:eastAsia="en-IN"/>
        </w:rPr>
        <w:t>rGO/PPy20</w:t>
      </w:r>
    </w:p>
    <w:p w14:paraId="47CA7A7E"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Further increasing the PPy fraction to 20 wt% results in a decrease in the CV area and slightly distorted redox symmetry. The excessive PPy coating possibly leads to a denser morphology, which hinders electrolyte penetration and slows ion diffusion within the electrode. Moreover, the overaccumulation of polymer on rGO may block conductive pathways, thereby reducing electronic connectivity. As a result, although the sample still exhibits redox activity, the effective capacitance and rate performance appear reduced compared to rGO/PPy15.</w:t>
      </w:r>
    </w:p>
    <w:p w14:paraId="3DC9FCD4" w14:textId="4D08AE86" w:rsidR="0003172E" w:rsidRPr="0003172E" w:rsidRDefault="00482C88" w:rsidP="0003172E">
      <w:pPr>
        <w:spacing w:before="100" w:beforeAutospacing="1" w:after="100" w:afterAutospacing="1"/>
        <w:jc w:val="both"/>
        <w:outlineLvl w:val="2"/>
        <w:rPr>
          <w:rFonts w:asciiTheme="minorBidi" w:hAnsiTheme="minorBidi" w:cstheme="minorBidi"/>
          <w:b/>
          <w:bCs/>
          <w:lang w:eastAsia="en-IN"/>
        </w:rPr>
      </w:pPr>
      <w:r>
        <w:rPr>
          <w:rFonts w:asciiTheme="minorBidi" w:hAnsiTheme="minorBidi" w:cstheme="minorBidi"/>
          <w:b/>
          <w:bCs/>
          <w:lang w:eastAsia="en-IN"/>
        </w:rPr>
        <w:t>3.6</w:t>
      </w:r>
      <w:r w:rsidR="0003172E" w:rsidRPr="0003172E">
        <w:rPr>
          <w:rFonts w:asciiTheme="minorBidi" w:hAnsiTheme="minorBidi" w:cstheme="minorBidi"/>
          <w:b/>
          <w:bCs/>
          <w:lang w:eastAsia="en-IN"/>
        </w:rPr>
        <w:t xml:space="preserve"> Effect of Structural and Interfacial Properties</w:t>
      </w:r>
    </w:p>
    <w:p w14:paraId="410C7EA3" w14:textId="18122F39"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 xml:space="preserve">The electrochemical response of the composites is strongly dependent on the microstructure and interface quality between PPy and rGO. In well-balanced composites, PPy is uniformly distributed on the graphene sheets, providing continuous conductive channels and abundant electroactive sites. However, at low PPy loading, the insufficient coverage of graphene limits the pseudocapacitive effect, whereas at high loading, polymer agglomeration restricts the </w:t>
      </w:r>
      <w:r w:rsidRPr="0003172E">
        <w:rPr>
          <w:rFonts w:asciiTheme="minorBidi" w:hAnsiTheme="minorBidi" w:cstheme="minorBidi"/>
          <w:lang w:eastAsia="en-IN"/>
        </w:rPr>
        <w:lastRenderedPageBreak/>
        <w:t>effective utilization of the rGO network. Hence, achieving a uniform nanoscale dispersion is crucial for optimizing the capacitive behavior [23].</w:t>
      </w:r>
      <w:r>
        <w:rPr>
          <w:rFonts w:asciiTheme="minorBidi" w:hAnsiTheme="minorBidi" w:cstheme="minorBidi"/>
          <w:lang w:eastAsia="en-IN"/>
        </w:rPr>
        <w:t xml:space="preserve"> </w:t>
      </w:r>
      <w:r w:rsidRPr="0003172E">
        <w:rPr>
          <w:rFonts w:asciiTheme="minorBidi" w:hAnsiTheme="minorBidi" w:cstheme="minorBidi"/>
          <w:lang w:eastAsia="en-IN"/>
        </w:rPr>
        <w:t>The observed trends also highlight the role of electron–ion coupling at the rGO–PPy interface. rGO offers rapid electronic conduction, while PPy facilitates ion storage through its reversible redox transitions. The interfacial contact between these two phases dictates the overall charge transfer resistance, influencing both the shape and magnitude of the CV curves</w:t>
      </w:r>
      <w:r w:rsidR="00037F28">
        <w:rPr>
          <w:rFonts w:asciiTheme="minorBidi" w:hAnsiTheme="minorBidi" w:cstheme="minorBidi"/>
          <w:lang w:eastAsia="en-IN"/>
        </w:rPr>
        <w:t xml:space="preserve"> [24]</w:t>
      </w:r>
      <w:r w:rsidRPr="0003172E">
        <w:rPr>
          <w:rFonts w:asciiTheme="minorBidi" w:hAnsiTheme="minorBidi" w:cstheme="minorBidi"/>
          <w:lang w:eastAsia="en-IN"/>
        </w:rPr>
        <w:t>. The best-performing sample (rGO/PPy15) likely exhibits the most efficient coupling, resulting in an enhanced electrochemical response.</w:t>
      </w:r>
    </w:p>
    <w:p w14:paraId="1762FA40" w14:textId="782E2B11" w:rsidR="0003172E" w:rsidRPr="0003172E" w:rsidRDefault="00482C88" w:rsidP="0003172E">
      <w:pPr>
        <w:spacing w:before="100" w:beforeAutospacing="1" w:after="100" w:afterAutospacing="1"/>
        <w:jc w:val="both"/>
        <w:outlineLvl w:val="2"/>
        <w:rPr>
          <w:rFonts w:asciiTheme="minorBidi" w:hAnsiTheme="minorBidi" w:cstheme="minorBidi"/>
          <w:b/>
          <w:bCs/>
          <w:lang w:eastAsia="en-IN"/>
        </w:rPr>
      </w:pPr>
      <w:r>
        <w:rPr>
          <w:rFonts w:asciiTheme="minorBidi" w:hAnsiTheme="minorBidi" w:cstheme="minorBidi"/>
          <w:b/>
          <w:bCs/>
          <w:lang w:eastAsia="en-IN"/>
        </w:rPr>
        <w:t>3.7</w:t>
      </w:r>
      <w:r w:rsidR="0003172E" w:rsidRPr="0003172E">
        <w:rPr>
          <w:rFonts w:asciiTheme="minorBidi" w:hAnsiTheme="minorBidi" w:cstheme="minorBidi"/>
          <w:b/>
          <w:bCs/>
          <w:lang w:eastAsia="en-IN"/>
        </w:rPr>
        <w:t xml:space="preserve"> Capacitance Estimation and Comparative Insight</w:t>
      </w:r>
    </w:p>
    <w:p w14:paraId="4B272438"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Although quantitative capacitance values cannot be determined precisely without integrating current over potential, the relative CV areas can serve as qualitative indicators. Based on the visual comparison of the loop areas, the sequence of areal capacitance can be estimated as:</w:t>
      </w:r>
    </w:p>
    <w:p w14:paraId="37A5504F" w14:textId="77777777" w:rsidR="0003172E" w:rsidRPr="0003172E" w:rsidRDefault="0003172E" w:rsidP="0003172E">
      <w:pPr>
        <w:jc w:val="both"/>
        <w:rPr>
          <w:rFonts w:asciiTheme="minorBidi" w:hAnsiTheme="minorBidi" w:cstheme="minorBidi"/>
          <w:lang w:eastAsia="en-IN"/>
        </w:rPr>
      </w:pPr>
      <m:oMathPara>
        <m:oMath>
          <m:r>
            <m:rPr>
              <m:nor/>
            </m:rPr>
            <w:rPr>
              <w:rFonts w:asciiTheme="minorBidi" w:hAnsiTheme="minorBidi" w:cstheme="minorBidi"/>
              <w:lang w:eastAsia="en-IN"/>
            </w:rPr>
            <m:t>rGO/PPy15</m:t>
          </m:r>
          <m:r>
            <w:rPr>
              <w:rFonts w:ascii="Cambria Math" w:hAnsi="Cambria Math" w:cstheme="minorBidi"/>
              <w:lang w:eastAsia="en-IN"/>
            </w:rPr>
            <m:t>&gt;</m:t>
          </m:r>
          <m:r>
            <m:rPr>
              <m:nor/>
            </m:rPr>
            <w:rPr>
              <w:rFonts w:asciiTheme="minorBidi" w:hAnsiTheme="minorBidi" w:cstheme="minorBidi"/>
              <w:lang w:eastAsia="en-IN"/>
            </w:rPr>
            <m:t>rGO/PPy10</m:t>
          </m:r>
          <m:r>
            <w:rPr>
              <w:rFonts w:ascii="Cambria Math" w:hAnsi="Cambria Math" w:cstheme="minorBidi"/>
              <w:lang w:eastAsia="en-IN"/>
            </w:rPr>
            <m:t>&gt;</m:t>
          </m:r>
          <m:r>
            <m:rPr>
              <m:nor/>
            </m:rPr>
            <w:rPr>
              <w:rFonts w:asciiTheme="minorBidi" w:hAnsiTheme="minorBidi" w:cstheme="minorBidi"/>
              <w:lang w:eastAsia="en-IN"/>
            </w:rPr>
            <m:t>rGO/PPy20</m:t>
          </m:r>
          <m:r>
            <w:rPr>
              <w:rFonts w:ascii="Cambria Math" w:hAnsi="Cambria Math" w:cstheme="minorBidi"/>
              <w:lang w:eastAsia="en-IN"/>
            </w:rPr>
            <m:t>&gt;</m:t>
          </m:r>
          <m:r>
            <m:rPr>
              <m:nor/>
            </m:rPr>
            <w:rPr>
              <w:rFonts w:asciiTheme="minorBidi" w:hAnsiTheme="minorBidi" w:cstheme="minorBidi"/>
              <w:lang w:eastAsia="en-IN"/>
            </w:rPr>
            <m:t>rGO/PPy5</m:t>
          </m:r>
          <m:r>
            <m:rPr>
              <m:sty m:val="p"/>
            </m:rPr>
            <w:rPr>
              <w:rFonts w:ascii="Cambria Math" w:hAnsi="Cambria Math" w:cstheme="minorBidi"/>
              <w:lang w:eastAsia="en-IN"/>
            </w:rPr>
            <w:br/>
          </m:r>
        </m:oMath>
      </m:oMathPara>
    </w:p>
    <w:p w14:paraId="5C06C9FA" w14:textId="6E817E40"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This trend confirms that moderate PPy incorporation (around 15 wt%) optimizes the capacitive contribution by balancing conductivity, porosity, and active site availability. Similar observations have been reported in previous studies on rGO/PPy or rGO/polyaniline composites, where excessive polymer loading diminished the performance due to hindered charge mobility [2</w:t>
      </w:r>
      <w:r w:rsidR="00037F28">
        <w:rPr>
          <w:rFonts w:asciiTheme="minorBidi" w:hAnsiTheme="minorBidi" w:cstheme="minorBidi"/>
          <w:lang w:eastAsia="en-IN"/>
        </w:rPr>
        <w:t>5</w:t>
      </w:r>
      <w:r w:rsidRPr="0003172E">
        <w:rPr>
          <w:rFonts w:asciiTheme="minorBidi" w:hAnsiTheme="minorBidi" w:cstheme="minorBidi"/>
          <w:lang w:eastAsia="en-IN"/>
        </w:rPr>
        <w:t>].</w:t>
      </w:r>
    </w:p>
    <w:p w14:paraId="0B7F6F83" w14:textId="3DF874A8" w:rsidR="0003172E" w:rsidRPr="0003172E" w:rsidRDefault="00482C88" w:rsidP="0003172E">
      <w:pPr>
        <w:spacing w:before="100" w:beforeAutospacing="1" w:after="100" w:afterAutospacing="1"/>
        <w:jc w:val="both"/>
        <w:outlineLvl w:val="2"/>
        <w:rPr>
          <w:rFonts w:asciiTheme="minorBidi" w:hAnsiTheme="minorBidi" w:cstheme="minorBidi"/>
          <w:b/>
          <w:bCs/>
          <w:lang w:eastAsia="en-IN"/>
        </w:rPr>
      </w:pPr>
      <w:r>
        <w:rPr>
          <w:rFonts w:asciiTheme="minorBidi" w:hAnsiTheme="minorBidi" w:cstheme="minorBidi"/>
          <w:b/>
          <w:bCs/>
          <w:lang w:eastAsia="en-IN"/>
        </w:rPr>
        <w:t>3.8</w:t>
      </w:r>
      <w:r w:rsidR="0003172E" w:rsidRPr="0003172E">
        <w:rPr>
          <w:rFonts w:asciiTheme="minorBidi" w:hAnsiTheme="minorBidi" w:cstheme="minorBidi"/>
          <w:b/>
          <w:bCs/>
          <w:lang w:eastAsia="en-IN"/>
        </w:rPr>
        <w:t xml:space="preserve"> Implications for Supercapacitor Applications</w:t>
      </w:r>
    </w:p>
    <w:p w14:paraId="32E5B973" w14:textId="0EE51464"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The shape and stability of the CV curves at 10 mV/s suggest that all the composites possess good electrochemical reversibility and are suitable for supercapacitor electrodes [2</w:t>
      </w:r>
      <w:r w:rsidR="00037F28">
        <w:rPr>
          <w:rFonts w:asciiTheme="minorBidi" w:hAnsiTheme="minorBidi" w:cstheme="minorBidi"/>
          <w:lang w:eastAsia="en-IN"/>
        </w:rPr>
        <w:t>6</w:t>
      </w:r>
      <w:r w:rsidRPr="0003172E">
        <w:rPr>
          <w:rFonts w:asciiTheme="minorBidi" w:hAnsiTheme="minorBidi" w:cstheme="minorBidi"/>
          <w:lang w:eastAsia="en-IN"/>
        </w:rPr>
        <w:t>]. The combination of EDLC and pseudocapacitive behavior enables enhanced energy and power density, where rGO serves as the conductive backbone and PPy provides redox activity. The optimal composition (rGO/PPy15) is expected to deliver high specific capacitance, good cycling stability, and efficient ion diffusion, making it a promising candidate for next-generation hybrid supercapacitors [2</w:t>
      </w:r>
      <w:r w:rsidR="00037F28">
        <w:rPr>
          <w:rFonts w:asciiTheme="minorBidi" w:hAnsiTheme="minorBidi" w:cstheme="minorBidi"/>
          <w:lang w:eastAsia="en-IN"/>
        </w:rPr>
        <w:t>7</w:t>
      </w:r>
      <w:r w:rsidR="00C85787">
        <w:rPr>
          <w:rFonts w:asciiTheme="minorBidi" w:hAnsiTheme="minorBidi" w:cstheme="minorBidi"/>
          <w:lang w:eastAsia="en-IN"/>
        </w:rPr>
        <w:t>-30</w:t>
      </w:r>
      <w:r w:rsidRPr="0003172E">
        <w:rPr>
          <w:rFonts w:asciiTheme="minorBidi" w:hAnsiTheme="minorBidi" w:cstheme="minorBidi"/>
          <w:lang w:eastAsia="en-IN"/>
        </w:rPr>
        <w:t>].</w:t>
      </w:r>
    </w:p>
    <w:p w14:paraId="320847D8" w14:textId="17C44455"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Moreover, the gentle slopes and absence of significant hysteresis between anodic and cathodic scans indicate low internal resistance and stable electrode–electrolyte interaction. This is particularly advantageous for long-term cycling and rapid charge–discharge operation, which are critical for practical energy storage devices [3</w:t>
      </w:r>
      <w:r w:rsidR="00037F28">
        <w:rPr>
          <w:rFonts w:asciiTheme="minorBidi" w:hAnsiTheme="minorBidi" w:cstheme="minorBidi"/>
          <w:lang w:eastAsia="en-IN"/>
        </w:rPr>
        <w:t>1</w:t>
      </w:r>
      <w:r w:rsidR="00C85787">
        <w:rPr>
          <w:rFonts w:asciiTheme="minorBidi" w:hAnsiTheme="minorBidi" w:cstheme="minorBidi"/>
          <w:lang w:eastAsia="en-IN"/>
        </w:rPr>
        <w:t>-36</w:t>
      </w:r>
      <w:r w:rsidRPr="0003172E">
        <w:rPr>
          <w:rFonts w:asciiTheme="minorBidi" w:hAnsiTheme="minorBidi" w:cstheme="minorBidi"/>
          <w:lang w:eastAsia="en-IN"/>
        </w:rPr>
        <w:t>].</w:t>
      </w:r>
    </w:p>
    <w:p w14:paraId="02B905DC" w14:textId="49191310" w:rsidR="0003172E" w:rsidRPr="0003172E" w:rsidRDefault="00482C88" w:rsidP="0003172E">
      <w:pPr>
        <w:spacing w:before="100" w:beforeAutospacing="1" w:after="100" w:afterAutospacing="1"/>
        <w:jc w:val="both"/>
        <w:outlineLvl w:val="2"/>
        <w:rPr>
          <w:rFonts w:asciiTheme="minorBidi" w:hAnsiTheme="minorBidi" w:cstheme="minorBidi"/>
          <w:b/>
          <w:bCs/>
          <w:lang w:eastAsia="en-IN"/>
        </w:rPr>
      </w:pPr>
      <w:r>
        <w:rPr>
          <w:rFonts w:asciiTheme="minorBidi" w:hAnsiTheme="minorBidi" w:cstheme="minorBidi"/>
          <w:b/>
          <w:bCs/>
          <w:lang w:eastAsia="en-IN"/>
        </w:rPr>
        <w:t>3.9</w:t>
      </w:r>
      <w:r w:rsidR="0003172E" w:rsidRPr="0003172E">
        <w:rPr>
          <w:rFonts w:asciiTheme="minorBidi" w:hAnsiTheme="minorBidi" w:cstheme="minorBidi"/>
          <w:b/>
          <w:bCs/>
          <w:lang w:eastAsia="en-IN"/>
        </w:rPr>
        <w:t xml:space="preserve"> Summary of CV findings</w:t>
      </w:r>
    </w:p>
    <w:p w14:paraId="0F227AFA"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The CV analysis reveals that:</w:t>
      </w:r>
    </w:p>
    <w:p w14:paraId="38D48930" w14:textId="77777777" w:rsidR="0003172E" w:rsidRPr="0003172E" w:rsidRDefault="0003172E" w:rsidP="0003172E">
      <w:pPr>
        <w:numPr>
          <w:ilvl w:val="0"/>
          <w:numId w:val="31"/>
        </w:num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All rGO/PPy composites exhibit combined EDLC and pseudocapacitive characteristics.</w:t>
      </w:r>
    </w:p>
    <w:p w14:paraId="4C9FC20A" w14:textId="77777777" w:rsidR="0003172E" w:rsidRPr="0003172E" w:rsidRDefault="0003172E" w:rsidP="0003172E">
      <w:pPr>
        <w:numPr>
          <w:ilvl w:val="0"/>
          <w:numId w:val="31"/>
        </w:num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The current response and redox peak intensity increase with PPy content up to 15 wt%, then slightly decline at 20 wt%.</w:t>
      </w:r>
    </w:p>
    <w:p w14:paraId="27E3DE0A" w14:textId="77777777" w:rsidR="0003172E" w:rsidRPr="0003172E" w:rsidRDefault="0003172E" w:rsidP="0003172E">
      <w:pPr>
        <w:numPr>
          <w:ilvl w:val="0"/>
          <w:numId w:val="31"/>
        </w:num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The rGO/PPy15 electrode exhibits the most favorable electrochemical characteristics, indicating an optimal synergy between rGO and PPy.</w:t>
      </w:r>
    </w:p>
    <w:p w14:paraId="6BC9E864" w14:textId="77777777" w:rsidR="0003172E" w:rsidRPr="0003172E" w:rsidRDefault="0003172E" w:rsidP="0003172E">
      <w:pPr>
        <w:numPr>
          <w:ilvl w:val="0"/>
          <w:numId w:val="31"/>
        </w:num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lastRenderedPageBreak/>
        <w:t>The performance deterioration at higher PPy loading is attributed to reduced electrical conductivity and hindered ion transport resulting from dense polymer coverage.</w:t>
      </w:r>
    </w:p>
    <w:p w14:paraId="649A11B4" w14:textId="52E24782" w:rsidR="0003172E" w:rsidRPr="0003172E" w:rsidRDefault="0003172E" w:rsidP="0003172E">
      <w:pPr>
        <w:numPr>
          <w:ilvl w:val="0"/>
          <w:numId w:val="31"/>
        </w:num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lang w:eastAsia="en-IN"/>
        </w:rPr>
        <w:t>The results emphasize the importance of balancing conductive support and redox-active material to achieve superior capacitive behavior.</w:t>
      </w:r>
    </w:p>
    <w:p w14:paraId="05A60242" w14:textId="77777777" w:rsidR="0003172E" w:rsidRPr="0003172E" w:rsidRDefault="0003172E" w:rsidP="0003172E">
      <w:pPr>
        <w:spacing w:before="100" w:beforeAutospacing="1" w:after="100" w:afterAutospacing="1"/>
        <w:jc w:val="both"/>
        <w:rPr>
          <w:rFonts w:asciiTheme="minorBidi" w:hAnsiTheme="minorBidi" w:cstheme="minorBidi"/>
          <w:lang w:eastAsia="en-IN"/>
        </w:rPr>
      </w:pPr>
      <w:r w:rsidRPr="0003172E">
        <w:rPr>
          <w:rFonts w:asciiTheme="minorBidi" w:hAnsiTheme="minorBidi" w:cstheme="minorBidi"/>
          <w:b/>
          <w:bCs/>
          <w:lang w:eastAsia="en-IN"/>
        </w:rPr>
        <w:t>Table 1.</w:t>
      </w:r>
      <w:r w:rsidRPr="0003172E">
        <w:rPr>
          <w:rFonts w:asciiTheme="minorBidi" w:hAnsiTheme="minorBidi" w:cstheme="minorBidi"/>
          <w:lang w:eastAsia="en-IN"/>
        </w:rPr>
        <w:t xml:space="preserve"> Capacitance Analysis</w:t>
      </w:r>
    </w:p>
    <w:tbl>
      <w:tblPr>
        <w:tblW w:w="7863" w:type="dxa"/>
        <w:tblBorders>
          <w:top w:val="single" w:sz="4" w:space="0" w:color="auto"/>
          <w:bottom w:val="single" w:sz="4" w:space="0" w:color="auto"/>
        </w:tblBorders>
        <w:tblLook w:val="04A0" w:firstRow="1" w:lastRow="0" w:firstColumn="1" w:lastColumn="0" w:noHBand="0" w:noVBand="1"/>
      </w:tblPr>
      <w:tblGrid>
        <w:gridCol w:w="1721"/>
        <w:gridCol w:w="1413"/>
        <w:gridCol w:w="1322"/>
        <w:gridCol w:w="1165"/>
        <w:gridCol w:w="1076"/>
        <w:gridCol w:w="1166"/>
      </w:tblGrid>
      <w:tr w:rsidR="0003172E" w:rsidRPr="0003172E" w14:paraId="625477F3" w14:textId="77777777" w:rsidTr="0003172E">
        <w:trPr>
          <w:trHeight w:val="466"/>
        </w:trPr>
        <w:tc>
          <w:tcPr>
            <w:tcW w:w="1721" w:type="dxa"/>
            <w:tcBorders>
              <w:top w:val="single" w:sz="4" w:space="0" w:color="auto"/>
              <w:bottom w:val="single" w:sz="4" w:space="0" w:color="auto"/>
            </w:tcBorders>
            <w:noWrap/>
            <w:vAlign w:val="bottom"/>
            <w:hideMark/>
          </w:tcPr>
          <w:p w14:paraId="4CB1459D" w14:textId="77777777"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Sample Name</w:t>
            </w:r>
          </w:p>
        </w:tc>
        <w:tc>
          <w:tcPr>
            <w:tcW w:w="1413" w:type="dxa"/>
            <w:tcBorders>
              <w:top w:val="single" w:sz="4" w:space="0" w:color="auto"/>
              <w:bottom w:val="single" w:sz="4" w:space="0" w:color="auto"/>
            </w:tcBorders>
            <w:noWrap/>
            <w:vAlign w:val="bottom"/>
            <w:hideMark/>
          </w:tcPr>
          <w:p w14:paraId="47C8753F" w14:textId="77777777"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Area</w:t>
            </w:r>
          </w:p>
        </w:tc>
        <w:tc>
          <w:tcPr>
            <w:tcW w:w="1322" w:type="dxa"/>
            <w:tcBorders>
              <w:top w:val="single" w:sz="4" w:space="0" w:color="auto"/>
              <w:bottom w:val="single" w:sz="4" w:space="0" w:color="auto"/>
            </w:tcBorders>
            <w:noWrap/>
            <w:vAlign w:val="bottom"/>
            <w:hideMark/>
          </w:tcPr>
          <w:p w14:paraId="7046CA39" w14:textId="77777777"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Pot Window</w:t>
            </w:r>
          </w:p>
        </w:tc>
        <w:tc>
          <w:tcPr>
            <w:tcW w:w="1165" w:type="dxa"/>
            <w:tcBorders>
              <w:top w:val="single" w:sz="4" w:space="0" w:color="auto"/>
              <w:bottom w:val="single" w:sz="4" w:space="0" w:color="auto"/>
            </w:tcBorders>
            <w:noWrap/>
            <w:vAlign w:val="bottom"/>
            <w:hideMark/>
          </w:tcPr>
          <w:p w14:paraId="66C8F2D4" w14:textId="77777777"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Mass Load</w:t>
            </w:r>
          </w:p>
        </w:tc>
        <w:tc>
          <w:tcPr>
            <w:tcW w:w="1076" w:type="dxa"/>
            <w:tcBorders>
              <w:top w:val="single" w:sz="4" w:space="0" w:color="auto"/>
              <w:bottom w:val="single" w:sz="4" w:space="0" w:color="auto"/>
            </w:tcBorders>
            <w:noWrap/>
            <w:vAlign w:val="bottom"/>
            <w:hideMark/>
          </w:tcPr>
          <w:p w14:paraId="46188E40" w14:textId="77777777"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Scan Rate</w:t>
            </w:r>
          </w:p>
        </w:tc>
        <w:tc>
          <w:tcPr>
            <w:tcW w:w="1166" w:type="dxa"/>
            <w:tcBorders>
              <w:top w:val="single" w:sz="4" w:space="0" w:color="auto"/>
              <w:bottom w:val="single" w:sz="4" w:space="0" w:color="auto"/>
            </w:tcBorders>
            <w:noWrap/>
            <w:vAlign w:val="bottom"/>
            <w:hideMark/>
          </w:tcPr>
          <w:p w14:paraId="371601EB" w14:textId="77777777"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Cap.</w:t>
            </w:r>
          </w:p>
        </w:tc>
      </w:tr>
      <w:tr w:rsidR="0003172E" w:rsidRPr="0003172E" w14:paraId="57D5B1D6" w14:textId="77777777" w:rsidTr="0003172E">
        <w:trPr>
          <w:trHeight w:val="466"/>
        </w:trPr>
        <w:tc>
          <w:tcPr>
            <w:tcW w:w="1721" w:type="dxa"/>
            <w:tcBorders>
              <w:top w:val="single" w:sz="4" w:space="0" w:color="auto"/>
            </w:tcBorders>
            <w:noWrap/>
            <w:vAlign w:val="bottom"/>
            <w:hideMark/>
          </w:tcPr>
          <w:p w14:paraId="5D8A8E7A" w14:textId="0522996E"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(rGO/PPy)5</w:t>
            </w:r>
          </w:p>
        </w:tc>
        <w:tc>
          <w:tcPr>
            <w:tcW w:w="1413" w:type="dxa"/>
            <w:tcBorders>
              <w:top w:val="single" w:sz="4" w:space="0" w:color="auto"/>
            </w:tcBorders>
            <w:noWrap/>
            <w:vAlign w:val="bottom"/>
            <w:hideMark/>
          </w:tcPr>
          <w:p w14:paraId="2788B90F"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0.00124912</w:t>
            </w:r>
          </w:p>
        </w:tc>
        <w:tc>
          <w:tcPr>
            <w:tcW w:w="1322" w:type="dxa"/>
            <w:tcBorders>
              <w:top w:val="single" w:sz="4" w:space="0" w:color="auto"/>
            </w:tcBorders>
            <w:noWrap/>
            <w:vAlign w:val="bottom"/>
            <w:hideMark/>
          </w:tcPr>
          <w:p w14:paraId="43304D04"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0.6</w:t>
            </w:r>
          </w:p>
        </w:tc>
        <w:tc>
          <w:tcPr>
            <w:tcW w:w="1165" w:type="dxa"/>
            <w:tcBorders>
              <w:top w:val="single" w:sz="4" w:space="0" w:color="auto"/>
            </w:tcBorders>
            <w:noWrap/>
            <w:vAlign w:val="bottom"/>
            <w:hideMark/>
          </w:tcPr>
          <w:p w14:paraId="2F0760C1" w14:textId="3E3EAA93"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0.001</w:t>
            </w:r>
          </w:p>
        </w:tc>
        <w:tc>
          <w:tcPr>
            <w:tcW w:w="1076" w:type="dxa"/>
            <w:tcBorders>
              <w:top w:val="single" w:sz="4" w:space="0" w:color="auto"/>
            </w:tcBorders>
            <w:noWrap/>
            <w:vAlign w:val="bottom"/>
            <w:hideMark/>
          </w:tcPr>
          <w:p w14:paraId="49179ED5"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0.01</w:t>
            </w:r>
          </w:p>
        </w:tc>
        <w:tc>
          <w:tcPr>
            <w:tcW w:w="1166" w:type="dxa"/>
            <w:tcBorders>
              <w:top w:val="single" w:sz="4" w:space="0" w:color="auto"/>
            </w:tcBorders>
            <w:noWrap/>
            <w:vAlign w:val="bottom"/>
            <w:hideMark/>
          </w:tcPr>
          <w:p w14:paraId="2A353F9A"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115.6592</w:t>
            </w:r>
          </w:p>
        </w:tc>
      </w:tr>
      <w:tr w:rsidR="0003172E" w:rsidRPr="0003172E" w14:paraId="0A6AB753" w14:textId="77777777" w:rsidTr="0003172E">
        <w:trPr>
          <w:trHeight w:val="466"/>
        </w:trPr>
        <w:tc>
          <w:tcPr>
            <w:tcW w:w="1721" w:type="dxa"/>
            <w:noWrap/>
            <w:vAlign w:val="bottom"/>
            <w:hideMark/>
          </w:tcPr>
          <w:p w14:paraId="3C14561B" w14:textId="0C6F0512"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(rGO/Ppy)10</w:t>
            </w:r>
          </w:p>
        </w:tc>
        <w:tc>
          <w:tcPr>
            <w:tcW w:w="1413" w:type="dxa"/>
            <w:noWrap/>
            <w:vAlign w:val="bottom"/>
            <w:hideMark/>
          </w:tcPr>
          <w:p w14:paraId="73380AD8"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5.35E-04</w:t>
            </w:r>
          </w:p>
        </w:tc>
        <w:tc>
          <w:tcPr>
            <w:tcW w:w="1322" w:type="dxa"/>
            <w:noWrap/>
            <w:vAlign w:val="bottom"/>
            <w:hideMark/>
          </w:tcPr>
          <w:p w14:paraId="4804F3C9"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0.6</w:t>
            </w:r>
          </w:p>
        </w:tc>
        <w:tc>
          <w:tcPr>
            <w:tcW w:w="1165" w:type="dxa"/>
            <w:noWrap/>
            <w:vAlign w:val="bottom"/>
            <w:hideMark/>
          </w:tcPr>
          <w:p w14:paraId="01092E7B"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0.001</w:t>
            </w:r>
          </w:p>
        </w:tc>
        <w:tc>
          <w:tcPr>
            <w:tcW w:w="1076" w:type="dxa"/>
            <w:noWrap/>
            <w:vAlign w:val="bottom"/>
            <w:hideMark/>
          </w:tcPr>
          <w:p w14:paraId="5848CA99"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0.01</w:t>
            </w:r>
          </w:p>
        </w:tc>
        <w:tc>
          <w:tcPr>
            <w:tcW w:w="1166" w:type="dxa"/>
            <w:noWrap/>
            <w:vAlign w:val="bottom"/>
            <w:hideMark/>
          </w:tcPr>
          <w:p w14:paraId="7B9125F9"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89.20338</w:t>
            </w:r>
          </w:p>
        </w:tc>
      </w:tr>
      <w:tr w:rsidR="0003172E" w:rsidRPr="0003172E" w14:paraId="1096C00A" w14:textId="77777777" w:rsidTr="0003172E">
        <w:trPr>
          <w:trHeight w:val="466"/>
        </w:trPr>
        <w:tc>
          <w:tcPr>
            <w:tcW w:w="1721" w:type="dxa"/>
            <w:noWrap/>
            <w:vAlign w:val="bottom"/>
            <w:hideMark/>
          </w:tcPr>
          <w:p w14:paraId="3B0793FD" w14:textId="1A223691" w:rsidR="0003172E" w:rsidRPr="0003172E" w:rsidRDefault="0003172E" w:rsidP="00C8786B">
            <w:pPr>
              <w:rPr>
                <w:rFonts w:asciiTheme="minorBidi" w:hAnsiTheme="minorBidi" w:cstheme="minorBidi"/>
                <w:color w:val="7030A0"/>
                <w:lang w:eastAsia="en-IN"/>
              </w:rPr>
            </w:pPr>
            <w:r w:rsidRPr="0003172E">
              <w:rPr>
                <w:rFonts w:asciiTheme="minorBidi" w:hAnsiTheme="minorBidi" w:cstheme="minorBidi"/>
                <w:color w:val="7030A0"/>
                <w:lang w:eastAsia="en-IN"/>
              </w:rPr>
              <w:t>(rGO/Ppy)15</w:t>
            </w:r>
          </w:p>
        </w:tc>
        <w:tc>
          <w:tcPr>
            <w:tcW w:w="1413" w:type="dxa"/>
            <w:noWrap/>
            <w:vAlign w:val="bottom"/>
            <w:hideMark/>
          </w:tcPr>
          <w:p w14:paraId="2CC52A87" w14:textId="77777777" w:rsidR="0003172E" w:rsidRPr="0003172E" w:rsidRDefault="0003172E" w:rsidP="00C8786B">
            <w:pPr>
              <w:jc w:val="right"/>
              <w:rPr>
                <w:rFonts w:asciiTheme="minorBidi" w:hAnsiTheme="minorBidi" w:cstheme="minorBidi"/>
                <w:color w:val="7030A0"/>
                <w:lang w:eastAsia="en-IN"/>
              </w:rPr>
            </w:pPr>
            <w:r w:rsidRPr="0003172E">
              <w:rPr>
                <w:rFonts w:asciiTheme="minorBidi" w:hAnsiTheme="minorBidi" w:cstheme="minorBidi"/>
                <w:color w:val="7030A0"/>
                <w:lang w:eastAsia="en-IN"/>
              </w:rPr>
              <w:t>0.00138219</w:t>
            </w:r>
          </w:p>
        </w:tc>
        <w:tc>
          <w:tcPr>
            <w:tcW w:w="1322" w:type="dxa"/>
            <w:noWrap/>
            <w:vAlign w:val="bottom"/>
            <w:hideMark/>
          </w:tcPr>
          <w:p w14:paraId="22FD39D0" w14:textId="77777777" w:rsidR="0003172E" w:rsidRPr="0003172E" w:rsidRDefault="0003172E" w:rsidP="00C8786B">
            <w:pPr>
              <w:jc w:val="right"/>
              <w:rPr>
                <w:rFonts w:asciiTheme="minorBidi" w:hAnsiTheme="minorBidi" w:cstheme="minorBidi"/>
                <w:color w:val="7030A0"/>
                <w:lang w:eastAsia="en-IN"/>
              </w:rPr>
            </w:pPr>
            <w:r w:rsidRPr="0003172E">
              <w:rPr>
                <w:rFonts w:asciiTheme="minorBidi" w:hAnsiTheme="minorBidi" w:cstheme="minorBidi"/>
                <w:color w:val="7030A0"/>
                <w:lang w:eastAsia="en-IN"/>
              </w:rPr>
              <w:t>0.6</w:t>
            </w:r>
          </w:p>
        </w:tc>
        <w:tc>
          <w:tcPr>
            <w:tcW w:w="1165" w:type="dxa"/>
            <w:noWrap/>
            <w:vAlign w:val="bottom"/>
            <w:hideMark/>
          </w:tcPr>
          <w:p w14:paraId="679F9FF3" w14:textId="77777777" w:rsidR="0003172E" w:rsidRPr="0003172E" w:rsidRDefault="0003172E" w:rsidP="00C8786B">
            <w:pPr>
              <w:jc w:val="right"/>
              <w:rPr>
                <w:rFonts w:asciiTheme="minorBidi" w:hAnsiTheme="minorBidi" w:cstheme="minorBidi"/>
                <w:color w:val="7030A0"/>
                <w:lang w:eastAsia="en-IN"/>
              </w:rPr>
            </w:pPr>
            <w:r w:rsidRPr="0003172E">
              <w:rPr>
                <w:rFonts w:asciiTheme="minorBidi" w:hAnsiTheme="minorBidi" w:cstheme="minorBidi"/>
                <w:color w:val="7030A0"/>
                <w:lang w:eastAsia="en-IN"/>
              </w:rPr>
              <w:t>0.001</w:t>
            </w:r>
          </w:p>
        </w:tc>
        <w:tc>
          <w:tcPr>
            <w:tcW w:w="1076" w:type="dxa"/>
            <w:noWrap/>
            <w:vAlign w:val="bottom"/>
            <w:hideMark/>
          </w:tcPr>
          <w:p w14:paraId="71C820BD" w14:textId="77777777" w:rsidR="0003172E" w:rsidRPr="0003172E" w:rsidRDefault="0003172E" w:rsidP="00C8786B">
            <w:pPr>
              <w:jc w:val="right"/>
              <w:rPr>
                <w:rFonts w:asciiTheme="minorBidi" w:hAnsiTheme="minorBidi" w:cstheme="minorBidi"/>
                <w:color w:val="7030A0"/>
                <w:lang w:eastAsia="en-IN"/>
              </w:rPr>
            </w:pPr>
            <w:r w:rsidRPr="0003172E">
              <w:rPr>
                <w:rFonts w:asciiTheme="minorBidi" w:hAnsiTheme="minorBidi" w:cstheme="minorBidi"/>
                <w:color w:val="7030A0"/>
                <w:lang w:eastAsia="en-IN"/>
              </w:rPr>
              <w:t>0.01</w:t>
            </w:r>
          </w:p>
        </w:tc>
        <w:tc>
          <w:tcPr>
            <w:tcW w:w="1166" w:type="dxa"/>
            <w:noWrap/>
            <w:vAlign w:val="bottom"/>
            <w:hideMark/>
          </w:tcPr>
          <w:p w14:paraId="259CEF58" w14:textId="77777777" w:rsidR="0003172E" w:rsidRPr="0003172E" w:rsidRDefault="0003172E" w:rsidP="00C8786B">
            <w:pPr>
              <w:jc w:val="right"/>
              <w:rPr>
                <w:rFonts w:asciiTheme="minorBidi" w:hAnsiTheme="minorBidi" w:cstheme="minorBidi"/>
                <w:color w:val="7030A0"/>
                <w:lang w:eastAsia="en-IN"/>
              </w:rPr>
            </w:pPr>
            <w:r w:rsidRPr="0003172E">
              <w:rPr>
                <w:rFonts w:asciiTheme="minorBidi" w:hAnsiTheme="minorBidi" w:cstheme="minorBidi"/>
                <w:color w:val="7030A0"/>
                <w:lang w:eastAsia="en-IN"/>
              </w:rPr>
              <w:t>230.3644</w:t>
            </w:r>
          </w:p>
        </w:tc>
      </w:tr>
      <w:tr w:rsidR="0003172E" w:rsidRPr="0003172E" w14:paraId="2FF4F72A" w14:textId="77777777" w:rsidTr="0003172E">
        <w:trPr>
          <w:trHeight w:val="466"/>
        </w:trPr>
        <w:tc>
          <w:tcPr>
            <w:tcW w:w="1721" w:type="dxa"/>
            <w:noWrap/>
            <w:vAlign w:val="bottom"/>
            <w:hideMark/>
          </w:tcPr>
          <w:p w14:paraId="0251F489" w14:textId="715ADF31" w:rsidR="0003172E" w:rsidRPr="0003172E" w:rsidRDefault="0003172E" w:rsidP="00C8786B">
            <w:pPr>
              <w:rPr>
                <w:rFonts w:asciiTheme="minorBidi" w:hAnsiTheme="minorBidi" w:cstheme="minorBidi"/>
                <w:color w:val="000000"/>
                <w:lang w:eastAsia="en-IN"/>
              </w:rPr>
            </w:pPr>
            <w:r w:rsidRPr="0003172E">
              <w:rPr>
                <w:rFonts w:asciiTheme="minorBidi" w:hAnsiTheme="minorBidi" w:cstheme="minorBidi"/>
                <w:color w:val="000000"/>
                <w:lang w:eastAsia="en-IN"/>
              </w:rPr>
              <w:t>(rGO/Ppy)20</w:t>
            </w:r>
          </w:p>
        </w:tc>
        <w:tc>
          <w:tcPr>
            <w:tcW w:w="1413" w:type="dxa"/>
            <w:noWrap/>
            <w:vAlign w:val="bottom"/>
            <w:hideMark/>
          </w:tcPr>
          <w:p w14:paraId="1D1EE864"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0.00113958</w:t>
            </w:r>
          </w:p>
        </w:tc>
        <w:tc>
          <w:tcPr>
            <w:tcW w:w="1322" w:type="dxa"/>
            <w:noWrap/>
            <w:vAlign w:val="bottom"/>
            <w:hideMark/>
          </w:tcPr>
          <w:p w14:paraId="45C5F5C8"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0.6</w:t>
            </w:r>
          </w:p>
        </w:tc>
        <w:tc>
          <w:tcPr>
            <w:tcW w:w="1165" w:type="dxa"/>
            <w:noWrap/>
            <w:vAlign w:val="bottom"/>
            <w:hideMark/>
          </w:tcPr>
          <w:p w14:paraId="5672E600"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0.001</w:t>
            </w:r>
          </w:p>
        </w:tc>
        <w:tc>
          <w:tcPr>
            <w:tcW w:w="1076" w:type="dxa"/>
            <w:noWrap/>
            <w:vAlign w:val="bottom"/>
            <w:hideMark/>
          </w:tcPr>
          <w:p w14:paraId="10EE80DE"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0.01</w:t>
            </w:r>
          </w:p>
        </w:tc>
        <w:tc>
          <w:tcPr>
            <w:tcW w:w="1166" w:type="dxa"/>
            <w:noWrap/>
            <w:vAlign w:val="bottom"/>
            <w:hideMark/>
          </w:tcPr>
          <w:p w14:paraId="28D28996" w14:textId="77777777" w:rsidR="0003172E" w:rsidRPr="0003172E" w:rsidRDefault="0003172E" w:rsidP="00C8786B">
            <w:pPr>
              <w:jc w:val="right"/>
              <w:rPr>
                <w:rFonts w:asciiTheme="minorBidi" w:hAnsiTheme="minorBidi" w:cstheme="minorBidi"/>
                <w:color w:val="000000"/>
                <w:lang w:eastAsia="en-IN"/>
              </w:rPr>
            </w:pPr>
            <w:r w:rsidRPr="0003172E">
              <w:rPr>
                <w:rFonts w:asciiTheme="minorBidi" w:hAnsiTheme="minorBidi" w:cstheme="minorBidi"/>
                <w:color w:val="000000"/>
                <w:lang w:eastAsia="en-IN"/>
              </w:rPr>
              <w:t>189.9295</w:t>
            </w:r>
          </w:p>
        </w:tc>
      </w:tr>
    </w:tbl>
    <w:p w14:paraId="12F79379" w14:textId="77777777" w:rsidR="0003172E" w:rsidRPr="00C53684" w:rsidRDefault="0003172E" w:rsidP="0003172E">
      <w:pPr>
        <w:spacing w:before="100" w:beforeAutospacing="1" w:after="100" w:afterAutospacing="1"/>
        <w:jc w:val="both"/>
        <w:rPr>
          <w:rFonts w:ascii="Times New Roman" w:hAnsi="Times New Roman"/>
          <w:lang w:eastAsia="en-IN"/>
        </w:rPr>
      </w:pPr>
      <w:r w:rsidRPr="0003172E">
        <w:rPr>
          <w:rFonts w:asciiTheme="minorBidi" w:hAnsiTheme="minorBidi" w:cstheme="minorBidi"/>
          <w:lang w:eastAsia="en-IN"/>
        </w:rPr>
        <w:t>The cyclic voltammetry data at 10 mV/s highlight the tunable electrochemical properties of rGO/PPy composites as a function of PPy content. The results confirm that a moderate incorporation of PPy significantly enhances the overall capacitance through synergistic contributions of rGO and PPy. The optimized composite (rGO/PPy15) exhibits the highest capacitive current and most pronounced redox response, attributed to efficient interfacial electron transport and accessible active sites. These findings demonstrate that careful control over polymer loading and dispersion within the graphene network is crucial for developing high-performance hybrid electrodes for supercapacitor applications.</w:t>
      </w:r>
    </w:p>
    <w:p w14:paraId="2EA68553" w14:textId="77777777" w:rsidR="0003172E" w:rsidRDefault="0003172E" w:rsidP="00441B6F">
      <w:pPr>
        <w:pStyle w:val="Body"/>
        <w:spacing w:after="0"/>
        <w:rPr>
          <w:rFonts w:ascii="Arial" w:hAnsi="Arial" w:cs="Arial"/>
        </w:rPr>
      </w:pPr>
    </w:p>
    <w:p w14:paraId="7A7A89D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07FA91" w14:textId="77777777" w:rsidR="00790ADA" w:rsidRPr="00FB3A86" w:rsidRDefault="00790ADA" w:rsidP="00441B6F">
      <w:pPr>
        <w:pStyle w:val="ConcHead"/>
        <w:spacing w:after="0"/>
        <w:jc w:val="both"/>
        <w:rPr>
          <w:rFonts w:ascii="Arial" w:hAnsi="Arial" w:cs="Arial"/>
        </w:rPr>
      </w:pPr>
    </w:p>
    <w:p w14:paraId="6F083D18" w14:textId="77777777" w:rsidR="00037F28" w:rsidRDefault="00037F28" w:rsidP="0003172E">
      <w:pPr>
        <w:jc w:val="both"/>
        <w:rPr>
          <w:rFonts w:asciiTheme="minorBidi" w:hAnsiTheme="minorBidi" w:cstheme="minorBidi"/>
        </w:rPr>
      </w:pPr>
      <w:r>
        <w:rPr>
          <w:rFonts w:asciiTheme="minorBidi" w:hAnsiTheme="minorBidi" w:cstheme="minorBidi"/>
        </w:rPr>
        <w:t>In this study, a series of reduced graphene oxide/polypyrrole (rGO/PPy) nanocomposites with varying PPy content were successfully synthesized through an in-situ oxidative polymerization process and subsequently evaluated as electrode materials for supercapacitor applications using cyclic voltammetry (CV) at a scan rate of 10 mV s</w:t>
      </w:r>
      <w:r>
        <w:rPr>
          <w:rFonts w:ascii="Cambria Math" w:hAnsi="Cambria Math" w:cs="Cambria Math"/>
        </w:rPr>
        <w:t>⁻</w:t>
      </w:r>
      <w:r>
        <w:rPr>
          <w:rFonts w:ascii="Arial" w:hAnsi="Arial" w:cs="Arial"/>
        </w:rPr>
        <w:t>¹</w:t>
      </w:r>
      <w:r>
        <w:rPr>
          <w:rFonts w:asciiTheme="minorBidi" w:hAnsiTheme="minorBidi" w:cstheme="minorBidi"/>
        </w:rPr>
        <w:t>. The investigation primarily aimed to elucidate the effect of PPy loading on the electrochemical performance of the rGO/PPy system, with a particular emphasis on the synergistic interactions between the conductive carbon framework of rGO and the redox-active polymer matrix of PPy.</w:t>
      </w:r>
    </w:p>
    <w:p w14:paraId="2CF4C4B9" w14:textId="77777777" w:rsidR="00037F28" w:rsidRDefault="00037F28" w:rsidP="0003172E">
      <w:pPr>
        <w:jc w:val="both"/>
        <w:rPr>
          <w:rFonts w:asciiTheme="minorBidi" w:hAnsiTheme="minorBidi" w:cstheme="minorBidi"/>
        </w:rPr>
      </w:pPr>
    </w:p>
    <w:p w14:paraId="1711048B" w14:textId="77777777" w:rsidR="00037F28" w:rsidRDefault="00037F28" w:rsidP="0003172E">
      <w:pPr>
        <w:jc w:val="both"/>
        <w:rPr>
          <w:rFonts w:asciiTheme="minorBidi" w:hAnsiTheme="minorBidi" w:cstheme="minorBidi"/>
        </w:rPr>
      </w:pPr>
      <w:r>
        <w:rPr>
          <w:rFonts w:asciiTheme="minorBidi" w:hAnsiTheme="minorBidi" w:cstheme="minorBidi"/>
        </w:rPr>
        <w:t>The specific capacitance values extrapolated from the CV data demonstrate a performance trend that is dependent on composition: rGO/PPy15 exhibited the highest capacitance at 230.36 F g</w:t>
      </w:r>
      <w:r>
        <w:rPr>
          <w:rFonts w:ascii="Cambria Math" w:hAnsi="Cambria Math" w:cs="Cambria Math"/>
        </w:rPr>
        <w:t>⁻</w:t>
      </w:r>
      <w:r>
        <w:rPr>
          <w:rFonts w:ascii="Arial" w:hAnsi="Arial" w:cs="Arial"/>
        </w:rPr>
        <w:t>¹</w:t>
      </w:r>
      <w:r>
        <w:rPr>
          <w:rFonts w:asciiTheme="minorBidi" w:hAnsiTheme="minorBidi" w:cstheme="minorBidi"/>
        </w:rPr>
        <w:t>, followed by rGO/PPy20 at 189.93 F g</w:t>
      </w:r>
      <w:r>
        <w:rPr>
          <w:rFonts w:ascii="Cambria Math" w:hAnsi="Cambria Math" w:cs="Cambria Math"/>
        </w:rPr>
        <w:t>⁻</w:t>
      </w:r>
      <w:r>
        <w:rPr>
          <w:rFonts w:ascii="Arial" w:hAnsi="Arial" w:cs="Arial"/>
        </w:rPr>
        <w:t>¹</w:t>
      </w:r>
      <w:r>
        <w:rPr>
          <w:rFonts w:asciiTheme="minorBidi" w:hAnsiTheme="minorBidi" w:cstheme="minorBidi"/>
        </w:rPr>
        <w:t>, rGO/PPy5 at 115.66 F g</w:t>
      </w:r>
      <w:r>
        <w:rPr>
          <w:rFonts w:ascii="Cambria Math" w:hAnsi="Cambria Math" w:cs="Cambria Math"/>
        </w:rPr>
        <w:t>⁻</w:t>
      </w:r>
      <w:r>
        <w:rPr>
          <w:rFonts w:ascii="Arial" w:hAnsi="Arial" w:cs="Arial"/>
        </w:rPr>
        <w:t>¹</w:t>
      </w:r>
      <w:r>
        <w:rPr>
          <w:rFonts w:asciiTheme="minorBidi" w:hAnsiTheme="minorBidi" w:cstheme="minorBidi"/>
        </w:rPr>
        <w:t>, and rGO/PPy10 at 89.20 F g</w:t>
      </w:r>
      <w:r>
        <w:rPr>
          <w:rFonts w:ascii="Cambria Math" w:hAnsi="Cambria Math" w:cs="Cambria Math"/>
        </w:rPr>
        <w:t>⁻</w:t>
      </w:r>
      <w:r>
        <w:rPr>
          <w:rFonts w:ascii="Arial" w:hAnsi="Arial" w:cs="Arial"/>
        </w:rPr>
        <w:t>¹</w:t>
      </w:r>
      <w:r>
        <w:rPr>
          <w:rFonts w:asciiTheme="minorBidi" w:hAnsiTheme="minorBidi" w:cstheme="minorBidi"/>
        </w:rPr>
        <w:t>. This variance indicates that moderate incorporation of PPy significantly enhances charge storage capability, attributable to an optimal balance between double-layer and pseudocapacitive mechanisms. At lower PPy contents (rGO/PPy5 and rGO/PPy10), the constrained redox contribution leads to diminished capacitance, while excessive PPy (rGO/PPy20) compromises conductivity and ion accessibility due to polymer agglomeration. The superior performance of rGO/PPy15 corroborates that optimal PPy loading maximizes interfacial contact, thereby facilitating rapid charge transfer and efficient ion diffusion.</w:t>
      </w:r>
    </w:p>
    <w:p w14:paraId="1BE7CC88" w14:textId="77777777" w:rsidR="00037F28" w:rsidRDefault="00037F28" w:rsidP="0003172E">
      <w:pPr>
        <w:jc w:val="both"/>
        <w:rPr>
          <w:rFonts w:asciiTheme="minorBidi" w:hAnsiTheme="minorBidi" w:cstheme="minorBidi"/>
        </w:rPr>
      </w:pPr>
    </w:p>
    <w:p w14:paraId="4A068D86" w14:textId="77777777" w:rsidR="00037F28" w:rsidRDefault="00037F28" w:rsidP="0003172E">
      <w:pPr>
        <w:jc w:val="both"/>
        <w:rPr>
          <w:rFonts w:asciiTheme="minorBidi" w:hAnsiTheme="minorBidi" w:cstheme="minorBidi"/>
        </w:rPr>
      </w:pPr>
      <w:r>
        <w:rPr>
          <w:rFonts w:asciiTheme="minorBidi" w:hAnsiTheme="minorBidi" w:cstheme="minorBidi"/>
        </w:rPr>
        <w:lastRenderedPageBreak/>
        <w:t>The quasi-rectangular CV profiles, characterized by minor redox humps, further substantiate the coexistence of electric double-layer capacitance (EDLC) and pseudocapacitance within the hybrid structure. The rGO network contributes to EDLC through its high surface area and conductivity, which promote rapid electron transport, whereas PPy offers additional Faradaic charge storage through reversible redox transitions. The close integration of PPy with rGO mitigates charge-transfer resistance and ensures uniform utilization of electroactive sites. Consequently, rGO/PPy15 exhibits the most favorable electrochemical characteristics, notably high capacitance, along with excellent reversibility and structural stability.</w:t>
      </w:r>
    </w:p>
    <w:p w14:paraId="0228D533" w14:textId="77777777" w:rsidR="00037F28" w:rsidRDefault="00037F28" w:rsidP="0003172E">
      <w:pPr>
        <w:jc w:val="both"/>
        <w:rPr>
          <w:rFonts w:asciiTheme="minorBidi" w:hAnsiTheme="minorBidi" w:cstheme="minorBidi"/>
        </w:rPr>
      </w:pPr>
    </w:p>
    <w:p w14:paraId="009B9FFB" w14:textId="77777777" w:rsidR="00037F28" w:rsidRDefault="00037F28" w:rsidP="0003172E">
      <w:pPr>
        <w:jc w:val="both"/>
        <w:rPr>
          <w:rFonts w:asciiTheme="minorBidi" w:hAnsiTheme="minorBidi" w:cstheme="minorBidi"/>
        </w:rPr>
      </w:pPr>
      <w:r>
        <w:rPr>
          <w:rFonts w:asciiTheme="minorBidi" w:hAnsiTheme="minorBidi" w:cstheme="minorBidi"/>
        </w:rPr>
        <w:t>Overall, the capacitance analysis reveals that the electrochemical performance of rGO/PPy composites is predominantly influenced by the balance between conductivity and redox activity. The synergistic interaction between rGO and PPy facilitates a dual charge storage mechanism; rGO stabilizes the PPy phase and enhances electron transport, while PPy imparts pseudocapacitive functionality. The optimized composite (rGO/PPy15) thus represents the most effective integration of these effects, highlighting its potential as a high-performance electrode material for energy storage applications.</w:t>
      </w:r>
    </w:p>
    <w:p w14:paraId="764CF021" w14:textId="77777777" w:rsidR="00037F28" w:rsidRDefault="00037F28" w:rsidP="0003172E">
      <w:pPr>
        <w:jc w:val="both"/>
        <w:rPr>
          <w:rFonts w:asciiTheme="minorBidi" w:hAnsiTheme="minorBidi" w:cstheme="minorBidi"/>
        </w:rPr>
      </w:pPr>
    </w:p>
    <w:p w14:paraId="2115EB07" w14:textId="2D66A569" w:rsidR="0003172E" w:rsidRPr="0003172E" w:rsidRDefault="00037F28" w:rsidP="0003172E">
      <w:pPr>
        <w:jc w:val="both"/>
        <w:rPr>
          <w:rFonts w:asciiTheme="minorBidi" w:hAnsiTheme="minorBidi" w:cstheme="minorBidi"/>
        </w:rPr>
      </w:pPr>
      <w:r>
        <w:rPr>
          <w:rFonts w:asciiTheme="minorBidi" w:hAnsiTheme="minorBidi" w:cstheme="minorBidi"/>
        </w:rPr>
        <w:t>Future research should concentrate on fine-tuning the rGO-to-PPy ratio and optimizing the morphology to further enhance capacitive behavior and cycling durability. Incorporating complementary analyses, such as galvanostatic charge–discharge (GCD) and electrochemical impedance spectroscopy (EIS), would yield deeper insights into ion transport dynamics and resistance behavior. Nonetheless, the findings of the present study unequivocally indicate that the rGO/PPy15 composition provides the most efficient electrochemical performance, thereby validating the significance of compositional optimization in the design of advanced, durable, and high-capacitance hybrid electrodes for supercapacitor applications.</w:t>
      </w:r>
    </w:p>
    <w:p w14:paraId="793B74C3" w14:textId="77777777" w:rsidR="00315186" w:rsidRPr="00315186" w:rsidRDefault="00315186" w:rsidP="00441B6F"/>
    <w:p w14:paraId="34823EC2" w14:textId="77777777" w:rsidR="002B685A" w:rsidRDefault="002B685A" w:rsidP="00441B6F">
      <w:pPr>
        <w:pStyle w:val="ReferHead"/>
        <w:spacing w:after="0"/>
        <w:jc w:val="both"/>
        <w:rPr>
          <w:rFonts w:ascii="Arial" w:hAnsi="Arial" w:cs="Arial"/>
          <w:b w:val="0"/>
          <w:caps w:val="0"/>
          <w:sz w:val="20"/>
        </w:rPr>
      </w:pPr>
    </w:p>
    <w:p w14:paraId="03AE5EB0"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537340FB" w14:textId="77777777" w:rsidR="002B685A" w:rsidRPr="002B685A" w:rsidRDefault="002B685A" w:rsidP="00441B6F">
      <w:pPr>
        <w:pStyle w:val="ReferHead"/>
        <w:spacing w:after="0"/>
        <w:jc w:val="both"/>
        <w:rPr>
          <w:rFonts w:ascii="Arial" w:hAnsi="Arial" w:cs="Arial"/>
          <w:bCs/>
        </w:rPr>
      </w:pPr>
    </w:p>
    <w:p w14:paraId="0A73F9AC" w14:textId="344A0C9E"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1E3DF974" w14:textId="77777777" w:rsidR="001A29D8" w:rsidRDefault="001A29D8" w:rsidP="00441B6F">
      <w:pPr>
        <w:pStyle w:val="ReferHead"/>
        <w:spacing w:after="0"/>
        <w:jc w:val="both"/>
        <w:rPr>
          <w:rFonts w:ascii="Arial" w:hAnsi="Arial" w:cs="Arial"/>
          <w:b w:val="0"/>
          <w:caps w:val="0"/>
          <w:sz w:val="20"/>
        </w:rPr>
      </w:pPr>
    </w:p>
    <w:p w14:paraId="4A9792EF" w14:textId="77777777" w:rsidR="005C784C" w:rsidRDefault="005C784C" w:rsidP="00441B6F">
      <w:pPr>
        <w:pStyle w:val="ReferHead"/>
        <w:spacing w:after="0"/>
        <w:jc w:val="both"/>
        <w:rPr>
          <w:rFonts w:ascii="Arial" w:hAnsi="Arial" w:cs="Arial"/>
          <w:b w:val="0"/>
          <w:caps w:val="0"/>
          <w:sz w:val="20"/>
        </w:rPr>
      </w:pPr>
    </w:p>
    <w:p w14:paraId="33ECB2B7"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A90F2CB" w14:textId="77777777" w:rsidR="005C784C" w:rsidRPr="002B685A" w:rsidRDefault="005C784C" w:rsidP="00441B6F">
      <w:pPr>
        <w:pStyle w:val="ReferHead"/>
        <w:spacing w:after="0"/>
        <w:jc w:val="both"/>
        <w:rPr>
          <w:rFonts w:ascii="Arial" w:hAnsi="Arial" w:cs="Arial"/>
          <w:bCs/>
        </w:rPr>
      </w:pPr>
    </w:p>
    <w:p w14:paraId="27EFB868" w14:textId="5FF246E1" w:rsidR="0041027F"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in the 1964 Declaration of Helsinki.</w:t>
      </w:r>
    </w:p>
    <w:p w14:paraId="7BFC30B9" w14:textId="77777777" w:rsidR="006F2375" w:rsidRDefault="006F2375" w:rsidP="00786E10">
      <w:pPr>
        <w:rPr>
          <w:highlight w:val="yellow"/>
        </w:rPr>
      </w:pPr>
    </w:p>
    <w:p w14:paraId="245A21EF" w14:textId="2940BAFB" w:rsidR="00786E10" w:rsidRPr="006F2375" w:rsidRDefault="006F2375" w:rsidP="00786E10">
      <w:r>
        <w:t>The author</w:t>
      </w:r>
      <w:r w:rsidR="00786E10" w:rsidRPr="006F2375">
        <w:t xml:space="preserve"> hereby </w:t>
      </w:r>
      <w:r>
        <w:t>declares</w:t>
      </w:r>
      <w:r w:rsidR="00786E10" w:rsidRPr="006F2375">
        <w:t xml:space="preserve"> that generative AI technologies</w:t>
      </w:r>
      <w:r>
        <w:t>,</w:t>
      </w:r>
      <w:r w:rsidR="00786E10" w:rsidRPr="006F2375">
        <w:t xml:space="preserve"> such as Large Language Models, etc.</w:t>
      </w:r>
      <w:r>
        <w:t>,</w:t>
      </w:r>
      <w:r w:rsidR="00786E10" w:rsidRPr="006F2375">
        <w:t xml:space="preserve"> have been used during the writing or editing of manuscripts. This explanation will include the name, version, model, and source of the generative AI technology and as well as all input prompts provided to the generative AI technology</w:t>
      </w:r>
    </w:p>
    <w:p w14:paraId="30D4869F" w14:textId="77777777" w:rsidR="00786E10" w:rsidRPr="006F2375" w:rsidRDefault="00786E10" w:rsidP="00786E10">
      <w:r w:rsidRPr="006F2375">
        <w:t>Details of the AI usage are given below:</w:t>
      </w:r>
    </w:p>
    <w:p w14:paraId="67F92880" w14:textId="4FDCB315" w:rsidR="00786E10" w:rsidRPr="00D047BB" w:rsidRDefault="006F2375" w:rsidP="006F2375">
      <w:pPr>
        <w:pStyle w:val="ListParagraph"/>
        <w:numPr>
          <w:ilvl w:val="0"/>
          <w:numId w:val="33"/>
        </w:numPr>
      </w:pPr>
      <w:r>
        <w:t>Chat GPT 5.1 flagship model for polishing the English language for better readability.</w:t>
      </w:r>
    </w:p>
    <w:p w14:paraId="6C9602B9" w14:textId="77777777" w:rsidR="00786E10" w:rsidRPr="00F469F0" w:rsidRDefault="00786E10" w:rsidP="00441B6F">
      <w:pPr>
        <w:pStyle w:val="ReferHead"/>
        <w:spacing w:after="0"/>
        <w:jc w:val="both"/>
        <w:rPr>
          <w:rFonts w:ascii="Arial" w:hAnsi="Arial" w:cs="Arial"/>
          <w:b w:val="0"/>
          <w:caps w:val="0"/>
          <w:sz w:val="20"/>
          <w:u w:val="single"/>
        </w:rPr>
      </w:pPr>
    </w:p>
    <w:p w14:paraId="32822BAC" w14:textId="77777777" w:rsidR="00860000" w:rsidRDefault="00860000" w:rsidP="00441B6F">
      <w:pPr>
        <w:pStyle w:val="ReferHead"/>
        <w:spacing w:after="0"/>
        <w:jc w:val="both"/>
        <w:rPr>
          <w:rFonts w:ascii="Arial" w:hAnsi="Arial" w:cs="Arial"/>
        </w:rPr>
      </w:pPr>
    </w:p>
    <w:p w14:paraId="46D240A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B07E280" w14:textId="77777777" w:rsidR="00790ADA" w:rsidRDefault="00790ADA" w:rsidP="00441B6F">
      <w:pPr>
        <w:pStyle w:val="ReferHead"/>
        <w:spacing w:after="0"/>
        <w:jc w:val="both"/>
        <w:rPr>
          <w:rFonts w:ascii="Arial" w:hAnsi="Arial" w:cs="Arial"/>
        </w:rPr>
      </w:pPr>
    </w:p>
    <w:p w14:paraId="15786A1F"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Simon P, Gogotsi Y. Materials for electrochemical capacitors. </w:t>
      </w:r>
      <w:r w:rsidRPr="00FA6678">
        <w:rPr>
          <w:rStyle w:val="Emphasis"/>
          <w:rFonts w:asciiTheme="minorBidi" w:hAnsiTheme="minorBidi" w:cstheme="minorBidi"/>
          <w:sz w:val="22"/>
          <w:szCs w:val="22"/>
        </w:rPr>
        <w:t>Nat Mater.</w:t>
      </w:r>
      <w:r w:rsidRPr="00FA6678">
        <w:rPr>
          <w:rFonts w:asciiTheme="minorBidi" w:hAnsiTheme="minorBidi" w:cstheme="minorBidi"/>
          <w:sz w:val="22"/>
          <w:szCs w:val="22"/>
        </w:rPr>
        <w:t xml:space="preserve"> 2008;7(11):845–54.</w:t>
      </w:r>
    </w:p>
    <w:p w14:paraId="478BD4F8"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Conway BE. </w:t>
      </w:r>
      <w:r w:rsidRPr="00FA6678">
        <w:rPr>
          <w:rStyle w:val="Emphasis"/>
          <w:rFonts w:asciiTheme="minorBidi" w:hAnsiTheme="minorBidi" w:cstheme="minorBidi"/>
          <w:sz w:val="22"/>
          <w:szCs w:val="22"/>
        </w:rPr>
        <w:t>Electrochemical Supercapacitors: Scientific Fundamentals and Technological Applications.</w:t>
      </w:r>
      <w:r w:rsidRPr="00FA6678">
        <w:rPr>
          <w:rFonts w:asciiTheme="minorBidi" w:hAnsiTheme="minorBidi" w:cstheme="minorBidi"/>
          <w:sz w:val="22"/>
          <w:szCs w:val="22"/>
        </w:rPr>
        <w:t xml:space="preserve"> Springer; 1999.</w:t>
      </w:r>
    </w:p>
    <w:p w14:paraId="5A76004A"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Zhang LL, Zhao XS. Carbon-based materials as supercapacitor electrodes. </w:t>
      </w:r>
      <w:r w:rsidRPr="00FA6678">
        <w:rPr>
          <w:rStyle w:val="Emphasis"/>
          <w:rFonts w:asciiTheme="minorBidi" w:hAnsiTheme="minorBidi" w:cstheme="minorBidi"/>
          <w:sz w:val="22"/>
          <w:szCs w:val="22"/>
        </w:rPr>
        <w:t>Chem Soc Rev.</w:t>
      </w:r>
      <w:r w:rsidRPr="00FA6678">
        <w:rPr>
          <w:rFonts w:asciiTheme="minorBidi" w:hAnsiTheme="minorBidi" w:cstheme="minorBidi"/>
          <w:sz w:val="22"/>
          <w:szCs w:val="22"/>
        </w:rPr>
        <w:t xml:space="preserve"> 2009;38(9):2520–31.</w:t>
      </w:r>
    </w:p>
    <w:p w14:paraId="7BF5FAAF"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Miller JR, Simon P. Electrochemical capacitors for energy management. </w:t>
      </w:r>
      <w:r w:rsidRPr="00FA6678">
        <w:rPr>
          <w:rStyle w:val="Emphasis"/>
          <w:rFonts w:asciiTheme="minorBidi" w:hAnsiTheme="minorBidi" w:cstheme="minorBidi"/>
          <w:sz w:val="22"/>
          <w:szCs w:val="22"/>
        </w:rPr>
        <w:t>Science.</w:t>
      </w:r>
      <w:r w:rsidRPr="00FA6678">
        <w:rPr>
          <w:rFonts w:asciiTheme="minorBidi" w:hAnsiTheme="minorBidi" w:cstheme="minorBidi"/>
          <w:sz w:val="22"/>
          <w:szCs w:val="22"/>
        </w:rPr>
        <w:t xml:space="preserve"> 2008;321(5889):651–52.</w:t>
      </w:r>
    </w:p>
    <w:p w14:paraId="269F09AE"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Wang G, Zhang L, Zhang J. A review of electrode materials for electrochemical supercapacitors. </w:t>
      </w:r>
      <w:r w:rsidRPr="00FA6678">
        <w:rPr>
          <w:rStyle w:val="Emphasis"/>
          <w:rFonts w:asciiTheme="minorBidi" w:hAnsiTheme="minorBidi" w:cstheme="minorBidi"/>
          <w:sz w:val="22"/>
          <w:szCs w:val="22"/>
        </w:rPr>
        <w:t>Chem Soc Rev.</w:t>
      </w:r>
      <w:r w:rsidRPr="00FA6678">
        <w:rPr>
          <w:rFonts w:asciiTheme="minorBidi" w:hAnsiTheme="minorBidi" w:cstheme="minorBidi"/>
          <w:sz w:val="22"/>
          <w:szCs w:val="22"/>
        </w:rPr>
        <w:t xml:space="preserve"> 2012;41(2):797–828.</w:t>
      </w:r>
    </w:p>
    <w:p w14:paraId="3E4326A9"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Frackowiak E, Béguin F. Carbon materials for the electrochemical storage of energy in capacitors. </w:t>
      </w:r>
      <w:r w:rsidRPr="00FA6678">
        <w:rPr>
          <w:rStyle w:val="Emphasis"/>
          <w:rFonts w:asciiTheme="minorBidi" w:hAnsiTheme="minorBidi" w:cstheme="minorBidi"/>
          <w:sz w:val="22"/>
          <w:szCs w:val="22"/>
        </w:rPr>
        <w:t>Carbon.</w:t>
      </w:r>
      <w:r w:rsidRPr="00FA6678">
        <w:rPr>
          <w:rFonts w:asciiTheme="minorBidi" w:hAnsiTheme="minorBidi" w:cstheme="minorBidi"/>
          <w:sz w:val="22"/>
          <w:szCs w:val="22"/>
        </w:rPr>
        <w:t xml:space="preserve"> 2001;39(6):937–50.</w:t>
      </w:r>
    </w:p>
    <w:p w14:paraId="312F020E"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Zhao X, Sánchez BM, Dobson PJ, Grant PS. The role of nanomaterials in redox-based supercapacitors for next-generation energy storage devices. </w:t>
      </w:r>
      <w:r w:rsidRPr="00FA6678">
        <w:rPr>
          <w:rStyle w:val="Emphasis"/>
          <w:rFonts w:asciiTheme="minorBidi" w:hAnsiTheme="minorBidi" w:cstheme="minorBidi"/>
          <w:sz w:val="22"/>
          <w:szCs w:val="22"/>
        </w:rPr>
        <w:t>Nanoscale.</w:t>
      </w:r>
      <w:r w:rsidRPr="00FA6678">
        <w:rPr>
          <w:rFonts w:asciiTheme="minorBidi" w:hAnsiTheme="minorBidi" w:cstheme="minorBidi"/>
          <w:sz w:val="22"/>
          <w:szCs w:val="22"/>
        </w:rPr>
        <w:t xml:space="preserve"> 2011;3(3):839–55.</w:t>
      </w:r>
    </w:p>
    <w:p w14:paraId="736E92B2"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Zhang J, Zhao XS. Conducting polymers directly coated on reduced graphene oxide sheets as high-performance supercapacitor electrodes. </w:t>
      </w:r>
      <w:r w:rsidRPr="00FA6678">
        <w:rPr>
          <w:rStyle w:val="Emphasis"/>
          <w:rFonts w:asciiTheme="minorBidi" w:hAnsiTheme="minorBidi" w:cstheme="minorBidi"/>
          <w:sz w:val="22"/>
          <w:szCs w:val="22"/>
        </w:rPr>
        <w:t>J Phys Chem C.</w:t>
      </w:r>
      <w:r w:rsidRPr="00FA6678">
        <w:rPr>
          <w:rFonts w:asciiTheme="minorBidi" w:hAnsiTheme="minorBidi" w:cstheme="minorBidi"/>
          <w:sz w:val="22"/>
          <w:szCs w:val="22"/>
        </w:rPr>
        <w:t xml:space="preserve"> 2012;116(10):5420–26.</w:t>
      </w:r>
    </w:p>
    <w:p w14:paraId="73FEBF08"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Zhang K, Zhang LL, Zhao XS, Wu J. Graphene/polyaniline nanofiber composites as supercapacitor electrodes. </w:t>
      </w:r>
      <w:r w:rsidRPr="00FA6678">
        <w:rPr>
          <w:rStyle w:val="Emphasis"/>
          <w:rFonts w:asciiTheme="minorBidi" w:hAnsiTheme="minorBidi" w:cstheme="minorBidi"/>
          <w:sz w:val="22"/>
          <w:szCs w:val="22"/>
        </w:rPr>
        <w:t>Chem Mater.</w:t>
      </w:r>
      <w:r w:rsidRPr="00FA6678">
        <w:rPr>
          <w:rFonts w:asciiTheme="minorBidi" w:hAnsiTheme="minorBidi" w:cstheme="minorBidi"/>
          <w:sz w:val="22"/>
          <w:szCs w:val="22"/>
        </w:rPr>
        <w:t xml:space="preserve"> 2010;22(4):1392–401.</w:t>
      </w:r>
    </w:p>
    <w:p w14:paraId="0EF3863A"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Yu G, Hu L, Liu N, Wang H, Vosgueritchian M, Yang Y, et al. Enhancing the supercapacitor performance of graphene/PPy nanofibers by active mass balance. </w:t>
      </w:r>
      <w:r w:rsidRPr="00FA6678">
        <w:rPr>
          <w:rStyle w:val="Emphasis"/>
          <w:rFonts w:asciiTheme="minorBidi" w:hAnsiTheme="minorBidi" w:cstheme="minorBidi"/>
          <w:sz w:val="22"/>
          <w:szCs w:val="22"/>
        </w:rPr>
        <w:t>Nano Lett.</w:t>
      </w:r>
      <w:r w:rsidRPr="00FA6678">
        <w:rPr>
          <w:rFonts w:asciiTheme="minorBidi" w:hAnsiTheme="minorBidi" w:cstheme="minorBidi"/>
          <w:sz w:val="22"/>
          <w:szCs w:val="22"/>
        </w:rPr>
        <w:t xml:space="preserve"> 2011;11(10):4438–42.</w:t>
      </w:r>
    </w:p>
    <w:p w14:paraId="2F711D56"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Li Q, Li Z, Chen G, Wang L. Facile synthesis of graphene/polypyrrole nanocomposites with enhanced electrochemical performance. </w:t>
      </w:r>
      <w:r w:rsidRPr="00FA6678">
        <w:rPr>
          <w:rStyle w:val="Emphasis"/>
          <w:rFonts w:asciiTheme="minorBidi" w:hAnsiTheme="minorBidi" w:cstheme="minorBidi"/>
          <w:sz w:val="22"/>
          <w:szCs w:val="22"/>
        </w:rPr>
        <w:t>Electrochim Acta.</w:t>
      </w:r>
      <w:r w:rsidRPr="00FA6678">
        <w:rPr>
          <w:rFonts w:asciiTheme="minorBidi" w:hAnsiTheme="minorBidi" w:cstheme="minorBidi"/>
          <w:sz w:val="22"/>
          <w:szCs w:val="22"/>
        </w:rPr>
        <w:t xml:space="preserve"> 2013;111:292–99.</w:t>
      </w:r>
    </w:p>
    <w:p w14:paraId="217F43E9"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Dubal DP, Gund GS, Lokhande CD, Holze R. Decoration of reduced graphene oxide by conducting polymer: A novel hybrid electrode for supercapacitors. </w:t>
      </w:r>
      <w:r w:rsidRPr="00FA6678">
        <w:rPr>
          <w:rStyle w:val="Emphasis"/>
          <w:rFonts w:asciiTheme="minorBidi" w:hAnsiTheme="minorBidi" w:cstheme="minorBidi"/>
          <w:sz w:val="22"/>
          <w:szCs w:val="22"/>
        </w:rPr>
        <w:t>Electrochim Acta.</w:t>
      </w:r>
      <w:r w:rsidRPr="00FA6678">
        <w:rPr>
          <w:rFonts w:asciiTheme="minorBidi" w:hAnsiTheme="minorBidi" w:cstheme="minorBidi"/>
          <w:sz w:val="22"/>
          <w:szCs w:val="22"/>
        </w:rPr>
        <w:t xml:space="preserve"> 2013;100:123–31.</w:t>
      </w:r>
    </w:p>
    <w:p w14:paraId="2A5D090E"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Wu ZS, Parvez K, Feng X, Müllen K. Graphene-based in-plane micro-supercapacitors with high power and energy densities. </w:t>
      </w:r>
      <w:r w:rsidRPr="00FA6678">
        <w:rPr>
          <w:rStyle w:val="Emphasis"/>
          <w:rFonts w:asciiTheme="minorBidi" w:hAnsiTheme="minorBidi" w:cstheme="minorBidi"/>
          <w:sz w:val="22"/>
          <w:szCs w:val="22"/>
        </w:rPr>
        <w:t>Nat Commun.</w:t>
      </w:r>
      <w:r w:rsidRPr="00FA6678">
        <w:rPr>
          <w:rFonts w:asciiTheme="minorBidi" w:hAnsiTheme="minorBidi" w:cstheme="minorBidi"/>
          <w:sz w:val="22"/>
          <w:szCs w:val="22"/>
        </w:rPr>
        <w:t xml:space="preserve"> 2013;4:2487.</w:t>
      </w:r>
    </w:p>
    <w:p w14:paraId="4E311588"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Xiong G, Meng C, Reifenberger RG, Irazoqui PP, Fisher TS. A review of graphene-based electrochemical microsupercapacitors. </w:t>
      </w:r>
      <w:r w:rsidRPr="00FA6678">
        <w:rPr>
          <w:rStyle w:val="Emphasis"/>
          <w:rFonts w:asciiTheme="minorBidi" w:hAnsiTheme="minorBidi" w:cstheme="minorBidi"/>
          <w:sz w:val="22"/>
          <w:szCs w:val="22"/>
        </w:rPr>
        <w:t>Electrochim Acta.</w:t>
      </w:r>
      <w:r w:rsidRPr="00FA6678">
        <w:rPr>
          <w:rFonts w:asciiTheme="minorBidi" w:hAnsiTheme="minorBidi" w:cstheme="minorBidi"/>
          <w:sz w:val="22"/>
          <w:szCs w:val="22"/>
        </w:rPr>
        <w:t xml:space="preserve"> 2014;130:947–58.</w:t>
      </w:r>
    </w:p>
    <w:p w14:paraId="4C13EC21"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Zhou Y, Wang D, Li Y, Zhang J. Synergistic effect of graphene and polypyrrole for high-performance flexible supercapacitors. </w:t>
      </w:r>
      <w:r w:rsidRPr="00FA6678">
        <w:rPr>
          <w:rStyle w:val="Emphasis"/>
          <w:rFonts w:asciiTheme="minorBidi" w:hAnsiTheme="minorBidi" w:cstheme="minorBidi"/>
          <w:sz w:val="22"/>
          <w:szCs w:val="22"/>
        </w:rPr>
        <w:t>J Power Sources.</w:t>
      </w:r>
      <w:r w:rsidRPr="00FA6678">
        <w:rPr>
          <w:rFonts w:asciiTheme="minorBidi" w:hAnsiTheme="minorBidi" w:cstheme="minorBidi"/>
          <w:sz w:val="22"/>
          <w:szCs w:val="22"/>
        </w:rPr>
        <w:t xml:space="preserve"> 2015;293:657–65.</w:t>
      </w:r>
    </w:p>
    <w:p w14:paraId="33569324"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Raj CJ, Rajesh M, Kim BC. Enhanced electrochemical performance of polypyrrole/reduced graphene oxide composites for supercapacitor applications. </w:t>
      </w:r>
      <w:r w:rsidRPr="00FA6678">
        <w:rPr>
          <w:rStyle w:val="Emphasis"/>
          <w:rFonts w:asciiTheme="minorBidi" w:hAnsiTheme="minorBidi" w:cstheme="minorBidi"/>
          <w:sz w:val="22"/>
          <w:szCs w:val="22"/>
        </w:rPr>
        <w:t>Electrochim Acta.</w:t>
      </w:r>
      <w:r w:rsidRPr="00FA6678">
        <w:rPr>
          <w:rFonts w:asciiTheme="minorBidi" w:hAnsiTheme="minorBidi" w:cstheme="minorBidi"/>
          <w:sz w:val="22"/>
          <w:szCs w:val="22"/>
        </w:rPr>
        <w:t xml:space="preserve"> 2017;232:370–77.</w:t>
      </w:r>
    </w:p>
    <w:p w14:paraId="1B57AE29"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lastRenderedPageBreak/>
        <w:t xml:space="preserve">Sahoo S, Rout CS. Polypyrrole/reduced graphene oxide hybrid nanostructures for flexible supercapacitors. </w:t>
      </w:r>
      <w:r w:rsidRPr="00FA6678">
        <w:rPr>
          <w:rStyle w:val="Emphasis"/>
          <w:rFonts w:asciiTheme="minorBidi" w:hAnsiTheme="minorBidi" w:cstheme="minorBidi"/>
          <w:sz w:val="22"/>
          <w:szCs w:val="22"/>
        </w:rPr>
        <w:t>ACS Appl Mater Interfaces.</w:t>
      </w:r>
      <w:r w:rsidRPr="00FA6678">
        <w:rPr>
          <w:rFonts w:asciiTheme="minorBidi" w:hAnsiTheme="minorBidi" w:cstheme="minorBidi"/>
          <w:sz w:val="22"/>
          <w:szCs w:val="22"/>
        </w:rPr>
        <w:t xml:space="preserve"> 2017;9(29):24355–65.</w:t>
      </w:r>
    </w:p>
    <w:p w14:paraId="0DC12BD2"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Sharma RK, Rastogi AC. Enhanced pseudocapacitive performance of rGO/PPy nanocomposite films. </w:t>
      </w:r>
      <w:r w:rsidRPr="00FA6678">
        <w:rPr>
          <w:rStyle w:val="Emphasis"/>
          <w:rFonts w:asciiTheme="minorBidi" w:hAnsiTheme="minorBidi" w:cstheme="minorBidi"/>
          <w:sz w:val="22"/>
          <w:szCs w:val="22"/>
        </w:rPr>
        <w:t>Electrochim Acta.</w:t>
      </w:r>
      <w:r w:rsidRPr="00FA6678">
        <w:rPr>
          <w:rFonts w:asciiTheme="minorBidi" w:hAnsiTheme="minorBidi" w:cstheme="minorBidi"/>
          <w:sz w:val="22"/>
          <w:szCs w:val="22"/>
        </w:rPr>
        <w:t xml:space="preserve"> 2018;274:59–68.</w:t>
      </w:r>
    </w:p>
    <w:p w14:paraId="46BAD15C"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Wang J, Xu Y, Wang D, Xiong W. Improved electrochemical performance of rGO/PPy nanocomposites synthesized by in-situ oxidative polymerization. </w:t>
      </w:r>
      <w:r w:rsidRPr="00FA6678">
        <w:rPr>
          <w:rStyle w:val="Emphasis"/>
          <w:rFonts w:asciiTheme="minorBidi" w:hAnsiTheme="minorBidi" w:cstheme="minorBidi"/>
          <w:sz w:val="22"/>
          <w:szCs w:val="22"/>
        </w:rPr>
        <w:t>J Appl Electrochem.</w:t>
      </w:r>
      <w:r w:rsidRPr="00FA6678">
        <w:rPr>
          <w:rFonts w:asciiTheme="minorBidi" w:hAnsiTheme="minorBidi" w:cstheme="minorBidi"/>
          <w:sz w:val="22"/>
          <w:szCs w:val="22"/>
        </w:rPr>
        <w:t xml:space="preserve"> 2018;48(3):339–48.</w:t>
      </w:r>
    </w:p>
    <w:p w14:paraId="07FE877F"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Dubal DP, Ayyad O, Ruiz V, Gómez-Romero P. Hybrid energy storage: the merging of battery and supercapacitor chemistries. </w:t>
      </w:r>
      <w:r w:rsidRPr="00FA6678">
        <w:rPr>
          <w:rStyle w:val="Emphasis"/>
          <w:rFonts w:asciiTheme="minorBidi" w:hAnsiTheme="minorBidi" w:cstheme="minorBidi"/>
          <w:sz w:val="22"/>
          <w:szCs w:val="22"/>
        </w:rPr>
        <w:t>Chem Soc Rev.</w:t>
      </w:r>
      <w:r w:rsidRPr="00FA6678">
        <w:rPr>
          <w:rFonts w:asciiTheme="minorBidi" w:hAnsiTheme="minorBidi" w:cstheme="minorBidi"/>
          <w:sz w:val="22"/>
          <w:szCs w:val="22"/>
        </w:rPr>
        <w:t xml:space="preserve"> 2015;44(7):1777–90.</w:t>
      </w:r>
    </w:p>
    <w:p w14:paraId="4AA0DB24"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Zhang S, Pan N, Feng X. Polypyrrole/graphene composites: From synthesis to energy storage applications. </w:t>
      </w:r>
      <w:r w:rsidRPr="00FA6678">
        <w:rPr>
          <w:rStyle w:val="Emphasis"/>
          <w:rFonts w:asciiTheme="minorBidi" w:hAnsiTheme="minorBidi" w:cstheme="minorBidi"/>
          <w:sz w:val="22"/>
          <w:szCs w:val="22"/>
        </w:rPr>
        <w:t>J Mater Chem A.</w:t>
      </w:r>
      <w:r w:rsidRPr="00FA6678">
        <w:rPr>
          <w:rFonts w:asciiTheme="minorBidi" w:hAnsiTheme="minorBidi" w:cstheme="minorBidi"/>
          <w:sz w:val="22"/>
          <w:szCs w:val="22"/>
        </w:rPr>
        <w:t xml:space="preserve"> 2019;7(20):12152–76.</w:t>
      </w:r>
    </w:p>
    <w:p w14:paraId="1803E346"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Xu K, Zou R, Li W, Xia D. Rational design of graphene–conducting polymer composites for high-performance energy storage. </w:t>
      </w:r>
      <w:r w:rsidRPr="00FA6678">
        <w:rPr>
          <w:rStyle w:val="Emphasis"/>
          <w:rFonts w:asciiTheme="minorBidi" w:hAnsiTheme="minorBidi" w:cstheme="minorBidi"/>
          <w:sz w:val="22"/>
          <w:szCs w:val="22"/>
        </w:rPr>
        <w:t>Adv Energy Mater.</w:t>
      </w:r>
      <w:r w:rsidRPr="00FA6678">
        <w:rPr>
          <w:rFonts w:asciiTheme="minorBidi" w:hAnsiTheme="minorBidi" w:cstheme="minorBidi"/>
          <w:sz w:val="22"/>
          <w:szCs w:val="22"/>
        </w:rPr>
        <w:t xml:space="preserve"> 2019;9(3):1803628.</w:t>
      </w:r>
    </w:p>
    <w:p w14:paraId="6832BD2F"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Lee YH, Kim J, Kim SY. High-capacitance polypyrrole/reduced graphene oxide electrodes prepared via interfacial polymerization. </w:t>
      </w:r>
      <w:r w:rsidRPr="00FA6678">
        <w:rPr>
          <w:rStyle w:val="Emphasis"/>
          <w:rFonts w:asciiTheme="minorBidi" w:hAnsiTheme="minorBidi" w:cstheme="minorBidi"/>
          <w:sz w:val="22"/>
          <w:szCs w:val="22"/>
        </w:rPr>
        <w:t>Carbon.</w:t>
      </w:r>
      <w:r w:rsidRPr="00FA6678">
        <w:rPr>
          <w:rFonts w:asciiTheme="minorBidi" w:hAnsiTheme="minorBidi" w:cstheme="minorBidi"/>
          <w:sz w:val="22"/>
          <w:szCs w:val="22"/>
        </w:rPr>
        <w:t xml:space="preserve"> 2020;157:796–805.</w:t>
      </w:r>
    </w:p>
    <w:p w14:paraId="580BAF02" w14:textId="4D05AD0A" w:rsidR="00037F28" w:rsidRPr="00FA6678" w:rsidRDefault="00037F2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Han, Y., Wang, T., Li, T., Gao, X., Li, W., Zhang, Z., ... &amp; Zhang, X. (2017). Preparation and electrochemical performances of graphene/polypyrrole nanocomposite with anthraquinone-graphene oxide as active oxidant. Carbon, 119, 111-118.</w:t>
      </w:r>
    </w:p>
    <w:p w14:paraId="7FD648C4" w14:textId="3AE71945" w:rsidR="00037F28" w:rsidRPr="00FA6678" w:rsidRDefault="00482C88" w:rsidP="00037F2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Borenstein A, Hanna O, Attias R, Luski S, Brousse T, Aurbach D. Carbon-based composite materials for supercapacitor electrodes: a review. </w:t>
      </w:r>
      <w:r w:rsidRPr="00FA6678">
        <w:rPr>
          <w:rStyle w:val="Emphasis"/>
          <w:rFonts w:asciiTheme="minorBidi" w:hAnsiTheme="minorBidi" w:cstheme="minorBidi"/>
          <w:sz w:val="22"/>
          <w:szCs w:val="22"/>
        </w:rPr>
        <w:t>J Mater Chem A.</w:t>
      </w:r>
      <w:r w:rsidRPr="00FA6678">
        <w:rPr>
          <w:rFonts w:asciiTheme="minorBidi" w:hAnsiTheme="minorBidi" w:cstheme="minorBidi"/>
          <w:sz w:val="22"/>
          <w:szCs w:val="22"/>
        </w:rPr>
        <w:t xml:space="preserve"> 2017;5(25):12653–72.</w:t>
      </w:r>
    </w:p>
    <w:p w14:paraId="2FC622FB"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Wang Y, Shi Z, Huang Y, Ma Y, Wang C, Chen M, Chen Y. Supercapacitor devices based on graphene materials. </w:t>
      </w:r>
      <w:r w:rsidRPr="00FA6678">
        <w:rPr>
          <w:rStyle w:val="Emphasis"/>
          <w:rFonts w:asciiTheme="minorBidi" w:hAnsiTheme="minorBidi" w:cstheme="minorBidi"/>
          <w:sz w:val="22"/>
          <w:szCs w:val="22"/>
        </w:rPr>
        <w:t>J Phys Chem C.</w:t>
      </w:r>
      <w:r w:rsidRPr="00FA6678">
        <w:rPr>
          <w:rFonts w:asciiTheme="minorBidi" w:hAnsiTheme="minorBidi" w:cstheme="minorBidi"/>
          <w:sz w:val="22"/>
          <w:szCs w:val="22"/>
        </w:rPr>
        <w:t xml:space="preserve"> 2009;113(30):13103–07.</w:t>
      </w:r>
    </w:p>
    <w:p w14:paraId="5F38BCCA"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Wang DW, Li F, Liu M, Lu GQ, Cheng HM. 3D aperiodic hierarchical porous graphitic carbon material for high-rate electrochemical capacitive energy storage. </w:t>
      </w:r>
      <w:r w:rsidRPr="00FA6678">
        <w:rPr>
          <w:rStyle w:val="Emphasis"/>
          <w:rFonts w:asciiTheme="minorBidi" w:hAnsiTheme="minorBidi" w:cstheme="minorBidi"/>
          <w:sz w:val="22"/>
          <w:szCs w:val="22"/>
        </w:rPr>
        <w:t>Angew Chem Int Ed.</w:t>
      </w:r>
      <w:r w:rsidRPr="00FA6678">
        <w:rPr>
          <w:rFonts w:asciiTheme="minorBidi" w:hAnsiTheme="minorBidi" w:cstheme="minorBidi"/>
          <w:sz w:val="22"/>
          <w:szCs w:val="22"/>
        </w:rPr>
        <w:t xml:space="preserve"> 2008;47(2):373–76.</w:t>
      </w:r>
    </w:p>
    <w:p w14:paraId="1EAF87C6"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Biswas S, Drzal LT. A novel approach to create a highly ordered monolayer film of graphene nanosheets at the liquid–liquid interface. </w:t>
      </w:r>
      <w:r w:rsidRPr="00FA6678">
        <w:rPr>
          <w:rStyle w:val="Emphasis"/>
          <w:rFonts w:asciiTheme="minorBidi" w:hAnsiTheme="minorBidi" w:cstheme="minorBidi"/>
          <w:sz w:val="22"/>
          <w:szCs w:val="22"/>
        </w:rPr>
        <w:t>Nano Lett.</w:t>
      </w:r>
      <w:r w:rsidRPr="00FA6678">
        <w:rPr>
          <w:rFonts w:asciiTheme="minorBidi" w:hAnsiTheme="minorBidi" w:cstheme="minorBidi"/>
          <w:sz w:val="22"/>
          <w:szCs w:val="22"/>
        </w:rPr>
        <w:t xml:space="preserve"> 2009;9(1):167–72.</w:t>
      </w:r>
    </w:p>
    <w:p w14:paraId="4EF86A1B"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Zhou M, Wang HL, Guo S. Towards high-efficiency electrochemical energy storage: from two-dimensional materials to device integration. </w:t>
      </w:r>
      <w:r w:rsidRPr="00FA6678">
        <w:rPr>
          <w:rStyle w:val="Emphasis"/>
          <w:rFonts w:asciiTheme="minorBidi" w:hAnsiTheme="minorBidi" w:cstheme="minorBidi"/>
          <w:sz w:val="22"/>
          <w:szCs w:val="22"/>
        </w:rPr>
        <w:t>Energy Environ Sci.</w:t>
      </w:r>
      <w:r w:rsidRPr="00FA6678">
        <w:rPr>
          <w:rFonts w:asciiTheme="minorBidi" w:hAnsiTheme="minorBidi" w:cstheme="minorBidi"/>
          <w:sz w:val="22"/>
          <w:szCs w:val="22"/>
        </w:rPr>
        <w:t xml:space="preserve"> 2016;9(1):141–60.</w:t>
      </w:r>
    </w:p>
    <w:p w14:paraId="2B0B69F9" w14:textId="77777777" w:rsidR="00482C88" w:rsidRPr="00FA6678" w:rsidRDefault="00482C88" w:rsidP="00482C88">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Chen T, Dai L. Carbon nanomaterials for high-performance supercapacitors. </w:t>
      </w:r>
      <w:r w:rsidRPr="00FA6678">
        <w:rPr>
          <w:rStyle w:val="Emphasis"/>
          <w:rFonts w:asciiTheme="minorBidi" w:hAnsiTheme="minorBidi" w:cstheme="minorBidi"/>
          <w:sz w:val="22"/>
          <w:szCs w:val="22"/>
        </w:rPr>
        <w:t>Mater Today.</w:t>
      </w:r>
      <w:r w:rsidRPr="00FA6678">
        <w:rPr>
          <w:rFonts w:asciiTheme="minorBidi" w:hAnsiTheme="minorBidi" w:cstheme="minorBidi"/>
          <w:sz w:val="22"/>
          <w:szCs w:val="22"/>
        </w:rPr>
        <w:t xml:space="preserve"> 2013;16(7–8):272–80.</w:t>
      </w:r>
    </w:p>
    <w:p w14:paraId="59202E2E" w14:textId="77777777" w:rsidR="00EC56CE" w:rsidRPr="00FA6678" w:rsidRDefault="00482C88" w:rsidP="00EC56CE">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 xml:space="preserve">Borenstein A, Hanna O, Attias R, Luski S, Aurbach D. On the limits of energy storage devices: A comparative study of supercapacitors and batteries. </w:t>
      </w:r>
      <w:r w:rsidRPr="00FA6678">
        <w:rPr>
          <w:rStyle w:val="Emphasis"/>
          <w:rFonts w:asciiTheme="minorBidi" w:hAnsiTheme="minorBidi" w:cstheme="minorBidi"/>
          <w:sz w:val="22"/>
          <w:szCs w:val="22"/>
        </w:rPr>
        <w:t>Energy Storage Mater.</w:t>
      </w:r>
      <w:r w:rsidRPr="00FA6678">
        <w:rPr>
          <w:rFonts w:asciiTheme="minorBidi" w:hAnsiTheme="minorBidi" w:cstheme="minorBidi"/>
          <w:sz w:val="22"/>
          <w:szCs w:val="22"/>
        </w:rPr>
        <w:t xml:space="preserve"> 2018;15:1–23</w:t>
      </w:r>
      <w:r w:rsidR="00EC56CE" w:rsidRPr="00FA6678">
        <w:rPr>
          <w:rFonts w:asciiTheme="minorBidi" w:hAnsiTheme="minorBidi" w:cstheme="minorBidi"/>
          <w:sz w:val="22"/>
          <w:szCs w:val="22"/>
        </w:rPr>
        <w:t>.</w:t>
      </w:r>
    </w:p>
    <w:p w14:paraId="267128C9" w14:textId="6A084224" w:rsidR="00EC56CE" w:rsidRPr="00FA6678" w:rsidRDefault="00EC56CE" w:rsidP="00EC56CE">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Askari, M. B., et al. State-of-the-art review on reduced graphene oxide for supercapacitor electrode applications. 2025.</w:t>
      </w:r>
    </w:p>
    <w:p w14:paraId="7A18F9C2" w14:textId="12B99594" w:rsidR="00EC56CE" w:rsidRPr="00FA6678" w:rsidRDefault="00EC56CE" w:rsidP="00EC56CE">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Pawar, D. C., Malavekar, D. B., Kim, J. H., Lokhande, C. D. Chemically deposited reduced graphene oxide/polypyrrole (rGO/PPy) composite thin films for flexible solid-state supercapacitor: effect of rGO composition. Electrochimica Acta, 2025.</w:t>
      </w:r>
    </w:p>
    <w:p w14:paraId="515F74D8" w14:textId="632A4EA8" w:rsidR="00EC56CE" w:rsidRPr="00FA6678" w:rsidRDefault="00EC56CE" w:rsidP="00EC56CE">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lastRenderedPageBreak/>
        <w:t>Youssry, S. M., Elsherbiny, A. S., Gemaey, A. H. Sustainable approach for synthesis of ternary composite based on zinc metal-organic framework and its boosting performance for supercapacitor applications. Journal of Inorganic and Organometallic Polymers and Materials, 2025.</w:t>
      </w:r>
    </w:p>
    <w:p w14:paraId="40908BFE" w14:textId="42D7A061" w:rsidR="00EC56CE" w:rsidRPr="00FA6678" w:rsidRDefault="00EC56CE" w:rsidP="00EC56CE">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Abdillah, O. B., et al. Recent progress on reduced graphene oxide and polypyrrole composites for supercapacitor applications. Materials Science, 2023.</w:t>
      </w:r>
    </w:p>
    <w:p w14:paraId="16083636" w14:textId="2AA649C1" w:rsidR="00EC56CE" w:rsidRPr="00FA6678" w:rsidRDefault="00EC56CE" w:rsidP="00FE1022">
      <w:pPr>
        <w:pStyle w:val="NormalWeb"/>
        <w:numPr>
          <w:ilvl w:val="0"/>
          <w:numId w:val="32"/>
        </w:numPr>
        <w:ind w:left="284" w:hanging="284"/>
        <w:jc w:val="both"/>
        <w:rPr>
          <w:rFonts w:asciiTheme="minorBidi" w:hAnsiTheme="minorBidi" w:cstheme="minorBidi"/>
          <w:sz w:val="22"/>
          <w:szCs w:val="22"/>
        </w:rPr>
      </w:pPr>
      <w:r w:rsidRPr="00FA6678">
        <w:rPr>
          <w:rFonts w:asciiTheme="minorBidi" w:hAnsiTheme="minorBidi" w:cstheme="minorBidi"/>
          <w:sz w:val="22"/>
          <w:szCs w:val="22"/>
        </w:rPr>
        <w:t>Patel, A., Patel, S. K., Singh, R. S., Patel, R. P. Review on recent advancements in the role of electrolytes and electrode materials on supercapacitor performances. Nano-Materials, 2024.</w:t>
      </w:r>
    </w:p>
    <w:sectPr w:rsidR="00EC56CE" w:rsidRPr="00FA6678" w:rsidSect="0020315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306A" w14:textId="77777777" w:rsidR="000E31F2" w:rsidRDefault="000E31F2" w:rsidP="00C37E61">
      <w:r>
        <w:separator/>
      </w:r>
    </w:p>
  </w:endnote>
  <w:endnote w:type="continuationSeparator" w:id="0">
    <w:p w14:paraId="4C1F40EA" w14:textId="77777777" w:rsidR="000E31F2" w:rsidRDefault="000E31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4EF9" w14:textId="77777777" w:rsidR="00CA3C40" w:rsidRDefault="00CA3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8CC2" w14:textId="77777777" w:rsidR="00CA3C40" w:rsidRDefault="00CA3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2630" w14:textId="77777777" w:rsidR="009E048A" w:rsidRDefault="009E048A">
    <w:pPr>
      <w:pStyle w:val="Footer"/>
      <w:rPr>
        <w:rFonts w:ascii="Arial" w:hAnsi="Arial" w:cs="Arial"/>
        <w:sz w:val="16"/>
      </w:rPr>
    </w:pPr>
  </w:p>
  <w:p w14:paraId="473FCC8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96A072" w14:textId="77777777" w:rsidR="009E048A" w:rsidRDefault="009E048A">
    <w:pPr>
      <w:pStyle w:val="Footer"/>
      <w:rPr>
        <w:rFonts w:ascii="Arial" w:hAnsi="Arial" w:cs="Arial"/>
        <w:sz w:val="16"/>
      </w:rPr>
    </w:pPr>
  </w:p>
  <w:p w14:paraId="2E963F3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40AC" w14:textId="77777777" w:rsidR="000E31F2" w:rsidRDefault="000E31F2" w:rsidP="00C37E61">
      <w:r>
        <w:separator/>
      </w:r>
    </w:p>
  </w:footnote>
  <w:footnote w:type="continuationSeparator" w:id="0">
    <w:p w14:paraId="4915E647" w14:textId="77777777" w:rsidR="000E31F2" w:rsidRDefault="000E31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7DD3" w14:textId="150D4843" w:rsidR="00CA3C40" w:rsidRDefault="00000000">
    <w:pPr>
      <w:pStyle w:val="Header"/>
    </w:pPr>
    <w:r>
      <w:rPr>
        <w:noProof/>
      </w:rPr>
      <w:pict w14:anchorId="36FFF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40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7054" w14:textId="6D4FAFC9" w:rsidR="00CA3C40" w:rsidRDefault="00000000">
    <w:pPr>
      <w:pStyle w:val="Header"/>
    </w:pPr>
    <w:r>
      <w:rPr>
        <w:noProof/>
      </w:rPr>
      <w:pict w14:anchorId="5819B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40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8067" w14:textId="1F3A71D6" w:rsidR="00296529" w:rsidRPr="00296529" w:rsidRDefault="00000000" w:rsidP="00296529">
    <w:pPr>
      <w:ind w:left="2160"/>
      <w:jc w:val="center"/>
      <w:rPr>
        <w:rFonts w:ascii="Times New Roman" w:eastAsia="Calibri" w:hAnsi="Times New Roman"/>
        <w:i/>
        <w:sz w:val="18"/>
        <w:szCs w:val="22"/>
      </w:rPr>
    </w:pPr>
    <w:r>
      <w:rPr>
        <w:noProof/>
      </w:rPr>
      <w:pict w14:anchorId="38047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404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CFC9A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771A0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2D5D2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5B4B0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5B202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EDECE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B85EE9"/>
    <w:multiLevelType w:val="hybridMultilevel"/>
    <w:tmpl w:val="B874B78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85E6FF1"/>
    <w:multiLevelType w:val="hybridMultilevel"/>
    <w:tmpl w:val="82186E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030425D"/>
    <w:multiLevelType w:val="multilevel"/>
    <w:tmpl w:val="4576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924432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77400668">
    <w:abstractNumId w:val="17"/>
  </w:num>
  <w:num w:numId="3" w16cid:durableId="1758212034">
    <w:abstractNumId w:val="26"/>
  </w:num>
  <w:num w:numId="4" w16cid:durableId="168848733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81661235">
    <w:abstractNumId w:val="7"/>
  </w:num>
  <w:num w:numId="6" w16cid:durableId="352077667">
    <w:abstractNumId w:val="6"/>
  </w:num>
  <w:num w:numId="7" w16cid:durableId="1907447538">
    <w:abstractNumId w:val="1"/>
  </w:num>
  <w:num w:numId="8" w16cid:durableId="1405684354">
    <w:abstractNumId w:val="12"/>
  </w:num>
  <w:num w:numId="9" w16cid:durableId="1759792852">
    <w:abstractNumId w:val="28"/>
  </w:num>
  <w:num w:numId="10" w16cid:durableId="1628389788">
    <w:abstractNumId w:val="2"/>
  </w:num>
  <w:num w:numId="11" w16cid:durableId="1580098851">
    <w:abstractNumId w:val="20"/>
  </w:num>
  <w:num w:numId="12" w16cid:durableId="1819222940">
    <w:abstractNumId w:val="3"/>
  </w:num>
  <w:num w:numId="13" w16cid:durableId="722946032">
    <w:abstractNumId w:val="19"/>
  </w:num>
  <w:num w:numId="14" w16cid:durableId="1890265565">
    <w:abstractNumId w:val="8"/>
  </w:num>
  <w:num w:numId="15" w16cid:durableId="1623923710">
    <w:abstractNumId w:val="24"/>
  </w:num>
  <w:num w:numId="16" w16cid:durableId="1253274989">
    <w:abstractNumId w:val="5"/>
  </w:num>
  <w:num w:numId="17" w16cid:durableId="65425254">
    <w:abstractNumId w:val="25"/>
  </w:num>
  <w:num w:numId="18" w16cid:durableId="175386758">
    <w:abstractNumId w:val="14"/>
  </w:num>
  <w:num w:numId="19" w16cid:durableId="445471108">
    <w:abstractNumId w:val="31"/>
  </w:num>
  <w:num w:numId="20" w16cid:durableId="1199858294">
    <w:abstractNumId w:val="11"/>
  </w:num>
  <w:num w:numId="21" w16cid:durableId="934248375">
    <w:abstractNumId w:val="9"/>
  </w:num>
  <w:num w:numId="22" w16cid:durableId="1097017052">
    <w:abstractNumId w:val="13"/>
  </w:num>
  <w:num w:numId="23" w16cid:durableId="2124688024">
    <w:abstractNumId w:val="22"/>
  </w:num>
  <w:num w:numId="24" w16cid:durableId="2083138796">
    <w:abstractNumId w:val="29"/>
  </w:num>
  <w:num w:numId="25" w16cid:durableId="825979600">
    <w:abstractNumId w:val="4"/>
  </w:num>
  <w:num w:numId="26" w16cid:durableId="983121858">
    <w:abstractNumId w:val="18"/>
  </w:num>
  <w:num w:numId="27" w16cid:durableId="562526788">
    <w:abstractNumId w:val="23"/>
  </w:num>
  <w:num w:numId="28" w16cid:durableId="66534820">
    <w:abstractNumId w:val="30"/>
  </w:num>
  <w:num w:numId="29" w16cid:durableId="1513494534">
    <w:abstractNumId w:val="27"/>
  </w:num>
  <w:num w:numId="30" w16cid:durableId="2108037290">
    <w:abstractNumId w:val="10"/>
  </w:num>
  <w:num w:numId="31" w16cid:durableId="572393894">
    <w:abstractNumId w:val="21"/>
  </w:num>
  <w:num w:numId="32" w16cid:durableId="33116301">
    <w:abstractNumId w:val="15"/>
  </w:num>
  <w:num w:numId="33" w16cid:durableId="12168875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7D2"/>
    <w:rsid w:val="00030174"/>
    <w:rsid w:val="0003172E"/>
    <w:rsid w:val="00037F28"/>
    <w:rsid w:val="0004579C"/>
    <w:rsid w:val="00062D75"/>
    <w:rsid w:val="000A47FA"/>
    <w:rsid w:val="000A65D3"/>
    <w:rsid w:val="000B1E33"/>
    <w:rsid w:val="000B3D9F"/>
    <w:rsid w:val="000D504A"/>
    <w:rsid w:val="000D689F"/>
    <w:rsid w:val="000E31F2"/>
    <w:rsid w:val="000E7B7B"/>
    <w:rsid w:val="000E7D62"/>
    <w:rsid w:val="00103357"/>
    <w:rsid w:val="00111842"/>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1E65"/>
    <w:rsid w:val="00200595"/>
    <w:rsid w:val="0020315C"/>
    <w:rsid w:val="00204835"/>
    <w:rsid w:val="00231920"/>
    <w:rsid w:val="0023195C"/>
    <w:rsid w:val="0024282C"/>
    <w:rsid w:val="002460DC"/>
    <w:rsid w:val="00250985"/>
    <w:rsid w:val="002556F6"/>
    <w:rsid w:val="00273239"/>
    <w:rsid w:val="00283105"/>
    <w:rsid w:val="00284C4C"/>
    <w:rsid w:val="00287E68"/>
    <w:rsid w:val="00293663"/>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76EF"/>
    <w:rsid w:val="003F401D"/>
    <w:rsid w:val="00401927"/>
    <w:rsid w:val="0041027F"/>
    <w:rsid w:val="00411502"/>
    <w:rsid w:val="00412475"/>
    <w:rsid w:val="00423789"/>
    <w:rsid w:val="00440F43"/>
    <w:rsid w:val="00441B6F"/>
    <w:rsid w:val="00446221"/>
    <w:rsid w:val="00450E62"/>
    <w:rsid w:val="004539DB"/>
    <w:rsid w:val="004603CF"/>
    <w:rsid w:val="00471A80"/>
    <w:rsid w:val="00482C88"/>
    <w:rsid w:val="00490F79"/>
    <w:rsid w:val="004D305E"/>
    <w:rsid w:val="004D4277"/>
    <w:rsid w:val="00502516"/>
    <w:rsid w:val="005051AB"/>
    <w:rsid w:val="00505F06"/>
    <w:rsid w:val="00506828"/>
    <w:rsid w:val="00507B40"/>
    <w:rsid w:val="0053056E"/>
    <w:rsid w:val="00554FDA"/>
    <w:rsid w:val="005C009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2375"/>
    <w:rsid w:val="0070082C"/>
    <w:rsid w:val="007369E6"/>
    <w:rsid w:val="00746E59"/>
    <w:rsid w:val="00754C9A"/>
    <w:rsid w:val="0075599A"/>
    <w:rsid w:val="00761D52"/>
    <w:rsid w:val="007626F7"/>
    <w:rsid w:val="0077749E"/>
    <w:rsid w:val="00786E10"/>
    <w:rsid w:val="00790ADA"/>
    <w:rsid w:val="007C3526"/>
    <w:rsid w:val="007D2288"/>
    <w:rsid w:val="007E088F"/>
    <w:rsid w:val="007F7B32"/>
    <w:rsid w:val="00804BC2"/>
    <w:rsid w:val="0081431A"/>
    <w:rsid w:val="0083216F"/>
    <w:rsid w:val="00860000"/>
    <w:rsid w:val="00863BD3"/>
    <w:rsid w:val="008641ED"/>
    <w:rsid w:val="00866D66"/>
    <w:rsid w:val="008671C6"/>
    <w:rsid w:val="00875803"/>
    <w:rsid w:val="008B2DE9"/>
    <w:rsid w:val="008B459E"/>
    <w:rsid w:val="008E13AE"/>
    <w:rsid w:val="008E1506"/>
    <w:rsid w:val="008E710C"/>
    <w:rsid w:val="008F69D6"/>
    <w:rsid w:val="00902823"/>
    <w:rsid w:val="00912499"/>
    <w:rsid w:val="00915CA6"/>
    <w:rsid w:val="00916C9C"/>
    <w:rsid w:val="00927834"/>
    <w:rsid w:val="009500A6"/>
    <w:rsid w:val="00957C18"/>
    <w:rsid w:val="009659BA"/>
    <w:rsid w:val="00983040"/>
    <w:rsid w:val="009B3FB9"/>
    <w:rsid w:val="009C2465"/>
    <w:rsid w:val="009D35A0"/>
    <w:rsid w:val="009D7EB7"/>
    <w:rsid w:val="009E048A"/>
    <w:rsid w:val="009E08E9"/>
    <w:rsid w:val="009E3DB9"/>
    <w:rsid w:val="009E4A55"/>
    <w:rsid w:val="009E6E35"/>
    <w:rsid w:val="009F0EDA"/>
    <w:rsid w:val="00A03B96"/>
    <w:rsid w:val="00A05B19"/>
    <w:rsid w:val="00A1134E"/>
    <w:rsid w:val="00A24E7E"/>
    <w:rsid w:val="00A258C3"/>
    <w:rsid w:val="00A347C0"/>
    <w:rsid w:val="00A3552A"/>
    <w:rsid w:val="00A50404"/>
    <w:rsid w:val="00A51431"/>
    <w:rsid w:val="00A539AD"/>
    <w:rsid w:val="00A94063"/>
    <w:rsid w:val="00AA6219"/>
    <w:rsid w:val="00AA74E0"/>
    <w:rsid w:val="00AB703F"/>
    <w:rsid w:val="00AC6BB8"/>
    <w:rsid w:val="00AE008F"/>
    <w:rsid w:val="00B01FCD"/>
    <w:rsid w:val="00B17099"/>
    <w:rsid w:val="00B1776C"/>
    <w:rsid w:val="00B52583"/>
    <w:rsid w:val="00B52896"/>
    <w:rsid w:val="00B95236"/>
    <w:rsid w:val="00B96BD9"/>
    <w:rsid w:val="00BA1B01"/>
    <w:rsid w:val="00BA2641"/>
    <w:rsid w:val="00BB37AA"/>
    <w:rsid w:val="00BC53A0"/>
    <w:rsid w:val="00BE62AD"/>
    <w:rsid w:val="00BF121F"/>
    <w:rsid w:val="00BF1F80"/>
    <w:rsid w:val="00BF2F12"/>
    <w:rsid w:val="00C166EF"/>
    <w:rsid w:val="00C17EB0"/>
    <w:rsid w:val="00C27F5F"/>
    <w:rsid w:val="00C30A0F"/>
    <w:rsid w:val="00C37E61"/>
    <w:rsid w:val="00C629B1"/>
    <w:rsid w:val="00C67C40"/>
    <w:rsid w:val="00C70F1B"/>
    <w:rsid w:val="00C71A47"/>
    <w:rsid w:val="00C71C52"/>
    <w:rsid w:val="00C7464C"/>
    <w:rsid w:val="00C85588"/>
    <w:rsid w:val="00C85787"/>
    <w:rsid w:val="00CA3C40"/>
    <w:rsid w:val="00CC56CB"/>
    <w:rsid w:val="00CD6755"/>
    <w:rsid w:val="00CD6856"/>
    <w:rsid w:val="00CE0089"/>
    <w:rsid w:val="00CE793C"/>
    <w:rsid w:val="00CF193C"/>
    <w:rsid w:val="00D173F1"/>
    <w:rsid w:val="00D74CB0"/>
    <w:rsid w:val="00D8295D"/>
    <w:rsid w:val="00DC2A65"/>
    <w:rsid w:val="00DE15F0"/>
    <w:rsid w:val="00DE44AE"/>
    <w:rsid w:val="00DE5663"/>
    <w:rsid w:val="00DE78AA"/>
    <w:rsid w:val="00DF6B6B"/>
    <w:rsid w:val="00E053D0"/>
    <w:rsid w:val="00E15994"/>
    <w:rsid w:val="00E3114E"/>
    <w:rsid w:val="00E31A70"/>
    <w:rsid w:val="00E35B02"/>
    <w:rsid w:val="00E66496"/>
    <w:rsid w:val="00E66B35"/>
    <w:rsid w:val="00E66E10"/>
    <w:rsid w:val="00E769F6"/>
    <w:rsid w:val="00E8407C"/>
    <w:rsid w:val="00E84F3C"/>
    <w:rsid w:val="00EA012C"/>
    <w:rsid w:val="00EB2E71"/>
    <w:rsid w:val="00EC56CE"/>
    <w:rsid w:val="00EC6A55"/>
    <w:rsid w:val="00ED0288"/>
    <w:rsid w:val="00ED713A"/>
    <w:rsid w:val="00EE52CB"/>
    <w:rsid w:val="00EF581D"/>
    <w:rsid w:val="00EF7FD8"/>
    <w:rsid w:val="00F06F59"/>
    <w:rsid w:val="00F17988"/>
    <w:rsid w:val="00F469F0"/>
    <w:rsid w:val="00F53273"/>
    <w:rsid w:val="00F755E4"/>
    <w:rsid w:val="00F77D02"/>
    <w:rsid w:val="00FA3657"/>
    <w:rsid w:val="00FA6678"/>
    <w:rsid w:val="00FB3A86"/>
    <w:rsid w:val="00FD36C8"/>
    <w:rsid w:val="00FE1022"/>
    <w:rsid w:val="00FF5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FB5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82C88"/>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6F2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65CBE-31BE-4777-B19E-63C3E0FC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141</TotalTime>
  <Pages>15</Pages>
  <Words>5376</Words>
  <Characters>30697</Characters>
  <Application>Microsoft Office Word</Application>
  <DocSecurity>0</DocSecurity>
  <Lines>1096</Lines>
  <Paragraphs>515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35558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Neeraj Singh</cp:lastModifiedBy>
  <cp:revision>40</cp:revision>
  <cp:lastPrinted>1999-07-06T11:00:00Z</cp:lastPrinted>
  <dcterms:created xsi:type="dcterms:W3CDTF">2014-10-25T14:34:00Z</dcterms:created>
  <dcterms:modified xsi:type="dcterms:W3CDTF">2025-11-16T14:44:00Z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dd51fb69-280f-44a2-89bb-c929186e15c9</vt:lpwstr>
  </property>
</Properties>
</file>