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7FF1" w14:textId="44285845" w:rsidR="00AA2A71" w:rsidRDefault="003C69CC" w:rsidP="0096027C">
      <w:pPr>
        <w:jc w:val="center"/>
        <w:rPr>
          <w:rFonts w:ascii="Times New Roman" w:hAnsi="Times New Roman" w:cs="Times New Roman"/>
          <w:b/>
          <w:bCs/>
          <w:sz w:val="36"/>
          <w:szCs w:val="36"/>
        </w:rPr>
      </w:pPr>
      <w:r w:rsidRPr="003C69CC">
        <w:rPr>
          <w:rFonts w:ascii="Times New Roman" w:hAnsi="Times New Roman" w:cs="Times New Roman"/>
          <w:b/>
          <w:bCs/>
          <w:sz w:val="36"/>
          <w:szCs w:val="36"/>
        </w:rPr>
        <w:t>An Empirical Analysis of Emerging Trends in the Indian Mutual Fund Industry: A Focus on Asset Dynamics and Investor Segmentation</w:t>
      </w:r>
    </w:p>
    <w:p w14:paraId="1C0308EA" w14:textId="77777777" w:rsidR="003C69CC" w:rsidRDefault="003C69CC" w:rsidP="0096027C">
      <w:pPr>
        <w:jc w:val="center"/>
        <w:rPr>
          <w:rFonts w:ascii="Times New Roman" w:hAnsi="Times New Roman" w:cs="Times New Roman"/>
          <w:b/>
          <w:bCs/>
          <w:sz w:val="36"/>
          <w:szCs w:val="36"/>
        </w:rPr>
      </w:pPr>
    </w:p>
    <w:p w14:paraId="3F361979" w14:textId="77777777" w:rsidR="000F1DCD" w:rsidRDefault="000F1DCD" w:rsidP="0096027C">
      <w:pPr>
        <w:jc w:val="center"/>
        <w:rPr>
          <w:rFonts w:ascii="Times New Roman" w:hAnsi="Times New Roman" w:cs="Times New Roman"/>
          <w:b/>
          <w:bCs/>
          <w:sz w:val="36"/>
          <w:szCs w:val="36"/>
        </w:rPr>
      </w:pPr>
    </w:p>
    <w:p w14:paraId="56AC36B9" w14:textId="2D9B2954" w:rsidR="0096027C" w:rsidRDefault="000F1DCD" w:rsidP="0096027C">
      <w:pPr>
        <w:jc w:val="both"/>
        <w:rPr>
          <w:rFonts w:ascii="Times New Roman" w:hAnsi="Times New Roman" w:cs="Times New Roman"/>
          <w:b/>
          <w:bCs/>
        </w:rPr>
      </w:pPr>
      <w:r w:rsidRPr="000F1DCD">
        <w:rPr>
          <w:rFonts w:ascii="Times New Roman" w:hAnsi="Times New Roman" w:cs="Times New Roman"/>
          <w:b/>
          <w:bCs/>
        </w:rPr>
        <w:t xml:space="preserve">ABSTRACT: </w:t>
      </w:r>
    </w:p>
    <w:p w14:paraId="14A12F94" w14:textId="5DBB9086" w:rsidR="004F1A2E" w:rsidRPr="004F1A2E" w:rsidRDefault="004F1A2E" w:rsidP="0096027C">
      <w:pPr>
        <w:jc w:val="both"/>
        <w:rPr>
          <w:rFonts w:ascii="Times New Roman" w:hAnsi="Times New Roman" w:cs="Times New Roman"/>
        </w:rPr>
      </w:pPr>
      <w:r w:rsidRPr="004F1A2E">
        <w:rPr>
          <w:rFonts w:ascii="Times New Roman" w:hAnsi="Times New Roman" w:cs="Times New Roman"/>
        </w:rPr>
        <w:t>This study addresses the critical research gap concerning the precise quantitative delineation of growth drivers and functional specialization within the rapidly expanding Indian mutual fund industry. The primary objectives were to empirically analyse the asset dynamics and investor segmentation between April 2024 and April 2025. Employing a descriptive and analytical research design, the study utilizes secondary data from AMFI and SEBI, applying Period-over-Period Trend Analysi</w:t>
      </w:r>
      <w:r>
        <w:rPr>
          <w:rFonts w:ascii="Times New Roman" w:hAnsi="Times New Roman" w:cs="Times New Roman"/>
        </w:rPr>
        <w:t>s</w:t>
      </w:r>
      <w:r w:rsidRPr="004F1A2E">
        <w:rPr>
          <w:rFonts w:ascii="Times New Roman" w:hAnsi="Times New Roman" w:cs="Times New Roman"/>
        </w:rPr>
        <w:t xml:space="preserve"> and formal cross-sectional analysis to quantify functional specialization, thereby ensuring enhanced scholarly consistency. The analysis established a robust 21.91% expansion in Total AUM, but the evident novelty lies in the structural differentiation of capital sources. Institutional assets grew at a differential rate of 23.80%, substantially exceeding the 20.66% recorded for individual assets, thereby causing a subtle but measurable compositional shift. Crucially, the analysis revealed a total functional specialization: individual investors allocate a massive 86% of their assets to Equity, while institutional investors dominate the stability segment, controlling 55% of Debt and Liquid schemes. The study concludes that the market is advancing toward functional maturity defined by a dual-engine growth model, where retail capital provides the essential risk component for equity growth, and institutional capital provides market stability and liquidity. These findings carry significant practical and policy implications, offering a data-driven basis for fund managers to strategically tailor products to two functionally specialized segments, and for policymakers to formulate regulations that encourage balanced growth across both the risk and stability components of the domestic capital market.</w:t>
      </w:r>
    </w:p>
    <w:p w14:paraId="28420D15" w14:textId="2AAC213A" w:rsidR="000F1DCD" w:rsidRPr="000F1DCD" w:rsidRDefault="002329D4" w:rsidP="0096027C">
      <w:pPr>
        <w:jc w:val="both"/>
        <w:rPr>
          <w:rFonts w:ascii="Times New Roman" w:hAnsi="Times New Roman" w:cs="Times New Roman"/>
          <w:b/>
          <w:bCs/>
        </w:rPr>
      </w:pPr>
      <w:r>
        <w:rPr>
          <w:rFonts w:ascii="Times New Roman" w:hAnsi="Times New Roman" w:cs="Times New Roman"/>
          <w:b/>
          <w:bCs/>
        </w:rPr>
        <w:t xml:space="preserve">Key Words: </w:t>
      </w:r>
      <w:r w:rsidRPr="002329D4">
        <w:rPr>
          <w:rFonts w:ascii="Times New Roman" w:hAnsi="Times New Roman" w:cs="Times New Roman"/>
        </w:rPr>
        <w:t xml:space="preserve">Mutual Fund, Asset Dynamics, Investor Segmentation, </w:t>
      </w:r>
      <w:r w:rsidR="004F1A2E" w:rsidRPr="004F1A2E">
        <w:rPr>
          <w:rFonts w:ascii="Times New Roman" w:hAnsi="Times New Roman" w:cs="Times New Roman"/>
        </w:rPr>
        <w:t>Dual-Engine Growth Model</w:t>
      </w:r>
      <w:r w:rsidR="004F1A2E">
        <w:rPr>
          <w:rFonts w:ascii="Times New Roman" w:hAnsi="Times New Roman" w:cs="Times New Roman"/>
        </w:rPr>
        <w:t xml:space="preserve">, </w:t>
      </w:r>
      <w:r w:rsidR="004F1A2E" w:rsidRPr="004F1A2E">
        <w:rPr>
          <w:rFonts w:ascii="Times New Roman" w:hAnsi="Times New Roman" w:cs="Times New Roman"/>
        </w:rPr>
        <w:t>Portfolio Composition</w:t>
      </w:r>
    </w:p>
    <w:p w14:paraId="33A5E90E" w14:textId="77777777" w:rsidR="00AA2A71" w:rsidRDefault="00AA2A71" w:rsidP="0096027C">
      <w:pPr>
        <w:jc w:val="both"/>
        <w:rPr>
          <w:rFonts w:ascii="Times New Roman" w:hAnsi="Times New Roman" w:cs="Times New Roman"/>
          <w:b/>
          <w:bCs/>
        </w:rPr>
      </w:pPr>
    </w:p>
    <w:p w14:paraId="091B0D8A" w14:textId="77777777" w:rsidR="00AA2A71" w:rsidRDefault="00AA2A71" w:rsidP="0096027C">
      <w:pPr>
        <w:jc w:val="both"/>
        <w:rPr>
          <w:rFonts w:ascii="Times New Roman" w:hAnsi="Times New Roman" w:cs="Times New Roman"/>
          <w:b/>
          <w:bCs/>
        </w:rPr>
      </w:pPr>
    </w:p>
    <w:p w14:paraId="7EEC9DA8" w14:textId="77777777" w:rsidR="006A6232" w:rsidRDefault="006A6232" w:rsidP="0096027C">
      <w:pPr>
        <w:jc w:val="both"/>
        <w:rPr>
          <w:rFonts w:ascii="Times New Roman" w:hAnsi="Times New Roman" w:cs="Times New Roman"/>
          <w:b/>
          <w:bCs/>
        </w:rPr>
      </w:pPr>
    </w:p>
    <w:p w14:paraId="7AAF5FA6" w14:textId="6FB1468E" w:rsidR="0096027C" w:rsidRDefault="0096027C" w:rsidP="0096027C">
      <w:pPr>
        <w:jc w:val="both"/>
        <w:rPr>
          <w:rFonts w:ascii="Times New Roman" w:hAnsi="Times New Roman" w:cs="Times New Roman"/>
          <w:b/>
          <w:bCs/>
        </w:rPr>
      </w:pPr>
      <w:r w:rsidRPr="0096027C">
        <w:rPr>
          <w:rFonts w:ascii="Times New Roman" w:hAnsi="Times New Roman" w:cs="Times New Roman"/>
          <w:b/>
          <w:bCs/>
        </w:rPr>
        <w:t>INTRODUCTION</w:t>
      </w:r>
      <w:r>
        <w:rPr>
          <w:rFonts w:ascii="Times New Roman" w:hAnsi="Times New Roman" w:cs="Times New Roman"/>
          <w:b/>
          <w:bCs/>
        </w:rPr>
        <w:t>:</w:t>
      </w:r>
    </w:p>
    <w:p w14:paraId="546E978B" w14:textId="23EDA257" w:rsidR="009004E8" w:rsidRPr="00706EB2" w:rsidRDefault="007253A5" w:rsidP="003A3699">
      <w:pPr>
        <w:jc w:val="both"/>
        <w:rPr>
          <w:rFonts w:ascii="Times New Roman" w:hAnsi="Times New Roman" w:cs="Times New Roman"/>
        </w:rPr>
      </w:pPr>
      <w:r w:rsidRPr="007253A5">
        <w:rPr>
          <w:rFonts w:ascii="Times New Roman" w:hAnsi="Times New Roman" w:cs="Times New Roman"/>
        </w:rPr>
        <w:t xml:space="preserve">Saving, investing, and managing finance are </w:t>
      </w:r>
      <w:r>
        <w:rPr>
          <w:rFonts w:ascii="Times New Roman" w:hAnsi="Times New Roman" w:cs="Times New Roman"/>
        </w:rPr>
        <w:t xml:space="preserve">the </w:t>
      </w:r>
      <w:r w:rsidRPr="007253A5">
        <w:rPr>
          <w:rFonts w:ascii="Times New Roman" w:hAnsi="Times New Roman" w:cs="Times New Roman"/>
        </w:rPr>
        <w:t xml:space="preserve">essential pillars </w:t>
      </w:r>
      <w:r>
        <w:rPr>
          <w:rFonts w:ascii="Times New Roman" w:hAnsi="Times New Roman" w:cs="Times New Roman"/>
        </w:rPr>
        <w:t>for</w:t>
      </w:r>
      <w:r w:rsidRPr="007253A5">
        <w:rPr>
          <w:rFonts w:ascii="Times New Roman" w:hAnsi="Times New Roman" w:cs="Times New Roman"/>
        </w:rPr>
        <w:t xml:space="preserve"> personal and business money management.</w:t>
      </w:r>
      <w:r>
        <w:rPr>
          <w:rFonts w:ascii="Times New Roman" w:hAnsi="Times New Roman" w:cs="Times New Roman"/>
        </w:rPr>
        <w:t xml:space="preserve"> </w:t>
      </w:r>
      <w:r w:rsidRPr="007253A5">
        <w:rPr>
          <w:rFonts w:ascii="Times New Roman" w:hAnsi="Times New Roman" w:cs="Times New Roman"/>
        </w:rPr>
        <w:t xml:space="preserve">Saving </w:t>
      </w:r>
      <w:r w:rsidR="004F1A2E" w:rsidRPr="007253A5">
        <w:rPr>
          <w:rFonts w:ascii="Times New Roman" w:hAnsi="Times New Roman" w:cs="Times New Roman"/>
        </w:rPr>
        <w:t>states</w:t>
      </w:r>
      <w:r w:rsidRPr="007253A5">
        <w:rPr>
          <w:rFonts w:ascii="Times New Roman" w:hAnsi="Times New Roman" w:cs="Times New Roman"/>
        </w:rPr>
        <w:t xml:space="preserve"> to the practice of reserving a portion of your income instead of spending it </w:t>
      </w:r>
      <w:r>
        <w:rPr>
          <w:rFonts w:ascii="Times New Roman" w:hAnsi="Times New Roman" w:cs="Times New Roman"/>
        </w:rPr>
        <w:t>as expense</w:t>
      </w:r>
      <w:r w:rsidRPr="007253A5">
        <w:rPr>
          <w:rFonts w:ascii="Times New Roman" w:hAnsi="Times New Roman" w:cs="Times New Roman"/>
        </w:rPr>
        <w:t>.</w:t>
      </w:r>
      <w:r>
        <w:rPr>
          <w:rFonts w:ascii="Times New Roman" w:hAnsi="Times New Roman" w:cs="Times New Roman"/>
        </w:rPr>
        <w:t xml:space="preserve"> </w:t>
      </w:r>
      <w:r w:rsidRPr="007253A5">
        <w:rPr>
          <w:rFonts w:ascii="Times New Roman" w:hAnsi="Times New Roman" w:cs="Times New Roman"/>
        </w:rPr>
        <w:t xml:space="preserve">Savings are usually </w:t>
      </w:r>
      <w:r>
        <w:rPr>
          <w:rFonts w:ascii="Times New Roman" w:hAnsi="Times New Roman" w:cs="Times New Roman"/>
        </w:rPr>
        <w:t>kept</w:t>
      </w:r>
      <w:r w:rsidRPr="007253A5">
        <w:rPr>
          <w:rFonts w:ascii="Times New Roman" w:hAnsi="Times New Roman" w:cs="Times New Roman"/>
        </w:rPr>
        <w:t xml:space="preserve"> in secure places like bank</w:t>
      </w:r>
      <w:r>
        <w:rPr>
          <w:rFonts w:ascii="Times New Roman" w:hAnsi="Times New Roman" w:cs="Times New Roman"/>
        </w:rPr>
        <w:t>s</w:t>
      </w:r>
      <w:r w:rsidRPr="007253A5">
        <w:rPr>
          <w:rFonts w:ascii="Times New Roman" w:hAnsi="Times New Roman" w:cs="Times New Roman"/>
        </w:rPr>
        <w:t>, which offer safety but generate relatively low interest.</w:t>
      </w:r>
      <w:r>
        <w:rPr>
          <w:rFonts w:ascii="Times New Roman" w:hAnsi="Times New Roman" w:cs="Times New Roman"/>
        </w:rPr>
        <w:t xml:space="preserve"> </w:t>
      </w:r>
      <w:r w:rsidRPr="007253A5">
        <w:rPr>
          <w:rFonts w:ascii="Times New Roman" w:hAnsi="Times New Roman" w:cs="Times New Roman"/>
        </w:rPr>
        <w:t xml:space="preserve">In contrast, investing involves using saved funds to </w:t>
      </w:r>
      <w:r w:rsidRPr="007253A5">
        <w:rPr>
          <w:rFonts w:ascii="Times New Roman" w:hAnsi="Times New Roman" w:cs="Times New Roman"/>
        </w:rPr>
        <w:lastRenderedPageBreak/>
        <w:t>purchase assets with the intention of growing their value over time</w:t>
      </w:r>
      <w:r>
        <w:rPr>
          <w:rFonts w:ascii="Times New Roman" w:hAnsi="Times New Roman" w:cs="Times New Roman"/>
        </w:rPr>
        <w:t>. Some c</w:t>
      </w:r>
      <w:r w:rsidRPr="007253A5">
        <w:rPr>
          <w:rFonts w:ascii="Times New Roman" w:hAnsi="Times New Roman" w:cs="Times New Roman"/>
        </w:rPr>
        <w:t xml:space="preserve">ommon investment options include </w:t>
      </w:r>
      <w:r>
        <w:rPr>
          <w:rFonts w:ascii="Times New Roman" w:hAnsi="Times New Roman" w:cs="Times New Roman"/>
        </w:rPr>
        <w:t xml:space="preserve">gold, </w:t>
      </w:r>
      <w:r w:rsidRPr="007253A5">
        <w:rPr>
          <w:rFonts w:ascii="Times New Roman" w:hAnsi="Times New Roman" w:cs="Times New Roman"/>
        </w:rPr>
        <w:t xml:space="preserve">stocks, bonds, </w:t>
      </w:r>
      <w:r>
        <w:rPr>
          <w:rFonts w:ascii="Times New Roman" w:hAnsi="Times New Roman" w:cs="Times New Roman"/>
        </w:rPr>
        <w:t xml:space="preserve">fixed deposits </w:t>
      </w:r>
      <w:r w:rsidRPr="007253A5">
        <w:rPr>
          <w:rFonts w:ascii="Times New Roman" w:hAnsi="Times New Roman" w:cs="Times New Roman"/>
        </w:rPr>
        <w:t>and real estate</w:t>
      </w:r>
      <w:r>
        <w:rPr>
          <w:rFonts w:ascii="Times New Roman" w:hAnsi="Times New Roman" w:cs="Times New Roman"/>
        </w:rPr>
        <w:t xml:space="preserve"> etc</w:t>
      </w:r>
      <w:r w:rsidRPr="007253A5">
        <w:rPr>
          <w:rFonts w:ascii="Times New Roman" w:hAnsi="Times New Roman" w:cs="Times New Roman"/>
        </w:rPr>
        <w:t xml:space="preserve">. Unlike saving, investing involves higher risk but also </w:t>
      </w:r>
      <w:r w:rsidR="0065005C">
        <w:rPr>
          <w:rFonts w:ascii="Times New Roman" w:hAnsi="Times New Roman" w:cs="Times New Roman"/>
        </w:rPr>
        <w:t xml:space="preserve">having </w:t>
      </w:r>
      <w:r w:rsidRPr="007253A5">
        <w:rPr>
          <w:rFonts w:ascii="Times New Roman" w:hAnsi="Times New Roman" w:cs="Times New Roman"/>
        </w:rPr>
        <w:t>the potential for greater returns. People often invest to meet long-term financial objectives, such as retirement planning, buying a house, or funding higher education</w:t>
      </w:r>
      <w:r w:rsidR="00403D3E">
        <w:rPr>
          <w:rFonts w:ascii="Times New Roman" w:hAnsi="Times New Roman" w:cs="Times New Roman"/>
        </w:rPr>
        <w:t xml:space="preserve"> and t</w:t>
      </w:r>
      <w:r w:rsidRPr="007253A5">
        <w:rPr>
          <w:rFonts w:ascii="Times New Roman" w:hAnsi="Times New Roman" w:cs="Times New Roman"/>
        </w:rPr>
        <w:t>he</w:t>
      </w:r>
      <w:r w:rsidR="00403D3E">
        <w:rPr>
          <w:rFonts w:ascii="Times New Roman" w:hAnsi="Times New Roman" w:cs="Times New Roman"/>
        </w:rPr>
        <w:t xml:space="preserve"> ultimate</w:t>
      </w:r>
      <w:r w:rsidRPr="007253A5">
        <w:rPr>
          <w:rFonts w:ascii="Times New Roman" w:hAnsi="Times New Roman" w:cs="Times New Roman"/>
        </w:rPr>
        <w:t xml:space="preserve"> goal </w:t>
      </w:r>
      <w:r w:rsidR="00403D3E">
        <w:rPr>
          <w:rFonts w:ascii="Times New Roman" w:hAnsi="Times New Roman" w:cs="Times New Roman"/>
        </w:rPr>
        <w:t>is to manage</w:t>
      </w:r>
      <w:r w:rsidRPr="007253A5">
        <w:rPr>
          <w:rFonts w:ascii="Times New Roman" w:hAnsi="Times New Roman" w:cs="Times New Roman"/>
        </w:rPr>
        <w:t xml:space="preserve"> inflation and build wealth over time.</w:t>
      </w:r>
      <w:r w:rsidR="008B1BF0">
        <w:rPr>
          <w:rFonts w:ascii="Times New Roman" w:hAnsi="Times New Roman" w:cs="Times New Roman"/>
        </w:rPr>
        <w:t xml:space="preserve"> </w:t>
      </w:r>
      <w:r w:rsidRPr="007253A5">
        <w:rPr>
          <w:rFonts w:ascii="Times New Roman" w:hAnsi="Times New Roman" w:cs="Times New Roman"/>
        </w:rPr>
        <w:t>Within the broader scope of finance</w:t>
      </w:r>
      <w:r w:rsidR="0065005C">
        <w:rPr>
          <w:rFonts w:ascii="Times New Roman" w:hAnsi="Times New Roman" w:cs="Times New Roman"/>
        </w:rPr>
        <w:t xml:space="preserve"> </w:t>
      </w:r>
      <w:r w:rsidRPr="007253A5">
        <w:rPr>
          <w:rFonts w:ascii="Times New Roman" w:hAnsi="Times New Roman" w:cs="Times New Roman"/>
        </w:rPr>
        <w:t xml:space="preserve">which </w:t>
      </w:r>
      <w:r w:rsidR="008B1BF0">
        <w:rPr>
          <w:rFonts w:ascii="Times New Roman" w:hAnsi="Times New Roman" w:cs="Times New Roman"/>
        </w:rPr>
        <w:t xml:space="preserve">related to </w:t>
      </w:r>
      <w:r w:rsidR="008B1BF0" w:rsidRPr="007253A5">
        <w:rPr>
          <w:rFonts w:ascii="Times New Roman" w:hAnsi="Times New Roman" w:cs="Times New Roman"/>
        </w:rPr>
        <w:t>the</w:t>
      </w:r>
      <w:r w:rsidRPr="007253A5">
        <w:rPr>
          <w:rFonts w:ascii="Times New Roman" w:hAnsi="Times New Roman" w:cs="Times New Roman"/>
        </w:rPr>
        <w:t xml:space="preserve"> management and acquisition of </w:t>
      </w:r>
      <w:r w:rsidR="008B1BF0" w:rsidRPr="007253A5">
        <w:rPr>
          <w:rFonts w:ascii="Times New Roman" w:hAnsi="Times New Roman" w:cs="Times New Roman"/>
        </w:rPr>
        <w:t>funds</w:t>
      </w:r>
      <w:r w:rsidR="008B1BF0">
        <w:rPr>
          <w:rFonts w:ascii="Times New Roman" w:hAnsi="Times New Roman" w:cs="Times New Roman"/>
        </w:rPr>
        <w:t>, the</w:t>
      </w:r>
      <w:r w:rsidRPr="007253A5">
        <w:rPr>
          <w:rFonts w:ascii="Times New Roman" w:hAnsi="Times New Roman" w:cs="Times New Roman"/>
        </w:rPr>
        <w:t xml:space="preserve"> mutual fund industry holds a significant place</w:t>
      </w:r>
      <w:r w:rsidR="008B1BF0">
        <w:rPr>
          <w:rFonts w:ascii="Times New Roman" w:hAnsi="Times New Roman" w:cs="Times New Roman"/>
        </w:rPr>
        <w:t xml:space="preserve"> due to its role in pooling investors capital and facilitating diversified investment opportunities. </w:t>
      </w:r>
      <w:r w:rsidRPr="007253A5">
        <w:rPr>
          <w:rFonts w:ascii="Times New Roman" w:hAnsi="Times New Roman" w:cs="Times New Roman"/>
        </w:rPr>
        <w:t>A</w:t>
      </w:r>
      <w:r w:rsidR="00B95ED4">
        <w:rPr>
          <w:rFonts w:ascii="Times New Roman" w:hAnsi="Times New Roman" w:cs="Times New Roman"/>
        </w:rPr>
        <w:t>ccording to definition of Association of Mutual Fund in India</w:t>
      </w:r>
      <w:r w:rsidRPr="007253A5">
        <w:rPr>
          <w:rFonts w:ascii="Times New Roman" w:hAnsi="Times New Roman" w:cs="Times New Roman"/>
        </w:rPr>
        <w:t xml:space="preserve"> </w:t>
      </w:r>
      <w:r w:rsidR="00B95ED4">
        <w:rPr>
          <w:rFonts w:ascii="Times New Roman" w:hAnsi="Times New Roman" w:cs="Times New Roman"/>
        </w:rPr>
        <w:t xml:space="preserve">(AMFI), </w:t>
      </w:r>
      <w:r w:rsidR="00B95ED4" w:rsidRPr="00B95ED4">
        <w:rPr>
          <w:rFonts w:ascii="Times New Roman" w:hAnsi="Times New Roman" w:cs="Times New Roman"/>
        </w:rPr>
        <w:t>A mutual fund is a collective investment vehicle that collects &amp; pools money from a number of investors and invests the same in equities, bonds, government securities, money market instruments</w:t>
      </w:r>
      <w:r w:rsidR="00403D3E">
        <w:rPr>
          <w:rFonts w:ascii="Times New Roman" w:hAnsi="Times New Roman" w:cs="Times New Roman"/>
        </w:rPr>
        <w:t xml:space="preserve"> </w:t>
      </w:r>
      <w:r w:rsidR="00403D3E" w:rsidRPr="00403D3E">
        <w:rPr>
          <w:rFonts w:ascii="Times New Roman" w:hAnsi="Times New Roman" w:cs="Times New Roman"/>
        </w:rPr>
        <w:t>(</w:t>
      </w:r>
      <w:r w:rsidR="00403D3E" w:rsidRPr="00403D3E">
        <w:rPr>
          <w:rFonts w:ascii="Times New Roman" w:hAnsi="Times New Roman" w:cs="Times New Roman"/>
          <w:i/>
          <w:iCs/>
        </w:rPr>
        <w:t>AMFI</w:t>
      </w:r>
      <w:r w:rsidR="00403D3E" w:rsidRPr="00403D3E">
        <w:rPr>
          <w:rFonts w:ascii="Times New Roman" w:hAnsi="Times New Roman" w:cs="Times New Roman"/>
        </w:rPr>
        <w:t>, n.d.-a)</w:t>
      </w:r>
      <w:r w:rsidR="00B95ED4" w:rsidRPr="00B95ED4">
        <w:rPr>
          <w:rFonts w:ascii="Times New Roman" w:hAnsi="Times New Roman" w:cs="Times New Roman"/>
        </w:rPr>
        <w:t>.</w:t>
      </w:r>
      <w:r w:rsidR="00B95ED4">
        <w:rPr>
          <w:rFonts w:ascii="Times New Roman" w:hAnsi="Times New Roman" w:cs="Times New Roman"/>
        </w:rPr>
        <w:t xml:space="preserve"> </w:t>
      </w:r>
      <w:r w:rsidR="00FE6B22" w:rsidRPr="00FE6B22">
        <w:rPr>
          <w:rFonts w:ascii="Times New Roman" w:hAnsi="Times New Roman" w:cs="Times New Roman"/>
        </w:rPr>
        <w:t xml:space="preserve">Typically, mutual funds are categorized according to the nature of the assets they invest in, and the specific management style adopted by their fund managers </w:t>
      </w:r>
      <w:r w:rsidR="00FE6B22">
        <w:rPr>
          <w:rFonts w:ascii="Times New Roman" w:hAnsi="Times New Roman" w:cs="Times New Roman"/>
        </w:rPr>
        <w:t>(</w:t>
      </w:r>
      <w:r w:rsidR="00FE6B22" w:rsidRPr="00FE6B22">
        <w:rPr>
          <w:rFonts w:ascii="Times New Roman" w:hAnsi="Times New Roman" w:cs="Times New Roman"/>
        </w:rPr>
        <w:t>Brown, S. J., &amp; Goetzmann, W. N. 1997</w:t>
      </w:r>
      <w:r w:rsidR="000D3C36">
        <w:rPr>
          <w:rFonts w:ascii="Times New Roman" w:hAnsi="Times New Roman" w:cs="Times New Roman"/>
        </w:rPr>
        <w:t xml:space="preserve">). </w:t>
      </w:r>
      <w:r w:rsidR="000D3C36" w:rsidRPr="000D3C36">
        <w:rPr>
          <w:rFonts w:ascii="Times New Roman" w:hAnsi="Times New Roman" w:cs="Times New Roman"/>
        </w:rPr>
        <w:t>Mutual funds offer a flexible and accessible means of building wealth, combining professional fund management with diversified investments and low minimum entry requirements, which has contributed to their widespread popularity</w:t>
      </w:r>
      <w:r w:rsidR="00AD379A">
        <w:rPr>
          <w:rFonts w:ascii="Times New Roman" w:hAnsi="Times New Roman" w:cs="Times New Roman"/>
        </w:rPr>
        <w:t xml:space="preserve"> </w:t>
      </w:r>
      <w:r w:rsidR="00AD379A" w:rsidRPr="00AD379A">
        <w:rPr>
          <w:rFonts w:ascii="Times New Roman" w:hAnsi="Times New Roman" w:cs="Times New Roman"/>
        </w:rPr>
        <w:t>(</w:t>
      </w:r>
      <w:proofErr w:type="spellStart"/>
      <w:r w:rsidR="00AD379A" w:rsidRPr="00AD379A">
        <w:rPr>
          <w:rFonts w:ascii="Times New Roman" w:hAnsi="Times New Roman" w:cs="Times New Roman"/>
        </w:rPr>
        <w:t>Finexia</w:t>
      </w:r>
      <w:proofErr w:type="spellEnd"/>
      <w:r w:rsidR="00AD379A" w:rsidRPr="00AD379A">
        <w:rPr>
          <w:rFonts w:ascii="Times New Roman" w:hAnsi="Times New Roman" w:cs="Times New Roman"/>
        </w:rPr>
        <w:t>, 2024)</w:t>
      </w:r>
      <w:r w:rsidR="00AD379A">
        <w:rPr>
          <w:rFonts w:ascii="Times New Roman" w:hAnsi="Times New Roman" w:cs="Times New Roman"/>
        </w:rPr>
        <w:t xml:space="preserve">. </w:t>
      </w:r>
      <w:r w:rsidR="00706EB2" w:rsidRPr="00706EB2">
        <w:rPr>
          <w:rFonts w:ascii="Times New Roman" w:hAnsi="Times New Roman" w:cs="Times New Roman"/>
        </w:rPr>
        <w:t>The Indian mutual fund sector has experienced significant evolution in the last ten years, marked by strong growth and an ability to withstand market fluctuations</w:t>
      </w:r>
      <w:r w:rsidR="00706EB2">
        <w:rPr>
          <w:rFonts w:ascii="Times New Roman" w:hAnsi="Times New Roman" w:cs="Times New Roman"/>
        </w:rPr>
        <w:t xml:space="preserve"> </w:t>
      </w:r>
      <w:r w:rsidR="00706EB2" w:rsidRPr="00706EB2">
        <w:rPr>
          <w:rFonts w:ascii="Times New Roman" w:hAnsi="Times New Roman" w:cs="Times New Roman"/>
        </w:rPr>
        <w:t>(</w:t>
      </w:r>
      <w:proofErr w:type="spellStart"/>
      <w:r w:rsidR="00706EB2" w:rsidRPr="00706EB2">
        <w:rPr>
          <w:rFonts w:ascii="Times New Roman" w:hAnsi="Times New Roman" w:cs="Times New Roman"/>
        </w:rPr>
        <w:t>Ibef</w:t>
      </w:r>
      <w:proofErr w:type="spellEnd"/>
      <w:r w:rsidR="00706EB2" w:rsidRPr="00706EB2">
        <w:rPr>
          <w:rFonts w:ascii="Times New Roman" w:hAnsi="Times New Roman" w:cs="Times New Roman"/>
        </w:rPr>
        <w:t>, 2024a).</w:t>
      </w:r>
      <w:r w:rsidR="00706EB2">
        <w:t xml:space="preserve"> </w:t>
      </w:r>
      <w:r w:rsidR="009C67CD">
        <w:rPr>
          <w:rFonts w:ascii="Times New Roman" w:hAnsi="Times New Roman" w:cs="Times New Roman"/>
        </w:rPr>
        <w:t>But apart from advantages i</w:t>
      </w:r>
      <w:r w:rsidR="009C67CD" w:rsidRPr="009C67CD">
        <w:rPr>
          <w:rFonts w:ascii="Times New Roman" w:hAnsi="Times New Roman" w:cs="Times New Roman"/>
        </w:rPr>
        <w:t xml:space="preserve">nvestors in mutual funds incur various fees and expenses, which are associated with both the management of the fund's assets and the marketing or distribution of its shares </w:t>
      </w:r>
      <w:r w:rsidR="009C67CD">
        <w:rPr>
          <w:rFonts w:ascii="Times New Roman" w:hAnsi="Times New Roman" w:cs="Times New Roman"/>
        </w:rPr>
        <w:t>(</w:t>
      </w:r>
      <w:r w:rsidR="009C67CD" w:rsidRPr="009C67CD">
        <w:rPr>
          <w:rFonts w:ascii="Times New Roman" w:hAnsi="Times New Roman" w:cs="Times New Roman"/>
        </w:rPr>
        <w:t>Carhart, M. M. 1997)</w:t>
      </w:r>
      <w:r w:rsidR="009C67CD">
        <w:rPr>
          <w:rFonts w:ascii="Times New Roman" w:hAnsi="Times New Roman" w:cs="Times New Roman"/>
        </w:rPr>
        <w:t>.</w:t>
      </w:r>
      <w:r w:rsidR="002F2EB9">
        <w:rPr>
          <w:rFonts w:ascii="Times New Roman" w:hAnsi="Times New Roman" w:cs="Times New Roman"/>
        </w:rPr>
        <w:t xml:space="preserve"> </w:t>
      </w:r>
      <w:r w:rsidR="00CD119F" w:rsidRPr="00CD119F">
        <w:rPr>
          <w:rFonts w:ascii="Times New Roman" w:hAnsi="Times New Roman" w:cs="Times New Roman"/>
        </w:rPr>
        <w:t>Accordingly, this study conducts an empirical examination of India’s mutual fund sector during the transformative period from April 2024 to April 2025. It aims primarily to analyse the growth patterns and scheme-wise distribution of Assets Under Management while also assessing investor segmentation to uncover key preferences and behavioural tendencies. The subsequent sections outline the research methodology, evaluate the trends in assets and investor behaviour, and conclude with insights and strategic implications for stakeholders in the mutual fund ecosystem.</w:t>
      </w:r>
    </w:p>
    <w:p w14:paraId="659A0208" w14:textId="20693111" w:rsidR="003A3699" w:rsidRDefault="00547A66" w:rsidP="003A3699">
      <w:pPr>
        <w:jc w:val="both"/>
        <w:rPr>
          <w:rFonts w:ascii="Times New Roman" w:hAnsi="Times New Roman" w:cs="Times New Roman"/>
          <w:b/>
          <w:bCs/>
        </w:rPr>
      </w:pPr>
      <w:r w:rsidRPr="00547A66">
        <w:rPr>
          <w:rFonts w:ascii="Times New Roman" w:hAnsi="Times New Roman" w:cs="Times New Roman"/>
          <w:b/>
          <w:bCs/>
        </w:rPr>
        <w:t>MUTUAL FUND:</w:t>
      </w:r>
      <w:r w:rsidR="003A3699" w:rsidRPr="00547A66">
        <w:rPr>
          <w:rFonts w:ascii="Times New Roman" w:hAnsi="Times New Roman" w:cs="Times New Roman"/>
          <w:b/>
          <w:bCs/>
        </w:rPr>
        <w:t xml:space="preserve"> </w:t>
      </w:r>
    </w:p>
    <w:p w14:paraId="6D690900" w14:textId="4BF28FC6" w:rsidR="00A85768" w:rsidRPr="00A85768" w:rsidRDefault="00547A66" w:rsidP="00A85768">
      <w:pPr>
        <w:jc w:val="both"/>
        <w:rPr>
          <w:rFonts w:ascii="Times New Roman" w:hAnsi="Times New Roman" w:cs="Times New Roman"/>
        </w:rPr>
      </w:pPr>
      <w:r w:rsidRPr="00547A66">
        <w:rPr>
          <w:rFonts w:ascii="Times New Roman" w:hAnsi="Times New Roman" w:cs="Times New Roman"/>
        </w:rPr>
        <w:t xml:space="preserve">Mutual Fund </w:t>
      </w:r>
      <w:r>
        <w:rPr>
          <w:rFonts w:ascii="Times New Roman" w:hAnsi="Times New Roman" w:cs="Times New Roman"/>
        </w:rPr>
        <w:t>is an investment option where money of investors is invested in different types of investment options after pooling money by the mutual fund house from the interested investors</w:t>
      </w:r>
      <w:r w:rsidR="00051D47">
        <w:rPr>
          <w:rFonts w:ascii="Times New Roman" w:hAnsi="Times New Roman" w:cs="Times New Roman"/>
        </w:rPr>
        <w:t xml:space="preserve"> who have similar financial objective</w:t>
      </w:r>
      <w:r w:rsidR="002225A3">
        <w:rPr>
          <w:rFonts w:ascii="Times New Roman" w:hAnsi="Times New Roman" w:cs="Times New Roman"/>
        </w:rPr>
        <w:t xml:space="preserve"> </w:t>
      </w:r>
      <w:r w:rsidR="002225A3" w:rsidRPr="002225A3">
        <w:rPr>
          <w:rFonts w:ascii="Times New Roman" w:hAnsi="Times New Roman" w:cs="Times New Roman"/>
        </w:rPr>
        <w:t>(SEBI, 2024)</w:t>
      </w:r>
      <w:r>
        <w:rPr>
          <w:rFonts w:ascii="Times New Roman" w:hAnsi="Times New Roman" w:cs="Times New Roman"/>
        </w:rPr>
        <w:t xml:space="preserve">. Mutual </w:t>
      </w:r>
      <w:r w:rsidR="008D29C4">
        <w:rPr>
          <w:rFonts w:ascii="Times New Roman" w:hAnsi="Times New Roman" w:cs="Times New Roman"/>
        </w:rPr>
        <w:t>funds</w:t>
      </w:r>
      <w:r>
        <w:rPr>
          <w:rFonts w:ascii="Times New Roman" w:hAnsi="Times New Roman" w:cs="Times New Roman"/>
        </w:rPr>
        <w:t xml:space="preserve"> provide wide range of</w:t>
      </w:r>
      <w:r w:rsidR="008D29C4">
        <w:rPr>
          <w:rFonts w:ascii="Times New Roman" w:hAnsi="Times New Roman" w:cs="Times New Roman"/>
        </w:rPr>
        <w:t xml:space="preserve"> investment</w:t>
      </w:r>
      <w:r>
        <w:rPr>
          <w:rFonts w:ascii="Times New Roman" w:hAnsi="Times New Roman" w:cs="Times New Roman"/>
        </w:rPr>
        <w:t xml:space="preserve"> options</w:t>
      </w:r>
      <w:r w:rsidR="008D29C4">
        <w:rPr>
          <w:rFonts w:ascii="Times New Roman" w:hAnsi="Times New Roman" w:cs="Times New Roman"/>
        </w:rPr>
        <w:t xml:space="preserve"> where investors have opportunity to be the part of share market indirectly. In mutual funds investment amount</w:t>
      </w:r>
      <w:r w:rsidR="00051D47">
        <w:rPr>
          <w:rFonts w:ascii="Times New Roman" w:hAnsi="Times New Roman" w:cs="Times New Roman"/>
        </w:rPr>
        <w:t xml:space="preserve"> are managed by professional fund managers their main job is to make investment decisions like what securities to buy, hold and sell</w:t>
      </w:r>
      <w:r w:rsidR="00C81DAD">
        <w:rPr>
          <w:rFonts w:ascii="Times New Roman" w:hAnsi="Times New Roman" w:cs="Times New Roman"/>
        </w:rPr>
        <w:t xml:space="preserve"> </w:t>
      </w:r>
      <w:r w:rsidR="00C81DAD" w:rsidRPr="00C81DAD">
        <w:rPr>
          <w:rFonts w:ascii="Times New Roman" w:hAnsi="Times New Roman" w:cs="Times New Roman"/>
        </w:rPr>
        <w:t>(Hayes, 202</w:t>
      </w:r>
      <w:r w:rsidR="006F3C75">
        <w:rPr>
          <w:rFonts w:ascii="Times New Roman" w:hAnsi="Times New Roman" w:cs="Times New Roman"/>
        </w:rPr>
        <w:t>4</w:t>
      </w:r>
      <w:r w:rsidR="00C81DAD" w:rsidRPr="00C81DAD">
        <w:rPr>
          <w:rFonts w:ascii="Times New Roman" w:hAnsi="Times New Roman" w:cs="Times New Roman"/>
        </w:rPr>
        <w:t>)</w:t>
      </w:r>
      <w:r w:rsidR="00051D47">
        <w:rPr>
          <w:rFonts w:ascii="Times New Roman" w:hAnsi="Times New Roman" w:cs="Times New Roman"/>
        </w:rPr>
        <w:t xml:space="preserve">. </w:t>
      </w:r>
      <w:r w:rsidR="00051D47" w:rsidRPr="00051D47">
        <w:rPr>
          <w:rFonts w:ascii="Times New Roman" w:hAnsi="Times New Roman" w:cs="Times New Roman"/>
        </w:rPr>
        <w:t>In short, fund managers are like the drivers of mutual fund</w:t>
      </w:r>
      <w:r w:rsidR="00051D47">
        <w:rPr>
          <w:rFonts w:ascii="Times New Roman" w:hAnsi="Times New Roman" w:cs="Times New Roman"/>
        </w:rPr>
        <w:t xml:space="preserve"> to whom </w:t>
      </w:r>
      <w:r w:rsidR="00051D47" w:rsidRPr="00051D47">
        <w:rPr>
          <w:rFonts w:ascii="Times New Roman" w:hAnsi="Times New Roman" w:cs="Times New Roman"/>
        </w:rPr>
        <w:t xml:space="preserve">investors </w:t>
      </w:r>
      <w:r w:rsidR="001C097A" w:rsidRPr="00051D47">
        <w:rPr>
          <w:rFonts w:ascii="Times New Roman" w:hAnsi="Times New Roman" w:cs="Times New Roman"/>
        </w:rPr>
        <w:t>trust with</w:t>
      </w:r>
      <w:r w:rsidR="00051D47" w:rsidRPr="00051D47">
        <w:rPr>
          <w:rFonts w:ascii="Times New Roman" w:hAnsi="Times New Roman" w:cs="Times New Roman"/>
        </w:rPr>
        <w:t xml:space="preserve"> their money, and their expertise largely determines the fund’s performance</w:t>
      </w:r>
      <w:r w:rsidR="00152E5B">
        <w:rPr>
          <w:rFonts w:ascii="Times New Roman" w:hAnsi="Times New Roman" w:cs="Times New Roman"/>
        </w:rPr>
        <w:t xml:space="preserve"> </w:t>
      </w:r>
      <w:r w:rsidR="00152E5B" w:rsidRPr="00152E5B">
        <w:rPr>
          <w:rFonts w:ascii="Times New Roman" w:hAnsi="Times New Roman" w:cs="Times New Roman"/>
        </w:rPr>
        <w:t>(</w:t>
      </w:r>
      <w:proofErr w:type="spellStart"/>
      <w:r w:rsidR="00152E5B" w:rsidRPr="00152E5B">
        <w:rPr>
          <w:rFonts w:ascii="Times New Roman" w:hAnsi="Times New Roman" w:cs="Times New Roman"/>
        </w:rPr>
        <w:t>Finserv</w:t>
      </w:r>
      <w:proofErr w:type="spellEnd"/>
      <w:r w:rsidR="00152E5B" w:rsidRPr="00152E5B">
        <w:rPr>
          <w:rFonts w:ascii="Times New Roman" w:hAnsi="Times New Roman" w:cs="Times New Roman"/>
        </w:rPr>
        <w:t>, 2025)</w:t>
      </w:r>
      <w:r w:rsidR="00051D47" w:rsidRPr="00051D47">
        <w:rPr>
          <w:rFonts w:ascii="Times New Roman" w:hAnsi="Times New Roman" w:cs="Times New Roman"/>
        </w:rPr>
        <w:t>.</w:t>
      </w:r>
      <w:r w:rsidR="00CD119F">
        <w:rPr>
          <w:rFonts w:ascii="Times New Roman" w:hAnsi="Times New Roman" w:cs="Times New Roman"/>
        </w:rPr>
        <w:t xml:space="preserve"> </w:t>
      </w:r>
      <w:r w:rsidR="001C097A">
        <w:rPr>
          <w:rFonts w:ascii="Times New Roman" w:hAnsi="Times New Roman" w:cs="Times New Roman"/>
        </w:rPr>
        <w:t>According to Institute of Chartered Accountant of India (ICAI) “</w:t>
      </w:r>
      <w:r w:rsidR="001C097A" w:rsidRPr="001C097A">
        <w:rPr>
          <w:rFonts w:ascii="Times New Roman" w:hAnsi="Times New Roman" w:cs="Times New Roman"/>
        </w:rPr>
        <w:t>A mutual fund is a trust that pools the savings of numerous investors who share a common financial goal. A mutual fund is the most suitable investment vehicle for the investors as it offers an opportunity to invest in a basket of diversified securities managed by professionally qualified managers at a relatively low cost.</w:t>
      </w:r>
      <w:r w:rsidR="001C097A">
        <w:rPr>
          <w:rFonts w:ascii="Times New Roman" w:hAnsi="Times New Roman" w:cs="Times New Roman"/>
        </w:rPr>
        <w:t xml:space="preserve"> </w:t>
      </w:r>
      <w:r w:rsidR="001C097A" w:rsidRPr="001C097A">
        <w:rPr>
          <w:rFonts w:ascii="Times New Roman" w:hAnsi="Times New Roman" w:cs="Times New Roman"/>
        </w:rPr>
        <w:t xml:space="preserve">Mutual Funds are trusts which pool resources from large number of investors through issue of units for investments in capital market instruments such as shares, debentures and </w:t>
      </w:r>
      <w:r w:rsidR="001C097A" w:rsidRPr="001C097A">
        <w:rPr>
          <w:rFonts w:ascii="Times New Roman" w:hAnsi="Times New Roman" w:cs="Times New Roman"/>
        </w:rPr>
        <w:lastRenderedPageBreak/>
        <w:t>bonds and money-market instruments like Commercial Papers, Certificate of Deposits and Treasury Bills</w:t>
      </w:r>
      <w:r w:rsidR="00A85768" w:rsidRPr="001C097A">
        <w:rPr>
          <w:rFonts w:ascii="Times New Roman" w:hAnsi="Times New Roman" w:cs="Times New Roman"/>
        </w:rPr>
        <w:t>.</w:t>
      </w:r>
      <w:r w:rsidR="00A85768">
        <w:rPr>
          <w:rFonts w:ascii="Times New Roman" w:hAnsi="Times New Roman" w:cs="Times New Roman"/>
        </w:rPr>
        <w:t>”</w:t>
      </w:r>
      <w:r w:rsidR="00A85768" w:rsidRPr="00A85768">
        <w:rPr>
          <w:rFonts w:ascii="Times New Roman" w:hAnsi="Times New Roman" w:cs="Times New Roman"/>
        </w:rPr>
        <w:t xml:space="preserve"> (The Institute of Chartered Accountants of India, n.d.)</w:t>
      </w:r>
    </w:p>
    <w:p w14:paraId="2DD2AB18" w14:textId="756D6F5F" w:rsidR="003A3699" w:rsidRDefault="00F057A8" w:rsidP="007253A5">
      <w:pPr>
        <w:jc w:val="both"/>
        <w:rPr>
          <w:rFonts w:ascii="Times New Roman" w:hAnsi="Times New Roman" w:cs="Times New Roman"/>
          <w:b/>
          <w:bCs/>
        </w:rPr>
      </w:pPr>
      <w:r w:rsidRPr="00F057A8">
        <w:rPr>
          <w:rFonts w:ascii="Times New Roman" w:hAnsi="Times New Roman" w:cs="Times New Roman"/>
          <w:b/>
          <w:bCs/>
        </w:rPr>
        <w:t xml:space="preserve">MUTUAL FUND IN INDIA: </w:t>
      </w:r>
    </w:p>
    <w:p w14:paraId="597A9130" w14:textId="566941C5" w:rsidR="00A85768" w:rsidRDefault="00A31010" w:rsidP="007253A5">
      <w:pPr>
        <w:jc w:val="both"/>
        <w:rPr>
          <w:rFonts w:ascii="Times New Roman" w:hAnsi="Times New Roman" w:cs="Times New Roman"/>
        </w:rPr>
      </w:pPr>
      <w:r w:rsidRPr="00A31010">
        <w:rPr>
          <w:rFonts w:ascii="Times New Roman" w:hAnsi="Times New Roman" w:cs="Times New Roman"/>
        </w:rPr>
        <w:t xml:space="preserve">Mutual funds are collective investment schemes that offer liquidity and allow investors to benefit from cost efficiencies through diversified </w:t>
      </w:r>
      <w:r w:rsidR="004021BB" w:rsidRPr="00A31010">
        <w:rPr>
          <w:rFonts w:ascii="Times New Roman" w:hAnsi="Times New Roman" w:cs="Times New Roman"/>
        </w:rPr>
        <w:t>portfolio</w:t>
      </w:r>
      <w:r w:rsidR="004021BB">
        <w:rPr>
          <w:rFonts w:ascii="Times New Roman" w:hAnsi="Times New Roman" w:cs="Times New Roman"/>
        </w:rPr>
        <w:t>s, and</w:t>
      </w:r>
      <w:r w:rsidRPr="00A31010">
        <w:rPr>
          <w:rFonts w:ascii="Times New Roman" w:hAnsi="Times New Roman" w:cs="Times New Roman"/>
        </w:rPr>
        <w:t xml:space="preserve"> </w:t>
      </w:r>
      <w:r w:rsidR="004021BB">
        <w:rPr>
          <w:rFonts w:ascii="Times New Roman" w:hAnsi="Times New Roman" w:cs="Times New Roman"/>
        </w:rPr>
        <w:t>t</w:t>
      </w:r>
      <w:r w:rsidRPr="00A31010">
        <w:rPr>
          <w:rFonts w:ascii="Times New Roman" w:hAnsi="Times New Roman" w:cs="Times New Roman"/>
        </w:rPr>
        <w:t>hese portfolios are typically categorized based on distinct investment strategies, including aggressive growth, growth and income, equity-income, growth, and small-cap company funds</w:t>
      </w:r>
      <w:r>
        <w:rPr>
          <w:rFonts w:ascii="Times New Roman" w:hAnsi="Times New Roman" w:cs="Times New Roman"/>
        </w:rPr>
        <w:t xml:space="preserve"> </w:t>
      </w:r>
      <w:r w:rsidRPr="00A31010">
        <w:rPr>
          <w:rFonts w:ascii="Times New Roman" w:hAnsi="Times New Roman" w:cs="Times New Roman"/>
        </w:rPr>
        <w:t>(Cuthbertson et al 2016).</w:t>
      </w:r>
      <w:r>
        <w:rPr>
          <w:rFonts w:ascii="Times New Roman" w:hAnsi="Times New Roman" w:cs="Times New Roman"/>
        </w:rPr>
        <w:t xml:space="preserve"> </w:t>
      </w:r>
      <w:r w:rsidR="000460A2" w:rsidRPr="000460A2">
        <w:rPr>
          <w:rFonts w:ascii="Times New Roman" w:hAnsi="Times New Roman" w:cs="Times New Roman"/>
        </w:rPr>
        <w:t>Mutual funds provide an accessible entry point into investing, eliminating the need for in-depth knowledge of the stock market</w:t>
      </w:r>
      <w:r w:rsidR="004021BB">
        <w:rPr>
          <w:rFonts w:ascii="Times New Roman" w:hAnsi="Times New Roman" w:cs="Times New Roman"/>
        </w:rPr>
        <w:t xml:space="preserve"> and w</w:t>
      </w:r>
      <w:r w:rsidR="000460A2" w:rsidRPr="000460A2">
        <w:rPr>
          <w:rFonts w:ascii="Times New Roman" w:hAnsi="Times New Roman" w:cs="Times New Roman"/>
        </w:rPr>
        <w:t>ith a wide range of fund options, investors can choose products that align with their specific financial objectives</w:t>
      </w:r>
      <w:r w:rsidR="004021BB">
        <w:rPr>
          <w:rFonts w:ascii="Times New Roman" w:hAnsi="Times New Roman" w:cs="Times New Roman"/>
        </w:rPr>
        <w:t xml:space="preserve"> w</w:t>
      </w:r>
      <w:r w:rsidR="000460A2" w:rsidRPr="000460A2">
        <w:rPr>
          <w:rFonts w:ascii="Times New Roman" w:hAnsi="Times New Roman" w:cs="Times New Roman"/>
        </w:rPr>
        <w:t>hether aiming to achieve long-term aspirations or establish a financial cushion, mutual funds can serve as a valuable tool for securing a stronger financial future</w:t>
      </w:r>
      <w:r w:rsidR="000460A2">
        <w:rPr>
          <w:rFonts w:ascii="Times New Roman" w:hAnsi="Times New Roman" w:cs="Times New Roman"/>
        </w:rPr>
        <w:t xml:space="preserve"> </w:t>
      </w:r>
      <w:r w:rsidR="005B67AB" w:rsidRPr="005B67AB">
        <w:rPr>
          <w:rFonts w:ascii="Times New Roman" w:hAnsi="Times New Roman" w:cs="Times New Roman"/>
        </w:rPr>
        <w:t xml:space="preserve">(Bajaj </w:t>
      </w:r>
      <w:proofErr w:type="spellStart"/>
      <w:r w:rsidR="005B67AB" w:rsidRPr="005B67AB">
        <w:rPr>
          <w:rFonts w:ascii="Times New Roman" w:hAnsi="Times New Roman" w:cs="Times New Roman"/>
        </w:rPr>
        <w:t>Finserv</w:t>
      </w:r>
      <w:proofErr w:type="spellEnd"/>
      <w:r w:rsidR="005B67AB" w:rsidRPr="005B67AB">
        <w:rPr>
          <w:rFonts w:ascii="Times New Roman" w:hAnsi="Times New Roman" w:cs="Times New Roman"/>
        </w:rPr>
        <w:t>, 2025)</w:t>
      </w:r>
      <w:r w:rsidR="005B67AB">
        <w:rPr>
          <w:rFonts w:ascii="Times New Roman" w:hAnsi="Times New Roman" w:cs="Times New Roman"/>
        </w:rPr>
        <w:t>.</w:t>
      </w:r>
    </w:p>
    <w:p w14:paraId="5D9AA53A" w14:textId="370D48B4" w:rsidR="00FE6B22" w:rsidRDefault="004B641F" w:rsidP="007253A5">
      <w:pPr>
        <w:jc w:val="both"/>
        <w:rPr>
          <w:rFonts w:ascii="Times New Roman" w:hAnsi="Times New Roman" w:cs="Times New Roman"/>
        </w:rPr>
      </w:pPr>
      <w:r>
        <w:rPr>
          <w:rFonts w:ascii="Times New Roman" w:hAnsi="Times New Roman" w:cs="Times New Roman"/>
        </w:rPr>
        <w:t>In India the first scheme regarding mutual funds were launched by Unit Trust of India (UTI) in 1964</w:t>
      </w:r>
      <w:r w:rsidR="008E230E">
        <w:rPr>
          <w:rFonts w:ascii="Times New Roman" w:hAnsi="Times New Roman" w:cs="Times New Roman"/>
        </w:rPr>
        <w:t>, which</w:t>
      </w:r>
      <w:r>
        <w:rPr>
          <w:rFonts w:ascii="Times New Roman" w:hAnsi="Times New Roman" w:cs="Times New Roman"/>
        </w:rPr>
        <w:t xml:space="preserve"> was established in 1963 by an Act of Parliament</w:t>
      </w:r>
      <w:r w:rsidR="008E230E">
        <w:rPr>
          <w:rFonts w:ascii="Times New Roman" w:hAnsi="Times New Roman" w:cs="Times New Roman"/>
        </w:rPr>
        <w:t xml:space="preserve"> and</w:t>
      </w:r>
      <w:r>
        <w:rPr>
          <w:rFonts w:ascii="Times New Roman" w:hAnsi="Times New Roman" w:cs="Times New Roman"/>
        </w:rPr>
        <w:t xml:space="preserve"> </w:t>
      </w:r>
      <w:r w:rsidR="008E230E">
        <w:rPr>
          <w:rFonts w:ascii="Times New Roman" w:hAnsi="Times New Roman" w:cs="Times New Roman"/>
        </w:rPr>
        <w:t>operated</w:t>
      </w:r>
      <w:r>
        <w:rPr>
          <w:rFonts w:ascii="Times New Roman" w:hAnsi="Times New Roman" w:cs="Times New Roman"/>
        </w:rPr>
        <w:t xml:space="preserve"> under the </w:t>
      </w:r>
      <w:r w:rsidR="008E230E">
        <w:rPr>
          <w:rFonts w:ascii="Times New Roman" w:hAnsi="Times New Roman" w:cs="Times New Roman"/>
        </w:rPr>
        <w:t>r</w:t>
      </w:r>
      <w:r>
        <w:rPr>
          <w:rFonts w:ascii="Times New Roman" w:hAnsi="Times New Roman" w:cs="Times New Roman"/>
        </w:rPr>
        <w:t>egulatory and administrative control of the RBI</w:t>
      </w:r>
      <w:r w:rsidR="008E230E">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Pr>
          <w:rFonts w:ascii="Times New Roman" w:hAnsi="Times New Roman" w:cs="Times New Roman"/>
        </w:rPr>
        <w:t xml:space="preserve">. </w:t>
      </w:r>
      <w:r w:rsidR="00EB1D51">
        <w:rPr>
          <w:rFonts w:ascii="Times New Roman" w:hAnsi="Times New Roman" w:cs="Times New Roman"/>
        </w:rPr>
        <w:t>SBI Mutual Fund was the first non-UTI Mutal Fund which is established in 1987</w:t>
      </w:r>
      <w:r w:rsidR="001536E6">
        <w:rPr>
          <w:rFonts w:ascii="Times New Roman" w:hAnsi="Times New Roman" w:cs="Times New Roman"/>
        </w:rPr>
        <w:t xml:space="preserve"> and</w:t>
      </w:r>
      <w:r w:rsidR="00EB1D51">
        <w:rPr>
          <w:rFonts w:ascii="Times New Roman" w:hAnsi="Times New Roman" w:cs="Times New Roman"/>
        </w:rPr>
        <w:t xml:space="preserve"> </w:t>
      </w:r>
      <w:r w:rsidR="001536E6">
        <w:rPr>
          <w:rFonts w:ascii="Times New Roman" w:hAnsi="Times New Roman" w:cs="Times New Roman"/>
        </w:rPr>
        <w:t>i</w:t>
      </w:r>
      <w:r w:rsidR="00EB1D51">
        <w:rPr>
          <w:rFonts w:ascii="Times New Roman" w:hAnsi="Times New Roman" w:cs="Times New Roman"/>
        </w:rPr>
        <w:t>n 1993 the first Mutal Fund Regulation (SEBI (Mutal Fund) Regulations 1993) were passed but soon this regulation was substituted by a more comprehensive and revised regulation, SEBI (Mutal Fund) Regulations 1996</w:t>
      </w:r>
      <w:r w:rsidR="001536E6">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sidR="00EB1D51">
        <w:rPr>
          <w:rFonts w:ascii="Times New Roman" w:hAnsi="Times New Roman" w:cs="Times New Roman"/>
        </w:rPr>
        <w:t xml:space="preserve">. </w:t>
      </w:r>
      <w:r w:rsidR="00110708" w:rsidRPr="00110708">
        <w:rPr>
          <w:rFonts w:ascii="Times New Roman" w:hAnsi="Times New Roman" w:cs="Times New Roman"/>
        </w:rPr>
        <w:t>As of January 2003, the mutual fund industry comprised 33 distinct funds, collectively Rs. 1,21,805 crores</w:t>
      </w:r>
      <w:r w:rsidR="00110708">
        <w:rPr>
          <w:rFonts w:ascii="Times New Roman" w:hAnsi="Times New Roman" w:cs="Times New Roman"/>
        </w:rPr>
        <w:t xml:space="preserve"> as AUM</w:t>
      </w:r>
      <w:r w:rsidR="001536E6">
        <w:rPr>
          <w:rFonts w:ascii="Times New Roman" w:hAnsi="Times New Roman" w:cs="Times New Roman"/>
        </w:rPr>
        <w:t>,</w:t>
      </w:r>
      <w:r w:rsidR="00110708" w:rsidRPr="00110708">
        <w:rPr>
          <w:rFonts w:ascii="Times New Roman" w:hAnsi="Times New Roman" w:cs="Times New Roman"/>
        </w:rPr>
        <w:t xml:space="preserve"> </w:t>
      </w:r>
      <w:r w:rsidR="001536E6" w:rsidRPr="00110708">
        <w:rPr>
          <w:rFonts w:ascii="Times New Roman" w:hAnsi="Times New Roman" w:cs="Times New Roman"/>
        </w:rPr>
        <w:t>among</w:t>
      </w:r>
      <w:r w:rsidR="00110708" w:rsidRPr="00110708">
        <w:rPr>
          <w:rFonts w:ascii="Times New Roman" w:hAnsi="Times New Roman" w:cs="Times New Roman"/>
        </w:rPr>
        <w:t xml:space="preserve"> these</w:t>
      </w:r>
      <w:r w:rsidR="001536E6">
        <w:rPr>
          <w:rFonts w:ascii="Times New Roman" w:hAnsi="Times New Roman" w:cs="Times New Roman"/>
        </w:rPr>
        <w:t xml:space="preserve"> </w:t>
      </w:r>
      <w:r w:rsidR="00110708" w:rsidRPr="00110708">
        <w:rPr>
          <w:rFonts w:ascii="Times New Roman" w:hAnsi="Times New Roman" w:cs="Times New Roman"/>
        </w:rPr>
        <w:t>the Unit Trust of India held a dominant position, with its assets under management amounting to Rs. 44,541 crores, significantly surpassing other mutual funds</w:t>
      </w:r>
      <w:r w:rsidR="001536E6">
        <w:rPr>
          <w:rFonts w:ascii="Times New Roman" w:hAnsi="Times New Roman" w:cs="Times New Roman"/>
        </w:rPr>
        <w:t xml:space="preserve"> </w:t>
      </w:r>
      <w:r w:rsidR="001536E6" w:rsidRPr="001536E6">
        <w:rPr>
          <w:rFonts w:ascii="Times New Roman" w:hAnsi="Times New Roman" w:cs="Times New Roman"/>
        </w:rPr>
        <w:t>(</w:t>
      </w:r>
      <w:r w:rsidR="001536E6" w:rsidRPr="001536E6">
        <w:rPr>
          <w:rFonts w:ascii="Times New Roman" w:hAnsi="Times New Roman" w:cs="Times New Roman"/>
          <w:i/>
          <w:iCs/>
        </w:rPr>
        <w:t>AMFI</w:t>
      </w:r>
      <w:r w:rsidR="001536E6" w:rsidRPr="001536E6">
        <w:rPr>
          <w:rFonts w:ascii="Times New Roman" w:hAnsi="Times New Roman" w:cs="Times New Roman"/>
        </w:rPr>
        <w:t>, n.d.-b)</w:t>
      </w:r>
      <w:r w:rsidR="00110708" w:rsidRPr="00110708">
        <w:rPr>
          <w:rFonts w:ascii="Times New Roman" w:hAnsi="Times New Roman" w:cs="Times New Roman"/>
        </w:rPr>
        <w:t>.</w:t>
      </w:r>
      <w:r w:rsidR="00110708">
        <w:rPr>
          <w:rFonts w:ascii="Times New Roman" w:hAnsi="Times New Roman" w:cs="Times New Roman"/>
        </w:rPr>
        <w:t xml:space="preserve"> </w:t>
      </w:r>
      <w:r w:rsidR="00110708" w:rsidRPr="00110708">
        <w:rPr>
          <w:rFonts w:ascii="Times New Roman" w:hAnsi="Times New Roman" w:cs="Times New Roman"/>
        </w:rPr>
        <w:t xml:space="preserve">The Assets Under Management of the mutual fund industry in India reached a significant milestone, surpassing Rs 10 lakh crore for the first time on May 31, </w:t>
      </w:r>
      <w:r w:rsidR="005D3229" w:rsidRPr="00110708">
        <w:rPr>
          <w:rFonts w:ascii="Times New Roman" w:hAnsi="Times New Roman" w:cs="Times New Roman"/>
        </w:rPr>
        <w:t>2014,</w:t>
      </w:r>
      <w:r w:rsidR="00110708">
        <w:rPr>
          <w:rFonts w:ascii="Times New Roman" w:hAnsi="Times New Roman" w:cs="Times New Roman"/>
        </w:rPr>
        <w:t xml:space="preserve"> and t</w:t>
      </w:r>
      <w:r w:rsidR="00110708" w:rsidRPr="00110708">
        <w:rPr>
          <w:rFonts w:ascii="Times New Roman" w:hAnsi="Times New Roman" w:cs="Times New Roman"/>
        </w:rPr>
        <w:t>his growth trajectory continued, with the AUM further crossing the Rs 15 lakh crore mark by the end of August 2016</w:t>
      </w:r>
      <w:r w:rsidR="00070BFD">
        <w:rPr>
          <w:rFonts w:ascii="Times New Roman" w:hAnsi="Times New Roman" w:cs="Times New Roman"/>
        </w:rPr>
        <w:t xml:space="preserve"> </w:t>
      </w:r>
      <w:r w:rsidR="00070BFD" w:rsidRPr="001536E6">
        <w:rPr>
          <w:rFonts w:ascii="Times New Roman" w:hAnsi="Times New Roman" w:cs="Times New Roman"/>
        </w:rPr>
        <w:t>(</w:t>
      </w:r>
      <w:r w:rsidR="00070BFD" w:rsidRPr="001536E6">
        <w:rPr>
          <w:rFonts w:ascii="Times New Roman" w:hAnsi="Times New Roman" w:cs="Times New Roman"/>
          <w:i/>
          <w:iCs/>
        </w:rPr>
        <w:t>AMFI</w:t>
      </w:r>
      <w:r w:rsidR="00070BFD" w:rsidRPr="001536E6">
        <w:rPr>
          <w:rFonts w:ascii="Times New Roman" w:hAnsi="Times New Roman" w:cs="Times New Roman"/>
        </w:rPr>
        <w:t>, n.d.-b)</w:t>
      </w:r>
      <w:r w:rsidR="00110708" w:rsidRPr="000460A2">
        <w:rPr>
          <w:rFonts w:ascii="Times New Roman" w:hAnsi="Times New Roman" w:cs="Times New Roman"/>
        </w:rPr>
        <w:t>.</w:t>
      </w:r>
      <w:r w:rsidR="000460A2">
        <w:rPr>
          <w:rFonts w:ascii="Times New Roman" w:hAnsi="Times New Roman" w:cs="Times New Roman"/>
        </w:rPr>
        <w:t xml:space="preserve"> </w:t>
      </w:r>
      <w:r w:rsidR="00FD6E53">
        <w:rPr>
          <w:rFonts w:ascii="Times New Roman" w:hAnsi="Times New Roman" w:cs="Times New Roman"/>
        </w:rPr>
        <w:t>According</w:t>
      </w:r>
      <w:r w:rsidR="00A62661">
        <w:rPr>
          <w:rFonts w:ascii="Times New Roman" w:hAnsi="Times New Roman" w:cs="Times New Roman"/>
        </w:rPr>
        <w:t xml:space="preserve"> to the latest data of AMFI </w:t>
      </w:r>
      <w:r w:rsidR="00A62661" w:rsidRPr="00A62661">
        <w:rPr>
          <w:rFonts w:ascii="Times New Roman" w:hAnsi="Times New Roman" w:cs="Times New Roman"/>
        </w:rPr>
        <w:t>Fiscal year 2024 emerged as one of the strongest periods for the Indian mutual fund industry, with Assets Under Management surging by nearly ₹14 lakh crore</w:t>
      </w:r>
      <w:r w:rsidR="00D67FC8">
        <w:rPr>
          <w:rFonts w:ascii="Times New Roman" w:hAnsi="Times New Roman" w:cs="Times New Roman"/>
        </w:rPr>
        <w:t xml:space="preserve"> </w:t>
      </w:r>
      <w:r w:rsidR="00A62661" w:rsidRPr="00A62661">
        <w:rPr>
          <w:rFonts w:ascii="Times New Roman" w:hAnsi="Times New Roman" w:cs="Times New Roman"/>
        </w:rPr>
        <w:t>reaching an all-time high of ₹53.40 lakh crore in March 2024, up from ₹39.42 lakh crore in March 2023</w:t>
      </w:r>
      <w:r w:rsidR="00070BFD">
        <w:rPr>
          <w:rFonts w:ascii="Times New Roman" w:hAnsi="Times New Roman" w:cs="Times New Roman"/>
        </w:rPr>
        <w:t xml:space="preserve"> and</w:t>
      </w:r>
      <w:r w:rsidR="00A62661" w:rsidRPr="00A62661">
        <w:rPr>
          <w:rFonts w:ascii="Times New Roman" w:hAnsi="Times New Roman" w:cs="Times New Roman"/>
        </w:rPr>
        <w:t xml:space="preserve"> </w:t>
      </w:r>
      <w:r w:rsidR="00070BFD">
        <w:rPr>
          <w:rFonts w:ascii="Times New Roman" w:hAnsi="Times New Roman" w:cs="Times New Roman"/>
        </w:rPr>
        <w:t>a</w:t>
      </w:r>
      <w:r w:rsidR="00A62661" w:rsidRPr="00A62661">
        <w:rPr>
          <w:rFonts w:ascii="Times New Roman" w:hAnsi="Times New Roman" w:cs="Times New Roman"/>
        </w:rPr>
        <w:t>longside the increase in AUM, investor participation also saw a substantial boost, with the number of mutual fund folios climbing to a record 17.78 crore, representing approximately 4.46 crore individual investors</w:t>
      </w:r>
      <w:r w:rsidR="005D3229">
        <w:rPr>
          <w:rFonts w:ascii="Times New Roman" w:hAnsi="Times New Roman" w:cs="Times New Roman"/>
        </w:rPr>
        <w:t xml:space="preserve"> o</w:t>
      </w:r>
      <w:r w:rsidR="00A62661" w:rsidRPr="00A62661">
        <w:rPr>
          <w:rFonts w:ascii="Times New Roman" w:hAnsi="Times New Roman" w:cs="Times New Roman"/>
        </w:rPr>
        <w:t>f the total investor base, women accounted for around 23% of the AUM share, while men held about 77%</w:t>
      </w:r>
      <w:r w:rsidR="00070BFD">
        <w:rPr>
          <w:rFonts w:ascii="Times New Roman" w:hAnsi="Times New Roman" w:cs="Times New Roman"/>
        </w:rPr>
        <w:t>, a</w:t>
      </w:r>
      <w:r w:rsidR="00A62661" w:rsidRPr="00A62661">
        <w:rPr>
          <w:rFonts w:ascii="Times New Roman" w:hAnsi="Times New Roman" w:cs="Times New Roman"/>
        </w:rPr>
        <w:t>dditionally, individual investors made up roughly 60% of the total, with institutional investors comprising the remaining 40%</w:t>
      </w:r>
      <w:r w:rsidR="00FD6E53" w:rsidRPr="00FD6E53">
        <w:rPr>
          <w:rFonts w:ascii="Times New Roman" w:hAnsi="Times New Roman" w:cs="Times New Roman"/>
        </w:rPr>
        <w:t xml:space="preserve"> </w:t>
      </w:r>
      <w:r w:rsidR="00070BFD" w:rsidRPr="00070BFD">
        <w:rPr>
          <w:rFonts w:ascii="Times New Roman" w:hAnsi="Times New Roman" w:cs="Times New Roman"/>
        </w:rPr>
        <w:t>(Association of Mutual Funds in India, 2024)</w:t>
      </w:r>
      <w:r w:rsidR="00070BFD">
        <w:rPr>
          <w:rFonts w:ascii="Times New Roman" w:hAnsi="Times New Roman" w:cs="Times New Roman"/>
        </w:rPr>
        <w:t>.</w:t>
      </w:r>
    </w:p>
    <w:p w14:paraId="549D0104" w14:textId="77777777" w:rsidR="006A6232" w:rsidRDefault="006A6232" w:rsidP="007253A5">
      <w:pPr>
        <w:jc w:val="both"/>
        <w:rPr>
          <w:rFonts w:ascii="Times New Roman" w:hAnsi="Times New Roman" w:cs="Times New Roman"/>
        </w:rPr>
      </w:pPr>
    </w:p>
    <w:p w14:paraId="069998B7" w14:textId="77777777" w:rsidR="006A6232" w:rsidRDefault="006A6232" w:rsidP="007253A5">
      <w:pPr>
        <w:jc w:val="both"/>
        <w:rPr>
          <w:rFonts w:ascii="Times New Roman" w:hAnsi="Times New Roman" w:cs="Times New Roman"/>
        </w:rPr>
      </w:pPr>
    </w:p>
    <w:p w14:paraId="38A0F393" w14:textId="64DD456A" w:rsidR="005E1F0B" w:rsidRDefault="005E1F0B" w:rsidP="007253A5">
      <w:pPr>
        <w:jc w:val="both"/>
        <w:rPr>
          <w:rFonts w:ascii="Times New Roman" w:hAnsi="Times New Roman" w:cs="Times New Roman"/>
          <w:b/>
          <w:bCs/>
        </w:rPr>
      </w:pPr>
      <w:r w:rsidRPr="005E1F0B">
        <w:rPr>
          <w:rFonts w:ascii="Times New Roman" w:hAnsi="Times New Roman" w:cs="Times New Roman"/>
          <w:b/>
          <w:bCs/>
        </w:rPr>
        <w:t xml:space="preserve">REVIEW OF LITREATURE: </w:t>
      </w:r>
    </w:p>
    <w:p w14:paraId="4C9FBF2B" w14:textId="30CD38E6" w:rsidR="00C9588A" w:rsidRDefault="00FD6CAE" w:rsidP="00FD6CAE">
      <w:pPr>
        <w:jc w:val="both"/>
        <w:rPr>
          <w:rFonts w:ascii="Times New Roman" w:hAnsi="Times New Roman" w:cs="Times New Roman"/>
        </w:rPr>
      </w:pPr>
      <w:r w:rsidRPr="00507420">
        <w:rPr>
          <w:rFonts w:ascii="Times New Roman" w:hAnsi="Times New Roman" w:cs="Times New Roman"/>
          <w:b/>
          <w:bCs/>
        </w:rPr>
        <w:t>Deb (2025)</w:t>
      </w:r>
      <w:r>
        <w:rPr>
          <w:rFonts w:ascii="Times New Roman" w:hAnsi="Times New Roman" w:cs="Times New Roman"/>
          <w:b/>
          <w:bCs/>
        </w:rPr>
        <w:t xml:space="preserve">: </w:t>
      </w:r>
      <w:r w:rsidR="00C9588A" w:rsidRPr="00C9588A">
        <w:rPr>
          <w:rFonts w:ascii="Times New Roman" w:hAnsi="Times New Roman" w:cs="Times New Roman"/>
        </w:rPr>
        <w:t>This study reveals that Indian mutual fund industry has experienced strong expansion</w:t>
      </w:r>
      <w:r w:rsidR="00F97143">
        <w:rPr>
          <w:rFonts w:ascii="Times New Roman" w:hAnsi="Times New Roman" w:cs="Times New Roman"/>
        </w:rPr>
        <w:t xml:space="preserve"> which is </w:t>
      </w:r>
      <w:r w:rsidR="00C9588A" w:rsidRPr="00C9588A">
        <w:rPr>
          <w:rFonts w:ascii="Times New Roman" w:hAnsi="Times New Roman" w:cs="Times New Roman"/>
        </w:rPr>
        <w:t xml:space="preserve">fuelled by rising investor awareness and advancements in digital platforms. Mutual funds play </w:t>
      </w:r>
      <w:r w:rsidR="005B67AB" w:rsidRPr="00C9588A">
        <w:rPr>
          <w:rFonts w:ascii="Times New Roman" w:hAnsi="Times New Roman" w:cs="Times New Roman"/>
        </w:rPr>
        <w:t>an</w:t>
      </w:r>
      <w:r w:rsidR="00C9588A" w:rsidRPr="00C9588A">
        <w:rPr>
          <w:rFonts w:ascii="Times New Roman" w:hAnsi="Times New Roman" w:cs="Times New Roman"/>
        </w:rPr>
        <w:t xml:space="preserve"> </w:t>
      </w:r>
      <w:r w:rsidR="00F97143" w:rsidRPr="00C9588A">
        <w:rPr>
          <w:rFonts w:ascii="Times New Roman" w:hAnsi="Times New Roman" w:cs="Times New Roman"/>
        </w:rPr>
        <w:t>essential</w:t>
      </w:r>
      <w:r w:rsidR="00C9588A" w:rsidRPr="00C9588A">
        <w:rPr>
          <w:rFonts w:ascii="Times New Roman" w:hAnsi="Times New Roman" w:cs="Times New Roman"/>
        </w:rPr>
        <w:t xml:space="preserve"> role in channelizing household savings, with Assets Under </w:t>
      </w:r>
      <w:r w:rsidR="00C9588A" w:rsidRPr="00C9588A">
        <w:rPr>
          <w:rFonts w:ascii="Times New Roman" w:hAnsi="Times New Roman" w:cs="Times New Roman"/>
        </w:rPr>
        <w:lastRenderedPageBreak/>
        <w:t>Management showing substantial growth. While equity funds deliver long-term returns of around 10–20%, debt and hybrid funds provide stability with 6–12% yields. Compared to traditional investments like NPS or post office schemes, mutual funds offer superior long-term wealth creation opportunities, making them a significant vehicle for diversified investment in India.</w:t>
      </w:r>
    </w:p>
    <w:p w14:paraId="1A055E77" w14:textId="61CE910E" w:rsidR="00FD6CAE" w:rsidRDefault="00FD6CAE" w:rsidP="00FD6CAE">
      <w:pPr>
        <w:jc w:val="both"/>
        <w:rPr>
          <w:rFonts w:ascii="Times New Roman" w:hAnsi="Times New Roman" w:cs="Times New Roman"/>
        </w:rPr>
      </w:pPr>
      <w:r w:rsidRPr="00FD6CAE">
        <w:rPr>
          <w:rFonts w:ascii="Times New Roman" w:hAnsi="Times New Roman" w:cs="Times New Roman"/>
          <w:b/>
          <w:bCs/>
        </w:rPr>
        <w:t xml:space="preserve">Kumar, S., &amp; Singh, M. (2025): </w:t>
      </w:r>
      <w:r w:rsidRPr="00FD6CAE">
        <w:rPr>
          <w:rFonts w:ascii="Times New Roman" w:hAnsi="Times New Roman" w:cs="Times New Roman"/>
        </w:rPr>
        <w:t>Their study reveals that</w:t>
      </w:r>
      <w:r w:rsidRPr="00FD6CAE">
        <w:rPr>
          <w:rFonts w:ascii="Times New Roman" w:hAnsi="Times New Roman" w:cs="Times New Roman"/>
          <w:b/>
          <w:bCs/>
        </w:rPr>
        <w:t xml:space="preserve"> </w:t>
      </w:r>
      <w:r w:rsidRPr="00FD6CAE">
        <w:rPr>
          <w:rFonts w:ascii="Times New Roman" w:hAnsi="Times New Roman" w:cs="Times New Roman"/>
        </w:rPr>
        <w:t>based on an analysis of Indian equity funds, funds generally fail to generate abnormal returns, and that common strategies like size, value, and momentum are ineffective. However, the funds do show significant and consistent performance persistence over short, medium, and long-term periods. This persistence is confirmed by various statistical tests and is consistent across different financial models, indicating that a fund's past performance is a reliable indicator of its future performance, despite its inability to consistently beat the market.</w:t>
      </w:r>
    </w:p>
    <w:p w14:paraId="55EB02FB" w14:textId="69110139" w:rsidR="00DB6C01" w:rsidRDefault="00DB6C01" w:rsidP="00DB6C01">
      <w:pPr>
        <w:jc w:val="both"/>
        <w:rPr>
          <w:rFonts w:ascii="Times New Roman" w:hAnsi="Times New Roman" w:cs="Times New Roman"/>
        </w:rPr>
      </w:pPr>
      <w:proofErr w:type="spellStart"/>
      <w:r w:rsidRPr="00DB6C01">
        <w:rPr>
          <w:rFonts w:ascii="Times New Roman" w:hAnsi="Times New Roman" w:cs="Times New Roman"/>
          <w:b/>
          <w:bCs/>
        </w:rPr>
        <w:t>Sethy</w:t>
      </w:r>
      <w:proofErr w:type="spellEnd"/>
      <w:r w:rsidRPr="00DB6C01">
        <w:rPr>
          <w:rFonts w:ascii="Times New Roman" w:hAnsi="Times New Roman" w:cs="Times New Roman"/>
          <w:b/>
          <w:bCs/>
        </w:rPr>
        <w:t xml:space="preserve"> and </w:t>
      </w:r>
      <w:proofErr w:type="spellStart"/>
      <w:r w:rsidRPr="00DB6C01">
        <w:rPr>
          <w:rFonts w:ascii="Times New Roman" w:hAnsi="Times New Roman" w:cs="Times New Roman"/>
          <w:b/>
          <w:bCs/>
        </w:rPr>
        <w:t>Ginoria</w:t>
      </w:r>
      <w:proofErr w:type="spellEnd"/>
      <w:r w:rsidRPr="00DB6C01">
        <w:rPr>
          <w:rFonts w:ascii="Times New Roman" w:hAnsi="Times New Roman" w:cs="Times New Roman"/>
          <w:b/>
          <w:bCs/>
        </w:rPr>
        <w:t xml:space="preserve"> (2025): </w:t>
      </w:r>
      <w:r w:rsidRPr="00DB6C01">
        <w:rPr>
          <w:rFonts w:ascii="Times New Roman" w:hAnsi="Times New Roman" w:cs="Times New Roman"/>
        </w:rPr>
        <w:t>Their study show that retail investors increasingly choose mutual funds for professional management and diversification, but many still lack clarity on the differences among equity, debt, and hybrid schemes. Income, education, past performance, and trust in fund managers strongly influence investment decisions, while digital platforms and clear regulations help build confidence and participation.</w:t>
      </w:r>
    </w:p>
    <w:p w14:paraId="11D9B416" w14:textId="00579495" w:rsidR="006118A7" w:rsidRDefault="006118A7" w:rsidP="00DB6C01">
      <w:pPr>
        <w:jc w:val="both"/>
        <w:rPr>
          <w:rFonts w:ascii="Times New Roman" w:hAnsi="Times New Roman" w:cs="Times New Roman"/>
          <w:b/>
          <w:bCs/>
        </w:rPr>
      </w:pPr>
      <w:r w:rsidRPr="006118A7">
        <w:rPr>
          <w:rFonts w:ascii="Times New Roman" w:hAnsi="Times New Roman" w:cs="Times New Roman"/>
          <w:b/>
          <w:bCs/>
        </w:rPr>
        <w:t xml:space="preserve">B and R (2025): </w:t>
      </w:r>
      <w:r w:rsidRPr="006118A7">
        <w:rPr>
          <w:rFonts w:ascii="Times New Roman" w:hAnsi="Times New Roman" w:cs="Times New Roman"/>
        </w:rPr>
        <w:t>The study demonstrates how modern analytical tools, especially Python, can help retail investors build data-driven mutual fund portfolios using modern portfolio theory. By applying measures like the Sharpe and Sortino ratios, the research shows that diversified portfolios can achieve better risk-return outcomes, highlighting the value of technology in practical investment decision-making</w:t>
      </w:r>
      <w:r w:rsidRPr="006118A7">
        <w:rPr>
          <w:rFonts w:ascii="Times New Roman" w:hAnsi="Times New Roman" w:cs="Times New Roman"/>
          <w:b/>
          <w:bCs/>
        </w:rPr>
        <w:t>.</w:t>
      </w:r>
    </w:p>
    <w:p w14:paraId="35E3246B" w14:textId="2D706025" w:rsidR="000602AA" w:rsidRPr="006118A7" w:rsidRDefault="000602AA" w:rsidP="00DB6C01">
      <w:pPr>
        <w:jc w:val="both"/>
        <w:rPr>
          <w:rFonts w:ascii="Times New Roman" w:hAnsi="Times New Roman" w:cs="Times New Roman"/>
          <w:b/>
          <w:bCs/>
        </w:rPr>
      </w:pPr>
      <w:r w:rsidRPr="000602AA">
        <w:rPr>
          <w:rFonts w:ascii="Times New Roman" w:hAnsi="Times New Roman" w:cs="Times New Roman"/>
          <w:b/>
          <w:bCs/>
        </w:rPr>
        <w:t>Deb (2025</w:t>
      </w:r>
      <w:r w:rsidRPr="000602AA">
        <w:rPr>
          <w:rFonts w:ascii="Times New Roman" w:hAnsi="Times New Roman" w:cs="Times New Roman"/>
        </w:rPr>
        <w:t xml:space="preserve">):  </w:t>
      </w:r>
      <w:r>
        <w:rPr>
          <w:rFonts w:ascii="Times New Roman" w:hAnsi="Times New Roman" w:cs="Times New Roman"/>
        </w:rPr>
        <w:t>This r</w:t>
      </w:r>
      <w:r w:rsidRPr="000602AA">
        <w:rPr>
          <w:rFonts w:ascii="Times New Roman" w:hAnsi="Times New Roman" w:cs="Times New Roman"/>
        </w:rPr>
        <w:t>esearch shows that mutual funds in India have grown rapidly, with rising AUM and strong returns across equity, hybrid, and debt categories. Compared to traditional options like PPF, NPS, and post office schemes, mutual funds generally offer higher long-term returns, especially for investors willing to accept more risk, making them an increasingly attractive investment choice.</w:t>
      </w:r>
    </w:p>
    <w:p w14:paraId="0EAE9944" w14:textId="77777777" w:rsidR="000602AA" w:rsidRDefault="00FD6CAE" w:rsidP="007253A5">
      <w:pPr>
        <w:jc w:val="both"/>
        <w:rPr>
          <w:rFonts w:ascii="Times New Roman" w:hAnsi="Times New Roman" w:cs="Times New Roman"/>
        </w:rPr>
      </w:pPr>
      <w:r w:rsidRPr="0089068F">
        <w:rPr>
          <w:rFonts w:ascii="Times New Roman" w:hAnsi="Times New Roman" w:cs="Times New Roman"/>
          <w:b/>
          <w:bCs/>
        </w:rPr>
        <w:t>Kavya, M. M., &amp; Prakash, C. (2024)</w:t>
      </w:r>
      <w:r>
        <w:rPr>
          <w:rFonts w:ascii="Times New Roman" w:hAnsi="Times New Roman" w:cs="Times New Roman"/>
          <w:b/>
          <w:bCs/>
        </w:rPr>
        <w:t xml:space="preserve">: </w:t>
      </w:r>
      <w:r w:rsidR="00F97143" w:rsidRPr="00F97143">
        <w:rPr>
          <w:rFonts w:ascii="Times New Roman" w:hAnsi="Times New Roman" w:cs="Times New Roman"/>
        </w:rPr>
        <w:t>The study indicates that India’s mutual fund industry has expanded notably, with Assets Under Management rising from ₹10.11 trillion in 2014 to ₹58.91 trillion by May 2024. Most investors, mainly males aged 40–50, continue to prefer traditional options such as fixed deposits and real estate. They favour debt funds and open-ended schemes for regular income, typically opting for lump-sum investments and short-term horizons focused on quarterly returns. ICICI Prudential remains the preferred fund house, with investment decisions largely influenced by family and friends, reflecting evolving investor behaviour and market trends.</w:t>
      </w:r>
    </w:p>
    <w:p w14:paraId="04ACD343" w14:textId="6EF6D74D" w:rsidR="00DB6C01" w:rsidRPr="00F97143" w:rsidRDefault="00DB6C01" w:rsidP="007253A5">
      <w:pPr>
        <w:jc w:val="both"/>
        <w:rPr>
          <w:rFonts w:ascii="Times New Roman" w:hAnsi="Times New Roman" w:cs="Times New Roman"/>
        </w:rPr>
      </w:pPr>
      <w:r w:rsidRPr="00DB6C01">
        <w:rPr>
          <w:rFonts w:ascii="Times New Roman" w:hAnsi="Times New Roman" w:cs="Times New Roman"/>
          <w:b/>
          <w:bCs/>
        </w:rPr>
        <w:t xml:space="preserve">Natikar (2023): </w:t>
      </w:r>
      <w:r>
        <w:rPr>
          <w:rFonts w:ascii="Times New Roman" w:hAnsi="Times New Roman" w:cs="Times New Roman"/>
        </w:rPr>
        <w:t>The r</w:t>
      </w:r>
      <w:r w:rsidRPr="00DB6C01">
        <w:rPr>
          <w:rFonts w:ascii="Times New Roman" w:hAnsi="Times New Roman" w:cs="Times New Roman"/>
        </w:rPr>
        <w:t>esearch shows that mutual funds are viewed positively by investors due to diversification, lower risk, and ease of investment. Investor attitudes are shaped by demographic factors and preferences related to brands, investment channels, and fund types. Overall, mutual funds are considered more efficient and attractive compared to traditional options like shares, fixed deposits, and postal schemes.</w:t>
      </w:r>
    </w:p>
    <w:p w14:paraId="7A6D51C0" w14:textId="638E2526" w:rsidR="00FD6CAE" w:rsidRDefault="00653A1C" w:rsidP="001D2659">
      <w:pPr>
        <w:jc w:val="both"/>
        <w:rPr>
          <w:rFonts w:ascii="Times New Roman" w:hAnsi="Times New Roman" w:cs="Times New Roman"/>
        </w:rPr>
      </w:pPr>
      <w:r w:rsidRPr="00653A1C">
        <w:rPr>
          <w:rFonts w:ascii="Times New Roman" w:hAnsi="Times New Roman" w:cs="Times New Roman"/>
          <w:b/>
          <w:bCs/>
        </w:rPr>
        <w:lastRenderedPageBreak/>
        <w:t>Vidal-García and Vidal (2016):</w:t>
      </w:r>
      <w:r>
        <w:rPr>
          <w:rFonts w:ascii="Times New Roman" w:hAnsi="Times New Roman" w:cs="Times New Roman"/>
        </w:rPr>
        <w:t xml:space="preserve"> </w:t>
      </w:r>
      <w:r w:rsidR="00FD6CAE" w:rsidRPr="00782ECE">
        <w:rPr>
          <w:rFonts w:ascii="Times New Roman" w:hAnsi="Times New Roman" w:cs="Times New Roman"/>
        </w:rPr>
        <w:t>Their</w:t>
      </w:r>
      <w:r w:rsidR="00FD6CAE">
        <w:rPr>
          <w:rFonts w:ascii="Times New Roman" w:hAnsi="Times New Roman" w:cs="Times New Roman"/>
          <w:b/>
          <w:bCs/>
        </w:rPr>
        <w:t xml:space="preserve"> </w:t>
      </w:r>
      <w:r w:rsidR="00FD6CAE" w:rsidRPr="00782ECE">
        <w:rPr>
          <w:rFonts w:ascii="Times New Roman" w:hAnsi="Times New Roman" w:cs="Times New Roman"/>
        </w:rPr>
        <w:t>Research indicates a negative relationship between mutual fund size and short-term performance, a concept known as "diseconomies of scale." Smaller mutual funds demonstrate superior stock-picking skills, while larger funds are better at market timing. As successful small funds attract more investment and grow in size, their expense ratios tend to increase, and their ability to outperform decreases. This pattern suggests a life cycle for mutual funds, where high-performing small funds transition into larger, less profitable ones.</w:t>
      </w:r>
    </w:p>
    <w:p w14:paraId="4EE63666" w14:textId="0F8481AB" w:rsidR="00FD6CAE" w:rsidRDefault="00FD6CAE" w:rsidP="001D2659">
      <w:pPr>
        <w:jc w:val="both"/>
        <w:rPr>
          <w:rFonts w:ascii="Times New Roman" w:hAnsi="Times New Roman" w:cs="Times New Roman"/>
        </w:rPr>
      </w:pPr>
      <w:r w:rsidRPr="00FD6CAE">
        <w:rPr>
          <w:rFonts w:ascii="Times New Roman" w:hAnsi="Times New Roman" w:cs="Times New Roman"/>
          <w:b/>
          <w:bCs/>
        </w:rPr>
        <w:t>Goel, S., &amp; Kumar, P. (2024)</w:t>
      </w:r>
      <w:r>
        <w:rPr>
          <w:rFonts w:ascii="Times New Roman" w:hAnsi="Times New Roman" w:cs="Times New Roman"/>
          <w:b/>
          <w:bCs/>
        </w:rPr>
        <w:t xml:space="preserve">: </w:t>
      </w:r>
      <w:r w:rsidR="006A59E5" w:rsidRPr="006A59E5">
        <w:rPr>
          <w:rFonts w:ascii="Times New Roman" w:hAnsi="Times New Roman" w:cs="Times New Roman"/>
        </w:rPr>
        <w:t>The</w:t>
      </w:r>
      <w:r w:rsidR="006A59E5">
        <w:rPr>
          <w:rFonts w:ascii="Times New Roman" w:hAnsi="Times New Roman" w:cs="Times New Roman"/>
        </w:rPr>
        <w:t>ir study found that</w:t>
      </w:r>
      <w:r w:rsidR="006A59E5" w:rsidRPr="006A59E5">
        <w:rPr>
          <w:rFonts w:ascii="Times New Roman" w:hAnsi="Times New Roman" w:cs="Times New Roman"/>
        </w:rPr>
        <w:t xml:space="preserve"> Indian mutual fund industry has experienced exceptional expansion, with its Assets Under Management rising nearly fortyfold since 2000. After a slowdown post the 2008 financial crisis, growth accelerated from 2014, as AUM increased from about ₹10 lakh crore to over ₹74 lakh crore by June 2025. Driven largely by retail participation, India now ranks as the 16th largest mutual fund market globally. However, with an AUM-to-GDP ratio of just 18.2%</w:t>
      </w:r>
      <w:r w:rsidR="006A59E5">
        <w:rPr>
          <w:rFonts w:ascii="Times New Roman" w:hAnsi="Times New Roman" w:cs="Times New Roman"/>
        </w:rPr>
        <w:t xml:space="preserve"> </w:t>
      </w:r>
      <w:r w:rsidR="006A59E5" w:rsidRPr="006A59E5">
        <w:rPr>
          <w:rFonts w:ascii="Times New Roman" w:hAnsi="Times New Roman" w:cs="Times New Roman"/>
        </w:rPr>
        <w:t>well below the global average of 63%</w:t>
      </w:r>
      <w:r w:rsidR="006A59E5">
        <w:rPr>
          <w:rFonts w:ascii="Times New Roman" w:hAnsi="Times New Roman" w:cs="Times New Roman"/>
        </w:rPr>
        <w:t xml:space="preserve"> </w:t>
      </w:r>
      <w:r w:rsidR="006A59E5" w:rsidRPr="006A59E5">
        <w:rPr>
          <w:rFonts w:ascii="Times New Roman" w:hAnsi="Times New Roman" w:cs="Times New Roman"/>
        </w:rPr>
        <w:t>the sector still holds vast growth potential, supported by favourable demographics, financial awareness, and digital innovation.</w:t>
      </w:r>
    </w:p>
    <w:p w14:paraId="3D0FCA5E" w14:textId="64935352" w:rsidR="00B5028F" w:rsidRDefault="00B5028F" w:rsidP="00B5028F">
      <w:pPr>
        <w:jc w:val="both"/>
        <w:rPr>
          <w:rFonts w:ascii="Times New Roman" w:hAnsi="Times New Roman" w:cs="Times New Roman"/>
        </w:rPr>
      </w:pPr>
      <w:proofErr w:type="spellStart"/>
      <w:r w:rsidRPr="00B5028F">
        <w:rPr>
          <w:rFonts w:ascii="Times New Roman" w:hAnsi="Times New Roman" w:cs="Times New Roman"/>
          <w:b/>
          <w:bCs/>
        </w:rPr>
        <w:t>Galloppo</w:t>
      </w:r>
      <w:proofErr w:type="spellEnd"/>
      <w:r w:rsidRPr="00B5028F">
        <w:rPr>
          <w:rFonts w:ascii="Times New Roman" w:hAnsi="Times New Roman" w:cs="Times New Roman"/>
          <w:b/>
          <w:bCs/>
        </w:rPr>
        <w:t xml:space="preserve"> et al. (2024)</w:t>
      </w:r>
      <w:r>
        <w:rPr>
          <w:rFonts w:ascii="Times New Roman" w:hAnsi="Times New Roman" w:cs="Times New Roman"/>
          <w:b/>
          <w:bCs/>
        </w:rPr>
        <w:t xml:space="preserve">: </w:t>
      </w:r>
      <w:r w:rsidRPr="00B5028F">
        <w:rPr>
          <w:rFonts w:ascii="Times New Roman" w:hAnsi="Times New Roman" w:cs="Times New Roman"/>
        </w:rPr>
        <w:t>Th</w:t>
      </w:r>
      <w:r>
        <w:rPr>
          <w:rFonts w:ascii="Times New Roman" w:hAnsi="Times New Roman" w:cs="Times New Roman"/>
        </w:rPr>
        <w:t>is</w:t>
      </w:r>
      <w:r w:rsidRPr="00B5028F">
        <w:rPr>
          <w:rFonts w:ascii="Times New Roman" w:hAnsi="Times New Roman" w:cs="Times New Roman"/>
        </w:rPr>
        <w:t xml:space="preserve"> study findings show that investor preferences strongly shape return–flow dynamics across asset types, regions, and management styles, revealing distinct behavioural patterns. A long-term positive relationship between past returns and fund inflows supports the “smart money” effect, while evidence of investors pursuing poor performers suggests herding tendencies or short-term inefficiencies in market allocation.</w:t>
      </w:r>
    </w:p>
    <w:p w14:paraId="01B57ED9" w14:textId="445EF5AE" w:rsidR="00774BE1" w:rsidRDefault="00774BE1" w:rsidP="001D2659">
      <w:pPr>
        <w:jc w:val="both"/>
        <w:rPr>
          <w:rFonts w:ascii="Times New Roman" w:hAnsi="Times New Roman" w:cs="Times New Roman"/>
        </w:rPr>
      </w:pPr>
      <w:r w:rsidRPr="00774BE1">
        <w:rPr>
          <w:rFonts w:ascii="Times New Roman" w:hAnsi="Times New Roman" w:cs="Times New Roman"/>
          <w:b/>
          <w:bCs/>
        </w:rPr>
        <w:t xml:space="preserve">Shahi (2024): </w:t>
      </w:r>
      <w:r w:rsidRPr="00774BE1">
        <w:rPr>
          <w:rFonts w:ascii="Times New Roman" w:hAnsi="Times New Roman" w:cs="Times New Roman"/>
        </w:rPr>
        <w:t xml:space="preserve">This paper </w:t>
      </w:r>
      <w:r>
        <w:rPr>
          <w:rFonts w:ascii="Times New Roman" w:hAnsi="Times New Roman" w:cs="Times New Roman"/>
        </w:rPr>
        <w:t>focuses on</w:t>
      </w:r>
      <w:r w:rsidRPr="00774BE1">
        <w:rPr>
          <w:rFonts w:ascii="Times New Roman" w:hAnsi="Times New Roman" w:cs="Times New Roman"/>
        </w:rPr>
        <w:t xml:space="preserve"> the dynamics of investor behaviour within the mutual fund landscape, examining factors such as risk appetite, financial goals, and market conditions. </w:t>
      </w:r>
      <w:r>
        <w:rPr>
          <w:rFonts w:ascii="Times New Roman" w:hAnsi="Times New Roman" w:cs="Times New Roman"/>
        </w:rPr>
        <w:t>By u</w:t>
      </w:r>
      <w:r w:rsidRPr="00774BE1">
        <w:rPr>
          <w:rFonts w:ascii="Times New Roman" w:hAnsi="Times New Roman" w:cs="Times New Roman"/>
        </w:rPr>
        <w:t xml:space="preserve">sing </w:t>
      </w:r>
      <w:r>
        <w:rPr>
          <w:rFonts w:ascii="Times New Roman" w:hAnsi="Times New Roman" w:cs="Times New Roman"/>
        </w:rPr>
        <w:t xml:space="preserve">the </w:t>
      </w:r>
      <w:r w:rsidRPr="00774BE1">
        <w:rPr>
          <w:rFonts w:ascii="Times New Roman" w:hAnsi="Times New Roman" w:cs="Times New Roman"/>
        </w:rPr>
        <w:t>real-world data, it analyses how investors react to market shifts and how cognitive biases and herd behaviour influence fund performance. The study concludes that understanding these psychological and contextual elements can enhance investment decisions, improve portfolio outcomes, and build investor confidence.</w:t>
      </w:r>
    </w:p>
    <w:p w14:paraId="0B84549A" w14:textId="39C95E2C" w:rsidR="006118A7" w:rsidRDefault="006118A7" w:rsidP="001D2659">
      <w:pPr>
        <w:jc w:val="both"/>
        <w:rPr>
          <w:rFonts w:ascii="Times New Roman" w:hAnsi="Times New Roman" w:cs="Times New Roman"/>
        </w:rPr>
      </w:pPr>
      <w:r w:rsidRPr="006118A7">
        <w:rPr>
          <w:rFonts w:ascii="Times New Roman" w:hAnsi="Times New Roman" w:cs="Times New Roman"/>
          <w:b/>
          <w:bCs/>
        </w:rPr>
        <w:t xml:space="preserve">Savita (2024): </w:t>
      </w:r>
      <w:r w:rsidRPr="006118A7">
        <w:rPr>
          <w:rFonts w:ascii="Times New Roman" w:hAnsi="Times New Roman" w:cs="Times New Roman"/>
        </w:rPr>
        <w:t>This paper show</w:t>
      </w:r>
      <w:r>
        <w:rPr>
          <w:rFonts w:ascii="Times New Roman" w:hAnsi="Times New Roman" w:cs="Times New Roman"/>
          <w:b/>
          <w:bCs/>
        </w:rPr>
        <w:t xml:space="preserve"> </w:t>
      </w:r>
      <w:r w:rsidRPr="006118A7">
        <w:rPr>
          <w:rFonts w:ascii="Times New Roman" w:hAnsi="Times New Roman" w:cs="Times New Roman"/>
        </w:rPr>
        <w:t>that</w:t>
      </w:r>
      <w:r>
        <w:rPr>
          <w:rFonts w:ascii="Times New Roman" w:hAnsi="Times New Roman" w:cs="Times New Roman"/>
          <w:b/>
          <w:bCs/>
        </w:rPr>
        <w:t xml:space="preserve"> </w:t>
      </w:r>
      <w:r w:rsidRPr="006118A7">
        <w:rPr>
          <w:rFonts w:ascii="Times New Roman" w:hAnsi="Times New Roman" w:cs="Times New Roman"/>
        </w:rPr>
        <w:t>Mutual funds have become a key investment option in India, offering lower risk and diversified returns for individuals. Studies show that most investors prefer open-ended schemes with moderate risk, but greater financial awareness</w:t>
      </w:r>
      <w:r>
        <w:rPr>
          <w:rFonts w:ascii="Times New Roman" w:hAnsi="Times New Roman" w:cs="Times New Roman"/>
        </w:rPr>
        <w:t xml:space="preserve"> </w:t>
      </w:r>
      <w:r w:rsidRPr="006118A7">
        <w:rPr>
          <w:rFonts w:ascii="Times New Roman" w:hAnsi="Times New Roman" w:cs="Times New Roman"/>
        </w:rPr>
        <w:t>especially among women and youth</w:t>
      </w:r>
      <w:r>
        <w:rPr>
          <w:rFonts w:ascii="Times New Roman" w:hAnsi="Times New Roman" w:cs="Times New Roman"/>
        </w:rPr>
        <w:t xml:space="preserve"> </w:t>
      </w:r>
      <w:r w:rsidRPr="006118A7">
        <w:rPr>
          <w:rFonts w:ascii="Times New Roman" w:hAnsi="Times New Roman" w:cs="Times New Roman"/>
        </w:rPr>
        <w:t>is needed to expand participation. Overall, mutual funds continue to grow by offering varied products, investor education, and professional fund management.</w:t>
      </w:r>
    </w:p>
    <w:p w14:paraId="1D177843" w14:textId="570CB579" w:rsidR="000602AA" w:rsidRPr="006118A7" w:rsidRDefault="000602AA" w:rsidP="001D2659">
      <w:pPr>
        <w:jc w:val="both"/>
        <w:rPr>
          <w:rFonts w:ascii="Times New Roman" w:hAnsi="Times New Roman" w:cs="Times New Roman"/>
          <w:b/>
          <w:bCs/>
        </w:rPr>
      </w:pPr>
      <w:proofErr w:type="spellStart"/>
      <w:r w:rsidRPr="000602AA">
        <w:rPr>
          <w:rFonts w:ascii="Times New Roman" w:hAnsi="Times New Roman" w:cs="Times New Roman"/>
          <w:b/>
          <w:bCs/>
        </w:rPr>
        <w:t>Aaluri</w:t>
      </w:r>
      <w:proofErr w:type="spellEnd"/>
      <w:r w:rsidRPr="000602AA">
        <w:rPr>
          <w:rFonts w:ascii="Times New Roman" w:hAnsi="Times New Roman" w:cs="Times New Roman"/>
          <w:b/>
          <w:bCs/>
        </w:rPr>
        <w:t xml:space="preserve"> et al. (2024)</w:t>
      </w:r>
      <w:r>
        <w:rPr>
          <w:rFonts w:ascii="Times New Roman" w:hAnsi="Times New Roman" w:cs="Times New Roman"/>
          <w:b/>
          <w:bCs/>
        </w:rPr>
        <w:t xml:space="preserve">: </w:t>
      </w:r>
      <w:r w:rsidRPr="000602AA">
        <w:rPr>
          <w:rFonts w:ascii="Times New Roman" w:hAnsi="Times New Roman" w:cs="Times New Roman"/>
        </w:rPr>
        <w:t>Their</w:t>
      </w:r>
      <w:r>
        <w:rPr>
          <w:rFonts w:ascii="Times New Roman" w:hAnsi="Times New Roman" w:cs="Times New Roman"/>
          <w:b/>
          <w:bCs/>
        </w:rPr>
        <w:t xml:space="preserve"> </w:t>
      </w:r>
      <w:r>
        <w:rPr>
          <w:rFonts w:ascii="Times New Roman" w:hAnsi="Times New Roman" w:cs="Times New Roman"/>
        </w:rPr>
        <w:t>s</w:t>
      </w:r>
      <w:r w:rsidRPr="000602AA">
        <w:rPr>
          <w:rFonts w:ascii="Times New Roman" w:hAnsi="Times New Roman" w:cs="Times New Roman"/>
        </w:rPr>
        <w:t>tudies show a significant long-term relationship between mutual fund flows and equity market performance in India. Using econometric analysis, researchers find that mutual fund contributions and redemptions influence market growth and returns, indicating that mutual funds play an important role in shaping equity market trends. Further research is recommended to examine financial factors affecting this relationship</w:t>
      </w:r>
      <w:r w:rsidRPr="000602AA">
        <w:rPr>
          <w:rFonts w:ascii="Times New Roman" w:hAnsi="Times New Roman" w:cs="Times New Roman"/>
          <w:b/>
          <w:bCs/>
        </w:rPr>
        <w:t>.</w:t>
      </w:r>
    </w:p>
    <w:p w14:paraId="70C1C670" w14:textId="0A1C7B5E" w:rsidR="00FD6CAE" w:rsidRPr="00774BE1" w:rsidRDefault="00FD6CAE" w:rsidP="001D2659">
      <w:pPr>
        <w:jc w:val="both"/>
        <w:rPr>
          <w:b/>
          <w:bCs/>
        </w:rPr>
      </w:pPr>
      <w:r w:rsidRPr="00F142CF">
        <w:rPr>
          <w:rFonts w:ascii="Times New Roman" w:hAnsi="Times New Roman" w:cs="Times New Roman"/>
          <w:b/>
          <w:bCs/>
        </w:rPr>
        <w:t>Malhotra, P., &amp; Sinha, P. (2022</w:t>
      </w:r>
      <w:r>
        <w:rPr>
          <w:rFonts w:ascii="Times New Roman" w:hAnsi="Times New Roman" w:cs="Times New Roman"/>
          <w:b/>
          <w:bCs/>
        </w:rPr>
        <w:t xml:space="preserve">): </w:t>
      </w:r>
      <w:r w:rsidR="00EF4158" w:rsidRPr="00EF4158">
        <w:rPr>
          <w:rFonts w:ascii="Times New Roman" w:hAnsi="Times New Roman" w:cs="Times New Roman"/>
        </w:rPr>
        <w:t>The</w:t>
      </w:r>
      <w:r w:rsidR="00EF4158">
        <w:rPr>
          <w:rFonts w:ascii="Times New Roman" w:hAnsi="Times New Roman" w:cs="Times New Roman"/>
        </w:rPr>
        <w:t>ir study</w:t>
      </w:r>
      <w:r w:rsidR="00EF4158" w:rsidRPr="00EF4158">
        <w:rPr>
          <w:rFonts w:ascii="Times New Roman" w:hAnsi="Times New Roman" w:cs="Times New Roman"/>
        </w:rPr>
        <w:t xml:space="preserve"> analys</w:t>
      </w:r>
      <w:r w:rsidR="00EF4158">
        <w:rPr>
          <w:rFonts w:ascii="Times New Roman" w:hAnsi="Times New Roman" w:cs="Times New Roman"/>
        </w:rPr>
        <w:t>es the</w:t>
      </w:r>
      <w:r w:rsidR="00EF4158" w:rsidRPr="00EF4158">
        <w:rPr>
          <w:rFonts w:ascii="Times New Roman" w:hAnsi="Times New Roman" w:cs="Times New Roman"/>
        </w:rPr>
        <w:t xml:space="preserve"> 34 Indian equity mutual funds over ten years </w:t>
      </w:r>
      <w:r w:rsidR="00EF4158">
        <w:rPr>
          <w:rFonts w:ascii="Times New Roman" w:hAnsi="Times New Roman" w:cs="Times New Roman"/>
        </w:rPr>
        <w:t xml:space="preserve">which </w:t>
      </w:r>
      <w:r w:rsidR="00EF4158" w:rsidRPr="00EF4158">
        <w:rPr>
          <w:rFonts w:ascii="Times New Roman" w:hAnsi="Times New Roman" w:cs="Times New Roman"/>
        </w:rPr>
        <w:t xml:space="preserve">revealed that both stock selection and industry allocation play crucial roles in driving superior returns. The study highlights that consistent success in choosing </w:t>
      </w:r>
      <w:r w:rsidR="00EF4158" w:rsidRPr="00EF4158">
        <w:rPr>
          <w:rFonts w:ascii="Times New Roman" w:hAnsi="Times New Roman" w:cs="Times New Roman"/>
        </w:rPr>
        <w:lastRenderedPageBreak/>
        <w:t>outperforming industries significantly enhances fund performance. Although a slight negative link was observed between increasing fund size and stock-picking ability, fund size did not affect industry allocation efficiency, indicating that larger funds can sustain performance through strategic shifts across sectors.</w:t>
      </w:r>
    </w:p>
    <w:p w14:paraId="6D8F4F8B" w14:textId="77777777" w:rsidR="00402AEF" w:rsidRDefault="00A84103" w:rsidP="00402AEF">
      <w:pPr>
        <w:jc w:val="both"/>
        <w:rPr>
          <w:rFonts w:ascii="Times New Roman" w:hAnsi="Times New Roman" w:cs="Times New Roman"/>
          <w:b/>
          <w:bCs/>
        </w:rPr>
      </w:pPr>
      <w:proofErr w:type="spellStart"/>
      <w:r w:rsidRPr="00A84103">
        <w:rPr>
          <w:rFonts w:ascii="Times New Roman" w:hAnsi="Times New Roman" w:cs="Times New Roman"/>
          <w:b/>
          <w:bCs/>
        </w:rPr>
        <w:t>Fiordelisi</w:t>
      </w:r>
      <w:proofErr w:type="spellEnd"/>
      <w:r w:rsidRPr="00A84103">
        <w:rPr>
          <w:rFonts w:ascii="Times New Roman" w:hAnsi="Times New Roman" w:cs="Times New Roman"/>
          <w:b/>
          <w:bCs/>
        </w:rPr>
        <w:t xml:space="preserve"> et al. (2022</w:t>
      </w:r>
      <w:r w:rsidRPr="00A84103">
        <w:rPr>
          <w:rFonts w:ascii="Times New Roman" w:hAnsi="Times New Roman" w:cs="Times New Roman"/>
        </w:rPr>
        <w:t>): This study analysed the flow–performance relationship in global equity and bond mutual funds, expanding beyond the U.S. and U.K. context. Using a novel measure of market timing ability, it found that managers’ timing skills influence return–flow dynamics, reflecting short-term price pressure effects. Investor behaviour showed little variation across asset classes, suggesting resistance to altering short-term strategies, though differences appeared by investment style. These results held steady even during market volatility.</w:t>
      </w:r>
    </w:p>
    <w:p w14:paraId="54E6994B" w14:textId="33BDDB15" w:rsidR="00FD6CAE" w:rsidRPr="00402AEF" w:rsidRDefault="00402AEF" w:rsidP="005E2137">
      <w:pPr>
        <w:jc w:val="both"/>
        <w:rPr>
          <w:rFonts w:ascii="Times New Roman" w:hAnsi="Times New Roman" w:cs="Times New Roman"/>
          <w:b/>
          <w:bCs/>
        </w:rPr>
      </w:pPr>
      <w:r w:rsidRPr="00402AEF">
        <w:rPr>
          <w:rFonts w:ascii="Times New Roman" w:hAnsi="Times New Roman" w:cs="Times New Roman"/>
          <w:b/>
          <w:bCs/>
        </w:rPr>
        <w:t>Malviya and Khanna (2020):</w:t>
      </w:r>
      <w:r>
        <w:rPr>
          <w:rFonts w:ascii="Times New Roman" w:hAnsi="Times New Roman" w:cs="Times New Roman"/>
          <w:b/>
          <w:bCs/>
        </w:rPr>
        <w:t xml:space="preserve"> </w:t>
      </w:r>
      <w:r w:rsidR="00FD6CAE" w:rsidRPr="005E2137">
        <w:rPr>
          <w:rFonts w:ascii="Times New Roman" w:hAnsi="Times New Roman" w:cs="Times New Roman"/>
        </w:rPr>
        <w:t>This study reveals that for mutual fund investors, the optimal holding period varies by fund type. Large-cap funds offer better initial returns but are more beneficial over a minimum of three years. Mid-cap funds perform better in the medium term but require a long-term (five-year) horizon for future prospects. Small-cap funds have high risk but offer good returns over the medium and long term. The study highlights that a lack of awareness about these time horizons can lead investors to miss potential returns</w:t>
      </w:r>
      <w:r>
        <w:rPr>
          <w:rFonts w:ascii="Times New Roman" w:hAnsi="Times New Roman" w:cs="Times New Roman"/>
        </w:rPr>
        <w:t xml:space="preserve"> and this study</w:t>
      </w:r>
      <w:r w:rsidR="00FD6CAE" w:rsidRPr="005E2137">
        <w:rPr>
          <w:rFonts w:ascii="Times New Roman" w:hAnsi="Times New Roman" w:cs="Times New Roman"/>
        </w:rPr>
        <w:t xml:space="preserve"> is crucial for those who prefer mutual funds over direct investments in stocks and debentures.</w:t>
      </w:r>
    </w:p>
    <w:p w14:paraId="2D93AD96" w14:textId="77777777" w:rsidR="00FD6CAE" w:rsidRDefault="00FD6CAE" w:rsidP="001D2659">
      <w:pPr>
        <w:jc w:val="both"/>
        <w:rPr>
          <w:rFonts w:ascii="Times New Roman" w:hAnsi="Times New Roman" w:cs="Times New Roman"/>
        </w:rPr>
      </w:pPr>
      <w:r w:rsidRPr="001D2659">
        <w:rPr>
          <w:rFonts w:ascii="Times New Roman" w:hAnsi="Times New Roman" w:cs="Times New Roman"/>
          <w:b/>
          <w:bCs/>
        </w:rPr>
        <w:t>Das and Ali (2020):</w:t>
      </w:r>
      <w:r w:rsidRPr="001D2659">
        <w:t xml:space="preserve"> </w:t>
      </w:r>
      <w:r w:rsidRPr="001D2659">
        <w:rPr>
          <w:rFonts w:ascii="Times New Roman" w:hAnsi="Times New Roman" w:cs="Times New Roman"/>
        </w:rPr>
        <w:t xml:space="preserve">Their study found that the financial industry, particularly asset management, is increasingly adopting AI and machine learning to improve efficiency, risk management, and transaction speed. Digitalization and the availability of direct investment options are positively impacting investor participation in mutual funds. Future technologies like blockchain, </w:t>
      </w:r>
      <w:proofErr w:type="spellStart"/>
      <w:r w:rsidRPr="001D2659">
        <w:rPr>
          <w:rFonts w:ascii="Times New Roman" w:hAnsi="Times New Roman" w:cs="Times New Roman"/>
        </w:rPr>
        <w:t>robo</w:t>
      </w:r>
      <w:proofErr w:type="spellEnd"/>
      <w:r w:rsidRPr="001D2659">
        <w:rPr>
          <w:rFonts w:ascii="Times New Roman" w:hAnsi="Times New Roman" w:cs="Times New Roman"/>
        </w:rPr>
        <w:t xml:space="preserve">-analytics, and </w:t>
      </w:r>
      <w:proofErr w:type="spellStart"/>
      <w:r w:rsidRPr="001D2659">
        <w:rPr>
          <w:rFonts w:ascii="Times New Roman" w:hAnsi="Times New Roman" w:cs="Times New Roman"/>
        </w:rPr>
        <w:t>robo</w:t>
      </w:r>
      <w:proofErr w:type="spellEnd"/>
      <w:r w:rsidRPr="001D2659">
        <w:rPr>
          <w:rFonts w:ascii="Times New Roman" w:hAnsi="Times New Roman" w:cs="Times New Roman"/>
        </w:rPr>
        <w:t>-advisors are expected to further boost efficiency and provide personalized services. However, regulatory bodies must play an active role to ensure these advancements protect investor interests.</w:t>
      </w:r>
    </w:p>
    <w:p w14:paraId="1AF030F4" w14:textId="61D83587" w:rsidR="00222222" w:rsidRDefault="00FD6CAE" w:rsidP="00B734A4">
      <w:pPr>
        <w:tabs>
          <w:tab w:val="left" w:pos="2387"/>
        </w:tabs>
        <w:jc w:val="both"/>
        <w:rPr>
          <w:rFonts w:ascii="Times New Roman" w:hAnsi="Times New Roman" w:cs="Times New Roman"/>
        </w:rPr>
      </w:pPr>
      <w:r w:rsidRPr="00B734A4">
        <w:rPr>
          <w:rFonts w:ascii="Times New Roman" w:hAnsi="Times New Roman" w:cs="Times New Roman"/>
          <w:b/>
          <w:bCs/>
        </w:rPr>
        <w:t>Agrawal (201</w:t>
      </w:r>
      <w:r w:rsidR="00983FC7">
        <w:rPr>
          <w:rFonts w:ascii="Times New Roman" w:hAnsi="Times New Roman" w:cs="Times New Roman"/>
          <w:b/>
          <w:bCs/>
        </w:rPr>
        <w:t>6</w:t>
      </w:r>
      <w:r w:rsidRPr="00B734A4">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This</w:t>
      </w:r>
      <w:r w:rsidRPr="00B734A4">
        <w:rPr>
          <w:rFonts w:ascii="Times New Roman" w:hAnsi="Times New Roman" w:cs="Times New Roman"/>
        </w:rPr>
        <w:t xml:space="preserve"> study reveals that</w:t>
      </w:r>
      <w:r>
        <w:rPr>
          <w:rFonts w:ascii="Times New Roman" w:hAnsi="Times New Roman" w:cs="Times New Roman"/>
          <w:b/>
          <w:bCs/>
        </w:rPr>
        <w:t xml:space="preserve"> </w:t>
      </w:r>
      <w:r>
        <w:rPr>
          <w:rFonts w:ascii="Times New Roman" w:hAnsi="Times New Roman" w:cs="Times New Roman"/>
        </w:rPr>
        <w:t>i</w:t>
      </w:r>
      <w:r w:rsidRPr="00B734A4">
        <w:rPr>
          <w:rFonts w:ascii="Times New Roman" w:hAnsi="Times New Roman" w:cs="Times New Roman"/>
        </w:rPr>
        <w:t>nvestors are hesitant to invest in mutual funds due to concerns about the safety of their principal. To change this perception and attract more investors, mutual fund companies must hire qualified fund managers to improve performance and provide continuous training for financial advisors. They should also launch investor education programs and enhance their physical resources and customer services. Ultimately, while mutual funds are a viable investment option, companies need to actively work on improving their services and investor trust to boost participation.</w:t>
      </w:r>
    </w:p>
    <w:p w14:paraId="14BD2DF7" w14:textId="77777777" w:rsidR="00FD6CAE" w:rsidRPr="00F41E00" w:rsidRDefault="00FD6CAE" w:rsidP="007253A5">
      <w:pPr>
        <w:jc w:val="both"/>
        <w:rPr>
          <w:rFonts w:ascii="Times New Roman" w:hAnsi="Times New Roman" w:cs="Times New Roman"/>
        </w:rPr>
      </w:pPr>
      <w:r w:rsidRPr="00F41E00">
        <w:rPr>
          <w:rFonts w:ascii="Times New Roman" w:hAnsi="Times New Roman" w:cs="Times New Roman"/>
          <w:b/>
          <w:bCs/>
        </w:rPr>
        <w:t>Yadav, A. P. (2015)</w:t>
      </w:r>
      <w:r>
        <w:rPr>
          <w:rFonts w:ascii="Times New Roman" w:hAnsi="Times New Roman" w:cs="Times New Roman"/>
          <w:b/>
          <w:bCs/>
        </w:rPr>
        <w:t xml:space="preserve">: </w:t>
      </w:r>
      <w:r>
        <w:rPr>
          <w:rFonts w:ascii="Times New Roman" w:hAnsi="Times New Roman" w:cs="Times New Roman"/>
        </w:rPr>
        <w:t>His study found that d</w:t>
      </w:r>
      <w:r w:rsidRPr="00F41E00">
        <w:rPr>
          <w:rFonts w:ascii="Times New Roman" w:hAnsi="Times New Roman" w:cs="Times New Roman"/>
        </w:rPr>
        <w:t>espite India's strong economic growth, its mutual fund industry faces significant challenges. It struggles with low public awareness and is often perceived as riskier than direct stock market investment. The industry is predominantly debt-focused, and key distribution channels like banks and post offices are not fully utilized. To achieve sustainable growth, the industry needs to improve its skills and technology, enhance financial inclusion in smaller cities, and prioritize long-term stability over short-term profits.</w:t>
      </w:r>
    </w:p>
    <w:p w14:paraId="38990C16" w14:textId="28645C7F" w:rsidR="00FD6CAE" w:rsidRDefault="00AB6136" w:rsidP="00B734A4">
      <w:pPr>
        <w:tabs>
          <w:tab w:val="left" w:pos="2387"/>
        </w:tabs>
        <w:jc w:val="both"/>
        <w:rPr>
          <w:rFonts w:ascii="Times New Roman" w:hAnsi="Times New Roman" w:cs="Times New Roman"/>
        </w:rPr>
      </w:pPr>
      <w:r w:rsidRPr="00AB6136">
        <w:rPr>
          <w:rFonts w:ascii="Times New Roman" w:hAnsi="Times New Roman" w:cs="Times New Roman"/>
          <w:b/>
          <w:bCs/>
        </w:rPr>
        <w:t>Ramanujam and Bhuvaneswari (2015):</w:t>
      </w:r>
      <w:r>
        <w:rPr>
          <w:rFonts w:ascii="Times New Roman" w:hAnsi="Times New Roman" w:cs="Times New Roman"/>
        </w:rPr>
        <w:t xml:space="preserve"> </w:t>
      </w:r>
      <w:r w:rsidR="00FD6CAE">
        <w:rPr>
          <w:rFonts w:ascii="Times New Roman" w:hAnsi="Times New Roman" w:cs="Times New Roman"/>
        </w:rPr>
        <w:t>This</w:t>
      </w:r>
      <w:r w:rsidR="00FD6CAE" w:rsidRPr="00B734A4">
        <w:rPr>
          <w:rFonts w:ascii="Times New Roman" w:hAnsi="Times New Roman" w:cs="Times New Roman"/>
        </w:rPr>
        <w:t xml:space="preserve"> study found that</w:t>
      </w:r>
      <w:r w:rsidR="00FD6CAE">
        <w:rPr>
          <w:rFonts w:ascii="Times New Roman" w:hAnsi="Times New Roman" w:cs="Times New Roman"/>
          <w:b/>
          <w:bCs/>
        </w:rPr>
        <w:t xml:space="preserve"> </w:t>
      </w:r>
      <w:r w:rsidR="00FD6CAE" w:rsidRPr="00B734A4">
        <w:rPr>
          <w:rFonts w:ascii="Times New Roman" w:hAnsi="Times New Roman" w:cs="Times New Roman"/>
        </w:rPr>
        <w:t xml:space="preserve">from 2004 to 2014, the Indian mutual fund industry experienced significant growth across key metrics like Assets Under Management (AUM), sales, and schemes. AUM grew by 35% to ₹11.11 lakh crore in 2014, </w:t>
      </w:r>
      <w:r w:rsidR="00FD6CAE" w:rsidRPr="00B734A4">
        <w:rPr>
          <w:rFonts w:ascii="Times New Roman" w:hAnsi="Times New Roman" w:cs="Times New Roman"/>
        </w:rPr>
        <w:lastRenderedPageBreak/>
        <w:t>driven by a surge in equity AUM, which more than doubled. This indicates a growing investor preference for financial assets. However, the total number of folios declined during this period due to a reduction in growth and funds of fund schemes.</w:t>
      </w:r>
    </w:p>
    <w:p w14:paraId="4EC7EF99" w14:textId="77777777" w:rsidR="006118A7" w:rsidRDefault="006118A7" w:rsidP="001D2659">
      <w:pPr>
        <w:jc w:val="both"/>
        <w:rPr>
          <w:rFonts w:ascii="Times New Roman" w:hAnsi="Times New Roman" w:cs="Times New Roman"/>
        </w:rPr>
      </w:pPr>
    </w:p>
    <w:p w14:paraId="0A5FC3F5" w14:textId="31EC3C09" w:rsidR="001D2659" w:rsidRDefault="00E33B3F" w:rsidP="001D2659">
      <w:pPr>
        <w:jc w:val="both"/>
        <w:rPr>
          <w:rFonts w:ascii="Times New Roman" w:hAnsi="Times New Roman" w:cs="Times New Roman"/>
          <w:b/>
          <w:bCs/>
        </w:rPr>
      </w:pPr>
      <w:r w:rsidRPr="00E33B3F">
        <w:rPr>
          <w:rFonts w:ascii="Times New Roman" w:hAnsi="Times New Roman" w:cs="Times New Roman"/>
          <w:b/>
          <w:bCs/>
        </w:rPr>
        <w:t>NEED FOR THE STUDY:</w:t>
      </w:r>
      <w:r>
        <w:rPr>
          <w:rFonts w:ascii="Times New Roman" w:hAnsi="Times New Roman" w:cs="Times New Roman"/>
          <w:b/>
          <w:bCs/>
        </w:rPr>
        <w:t xml:space="preserve"> </w:t>
      </w:r>
    </w:p>
    <w:p w14:paraId="3A8974D7" w14:textId="45ED91A8" w:rsidR="00E33B3F" w:rsidRDefault="005D3229" w:rsidP="001D2659">
      <w:pPr>
        <w:jc w:val="both"/>
        <w:rPr>
          <w:rFonts w:ascii="Times New Roman" w:hAnsi="Times New Roman" w:cs="Times New Roman"/>
        </w:rPr>
      </w:pPr>
      <w:r w:rsidRPr="005D3229">
        <w:rPr>
          <w:rFonts w:ascii="Times New Roman" w:hAnsi="Times New Roman" w:cs="Times New Roman"/>
        </w:rPr>
        <w:t>The mutual fund industry concluded the fiscal year 2025 with a landmark achievement, reaching a record high of ₹65.74 lakh crore in assets under management (AUM) by March 2025</w:t>
      </w:r>
      <w:r w:rsidR="004807FE">
        <w:rPr>
          <w:rFonts w:ascii="Times New Roman" w:hAnsi="Times New Roman" w:cs="Times New Roman"/>
        </w:rPr>
        <w:t>, which</w:t>
      </w:r>
      <w:r w:rsidRPr="005D3229">
        <w:rPr>
          <w:rFonts w:ascii="Times New Roman" w:hAnsi="Times New Roman" w:cs="Times New Roman"/>
        </w:rPr>
        <w:t xml:space="preserve"> represents a substantial year-on-year increase of 23.11% from ₹53.40 lakh crore in March 2024</w:t>
      </w:r>
      <w:r w:rsidR="004807FE">
        <w:rPr>
          <w:rFonts w:ascii="Times New Roman" w:hAnsi="Times New Roman" w:cs="Times New Roman"/>
        </w:rPr>
        <w:t xml:space="preserve"> while a</w:t>
      </w:r>
      <w:r w:rsidR="00DB3B31">
        <w:rPr>
          <w:rFonts w:ascii="Times New Roman" w:hAnsi="Times New Roman" w:cs="Times New Roman"/>
        </w:rPr>
        <w:t>ccounts in Indian mutual fund industry in Mar 2024 was 17,78,56,760</w:t>
      </w:r>
      <w:r w:rsidR="00F71D57">
        <w:rPr>
          <w:rFonts w:ascii="Times New Roman" w:hAnsi="Times New Roman" w:cs="Times New Roman"/>
        </w:rPr>
        <w:t xml:space="preserve"> it has increased by 32% in Mar 2025 with over 23,45,08,071 accounts</w:t>
      </w:r>
      <w:r w:rsidR="004807FE">
        <w:rPr>
          <w:rFonts w:ascii="Times New Roman" w:hAnsi="Times New Roman" w:cs="Times New Roman"/>
        </w:rPr>
        <w:t xml:space="preserve"> (AMFI </w:t>
      </w:r>
      <w:bookmarkStart w:id="0" w:name="_GoBack"/>
      <w:bookmarkEnd w:id="0"/>
      <w:r w:rsidR="004807FE">
        <w:rPr>
          <w:rFonts w:ascii="Times New Roman" w:hAnsi="Times New Roman" w:cs="Times New Roman"/>
        </w:rPr>
        <w:t>2025)</w:t>
      </w:r>
      <w:r w:rsidR="00F71D57">
        <w:rPr>
          <w:rFonts w:ascii="Times New Roman" w:hAnsi="Times New Roman" w:cs="Times New Roman"/>
        </w:rPr>
        <w:t>.</w:t>
      </w:r>
      <w:r w:rsidR="00DB3B31">
        <w:rPr>
          <w:rFonts w:ascii="Times New Roman" w:hAnsi="Times New Roman" w:cs="Times New Roman"/>
        </w:rPr>
        <w:t xml:space="preserve"> </w:t>
      </w:r>
      <w:r w:rsidRPr="005D3229">
        <w:rPr>
          <w:rFonts w:ascii="Times New Roman" w:hAnsi="Times New Roman" w:cs="Times New Roman"/>
        </w:rPr>
        <w:t xml:space="preserve">This significant expansion in AUM </w:t>
      </w:r>
      <w:r w:rsidR="00F71D57">
        <w:rPr>
          <w:rFonts w:ascii="Times New Roman" w:hAnsi="Times New Roman" w:cs="Times New Roman"/>
        </w:rPr>
        <w:t xml:space="preserve">and folios </w:t>
      </w:r>
      <w:r w:rsidRPr="005D3229">
        <w:rPr>
          <w:rFonts w:ascii="Times New Roman" w:hAnsi="Times New Roman" w:cs="Times New Roman"/>
        </w:rPr>
        <w:t xml:space="preserve">was primarily propelled by robust net inflows throughout the fiscal year, indicating continued and strong investor engagement. </w:t>
      </w:r>
      <w:r w:rsidR="00F71D57" w:rsidRPr="00F71D57">
        <w:rPr>
          <w:rFonts w:ascii="Times New Roman" w:hAnsi="Times New Roman" w:cs="Times New Roman"/>
        </w:rPr>
        <w:t>While many studies have analysed mutual fund performance or investor behaviour</w:t>
      </w:r>
      <w:r w:rsidR="002164F3">
        <w:rPr>
          <w:rFonts w:ascii="Times New Roman" w:hAnsi="Times New Roman" w:cs="Times New Roman"/>
        </w:rPr>
        <w:t xml:space="preserve">, but there are very few studies have been done that reflects the recent shifts in the industry. So, this research paper tried to give </w:t>
      </w:r>
      <w:r w:rsidR="00F71D57" w:rsidRPr="00F71D57">
        <w:rPr>
          <w:rFonts w:ascii="Times New Roman" w:hAnsi="Times New Roman" w:cs="Times New Roman"/>
        </w:rPr>
        <w:t xml:space="preserve">a holistic, empirical analysis of the </w:t>
      </w:r>
      <w:r w:rsidR="002164F3">
        <w:rPr>
          <w:rFonts w:ascii="Times New Roman" w:hAnsi="Times New Roman" w:cs="Times New Roman"/>
        </w:rPr>
        <w:t xml:space="preserve">mutual fund </w:t>
      </w:r>
      <w:r w:rsidR="00F71D57" w:rsidRPr="00F71D57">
        <w:rPr>
          <w:rFonts w:ascii="Times New Roman" w:hAnsi="Times New Roman" w:cs="Times New Roman"/>
        </w:rPr>
        <w:t>industry's trends by integrating both asset dynamics and investor segmentation</w:t>
      </w:r>
      <w:r w:rsidR="0026484F">
        <w:rPr>
          <w:rFonts w:ascii="Times New Roman" w:hAnsi="Times New Roman" w:cs="Times New Roman"/>
        </w:rPr>
        <w:t xml:space="preserve"> that helps mutual fund investors, financial advisors, policy makers and regulators to understand the recent trends in the industry and act accordingly.  </w:t>
      </w:r>
    </w:p>
    <w:p w14:paraId="6837EECC" w14:textId="77777777" w:rsidR="006A6232" w:rsidRDefault="006A6232" w:rsidP="001D2659">
      <w:pPr>
        <w:jc w:val="both"/>
        <w:rPr>
          <w:rFonts w:ascii="Times New Roman" w:hAnsi="Times New Roman" w:cs="Times New Roman"/>
          <w:b/>
          <w:bCs/>
        </w:rPr>
      </w:pPr>
    </w:p>
    <w:p w14:paraId="70849683" w14:textId="4D845183" w:rsidR="00780265" w:rsidRDefault="00780265" w:rsidP="001D2659">
      <w:pPr>
        <w:jc w:val="both"/>
        <w:rPr>
          <w:rFonts w:ascii="Times New Roman" w:hAnsi="Times New Roman" w:cs="Times New Roman"/>
        </w:rPr>
      </w:pPr>
      <w:r w:rsidRPr="00780265">
        <w:rPr>
          <w:rFonts w:ascii="Times New Roman" w:hAnsi="Times New Roman" w:cs="Times New Roman"/>
          <w:b/>
          <w:bCs/>
        </w:rPr>
        <w:t>OBJECTIVE OF THE STUDY:</w:t>
      </w:r>
    </w:p>
    <w:p w14:paraId="04109DF5" w14:textId="70E7A50D" w:rsidR="00780265" w:rsidRDefault="007518C4" w:rsidP="007518C4">
      <w:pPr>
        <w:pStyle w:val="ListParagraph"/>
        <w:numPr>
          <w:ilvl w:val="0"/>
          <w:numId w:val="1"/>
        </w:numPr>
        <w:jc w:val="both"/>
        <w:rPr>
          <w:rFonts w:ascii="Times New Roman" w:hAnsi="Times New Roman" w:cs="Times New Roman"/>
        </w:rPr>
      </w:pPr>
      <w:r w:rsidRPr="007518C4">
        <w:rPr>
          <w:rFonts w:ascii="Times New Roman" w:hAnsi="Times New Roman" w:cs="Times New Roman"/>
        </w:rPr>
        <w:t xml:space="preserve">To analyse the growth and scheme-wise composition of Assets Under Management in the Indian mutual fund industry between April 2024 </w:t>
      </w:r>
      <w:r w:rsidR="00936CC4">
        <w:rPr>
          <w:rFonts w:ascii="Times New Roman" w:hAnsi="Times New Roman" w:cs="Times New Roman"/>
        </w:rPr>
        <w:t>to</w:t>
      </w:r>
      <w:r w:rsidRPr="007518C4">
        <w:rPr>
          <w:rFonts w:ascii="Times New Roman" w:hAnsi="Times New Roman" w:cs="Times New Roman"/>
        </w:rPr>
        <w:t xml:space="preserve"> April 2025.</w:t>
      </w:r>
    </w:p>
    <w:p w14:paraId="135E17BE" w14:textId="77777777" w:rsidR="007518C4" w:rsidRPr="007518C4" w:rsidRDefault="007518C4" w:rsidP="007518C4">
      <w:pPr>
        <w:pStyle w:val="ListParagraph"/>
        <w:jc w:val="both"/>
        <w:rPr>
          <w:rFonts w:ascii="Times New Roman" w:hAnsi="Times New Roman" w:cs="Times New Roman"/>
        </w:rPr>
      </w:pPr>
    </w:p>
    <w:p w14:paraId="3A669E4E" w14:textId="77777777" w:rsidR="008F4AEC" w:rsidRDefault="007518C4" w:rsidP="007518C4">
      <w:pPr>
        <w:pStyle w:val="ListParagraph"/>
        <w:numPr>
          <w:ilvl w:val="0"/>
          <w:numId w:val="1"/>
        </w:numPr>
        <w:jc w:val="both"/>
        <w:rPr>
          <w:rFonts w:ascii="Times New Roman" w:hAnsi="Times New Roman" w:cs="Times New Roman"/>
        </w:rPr>
      </w:pPr>
      <w:r w:rsidRPr="007518C4">
        <w:rPr>
          <w:rFonts w:ascii="Times New Roman" w:hAnsi="Times New Roman" w:cs="Times New Roman"/>
        </w:rPr>
        <w:t>To profile investors by their types, categories, and investment holdings to understand their segmentation and preferences in the period from April 2024 to April 2025.</w:t>
      </w:r>
    </w:p>
    <w:p w14:paraId="6B60E0B2" w14:textId="0032DD76" w:rsidR="007518C4" w:rsidRPr="008F4AEC" w:rsidRDefault="007518C4" w:rsidP="008F4AEC">
      <w:pPr>
        <w:jc w:val="both"/>
        <w:rPr>
          <w:rFonts w:ascii="Times New Roman" w:hAnsi="Times New Roman" w:cs="Times New Roman"/>
        </w:rPr>
      </w:pPr>
      <w:r w:rsidRPr="008F4AEC">
        <w:rPr>
          <w:rFonts w:ascii="Times New Roman" w:hAnsi="Times New Roman" w:cs="Times New Roman"/>
          <w:b/>
          <w:bCs/>
        </w:rPr>
        <w:t>RESEARCH METHODOLOGY:</w:t>
      </w:r>
    </w:p>
    <w:p w14:paraId="0DCA5987" w14:textId="4BEF730A" w:rsidR="000335CE" w:rsidRDefault="00696F09" w:rsidP="007253A5">
      <w:pPr>
        <w:jc w:val="both"/>
        <w:rPr>
          <w:rFonts w:ascii="Times New Roman" w:hAnsi="Times New Roman" w:cs="Times New Roman"/>
        </w:rPr>
      </w:pPr>
      <w:r w:rsidRPr="00696F09">
        <w:rPr>
          <w:rFonts w:ascii="Times New Roman" w:hAnsi="Times New Roman" w:cs="Times New Roman"/>
        </w:rPr>
        <w:t>This study employs a descriptive and analytical research design aimed at rigorously quantifying and interpreting the trends and patterns within the Indian mutual fund industry, rather than testing a specific statistical hypothesis. The analysis is based exclusively on secondary data collected for the 13-month period from April 2024 to April 2025, primarily sourced from the Association of Mutual Funds in India and the Securities and Exchange Board of India. This particular timeframe was selected to capture the most recent and complete annual cycle of asset dynamics. The analytical framework utilized various quantitative techniques, including Period-over-Period Trend Analysis</w:t>
      </w:r>
      <w:r>
        <w:rPr>
          <w:rFonts w:ascii="Times New Roman" w:hAnsi="Times New Roman" w:cs="Times New Roman"/>
        </w:rPr>
        <w:t xml:space="preserve"> by </w:t>
      </w:r>
      <w:r w:rsidRPr="00696F09">
        <w:rPr>
          <w:rFonts w:ascii="Times New Roman" w:hAnsi="Times New Roman" w:cs="Times New Roman"/>
        </w:rPr>
        <w:t xml:space="preserve">calculating Month-over-Month percentage changes and overall Compound Annual Growth Rate to quantify asset growth, and Comparative Analysis </w:t>
      </w:r>
      <w:r>
        <w:rPr>
          <w:rFonts w:ascii="Times New Roman" w:hAnsi="Times New Roman" w:cs="Times New Roman"/>
        </w:rPr>
        <w:t xml:space="preserve">by </w:t>
      </w:r>
      <w:r w:rsidRPr="00696F09">
        <w:rPr>
          <w:rFonts w:ascii="Times New Roman" w:hAnsi="Times New Roman" w:cs="Times New Roman"/>
        </w:rPr>
        <w:t>cross-sectional comparison of portfolio allocations to interpret distinct investment behaviours. For visualization, the data is presented using a series of Charts and supporting Tables to clearly illustrate the measured trends and comparative analysis of investor categories.</w:t>
      </w:r>
    </w:p>
    <w:p w14:paraId="3C1D20D9" w14:textId="27E37A75" w:rsidR="00770273" w:rsidRPr="00770273" w:rsidRDefault="00770273" w:rsidP="007253A5">
      <w:pPr>
        <w:jc w:val="both"/>
        <w:rPr>
          <w:rFonts w:ascii="Times New Roman" w:hAnsi="Times New Roman" w:cs="Times New Roman"/>
          <w:b/>
        </w:rPr>
      </w:pPr>
      <w:r w:rsidRPr="00770273">
        <w:rPr>
          <w:rFonts w:ascii="Times New Roman" w:hAnsi="Times New Roman" w:cs="Times New Roman"/>
          <w:b/>
        </w:rPr>
        <w:t>Result and Discussion:</w:t>
      </w:r>
    </w:p>
    <w:p w14:paraId="213014BE" w14:textId="25C50C24" w:rsidR="007A55C8" w:rsidRDefault="007A55C8" w:rsidP="007253A5">
      <w:pPr>
        <w:jc w:val="both"/>
        <w:rPr>
          <w:rFonts w:ascii="Times New Roman" w:hAnsi="Times New Roman" w:cs="Times New Roman"/>
          <w:b/>
          <w:bCs/>
        </w:rPr>
      </w:pPr>
      <w:r>
        <w:rPr>
          <w:rFonts w:ascii="Times New Roman" w:hAnsi="Times New Roman" w:cs="Times New Roman"/>
          <w:b/>
          <w:bCs/>
        </w:rPr>
        <w:lastRenderedPageBreak/>
        <w:t>Chart 1.</w:t>
      </w:r>
      <w:r w:rsidR="00770273" w:rsidRPr="00770273">
        <w:rPr>
          <w:rFonts w:ascii="Times New Roman" w:hAnsi="Times New Roman" w:cs="Times New Roman"/>
          <w:b/>
          <w:bCs/>
        </w:rPr>
        <w:t xml:space="preserve"> </w:t>
      </w:r>
      <w:r w:rsidR="00770273">
        <w:rPr>
          <w:rFonts w:ascii="Times New Roman" w:hAnsi="Times New Roman" w:cs="Times New Roman"/>
          <w:b/>
          <w:bCs/>
        </w:rPr>
        <w:t>T</w:t>
      </w:r>
      <w:r w:rsidR="00770273" w:rsidRPr="00770273">
        <w:rPr>
          <w:rFonts w:ascii="Times New Roman" w:hAnsi="Times New Roman" w:cs="Times New Roman"/>
          <w:b/>
          <w:bCs/>
        </w:rPr>
        <w:t>he total Assets Under Management (AUM) trends in the Indian mutual fund industry</w:t>
      </w:r>
    </w:p>
    <w:p w14:paraId="639D6D55" w14:textId="4F5667BC" w:rsidR="00D76AA8" w:rsidRPr="00D76AA8" w:rsidRDefault="00CF009A" w:rsidP="007253A5">
      <w:pPr>
        <w:jc w:val="both"/>
        <w:rPr>
          <w:rFonts w:ascii="Times New Roman" w:hAnsi="Times New Roman" w:cs="Times New Roman"/>
          <w:b/>
          <w:bCs/>
        </w:rPr>
      </w:pPr>
      <w:r>
        <w:rPr>
          <w:rFonts w:ascii="Times New Roman" w:hAnsi="Times New Roman" w:cs="Times New Roman"/>
          <w:b/>
          <w:bCs/>
          <w:noProof/>
        </w:rPr>
        <w:drawing>
          <wp:inline distT="0" distB="0" distL="0" distR="0" wp14:anchorId="40D665F9" wp14:editId="43A4CE58">
            <wp:extent cx="5699760" cy="3139440"/>
            <wp:effectExtent l="0" t="0" r="15240" b="3810"/>
            <wp:docPr id="17221581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147F91" w14:textId="75AB9865" w:rsidR="00FE6B22" w:rsidRPr="00E625D3" w:rsidRDefault="007A55C8" w:rsidP="007253A5">
      <w:pPr>
        <w:jc w:val="both"/>
        <w:rPr>
          <w:rFonts w:ascii="Times New Roman" w:hAnsi="Times New Roman" w:cs="Times New Roman"/>
          <w:b/>
          <w:bCs/>
        </w:rPr>
      </w:pPr>
      <w:r w:rsidRPr="00E625D3">
        <w:rPr>
          <w:rFonts w:ascii="Times New Roman" w:hAnsi="Times New Roman" w:cs="Times New Roman"/>
          <w:b/>
          <w:bCs/>
        </w:rPr>
        <w:t>Source: AMFI</w:t>
      </w:r>
      <w:r w:rsidR="00124FB3" w:rsidRPr="00E625D3">
        <w:rPr>
          <w:rFonts w:ascii="Times New Roman" w:hAnsi="Times New Roman" w:cs="Times New Roman"/>
          <w:b/>
          <w:bCs/>
        </w:rPr>
        <w:t>; Chart constructed by the Author</w:t>
      </w:r>
    </w:p>
    <w:p w14:paraId="0A894E10" w14:textId="204CF933" w:rsidR="007A55C8" w:rsidRDefault="007A55C8" w:rsidP="007253A5">
      <w:pPr>
        <w:jc w:val="both"/>
        <w:rPr>
          <w:rFonts w:ascii="Times New Roman" w:hAnsi="Times New Roman" w:cs="Times New Roman"/>
        </w:rPr>
      </w:pPr>
      <w:r w:rsidRPr="007A55C8">
        <w:rPr>
          <w:rFonts w:ascii="Times New Roman" w:hAnsi="Times New Roman" w:cs="Times New Roman"/>
        </w:rPr>
        <w:t xml:space="preserve">Following the descriptive and analytical methodology, this </w:t>
      </w:r>
      <w:r w:rsidR="000447A8">
        <w:rPr>
          <w:rFonts w:ascii="Times New Roman" w:hAnsi="Times New Roman" w:cs="Times New Roman"/>
        </w:rPr>
        <w:t>chart</w:t>
      </w:r>
      <w:r w:rsidRPr="007A55C8">
        <w:rPr>
          <w:rFonts w:ascii="Times New Roman" w:hAnsi="Times New Roman" w:cs="Times New Roman"/>
        </w:rPr>
        <w:t xml:space="preserve"> </w:t>
      </w:r>
      <w:r w:rsidR="00770273">
        <w:rPr>
          <w:rFonts w:ascii="Times New Roman" w:hAnsi="Times New Roman" w:cs="Times New Roman"/>
        </w:rPr>
        <w:t xml:space="preserve">1 </w:t>
      </w:r>
      <w:r w:rsidRPr="007A55C8">
        <w:rPr>
          <w:rFonts w:ascii="Times New Roman" w:hAnsi="Times New Roman" w:cs="Times New Roman"/>
        </w:rPr>
        <w:t>presents the key findings related to the total Assets Under Management (AUM) trends in the Indian mutual fund industry between April 2024 and April 2025.</w:t>
      </w:r>
      <w:r w:rsidRPr="007A55C8">
        <w:t xml:space="preserve"> </w:t>
      </w:r>
      <w:r w:rsidRPr="007A55C8">
        <w:rPr>
          <w:rFonts w:ascii="Times New Roman" w:hAnsi="Times New Roman" w:cs="Times New Roman"/>
        </w:rPr>
        <w:t xml:space="preserve">The total Assets Under Management (AUM) of the Indian mutual fund industry demonstrated a significant upward trend over the one-year period. The AUM grew from Rs. 57.01 </w:t>
      </w:r>
      <w:r w:rsidR="00C40525">
        <w:rPr>
          <w:rFonts w:ascii="Times New Roman" w:hAnsi="Times New Roman" w:cs="Times New Roman"/>
        </w:rPr>
        <w:t>Lakh Crore</w:t>
      </w:r>
      <w:r w:rsidRPr="007A55C8">
        <w:rPr>
          <w:rFonts w:ascii="Times New Roman" w:hAnsi="Times New Roman" w:cs="Times New Roman"/>
        </w:rPr>
        <w:t xml:space="preserve"> in April 2024 to a new high of Rs. 69.50 </w:t>
      </w:r>
      <w:r w:rsidR="00C40525">
        <w:rPr>
          <w:rFonts w:ascii="Times New Roman" w:hAnsi="Times New Roman" w:cs="Times New Roman"/>
        </w:rPr>
        <w:t>Lakh Crore</w:t>
      </w:r>
      <w:r w:rsidRPr="007A55C8">
        <w:rPr>
          <w:rFonts w:ascii="Times New Roman" w:hAnsi="Times New Roman" w:cs="Times New Roman"/>
        </w:rPr>
        <w:t xml:space="preserve"> by April 2025, representing a robust overall growth of 21.91%</w:t>
      </w:r>
      <w:r>
        <w:rPr>
          <w:rFonts w:ascii="Times New Roman" w:hAnsi="Times New Roman" w:cs="Times New Roman"/>
        </w:rPr>
        <w:t>.</w:t>
      </w:r>
    </w:p>
    <w:p w14:paraId="16DDAF5F" w14:textId="12B5946A" w:rsidR="007A55C8" w:rsidRDefault="007A55C8" w:rsidP="007253A5">
      <w:pPr>
        <w:jc w:val="both"/>
        <w:rPr>
          <w:rFonts w:ascii="Times New Roman" w:hAnsi="Times New Roman" w:cs="Times New Roman"/>
        </w:rPr>
      </w:pPr>
      <w:r w:rsidRPr="007A55C8">
        <w:rPr>
          <w:rFonts w:ascii="Times New Roman" w:hAnsi="Times New Roman" w:cs="Times New Roman"/>
        </w:rPr>
        <w:t xml:space="preserve">A deeper </w:t>
      </w:r>
      <w:r>
        <w:rPr>
          <w:rFonts w:ascii="Times New Roman" w:hAnsi="Times New Roman" w:cs="Times New Roman"/>
        </w:rPr>
        <w:t>month-over-month</w:t>
      </w:r>
      <w:r w:rsidRPr="007A55C8">
        <w:rPr>
          <w:rFonts w:ascii="Times New Roman" w:hAnsi="Times New Roman" w:cs="Times New Roman"/>
        </w:rPr>
        <w:t xml:space="preserve"> analysis reveals distinct phases of growth. The initial</w:t>
      </w:r>
      <w:r>
        <w:rPr>
          <w:rFonts w:ascii="Times New Roman" w:hAnsi="Times New Roman" w:cs="Times New Roman"/>
        </w:rPr>
        <w:t xml:space="preserve"> six</w:t>
      </w:r>
      <w:r w:rsidRPr="007A55C8">
        <w:rPr>
          <w:rFonts w:ascii="Times New Roman" w:hAnsi="Times New Roman" w:cs="Times New Roman"/>
        </w:rPr>
        <w:t xml:space="preserve"> months, from April to September 2024, </w:t>
      </w:r>
      <w:r w:rsidR="000447A8">
        <w:rPr>
          <w:rFonts w:ascii="Times New Roman" w:hAnsi="Times New Roman" w:cs="Times New Roman"/>
        </w:rPr>
        <w:t>showed</w:t>
      </w:r>
      <w:r w:rsidRPr="007A55C8">
        <w:rPr>
          <w:rFonts w:ascii="Times New Roman" w:hAnsi="Times New Roman" w:cs="Times New Roman"/>
        </w:rPr>
        <w:t xml:space="preserve"> strong, consistent expansion</w:t>
      </w:r>
      <w:r w:rsidR="000447A8">
        <w:rPr>
          <w:rFonts w:ascii="Times New Roman" w:hAnsi="Times New Roman" w:cs="Times New Roman"/>
        </w:rPr>
        <w:t xml:space="preserve">. </w:t>
      </w:r>
      <w:r w:rsidR="000447A8" w:rsidRPr="000447A8">
        <w:rPr>
          <w:rFonts w:ascii="Times New Roman" w:hAnsi="Times New Roman" w:cs="Times New Roman"/>
        </w:rPr>
        <w:t xml:space="preserve">This period saw a substantial gain of Rs. 10.99 </w:t>
      </w:r>
      <w:r w:rsidR="00C40525">
        <w:rPr>
          <w:rFonts w:ascii="Times New Roman" w:hAnsi="Times New Roman" w:cs="Times New Roman"/>
        </w:rPr>
        <w:t>Lakh Crore</w:t>
      </w:r>
      <w:r w:rsidR="000447A8" w:rsidRPr="000447A8">
        <w:rPr>
          <w:rFonts w:ascii="Times New Roman" w:hAnsi="Times New Roman" w:cs="Times New Roman"/>
        </w:rPr>
        <w:t>, representing a 19.28% increase from the starting point</w:t>
      </w:r>
      <w:r w:rsidR="000447A8">
        <w:rPr>
          <w:rFonts w:ascii="Times New Roman" w:hAnsi="Times New Roman" w:cs="Times New Roman"/>
        </w:rPr>
        <w:t xml:space="preserve">, this </w:t>
      </w:r>
      <w:r w:rsidR="000447A8" w:rsidRPr="000447A8">
        <w:rPr>
          <w:rFonts w:ascii="Times New Roman" w:hAnsi="Times New Roman" w:cs="Times New Roman"/>
        </w:rPr>
        <w:t xml:space="preserve">indicates a very positive market </w:t>
      </w:r>
      <w:r w:rsidR="000447A8">
        <w:rPr>
          <w:rFonts w:ascii="Times New Roman" w:hAnsi="Times New Roman" w:cs="Times New Roman"/>
        </w:rPr>
        <w:t>trend</w:t>
      </w:r>
      <w:r w:rsidR="000447A8" w:rsidRPr="000447A8">
        <w:rPr>
          <w:rFonts w:ascii="Times New Roman" w:hAnsi="Times New Roman" w:cs="Times New Roman"/>
        </w:rPr>
        <w:t xml:space="preserve"> and strong inflows during the first half of the year. </w:t>
      </w:r>
      <w:r w:rsidRPr="007A55C8">
        <w:rPr>
          <w:rFonts w:ascii="Times New Roman" w:hAnsi="Times New Roman" w:cs="Times New Roman"/>
        </w:rPr>
        <w:t>Following this strong</w:t>
      </w:r>
      <w:r w:rsidR="000447A8">
        <w:rPr>
          <w:rFonts w:ascii="Times New Roman" w:hAnsi="Times New Roman" w:cs="Times New Roman"/>
        </w:rPr>
        <w:t xml:space="preserve"> trend</w:t>
      </w:r>
      <w:r w:rsidRPr="007A55C8">
        <w:rPr>
          <w:rFonts w:ascii="Times New Roman" w:hAnsi="Times New Roman" w:cs="Times New Roman"/>
        </w:rPr>
        <w:t xml:space="preserve">, the market experienced a phase of consolidation and slight volatility from October 2024 to February 2025, where the AUM experienced minor fluctuations, peaking at Rs. 69.33 </w:t>
      </w:r>
      <w:r w:rsidR="00C40525">
        <w:rPr>
          <w:rFonts w:ascii="Times New Roman" w:hAnsi="Times New Roman" w:cs="Times New Roman"/>
        </w:rPr>
        <w:t>Lakh Crore</w:t>
      </w:r>
      <w:r w:rsidRPr="007A55C8">
        <w:rPr>
          <w:rFonts w:ascii="Times New Roman" w:hAnsi="Times New Roman" w:cs="Times New Roman"/>
        </w:rPr>
        <w:t xml:space="preserve"> in December 2024 before a slight dip. However, the industry concluded the period on a positive note, with a strong recovery that pushed the total AUM to its highest-ever level in April 2025</w:t>
      </w:r>
      <w:r>
        <w:rPr>
          <w:rFonts w:ascii="Times New Roman" w:hAnsi="Times New Roman" w:cs="Times New Roman"/>
        </w:rPr>
        <w:t xml:space="preserve"> with 69.5 </w:t>
      </w:r>
      <w:r w:rsidR="00C40525">
        <w:rPr>
          <w:rFonts w:ascii="Times New Roman" w:hAnsi="Times New Roman" w:cs="Times New Roman"/>
        </w:rPr>
        <w:t>Lakh Crore</w:t>
      </w:r>
      <w:r>
        <w:rPr>
          <w:rFonts w:ascii="Times New Roman" w:hAnsi="Times New Roman" w:cs="Times New Roman"/>
        </w:rPr>
        <w:t xml:space="preserve">. </w:t>
      </w:r>
      <w:r w:rsidR="001D3816" w:rsidRPr="001D3816">
        <w:rPr>
          <w:rFonts w:ascii="Times New Roman" w:hAnsi="Times New Roman" w:cs="Times New Roman"/>
        </w:rPr>
        <w:t>The overall trend clearly indicates a vibrant and expanding market, driven by consistent inflows.</w:t>
      </w:r>
    </w:p>
    <w:p w14:paraId="65D62EA4" w14:textId="527249ED" w:rsidR="00F0283C" w:rsidRPr="006B00DA" w:rsidRDefault="00F0283C" w:rsidP="00F0283C">
      <w:pPr>
        <w:jc w:val="both"/>
        <w:rPr>
          <w:rFonts w:ascii="Times New Roman" w:hAnsi="Times New Roman" w:cs="Times New Roman"/>
          <w:b/>
          <w:bCs/>
        </w:rPr>
      </w:pPr>
      <w:r w:rsidRPr="006B00DA">
        <w:rPr>
          <w:rFonts w:ascii="Times New Roman" w:hAnsi="Times New Roman" w:cs="Times New Roman"/>
          <w:b/>
          <w:bCs/>
        </w:rPr>
        <w:t xml:space="preserve">Chart </w:t>
      </w:r>
      <w:r>
        <w:rPr>
          <w:rFonts w:ascii="Times New Roman" w:hAnsi="Times New Roman" w:cs="Times New Roman"/>
          <w:b/>
          <w:bCs/>
        </w:rPr>
        <w:t>2</w:t>
      </w:r>
      <w:r w:rsidRPr="006B00DA">
        <w:rPr>
          <w:rFonts w:ascii="Times New Roman" w:hAnsi="Times New Roman" w:cs="Times New Roman"/>
          <w:b/>
          <w:bCs/>
        </w:rPr>
        <w:t xml:space="preserve">. </w:t>
      </w:r>
      <w:r w:rsidR="00770273">
        <w:rPr>
          <w:rFonts w:ascii="Times New Roman" w:hAnsi="Times New Roman" w:cs="Times New Roman"/>
          <w:b/>
          <w:bCs/>
        </w:rPr>
        <w:t>T</w:t>
      </w:r>
      <w:r w:rsidR="00770273" w:rsidRPr="00770273">
        <w:rPr>
          <w:rFonts w:ascii="Times New Roman" w:hAnsi="Times New Roman" w:cs="Times New Roman"/>
          <w:b/>
          <w:bCs/>
        </w:rPr>
        <w:t>he distribution of industry assets across major scheme categories over the one-year period.</w:t>
      </w:r>
    </w:p>
    <w:p w14:paraId="3C88C40E" w14:textId="4F28C919" w:rsidR="00F0283C" w:rsidRDefault="00F0283C" w:rsidP="007253A5">
      <w:pPr>
        <w:jc w:val="both"/>
        <w:rPr>
          <w:rFonts w:ascii="Times New Roman" w:hAnsi="Times New Roman" w:cs="Times New Roman"/>
        </w:rPr>
      </w:pPr>
      <w:r>
        <w:rPr>
          <w:rFonts w:ascii="Times New Roman" w:hAnsi="Times New Roman" w:cs="Times New Roman"/>
          <w:b/>
          <w:bCs/>
          <w:noProof/>
        </w:rPr>
        <w:lastRenderedPageBreak/>
        <w:drawing>
          <wp:inline distT="0" distB="0" distL="0" distR="0" wp14:anchorId="6AB79766" wp14:editId="203823A9">
            <wp:extent cx="5699760" cy="4762500"/>
            <wp:effectExtent l="0" t="0" r="15240" b="0"/>
            <wp:docPr id="15697922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524D08" w14:textId="77777777" w:rsidR="00F0283C" w:rsidRPr="00F0283C" w:rsidRDefault="00F0283C" w:rsidP="00F0283C">
      <w:pPr>
        <w:jc w:val="both"/>
        <w:rPr>
          <w:rFonts w:ascii="Times New Roman" w:hAnsi="Times New Roman" w:cs="Times New Roman"/>
          <w:b/>
          <w:bCs/>
        </w:rPr>
      </w:pPr>
      <w:r w:rsidRPr="00F0283C">
        <w:rPr>
          <w:rFonts w:ascii="Times New Roman" w:hAnsi="Times New Roman" w:cs="Times New Roman"/>
          <w:b/>
          <w:bCs/>
        </w:rPr>
        <w:t>Source: AMFI; Chart constructed by the Author</w:t>
      </w:r>
    </w:p>
    <w:p w14:paraId="3E6AE686" w14:textId="77777777" w:rsidR="00F0283C" w:rsidRDefault="00F0283C" w:rsidP="00F0283C">
      <w:pPr>
        <w:jc w:val="both"/>
        <w:rPr>
          <w:rFonts w:ascii="Times New Roman" w:hAnsi="Times New Roman" w:cs="Times New Roman"/>
          <w:b/>
          <w:bCs/>
        </w:rPr>
      </w:pPr>
    </w:p>
    <w:p w14:paraId="261A6871" w14:textId="058AFA51" w:rsidR="00F0283C" w:rsidRDefault="00F0283C" w:rsidP="00F0283C">
      <w:pPr>
        <w:jc w:val="both"/>
        <w:rPr>
          <w:rFonts w:ascii="Times New Roman" w:hAnsi="Times New Roman" w:cs="Times New Roman"/>
        </w:rPr>
      </w:pPr>
      <w:r w:rsidRPr="005D00AF">
        <w:rPr>
          <w:rFonts w:ascii="Times New Roman" w:hAnsi="Times New Roman" w:cs="Times New Roman"/>
        </w:rPr>
        <w:t xml:space="preserve">To understand where the significant growth in total AUM is being directed, we must analyse the scheme-wise composition of these assets. </w:t>
      </w:r>
      <w:r>
        <w:rPr>
          <w:rFonts w:ascii="Times New Roman" w:hAnsi="Times New Roman" w:cs="Times New Roman"/>
        </w:rPr>
        <w:t>Chart</w:t>
      </w:r>
      <w:r w:rsidRPr="005D00AF">
        <w:rPr>
          <w:rFonts w:ascii="Times New Roman" w:hAnsi="Times New Roman" w:cs="Times New Roman"/>
        </w:rPr>
        <w:t xml:space="preserve"> 2 illustrates the distribution of industry assets across major scheme categories over the one-year</w:t>
      </w:r>
      <w:r>
        <w:rPr>
          <w:rFonts w:ascii="Times New Roman" w:hAnsi="Times New Roman" w:cs="Times New Roman"/>
        </w:rPr>
        <w:t xml:space="preserve"> </w:t>
      </w:r>
      <w:r w:rsidRPr="005D00AF">
        <w:rPr>
          <w:rFonts w:ascii="Times New Roman" w:hAnsi="Times New Roman" w:cs="Times New Roman"/>
        </w:rPr>
        <w:t>period</w:t>
      </w:r>
      <w:r>
        <w:rPr>
          <w:rFonts w:ascii="Times New Roman" w:hAnsi="Times New Roman" w:cs="Times New Roman"/>
        </w:rPr>
        <w:t>.</w:t>
      </w:r>
      <w:r w:rsidRPr="005D00AF">
        <w:t xml:space="preserve"> </w:t>
      </w:r>
      <w:r w:rsidRPr="00D9618F">
        <w:rPr>
          <w:rFonts w:ascii="Times New Roman" w:hAnsi="Times New Roman" w:cs="Times New Roman"/>
        </w:rPr>
        <w:t>Analysis of the total AUM breakdown reveals that the Indian mutual fund industry's capital deployment is heavily concentrated into two primary functional areas:</w:t>
      </w:r>
    </w:p>
    <w:p w14:paraId="5E256EA5" w14:textId="77777777" w:rsidR="00F0283C" w:rsidRDefault="00F0283C" w:rsidP="00F0283C">
      <w:pPr>
        <w:pStyle w:val="ListParagraph"/>
        <w:numPr>
          <w:ilvl w:val="0"/>
          <w:numId w:val="5"/>
        </w:numPr>
        <w:jc w:val="both"/>
        <w:rPr>
          <w:rFonts w:ascii="Times New Roman" w:hAnsi="Times New Roman" w:cs="Times New Roman"/>
        </w:rPr>
      </w:pPr>
      <w:r w:rsidRPr="00D9618F">
        <w:rPr>
          <w:rFonts w:ascii="Times New Roman" w:hAnsi="Times New Roman" w:cs="Times New Roman"/>
          <w:b/>
          <w:bCs/>
        </w:rPr>
        <w:t>Equity Dominance:</w:t>
      </w:r>
      <w:r w:rsidRPr="00D9618F">
        <w:rPr>
          <w:rFonts w:ascii="Times New Roman" w:hAnsi="Times New Roman" w:cs="Times New Roman"/>
        </w:rPr>
        <w:t xml:space="preserve"> Equity-oriented schemes represent the single largest category of assets, increasing slightly from 58.1% in April 2024 to 58.9% in April 2025. This sustained proportional dominance confirms the equity segment's role as the central focus for capital mobilization and long-term investment.</w:t>
      </w:r>
    </w:p>
    <w:p w14:paraId="5D12A79A" w14:textId="77777777" w:rsidR="00F0283C" w:rsidRDefault="00F0283C" w:rsidP="00F0283C">
      <w:pPr>
        <w:pStyle w:val="ListParagraph"/>
        <w:numPr>
          <w:ilvl w:val="0"/>
          <w:numId w:val="5"/>
        </w:numPr>
        <w:jc w:val="both"/>
        <w:rPr>
          <w:rFonts w:ascii="Times New Roman" w:hAnsi="Times New Roman" w:cs="Times New Roman"/>
        </w:rPr>
      </w:pPr>
      <w:r w:rsidRPr="00D9618F">
        <w:rPr>
          <w:rFonts w:ascii="Times New Roman" w:hAnsi="Times New Roman" w:cs="Times New Roman"/>
          <w:b/>
          <w:bCs/>
        </w:rPr>
        <w:t>Debt Market Contraction:</w:t>
      </w:r>
      <w:r w:rsidRPr="00D9618F">
        <w:rPr>
          <w:rFonts w:ascii="Times New Roman" w:hAnsi="Times New Roman" w:cs="Times New Roman"/>
        </w:rPr>
        <w:t xml:space="preserve"> Conversely, the proportionate share of debt-oriented schemes experienced a marginal decline, dropping from 15.9% in April 2024 to 15.0% in April 2025. This slight proportional shift suggests that while the segment grew in absolute terms due to overall AUM growth, </w:t>
      </w:r>
      <w:r>
        <w:rPr>
          <w:rFonts w:ascii="Times New Roman" w:hAnsi="Times New Roman" w:cs="Times New Roman"/>
        </w:rPr>
        <w:t xml:space="preserve">but </w:t>
      </w:r>
      <w:r w:rsidRPr="00D9618F">
        <w:rPr>
          <w:rFonts w:ascii="Times New Roman" w:hAnsi="Times New Roman" w:cs="Times New Roman"/>
        </w:rPr>
        <w:t>it lagged the growth rate of the equity segment, reflecting dominant market sentiment towards risk and growth.</w:t>
      </w:r>
    </w:p>
    <w:p w14:paraId="2FB49BDC" w14:textId="77777777" w:rsidR="00F0283C" w:rsidRDefault="00F0283C" w:rsidP="00F0283C">
      <w:pPr>
        <w:pStyle w:val="ListParagraph"/>
        <w:numPr>
          <w:ilvl w:val="0"/>
          <w:numId w:val="5"/>
        </w:numPr>
        <w:jc w:val="both"/>
        <w:rPr>
          <w:rFonts w:ascii="Times New Roman" w:hAnsi="Times New Roman" w:cs="Times New Roman"/>
        </w:rPr>
      </w:pPr>
      <w:r w:rsidRPr="00D9618F">
        <w:rPr>
          <w:rFonts w:ascii="Times New Roman" w:hAnsi="Times New Roman" w:cs="Times New Roman"/>
          <w:b/>
          <w:bCs/>
        </w:rPr>
        <w:lastRenderedPageBreak/>
        <w:t>ETF/Liquid Stability:</w:t>
      </w:r>
      <w:r w:rsidRPr="00D9618F">
        <w:rPr>
          <w:rFonts w:ascii="Times New Roman" w:hAnsi="Times New Roman" w:cs="Times New Roman"/>
        </w:rPr>
        <w:t xml:space="preserve"> The market share of ETFs and </w:t>
      </w:r>
      <w:proofErr w:type="spellStart"/>
      <w:r w:rsidRPr="00D9618F">
        <w:rPr>
          <w:rFonts w:ascii="Times New Roman" w:hAnsi="Times New Roman" w:cs="Times New Roman"/>
        </w:rPr>
        <w:t>FoFs</w:t>
      </w:r>
      <w:proofErr w:type="spellEnd"/>
      <w:r w:rsidRPr="00D9618F">
        <w:rPr>
          <w:rFonts w:ascii="Times New Roman" w:hAnsi="Times New Roman" w:cs="Times New Roman"/>
        </w:rPr>
        <w:t xml:space="preserve"> remained stable, concluding the period at 12.5%, while the Liquid/Money Market segment also held consistent proportional weight.</w:t>
      </w:r>
    </w:p>
    <w:p w14:paraId="3ECC0364" w14:textId="77777777" w:rsidR="00F0283C" w:rsidRPr="00D9618F" w:rsidRDefault="00F0283C" w:rsidP="00F0283C">
      <w:pPr>
        <w:jc w:val="both"/>
        <w:rPr>
          <w:rFonts w:ascii="Times New Roman" w:hAnsi="Times New Roman" w:cs="Times New Roman"/>
        </w:rPr>
      </w:pPr>
      <w:r w:rsidRPr="00D9618F">
        <w:rPr>
          <w:rFonts w:ascii="Times New Roman" w:hAnsi="Times New Roman" w:cs="Times New Roman"/>
        </w:rPr>
        <w:t>This scheme-wise proportional analysis provides critical justification for the subsequent findings on investor specialization. The sustained dominance of the Equity segment nearly 60% of total AUM</w:t>
      </w:r>
      <w:r>
        <w:rPr>
          <w:rFonts w:ascii="Times New Roman" w:hAnsi="Times New Roman" w:cs="Times New Roman"/>
        </w:rPr>
        <w:t xml:space="preserve"> act as a </w:t>
      </w:r>
      <w:r w:rsidRPr="00D9618F">
        <w:rPr>
          <w:rFonts w:ascii="Times New Roman" w:hAnsi="Times New Roman" w:cs="Times New Roman"/>
        </w:rPr>
        <w:t>validat</w:t>
      </w:r>
      <w:r>
        <w:rPr>
          <w:rFonts w:ascii="Times New Roman" w:hAnsi="Times New Roman" w:cs="Times New Roman"/>
        </w:rPr>
        <w:t>ion</w:t>
      </w:r>
      <w:r w:rsidRPr="00D9618F">
        <w:rPr>
          <w:rFonts w:ascii="Times New Roman" w:hAnsi="Times New Roman" w:cs="Times New Roman"/>
        </w:rPr>
        <w:t xml:space="preserve"> that retail capital</w:t>
      </w:r>
      <w:r>
        <w:rPr>
          <w:rFonts w:ascii="Times New Roman" w:hAnsi="Times New Roman" w:cs="Times New Roman"/>
        </w:rPr>
        <w:t xml:space="preserve"> </w:t>
      </w:r>
      <w:r w:rsidRPr="00D9618F">
        <w:rPr>
          <w:rFonts w:ascii="Times New Roman" w:hAnsi="Times New Roman" w:cs="Times New Roman"/>
        </w:rPr>
        <w:t>acts as the foundational growth component for the largest market segment. Simultaneously, the significant, though slower, proportion held by the Debt and Liquid categories underscores the importance of the institutional sector in providing stability and liquidity to the overall market structure. The proportional distribution confirms that the accelerated growth observed in total AUM was fundamentally channelled into the very categories where the dual-engine</w:t>
      </w:r>
      <w:r>
        <w:rPr>
          <w:rFonts w:ascii="Times New Roman" w:hAnsi="Times New Roman" w:cs="Times New Roman"/>
        </w:rPr>
        <w:t xml:space="preserve"> </w:t>
      </w:r>
      <w:r w:rsidRPr="00D9618F">
        <w:rPr>
          <w:rFonts w:ascii="Times New Roman" w:hAnsi="Times New Roman" w:cs="Times New Roman"/>
        </w:rPr>
        <w:t>functional specialization is most pronounced.</w:t>
      </w:r>
    </w:p>
    <w:p w14:paraId="104DF6AD" w14:textId="3436C56E" w:rsidR="00C52FCC" w:rsidRDefault="00C52FCC" w:rsidP="007253A5">
      <w:pPr>
        <w:jc w:val="both"/>
        <w:rPr>
          <w:rFonts w:ascii="Times New Roman" w:hAnsi="Times New Roman" w:cs="Times New Roman"/>
          <w:b/>
          <w:bCs/>
        </w:rPr>
      </w:pPr>
      <w:r w:rsidRPr="00C52FCC">
        <w:rPr>
          <w:rFonts w:ascii="Times New Roman" w:hAnsi="Times New Roman" w:cs="Times New Roman"/>
          <w:b/>
          <w:bCs/>
        </w:rPr>
        <w:t xml:space="preserve">Chart </w:t>
      </w:r>
      <w:r w:rsidR="00F0283C">
        <w:rPr>
          <w:rFonts w:ascii="Times New Roman" w:hAnsi="Times New Roman" w:cs="Times New Roman"/>
          <w:b/>
          <w:bCs/>
        </w:rPr>
        <w:t>3</w:t>
      </w:r>
      <w:r w:rsidRPr="00C52FCC">
        <w:rPr>
          <w:rFonts w:ascii="Times New Roman" w:hAnsi="Times New Roman" w:cs="Times New Roman"/>
          <w:b/>
          <w:bCs/>
        </w:rPr>
        <w:t xml:space="preserve">. </w:t>
      </w:r>
      <w:r w:rsidR="00770273" w:rsidRPr="00770273">
        <w:rPr>
          <w:rFonts w:ascii="Times New Roman" w:hAnsi="Times New Roman" w:cs="Times New Roman"/>
          <w:b/>
          <w:bCs/>
        </w:rPr>
        <w:t>Individual vs. Institutional Asset Growth Rate</w:t>
      </w:r>
      <w:r w:rsidR="00770273">
        <w:rPr>
          <w:rFonts w:ascii="Times New Roman" w:hAnsi="Times New Roman" w:cs="Times New Roman"/>
          <w:b/>
          <w:bCs/>
        </w:rPr>
        <w:t xml:space="preserve"> </w:t>
      </w:r>
    </w:p>
    <w:p w14:paraId="510F8702" w14:textId="5BBB390F" w:rsidR="00C52FCC" w:rsidRDefault="00C52FCC" w:rsidP="007253A5">
      <w:pPr>
        <w:jc w:val="both"/>
        <w:rPr>
          <w:rFonts w:ascii="Times New Roman" w:hAnsi="Times New Roman" w:cs="Times New Roman"/>
          <w:b/>
          <w:bCs/>
        </w:rPr>
      </w:pPr>
      <w:r>
        <w:rPr>
          <w:rFonts w:ascii="Times New Roman" w:hAnsi="Times New Roman" w:cs="Times New Roman"/>
          <w:b/>
          <w:bCs/>
          <w:noProof/>
        </w:rPr>
        <w:drawing>
          <wp:inline distT="0" distB="0" distL="0" distR="0" wp14:anchorId="3888CC6A" wp14:editId="720C9FC2">
            <wp:extent cx="5486400" cy="3063240"/>
            <wp:effectExtent l="0" t="0" r="0" b="3810"/>
            <wp:docPr id="9959359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30C7C" w14:textId="77777777" w:rsidR="00C52FCC" w:rsidRPr="00C52FCC" w:rsidRDefault="00C52FCC" w:rsidP="00C52FCC">
      <w:pPr>
        <w:jc w:val="both"/>
        <w:rPr>
          <w:rFonts w:ascii="Times New Roman" w:hAnsi="Times New Roman" w:cs="Times New Roman"/>
          <w:b/>
          <w:bCs/>
        </w:rPr>
      </w:pPr>
      <w:r w:rsidRPr="00C52FCC">
        <w:rPr>
          <w:rFonts w:ascii="Times New Roman" w:hAnsi="Times New Roman" w:cs="Times New Roman"/>
          <w:b/>
          <w:bCs/>
        </w:rPr>
        <w:t>Source: AMFI; Chart constructed by the Author (Rs. in Crores) *</w:t>
      </w:r>
    </w:p>
    <w:p w14:paraId="1D64947F" w14:textId="7FC9B0B4" w:rsidR="003C7EA4" w:rsidRDefault="00C52FCC" w:rsidP="007253A5">
      <w:pPr>
        <w:jc w:val="both"/>
        <w:rPr>
          <w:rFonts w:ascii="Times New Roman" w:hAnsi="Times New Roman" w:cs="Times New Roman"/>
        </w:rPr>
      </w:pPr>
      <w:r w:rsidRPr="00C52FCC">
        <w:rPr>
          <w:rFonts w:ascii="Times New Roman" w:hAnsi="Times New Roman" w:cs="Times New Roman"/>
        </w:rPr>
        <w:t xml:space="preserve">The </w:t>
      </w:r>
      <w:r>
        <w:rPr>
          <w:rFonts w:ascii="Times New Roman" w:hAnsi="Times New Roman" w:cs="Times New Roman"/>
        </w:rPr>
        <w:t xml:space="preserve">chart </w:t>
      </w:r>
      <w:r w:rsidR="00770273">
        <w:rPr>
          <w:rFonts w:ascii="Times New Roman" w:hAnsi="Times New Roman" w:cs="Times New Roman"/>
        </w:rPr>
        <w:t xml:space="preserve">3 </w:t>
      </w:r>
      <w:r w:rsidRPr="00C52FCC">
        <w:rPr>
          <w:rFonts w:ascii="Times New Roman" w:hAnsi="Times New Roman" w:cs="Times New Roman"/>
        </w:rPr>
        <w:t xml:space="preserve">establishes that while both individual and institutional investors contributed positively to the </w:t>
      </w:r>
      <w:r w:rsidR="00E24503" w:rsidRPr="00C52FCC">
        <w:rPr>
          <w:rFonts w:ascii="Times New Roman" w:hAnsi="Times New Roman" w:cs="Times New Roman"/>
        </w:rPr>
        <w:t>market</w:t>
      </w:r>
      <w:r w:rsidR="00E24503">
        <w:rPr>
          <w:rFonts w:ascii="Times New Roman" w:hAnsi="Times New Roman" w:cs="Times New Roman"/>
        </w:rPr>
        <w:t>’s</w:t>
      </w:r>
      <w:r w:rsidRPr="00C52FCC">
        <w:rPr>
          <w:rFonts w:ascii="Times New Roman" w:hAnsi="Times New Roman" w:cs="Times New Roman"/>
        </w:rPr>
        <w:t xml:space="preserve"> overall expansion, the asset growth velocity </w:t>
      </w:r>
      <w:r>
        <w:rPr>
          <w:rFonts w:ascii="Times New Roman" w:hAnsi="Times New Roman" w:cs="Times New Roman"/>
        </w:rPr>
        <w:t>shows</w:t>
      </w:r>
      <w:r w:rsidRPr="00C52FCC">
        <w:rPr>
          <w:rFonts w:ascii="Times New Roman" w:hAnsi="Times New Roman" w:cs="Times New Roman"/>
        </w:rPr>
        <w:t xml:space="preserve"> significant disparity. Institutional assets witnessed a year-on-year growth rate of 23.80%, substantially exceeding the 20.66% recorded for individual assets. This </w:t>
      </w:r>
      <w:proofErr w:type="gramStart"/>
      <w:r w:rsidR="00E24503" w:rsidRPr="00C52FCC">
        <w:rPr>
          <w:rFonts w:ascii="Times New Roman" w:hAnsi="Times New Roman" w:cs="Times New Roman"/>
        </w:rPr>
        <w:t>3.14</w:t>
      </w:r>
      <w:r w:rsidR="00E24503">
        <w:rPr>
          <w:rFonts w:ascii="Times New Roman" w:hAnsi="Times New Roman" w:cs="Times New Roman"/>
        </w:rPr>
        <w:t xml:space="preserve">% </w:t>
      </w:r>
      <w:r w:rsidR="00E24503" w:rsidRPr="00C52FCC">
        <w:rPr>
          <w:rFonts w:ascii="Times New Roman" w:hAnsi="Times New Roman" w:cs="Times New Roman"/>
        </w:rPr>
        <w:t>point</w:t>
      </w:r>
      <w:proofErr w:type="gramEnd"/>
      <w:r w:rsidRPr="00C52FCC">
        <w:rPr>
          <w:rFonts w:ascii="Times New Roman" w:hAnsi="Times New Roman" w:cs="Times New Roman"/>
        </w:rPr>
        <w:t xml:space="preserve"> differential is the primary determinant of the subtle compositional shift observed in the market during the study period where the institutional share increased from 39.5% to 40.1%. This indicates that the growth of market share is currently being dictated by the higher compounding rate of institutional capital.</w:t>
      </w:r>
    </w:p>
    <w:p w14:paraId="2EE91BEE" w14:textId="6767F0E8" w:rsidR="003C7EA4" w:rsidRDefault="003C7EA4" w:rsidP="007253A5">
      <w:pPr>
        <w:jc w:val="both"/>
        <w:rPr>
          <w:rFonts w:ascii="Times New Roman" w:hAnsi="Times New Roman" w:cs="Times New Roman"/>
        </w:rPr>
      </w:pPr>
      <w:r>
        <w:rPr>
          <w:rFonts w:ascii="Times New Roman" w:hAnsi="Times New Roman" w:cs="Times New Roman"/>
        </w:rPr>
        <w:t>The accelerated growth in institutional capital can be justified by majorly two factors:</w:t>
      </w:r>
    </w:p>
    <w:p w14:paraId="0D2C9AF2" w14:textId="6434BC78" w:rsidR="003C7EA4" w:rsidRDefault="003C7EA4" w:rsidP="003C7EA4">
      <w:pPr>
        <w:pStyle w:val="ListParagraph"/>
        <w:numPr>
          <w:ilvl w:val="0"/>
          <w:numId w:val="4"/>
        </w:numPr>
        <w:jc w:val="both"/>
        <w:rPr>
          <w:rFonts w:ascii="Times New Roman" w:hAnsi="Times New Roman" w:cs="Times New Roman"/>
        </w:rPr>
      </w:pPr>
      <w:r w:rsidRPr="003C7EA4">
        <w:rPr>
          <w:rFonts w:ascii="Times New Roman" w:hAnsi="Times New Roman" w:cs="Times New Roman"/>
          <w:b/>
          <w:bCs/>
        </w:rPr>
        <w:t>Corporate Liquidity-</w:t>
      </w:r>
      <w:r>
        <w:rPr>
          <w:rFonts w:ascii="Times New Roman" w:hAnsi="Times New Roman" w:cs="Times New Roman"/>
        </w:rPr>
        <w:t xml:space="preserve"> </w:t>
      </w:r>
      <w:r w:rsidRPr="003C7EA4">
        <w:rPr>
          <w:rFonts w:ascii="Times New Roman" w:hAnsi="Times New Roman" w:cs="Times New Roman"/>
        </w:rPr>
        <w:t xml:space="preserve">The rapid growth of institutional AUM often reflects rising corporate earnings and increased liquidity in the economy during the study period. </w:t>
      </w:r>
      <w:r w:rsidRPr="003C7EA4">
        <w:rPr>
          <w:rFonts w:ascii="Times New Roman" w:hAnsi="Times New Roman" w:cs="Times New Roman"/>
        </w:rPr>
        <w:lastRenderedPageBreak/>
        <w:t>Institutions, including banks and large corporations, tend to channel surplus short-term funds into highly liquid and short-duration mutual fund schemes to maximize returns on their working capital. This trend is typically magnified during periods of robust economic growth.</w:t>
      </w:r>
    </w:p>
    <w:p w14:paraId="680484B1" w14:textId="7F7A3014" w:rsidR="005856A9" w:rsidRPr="005856A9" w:rsidRDefault="003C7EA4" w:rsidP="003D25C3">
      <w:pPr>
        <w:pStyle w:val="ListParagraph"/>
        <w:numPr>
          <w:ilvl w:val="0"/>
          <w:numId w:val="4"/>
        </w:numPr>
        <w:jc w:val="both"/>
        <w:rPr>
          <w:rFonts w:ascii="Times New Roman" w:hAnsi="Times New Roman" w:cs="Times New Roman"/>
          <w:b/>
          <w:bCs/>
        </w:rPr>
      </w:pPr>
      <w:r w:rsidRPr="005856A9">
        <w:rPr>
          <w:rFonts w:ascii="Times New Roman" w:hAnsi="Times New Roman" w:cs="Times New Roman"/>
          <w:b/>
          <w:bCs/>
        </w:rPr>
        <w:t xml:space="preserve">Favourable Debt Market Conditions- </w:t>
      </w:r>
      <w:r w:rsidRPr="005856A9">
        <w:rPr>
          <w:rFonts w:ascii="Times New Roman" w:hAnsi="Times New Roman" w:cs="Times New Roman"/>
        </w:rPr>
        <w:t>The period analysed saw a supportive environment in the debt market, potentially influenced by easing monetary policy or expectations of interest rate cuts. Such conditions attract institutions to debt funds for mark-to-market (MTM) gains and stable income, further boosting their asset growth.</w:t>
      </w:r>
      <w:r w:rsidR="005856A9">
        <w:rPr>
          <w:rFonts w:ascii="Times New Roman" w:hAnsi="Times New Roman" w:cs="Times New Roman"/>
        </w:rPr>
        <w:t xml:space="preserve"> </w:t>
      </w:r>
      <w:r w:rsidR="005856A9" w:rsidRPr="005856A9">
        <w:rPr>
          <w:rFonts w:ascii="Times New Roman" w:hAnsi="Times New Roman" w:cs="Times New Roman"/>
        </w:rPr>
        <w:t>The strong rebound in institutional debt fund inflows further validates this strategic, duration-based allocation behaviour.</w:t>
      </w:r>
    </w:p>
    <w:p w14:paraId="6DA0AF79" w14:textId="18D6FE07" w:rsidR="005856A9" w:rsidRDefault="005856A9" w:rsidP="005856A9">
      <w:pPr>
        <w:ind w:left="360"/>
        <w:jc w:val="both"/>
        <w:rPr>
          <w:rFonts w:ascii="Times New Roman" w:hAnsi="Times New Roman" w:cs="Times New Roman"/>
        </w:rPr>
      </w:pPr>
      <w:r>
        <w:rPr>
          <w:rFonts w:ascii="Times New Roman" w:hAnsi="Times New Roman" w:cs="Times New Roman"/>
        </w:rPr>
        <w:t xml:space="preserve">In macroeconomic </w:t>
      </w:r>
      <w:r w:rsidRPr="005856A9">
        <w:rPr>
          <w:rFonts w:ascii="Times New Roman" w:hAnsi="Times New Roman" w:cs="Times New Roman"/>
        </w:rPr>
        <w:t>context the faster growth rate of institutional assets (23.80%) suggests that the industry's expansion is not solely reliant on retail participation. Instead, it indicates a deepening relationship with the formal financial sector and the broader corporate ecosystem. The reliance on domestic institutional flows also serves as a stabilizing force for the market, offering a counter</w:t>
      </w:r>
      <w:r>
        <w:rPr>
          <w:rFonts w:ascii="Times New Roman" w:hAnsi="Times New Roman" w:cs="Times New Roman"/>
        </w:rPr>
        <w:t>balance</w:t>
      </w:r>
      <w:r w:rsidRPr="005856A9">
        <w:rPr>
          <w:rFonts w:ascii="Times New Roman" w:hAnsi="Times New Roman" w:cs="Times New Roman"/>
        </w:rPr>
        <w:t xml:space="preserve"> to the volatility sometimes associated with Foreign Portfolio Investor (FPI) flows. This ability to attract and grow fast-moving institutional capital is strong evidence of the market's evolving maturity.</w:t>
      </w:r>
    </w:p>
    <w:p w14:paraId="1DC669F3" w14:textId="77777777" w:rsidR="006A6232" w:rsidRDefault="006A6232" w:rsidP="005856A9">
      <w:pPr>
        <w:ind w:left="360"/>
        <w:jc w:val="both"/>
        <w:rPr>
          <w:rFonts w:ascii="Times New Roman" w:hAnsi="Times New Roman" w:cs="Times New Roman"/>
        </w:rPr>
      </w:pPr>
    </w:p>
    <w:p w14:paraId="6CBDB197" w14:textId="77777777" w:rsidR="000602AA" w:rsidRDefault="000602AA" w:rsidP="005856A9">
      <w:pPr>
        <w:ind w:left="360"/>
        <w:jc w:val="both"/>
        <w:rPr>
          <w:rFonts w:ascii="Times New Roman" w:hAnsi="Times New Roman" w:cs="Times New Roman"/>
        </w:rPr>
      </w:pPr>
    </w:p>
    <w:p w14:paraId="0146A8A1" w14:textId="77777777" w:rsidR="00AD7859" w:rsidRPr="00F04A62" w:rsidRDefault="00AD7859" w:rsidP="00AD7859">
      <w:pPr>
        <w:jc w:val="both"/>
        <w:rPr>
          <w:rFonts w:ascii="Times New Roman" w:hAnsi="Times New Roman" w:cs="Times New Roman"/>
        </w:rPr>
      </w:pPr>
      <w:r>
        <w:rPr>
          <w:rFonts w:ascii="Times New Roman" w:hAnsi="Times New Roman" w:cs="Times New Roman"/>
          <w:b/>
          <w:bCs/>
        </w:rPr>
        <w:t xml:space="preserve">Table 1. </w:t>
      </w:r>
      <w:r w:rsidRPr="000B1E4C">
        <w:rPr>
          <w:rFonts w:ascii="Times New Roman" w:hAnsi="Times New Roman" w:cs="Times New Roman"/>
          <w:b/>
          <w:bCs/>
        </w:rPr>
        <w:t>Investor Type-wise Composition of Mutual Fund Assets</w:t>
      </w:r>
    </w:p>
    <w:tbl>
      <w:tblPr>
        <w:tblStyle w:val="GridTable5Dark-Accent1"/>
        <w:tblpPr w:leftFromText="180" w:rightFromText="180" w:vertAnchor="text" w:horzAnchor="margin" w:tblpXSpec="center" w:tblpY="274"/>
        <w:tblW w:w="7648" w:type="dxa"/>
        <w:tblLook w:val="04A0" w:firstRow="1" w:lastRow="0" w:firstColumn="1" w:lastColumn="0" w:noHBand="0" w:noVBand="1"/>
      </w:tblPr>
      <w:tblGrid>
        <w:gridCol w:w="1665"/>
        <w:gridCol w:w="2864"/>
        <w:gridCol w:w="3119"/>
      </w:tblGrid>
      <w:tr w:rsidR="00AD7859" w14:paraId="26EBB1E5" w14:textId="77777777" w:rsidTr="00AD7859">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4D51EAF7"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Months</w:t>
            </w:r>
          </w:p>
        </w:tc>
        <w:tc>
          <w:tcPr>
            <w:tcW w:w="2864" w:type="dxa"/>
          </w:tcPr>
          <w:p w14:paraId="5AAFF48C" w14:textId="77777777" w:rsidR="00AD7859" w:rsidRPr="009158E8" w:rsidRDefault="00AD7859" w:rsidP="00AD78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Individuals</w:t>
            </w:r>
          </w:p>
        </w:tc>
        <w:tc>
          <w:tcPr>
            <w:tcW w:w="3119" w:type="dxa"/>
          </w:tcPr>
          <w:p w14:paraId="2B459180" w14:textId="77777777" w:rsidR="00AD7859" w:rsidRPr="009158E8" w:rsidRDefault="00AD7859" w:rsidP="00AD78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Institutions</w:t>
            </w:r>
          </w:p>
        </w:tc>
      </w:tr>
      <w:tr w:rsidR="00AD7859" w14:paraId="0A32A8C1"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3B14623A"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Apr-24</w:t>
            </w:r>
          </w:p>
        </w:tc>
        <w:tc>
          <w:tcPr>
            <w:tcW w:w="2864" w:type="dxa"/>
          </w:tcPr>
          <w:p w14:paraId="18092237"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60.5%</w:t>
            </w:r>
          </w:p>
        </w:tc>
        <w:tc>
          <w:tcPr>
            <w:tcW w:w="3119" w:type="dxa"/>
          </w:tcPr>
          <w:p w14:paraId="317254F9"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39.5%</w:t>
            </w:r>
          </w:p>
        </w:tc>
      </w:tr>
      <w:tr w:rsidR="00AD7859" w14:paraId="7CD6ED70" w14:textId="77777777" w:rsidTr="00AD7859">
        <w:trPr>
          <w:trHeight w:val="192"/>
        </w:trPr>
        <w:tc>
          <w:tcPr>
            <w:cnfStyle w:val="001000000000" w:firstRow="0" w:lastRow="0" w:firstColumn="1" w:lastColumn="0" w:oddVBand="0" w:evenVBand="0" w:oddHBand="0" w:evenHBand="0" w:firstRowFirstColumn="0" w:firstRowLastColumn="0" w:lastRowFirstColumn="0" w:lastRowLastColumn="0"/>
            <w:tcW w:w="1665" w:type="dxa"/>
          </w:tcPr>
          <w:p w14:paraId="5480B4DA"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May-24</w:t>
            </w:r>
          </w:p>
        </w:tc>
        <w:tc>
          <w:tcPr>
            <w:tcW w:w="2864" w:type="dxa"/>
          </w:tcPr>
          <w:p w14:paraId="68A6E6A2"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60.6%</w:t>
            </w:r>
          </w:p>
        </w:tc>
        <w:tc>
          <w:tcPr>
            <w:tcW w:w="3119" w:type="dxa"/>
          </w:tcPr>
          <w:p w14:paraId="65EAD414"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39.4%</w:t>
            </w:r>
          </w:p>
        </w:tc>
      </w:tr>
      <w:tr w:rsidR="00AD7859" w14:paraId="5C8C152E"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5C5FCA49"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Jun-24</w:t>
            </w:r>
          </w:p>
        </w:tc>
        <w:tc>
          <w:tcPr>
            <w:tcW w:w="2864" w:type="dxa"/>
          </w:tcPr>
          <w:p w14:paraId="61E0423C"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61.1%</w:t>
            </w:r>
          </w:p>
        </w:tc>
        <w:tc>
          <w:tcPr>
            <w:tcW w:w="3119" w:type="dxa"/>
          </w:tcPr>
          <w:p w14:paraId="7359F154"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38.9%</w:t>
            </w:r>
          </w:p>
        </w:tc>
      </w:tr>
      <w:tr w:rsidR="00AD7859" w14:paraId="21859A89" w14:textId="77777777" w:rsidTr="00AD785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051574AF"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Jul-24</w:t>
            </w:r>
          </w:p>
        </w:tc>
        <w:tc>
          <w:tcPr>
            <w:tcW w:w="2864" w:type="dxa"/>
          </w:tcPr>
          <w:p w14:paraId="232A116D"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w:t>
            </w:r>
          </w:p>
        </w:tc>
        <w:tc>
          <w:tcPr>
            <w:tcW w:w="3119" w:type="dxa"/>
          </w:tcPr>
          <w:p w14:paraId="1FEB50C0"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w:t>
            </w:r>
          </w:p>
        </w:tc>
      </w:tr>
      <w:tr w:rsidR="00AD7859" w14:paraId="67F20349"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1D8649DF"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Aug-24</w:t>
            </w:r>
          </w:p>
        </w:tc>
        <w:tc>
          <w:tcPr>
            <w:tcW w:w="2864" w:type="dxa"/>
          </w:tcPr>
          <w:p w14:paraId="43CCAA28"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61.1%</w:t>
            </w:r>
          </w:p>
        </w:tc>
        <w:tc>
          <w:tcPr>
            <w:tcW w:w="3119" w:type="dxa"/>
          </w:tcPr>
          <w:p w14:paraId="1DA89893"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38.9%</w:t>
            </w:r>
          </w:p>
        </w:tc>
      </w:tr>
      <w:tr w:rsidR="00AD7859" w14:paraId="65CC5D33" w14:textId="77777777" w:rsidTr="00AD785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4A74F716"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Sept-24</w:t>
            </w:r>
          </w:p>
        </w:tc>
        <w:tc>
          <w:tcPr>
            <w:tcW w:w="2864" w:type="dxa"/>
          </w:tcPr>
          <w:p w14:paraId="0437F298"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61.9%</w:t>
            </w:r>
          </w:p>
        </w:tc>
        <w:tc>
          <w:tcPr>
            <w:tcW w:w="3119" w:type="dxa"/>
          </w:tcPr>
          <w:p w14:paraId="71625E66"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38.1%</w:t>
            </w:r>
          </w:p>
        </w:tc>
      </w:tr>
      <w:tr w:rsidR="00AD7859" w14:paraId="7F7251CC"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6C2047F7"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Oct-24</w:t>
            </w:r>
          </w:p>
        </w:tc>
        <w:tc>
          <w:tcPr>
            <w:tcW w:w="2864" w:type="dxa"/>
          </w:tcPr>
          <w:p w14:paraId="2D75B1CA"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61.3%</w:t>
            </w:r>
          </w:p>
        </w:tc>
        <w:tc>
          <w:tcPr>
            <w:tcW w:w="3119" w:type="dxa"/>
          </w:tcPr>
          <w:p w14:paraId="17324AF5"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38.7%</w:t>
            </w:r>
          </w:p>
        </w:tc>
      </w:tr>
      <w:tr w:rsidR="00AD7859" w14:paraId="432C6135" w14:textId="77777777" w:rsidTr="00AD785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5FB8F32C"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Nov-24</w:t>
            </w:r>
          </w:p>
        </w:tc>
        <w:tc>
          <w:tcPr>
            <w:tcW w:w="2864" w:type="dxa"/>
          </w:tcPr>
          <w:p w14:paraId="5555C6C2"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60.8%</w:t>
            </w:r>
          </w:p>
        </w:tc>
        <w:tc>
          <w:tcPr>
            <w:tcW w:w="3119" w:type="dxa"/>
          </w:tcPr>
          <w:p w14:paraId="56B6F045"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39.2%</w:t>
            </w:r>
          </w:p>
        </w:tc>
      </w:tr>
      <w:tr w:rsidR="00AD7859" w14:paraId="3E102195"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1899F570"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Dec-24</w:t>
            </w:r>
          </w:p>
        </w:tc>
        <w:tc>
          <w:tcPr>
            <w:tcW w:w="2864" w:type="dxa"/>
          </w:tcPr>
          <w:p w14:paraId="65699297"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61.4%</w:t>
            </w:r>
          </w:p>
        </w:tc>
        <w:tc>
          <w:tcPr>
            <w:tcW w:w="3119" w:type="dxa"/>
          </w:tcPr>
          <w:p w14:paraId="1E29A0F2"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38.6%</w:t>
            </w:r>
          </w:p>
        </w:tc>
      </w:tr>
      <w:tr w:rsidR="00AD7859" w14:paraId="48D30D86" w14:textId="77777777" w:rsidTr="00AD785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0BE5176A"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Jan-25</w:t>
            </w:r>
          </w:p>
        </w:tc>
        <w:tc>
          <w:tcPr>
            <w:tcW w:w="2864" w:type="dxa"/>
          </w:tcPr>
          <w:p w14:paraId="6EBFFF84"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60.9%</w:t>
            </w:r>
          </w:p>
        </w:tc>
        <w:tc>
          <w:tcPr>
            <w:tcW w:w="3119" w:type="dxa"/>
          </w:tcPr>
          <w:p w14:paraId="56BA6C21"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39.1%</w:t>
            </w:r>
          </w:p>
        </w:tc>
      </w:tr>
      <w:tr w:rsidR="00AD7859" w14:paraId="3903EED2" w14:textId="77777777" w:rsidTr="00AD7859">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1665" w:type="dxa"/>
          </w:tcPr>
          <w:p w14:paraId="63BA97DB"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Feb-25</w:t>
            </w:r>
          </w:p>
        </w:tc>
        <w:tc>
          <w:tcPr>
            <w:tcW w:w="2864" w:type="dxa"/>
          </w:tcPr>
          <w:p w14:paraId="0860A605"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59.9%</w:t>
            </w:r>
          </w:p>
        </w:tc>
        <w:tc>
          <w:tcPr>
            <w:tcW w:w="3119" w:type="dxa"/>
          </w:tcPr>
          <w:p w14:paraId="7ECDD226"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40.1%</w:t>
            </w:r>
          </w:p>
        </w:tc>
      </w:tr>
      <w:tr w:rsidR="00AD7859" w14:paraId="6CF21996" w14:textId="77777777" w:rsidTr="00AD7859">
        <w:trPr>
          <w:trHeight w:val="201"/>
        </w:trPr>
        <w:tc>
          <w:tcPr>
            <w:cnfStyle w:val="001000000000" w:firstRow="0" w:lastRow="0" w:firstColumn="1" w:lastColumn="0" w:oddVBand="0" w:evenVBand="0" w:oddHBand="0" w:evenHBand="0" w:firstRowFirstColumn="0" w:firstRowLastColumn="0" w:lastRowFirstColumn="0" w:lastRowLastColumn="0"/>
            <w:tcW w:w="1665" w:type="dxa"/>
          </w:tcPr>
          <w:p w14:paraId="66EDC13C"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Mar-25</w:t>
            </w:r>
          </w:p>
        </w:tc>
        <w:tc>
          <w:tcPr>
            <w:tcW w:w="2864" w:type="dxa"/>
          </w:tcPr>
          <w:p w14:paraId="4A1AF78F"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60.4%</w:t>
            </w:r>
          </w:p>
        </w:tc>
        <w:tc>
          <w:tcPr>
            <w:tcW w:w="3119" w:type="dxa"/>
          </w:tcPr>
          <w:p w14:paraId="0797FDD9" w14:textId="77777777" w:rsidR="00AD7859" w:rsidRPr="009158E8" w:rsidRDefault="00AD7859" w:rsidP="00AD78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39.6%</w:t>
            </w:r>
          </w:p>
        </w:tc>
      </w:tr>
      <w:tr w:rsidR="00AD7859" w14:paraId="7A580C13" w14:textId="77777777" w:rsidTr="00AD7859">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1665" w:type="dxa"/>
          </w:tcPr>
          <w:p w14:paraId="1ECC92B2" w14:textId="77777777" w:rsidR="00AD7859" w:rsidRPr="009158E8" w:rsidRDefault="00AD7859" w:rsidP="00AD7859">
            <w:pPr>
              <w:jc w:val="center"/>
              <w:rPr>
                <w:rFonts w:ascii="Times New Roman" w:hAnsi="Times New Roman" w:cs="Times New Roman"/>
              </w:rPr>
            </w:pPr>
            <w:r w:rsidRPr="009158E8">
              <w:rPr>
                <w:rFonts w:ascii="Times New Roman" w:hAnsi="Times New Roman" w:cs="Times New Roman"/>
              </w:rPr>
              <w:t>Apr-25</w:t>
            </w:r>
          </w:p>
        </w:tc>
        <w:tc>
          <w:tcPr>
            <w:tcW w:w="2864" w:type="dxa"/>
          </w:tcPr>
          <w:p w14:paraId="29246C3D"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59.9%</w:t>
            </w:r>
          </w:p>
        </w:tc>
        <w:tc>
          <w:tcPr>
            <w:tcW w:w="3119" w:type="dxa"/>
          </w:tcPr>
          <w:p w14:paraId="75593520" w14:textId="77777777" w:rsidR="00AD7859" w:rsidRPr="009158E8" w:rsidRDefault="00AD7859" w:rsidP="00AD78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58E8">
              <w:rPr>
                <w:rFonts w:ascii="Times New Roman" w:hAnsi="Times New Roman" w:cs="Times New Roman"/>
              </w:rPr>
              <w:t>40.1%</w:t>
            </w:r>
          </w:p>
        </w:tc>
      </w:tr>
    </w:tbl>
    <w:p w14:paraId="19D7A7A2" w14:textId="77777777" w:rsidR="00AD7859" w:rsidRDefault="00AD7859" w:rsidP="005856A9">
      <w:pPr>
        <w:ind w:left="360"/>
        <w:jc w:val="both"/>
        <w:rPr>
          <w:rFonts w:ascii="Times New Roman" w:hAnsi="Times New Roman" w:cs="Times New Roman"/>
        </w:rPr>
      </w:pPr>
    </w:p>
    <w:p w14:paraId="70219304" w14:textId="77777777" w:rsidR="00AD7859" w:rsidRDefault="00AD7859" w:rsidP="005856A9">
      <w:pPr>
        <w:ind w:left="360"/>
        <w:jc w:val="both"/>
        <w:rPr>
          <w:rFonts w:ascii="Times New Roman" w:hAnsi="Times New Roman" w:cs="Times New Roman"/>
        </w:rPr>
      </w:pPr>
    </w:p>
    <w:p w14:paraId="716454B2" w14:textId="77777777" w:rsidR="00AD7859" w:rsidRDefault="00AD7859" w:rsidP="005856A9">
      <w:pPr>
        <w:ind w:left="360"/>
        <w:jc w:val="both"/>
        <w:rPr>
          <w:rFonts w:ascii="Times New Roman" w:hAnsi="Times New Roman" w:cs="Times New Roman"/>
        </w:rPr>
      </w:pPr>
    </w:p>
    <w:p w14:paraId="1FA7C078" w14:textId="77777777" w:rsidR="00AD7859" w:rsidRDefault="00AD7859" w:rsidP="005856A9">
      <w:pPr>
        <w:ind w:left="360"/>
        <w:jc w:val="both"/>
        <w:rPr>
          <w:rFonts w:ascii="Times New Roman" w:hAnsi="Times New Roman" w:cs="Times New Roman"/>
        </w:rPr>
      </w:pPr>
    </w:p>
    <w:p w14:paraId="76517AF5" w14:textId="77777777" w:rsidR="00AD7859" w:rsidRDefault="00AD7859" w:rsidP="005856A9">
      <w:pPr>
        <w:ind w:left="360"/>
        <w:jc w:val="both"/>
        <w:rPr>
          <w:rFonts w:ascii="Times New Roman" w:hAnsi="Times New Roman" w:cs="Times New Roman"/>
        </w:rPr>
      </w:pPr>
    </w:p>
    <w:p w14:paraId="70F16C9C" w14:textId="77777777" w:rsidR="00AD7859" w:rsidRDefault="00AD7859" w:rsidP="005856A9">
      <w:pPr>
        <w:ind w:left="360"/>
        <w:jc w:val="both"/>
        <w:rPr>
          <w:rFonts w:ascii="Times New Roman" w:hAnsi="Times New Roman" w:cs="Times New Roman"/>
        </w:rPr>
      </w:pPr>
    </w:p>
    <w:p w14:paraId="57B91F8B" w14:textId="77777777" w:rsidR="00AD7859" w:rsidRDefault="00AD7859" w:rsidP="005856A9">
      <w:pPr>
        <w:ind w:left="360"/>
        <w:jc w:val="both"/>
        <w:rPr>
          <w:rFonts w:ascii="Times New Roman" w:hAnsi="Times New Roman" w:cs="Times New Roman"/>
        </w:rPr>
      </w:pPr>
    </w:p>
    <w:p w14:paraId="24F8AFCF" w14:textId="77777777" w:rsidR="00AD7859" w:rsidRDefault="00AD7859" w:rsidP="005856A9">
      <w:pPr>
        <w:ind w:left="360"/>
        <w:jc w:val="both"/>
        <w:rPr>
          <w:rFonts w:ascii="Times New Roman" w:hAnsi="Times New Roman" w:cs="Times New Roman"/>
        </w:rPr>
      </w:pPr>
    </w:p>
    <w:p w14:paraId="2E47BE69" w14:textId="77777777" w:rsidR="00AD7859" w:rsidRDefault="00AD7859" w:rsidP="005856A9">
      <w:pPr>
        <w:ind w:left="360"/>
        <w:jc w:val="both"/>
        <w:rPr>
          <w:rFonts w:ascii="Times New Roman" w:hAnsi="Times New Roman" w:cs="Times New Roman"/>
        </w:rPr>
      </w:pPr>
    </w:p>
    <w:p w14:paraId="4DDDE05E" w14:textId="77777777" w:rsidR="00AD7859" w:rsidRDefault="00AD7859" w:rsidP="00AD7859">
      <w:pPr>
        <w:jc w:val="both"/>
        <w:rPr>
          <w:rFonts w:ascii="Times New Roman" w:hAnsi="Times New Roman" w:cs="Times New Roman"/>
          <w:b/>
          <w:bCs/>
        </w:rPr>
      </w:pPr>
      <w:r>
        <w:rPr>
          <w:rFonts w:ascii="Times New Roman" w:hAnsi="Times New Roman" w:cs="Times New Roman"/>
          <w:b/>
          <w:bCs/>
        </w:rPr>
        <w:t xml:space="preserve">(Source: </w:t>
      </w:r>
      <w:r w:rsidRPr="00B618B7">
        <w:rPr>
          <w:rFonts w:ascii="Times New Roman" w:hAnsi="Times New Roman" w:cs="Times New Roman"/>
          <w:b/>
          <w:bCs/>
        </w:rPr>
        <w:t>Compiled by the researcher based on the information available on</w:t>
      </w:r>
      <w:r>
        <w:rPr>
          <w:rFonts w:ascii="Times New Roman" w:hAnsi="Times New Roman" w:cs="Times New Roman"/>
          <w:b/>
          <w:bCs/>
        </w:rPr>
        <w:t xml:space="preserve"> AMFI Industry-Trends report 2025)</w:t>
      </w:r>
    </w:p>
    <w:p w14:paraId="37987FD7" w14:textId="77777777" w:rsidR="000602AA" w:rsidRDefault="000602AA" w:rsidP="00F0283C">
      <w:pPr>
        <w:jc w:val="both"/>
        <w:rPr>
          <w:rFonts w:ascii="Times New Roman" w:hAnsi="Times New Roman" w:cs="Times New Roman"/>
          <w:b/>
          <w:bCs/>
        </w:rPr>
      </w:pPr>
    </w:p>
    <w:p w14:paraId="29D9CAF9" w14:textId="77777777" w:rsidR="000602AA" w:rsidRDefault="000602AA" w:rsidP="00F0283C">
      <w:pPr>
        <w:jc w:val="both"/>
        <w:rPr>
          <w:rFonts w:ascii="Times New Roman" w:hAnsi="Times New Roman" w:cs="Times New Roman"/>
          <w:b/>
          <w:bCs/>
        </w:rPr>
      </w:pPr>
    </w:p>
    <w:p w14:paraId="49D49B1C" w14:textId="77777777" w:rsidR="000602AA" w:rsidRDefault="000602AA" w:rsidP="00F0283C">
      <w:pPr>
        <w:jc w:val="both"/>
        <w:rPr>
          <w:rFonts w:ascii="Times New Roman" w:hAnsi="Times New Roman" w:cs="Times New Roman"/>
          <w:b/>
          <w:bCs/>
        </w:rPr>
      </w:pPr>
    </w:p>
    <w:p w14:paraId="0CE302C6" w14:textId="19FCF39C" w:rsidR="00AD7859" w:rsidRPr="006B00DA" w:rsidRDefault="00AD7859" w:rsidP="00F0283C">
      <w:pPr>
        <w:jc w:val="both"/>
        <w:rPr>
          <w:rFonts w:ascii="Times New Roman" w:hAnsi="Times New Roman" w:cs="Times New Roman"/>
          <w:b/>
          <w:bCs/>
        </w:rPr>
      </w:pPr>
      <w:r w:rsidRPr="006B00DA">
        <w:rPr>
          <w:rFonts w:ascii="Times New Roman" w:hAnsi="Times New Roman" w:cs="Times New Roman"/>
          <w:b/>
          <w:bCs/>
        </w:rPr>
        <w:lastRenderedPageBreak/>
        <w:t xml:space="preserve">Chart </w:t>
      </w:r>
      <w:r w:rsidR="00F0283C">
        <w:rPr>
          <w:rFonts w:ascii="Times New Roman" w:hAnsi="Times New Roman" w:cs="Times New Roman"/>
          <w:b/>
          <w:bCs/>
        </w:rPr>
        <w:t>4</w:t>
      </w:r>
      <w:r w:rsidRPr="006B00DA">
        <w:rPr>
          <w:rFonts w:ascii="Times New Roman" w:hAnsi="Times New Roman" w:cs="Times New Roman"/>
          <w:b/>
          <w:bCs/>
        </w:rPr>
        <w:t>.</w:t>
      </w:r>
      <w:r w:rsidR="00770273" w:rsidRPr="00770273">
        <w:t xml:space="preserve"> </w:t>
      </w:r>
      <w:r w:rsidR="00770273" w:rsidRPr="00770273">
        <w:rPr>
          <w:rFonts w:ascii="Times New Roman" w:hAnsi="Times New Roman" w:cs="Times New Roman"/>
          <w:b/>
          <w:bCs/>
        </w:rPr>
        <w:t xml:space="preserve">Investor Type-wise Composition of </w:t>
      </w:r>
      <w:proofErr w:type="spellStart"/>
      <w:r w:rsidR="00770273" w:rsidRPr="00770273">
        <w:rPr>
          <w:rFonts w:ascii="Times New Roman" w:hAnsi="Times New Roman" w:cs="Times New Roman"/>
          <w:b/>
          <w:bCs/>
        </w:rPr>
        <w:t>Mutal</w:t>
      </w:r>
      <w:proofErr w:type="spellEnd"/>
      <w:r w:rsidR="00770273" w:rsidRPr="00770273">
        <w:rPr>
          <w:rFonts w:ascii="Times New Roman" w:hAnsi="Times New Roman" w:cs="Times New Roman"/>
          <w:b/>
          <w:bCs/>
        </w:rPr>
        <w:t xml:space="preserve"> Fund Assets  </w:t>
      </w:r>
    </w:p>
    <w:p w14:paraId="320C3AEA" w14:textId="3D438EC3" w:rsidR="00AD7859" w:rsidRDefault="00AD7859" w:rsidP="005856A9">
      <w:pPr>
        <w:ind w:left="360"/>
        <w:jc w:val="both"/>
        <w:rPr>
          <w:rFonts w:ascii="Times New Roman" w:hAnsi="Times New Roman" w:cs="Times New Roman"/>
        </w:rPr>
      </w:pPr>
      <w:r>
        <w:rPr>
          <w:rFonts w:ascii="Times New Roman" w:hAnsi="Times New Roman" w:cs="Times New Roman"/>
          <w:b/>
          <w:bCs/>
          <w:noProof/>
        </w:rPr>
        <w:drawing>
          <wp:inline distT="0" distB="0" distL="0" distR="0" wp14:anchorId="63C8998B" wp14:editId="778CE7F1">
            <wp:extent cx="5486400" cy="3360420"/>
            <wp:effectExtent l="0" t="0" r="0" b="11430"/>
            <wp:docPr id="5278483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CF8C47" w14:textId="77777777" w:rsidR="00AD7859" w:rsidRDefault="00AD7859" w:rsidP="00AD7859">
      <w:pPr>
        <w:jc w:val="both"/>
        <w:rPr>
          <w:rFonts w:ascii="Times New Roman" w:hAnsi="Times New Roman" w:cs="Times New Roman"/>
          <w:b/>
          <w:bCs/>
        </w:rPr>
      </w:pPr>
      <w:r>
        <w:rPr>
          <w:rFonts w:ascii="Times New Roman" w:hAnsi="Times New Roman" w:cs="Times New Roman"/>
          <w:b/>
          <w:bCs/>
        </w:rPr>
        <w:t>(Source- A</w:t>
      </w:r>
      <w:r w:rsidRPr="00B618B7">
        <w:rPr>
          <w:rFonts w:ascii="Times New Roman" w:hAnsi="Times New Roman" w:cs="Times New Roman"/>
          <w:b/>
          <w:bCs/>
        </w:rPr>
        <w:t>uthors’ creation based on the information available on</w:t>
      </w:r>
      <w:r>
        <w:rPr>
          <w:rFonts w:ascii="Times New Roman" w:hAnsi="Times New Roman" w:cs="Times New Roman"/>
          <w:b/>
          <w:bCs/>
        </w:rPr>
        <w:t xml:space="preserve"> table 1.)</w:t>
      </w:r>
    </w:p>
    <w:p w14:paraId="324539DD" w14:textId="36609E02" w:rsidR="00AD7859" w:rsidRDefault="00AD7859" w:rsidP="00AD7859">
      <w:pPr>
        <w:jc w:val="both"/>
        <w:rPr>
          <w:rFonts w:ascii="Times New Roman" w:hAnsi="Times New Roman" w:cs="Times New Roman"/>
        </w:rPr>
      </w:pPr>
      <w:r w:rsidRPr="000B1E4C">
        <w:rPr>
          <w:rFonts w:ascii="Times New Roman" w:hAnsi="Times New Roman" w:cs="Times New Roman"/>
        </w:rPr>
        <w:t>The chart</w:t>
      </w:r>
      <w:r w:rsidR="00770273">
        <w:rPr>
          <w:rFonts w:ascii="Times New Roman" w:hAnsi="Times New Roman" w:cs="Times New Roman"/>
        </w:rPr>
        <w:t xml:space="preserve"> 4</w:t>
      </w:r>
      <w:r w:rsidRPr="000B1E4C">
        <w:rPr>
          <w:rFonts w:ascii="Times New Roman" w:hAnsi="Times New Roman" w:cs="Times New Roman"/>
        </w:rPr>
        <w:t xml:space="preserve"> illustrates the composition of mutual fund assets by investor type, highlighting a notable shift in the balance between individual and institutional investors over the</w:t>
      </w:r>
      <w:r>
        <w:rPr>
          <w:rFonts w:ascii="Times New Roman" w:hAnsi="Times New Roman" w:cs="Times New Roman"/>
        </w:rPr>
        <w:t xml:space="preserve"> one</w:t>
      </w:r>
      <w:r w:rsidRPr="000B1E4C">
        <w:rPr>
          <w:rFonts w:ascii="Times New Roman" w:hAnsi="Times New Roman" w:cs="Times New Roman"/>
        </w:rPr>
        <w:t xml:space="preserve"> year.</w:t>
      </w:r>
      <w:r>
        <w:rPr>
          <w:rFonts w:ascii="Times New Roman" w:hAnsi="Times New Roman" w:cs="Times New Roman"/>
        </w:rPr>
        <w:t xml:space="preserve"> </w:t>
      </w:r>
      <w:r w:rsidRPr="000B1E4C">
        <w:rPr>
          <w:rFonts w:ascii="Times New Roman" w:hAnsi="Times New Roman" w:cs="Times New Roman"/>
        </w:rPr>
        <w:t xml:space="preserve">The data shows a </w:t>
      </w:r>
      <w:r>
        <w:rPr>
          <w:rFonts w:ascii="Times New Roman" w:hAnsi="Times New Roman" w:cs="Times New Roman"/>
        </w:rPr>
        <w:t>minor</w:t>
      </w:r>
      <w:r w:rsidRPr="000B1E4C">
        <w:rPr>
          <w:rFonts w:ascii="Times New Roman" w:hAnsi="Times New Roman" w:cs="Times New Roman"/>
        </w:rPr>
        <w:t xml:space="preserve"> but significant shift in the investor landscape. The share of assets held by institutional investors has grown over the year, while the proportionate share held by individual investors has slightly decreased.</w:t>
      </w:r>
    </w:p>
    <w:p w14:paraId="2FBFEDE3" w14:textId="7E8C0E2D" w:rsidR="00AD7859" w:rsidRDefault="00AD7859" w:rsidP="00AD7859">
      <w:pPr>
        <w:jc w:val="both"/>
        <w:rPr>
          <w:rFonts w:ascii="Times New Roman" w:hAnsi="Times New Roman" w:cs="Times New Roman"/>
        </w:rPr>
      </w:pPr>
      <w:r w:rsidRPr="00AD7859">
        <w:rPr>
          <w:rFonts w:ascii="Times New Roman" w:hAnsi="Times New Roman" w:cs="Times New Roman"/>
        </w:rPr>
        <w:t>The data confirms a minor but analytically significant reallocation of market share. Individual investors held 60.5% of the total industry assets in April 2024, but this share gradually contracted to 59.9% by April 2025. Conversely, the institutional share demonstrated proportional growth, rising from 39.5% to 40.1% over the same period. This trend, despite a few fluctuations, establishes a clear direction of structural change, resulting in a 0.6 percentage point contraction in the individual segment's proportional market control</w:t>
      </w:r>
      <w:r>
        <w:rPr>
          <w:rFonts w:ascii="Times New Roman" w:hAnsi="Times New Roman" w:cs="Times New Roman"/>
        </w:rPr>
        <w:t xml:space="preserve">. </w:t>
      </w:r>
    </w:p>
    <w:p w14:paraId="126A8702" w14:textId="57852728" w:rsidR="00AD7859" w:rsidRDefault="00AD7859" w:rsidP="00AD7859">
      <w:pPr>
        <w:jc w:val="both"/>
        <w:rPr>
          <w:rFonts w:ascii="Times New Roman" w:hAnsi="Times New Roman" w:cs="Times New Roman"/>
        </w:rPr>
      </w:pPr>
      <w:r w:rsidRPr="00AD7859">
        <w:rPr>
          <w:rFonts w:ascii="Times New Roman" w:hAnsi="Times New Roman" w:cs="Times New Roman"/>
        </w:rPr>
        <w:t>This subtle compositional shift is a crucial finding because it provides the empirical effect of the differential asset accretion velocity previously analysed where institutional assets grew faster than individual assets. The proportional increase in institutional control is a direct, quantifiable outcome of their higher growth rate 23.80% versus the individual segment's growth 20.66%. This provides strong justification that market expansion is not proportionally static; rather, the institutional segment is actively gaining influence over the industry's structural framework.</w:t>
      </w:r>
    </w:p>
    <w:p w14:paraId="5B88231D" w14:textId="153242A0" w:rsidR="00AD7859" w:rsidRDefault="00AD7859" w:rsidP="00AD7859">
      <w:pPr>
        <w:jc w:val="both"/>
        <w:rPr>
          <w:rFonts w:ascii="Times New Roman" w:hAnsi="Times New Roman" w:cs="Times New Roman"/>
        </w:rPr>
      </w:pPr>
      <w:r w:rsidRPr="00AD7859">
        <w:rPr>
          <w:rFonts w:ascii="Times New Roman" w:hAnsi="Times New Roman" w:cs="Times New Roman"/>
        </w:rPr>
        <w:t xml:space="preserve">The persistent majority share held by individual investors (59.9% in April 2025) confirms their indispensable role as the primary, foundational capital base of the industry. However, the institutional segment's proportional growth indicates an increasing sophistication and professionalization of the market structure. The greater presence of institutional capital </w:t>
      </w:r>
      <w:r w:rsidRPr="00AD7859">
        <w:rPr>
          <w:rFonts w:ascii="Times New Roman" w:hAnsi="Times New Roman" w:cs="Times New Roman"/>
        </w:rPr>
        <w:lastRenderedPageBreak/>
        <w:t>suggests a deepening link between the mutual fund industry and the formal corporate ecosystem, highlighting the market's move toward greater maturity driven by both retail depth and strategic institutional flow.</w:t>
      </w:r>
    </w:p>
    <w:p w14:paraId="6308C15A" w14:textId="77777777" w:rsidR="00F0283C" w:rsidRPr="00A3416A" w:rsidRDefault="00F0283C" w:rsidP="00F0283C">
      <w:pPr>
        <w:jc w:val="both"/>
        <w:rPr>
          <w:rFonts w:ascii="Times New Roman" w:hAnsi="Times New Roman" w:cs="Times New Roman"/>
          <w:b/>
          <w:bCs/>
        </w:rPr>
      </w:pPr>
      <w:r w:rsidRPr="00A3416A">
        <w:rPr>
          <w:rFonts w:ascii="Times New Roman" w:hAnsi="Times New Roman" w:cs="Times New Roman"/>
          <w:b/>
          <w:bCs/>
        </w:rPr>
        <w:t>Chart 5.</w:t>
      </w:r>
      <w:r>
        <w:rPr>
          <w:rFonts w:ascii="Times New Roman" w:hAnsi="Times New Roman" w:cs="Times New Roman"/>
          <w:b/>
          <w:bCs/>
        </w:rPr>
        <w:t xml:space="preserve"> </w:t>
      </w:r>
      <w:r w:rsidRPr="00A3416A">
        <w:rPr>
          <w:rFonts w:ascii="Times New Roman" w:hAnsi="Times New Roman" w:cs="Times New Roman"/>
          <w:b/>
          <w:bCs/>
        </w:rPr>
        <w:t>Composition of Investors’ Holdings</w:t>
      </w:r>
    </w:p>
    <w:p w14:paraId="3426B5B0" w14:textId="2BC2FF77" w:rsidR="00F0283C" w:rsidRDefault="00F0283C" w:rsidP="007253A5">
      <w:pPr>
        <w:jc w:val="both"/>
        <w:rPr>
          <w:rFonts w:ascii="Times New Roman" w:hAnsi="Times New Roman" w:cs="Times New Roman"/>
          <w:b/>
          <w:bCs/>
        </w:rPr>
      </w:pPr>
      <w:r>
        <w:rPr>
          <w:rFonts w:ascii="Times New Roman" w:hAnsi="Times New Roman" w:cs="Times New Roman"/>
          <w:noProof/>
        </w:rPr>
        <w:drawing>
          <wp:inline distT="0" distB="0" distL="0" distR="0" wp14:anchorId="6ACF1B09" wp14:editId="0BF32057">
            <wp:extent cx="2794000" cy="3238500"/>
            <wp:effectExtent l="0" t="0" r="6350" b="0"/>
            <wp:docPr id="2413287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noProof/>
        </w:rPr>
        <w:drawing>
          <wp:inline distT="0" distB="0" distL="0" distR="0" wp14:anchorId="72CF3F7C" wp14:editId="13C36E49">
            <wp:extent cx="2781300" cy="3238500"/>
            <wp:effectExtent l="0" t="0" r="0" b="0"/>
            <wp:docPr id="181773450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0283C">
        <w:rPr>
          <w:rFonts w:ascii="Times New Roman" w:hAnsi="Times New Roman" w:cs="Times New Roman"/>
          <w:noProof/>
        </w:rPr>
        <w:t xml:space="preserve"> </w:t>
      </w:r>
    </w:p>
    <w:p w14:paraId="21423470" w14:textId="77777777" w:rsidR="00F0283C" w:rsidRDefault="00F0283C" w:rsidP="00F0283C">
      <w:pPr>
        <w:jc w:val="both"/>
        <w:rPr>
          <w:rFonts w:ascii="Times New Roman" w:hAnsi="Times New Roman" w:cs="Times New Roman"/>
          <w:b/>
          <w:bCs/>
        </w:rPr>
      </w:pPr>
      <w:r w:rsidRPr="00F0283C">
        <w:rPr>
          <w:rFonts w:ascii="Times New Roman" w:hAnsi="Times New Roman" w:cs="Times New Roman"/>
          <w:b/>
          <w:bCs/>
        </w:rPr>
        <w:t>Source: AMFI; Chart constructed by the Author</w:t>
      </w:r>
    </w:p>
    <w:p w14:paraId="50EE276A" w14:textId="736EC333" w:rsidR="00F0283C" w:rsidRPr="00DC5C73" w:rsidRDefault="00F0283C" w:rsidP="00F0283C">
      <w:pPr>
        <w:jc w:val="both"/>
        <w:rPr>
          <w:rFonts w:ascii="Times New Roman" w:hAnsi="Times New Roman" w:cs="Times New Roman"/>
        </w:rPr>
      </w:pPr>
      <w:r>
        <w:rPr>
          <w:rFonts w:ascii="Times New Roman" w:hAnsi="Times New Roman" w:cs="Times New Roman"/>
        </w:rPr>
        <w:t>For</w:t>
      </w:r>
      <w:r w:rsidRPr="00DC5C73">
        <w:rPr>
          <w:rFonts w:ascii="Times New Roman" w:hAnsi="Times New Roman" w:cs="Times New Roman"/>
        </w:rPr>
        <w:t xml:space="preserve"> conclud</w:t>
      </w:r>
      <w:r>
        <w:rPr>
          <w:rFonts w:ascii="Times New Roman" w:hAnsi="Times New Roman" w:cs="Times New Roman"/>
        </w:rPr>
        <w:t>ing th</w:t>
      </w:r>
      <w:r w:rsidRPr="00DC5C73">
        <w:rPr>
          <w:rFonts w:ascii="Times New Roman" w:hAnsi="Times New Roman" w:cs="Times New Roman"/>
        </w:rPr>
        <w:t>e investor segmentation analysis, examin</w:t>
      </w:r>
      <w:r>
        <w:rPr>
          <w:rFonts w:ascii="Times New Roman" w:hAnsi="Times New Roman" w:cs="Times New Roman"/>
        </w:rPr>
        <w:t>ation of</w:t>
      </w:r>
      <w:r w:rsidRPr="00DC5C73">
        <w:rPr>
          <w:rFonts w:ascii="Times New Roman" w:hAnsi="Times New Roman" w:cs="Times New Roman"/>
        </w:rPr>
        <w:t xml:space="preserve"> the internal composition of assets for both individual and institutional investors</w:t>
      </w:r>
      <w:r>
        <w:rPr>
          <w:rFonts w:ascii="Times New Roman" w:hAnsi="Times New Roman" w:cs="Times New Roman"/>
        </w:rPr>
        <w:t xml:space="preserve"> are important</w:t>
      </w:r>
      <w:r w:rsidRPr="00DC5C73">
        <w:rPr>
          <w:rFonts w:ascii="Times New Roman" w:hAnsi="Times New Roman" w:cs="Times New Roman"/>
        </w:rPr>
        <w:t>. Th</w:t>
      </w:r>
      <w:r>
        <w:rPr>
          <w:rFonts w:ascii="Times New Roman" w:hAnsi="Times New Roman" w:cs="Times New Roman"/>
        </w:rPr>
        <w:t>is chart</w:t>
      </w:r>
      <w:r w:rsidR="00770273">
        <w:rPr>
          <w:rFonts w:ascii="Times New Roman" w:hAnsi="Times New Roman" w:cs="Times New Roman"/>
        </w:rPr>
        <w:t xml:space="preserve"> </w:t>
      </w:r>
      <w:r w:rsidRPr="00DC5C73">
        <w:rPr>
          <w:rFonts w:ascii="Times New Roman" w:hAnsi="Times New Roman" w:cs="Times New Roman"/>
        </w:rPr>
        <w:t>provides a detailed look at how each group allocates its holdings across various scheme types.</w:t>
      </w:r>
      <w:r>
        <w:rPr>
          <w:rFonts w:ascii="Times New Roman" w:hAnsi="Times New Roman" w:cs="Times New Roman"/>
        </w:rPr>
        <w:t xml:space="preserve"> </w:t>
      </w:r>
      <w:r w:rsidRPr="00DC5C73">
        <w:rPr>
          <w:rFonts w:ascii="Times New Roman" w:hAnsi="Times New Roman" w:cs="Times New Roman"/>
        </w:rPr>
        <w:t>The data</w:t>
      </w:r>
      <w:r>
        <w:rPr>
          <w:rFonts w:ascii="Times New Roman" w:hAnsi="Times New Roman" w:cs="Times New Roman"/>
        </w:rPr>
        <w:t xml:space="preserve"> in both pie charts</w:t>
      </w:r>
      <w:r w:rsidRPr="00DC5C73">
        <w:rPr>
          <w:rFonts w:ascii="Times New Roman" w:hAnsi="Times New Roman" w:cs="Times New Roman"/>
        </w:rPr>
        <w:t xml:space="preserve"> reveals a </w:t>
      </w:r>
      <w:r>
        <w:rPr>
          <w:rFonts w:ascii="Times New Roman" w:hAnsi="Times New Roman" w:cs="Times New Roman"/>
        </w:rPr>
        <w:t>strong</w:t>
      </w:r>
      <w:r w:rsidRPr="00DC5C73">
        <w:rPr>
          <w:rFonts w:ascii="Times New Roman" w:hAnsi="Times New Roman" w:cs="Times New Roman"/>
        </w:rPr>
        <w:t xml:space="preserve"> contrast in investment strategies: individual investors are highly focused on a single asset class, while institutional investors maintain a more diversified portfolio with a strong emphasis on liquidity and stability</w:t>
      </w:r>
      <w:r w:rsidR="00770273">
        <w:rPr>
          <w:rFonts w:ascii="Times New Roman" w:hAnsi="Times New Roman" w:cs="Times New Roman"/>
        </w:rPr>
        <w:t xml:space="preserve"> (Chart 5)</w:t>
      </w:r>
      <w:r w:rsidRPr="00DC5C73">
        <w:rPr>
          <w:rFonts w:ascii="Times New Roman" w:hAnsi="Times New Roman" w:cs="Times New Roman"/>
        </w:rPr>
        <w:t>.</w:t>
      </w:r>
    </w:p>
    <w:p w14:paraId="5B6AFD00" w14:textId="77777777" w:rsidR="00F0283C" w:rsidRPr="00626E59" w:rsidRDefault="00F0283C" w:rsidP="00F0283C">
      <w:pPr>
        <w:jc w:val="both"/>
        <w:rPr>
          <w:rFonts w:ascii="Times New Roman" w:hAnsi="Times New Roman" w:cs="Times New Roman"/>
        </w:rPr>
      </w:pPr>
      <w:r w:rsidRPr="00626E59">
        <w:rPr>
          <w:rFonts w:ascii="Times New Roman" w:hAnsi="Times New Roman" w:cs="Times New Roman"/>
        </w:rPr>
        <w:t>Th</w:t>
      </w:r>
      <w:r>
        <w:rPr>
          <w:rFonts w:ascii="Times New Roman" w:hAnsi="Times New Roman" w:cs="Times New Roman"/>
        </w:rPr>
        <w:t>is</w:t>
      </w:r>
      <w:r w:rsidRPr="00626E59">
        <w:rPr>
          <w:rFonts w:ascii="Times New Roman" w:hAnsi="Times New Roman" w:cs="Times New Roman"/>
        </w:rPr>
        <w:t xml:space="preserve"> cross-sectional analysis of portfolio composition empirically validates the existence of distinct and specialized investment mandates, which underpins the market's dual engine structure. Individual investors exhibit extreme concentration, with a massive 86% of their total holdings dedicated to Equity-oriented schemes. This high level of commitment is fundamentally justified by their longer investment horizons and primary mandate for long-term capital appreciation to meet major life goals, positioning this segment as the essential source of high-conviction risk capital for the equity market. Conversely, institutional investors maintain a diversified portfolio heavily skewed toward liquidity and stability. The majority of their assets</w:t>
      </w:r>
      <w:r>
        <w:rPr>
          <w:rFonts w:ascii="Times New Roman" w:hAnsi="Times New Roman" w:cs="Times New Roman"/>
        </w:rPr>
        <w:t xml:space="preserve"> </w:t>
      </w:r>
      <w:r w:rsidRPr="00626E59">
        <w:rPr>
          <w:rFonts w:ascii="Times New Roman" w:hAnsi="Times New Roman" w:cs="Times New Roman"/>
        </w:rPr>
        <w:t>specifically 55%</w:t>
      </w:r>
      <w:r>
        <w:rPr>
          <w:rFonts w:ascii="Times New Roman" w:hAnsi="Times New Roman" w:cs="Times New Roman"/>
        </w:rPr>
        <w:t xml:space="preserve"> </w:t>
      </w:r>
      <w:r w:rsidRPr="00626E59">
        <w:rPr>
          <w:rFonts w:ascii="Times New Roman" w:hAnsi="Times New Roman" w:cs="Times New Roman"/>
        </w:rPr>
        <w:t>are strategically allocated across Liquid/Money Market (31%) and Debt-oriented schemes (24%). This allocation is entirely consistent with the institutional mandate for efficient treasury management, strategic deployment of working capital, and meeting regulatory requirements for capital preservation and predictable income generation.</w:t>
      </w:r>
    </w:p>
    <w:p w14:paraId="3782D2F0" w14:textId="4AD6E94B" w:rsidR="00F0283C" w:rsidRDefault="00F0283C" w:rsidP="007253A5">
      <w:pPr>
        <w:jc w:val="both"/>
        <w:rPr>
          <w:rFonts w:ascii="Times New Roman" w:hAnsi="Times New Roman" w:cs="Times New Roman"/>
          <w:b/>
          <w:bCs/>
        </w:rPr>
      </w:pPr>
      <w:r w:rsidRPr="00626E59">
        <w:rPr>
          <w:rFonts w:ascii="Times New Roman" w:hAnsi="Times New Roman" w:cs="Times New Roman"/>
        </w:rPr>
        <w:lastRenderedPageBreak/>
        <w:t>Th</w:t>
      </w:r>
      <w:r>
        <w:rPr>
          <w:rFonts w:ascii="Times New Roman" w:hAnsi="Times New Roman" w:cs="Times New Roman"/>
        </w:rPr>
        <w:t xml:space="preserve">ese charts </w:t>
      </w:r>
      <w:r w:rsidRPr="00626E59">
        <w:rPr>
          <w:rFonts w:ascii="Times New Roman" w:hAnsi="Times New Roman" w:cs="Times New Roman"/>
        </w:rPr>
        <w:t>provide the necessary in-depth justification that the structural specialization</w:t>
      </w:r>
      <w:r>
        <w:rPr>
          <w:rFonts w:ascii="Times New Roman" w:hAnsi="Times New Roman" w:cs="Times New Roman"/>
        </w:rPr>
        <w:t xml:space="preserve"> </w:t>
      </w:r>
      <w:r w:rsidRPr="00626E59">
        <w:rPr>
          <w:rFonts w:ascii="Times New Roman" w:hAnsi="Times New Roman" w:cs="Times New Roman"/>
        </w:rPr>
        <w:t>Individuals as the risk-takers and Institutions as the liquidity providers</w:t>
      </w:r>
      <w:r>
        <w:rPr>
          <w:rFonts w:ascii="Times New Roman" w:hAnsi="Times New Roman" w:cs="Times New Roman"/>
        </w:rPr>
        <w:t xml:space="preserve"> that acts as</w:t>
      </w:r>
      <w:r w:rsidRPr="00626E59">
        <w:rPr>
          <w:rFonts w:ascii="Times New Roman" w:hAnsi="Times New Roman" w:cs="Times New Roman"/>
        </w:rPr>
        <w:t xml:space="preserve"> the foundation upon which the market's current dual-engine growth model is built</w:t>
      </w:r>
      <w:r w:rsidRPr="00626E59">
        <w:rPr>
          <w:rFonts w:ascii="Times New Roman" w:hAnsi="Times New Roman" w:cs="Times New Roman"/>
          <w:b/>
          <w:bCs/>
        </w:rPr>
        <w:t>.</w:t>
      </w:r>
    </w:p>
    <w:p w14:paraId="59B498B6" w14:textId="65E2ECBA" w:rsidR="00D2395E" w:rsidRDefault="00D2395E" w:rsidP="007253A5">
      <w:pPr>
        <w:jc w:val="both"/>
        <w:rPr>
          <w:rFonts w:ascii="Times New Roman" w:hAnsi="Times New Roman" w:cs="Times New Roman"/>
          <w:b/>
          <w:bCs/>
        </w:rPr>
      </w:pPr>
      <w:r>
        <w:rPr>
          <w:rFonts w:ascii="Times New Roman" w:hAnsi="Times New Roman" w:cs="Times New Roman"/>
          <w:b/>
          <w:bCs/>
        </w:rPr>
        <w:t xml:space="preserve">Chart </w:t>
      </w:r>
      <w:r w:rsidR="00F0283C">
        <w:rPr>
          <w:rFonts w:ascii="Times New Roman" w:hAnsi="Times New Roman" w:cs="Times New Roman"/>
          <w:b/>
          <w:bCs/>
        </w:rPr>
        <w:t>6</w:t>
      </w:r>
      <w:r>
        <w:rPr>
          <w:rFonts w:ascii="Times New Roman" w:hAnsi="Times New Roman" w:cs="Times New Roman"/>
          <w:b/>
          <w:bCs/>
        </w:rPr>
        <w:t xml:space="preserve">. </w:t>
      </w:r>
      <w:r w:rsidR="00770273" w:rsidRPr="00770273">
        <w:rPr>
          <w:rFonts w:ascii="Times New Roman" w:hAnsi="Times New Roman" w:cs="Times New Roman"/>
          <w:b/>
          <w:bCs/>
        </w:rPr>
        <w:t>Investor Categories Across Scheme Types</w:t>
      </w:r>
    </w:p>
    <w:p w14:paraId="767A65D5" w14:textId="60716F5C" w:rsidR="00D2395E" w:rsidRDefault="00D2395E" w:rsidP="007253A5">
      <w:pPr>
        <w:jc w:val="both"/>
        <w:rPr>
          <w:rFonts w:ascii="Times New Roman" w:hAnsi="Times New Roman" w:cs="Times New Roman"/>
          <w:b/>
          <w:bCs/>
        </w:rPr>
      </w:pPr>
      <w:r>
        <w:rPr>
          <w:rFonts w:ascii="Times New Roman" w:hAnsi="Times New Roman" w:cs="Times New Roman"/>
          <w:b/>
          <w:bCs/>
          <w:noProof/>
        </w:rPr>
        <w:drawing>
          <wp:inline distT="0" distB="0" distL="0" distR="0" wp14:anchorId="7ACA0FA9" wp14:editId="62767A26">
            <wp:extent cx="5486400" cy="3200400"/>
            <wp:effectExtent l="0" t="0" r="0" b="0"/>
            <wp:docPr id="9217659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F0CEF9" w14:textId="1F5C0D3A" w:rsidR="00ED707F" w:rsidRPr="00F0283C" w:rsidRDefault="008D7F3B" w:rsidP="007253A5">
      <w:pPr>
        <w:jc w:val="both"/>
        <w:rPr>
          <w:rFonts w:ascii="Times New Roman" w:hAnsi="Times New Roman" w:cs="Times New Roman"/>
          <w:b/>
          <w:bCs/>
        </w:rPr>
      </w:pPr>
      <w:r w:rsidRPr="00F0283C">
        <w:rPr>
          <w:rFonts w:ascii="Times New Roman" w:hAnsi="Times New Roman" w:cs="Times New Roman"/>
          <w:b/>
          <w:bCs/>
        </w:rPr>
        <w:t>Source: AMFI</w:t>
      </w:r>
      <w:r w:rsidR="00124FB3" w:rsidRPr="00F0283C">
        <w:rPr>
          <w:rFonts w:ascii="Times New Roman" w:hAnsi="Times New Roman" w:cs="Times New Roman"/>
          <w:b/>
          <w:bCs/>
        </w:rPr>
        <w:t>; Chart constructed by the Author</w:t>
      </w:r>
    </w:p>
    <w:p w14:paraId="1F9CB29E" w14:textId="3E9DEF3B" w:rsidR="006F4EF2" w:rsidRDefault="00770273" w:rsidP="00907795">
      <w:pPr>
        <w:jc w:val="both"/>
        <w:rPr>
          <w:rFonts w:ascii="Times New Roman" w:hAnsi="Times New Roman" w:cs="Times New Roman"/>
        </w:rPr>
      </w:pPr>
      <w:r>
        <w:rPr>
          <w:rFonts w:ascii="Times New Roman" w:hAnsi="Times New Roman" w:cs="Times New Roman"/>
        </w:rPr>
        <w:t xml:space="preserve">Chart 6 illustrate </w:t>
      </w:r>
      <w:proofErr w:type="gramStart"/>
      <w:r w:rsidR="00973B31" w:rsidRPr="00973B31">
        <w:rPr>
          <w:rFonts w:ascii="Times New Roman" w:hAnsi="Times New Roman" w:cs="Times New Roman"/>
        </w:rPr>
        <w:t>The</w:t>
      </w:r>
      <w:proofErr w:type="gramEnd"/>
      <w:r w:rsidR="00973B31" w:rsidRPr="00973B31">
        <w:rPr>
          <w:rFonts w:ascii="Times New Roman" w:hAnsi="Times New Roman" w:cs="Times New Roman"/>
        </w:rPr>
        <w:t xml:space="preserve"> analysis of investor participation across scheme types provides the definitive, empirical evidence that the mutual fund market operates through a high degree of functional specialization. The data rigorously confirms a clear structural </w:t>
      </w:r>
      <w:r w:rsidR="006F4EF2" w:rsidRPr="00973B31">
        <w:rPr>
          <w:rFonts w:ascii="Times New Roman" w:hAnsi="Times New Roman" w:cs="Times New Roman"/>
        </w:rPr>
        <w:t>separation</w:t>
      </w:r>
      <w:r w:rsidR="006F4EF2">
        <w:rPr>
          <w:rFonts w:ascii="Times New Roman" w:hAnsi="Times New Roman" w:cs="Times New Roman"/>
        </w:rPr>
        <w:t xml:space="preserve"> because </w:t>
      </w:r>
      <w:r w:rsidR="00973B31" w:rsidRPr="00973B31">
        <w:rPr>
          <w:rFonts w:ascii="Times New Roman" w:hAnsi="Times New Roman" w:cs="Times New Roman"/>
        </w:rPr>
        <w:t xml:space="preserve">Equity-oriented schemes are overwhelmingly funded by individual investors, who account for a massive 88% of the asset base in this category. This concentration conclusively establishes the retail segment as the indispensable source of high-conviction risk capital required to sustain long-term growth and absorb volatility in the equity market. Conversely, institutional investors demonstrate decisive and near-total control over the non-equity, stability-focused categories, accounting for 89% of Liquid/Money Market schemes, 65% of Debt-oriented schemes, and 87% of ETFs and </w:t>
      </w:r>
      <w:proofErr w:type="spellStart"/>
      <w:r w:rsidR="00973B31" w:rsidRPr="00973B31">
        <w:rPr>
          <w:rFonts w:ascii="Times New Roman" w:hAnsi="Times New Roman" w:cs="Times New Roman"/>
        </w:rPr>
        <w:t>FoFs</w:t>
      </w:r>
      <w:proofErr w:type="spellEnd"/>
      <w:r w:rsidR="00973B31" w:rsidRPr="00973B31">
        <w:rPr>
          <w:rFonts w:ascii="Times New Roman" w:hAnsi="Times New Roman" w:cs="Times New Roman"/>
        </w:rPr>
        <w:t>. This dominance in stability-focused schemes confirms that the institutional segment functions as the necessary provider of liquidity, market efficiency, and strategic capital for the debt markets and corporate treasury management.</w:t>
      </w:r>
    </w:p>
    <w:p w14:paraId="676E1BC6" w14:textId="56EDA981" w:rsidR="006F4EF2" w:rsidRDefault="006F4EF2" w:rsidP="00907795">
      <w:pPr>
        <w:jc w:val="both"/>
        <w:rPr>
          <w:rFonts w:ascii="Times New Roman" w:hAnsi="Times New Roman" w:cs="Times New Roman"/>
        </w:rPr>
      </w:pPr>
      <w:r w:rsidRPr="006F4EF2">
        <w:rPr>
          <w:rFonts w:ascii="Times New Roman" w:hAnsi="Times New Roman" w:cs="Times New Roman"/>
        </w:rPr>
        <w:t>The comprehensive evidence provided by the scheme-wise composition data provides the final, essential justification that the market's stability and accelerated growth are fundamentally interdependent. The market has achieved a state of maturity where two investor engines</w:t>
      </w:r>
      <w:r>
        <w:rPr>
          <w:rFonts w:ascii="Times New Roman" w:hAnsi="Times New Roman" w:cs="Times New Roman"/>
        </w:rPr>
        <w:t xml:space="preserve"> </w:t>
      </w:r>
      <w:r w:rsidRPr="006F4EF2">
        <w:rPr>
          <w:rFonts w:ascii="Times New Roman" w:hAnsi="Times New Roman" w:cs="Times New Roman"/>
        </w:rPr>
        <w:t>one specialized for growth (Individuals in Equity) and the other for stability and efficiency (Institutions in Debt/Liquid)</w:t>
      </w:r>
      <w:r>
        <w:rPr>
          <w:rFonts w:ascii="Times New Roman" w:hAnsi="Times New Roman" w:cs="Times New Roman"/>
        </w:rPr>
        <w:t xml:space="preserve"> to </w:t>
      </w:r>
      <w:r w:rsidRPr="006F4EF2">
        <w:rPr>
          <w:rFonts w:ascii="Times New Roman" w:hAnsi="Times New Roman" w:cs="Times New Roman"/>
        </w:rPr>
        <w:t>fulfil complementary, non-competing financial functions.</w:t>
      </w:r>
    </w:p>
    <w:p w14:paraId="7186D80D" w14:textId="77777777" w:rsidR="00812E4B" w:rsidRPr="006F4EF2" w:rsidRDefault="00812E4B" w:rsidP="00907795">
      <w:pPr>
        <w:jc w:val="both"/>
        <w:rPr>
          <w:rFonts w:ascii="Times New Roman" w:hAnsi="Times New Roman" w:cs="Times New Roman"/>
        </w:rPr>
      </w:pPr>
    </w:p>
    <w:p w14:paraId="105E4EDE" w14:textId="77777777" w:rsidR="000C5CE5" w:rsidRDefault="000C5CE5" w:rsidP="007253A5">
      <w:pPr>
        <w:jc w:val="both"/>
        <w:rPr>
          <w:rFonts w:ascii="Times New Roman" w:hAnsi="Times New Roman" w:cs="Times New Roman"/>
          <w:b/>
          <w:bCs/>
        </w:rPr>
      </w:pPr>
    </w:p>
    <w:p w14:paraId="3FAB4774" w14:textId="691FC8D9" w:rsidR="00B6524F" w:rsidRDefault="00770273" w:rsidP="007253A5">
      <w:pPr>
        <w:jc w:val="both"/>
        <w:rPr>
          <w:rFonts w:ascii="Times New Roman" w:hAnsi="Times New Roman" w:cs="Times New Roman"/>
          <w:b/>
          <w:bCs/>
        </w:rPr>
      </w:pPr>
      <w:r>
        <w:rPr>
          <w:rFonts w:ascii="Times New Roman" w:hAnsi="Times New Roman" w:cs="Times New Roman"/>
          <w:b/>
          <w:bCs/>
        </w:rPr>
        <w:lastRenderedPageBreak/>
        <w:t xml:space="preserve">Major </w:t>
      </w:r>
      <w:r w:rsidR="00B6524F">
        <w:rPr>
          <w:rFonts w:ascii="Times New Roman" w:hAnsi="Times New Roman" w:cs="Times New Roman"/>
          <w:b/>
          <w:bCs/>
        </w:rPr>
        <w:t xml:space="preserve">FINDINGS OF THE STUDY: </w:t>
      </w:r>
    </w:p>
    <w:p w14:paraId="37DF8519" w14:textId="77777777" w:rsidR="00B6524F" w:rsidRPr="00B6524F" w:rsidRDefault="00B6524F" w:rsidP="00B6524F">
      <w:pPr>
        <w:jc w:val="both"/>
        <w:rPr>
          <w:rFonts w:ascii="Times New Roman" w:hAnsi="Times New Roman" w:cs="Times New Roman"/>
        </w:rPr>
      </w:pPr>
      <w:r w:rsidRPr="00B6524F">
        <w:rPr>
          <w:rFonts w:ascii="Times New Roman" w:hAnsi="Times New Roman" w:cs="Times New Roman"/>
        </w:rPr>
        <w:t>The empirical analysis of the Indian mutual fund industry between April 2024 and April 2025 yielded three primary sets of findings, which collectively define the market's trajectory towards structural maturity.</w:t>
      </w:r>
    </w:p>
    <w:p w14:paraId="1501E654" w14:textId="27DC7C80" w:rsidR="00B6524F" w:rsidRPr="00B6524F" w:rsidRDefault="00B6524F" w:rsidP="00B6524F">
      <w:pPr>
        <w:jc w:val="both"/>
        <w:rPr>
          <w:rFonts w:ascii="Times New Roman" w:hAnsi="Times New Roman" w:cs="Times New Roman"/>
          <w:b/>
          <w:bCs/>
        </w:rPr>
      </w:pPr>
      <w:r w:rsidRPr="00B6524F">
        <w:rPr>
          <w:rFonts w:ascii="Times New Roman" w:hAnsi="Times New Roman" w:cs="Times New Roman"/>
          <w:b/>
          <w:bCs/>
        </w:rPr>
        <w:t>Accelerated Market Expansion and Asset Dynamics</w:t>
      </w:r>
      <w:r>
        <w:rPr>
          <w:rFonts w:ascii="Times New Roman" w:hAnsi="Times New Roman" w:cs="Times New Roman"/>
          <w:b/>
          <w:bCs/>
        </w:rPr>
        <w:t xml:space="preserve">: </w:t>
      </w:r>
    </w:p>
    <w:p w14:paraId="04EDDA9E" w14:textId="4D8E5F04" w:rsidR="00B6524F" w:rsidRPr="00B6524F" w:rsidRDefault="00B6524F" w:rsidP="00B6524F">
      <w:pPr>
        <w:jc w:val="both"/>
        <w:rPr>
          <w:rFonts w:ascii="Times New Roman" w:hAnsi="Times New Roman" w:cs="Times New Roman"/>
        </w:rPr>
      </w:pPr>
      <w:r w:rsidRPr="00B6524F">
        <w:rPr>
          <w:rFonts w:ascii="Times New Roman" w:hAnsi="Times New Roman" w:cs="Times New Roman"/>
        </w:rPr>
        <w:t>The industry exhibited a period of accelerated growth, with Total Assets Under Management (AUM) expanding by 21.91%. This significant rate of asset accretion signals a strong momentum shift, substantially supported by favourable macroeconomic conditions during the study period. Analysis of the scheme-wise composition demonstrated that this growth was heavily channelled into the Equity-oriented segment, which maintained proportional dominance at nearly 58.9% of the total market AUM, thereby providing the foundational context for subsequent specialization analysis.</w:t>
      </w:r>
    </w:p>
    <w:p w14:paraId="33E8986C" w14:textId="00CB7931" w:rsidR="00B6524F" w:rsidRPr="00B6524F" w:rsidRDefault="00B6524F" w:rsidP="00B6524F">
      <w:pPr>
        <w:jc w:val="both"/>
        <w:rPr>
          <w:rFonts w:ascii="Times New Roman" w:hAnsi="Times New Roman" w:cs="Times New Roman"/>
          <w:b/>
          <w:bCs/>
        </w:rPr>
      </w:pPr>
      <w:r w:rsidRPr="00B6524F">
        <w:rPr>
          <w:rFonts w:ascii="Times New Roman" w:hAnsi="Times New Roman" w:cs="Times New Roman"/>
          <w:b/>
          <w:bCs/>
        </w:rPr>
        <w:t>Differential Growth Velocity and Compositional Shift</w:t>
      </w:r>
      <w:r>
        <w:rPr>
          <w:rFonts w:ascii="Times New Roman" w:hAnsi="Times New Roman" w:cs="Times New Roman"/>
          <w:b/>
          <w:bCs/>
        </w:rPr>
        <w:t xml:space="preserve">: </w:t>
      </w:r>
    </w:p>
    <w:p w14:paraId="7D2C2379" w14:textId="77777777" w:rsidR="00B6524F" w:rsidRPr="00B6524F" w:rsidRDefault="00B6524F" w:rsidP="00B6524F">
      <w:pPr>
        <w:jc w:val="both"/>
        <w:rPr>
          <w:rFonts w:ascii="Times New Roman" w:hAnsi="Times New Roman" w:cs="Times New Roman"/>
        </w:rPr>
      </w:pPr>
      <w:r w:rsidRPr="00B6524F">
        <w:rPr>
          <w:rFonts w:ascii="Times New Roman" w:hAnsi="Times New Roman" w:cs="Times New Roman"/>
        </w:rPr>
        <w:t>While both primary investor segments contributed to the overall growth, the rate of asset accretion was not uniform:</w:t>
      </w:r>
    </w:p>
    <w:p w14:paraId="2159DAA9" w14:textId="77777777" w:rsidR="00B6524F" w:rsidRPr="00B6524F" w:rsidRDefault="00B6524F" w:rsidP="00B6524F">
      <w:pPr>
        <w:numPr>
          <w:ilvl w:val="0"/>
          <w:numId w:val="6"/>
        </w:numPr>
        <w:jc w:val="both"/>
        <w:rPr>
          <w:rFonts w:ascii="Times New Roman" w:hAnsi="Times New Roman" w:cs="Times New Roman"/>
        </w:rPr>
      </w:pPr>
      <w:r w:rsidRPr="00B6524F">
        <w:rPr>
          <w:rFonts w:ascii="Times New Roman" w:hAnsi="Times New Roman" w:cs="Times New Roman"/>
          <w:b/>
          <w:bCs/>
        </w:rPr>
        <w:t>Unequal Growth Rate:</w:t>
      </w:r>
      <w:r w:rsidRPr="00B6524F">
        <w:rPr>
          <w:rFonts w:ascii="Times New Roman" w:hAnsi="Times New Roman" w:cs="Times New Roman"/>
        </w:rPr>
        <w:t xml:space="preserve"> Institutional assets grew at a rate of 23.80%, substantially exceeding the 20.66% recorded for individual assets.</w:t>
      </w:r>
    </w:p>
    <w:p w14:paraId="0F26490F" w14:textId="77777777" w:rsidR="00B6524F" w:rsidRPr="00B6524F" w:rsidRDefault="00B6524F" w:rsidP="00B6524F">
      <w:pPr>
        <w:numPr>
          <w:ilvl w:val="0"/>
          <w:numId w:val="6"/>
        </w:numPr>
        <w:jc w:val="both"/>
        <w:rPr>
          <w:rFonts w:ascii="Times New Roman" w:hAnsi="Times New Roman" w:cs="Times New Roman"/>
        </w:rPr>
      </w:pPr>
      <w:r w:rsidRPr="00B6524F">
        <w:rPr>
          <w:rFonts w:ascii="Times New Roman" w:hAnsi="Times New Roman" w:cs="Times New Roman"/>
          <w:b/>
          <w:bCs/>
        </w:rPr>
        <w:t>Compositional Shift:</w:t>
      </w:r>
      <w:r w:rsidRPr="00B6524F">
        <w:rPr>
          <w:rFonts w:ascii="Times New Roman" w:hAnsi="Times New Roman" w:cs="Times New Roman"/>
        </w:rPr>
        <w:t xml:space="preserve"> This differential growth velocity resulted in a subtle, but empirically verifiable, shift in market structure, quantified by a 0.6 percentage point contraction in the individual segment's proportional share, confirming that the institutional sector is gaining proportional influence.</w:t>
      </w:r>
    </w:p>
    <w:p w14:paraId="4ACD78C0" w14:textId="7EAA92E6" w:rsidR="00B6524F" w:rsidRPr="00B6524F" w:rsidRDefault="00B6524F" w:rsidP="00B6524F">
      <w:pPr>
        <w:jc w:val="both"/>
        <w:rPr>
          <w:rFonts w:ascii="Times New Roman" w:hAnsi="Times New Roman" w:cs="Times New Roman"/>
          <w:b/>
          <w:bCs/>
        </w:rPr>
      </w:pPr>
      <w:r w:rsidRPr="00B6524F">
        <w:rPr>
          <w:rFonts w:ascii="Times New Roman" w:hAnsi="Times New Roman" w:cs="Times New Roman"/>
          <w:b/>
          <w:bCs/>
        </w:rPr>
        <w:t>Structural Specialization and the "Dual-Engine" Model</w:t>
      </w:r>
      <w:r>
        <w:rPr>
          <w:rFonts w:ascii="Times New Roman" w:hAnsi="Times New Roman" w:cs="Times New Roman"/>
          <w:b/>
          <w:bCs/>
        </w:rPr>
        <w:t>:</w:t>
      </w:r>
    </w:p>
    <w:p w14:paraId="479E2F59" w14:textId="1397859F" w:rsidR="00B6524F" w:rsidRPr="00B6524F" w:rsidRDefault="00B6524F" w:rsidP="00B6524F">
      <w:pPr>
        <w:jc w:val="both"/>
        <w:rPr>
          <w:rFonts w:ascii="Times New Roman" w:hAnsi="Times New Roman" w:cs="Times New Roman"/>
        </w:rPr>
      </w:pPr>
      <w:r w:rsidRPr="00B6524F">
        <w:rPr>
          <w:rFonts w:ascii="Times New Roman" w:hAnsi="Times New Roman" w:cs="Times New Roman"/>
        </w:rPr>
        <w:t>The most critical finding is the conclusive evidence of functional specialization among investor segments, which forms the basis of the dual-engine model:</w:t>
      </w:r>
    </w:p>
    <w:p w14:paraId="1A8B3BC1" w14:textId="77777777" w:rsidR="00B6524F" w:rsidRPr="00B6524F" w:rsidRDefault="00B6524F" w:rsidP="00B6524F">
      <w:pPr>
        <w:numPr>
          <w:ilvl w:val="0"/>
          <w:numId w:val="7"/>
        </w:numPr>
        <w:jc w:val="both"/>
        <w:rPr>
          <w:rFonts w:ascii="Times New Roman" w:hAnsi="Times New Roman" w:cs="Times New Roman"/>
        </w:rPr>
      </w:pPr>
      <w:r w:rsidRPr="00B6524F">
        <w:rPr>
          <w:rFonts w:ascii="Times New Roman" w:hAnsi="Times New Roman" w:cs="Times New Roman"/>
          <w:b/>
          <w:bCs/>
        </w:rPr>
        <w:t>Individual Mandate (Growth Engine</w:t>
      </w:r>
      <w:r w:rsidRPr="00B6524F">
        <w:rPr>
          <w:rFonts w:ascii="Times New Roman" w:hAnsi="Times New Roman" w:cs="Times New Roman"/>
        </w:rPr>
        <w:t>): Individual investors demonstrated extreme concentration, allocating a massive 86% of their total assets to Equity-oriented schemes. This establishes the retail base as the indispensable source of high-conviction, long-term risk capital for the equity market.</w:t>
      </w:r>
    </w:p>
    <w:p w14:paraId="6A802D75" w14:textId="77777777" w:rsidR="00B6524F" w:rsidRDefault="00B6524F" w:rsidP="00B6524F">
      <w:pPr>
        <w:numPr>
          <w:ilvl w:val="0"/>
          <w:numId w:val="7"/>
        </w:numPr>
        <w:jc w:val="both"/>
        <w:rPr>
          <w:rFonts w:ascii="Times New Roman" w:hAnsi="Times New Roman" w:cs="Times New Roman"/>
        </w:rPr>
      </w:pPr>
      <w:r w:rsidRPr="00B6524F">
        <w:rPr>
          <w:rFonts w:ascii="Times New Roman" w:hAnsi="Times New Roman" w:cs="Times New Roman"/>
          <w:b/>
          <w:bCs/>
        </w:rPr>
        <w:t>Institutional Mandate (Stability Engine):</w:t>
      </w:r>
      <w:r w:rsidRPr="00B6524F">
        <w:rPr>
          <w:rFonts w:ascii="Times New Roman" w:hAnsi="Times New Roman" w:cs="Times New Roman"/>
        </w:rPr>
        <w:t xml:space="preserve"> Institutional investors exhibited a preference for stability and liquidity, controlling the majority of non-equity assets. They dominate the Liquid/Money Market (89%) and Debt-oriented schemes (65%), fulfilling the critical, complementary function of providing liquidity, stability, and efficiency to the debt and treasury management segments of the industry.</w:t>
      </w:r>
    </w:p>
    <w:p w14:paraId="7BFC64A4" w14:textId="77777777" w:rsidR="00812E4B" w:rsidRDefault="00812E4B" w:rsidP="007253A5">
      <w:pPr>
        <w:jc w:val="both"/>
        <w:rPr>
          <w:rFonts w:ascii="Times New Roman" w:hAnsi="Times New Roman" w:cs="Times New Roman"/>
        </w:rPr>
      </w:pPr>
    </w:p>
    <w:p w14:paraId="5825C405" w14:textId="77777777" w:rsidR="00812E4B" w:rsidRDefault="00812E4B" w:rsidP="007253A5">
      <w:pPr>
        <w:jc w:val="both"/>
        <w:rPr>
          <w:rFonts w:ascii="Times New Roman" w:hAnsi="Times New Roman" w:cs="Times New Roman"/>
        </w:rPr>
      </w:pPr>
    </w:p>
    <w:p w14:paraId="464A21A9" w14:textId="77777777" w:rsidR="00812E4B" w:rsidRDefault="00812E4B" w:rsidP="007253A5">
      <w:pPr>
        <w:jc w:val="both"/>
        <w:rPr>
          <w:rFonts w:ascii="Times New Roman" w:hAnsi="Times New Roman" w:cs="Times New Roman"/>
        </w:rPr>
      </w:pPr>
    </w:p>
    <w:p w14:paraId="40FFDB26" w14:textId="3BDDC7E3" w:rsidR="00B6524F" w:rsidRDefault="0000049A" w:rsidP="007253A5">
      <w:pPr>
        <w:jc w:val="both"/>
        <w:rPr>
          <w:rFonts w:ascii="Times New Roman" w:hAnsi="Times New Roman" w:cs="Times New Roman"/>
          <w:b/>
          <w:bCs/>
        </w:rPr>
      </w:pPr>
      <w:r>
        <w:rPr>
          <w:rFonts w:ascii="Times New Roman" w:hAnsi="Times New Roman" w:cs="Times New Roman"/>
          <w:b/>
          <w:bCs/>
        </w:rPr>
        <w:lastRenderedPageBreak/>
        <w:t xml:space="preserve">CONCLUSION: </w:t>
      </w:r>
    </w:p>
    <w:p w14:paraId="536566CA" w14:textId="56DC7FF8" w:rsidR="0000049A" w:rsidRPr="0000049A" w:rsidRDefault="0000049A" w:rsidP="007253A5">
      <w:pPr>
        <w:jc w:val="both"/>
        <w:rPr>
          <w:rFonts w:ascii="Times New Roman" w:hAnsi="Times New Roman" w:cs="Times New Roman"/>
        </w:rPr>
      </w:pPr>
      <w:r w:rsidRPr="0000049A">
        <w:rPr>
          <w:rFonts w:ascii="Times New Roman" w:hAnsi="Times New Roman" w:cs="Times New Roman"/>
        </w:rPr>
        <w:t>This study provides a rigorous empirical analysis of the Indian mutual fund industry, confirming that between April 2024 and April 2025, the market achieved a state of functional maturity defined by a dual-engine growth model. The findings establish that the market's 21.91% expansion in AUM was structurally supported by two specialized forces: the Retail Engine, fuelled by individual investors, provides the essential long-term risk capital required for the dominant Equity segment</w:t>
      </w:r>
      <w:r>
        <w:rPr>
          <w:rFonts w:ascii="Times New Roman" w:hAnsi="Times New Roman" w:cs="Times New Roman"/>
        </w:rPr>
        <w:t xml:space="preserve">, </w:t>
      </w:r>
      <w:r w:rsidRPr="0000049A">
        <w:rPr>
          <w:rFonts w:ascii="Times New Roman" w:hAnsi="Times New Roman" w:cs="Times New Roman"/>
        </w:rPr>
        <w:t>86% of their assets; concurrently, the Institutional Engine, driven by corporate and professional entities, provides the critical liquidity, stability, and efficiency for the Debt and Money Market segments</w:t>
      </w:r>
      <w:r>
        <w:rPr>
          <w:rFonts w:ascii="Times New Roman" w:hAnsi="Times New Roman" w:cs="Times New Roman"/>
        </w:rPr>
        <w:t xml:space="preserve">, </w:t>
      </w:r>
      <w:r w:rsidRPr="0000049A">
        <w:rPr>
          <w:rFonts w:ascii="Times New Roman" w:hAnsi="Times New Roman" w:cs="Times New Roman"/>
        </w:rPr>
        <w:t>55% of their assets. The differential growth rate, which quantified the accelerated accretion of institutional assets, further indicates that this structural specialization is deepening, lending greater strategic importance to the high-volume professional flow. These data-driven insights are crucial for policymakers to anticipate future structural shifts and for fund managers to strategically tailor product development and marketing strategies to two distinct, functionally specialized segments.</w:t>
      </w:r>
    </w:p>
    <w:p w14:paraId="2A5DD62E" w14:textId="77777777" w:rsidR="0000049A" w:rsidRDefault="0000049A" w:rsidP="007253A5">
      <w:pPr>
        <w:jc w:val="both"/>
        <w:rPr>
          <w:rFonts w:ascii="Times New Roman" w:hAnsi="Times New Roman" w:cs="Times New Roman"/>
        </w:rPr>
      </w:pPr>
    </w:p>
    <w:p w14:paraId="11EF4FAA" w14:textId="64263F78" w:rsidR="00C2236A" w:rsidRDefault="00F04A62" w:rsidP="007253A5">
      <w:pPr>
        <w:jc w:val="both"/>
        <w:rPr>
          <w:rFonts w:ascii="Times New Roman" w:hAnsi="Times New Roman" w:cs="Times New Roman"/>
          <w:b/>
          <w:bCs/>
        </w:rPr>
      </w:pPr>
      <w:r>
        <w:rPr>
          <w:rFonts w:ascii="Times New Roman" w:hAnsi="Times New Roman" w:cs="Times New Roman"/>
          <w:b/>
          <w:bCs/>
        </w:rPr>
        <w:t>SUGGESTION:</w:t>
      </w:r>
    </w:p>
    <w:p w14:paraId="045196D6" w14:textId="3060C675" w:rsidR="00ED707F" w:rsidRDefault="00C2236A" w:rsidP="007253A5">
      <w:pPr>
        <w:jc w:val="both"/>
        <w:rPr>
          <w:rFonts w:ascii="Times New Roman" w:hAnsi="Times New Roman" w:cs="Times New Roman"/>
        </w:rPr>
      </w:pPr>
      <w:r w:rsidRPr="00C2236A">
        <w:rPr>
          <w:rFonts w:ascii="Times New Roman" w:hAnsi="Times New Roman" w:cs="Times New Roman"/>
        </w:rPr>
        <w:t>Based on the findings of this</w:t>
      </w:r>
      <w:r>
        <w:rPr>
          <w:rFonts w:ascii="Times New Roman" w:hAnsi="Times New Roman" w:cs="Times New Roman"/>
        </w:rPr>
        <w:t xml:space="preserve"> study</w:t>
      </w:r>
      <w:r w:rsidRPr="00C2236A">
        <w:rPr>
          <w:rFonts w:ascii="Times New Roman" w:hAnsi="Times New Roman" w:cs="Times New Roman"/>
        </w:rPr>
        <w:t>, several suggestions can be put for key stakeholders in the Indian mutual fund industry. These recommendations are</w:t>
      </w:r>
      <w:r>
        <w:rPr>
          <w:rFonts w:ascii="Times New Roman" w:hAnsi="Times New Roman" w:cs="Times New Roman"/>
        </w:rPr>
        <w:t xml:space="preserve"> made to</w:t>
      </w:r>
      <w:r w:rsidR="008F25BF">
        <w:rPr>
          <w:rFonts w:ascii="Times New Roman" w:hAnsi="Times New Roman" w:cs="Times New Roman"/>
        </w:rPr>
        <w:t xml:space="preserve"> promote</w:t>
      </w:r>
      <w:r>
        <w:rPr>
          <w:rFonts w:ascii="Times New Roman" w:hAnsi="Times New Roman" w:cs="Times New Roman"/>
        </w:rPr>
        <w:t xml:space="preserve"> the mutual fund market growth in future.</w:t>
      </w:r>
      <w:r w:rsidRPr="00C2236A">
        <w:rPr>
          <w:rFonts w:ascii="Times New Roman" w:hAnsi="Times New Roman" w:cs="Times New Roman"/>
        </w:rPr>
        <w:t xml:space="preserve"> </w:t>
      </w:r>
    </w:p>
    <w:p w14:paraId="1FA553F9" w14:textId="3DF9E6A6" w:rsidR="008F25BF" w:rsidRDefault="008F25BF" w:rsidP="008F25BF">
      <w:pPr>
        <w:pStyle w:val="ListParagraph"/>
        <w:numPr>
          <w:ilvl w:val="0"/>
          <w:numId w:val="3"/>
        </w:numPr>
        <w:jc w:val="both"/>
        <w:rPr>
          <w:rFonts w:ascii="Times New Roman" w:hAnsi="Times New Roman" w:cs="Times New Roman"/>
        </w:rPr>
      </w:pPr>
      <w:r w:rsidRPr="008F25BF">
        <w:rPr>
          <w:rFonts w:ascii="Times New Roman" w:hAnsi="Times New Roman" w:cs="Times New Roman"/>
          <w:b/>
          <w:bCs/>
        </w:rPr>
        <w:t xml:space="preserve">For the Mutual Fund Industry: </w:t>
      </w:r>
      <w:r w:rsidRPr="008F25BF">
        <w:rPr>
          <w:rFonts w:ascii="Times New Roman" w:hAnsi="Times New Roman" w:cs="Times New Roman"/>
        </w:rPr>
        <w:t xml:space="preserve">This study's findings on investor preferences and asset growth indicate that a uniform approach is ineffective for the mutual fund industry. </w:t>
      </w:r>
      <w:r>
        <w:rPr>
          <w:rFonts w:ascii="Times New Roman" w:hAnsi="Times New Roman" w:cs="Times New Roman"/>
        </w:rPr>
        <w:t>So, f</w:t>
      </w:r>
      <w:r w:rsidRPr="008F25BF">
        <w:rPr>
          <w:rFonts w:ascii="Times New Roman" w:hAnsi="Times New Roman" w:cs="Times New Roman"/>
        </w:rPr>
        <w:t>und houses should implement</w:t>
      </w:r>
      <w:r>
        <w:rPr>
          <w:rFonts w:ascii="Times New Roman" w:hAnsi="Times New Roman" w:cs="Times New Roman"/>
        </w:rPr>
        <w:t xml:space="preserve"> </w:t>
      </w:r>
      <w:r w:rsidRPr="008F25BF">
        <w:rPr>
          <w:rFonts w:ascii="Times New Roman" w:hAnsi="Times New Roman" w:cs="Times New Roman"/>
        </w:rPr>
        <w:t>a two-part strategy for their product and marketing efforts. They ought to continue innovating and promoting long-term, equity-focused schemes, as the retail investor segment is the main force behind the equity market. At the same time, they should concentrate on creating and tailoring more specialized, tax-efficient debt, liquid, and ETF products specifically for the fast-expanding institutional segment, addressing its unique requirements for liquidity, stability, and diversified exposure.</w:t>
      </w:r>
    </w:p>
    <w:p w14:paraId="43FD1EC1" w14:textId="45D2AB14" w:rsidR="008F25BF" w:rsidRDefault="008F25BF" w:rsidP="008F25BF">
      <w:pPr>
        <w:pStyle w:val="ListParagraph"/>
        <w:numPr>
          <w:ilvl w:val="0"/>
          <w:numId w:val="3"/>
        </w:numPr>
        <w:jc w:val="both"/>
        <w:rPr>
          <w:rFonts w:ascii="Times New Roman" w:hAnsi="Times New Roman" w:cs="Times New Roman"/>
        </w:rPr>
      </w:pPr>
      <w:r w:rsidRPr="008F25BF">
        <w:rPr>
          <w:rFonts w:ascii="Times New Roman" w:hAnsi="Times New Roman" w:cs="Times New Roman"/>
          <w:b/>
          <w:bCs/>
        </w:rPr>
        <w:t>For Regulators and Policy Makers:</w:t>
      </w:r>
      <w:r w:rsidR="00774BE1">
        <w:rPr>
          <w:rFonts w:ascii="Times New Roman" w:hAnsi="Times New Roman" w:cs="Times New Roman"/>
          <w:b/>
          <w:bCs/>
        </w:rPr>
        <w:t xml:space="preserve"> </w:t>
      </w:r>
      <w:r w:rsidRPr="008F25BF">
        <w:rPr>
          <w:rFonts w:ascii="Times New Roman" w:hAnsi="Times New Roman" w:cs="Times New Roman"/>
        </w:rPr>
        <w:t xml:space="preserve">The faster growth of institutional assets highlights their increasing importance in the market. Regulatory bodies could consider </w:t>
      </w:r>
      <w:r w:rsidR="009B0007">
        <w:rPr>
          <w:rFonts w:ascii="Times New Roman" w:hAnsi="Times New Roman" w:cs="Times New Roman"/>
        </w:rPr>
        <w:t>simplify</w:t>
      </w:r>
      <w:r w:rsidRPr="008F25BF">
        <w:rPr>
          <w:rFonts w:ascii="Times New Roman" w:hAnsi="Times New Roman" w:cs="Times New Roman"/>
        </w:rPr>
        <w:t xml:space="preserve"> processes or introducing policies that further encourage institutional participation, such as simplifying the investment framework for corporate and foreign institutional investors. This would help sustain the market's </w:t>
      </w:r>
      <w:r w:rsidR="009B0007" w:rsidRPr="008F25BF">
        <w:rPr>
          <w:rFonts w:ascii="Times New Roman" w:hAnsi="Times New Roman" w:cs="Times New Roman"/>
        </w:rPr>
        <w:t>strong</w:t>
      </w:r>
      <w:r w:rsidRPr="008F25BF">
        <w:rPr>
          <w:rFonts w:ascii="Times New Roman" w:hAnsi="Times New Roman" w:cs="Times New Roman"/>
        </w:rPr>
        <w:t xml:space="preserve"> growth trajectory.</w:t>
      </w:r>
    </w:p>
    <w:p w14:paraId="498673A2" w14:textId="340770A5" w:rsidR="00C2236A" w:rsidRPr="006A6232" w:rsidRDefault="009B0007" w:rsidP="007253A5">
      <w:pPr>
        <w:pStyle w:val="ListParagraph"/>
        <w:numPr>
          <w:ilvl w:val="0"/>
          <w:numId w:val="3"/>
        </w:numPr>
        <w:jc w:val="both"/>
        <w:rPr>
          <w:rFonts w:ascii="Times New Roman" w:hAnsi="Times New Roman" w:cs="Times New Roman"/>
          <w:b/>
          <w:bCs/>
        </w:rPr>
      </w:pPr>
      <w:r w:rsidRPr="009B0007">
        <w:rPr>
          <w:rFonts w:ascii="Times New Roman" w:hAnsi="Times New Roman" w:cs="Times New Roman"/>
          <w:b/>
          <w:bCs/>
        </w:rPr>
        <w:t xml:space="preserve">For Investors: </w:t>
      </w:r>
      <w:r w:rsidRPr="009B0007">
        <w:rPr>
          <w:rFonts w:ascii="Times New Roman" w:hAnsi="Times New Roman" w:cs="Times New Roman"/>
        </w:rPr>
        <w:t>The findings show that individual investors have a strong preference for equity. While this passion for growth is a positive sign, it also indicates the potential lack of diversification.</w:t>
      </w:r>
      <w:r>
        <w:rPr>
          <w:rFonts w:ascii="Times New Roman" w:hAnsi="Times New Roman" w:cs="Times New Roman"/>
        </w:rPr>
        <w:t xml:space="preserve"> </w:t>
      </w:r>
      <w:r w:rsidRPr="009B0007">
        <w:rPr>
          <w:rFonts w:ascii="Times New Roman" w:hAnsi="Times New Roman" w:cs="Times New Roman"/>
        </w:rPr>
        <w:t>To address this, fund houses and financial advisors should improve their investor education initiatives. These efforts ought to emphasize the benefits of including debt, liquid funds, and balanced portfolios to reduce risk and help investors achieve a more comprehensive financial strategy.</w:t>
      </w:r>
    </w:p>
    <w:p w14:paraId="48757B41" w14:textId="77777777" w:rsidR="006A6232" w:rsidRPr="009B0007" w:rsidRDefault="006A6232" w:rsidP="006A6232">
      <w:pPr>
        <w:pStyle w:val="ListParagraph"/>
        <w:jc w:val="both"/>
        <w:rPr>
          <w:rFonts w:ascii="Times New Roman" w:hAnsi="Times New Roman" w:cs="Times New Roman"/>
          <w:b/>
          <w:bCs/>
        </w:rPr>
      </w:pPr>
    </w:p>
    <w:p w14:paraId="563E6773" w14:textId="42797951" w:rsidR="00812E4B" w:rsidRPr="00812E4B" w:rsidRDefault="00812E4B" w:rsidP="00812E4B">
      <w:pPr>
        <w:jc w:val="both"/>
        <w:rPr>
          <w:rFonts w:ascii="Times New Roman" w:hAnsi="Times New Roman" w:cs="Times New Roman"/>
          <w:b/>
          <w:bCs/>
          <w:highlight w:val="yellow"/>
          <w:lang w:val="en-US"/>
        </w:rPr>
      </w:pPr>
      <w:bookmarkStart w:id="1" w:name="_Hlk203774331"/>
      <w:r w:rsidRPr="00812E4B">
        <w:rPr>
          <w:rFonts w:ascii="Times New Roman" w:hAnsi="Times New Roman" w:cs="Times New Roman"/>
          <w:b/>
          <w:bCs/>
          <w:highlight w:val="yellow"/>
          <w:lang w:val="en-US"/>
        </w:rPr>
        <w:lastRenderedPageBreak/>
        <w:t>Disclaimer (Artificial intelligence)</w:t>
      </w:r>
    </w:p>
    <w:p w14:paraId="33138C75" w14:textId="2F27418A" w:rsidR="00812E4B" w:rsidRPr="00770273" w:rsidRDefault="00812E4B" w:rsidP="00812E4B">
      <w:pPr>
        <w:jc w:val="both"/>
        <w:rPr>
          <w:rFonts w:ascii="Times New Roman" w:hAnsi="Times New Roman" w:cs="Times New Roman"/>
          <w:bCs/>
          <w:lang w:val="en-US"/>
        </w:rPr>
      </w:pPr>
      <w:r w:rsidRPr="00770273">
        <w:rPr>
          <w:rFonts w:ascii="Times New Roman" w:hAnsi="Times New Roman" w:cs="Times New Roman"/>
          <w:bCs/>
          <w:highlight w:val="yellow"/>
          <w:lang w:val="en-US"/>
        </w:rPr>
        <w:t>Author(s) hereby declares that NO generative AI technologies such as Large Language Models (ChatGPT, COPILOT, etc.) and text-to-image generators have been used during the writing or editing of this manuscript.</w:t>
      </w:r>
      <w:r w:rsidRPr="00770273">
        <w:rPr>
          <w:rFonts w:ascii="Times New Roman" w:hAnsi="Times New Roman" w:cs="Times New Roman"/>
          <w:bCs/>
          <w:lang w:val="en-US"/>
        </w:rPr>
        <w:t xml:space="preserve"> </w:t>
      </w:r>
    </w:p>
    <w:p w14:paraId="2DB16045" w14:textId="77777777" w:rsidR="00812E4B" w:rsidRDefault="00812E4B" w:rsidP="007253A5">
      <w:pPr>
        <w:jc w:val="both"/>
        <w:rPr>
          <w:rFonts w:ascii="Times New Roman" w:hAnsi="Times New Roman" w:cs="Times New Roman"/>
          <w:b/>
          <w:bCs/>
        </w:rPr>
      </w:pPr>
    </w:p>
    <w:p w14:paraId="04CA89B6" w14:textId="24FA3433" w:rsidR="00F04A62" w:rsidRPr="00F04A62" w:rsidRDefault="00F04A62" w:rsidP="007253A5">
      <w:pPr>
        <w:jc w:val="both"/>
        <w:rPr>
          <w:rFonts w:ascii="Times New Roman" w:hAnsi="Times New Roman" w:cs="Times New Roman"/>
          <w:b/>
          <w:bCs/>
        </w:rPr>
      </w:pPr>
      <w:r w:rsidRPr="00F04A62">
        <w:rPr>
          <w:rFonts w:ascii="Times New Roman" w:hAnsi="Times New Roman" w:cs="Times New Roman"/>
          <w:b/>
          <w:bCs/>
        </w:rPr>
        <w:t xml:space="preserve">REFERENCES: </w:t>
      </w:r>
    </w:p>
    <w:bookmarkEnd w:id="1"/>
    <w:p w14:paraId="37FC9841" w14:textId="77777777" w:rsidR="000602AA" w:rsidRPr="0096027C" w:rsidRDefault="000602AA" w:rsidP="007253A5">
      <w:pPr>
        <w:jc w:val="both"/>
        <w:rPr>
          <w:rFonts w:ascii="Times New Roman" w:hAnsi="Times New Roman" w:cs="Times New Roman"/>
        </w:rPr>
      </w:pPr>
    </w:p>
    <w:p w14:paraId="7069C4F6" w14:textId="77777777" w:rsidR="000602AA" w:rsidRPr="00CF47D5" w:rsidRDefault="000602AA" w:rsidP="00CF47D5">
      <w:pPr>
        <w:pStyle w:val="ListParagraph"/>
        <w:numPr>
          <w:ilvl w:val="0"/>
          <w:numId w:val="8"/>
        </w:numPr>
        <w:jc w:val="both"/>
        <w:rPr>
          <w:rFonts w:ascii="Times New Roman" w:hAnsi="Times New Roman" w:cs="Times New Roman"/>
        </w:rPr>
      </w:pPr>
      <w:proofErr w:type="spellStart"/>
      <w:r w:rsidRPr="00CF47D5">
        <w:rPr>
          <w:rFonts w:ascii="Times New Roman" w:hAnsi="Times New Roman" w:cs="Times New Roman"/>
        </w:rPr>
        <w:t>Aaluri</w:t>
      </w:r>
      <w:proofErr w:type="spellEnd"/>
      <w:r w:rsidRPr="00CF47D5">
        <w:rPr>
          <w:rFonts w:ascii="Times New Roman" w:hAnsi="Times New Roman" w:cs="Times New Roman"/>
        </w:rPr>
        <w:t xml:space="preserve">, S., </w:t>
      </w:r>
      <w:proofErr w:type="spellStart"/>
      <w:r w:rsidRPr="00CF47D5">
        <w:rPr>
          <w:rFonts w:ascii="Times New Roman" w:hAnsi="Times New Roman" w:cs="Times New Roman"/>
        </w:rPr>
        <w:t>Pulibandla</w:t>
      </w:r>
      <w:proofErr w:type="spellEnd"/>
      <w:r w:rsidRPr="00CF47D5">
        <w:rPr>
          <w:rFonts w:ascii="Times New Roman" w:hAnsi="Times New Roman" w:cs="Times New Roman"/>
        </w:rPr>
        <w:t xml:space="preserve">, K. P., Ganesh, L., C, V. K., &amp; Sehgal, A. (2024). An empirical study on examining the influence of mutual fund investment growth on equity market performance. </w:t>
      </w:r>
      <w:r w:rsidRPr="00CF47D5">
        <w:rPr>
          <w:rFonts w:ascii="Times New Roman" w:hAnsi="Times New Roman" w:cs="Times New Roman"/>
          <w:i/>
          <w:iCs/>
        </w:rPr>
        <w:t>MATEC Web of Conferences</w:t>
      </w:r>
      <w:r w:rsidRPr="00CF47D5">
        <w:rPr>
          <w:rFonts w:ascii="Times New Roman" w:hAnsi="Times New Roman" w:cs="Times New Roman"/>
        </w:rPr>
        <w:t xml:space="preserve">, </w:t>
      </w:r>
      <w:r w:rsidRPr="00CF47D5">
        <w:rPr>
          <w:rFonts w:ascii="Times New Roman" w:hAnsi="Times New Roman" w:cs="Times New Roman"/>
          <w:i/>
          <w:iCs/>
        </w:rPr>
        <w:t>392</w:t>
      </w:r>
      <w:r w:rsidRPr="00CF47D5">
        <w:rPr>
          <w:rFonts w:ascii="Times New Roman" w:hAnsi="Times New Roman" w:cs="Times New Roman"/>
        </w:rPr>
        <w:t xml:space="preserve">, 01047. </w:t>
      </w:r>
      <w:hyperlink r:id="rId13" w:history="1">
        <w:r w:rsidRPr="00CF47D5">
          <w:rPr>
            <w:rStyle w:val="Hyperlink"/>
            <w:rFonts w:ascii="Times New Roman" w:hAnsi="Times New Roman" w:cs="Times New Roman"/>
          </w:rPr>
          <w:t>https://doi.org/10.1051/matecconf/202439201047</w:t>
        </w:r>
      </w:hyperlink>
    </w:p>
    <w:p w14:paraId="24B5F8EC"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Agrawal, D. (2016). </w:t>
      </w:r>
      <w:r w:rsidRPr="00CF47D5">
        <w:rPr>
          <w:rFonts w:ascii="Times New Roman" w:hAnsi="Times New Roman" w:cs="Times New Roman"/>
          <w:i/>
          <w:iCs/>
        </w:rPr>
        <w:t xml:space="preserve">Investor </w:t>
      </w:r>
      <w:proofErr w:type="spellStart"/>
      <w:r w:rsidRPr="00CF47D5">
        <w:rPr>
          <w:rFonts w:ascii="Times New Roman" w:hAnsi="Times New Roman" w:cs="Times New Roman"/>
          <w:i/>
          <w:iCs/>
        </w:rPr>
        <w:t>Behavior</w:t>
      </w:r>
      <w:proofErr w:type="spellEnd"/>
      <w:r w:rsidRPr="00CF47D5">
        <w:rPr>
          <w:rFonts w:ascii="Times New Roman" w:hAnsi="Times New Roman" w:cs="Times New Roman"/>
          <w:i/>
          <w:iCs/>
        </w:rPr>
        <w:t xml:space="preserve"> Towards Mutual Fund: A Challenge to Mutual Fund Industry in India</w:t>
      </w:r>
      <w:r w:rsidRPr="00CF47D5">
        <w:rPr>
          <w:rFonts w:ascii="Times New Roman" w:hAnsi="Times New Roman" w:cs="Times New Roman"/>
        </w:rPr>
        <w:t xml:space="preserve">. Academia.edu. </w:t>
      </w:r>
      <w:hyperlink r:id="rId14" w:tgtFrame="_new" w:history="1">
        <w:r w:rsidRPr="00CF47D5">
          <w:rPr>
            <w:rStyle w:val="Hyperlink"/>
            <w:rFonts w:ascii="Times New Roman" w:hAnsi="Times New Roman" w:cs="Times New Roman"/>
          </w:rPr>
          <w:t>https://www.academia.edu/37160130/Investor_Behavior_Towards_Mutual_Fund_A_Challenge_to_Mutual_Fund_Industry_in_India</w:t>
        </w:r>
      </w:hyperlink>
    </w:p>
    <w:p w14:paraId="741B2A68" w14:textId="77777777" w:rsidR="000602AA" w:rsidRDefault="000602AA" w:rsidP="00CF47D5">
      <w:pPr>
        <w:pStyle w:val="ListParagraph"/>
        <w:numPr>
          <w:ilvl w:val="0"/>
          <w:numId w:val="8"/>
        </w:numPr>
      </w:pPr>
      <w:r w:rsidRPr="00CF47D5">
        <w:rPr>
          <w:rFonts w:ascii="Times New Roman" w:hAnsi="Times New Roman" w:cs="Times New Roman"/>
        </w:rPr>
        <w:t xml:space="preserve">AMFI (2025) </w:t>
      </w:r>
      <w:r w:rsidRPr="00CF47D5">
        <w:rPr>
          <w:rFonts w:ascii="Times New Roman" w:hAnsi="Times New Roman" w:cs="Times New Roman"/>
          <w:i/>
          <w:iCs/>
        </w:rPr>
        <w:t>AMFI Annual Report Fiscal 2025</w:t>
      </w:r>
      <w:r w:rsidRPr="00CF47D5">
        <w:rPr>
          <w:rFonts w:ascii="Times New Roman" w:hAnsi="Times New Roman" w:cs="Times New Roman"/>
        </w:rPr>
        <w:t xml:space="preserve">. </w:t>
      </w:r>
      <w:hyperlink r:id="rId15" w:history="1">
        <w:r w:rsidRPr="00CF47D5">
          <w:rPr>
            <w:rStyle w:val="Hyperlink"/>
            <w:rFonts w:ascii="Times New Roman" w:hAnsi="Times New Roman" w:cs="Times New Roman"/>
          </w:rPr>
          <w:t>https://www.amfiindia.com/Themes/Theme1/downloads/AMFI_AnnualMFReport2025.pdf</w:t>
        </w:r>
      </w:hyperlink>
    </w:p>
    <w:p w14:paraId="5136CC38"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i/>
          <w:iCs/>
        </w:rPr>
        <w:t>AMFI</w:t>
      </w:r>
      <w:r w:rsidRPr="00CF47D5">
        <w:rPr>
          <w:rFonts w:ascii="Times New Roman" w:hAnsi="Times New Roman" w:cs="Times New Roman"/>
        </w:rPr>
        <w:t xml:space="preserve">. (n.d.-a). </w:t>
      </w:r>
      <w:hyperlink r:id="rId16" w:history="1">
        <w:r w:rsidRPr="00CF47D5">
          <w:rPr>
            <w:rStyle w:val="Hyperlink"/>
            <w:rFonts w:ascii="Times New Roman" w:hAnsi="Times New Roman" w:cs="Times New Roman"/>
          </w:rPr>
          <w:t>https://www.amfiindia.com/investor/knowledge-center-info?zoneName=IntroductionMutualFunds</w:t>
        </w:r>
      </w:hyperlink>
    </w:p>
    <w:p w14:paraId="3E4564AC"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i/>
          <w:iCs/>
        </w:rPr>
        <w:t>AMFI</w:t>
      </w:r>
      <w:r w:rsidRPr="00CF47D5">
        <w:rPr>
          <w:rFonts w:ascii="Times New Roman" w:hAnsi="Times New Roman" w:cs="Times New Roman"/>
        </w:rPr>
        <w:t xml:space="preserve">. (n.d.-b). </w:t>
      </w:r>
      <w:hyperlink r:id="rId17" w:history="1">
        <w:r w:rsidRPr="00CF47D5">
          <w:rPr>
            <w:rStyle w:val="Hyperlink"/>
            <w:rFonts w:ascii="Times New Roman" w:hAnsi="Times New Roman" w:cs="Times New Roman"/>
          </w:rPr>
          <w:t>https://www.amfiindia.com/investor/knowledge-center-info?zoneName=HistoryOfMutualFundsInIndia</w:t>
        </w:r>
      </w:hyperlink>
    </w:p>
    <w:p w14:paraId="0733FCA5"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Association of Mutual Funds in India. (2024). </w:t>
      </w:r>
      <w:r w:rsidRPr="00CF47D5">
        <w:rPr>
          <w:rFonts w:ascii="Times New Roman" w:hAnsi="Times New Roman" w:cs="Times New Roman"/>
          <w:i/>
          <w:iCs/>
        </w:rPr>
        <w:t>Mutual fund assets surge 35% in fiscal 2024 to a new high</w:t>
      </w:r>
      <w:r w:rsidRPr="00CF47D5">
        <w:rPr>
          <w:rFonts w:ascii="Times New Roman" w:hAnsi="Times New Roman" w:cs="Times New Roman"/>
        </w:rPr>
        <w:t xml:space="preserve">. </w:t>
      </w:r>
      <w:hyperlink r:id="rId18" w:history="1">
        <w:r w:rsidRPr="00CF47D5">
          <w:rPr>
            <w:rStyle w:val="Hyperlink"/>
            <w:rFonts w:ascii="Times New Roman" w:hAnsi="Times New Roman" w:cs="Times New Roman"/>
          </w:rPr>
          <w:t>https://www.amfiindia.com/Themes/Theme1/downloads/AMFI_AnnualMFReport.pdf</w:t>
        </w:r>
      </w:hyperlink>
    </w:p>
    <w:p w14:paraId="706FF777" w14:textId="77777777" w:rsidR="000602AA" w:rsidRPr="00CF47D5" w:rsidRDefault="000602AA" w:rsidP="00CF47D5">
      <w:pPr>
        <w:pStyle w:val="ListParagraph"/>
        <w:numPr>
          <w:ilvl w:val="0"/>
          <w:numId w:val="8"/>
        </w:numPr>
        <w:jc w:val="both"/>
        <w:rPr>
          <w:rFonts w:ascii="Times New Roman" w:hAnsi="Times New Roman" w:cs="Times New Roman"/>
        </w:rPr>
      </w:pPr>
      <w:r w:rsidRPr="00CF47D5">
        <w:rPr>
          <w:rFonts w:ascii="Times New Roman" w:hAnsi="Times New Roman" w:cs="Times New Roman"/>
        </w:rPr>
        <w:t xml:space="preserve">B, G., &amp; R, N. (2025). Predictive Analytics and Portfolio Optimization: A Study on Mutual Fund Asset Allocation and Risk Mitigation. </w:t>
      </w:r>
      <w:r w:rsidRPr="00CF47D5">
        <w:rPr>
          <w:rFonts w:ascii="Times New Roman" w:hAnsi="Times New Roman" w:cs="Times New Roman"/>
          <w:i/>
          <w:iCs/>
        </w:rPr>
        <w:t>International Journal of Innovative Research in Engineering &amp; Management</w:t>
      </w:r>
      <w:r w:rsidRPr="00CF47D5">
        <w:rPr>
          <w:rFonts w:ascii="Times New Roman" w:hAnsi="Times New Roman" w:cs="Times New Roman"/>
        </w:rPr>
        <w:t xml:space="preserve">, </w:t>
      </w:r>
      <w:r w:rsidRPr="00CF47D5">
        <w:rPr>
          <w:rFonts w:ascii="Times New Roman" w:hAnsi="Times New Roman" w:cs="Times New Roman"/>
          <w:i/>
          <w:iCs/>
        </w:rPr>
        <w:t>12</w:t>
      </w:r>
      <w:r w:rsidRPr="00CF47D5">
        <w:rPr>
          <w:rFonts w:ascii="Times New Roman" w:hAnsi="Times New Roman" w:cs="Times New Roman"/>
        </w:rPr>
        <w:t xml:space="preserve">(1), 41–46. </w:t>
      </w:r>
      <w:hyperlink r:id="rId19" w:history="1">
        <w:r w:rsidRPr="00CF47D5">
          <w:rPr>
            <w:rStyle w:val="Hyperlink"/>
            <w:rFonts w:ascii="Times New Roman" w:hAnsi="Times New Roman" w:cs="Times New Roman"/>
          </w:rPr>
          <w:t>https://doi.org/10.55524/ijirem.2025.12.1.6</w:t>
        </w:r>
      </w:hyperlink>
    </w:p>
    <w:p w14:paraId="127592E9"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Bajaj </w:t>
      </w:r>
      <w:proofErr w:type="spellStart"/>
      <w:r w:rsidRPr="00CF47D5">
        <w:rPr>
          <w:rFonts w:ascii="Times New Roman" w:hAnsi="Times New Roman" w:cs="Times New Roman"/>
        </w:rPr>
        <w:t>Finserv</w:t>
      </w:r>
      <w:proofErr w:type="spellEnd"/>
      <w:r w:rsidRPr="00CF47D5">
        <w:rPr>
          <w:rFonts w:ascii="Times New Roman" w:hAnsi="Times New Roman" w:cs="Times New Roman"/>
        </w:rPr>
        <w:t xml:space="preserve">. (2025, May 19). What are mutual funds – types, benefits and how to invest. </w:t>
      </w:r>
      <w:hyperlink r:id="rId20" w:tgtFrame="_new" w:history="1">
        <w:r w:rsidRPr="00CF47D5">
          <w:rPr>
            <w:rStyle w:val="Hyperlink"/>
            <w:rFonts w:ascii="Times New Roman" w:hAnsi="Times New Roman" w:cs="Times New Roman"/>
          </w:rPr>
          <w:t>https://www.bajajfinserv.in/investments/what-is-a-mutual-fund</w:t>
        </w:r>
      </w:hyperlink>
    </w:p>
    <w:p w14:paraId="43919FBA"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Brown, S. J., &amp; Goetzmann, W. N. (1997). Mutual fund styles. </w:t>
      </w:r>
      <w:r w:rsidRPr="00CF47D5">
        <w:rPr>
          <w:rFonts w:ascii="Times New Roman" w:hAnsi="Times New Roman" w:cs="Times New Roman"/>
          <w:i/>
          <w:iCs/>
        </w:rPr>
        <w:t>Journal of Financial Economics</w:t>
      </w:r>
      <w:r w:rsidRPr="00CF47D5">
        <w:rPr>
          <w:rFonts w:ascii="Times New Roman" w:hAnsi="Times New Roman" w:cs="Times New Roman"/>
        </w:rPr>
        <w:t xml:space="preserve">, </w:t>
      </w:r>
      <w:r w:rsidRPr="00CF47D5">
        <w:rPr>
          <w:rFonts w:ascii="Times New Roman" w:hAnsi="Times New Roman" w:cs="Times New Roman"/>
          <w:i/>
          <w:iCs/>
        </w:rPr>
        <w:t>43</w:t>
      </w:r>
      <w:r w:rsidRPr="00CF47D5">
        <w:rPr>
          <w:rFonts w:ascii="Times New Roman" w:hAnsi="Times New Roman" w:cs="Times New Roman"/>
        </w:rPr>
        <w:t xml:space="preserve">(3), 373–399. </w:t>
      </w:r>
      <w:hyperlink r:id="rId21" w:history="1">
        <w:r w:rsidRPr="00CF47D5">
          <w:rPr>
            <w:rStyle w:val="Hyperlink"/>
            <w:rFonts w:ascii="Times New Roman" w:hAnsi="Times New Roman" w:cs="Times New Roman"/>
          </w:rPr>
          <w:t>https://doi.org/10.1016/s0304-405x(96)00898-7</w:t>
        </w:r>
      </w:hyperlink>
    </w:p>
    <w:p w14:paraId="44A98D6B"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Carhart, M. M. (1997). On persistence in mutual fund performance. </w:t>
      </w:r>
      <w:r w:rsidRPr="00CF47D5">
        <w:rPr>
          <w:rFonts w:ascii="Times New Roman" w:hAnsi="Times New Roman" w:cs="Times New Roman"/>
          <w:i/>
          <w:iCs/>
        </w:rPr>
        <w:t>The Journal of Finance</w:t>
      </w:r>
      <w:r w:rsidRPr="00CF47D5">
        <w:rPr>
          <w:rFonts w:ascii="Times New Roman" w:hAnsi="Times New Roman" w:cs="Times New Roman"/>
        </w:rPr>
        <w:t xml:space="preserve">, </w:t>
      </w:r>
      <w:r w:rsidRPr="00CF47D5">
        <w:rPr>
          <w:rFonts w:ascii="Times New Roman" w:hAnsi="Times New Roman" w:cs="Times New Roman"/>
          <w:i/>
          <w:iCs/>
        </w:rPr>
        <w:t>52</w:t>
      </w:r>
      <w:r w:rsidRPr="00CF47D5">
        <w:rPr>
          <w:rFonts w:ascii="Times New Roman" w:hAnsi="Times New Roman" w:cs="Times New Roman"/>
        </w:rPr>
        <w:t xml:space="preserve">(1), 57–82. </w:t>
      </w:r>
      <w:hyperlink r:id="rId22" w:history="1">
        <w:r w:rsidRPr="00CF47D5">
          <w:rPr>
            <w:rStyle w:val="Hyperlink"/>
            <w:rFonts w:ascii="Times New Roman" w:hAnsi="Times New Roman" w:cs="Times New Roman"/>
          </w:rPr>
          <w:t>https://doi.org/10.1111/j.1540-6261.1997.tb03808.x</w:t>
        </w:r>
      </w:hyperlink>
    </w:p>
    <w:p w14:paraId="37A31C76"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Cuthbertson, K., Nitzsche, D., &amp; O’Sullivan, N. (2016). A review of behavioural and management effects in mutual fund performance. </w:t>
      </w:r>
      <w:r w:rsidRPr="00CF47D5">
        <w:rPr>
          <w:rFonts w:ascii="Times New Roman" w:hAnsi="Times New Roman" w:cs="Times New Roman"/>
          <w:i/>
          <w:iCs/>
        </w:rPr>
        <w:t>International Review of Financial Analysis</w:t>
      </w:r>
      <w:r w:rsidRPr="00CF47D5">
        <w:rPr>
          <w:rFonts w:ascii="Times New Roman" w:hAnsi="Times New Roman" w:cs="Times New Roman"/>
        </w:rPr>
        <w:t xml:space="preserve">, </w:t>
      </w:r>
      <w:r w:rsidRPr="00CF47D5">
        <w:rPr>
          <w:rFonts w:ascii="Times New Roman" w:hAnsi="Times New Roman" w:cs="Times New Roman"/>
          <w:i/>
          <w:iCs/>
        </w:rPr>
        <w:t>44</w:t>
      </w:r>
      <w:r w:rsidRPr="00CF47D5">
        <w:rPr>
          <w:rFonts w:ascii="Times New Roman" w:hAnsi="Times New Roman" w:cs="Times New Roman"/>
        </w:rPr>
        <w:t xml:space="preserve">, 162–176. </w:t>
      </w:r>
      <w:hyperlink r:id="rId23" w:history="1">
        <w:r w:rsidRPr="00CF47D5">
          <w:rPr>
            <w:rStyle w:val="Hyperlink"/>
            <w:rFonts w:ascii="Times New Roman" w:hAnsi="Times New Roman" w:cs="Times New Roman"/>
          </w:rPr>
          <w:t>https://doi.org/10.1016/j.irfa.2016.01.016</w:t>
        </w:r>
      </w:hyperlink>
    </w:p>
    <w:p w14:paraId="0787A580"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Das, K. K., &amp; Ali, S. (2020). The role of digital technologies on growth of mutual funds industry. </w:t>
      </w:r>
      <w:r w:rsidRPr="00CF47D5">
        <w:rPr>
          <w:rFonts w:ascii="Times New Roman" w:hAnsi="Times New Roman" w:cs="Times New Roman"/>
          <w:i/>
          <w:iCs/>
        </w:rPr>
        <w:t>International Journal of Research in Business and Social Science (2147-4478)</w:t>
      </w:r>
      <w:r w:rsidRPr="00CF47D5">
        <w:rPr>
          <w:rFonts w:ascii="Times New Roman" w:hAnsi="Times New Roman" w:cs="Times New Roman"/>
        </w:rPr>
        <w:t xml:space="preserve">, </w:t>
      </w:r>
      <w:r w:rsidRPr="00CF47D5">
        <w:rPr>
          <w:rFonts w:ascii="Times New Roman" w:hAnsi="Times New Roman" w:cs="Times New Roman"/>
          <w:i/>
          <w:iCs/>
        </w:rPr>
        <w:t>9</w:t>
      </w:r>
      <w:r w:rsidRPr="00CF47D5">
        <w:rPr>
          <w:rFonts w:ascii="Times New Roman" w:hAnsi="Times New Roman" w:cs="Times New Roman"/>
        </w:rPr>
        <w:t xml:space="preserve">(2), 171–176. </w:t>
      </w:r>
      <w:hyperlink r:id="rId24" w:history="1">
        <w:r w:rsidRPr="00CF47D5">
          <w:rPr>
            <w:rStyle w:val="Hyperlink"/>
            <w:rFonts w:ascii="Times New Roman" w:hAnsi="Times New Roman" w:cs="Times New Roman"/>
          </w:rPr>
          <w:t>https://doi.org/10.20525/ijrbs.v9i2.635</w:t>
        </w:r>
      </w:hyperlink>
    </w:p>
    <w:p w14:paraId="79E4CFAD"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lastRenderedPageBreak/>
        <w:t xml:space="preserve">Deb, I. (2025). "Analysing the growth trajectory and performance efficiency of mutual funds in India”. </w:t>
      </w:r>
      <w:r w:rsidRPr="00CF47D5">
        <w:rPr>
          <w:rFonts w:ascii="Times New Roman" w:hAnsi="Times New Roman" w:cs="Times New Roman"/>
          <w:i/>
          <w:iCs/>
        </w:rPr>
        <w:t>IOSR Journal of Business and Management</w:t>
      </w:r>
      <w:r w:rsidRPr="00CF47D5">
        <w:rPr>
          <w:rFonts w:ascii="Times New Roman" w:hAnsi="Times New Roman" w:cs="Times New Roman"/>
        </w:rPr>
        <w:t xml:space="preserve">, </w:t>
      </w:r>
      <w:r w:rsidRPr="00CF47D5">
        <w:rPr>
          <w:rFonts w:ascii="Times New Roman" w:hAnsi="Times New Roman" w:cs="Times New Roman"/>
          <w:i/>
          <w:iCs/>
        </w:rPr>
        <w:t>27</w:t>
      </w:r>
      <w:r w:rsidRPr="00CF47D5">
        <w:rPr>
          <w:rFonts w:ascii="Times New Roman" w:hAnsi="Times New Roman" w:cs="Times New Roman"/>
        </w:rPr>
        <w:t xml:space="preserve">(6), 50–59. </w:t>
      </w:r>
      <w:hyperlink r:id="rId25" w:history="1">
        <w:r w:rsidRPr="00CF47D5">
          <w:rPr>
            <w:rStyle w:val="Hyperlink"/>
            <w:rFonts w:ascii="Times New Roman" w:hAnsi="Times New Roman" w:cs="Times New Roman"/>
          </w:rPr>
          <w:t>https://doi.org/10.9790/487x-2706095059</w:t>
        </w:r>
      </w:hyperlink>
    </w:p>
    <w:p w14:paraId="5A00182E" w14:textId="77777777" w:rsidR="000602AA" w:rsidRPr="00CF47D5" w:rsidRDefault="000602AA" w:rsidP="00CF47D5">
      <w:pPr>
        <w:pStyle w:val="ListParagraph"/>
        <w:numPr>
          <w:ilvl w:val="0"/>
          <w:numId w:val="8"/>
        </w:numPr>
        <w:jc w:val="both"/>
        <w:rPr>
          <w:rFonts w:ascii="Times New Roman" w:hAnsi="Times New Roman" w:cs="Times New Roman"/>
        </w:rPr>
      </w:pPr>
      <w:r w:rsidRPr="00CF47D5">
        <w:rPr>
          <w:rFonts w:ascii="Times New Roman" w:hAnsi="Times New Roman" w:cs="Times New Roman"/>
        </w:rPr>
        <w:t xml:space="preserve">Deb, I. (2025). "Analysing the growth trajectory and performance efficiency of mutual funds in India”. </w:t>
      </w:r>
      <w:r w:rsidRPr="00CF47D5">
        <w:rPr>
          <w:rFonts w:ascii="Times New Roman" w:hAnsi="Times New Roman" w:cs="Times New Roman"/>
          <w:i/>
          <w:iCs/>
        </w:rPr>
        <w:t>IOSR Journal of Business and Management</w:t>
      </w:r>
      <w:r w:rsidRPr="00CF47D5">
        <w:rPr>
          <w:rFonts w:ascii="Times New Roman" w:hAnsi="Times New Roman" w:cs="Times New Roman"/>
        </w:rPr>
        <w:t xml:space="preserve">, </w:t>
      </w:r>
      <w:r w:rsidRPr="00CF47D5">
        <w:rPr>
          <w:rFonts w:ascii="Times New Roman" w:hAnsi="Times New Roman" w:cs="Times New Roman"/>
          <w:i/>
          <w:iCs/>
        </w:rPr>
        <w:t>27</w:t>
      </w:r>
      <w:r w:rsidRPr="00CF47D5">
        <w:rPr>
          <w:rFonts w:ascii="Times New Roman" w:hAnsi="Times New Roman" w:cs="Times New Roman"/>
        </w:rPr>
        <w:t xml:space="preserve">(6), 50–59. </w:t>
      </w:r>
      <w:hyperlink r:id="rId26" w:history="1">
        <w:r w:rsidRPr="00CF47D5">
          <w:rPr>
            <w:rStyle w:val="Hyperlink"/>
            <w:rFonts w:ascii="Times New Roman" w:hAnsi="Times New Roman" w:cs="Times New Roman"/>
          </w:rPr>
          <w:t>https://doi.org/10.9790/487x-2706095059</w:t>
        </w:r>
      </w:hyperlink>
    </w:p>
    <w:p w14:paraId="50AC921F" w14:textId="77777777" w:rsidR="000602AA" w:rsidRPr="00CF47D5" w:rsidRDefault="000602AA" w:rsidP="00CF47D5">
      <w:pPr>
        <w:pStyle w:val="ListParagraph"/>
        <w:numPr>
          <w:ilvl w:val="0"/>
          <w:numId w:val="8"/>
        </w:numPr>
        <w:rPr>
          <w:rFonts w:ascii="Times New Roman" w:hAnsi="Times New Roman" w:cs="Times New Roman"/>
        </w:rPr>
      </w:pPr>
      <w:proofErr w:type="spellStart"/>
      <w:r w:rsidRPr="00CF47D5">
        <w:rPr>
          <w:rFonts w:ascii="Times New Roman" w:hAnsi="Times New Roman" w:cs="Times New Roman"/>
        </w:rPr>
        <w:t>Finexia</w:t>
      </w:r>
      <w:proofErr w:type="spellEnd"/>
      <w:r w:rsidRPr="00CF47D5">
        <w:rPr>
          <w:rFonts w:ascii="Times New Roman" w:hAnsi="Times New Roman" w:cs="Times New Roman"/>
        </w:rPr>
        <w:t xml:space="preserve">. (2024, October 29). </w:t>
      </w:r>
      <w:r w:rsidRPr="00CF47D5">
        <w:rPr>
          <w:rFonts w:ascii="Times New Roman" w:hAnsi="Times New Roman" w:cs="Times New Roman"/>
          <w:i/>
          <w:iCs/>
        </w:rPr>
        <w:t>7 powerful reasons to invest in mutual funds for long-term growth</w:t>
      </w:r>
      <w:r w:rsidRPr="00CF47D5">
        <w:rPr>
          <w:rFonts w:ascii="Times New Roman" w:hAnsi="Times New Roman" w:cs="Times New Roman"/>
        </w:rPr>
        <w:t xml:space="preserve">. </w:t>
      </w:r>
      <w:hyperlink r:id="rId27" w:tgtFrame="_new" w:history="1">
        <w:r w:rsidRPr="00CF47D5">
          <w:rPr>
            <w:rStyle w:val="Hyperlink"/>
            <w:rFonts w:ascii="Times New Roman" w:hAnsi="Times New Roman" w:cs="Times New Roman"/>
          </w:rPr>
          <w:t>https://www.finexia.com.au/blog/mutual-funds</w:t>
        </w:r>
      </w:hyperlink>
    </w:p>
    <w:p w14:paraId="076EA14E" w14:textId="77777777" w:rsidR="000602AA" w:rsidRDefault="000602AA" w:rsidP="00CF47D5">
      <w:pPr>
        <w:pStyle w:val="ListParagraph"/>
        <w:numPr>
          <w:ilvl w:val="0"/>
          <w:numId w:val="8"/>
        </w:numPr>
      </w:pPr>
      <w:proofErr w:type="spellStart"/>
      <w:r w:rsidRPr="00CF47D5">
        <w:rPr>
          <w:rFonts w:ascii="Times New Roman" w:hAnsi="Times New Roman" w:cs="Times New Roman"/>
        </w:rPr>
        <w:t>Finserv</w:t>
      </w:r>
      <w:proofErr w:type="spellEnd"/>
      <w:r w:rsidRPr="00CF47D5">
        <w:rPr>
          <w:rFonts w:ascii="Times New Roman" w:hAnsi="Times New Roman" w:cs="Times New Roman"/>
        </w:rPr>
        <w:t xml:space="preserve">, B. (2025, August 26). </w:t>
      </w:r>
      <w:r w:rsidRPr="00CF47D5">
        <w:rPr>
          <w:rFonts w:ascii="Times New Roman" w:hAnsi="Times New Roman" w:cs="Times New Roman"/>
          <w:i/>
          <w:iCs/>
        </w:rPr>
        <w:t>Mutual fund managers</w:t>
      </w:r>
      <w:r w:rsidRPr="00CF47D5">
        <w:rPr>
          <w:rFonts w:ascii="Times New Roman" w:hAnsi="Times New Roman" w:cs="Times New Roman"/>
        </w:rPr>
        <w:t xml:space="preserve">. www.bajajfinserv.in. </w:t>
      </w:r>
      <w:hyperlink r:id="rId28" w:history="1">
        <w:r w:rsidRPr="00CF47D5">
          <w:rPr>
            <w:rStyle w:val="Hyperlink"/>
            <w:rFonts w:ascii="Times New Roman" w:hAnsi="Times New Roman" w:cs="Times New Roman"/>
          </w:rPr>
          <w:t>https://www.bajajfinserv.in/investments/unveiling-the-role-and-responsibilities-of-a-mutual-fund-manager</w:t>
        </w:r>
      </w:hyperlink>
    </w:p>
    <w:p w14:paraId="3A2EF258" w14:textId="77777777" w:rsidR="000602AA" w:rsidRPr="00CF47D5" w:rsidRDefault="000602AA" w:rsidP="00CF47D5">
      <w:pPr>
        <w:pStyle w:val="ListParagraph"/>
        <w:numPr>
          <w:ilvl w:val="0"/>
          <w:numId w:val="8"/>
        </w:numPr>
        <w:rPr>
          <w:rFonts w:ascii="Times New Roman" w:hAnsi="Times New Roman" w:cs="Times New Roman"/>
        </w:rPr>
      </w:pPr>
      <w:proofErr w:type="spellStart"/>
      <w:r w:rsidRPr="00CF47D5">
        <w:rPr>
          <w:rFonts w:ascii="Times New Roman" w:hAnsi="Times New Roman" w:cs="Times New Roman"/>
        </w:rPr>
        <w:t>Fiordelisi</w:t>
      </w:r>
      <w:proofErr w:type="spellEnd"/>
      <w:r w:rsidRPr="00CF47D5">
        <w:rPr>
          <w:rFonts w:ascii="Times New Roman" w:hAnsi="Times New Roman" w:cs="Times New Roman"/>
        </w:rPr>
        <w:t xml:space="preserve">, F., </w:t>
      </w:r>
      <w:proofErr w:type="spellStart"/>
      <w:r w:rsidRPr="00CF47D5">
        <w:rPr>
          <w:rFonts w:ascii="Times New Roman" w:hAnsi="Times New Roman" w:cs="Times New Roman"/>
        </w:rPr>
        <w:t>Galloppo</w:t>
      </w:r>
      <w:proofErr w:type="spellEnd"/>
      <w:r w:rsidRPr="00CF47D5">
        <w:rPr>
          <w:rFonts w:ascii="Times New Roman" w:hAnsi="Times New Roman" w:cs="Times New Roman"/>
        </w:rPr>
        <w:t xml:space="preserve">, G., &amp; </w:t>
      </w:r>
      <w:proofErr w:type="spellStart"/>
      <w:r w:rsidRPr="00CF47D5">
        <w:rPr>
          <w:rFonts w:ascii="Times New Roman" w:hAnsi="Times New Roman" w:cs="Times New Roman"/>
        </w:rPr>
        <w:t>Paimanova</w:t>
      </w:r>
      <w:proofErr w:type="spellEnd"/>
      <w:r w:rsidRPr="00CF47D5">
        <w:rPr>
          <w:rFonts w:ascii="Times New Roman" w:hAnsi="Times New Roman" w:cs="Times New Roman"/>
        </w:rPr>
        <w:t xml:space="preserve">, V. (2022). Dynamics of mutual fund flows and returns: investor preferences and performance persistence. </w:t>
      </w:r>
      <w:r w:rsidRPr="00CF47D5">
        <w:rPr>
          <w:rFonts w:ascii="Times New Roman" w:hAnsi="Times New Roman" w:cs="Times New Roman"/>
          <w:i/>
          <w:iCs/>
        </w:rPr>
        <w:t>SSRN Electronic Journal</w:t>
      </w:r>
      <w:r w:rsidRPr="00CF47D5">
        <w:rPr>
          <w:rFonts w:ascii="Times New Roman" w:hAnsi="Times New Roman" w:cs="Times New Roman"/>
        </w:rPr>
        <w:t xml:space="preserve">. </w:t>
      </w:r>
      <w:hyperlink r:id="rId29" w:history="1">
        <w:r w:rsidRPr="00CF47D5">
          <w:rPr>
            <w:rStyle w:val="Hyperlink"/>
            <w:rFonts w:ascii="Times New Roman" w:hAnsi="Times New Roman" w:cs="Times New Roman"/>
          </w:rPr>
          <w:t>https://doi.org/10.2139/ssrn.4102972</w:t>
        </w:r>
      </w:hyperlink>
    </w:p>
    <w:p w14:paraId="3613FEF9" w14:textId="77777777" w:rsidR="000602AA" w:rsidRPr="00CF47D5" w:rsidRDefault="000602AA" w:rsidP="00CF47D5">
      <w:pPr>
        <w:pStyle w:val="ListParagraph"/>
        <w:numPr>
          <w:ilvl w:val="0"/>
          <w:numId w:val="8"/>
        </w:numPr>
        <w:rPr>
          <w:rFonts w:ascii="Times New Roman" w:hAnsi="Times New Roman" w:cs="Times New Roman"/>
        </w:rPr>
      </w:pPr>
      <w:proofErr w:type="spellStart"/>
      <w:r w:rsidRPr="00CF47D5">
        <w:rPr>
          <w:rFonts w:ascii="Times New Roman" w:hAnsi="Times New Roman" w:cs="Times New Roman"/>
        </w:rPr>
        <w:t>Galloppo</w:t>
      </w:r>
      <w:proofErr w:type="spellEnd"/>
      <w:r w:rsidRPr="00CF47D5">
        <w:rPr>
          <w:rFonts w:ascii="Times New Roman" w:hAnsi="Times New Roman" w:cs="Times New Roman"/>
        </w:rPr>
        <w:t xml:space="preserve">, G., Guida, R., &amp; </w:t>
      </w:r>
      <w:proofErr w:type="spellStart"/>
      <w:r w:rsidRPr="00CF47D5">
        <w:rPr>
          <w:rFonts w:ascii="Times New Roman" w:hAnsi="Times New Roman" w:cs="Times New Roman"/>
        </w:rPr>
        <w:t>Paimanova</w:t>
      </w:r>
      <w:proofErr w:type="spellEnd"/>
      <w:r w:rsidRPr="00CF47D5">
        <w:rPr>
          <w:rFonts w:ascii="Times New Roman" w:hAnsi="Times New Roman" w:cs="Times New Roman"/>
        </w:rPr>
        <w:t xml:space="preserve">, V. (2024). Mutual fund flows and returns dynamics: Investor preferences and performance persistence. </w:t>
      </w:r>
      <w:r w:rsidRPr="00CF47D5">
        <w:rPr>
          <w:rFonts w:ascii="Times New Roman" w:hAnsi="Times New Roman" w:cs="Times New Roman"/>
          <w:i/>
          <w:iCs/>
        </w:rPr>
        <w:t>Research in International Business and Finance</w:t>
      </w:r>
      <w:r w:rsidRPr="00CF47D5">
        <w:rPr>
          <w:rFonts w:ascii="Times New Roman" w:hAnsi="Times New Roman" w:cs="Times New Roman"/>
        </w:rPr>
        <w:t xml:space="preserve">, </w:t>
      </w:r>
      <w:r w:rsidRPr="00CF47D5">
        <w:rPr>
          <w:rFonts w:ascii="Times New Roman" w:hAnsi="Times New Roman" w:cs="Times New Roman"/>
          <w:i/>
          <w:iCs/>
        </w:rPr>
        <w:t>71</w:t>
      </w:r>
      <w:r w:rsidRPr="00CF47D5">
        <w:rPr>
          <w:rFonts w:ascii="Times New Roman" w:hAnsi="Times New Roman" w:cs="Times New Roman"/>
        </w:rPr>
        <w:t xml:space="preserve">, 102485. </w:t>
      </w:r>
      <w:hyperlink r:id="rId30" w:history="1">
        <w:r w:rsidRPr="00CF47D5">
          <w:rPr>
            <w:rStyle w:val="Hyperlink"/>
            <w:rFonts w:ascii="Times New Roman" w:hAnsi="Times New Roman" w:cs="Times New Roman"/>
          </w:rPr>
          <w:t>https://doi.org/10.1016/j.ribaf.2024.102485</w:t>
        </w:r>
      </w:hyperlink>
    </w:p>
    <w:p w14:paraId="38296A9A"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Goel, S., &amp; Kumar, P. (2024). Indian mutual fund industry: Is 2014 a turning point? </w:t>
      </w:r>
      <w:r w:rsidRPr="00CF47D5">
        <w:rPr>
          <w:rFonts w:ascii="Times New Roman" w:hAnsi="Times New Roman" w:cs="Times New Roman"/>
          <w:i/>
          <w:iCs/>
        </w:rPr>
        <w:t>Bulletin of Monetary Economics and Banking</w:t>
      </w:r>
      <w:r w:rsidRPr="00CF47D5">
        <w:rPr>
          <w:rFonts w:ascii="Times New Roman" w:hAnsi="Times New Roman" w:cs="Times New Roman"/>
        </w:rPr>
        <w:t xml:space="preserve">, </w:t>
      </w:r>
      <w:r w:rsidRPr="00CF47D5">
        <w:rPr>
          <w:rFonts w:ascii="Times New Roman" w:hAnsi="Times New Roman" w:cs="Times New Roman"/>
          <w:i/>
          <w:iCs/>
        </w:rPr>
        <w:t>27</w:t>
      </w:r>
      <w:r w:rsidRPr="00CF47D5">
        <w:rPr>
          <w:rFonts w:ascii="Times New Roman" w:hAnsi="Times New Roman" w:cs="Times New Roman"/>
        </w:rPr>
        <w:t xml:space="preserve">(3), 527–556. </w:t>
      </w:r>
      <w:hyperlink r:id="rId31" w:history="1">
        <w:r w:rsidRPr="00CF47D5">
          <w:rPr>
            <w:rStyle w:val="Hyperlink"/>
            <w:rFonts w:ascii="Times New Roman" w:hAnsi="Times New Roman" w:cs="Times New Roman"/>
          </w:rPr>
          <w:t>https://doi.org/10.59091/2460-9196.2285</w:t>
        </w:r>
      </w:hyperlink>
    </w:p>
    <w:p w14:paraId="27EB6F1D"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Hayes, A. (2024, August 27). </w:t>
      </w:r>
      <w:r w:rsidRPr="00CF47D5">
        <w:rPr>
          <w:rFonts w:ascii="Times New Roman" w:hAnsi="Times New Roman" w:cs="Times New Roman"/>
          <w:i/>
          <w:iCs/>
        </w:rPr>
        <w:t>Mutual fund</w:t>
      </w:r>
      <w:r w:rsidRPr="00CF47D5">
        <w:rPr>
          <w:rFonts w:ascii="Times New Roman" w:hAnsi="Times New Roman" w:cs="Times New Roman"/>
        </w:rPr>
        <w:t xml:space="preserve">. Investopedia. </w:t>
      </w:r>
      <w:hyperlink r:id="rId32" w:tgtFrame="_new" w:history="1">
        <w:r w:rsidRPr="00CF47D5">
          <w:rPr>
            <w:rStyle w:val="Hyperlink"/>
            <w:rFonts w:ascii="Times New Roman" w:hAnsi="Times New Roman" w:cs="Times New Roman"/>
          </w:rPr>
          <w:t>https://www.investopedia.com/terms/m/mutualfund.asp</w:t>
        </w:r>
      </w:hyperlink>
    </w:p>
    <w:p w14:paraId="0E1264DC" w14:textId="77777777" w:rsidR="000602AA" w:rsidRPr="00CF47D5" w:rsidRDefault="000602AA" w:rsidP="00CF47D5">
      <w:pPr>
        <w:pStyle w:val="ListParagraph"/>
        <w:numPr>
          <w:ilvl w:val="0"/>
          <w:numId w:val="8"/>
        </w:numPr>
        <w:rPr>
          <w:rFonts w:ascii="Times New Roman" w:hAnsi="Times New Roman" w:cs="Times New Roman"/>
        </w:rPr>
      </w:pPr>
      <w:proofErr w:type="spellStart"/>
      <w:r w:rsidRPr="00CF47D5">
        <w:rPr>
          <w:rFonts w:ascii="Times New Roman" w:hAnsi="Times New Roman" w:cs="Times New Roman"/>
        </w:rPr>
        <w:t>Ibef</w:t>
      </w:r>
      <w:proofErr w:type="spellEnd"/>
      <w:r w:rsidRPr="00CF47D5">
        <w:rPr>
          <w:rFonts w:ascii="Times New Roman" w:hAnsi="Times New Roman" w:cs="Times New Roman"/>
        </w:rPr>
        <w:t xml:space="preserve">. (2024a, May 8). </w:t>
      </w:r>
      <w:r w:rsidRPr="00CF47D5">
        <w:rPr>
          <w:rFonts w:ascii="Times New Roman" w:hAnsi="Times New Roman" w:cs="Times New Roman"/>
          <w:i/>
          <w:iCs/>
        </w:rPr>
        <w:t>Financial Resurgence: A comprehensive exploration of the recent boom in mutual fund investments in India</w:t>
      </w:r>
      <w:r w:rsidRPr="00CF47D5">
        <w:rPr>
          <w:rFonts w:ascii="Times New Roman" w:hAnsi="Times New Roman" w:cs="Times New Roman"/>
        </w:rPr>
        <w:t xml:space="preserve">. India Brand Equity Foundation. </w:t>
      </w:r>
      <w:hyperlink r:id="rId33" w:history="1">
        <w:r w:rsidRPr="00CF47D5">
          <w:rPr>
            <w:rStyle w:val="Hyperlink"/>
            <w:rFonts w:ascii="Times New Roman" w:hAnsi="Times New Roman" w:cs="Times New Roman"/>
          </w:rPr>
          <w:t>https://www.ibef.org/research/case-study/financial-resurgence-a-comprehensive-exploration-of-the-recent-boom-in-mutual-fund-investments-in-india</w:t>
        </w:r>
      </w:hyperlink>
    </w:p>
    <w:p w14:paraId="72B3FDAC"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Kavya, N. M. M., &amp; Prakash, N. D. C. (2024). Growth and Dynamics in the Indian Mutual fund industry: </w:t>
      </w:r>
      <w:proofErr w:type="spellStart"/>
      <w:r w:rsidRPr="00CF47D5">
        <w:rPr>
          <w:rFonts w:ascii="Times New Roman" w:hAnsi="Times New Roman" w:cs="Times New Roman"/>
        </w:rPr>
        <w:t>Analyzing</w:t>
      </w:r>
      <w:proofErr w:type="spellEnd"/>
      <w:r w:rsidRPr="00CF47D5">
        <w:rPr>
          <w:rFonts w:ascii="Times New Roman" w:hAnsi="Times New Roman" w:cs="Times New Roman"/>
        </w:rPr>
        <w:t xml:space="preserve"> investor preferences and investment strategies. </w:t>
      </w:r>
      <w:r w:rsidRPr="00CF47D5">
        <w:rPr>
          <w:rFonts w:ascii="Times New Roman" w:hAnsi="Times New Roman" w:cs="Times New Roman"/>
          <w:i/>
          <w:iCs/>
        </w:rPr>
        <w:t>International Journal of Advanced Research in Science Communication and Technology</w:t>
      </w:r>
      <w:r w:rsidRPr="00CF47D5">
        <w:rPr>
          <w:rFonts w:ascii="Times New Roman" w:hAnsi="Times New Roman" w:cs="Times New Roman"/>
        </w:rPr>
        <w:t xml:space="preserve">, 175–183. </w:t>
      </w:r>
      <w:hyperlink r:id="rId34" w:history="1">
        <w:r w:rsidRPr="00CF47D5">
          <w:rPr>
            <w:rStyle w:val="Hyperlink"/>
            <w:rFonts w:ascii="Times New Roman" w:hAnsi="Times New Roman" w:cs="Times New Roman"/>
          </w:rPr>
          <w:t>https://doi.org/10.48175/ijarsct-19531</w:t>
        </w:r>
      </w:hyperlink>
    </w:p>
    <w:p w14:paraId="7E17A0B3"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Kumar, S., &amp; Singh, M. (2024). Risk factors-adjusted performance and persistence during the post-subprime crisis period: evidence from Indian mutual fund industry. </w:t>
      </w:r>
      <w:r w:rsidRPr="00CF47D5">
        <w:rPr>
          <w:rFonts w:ascii="Times New Roman" w:hAnsi="Times New Roman" w:cs="Times New Roman"/>
          <w:i/>
          <w:iCs/>
        </w:rPr>
        <w:t>Journal of Advances in Management Research</w:t>
      </w:r>
      <w:r w:rsidRPr="00CF47D5">
        <w:rPr>
          <w:rFonts w:ascii="Times New Roman" w:hAnsi="Times New Roman" w:cs="Times New Roman"/>
        </w:rPr>
        <w:t xml:space="preserve">, </w:t>
      </w:r>
      <w:r w:rsidRPr="00CF47D5">
        <w:rPr>
          <w:rFonts w:ascii="Times New Roman" w:hAnsi="Times New Roman" w:cs="Times New Roman"/>
          <w:i/>
          <w:iCs/>
        </w:rPr>
        <w:t>22</w:t>
      </w:r>
      <w:r w:rsidRPr="00CF47D5">
        <w:rPr>
          <w:rFonts w:ascii="Times New Roman" w:hAnsi="Times New Roman" w:cs="Times New Roman"/>
        </w:rPr>
        <w:t xml:space="preserve">(2), 301–322. </w:t>
      </w:r>
      <w:hyperlink r:id="rId35" w:history="1">
        <w:r w:rsidRPr="00CF47D5">
          <w:rPr>
            <w:rStyle w:val="Hyperlink"/>
            <w:rFonts w:ascii="Times New Roman" w:hAnsi="Times New Roman" w:cs="Times New Roman"/>
          </w:rPr>
          <w:t>https://doi.org/10.1108/jamr-07-2022-0138</w:t>
        </w:r>
      </w:hyperlink>
    </w:p>
    <w:p w14:paraId="6B7CDE8C" w14:textId="77777777" w:rsidR="000602AA" w:rsidRPr="00CF47D5" w:rsidRDefault="000602AA" w:rsidP="00CF47D5">
      <w:pPr>
        <w:pStyle w:val="ListParagraph"/>
        <w:numPr>
          <w:ilvl w:val="0"/>
          <w:numId w:val="8"/>
        </w:numPr>
        <w:rPr>
          <w:rFonts w:ascii="Times New Roman" w:hAnsi="Times New Roman" w:cs="Times New Roman"/>
        </w:rPr>
      </w:pPr>
      <w:bookmarkStart w:id="2" w:name="_Hlk204897190"/>
      <w:r w:rsidRPr="00CF47D5">
        <w:rPr>
          <w:rFonts w:ascii="Times New Roman" w:hAnsi="Times New Roman" w:cs="Times New Roman"/>
        </w:rPr>
        <w:t>Malhotra, P., &amp; Sinha, P. (2022</w:t>
      </w:r>
      <w:bookmarkEnd w:id="2"/>
      <w:r w:rsidRPr="00CF47D5">
        <w:rPr>
          <w:rFonts w:ascii="Times New Roman" w:hAnsi="Times New Roman" w:cs="Times New Roman"/>
        </w:rPr>
        <w:t>). Top-bottom investing skill and the fund alpha in Indian mutual fund industry: an empirical investigation. </w:t>
      </w:r>
      <w:r w:rsidRPr="00CF47D5">
        <w:rPr>
          <w:rFonts w:ascii="Times New Roman" w:hAnsi="Times New Roman" w:cs="Times New Roman"/>
          <w:i/>
          <w:iCs/>
        </w:rPr>
        <w:t>IIM Ranchi Journal of Management Studies</w:t>
      </w:r>
      <w:r w:rsidRPr="00CF47D5">
        <w:rPr>
          <w:rFonts w:ascii="Times New Roman" w:hAnsi="Times New Roman" w:cs="Times New Roman"/>
        </w:rPr>
        <w:t>, </w:t>
      </w:r>
      <w:r w:rsidRPr="00CF47D5">
        <w:rPr>
          <w:rFonts w:ascii="Times New Roman" w:hAnsi="Times New Roman" w:cs="Times New Roman"/>
          <w:i/>
          <w:iCs/>
        </w:rPr>
        <w:t>1</w:t>
      </w:r>
      <w:r w:rsidRPr="00CF47D5">
        <w:rPr>
          <w:rFonts w:ascii="Times New Roman" w:hAnsi="Times New Roman" w:cs="Times New Roman"/>
        </w:rPr>
        <w:t>(1), 4-20.</w:t>
      </w:r>
    </w:p>
    <w:p w14:paraId="307293E0"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Malviya, M., &amp; Khanna, P. (2020). PERFORMANCE OF MUTUAL FUND INDUSTRY IN INDIA. </w:t>
      </w:r>
      <w:r w:rsidRPr="00CF47D5">
        <w:rPr>
          <w:rFonts w:ascii="Times New Roman" w:hAnsi="Times New Roman" w:cs="Times New Roman"/>
          <w:i/>
          <w:iCs/>
        </w:rPr>
        <w:t>IJCIRAS</w:t>
      </w:r>
      <w:r w:rsidRPr="00CF47D5">
        <w:rPr>
          <w:rFonts w:ascii="Times New Roman" w:hAnsi="Times New Roman" w:cs="Times New Roman"/>
        </w:rPr>
        <w:t xml:space="preserve">, </w:t>
      </w:r>
      <w:r w:rsidRPr="00CF47D5">
        <w:rPr>
          <w:rFonts w:ascii="Times New Roman" w:hAnsi="Times New Roman" w:cs="Times New Roman"/>
          <w:i/>
          <w:iCs/>
        </w:rPr>
        <w:t>2</w:t>
      </w:r>
      <w:r w:rsidRPr="00CF47D5">
        <w:rPr>
          <w:rFonts w:ascii="Times New Roman" w:hAnsi="Times New Roman" w:cs="Times New Roman"/>
        </w:rPr>
        <w:t xml:space="preserve">(11), 66–67. </w:t>
      </w:r>
      <w:hyperlink r:id="rId36" w:history="1">
        <w:r w:rsidRPr="00CF47D5">
          <w:rPr>
            <w:rStyle w:val="Hyperlink"/>
            <w:rFonts w:ascii="Times New Roman" w:hAnsi="Times New Roman" w:cs="Times New Roman"/>
          </w:rPr>
          <w:t>https://WWW.IJCIRAS.COM</w:t>
        </w:r>
      </w:hyperlink>
    </w:p>
    <w:p w14:paraId="369FCB52"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Natikar, P. (2023). Investors Attitude towards Mutual Fund. </w:t>
      </w:r>
      <w:r w:rsidRPr="00CF47D5">
        <w:rPr>
          <w:rFonts w:ascii="Times New Roman" w:hAnsi="Times New Roman" w:cs="Times New Roman"/>
          <w:i/>
          <w:iCs/>
        </w:rPr>
        <w:t>International Journal of Science and Research (IJSR)</w:t>
      </w:r>
      <w:r w:rsidRPr="00CF47D5">
        <w:rPr>
          <w:rFonts w:ascii="Times New Roman" w:hAnsi="Times New Roman" w:cs="Times New Roman"/>
        </w:rPr>
        <w:t xml:space="preserve">, </w:t>
      </w:r>
      <w:r w:rsidRPr="00CF47D5">
        <w:rPr>
          <w:rFonts w:ascii="Times New Roman" w:hAnsi="Times New Roman" w:cs="Times New Roman"/>
          <w:i/>
          <w:iCs/>
        </w:rPr>
        <w:t>12</w:t>
      </w:r>
      <w:r w:rsidRPr="00CF47D5">
        <w:rPr>
          <w:rFonts w:ascii="Times New Roman" w:hAnsi="Times New Roman" w:cs="Times New Roman"/>
        </w:rPr>
        <w:t xml:space="preserve">(4), 650–652. </w:t>
      </w:r>
      <w:hyperlink r:id="rId37" w:history="1">
        <w:r w:rsidRPr="00CF47D5">
          <w:rPr>
            <w:rStyle w:val="Hyperlink"/>
            <w:rFonts w:ascii="Times New Roman" w:hAnsi="Times New Roman" w:cs="Times New Roman"/>
          </w:rPr>
          <w:t>https://doi.org/10.21275/art20196321</w:t>
        </w:r>
      </w:hyperlink>
    </w:p>
    <w:p w14:paraId="2B47E58D"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lastRenderedPageBreak/>
        <w:t>Ramanujam, V., &amp; Bhuvaneswari, A. (2015). Growth and performance of Indian mutual fund industry during past decades. </w:t>
      </w:r>
      <w:r w:rsidRPr="00CF47D5">
        <w:rPr>
          <w:rFonts w:ascii="Times New Roman" w:hAnsi="Times New Roman" w:cs="Times New Roman"/>
          <w:i/>
          <w:iCs/>
        </w:rPr>
        <w:t>International Journal of Advance Research in Computer Science and Management Studies</w:t>
      </w:r>
      <w:r w:rsidRPr="00CF47D5">
        <w:rPr>
          <w:rFonts w:ascii="Times New Roman" w:hAnsi="Times New Roman" w:cs="Times New Roman"/>
        </w:rPr>
        <w:t>, </w:t>
      </w:r>
      <w:r w:rsidRPr="00CF47D5">
        <w:rPr>
          <w:rFonts w:ascii="Times New Roman" w:hAnsi="Times New Roman" w:cs="Times New Roman"/>
          <w:i/>
          <w:iCs/>
        </w:rPr>
        <w:t>3</w:t>
      </w:r>
      <w:r w:rsidRPr="00CF47D5">
        <w:rPr>
          <w:rFonts w:ascii="Times New Roman" w:hAnsi="Times New Roman" w:cs="Times New Roman"/>
        </w:rPr>
        <w:t>(2), 283-290.</w:t>
      </w:r>
    </w:p>
    <w:p w14:paraId="003E271F" w14:textId="77777777" w:rsidR="000602AA" w:rsidRPr="00CF47D5" w:rsidRDefault="000602AA" w:rsidP="00CF47D5">
      <w:pPr>
        <w:pStyle w:val="ListParagraph"/>
        <w:numPr>
          <w:ilvl w:val="0"/>
          <w:numId w:val="8"/>
        </w:numPr>
        <w:jc w:val="both"/>
        <w:rPr>
          <w:rFonts w:ascii="Times New Roman" w:hAnsi="Times New Roman" w:cs="Times New Roman"/>
        </w:rPr>
      </w:pPr>
      <w:r w:rsidRPr="00CF47D5">
        <w:rPr>
          <w:rFonts w:ascii="Times New Roman" w:hAnsi="Times New Roman" w:cs="Times New Roman"/>
        </w:rPr>
        <w:t xml:space="preserve">Savita, N. (2024). A STUDY OF INVESTOR’S ATTITUDE TOWARDS MUTUAL FUNDS AS AN INVESTMENT OPTION. </w:t>
      </w:r>
      <w:r w:rsidRPr="00CF47D5">
        <w:rPr>
          <w:rFonts w:ascii="Times New Roman" w:hAnsi="Times New Roman" w:cs="Times New Roman"/>
          <w:i/>
          <w:iCs/>
        </w:rPr>
        <w:t>International Journal for Research Publication and Seminars</w:t>
      </w:r>
      <w:r w:rsidRPr="00CF47D5">
        <w:rPr>
          <w:rFonts w:ascii="Times New Roman" w:hAnsi="Times New Roman" w:cs="Times New Roman"/>
        </w:rPr>
        <w:t xml:space="preserve">, </w:t>
      </w:r>
      <w:r w:rsidRPr="00CF47D5">
        <w:rPr>
          <w:rFonts w:ascii="Times New Roman" w:hAnsi="Times New Roman" w:cs="Times New Roman"/>
          <w:i/>
          <w:iCs/>
        </w:rPr>
        <w:t>15</w:t>
      </w:r>
      <w:r w:rsidRPr="00CF47D5">
        <w:rPr>
          <w:rFonts w:ascii="Times New Roman" w:hAnsi="Times New Roman" w:cs="Times New Roman"/>
        </w:rPr>
        <w:t xml:space="preserve">(3), 66–73. </w:t>
      </w:r>
      <w:hyperlink r:id="rId38" w:history="1">
        <w:r w:rsidRPr="00CF47D5">
          <w:rPr>
            <w:rStyle w:val="Hyperlink"/>
            <w:rFonts w:ascii="Times New Roman" w:hAnsi="Times New Roman" w:cs="Times New Roman"/>
          </w:rPr>
          <w:t>https://doi.org/10.36676/jrps.v15.i3.1427</w:t>
        </w:r>
      </w:hyperlink>
    </w:p>
    <w:p w14:paraId="6B6F7C04"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SEBI. (2024). </w:t>
      </w:r>
      <w:r w:rsidRPr="00CF47D5">
        <w:rPr>
          <w:rFonts w:ascii="Times New Roman" w:hAnsi="Times New Roman" w:cs="Times New Roman"/>
          <w:i/>
          <w:iCs/>
        </w:rPr>
        <w:t>FAQs for mutual fund investors</w:t>
      </w:r>
      <w:r w:rsidRPr="00CF47D5">
        <w:rPr>
          <w:rFonts w:ascii="Times New Roman" w:hAnsi="Times New Roman" w:cs="Times New Roman"/>
        </w:rPr>
        <w:t xml:space="preserve">. </w:t>
      </w:r>
      <w:hyperlink r:id="rId39" w:history="1">
        <w:r w:rsidRPr="00CF47D5">
          <w:rPr>
            <w:rStyle w:val="Hyperlink"/>
            <w:rFonts w:ascii="Times New Roman" w:hAnsi="Times New Roman" w:cs="Times New Roman"/>
          </w:rPr>
          <w:t>https://www.sebi.gov.in/sebi_data/faqfiles/sep-2024/1727242783639.pdf</w:t>
        </w:r>
      </w:hyperlink>
    </w:p>
    <w:p w14:paraId="2EF5A8A8"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Sethy, N. D., &amp; </w:t>
      </w:r>
      <w:proofErr w:type="spellStart"/>
      <w:r w:rsidRPr="00CF47D5">
        <w:rPr>
          <w:rFonts w:ascii="Times New Roman" w:hAnsi="Times New Roman" w:cs="Times New Roman"/>
        </w:rPr>
        <w:t>Ginoria</w:t>
      </w:r>
      <w:proofErr w:type="spellEnd"/>
      <w:r w:rsidRPr="00CF47D5">
        <w:rPr>
          <w:rFonts w:ascii="Times New Roman" w:hAnsi="Times New Roman" w:cs="Times New Roman"/>
        </w:rPr>
        <w:t xml:space="preserve">, N. M. S. (2025). A STUDY ON THE RETAIL INVESTORS PERCEPTION AND PREFERENCE ACROSS DIFFERENT TYPES OF MUTUAL FUNDS. </w:t>
      </w:r>
      <w:r w:rsidRPr="00CF47D5">
        <w:rPr>
          <w:rFonts w:ascii="Times New Roman" w:hAnsi="Times New Roman" w:cs="Times New Roman"/>
          <w:i/>
          <w:iCs/>
        </w:rPr>
        <w:t>EPRA International Journal of Multidisciplinary Research (IJMR)</w:t>
      </w:r>
      <w:r w:rsidRPr="00CF47D5">
        <w:rPr>
          <w:rFonts w:ascii="Times New Roman" w:hAnsi="Times New Roman" w:cs="Times New Roman"/>
        </w:rPr>
        <w:t xml:space="preserve">, 1796–1801. </w:t>
      </w:r>
      <w:hyperlink r:id="rId40" w:history="1">
        <w:r w:rsidRPr="00CF47D5">
          <w:rPr>
            <w:rStyle w:val="Hyperlink"/>
            <w:rFonts w:ascii="Times New Roman" w:hAnsi="Times New Roman" w:cs="Times New Roman"/>
          </w:rPr>
          <w:t>https://doi.org/10.36713/epra22772</w:t>
        </w:r>
      </w:hyperlink>
    </w:p>
    <w:p w14:paraId="2153F8FE"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Shahi, R. (2024). Navigating the Dynamics of Mutual Funds: An Insight into Investor </w:t>
      </w:r>
      <w:proofErr w:type="spellStart"/>
      <w:r w:rsidRPr="00CF47D5">
        <w:rPr>
          <w:rFonts w:ascii="Times New Roman" w:hAnsi="Times New Roman" w:cs="Times New Roman"/>
        </w:rPr>
        <w:t>Behavior</w:t>
      </w:r>
      <w:proofErr w:type="spellEnd"/>
      <w:r w:rsidRPr="00CF47D5">
        <w:rPr>
          <w:rFonts w:ascii="Times New Roman" w:hAnsi="Times New Roman" w:cs="Times New Roman"/>
        </w:rPr>
        <w:t xml:space="preserve">. </w:t>
      </w:r>
      <w:r w:rsidRPr="00CF47D5">
        <w:rPr>
          <w:rFonts w:ascii="Times New Roman" w:hAnsi="Times New Roman" w:cs="Times New Roman"/>
          <w:i/>
          <w:iCs/>
        </w:rPr>
        <w:t>INTERANTIONAL JOURNAL OF SCIENTIFIC RESEARCH IN ENGINEERING AND MANAGEMENT</w:t>
      </w:r>
      <w:r w:rsidRPr="00CF47D5">
        <w:rPr>
          <w:rFonts w:ascii="Times New Roman" w:hAnsi="Times New Roman" w:cs="Times New Roman"/>
        </w:rPr>
        <w:t xml:space="preserve">, </w:t>
      </w:r>
      <w:r w:rsidRPr="00CF47D5">
        <w:rPr>
          <w:rFonts w:ascii="Times New Roman" w:hAnsi="Times New Roman" w:cs="Times New Roman"/>
          <w:i/>
          <w:iCs/>
        </w:rPr>
        <w:t>08</w:t>
      </w:r>
      <w:r w:rsidRPr="00CF47D5">
        <w:rPr>
          <w:rFonts w:ascii="Times New Roman" w:hAnsi="Times New Roman" w:cs="Times New Roman"/>
        </w:rPr>
        <w:t xml:space="preserve">(04), 1–5. </w:t>
      </w:r>
      <w:hyperlink r:id="rId41" w:history="1">
        <w:r w:rsidRPr="00CF47D5">
          <w:rPr>
            <w:rStyle w:val="Hyperlink"/>
            <w:rFonts w:ascii="Times New Roman" w:hAnsi="Times New Roman" w:cs="Times New Roman"/>
          </w:rPr>
          <w:t>https://doi.org/10.55041/ijsrem32925</w:t>
        </w:r>
      </w:hyperlink>
    </w:p>
    <w:p w14:paraId="2D83F873"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The Institute of Chartered Accountants of India. (n.d.). MUTUAL FUNDS. In </w:t>
      </w:r>
      <w:r w:rsidRPr="00CF47D5">
        <w:rPr>
          <w:rFonts w:ascii="Times New Roman" w:hAnsi="Times New Roman" w:cs="Times New Roman"/>
          <w:i/>
          <w:iCs/>
        </w:rPr>
        <w:t>ADVANCED FINANCIAL MANAGEMENT</w:t>
      </w:r>
      <w:r w:rsidRPr="00CF47D5">
        <w:rPr>
          <w:rFonts w:ascii="Times New Roman" w:hAnsi="Times New Roman" w:cs="Times New Roman"/>
        </w:rPr>
        <w:t xml:space="preserve">. </w:t>
      </w:r>
      <w:hyperlink r:id="rId42" w:history="1">
        <w:r w:rsidRPr="00CF47D5">
          <w:rPr>
            <w:rStyle w:val="Hyperlink"/>
            <w:rFonts w:ascii="Times New Roman" w:hAnsi="Times New Roman" w:cs="Times New Roman"/>
          </w:rPr>
          <w:t>https://resource.cdn.icai.org/74835bos60509-cp8.pdf</w:t>
        </w:r>
      </w:hyperlink>
    </w:p>
    <w:p w14:paraId="3ADF14E4" w14:textId="77777777" w:rsidR="000602AA" w:rsidRPr="00CF47D5" w:rsidRDefault="000602AA" w:rsidP="00CF47D5">
      <w:pPr>
        <w:pStyle w:val="ListParagraph"/>
        <w:numPr>
          <w:ilvl w:val="0"/>
          <w:numId w:val="8"/>
        </w:numPr>
        <w:rPr>
          <w:rFonts w:ascii="Times New Roman" w:hAnsi="Times New Roman" w:cs="Times New Roman"/>
        </w:rPr>
      </w:pPr>
      <w:r w:rsidRPr="00CF47D5">
        <w:rPr>
          <w:rFonts w:ascii="Times New Roman" w:hAnsi="Times New Roman" w:cs="Times New Roman"/>
        </w:rPr>
        <w:t xml:space="preserve">Vidal-García, J., &amp; Vidal, M. (2016). Short-Term performance and mutual fund size. </w:t>
      </w:r>
      <w:r w:rsidRPr="00CF47D5">
        <w:rPr>
          <w:rFonts w:ascii="Times New Roman" w:hAnsi="Times New Roman" w:cs="Times New Roman"/>
          <w:i/>
          <w:iCs/>
        </w:rPr>
        <w:t>SSRN Electronic Journal</w:t>
      </w:r>
      <w:r w:rsidRPr="00CF47D5">
        <w:rPr>
          <w:rFonts w:ascii="Times New Roman" w:hAnsi="Times New Roman" w:cs="Times New Roman"/>
        </w:rPr>
        <w:t xml:space="preserve">. </w:t>
      </w:r>
      <w:hyperlink r:id="rId43" w:history="1">
        <w:r w:rsidRPr="00CF47D5">
          <w:rPr>
            <w:rStyle w:val="Hyperlink"/>
            <w:rFonts w:ascii="Times New Roman" w:hAnsi="Times New Roman" w:cs="Times New Roman"/>
          </w:rPr>
          <w:t>https://doi.org/10.2139/ssrn.2801930</w:t>
        </w:r>
      </w:hyperlink>
    </w:p>
    <w:p w14:paraId="1B3142C0" w14:textId="77777777" w:rsidR="000602AA" w:rsidRDefault="000602AA" w:rsidP="00CF47D5">
      <w:pPr>
        <w:pStyle w:val="ListParagraph"/>
        <w:numPr>
          <w:ilvl w:val="0"/>
          <w:numId w:val="8"/>
        </w:numPr>
      </w:pPr>
      <w:bookmarkStart w:id="3" w:name="_Hlk204894630"/>
      <w:r w:rsidRPr="00CF47D5">
        <w:rPr>
          <w:rFonts w:ascii="Times New Roman" w:hAnsi="Times New Roman" w:cs="Times New Roman"/>
        </w:rPr>
        <w:t>Yadav, A. P. (2015)</w:t>
      </w:r>
      <w:bookmarkEnd w:id="3"/>
      <w:r w:rsidRPr="00CF47D5">
        <w:rPr>
          <w:rFonts w:ascii="Times New Roman" w:hAnsi="Times New Roman" w:cs="Times New Roman"/>
        </w:rPr>
        <w:t>. The Indian Mutual Fund Industry: From Inception to Advancement. </w:t>
      </w:r>
      <w:r w:rsidRPr="00CF47D5">
        <w:rPr>
          <w:rFonts w:ascii="Times New Roman" w:hAnsi="Times New Roman" w:cs="Times New Roman"/>
          <w:i/>
          <w:iCs/>
        </w:rPr>
        <w:t>Indian Journal of Finance</w:t>
      </w:r>
      <w:r w:rsidRPr="00CF47D5">
        <w:rPr>
          <w:rFonts w:ascii="Times New Roman" w:hAnsi="Times New Roman" w:cs="Times New Roman"/>
        </w:rPr>
        <w:t>, </w:t>
      </w:r>
      <w:r w:rsidRPr="00CF47D5">
        <w:rPr>
          <w:rFonts w:ascii="Times New Roman" w:hAnsi="Times New Roman" w:cs="Times New Roman"/>
          <w:i/>
          <w:iCs/>
        </w:rPr>
        <w:t>9</w:t>
      </w:r>
      <w:r w:rsidRPr="00CF47D5">
        <w:rPr>
          <w:rFonts w:ascii="Times New Roman" w:hAnsi="Times New Roman" w:cs="Times New Roman"/>
        </w:rPr>
        <w:t xml:space="preserve">(5), 47–61. </w:t>
      </w:r>
      <w:hyperlink r:id="rId44" w:history="1">
        <w:r w:rsidRPr="00CF47D5">
          <w:rPr>
            <w:rStyle w:val="Hyperlink"/>
            <w:rFonts w:ascii="Times New Roman" w:hAnsi="Times New Roman" w:cs="Times New Roman"/>
          </w:rPr>
          <w:t>https://doi.org/10.17010/ijf/2015/v9i5/71452</w:t>
        </w:r>
      </w:hyperlink>
    </w:p>
    <w:sectPr w:rsidR="00060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F38AB"/>
    <w:multiLevelType w:val="hybridMultilevel"/>
    <w:tmpl w:val="71320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562AD0"/>
    <w:multiLevelType w:val="hybridMultilevel"/>
    <w:tmpl w:val="6A12C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DB4EDE"/>
    <w:multiLevelType w:val="hybridMultilevel"/>
    <w:tmpl w:val="B574B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04811"/>
    <w:multiLevelType w:val="hybridMultilevel"/>
    <w:tmpl w:val="5C021DFE"/>
    <w:lvl w:ilvl="0" w:tplc="46BC29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00484E"/>
    <w:multiLevelType w:val="hybridMultilevel"/>
    <w:tmpl w:val="54CA27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C3E77A3"/>
    <w:multiLevelType w:val="multilevel"/>
    <w:tmpl w:val="003E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70DF1"/>
    <w:multiLevelType w:val="multilevel"/>
    <w:tmpl w:val="159A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51588"/>
    <w:multiLevelType w:val="multilevel"/>
    <w:tmpl w:val="735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7C"/>
    <w:rsid w:val="0000049A"/>
    <w:rsid w:val="000335CE"/>
    <w:rsid w:val="000447A8"/>
    <w:rsid w:val="000460A2"/>
    <w:rsid w:val="00051D47"/>
    <w:rsid w:val="000602AA"/>
    <w:rsid w:val="00065C5E"/>
    <w:rsid w:val="00070BFD"/>
    <w:rsid w:val="000A62A5"/>
    <w:rsid w:val="000B1E4C"/>
    <w:rsid w:val="000B2B89"/>
    <w:rsid w:val="000C5CE5"/>
    <w:rsid w:val="000D3C36"/>
    <w:rsid w:val="000F1DCD"/>
    <w:rsid w:val="00110708"/>
    <w:rsid w:val="00124FB3"/>
    <w:rsid w:val="00152E5B"/>
    <w:rsid w:val="00153539"/>
    <w:rsid w:val="001536E6"/>
    <w:rsid w:val="00186E05"/>
    <w:rsid w:val="00186F69"/>
    <w:rsid w:val="001C097A"/>
    <w:rsid w:val="001C5E34"/>
    <w:rsid w:val="001D2659"/>
    <w:rsid w:val="001D3816"/>
    <w:rsid w:val="00203AE2"/>
    <w:rsid w:val="002164F3"/>
    <w:rsid w:val="00222222"/>
    <w:rsid w:val="002225A3"/>
    <w:rsid w:val="002329D4"/>
    <w:rsid w:val="002423EE"/>
    <w:rsid w:val="0026484F"/>
    <w:rsid w:val="0029407D"/>
    <w:rsid w:val="002B7019"/>
    <w:rsid w:val="002C2AC3"/>
    <w:rsid w:val="002F1A75"/>
    <w:rsid w:val="002F2EB9"/>
    <w:rsid w:val="00381247"/>
    <w:rsid w:val="003A3699"/>
    <w:rsid w:val="003C5178"/>
    <w:rsid w:val="003C69CC"/>
    <w:rsid w:val="003C7EA4"/>
    <w:rsid w:val="003F2B14"/>
    <w:rsid w:val="003F4CFE"/>
    <w:rsid w:val="004021BB"/>
    <w:rsid w:val="00402AEF"/>
    <w:rsid w:val="00402E22"/>
    <w:rsid w:val="00403D3E"/>
    <w:rsid w:val="00416F99"/>
    <w:rsid w:val="00427A5F"/>
    <w:rsid w:val="00472954"/>
    <w:rsid w:val="004807FE"/>
    <w:rsid w:val="004B2CFE"/>
    <w:rsid w:val="004B641F"/>
    <w:rsid w:val="004C0C49"/>
    <w:rsid w:val="004C1D56"/>
    <w:rsid w:val="004C3B3A"/>
    <w:rsid w:val="004F1A2E"/>
    <w:rsid w:val="00507420"/>
    <w:rsid w:val="00517E8E"/>
    <w:rsid w:val="005202A6"/>
    <w:rsid w:val="00523F91"/>
    <w:rsid w:val="00547A66"/>
    <w:rsid w:val="00553393"/>
    <w:rsid w:val="00555027"/>
    <w:rsid w:val="005707E3"/>
    <w:rsid w:val="00576208"/>
    <w:rsid w:val="005856A9"/>
    <w:rsid w:val="005B67AB"/>
    <w:rsid w:val="005D00AF"/>
    <w:rsid w:val="005D3229"/>
    <w:rsid w:val="005E1F0B"/>
    <w:rsid w:val="005E2137"/>
    <w:rsid w:val="00603525"/>
    <w:rsid w:val="00605A6C"/>
    <w:rsid w:val="006118A7"/>
    <w:rsid w:val="006240C6"/>
    <w:rsid w:val="00626E59"/>
    <w:rsid w:val="006368F3"/>
    <w:rsid w:val="0065005C"/>
    <w:rsid w:val="006500D0"/>
    <w:rsid w:val="00653A1C"/>
    <w:rsid w:val="00681DA3"/>
    <w:rsid w:val="00696F09"/>
    <w:rsid w:val="006A0AFD"/>
    <w:rsid w:val="006A59E5"/>
    <w:rsid w:val="006A6232"/>
    <w:rsid w:val="006B00DA"/>
    <w:rsid w:val="006C486A"/>
    <w:rsid w:val="006C781F"/>
    <w:rsid w:val="006F3C75"/>
    <w:rsid w:val="006F4EF2"/>
    <w:rsid w:val="00706EB2"/>
    <w:rsid w:val="007253A5"/>
    <w:rsid w:val="007347FD"/>
    <w:rsid w:val="007518C4"/>
    <w:rsid w:val="0075491E"/>
    <w:rsid w:val="0076722F"/>
    <w:rsid w:val="00770273"/>
    <w:rsid w:val="00774BE1"/>
    <w:rsid w:val="00780265"/>
    <w:rsid w:val="00782ECE"/>
    <w:rsid w:val="007A160C"/>
    <w:rsid w:val="007A55C8"/>
    <w:rsid w:val="007B2357"/>
    <w:rsid w:val="007B7994"/>
    <w:rsid w:val="007C112B"/>
    <w:rsid w:val="007C5B06"/>
    <w:rsid w:val="007E25A5"/>
    <w:rsid w:val="007F692D"/>
    <w:rsid w:val="00812E4B"/>
    <w:rsid w:val="00820AC3"/>
    <w:rsid w:val="00830D97"/>
    <w:rsid w:val="00855006"/>
    <w:rsid w:val="0089068F"/>
    <w:rsid w:val="008929CC"/>
    <w:rsid w:val="008B1BF0"/>
    <w:rsid w:val="008B5D4F"/>
    <w:rsid w:val="008D29C4"/>
    <w:rsid w:val="008D2F34"/>
    <w:rsid w:val="008D7F3B"/>
    <w:rsid w:val="008E230E"/>
    <w:rsid w:val="008F25BF"/>
    <w:rsid w:val="008F4AEC"/>
    <w:rsid w:val="009004E8"/>
    <w:rsid w:val="00907795"/>
    <w:rsid w:val="009158E8"/>
    <w:rsid w:val="009305E0"/>
    <w:rsid w:val="00934B2B"/>
    <w:rsid w:val="00936CC4"/>
    <w:rsid w:val="0096027C"/>
    <w:rsid w:val="009607BB"/>
    <w:rsid w:val="00973B31"/>
    <w:rsid w:val="00983FC7"/>
    <w:rsid w:val="009B0007"/>
    <w:rsid w:val="009C67CD"/>
    <w:rsid w:val="009D773C"/>
    <w:rsid w:val="00A31010"/>
    <w:rsid w:val="00A3416A"/>
    <w:rsid w:val="00A62661"/>
    <w:rsid w:val="00A72080"/>
    <w:rsid w:val="00A84103"/>
    <w:rsid w:val="00A85768"/>
    <w:rsid w:val="00AA2A71"/>
    <w:rsid w:val="00AB6136"/>
    <w:rsid w:val="00AB7D81"/>
    <w:rsid w:val="00AC360B"/>
    <w:rsid w:val="00AD379A"/>
    <w:rsid w:val="00AD7859"/>
    <w:rsid w:val="00AE0A0D"/>
    <w:rsid w:val="00AE135C"/>
    <w:rsid w:val="00B0798E"/>
    <w:rsid w:val="00B3610F"/>
    <w:rsid w:val="00B5028F"/>
    <w:rsid w:val="00B618B7"/>
    <w:rsid w:val="00B6524F"/>
    <w:rsid w:val="00B734A4"/>
    <w:rsid w:val="00B95ED4"/>
    <w:rsid w:val="00BA38CC"/>
    <w:rsid w:val="00C0218A"/>
    <w:rsid w:val="00C03D6D"/>
    <w:rsid w:val="00C2236A"/>
    <w:rsid w:val="00C3318E"/>
    <w:rsid w:val="00C40525"/>
    <w:rsid w:val="00C52FCC"/>
    <w:rsid w:val="00C81DAD"/>
    <w:rsid w:val="00C9588A"/>
    <w:rsid w:val="00C97407"/>
    <w:rsid w:val="00CC1929"/>
    <w:rsid w:val="00CD0B71"/>
    <w:rsid w:val="00CD119F"/>
    <w:rsid w:val="00CE0800"/>
    <w:rsid w:val="00CF009A"/>
    <w:rsid w:val="00CF13EE"/>
    <w:rsid w:val="00CF47D5"/>
    <w:rsid w:val="00CF750C"/>
    <w:rsid w:val="00D06A17"/>
    <w:rsid w:val="00D1451E"/>
    <w:rsid w:val="00D2395E"/>
    <w:rsid w:val="00D47548"/>
    <w:rsid w:val="00D67FC8"/>
    <w:rsid w:val="00D76AA8"/>
    <w:rsid w:val="00D9618F"/>
    <w:rsid w:val="00DA02E9"/>
    <w:rsid w:val="00DB3B31"/>
    <w:rsid w:val="00DB6C01"/>
    <w:rsid w:val="00DC5C73"/>
    <w:rsid w:val="00E053B9"/>
    <w:rsid w:val="00E17FD0"/>
    <w:rsid w:val="00E24503"/>
    <w:rsid w:val="00E2464C"/>
    <w:rsid w:val="00E33B3F"/>
    <w:rsid w:val="00E44AC9"/>
    <w:rsid w:val="00E46318"/>
    <w:rsid w:val="00E571CB"/>
    <w:rsid w:val="00E625D3"/>
    <w:rsid w:val="00E85EC2"/>
    <w:rsid w:val="00E90FD2"/>
    <w:rsid w:val="00EB1D51"/>
    <w:rsid w:val="00ED707F"/>
    <w:rsid w:val="00EE265A"/>
    <w:rsid w:val="00EF4158"/>
    <w:rsid w:val="00F0283C"/>
    <w:rsid w:val="00F02B58"/>
    <w:rsid w:val="00F04A62"/>
    <w:rsid w:val="00F057A8"/>
    <w:rsid w:val="00F142CF"/>
    <w:rsid w:val="00F1686A"/>
    <w:rsid w:val="00F400FE"/>
    <w:rsid w:val="00F41E00"/>
    <w:rsid w:val="00F71D57"/>
    <w:rsid w:val="00F80099"/>
    <w:rsid w:val="00F97143"/>
    <w:rsid w:val="00FD6CAE"/>
    <w:rsid w:val="00FD6E53"/>
    <w:rsid w:val="00FE6B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3771"/>
  <w15:chartTrackingRefBased/>
  <w15:docId w15:val="{A3A6641F-659D-472C-811A-69988C5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27C"/>
    <w:rPr>
      <w:rFonts w:eastAsiaTheme="majorEastAsia" w:cstheme="majorBidi"/>
      <w:color w:val="272727" w:themeColor="text1" w:themeTint="D8"/>
    </w:rPr>
  </w:style>
  <w:style w:type="paragraph" w:styleId="Title">
    <w:name w:val="Title"/>
    <w:basedOn w:val="Normal"/>
    <w:next w:val="Normal"/>
    <w:link w:val="TitleChar"/>
    <w:uiPriority w:val="10"/>
    <w:qFormat/>
    <w:rsid w:val="00960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27C"/>
    <w:pPr>
      <w:spacing w:before="160"/>
      <w:jc w:val="center"/>
    </w:pPr>
    <w:rPr>
      <w:i/>
      <w:iCs/>
      <w:color w:val="404040" w:themeColor="text1" w:themeTint="BF"/>
    </w:rPr>
  </w:style>
  <w:style w:type="character" w:customStyle="1" w:styleId="QuoteChar">
    <w:name w:val="Quote Char"/>
    <w:basedOn w:val="DefaultParagraphFont"/>
    <w:link w:val="Quote"/>
    <w:uiPriority w:val="29"/>
    <w:rsid w:val="0096027C"/>
    <w:rPr>
      <w:i/>
      <w:iCs/>
      <w:color w:val="404040" w:themeColor="text1" w:themeTint="BF"/>
    </w:rPr>
  </w:style>
  <w:style w:type="paragraph" w:styleId="ListParagraph">
    <w:name w:val="List Paragraph"/>
    <w:basedOn w:val="Normal"/>
    <w:uiPriority w:val="34"/>
    <w:qFormat/>
    <w:rsid w:val="0096027C"/>
    <w:pPr>
      <w:ind w:left="720"/>
      <w:contextualSpacing/>
    </w:pPr>
  </w:style>
  <w:style w:type="character" w:styleId="IntenseEmphasis">
    <w:name w:val="Intense Emphasis"/>
    <w:basedOn w:val="DefaultParagraphFont"/>
    <w:uiPriority w:val="21"/>
    <w:qFormat/>
    <w:rsid w:val="0096027C"/>
    <w:rPr>
      <w:i/>
      <w:iCs/>
      <w:color w:val="0F4761" w:themeColor="accent1" w:themeShade="BF"/>
    </w:rPr>
  </w:style>
  <w:style w:type="paragraph" w:styleId="IntenseQuote">
    <w:name w:val="Intense Quote"/>
    <w:basedOn w:val="Normal"/>
    <w:next w:val="Normal"/>
    <w:link w:val="IntenseQuoteChar"/>
    <w:uiPriority w:val="30"/>
    <w:qFormat/>
    <w:rsid w:val="0096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27C"/>
    <w:rPr>
      <w:i/>
      <w:iCs/>
      <w:color w:val="0F4761" w:themeColor="accent1" w:themeShade="BF"/>
    </w:rPr>
  </w:style>
  <w:style w:type="character" w:styleId="IntenseReference">
    <w:name w:val="Intense Reference"/>
    <w:basedOn w:val="DefaultParagraphFont"/>
    <w:uiPriority w:val="32"/>
    <w:qFormat/>
    <w:rsid w:val="0096027C"/>
    <w:rPr>
      <w:b/>
      <w:bCs/>
      <w:smallCaps/>
      <w:color w:val="0F4761" w:themeColor="accent1" w:themeShade="BF"/>
      <w:spacing w:val="5"/>
    </w:rPr>
  </w:style>
  <w:style w:type="paragraph" w:styleId="NormalWeb">
    <w:name w:val="Normal (Web)"/>
    <w:basedOn w:val="Normal"/>
    <w:uiPriority w:val="99"/>
    <w:semiHidden/>
    <w:unhideWhenUsed/>
    <w:rsid w:val="003A3699"/>
    <w:rPr>
      <w:rFonts w:ascii="Times New Roman" w:hAnsi="Times New Roman" w:cs="Times New Roman"/>
    </w:rPr>
  </w:style>
  <w:style w:type="character" w:styleId="Hyperlink">
    <w:name w:val="Hyperlink"/>
    <w:basedOn w:val="DefaultParagraphFont"/>
    <w:uiPriority w:val="99"/>
    <w:unhideWhenUsed/>
    <w:rsid w:val="009004E8"/>
    <w:rPr>
      <w:color w:val="467886" w:themeColor="hyperlink"/>
      <w:u w:val="single"/>
    </w:rPr>
  </w:style>
  <w:style w:type="character" w:styleId="UnresolvedMention">
    <w:name w:val="Unresolved Mention"/>
    <w:basedOn w:val="DefaultParagraphFont"/>
    <w:uiPriority w:val="99"/>
    <w:semiHidden/>
    <w:unhideWhenUsed/>
    <w:rsid w:val="009004E8"/>
    <w:rPr>
      <w:color w:val="605E5C"/>
      <w:shd w:val="clear" w:color="auto" w:fill="E1DFDD"/>
    </w:rPr>
  </w:style>
  <w:style w:type="table" w:styleId="TableGrid">
    <w:name w:val="Table Grid"/>
    <w:basedOn w:val="TableNormal"/>
    <w:uiPriority w:val="39"/>
    <w:rsid w:val="00CE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618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15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9244">
      <w:bodyDiv w:val="1"/>
      <w:marLeft w:val="0"/>
      <w:marRight w:val="0"/>
      <w:marTop w:val="0"/>
      <w:marBottom w:val="0"/>
      <w:divBdr>
        <w:top w:val="none" w:sz="0" w:space="0" w:color="auto"/>
        <w:left w:val="none" w:sz="0" w:space="0" w:color="auto"/>
        <w:bottom w:val="none" w:sz="0" w:space="0" w:color="auto"/>
        <w:right w:val="none" w:sz="0" w:space="0" w:color="auto"/>
      </w:divBdr>
    </w:div>
    <w:div w:id="341204425">
      <w:bodyDiv w:val="1"/>
      <w:marLeft w:val="0"/>
      <w:marRight w:val="0"/>
      <w:marTop w:val="0"/>
      <w:marBottom w:val="0"/>
      <w:divBdr>
        <w:top w:val="none" w:sz="0" w:space="0" w:color="auto"/>
        <w:left w:val="none" w:sz="0" w:space="0" w:color="auto"/>
        <w:bottom w:val="none" w:sz="0" w:space="0" w:color="auto"/>
        <w:right w:val="none" w:sz="0" w:space="0" w:color="auto"/>
      </w:divBdr>
    </w:div>
    <w:div w:id="415058653">
      <w:bodyDiv w:val="1"/>
      <w:marLeft w:val="0"/>
      <w:marRight w:val="0"/>
      <w:marTop w:val="0"/>
      <w:marBottom w:val="0"/>
      <w:divBdr>
        <w:top w:val="none" w:sz="0" w:space="0" w:color="auto"/>
        <w:left w:val="none" w:sz="0" w:space="0" w:color="auto"/>
        <w:bottom w:val="none" w:sz="0" w:space="0" w:color="auto"/>
        <w:right w:val="none" w:sz="0" w:space="0" w:color="auto"/>
      </w:divBdr>
    </w:div>
    <w:div w:id="487749751">
      <w:bodyDiv w:val="1"/>
      <w:marLeft w:val="0"/>
      <w:marRight w:val="0"/>
      <w:marTop w:val="0"/>
      <w:marBottom w:val="0"/>
      <w:divBdr>
        <w:top w:val="none" w:sz="0" w:space="0" w:color="auto"/>
        <w:left w:val="none" w:sz="0" w:space="0" w:color="auto"/>
        <w:bottom w:val="none" w:sz="0" w:space="0" w:color="auto"/>
        <w:right w:val="none" w:sz="0" w:space="0" w:color="auto"/>
      </w:divBdr>
    </w:div>
    <w:div w:id="5194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matecconf/202439201047" TargetMode="External"/><Relationship Id="rId18" Type="http://schemas.openxmlformats.org/officeDocument/2006/relationships/hyperlink" Target="https://www.amfiindia.com/Themes/Theme1/downloads/AMFI_AnnualMFReport.pdf" TargetMode="External"/><Relationship Id="rId26" Type="http://schemas.openxmlformats.org/officeDocument/2006/relationships/hyperlink" Target="https://doi.org/10.9790/487x-2706095059" TargetMode="External"/><Relationship Id="rId39" Type="http://schemas.openxmlformats.org/officeDocument/2006/relationships/hyperlink" Target="https://www.sebi.gov.in/sebi_data/faqfiles/sep-2024/1727242783639.pdf" TargetMode="External"/><Relationship Id="rId21" Type="http://schemas.openxmlformats.org/officeDocument/2006/relationships/hyperlink" Target="https://doi.org/10.1016/s0304-405x(96)00898-7" TargetMode="External"/><Relationship Id="rId34" Type="http://schemas.openxmlformats.org/officeDocument/2006/relationships/hyperlink" Target="https://doi.org/10.48175/ijarsct-19531" TargetMode="External"/><Relationship Id="rId42" Type="http://schemas.openxmlformats.org/officeDocument/2006/relationships/hyperlink" Target="https://resource.cdn.icai.org/74835bos60509-cp8.pdf" TargetMode="External"/><Relationship Id="rId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www.amfiindia.com/investor/knowledge-center-info?zoneName=IntroductionMutualFunds" TargetMode="External"/><Relationship Id="rId29" Type="http://schemas.openxmlformats.org/officeDocument/2006/relationships/hyperlink" Target="https://doi.org/10.2139/ssrn.4102972"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doi.org/10.20525/ijrbs.v9i2.635" TargetMode="External"/><Relationship Id="rId32" Type="http://schemas.openxmlformats.org/officeDocument/2006/relationships/hyperlink" Target="https://www.investopedia.com/terms/m/mutualfund.asp?utm_source=chatgpt.com" TargetMode="External"/><Relationship Id="rId37" Type="http://schemas.openxmlformats.org/officeDocument/2006/relationships/hyperlink" Target="https://doi.org/10.21275/art20196321" TargetMode="External"/><Relationship Id="rId40" Type="http://schemas.openxmlformats.org/officeDocument/2006/relationships/hyperlink" Target="https://doi.org/10.36713/epra2277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fiindia.com/Themes/Theme1/downloads/AMFI_AnnualMFReport2025.pdf" TargetMode="External"/><Relationship Id="rId23" Type="http://schemas.openxmlformats.org/officeDocument/2006/relationships/hyperlink" Target="https://doi.org/10.1016/j.irfa.2016.01.016" TargetMode="External"/><Relationship Id="rId28" Type="http://schemas.openxmlformats.org/officeDocument/2006/relationships/hyperlink" Target="https://www.bajajfinserv.in/investments/unveiling-the-role-and-responsibilities-of-a-mutual-fund-manager" TargetMode="External"/><Relationship Id="rId36" Type="http://schemas.openxmlformats.org/officeDocument/2006/relationships/hyperlink" Target="https://WWW.IJCIRAS.COM" TargetMode="External"/><Relationship Id="rId10" Type="http://schemas.openxmlformats.org/officeDocument/2006/relationships/chart" Target="charts/chart5.xml"/><Relationship Id="rId19" Type="http://schemas.openxmlformats.org/officeDocument/2006/relationships/hyperlink" Target="https://doi.org/10.55524/ijirem.2025.12.1.6" TargetMode="External"/><Relationship Id="rId31" Type="http://schemas.openxmlformats.org/officeDocument/2006/relationships/hyperlink" Target="https://doi.org/10.59091/2460-9196.2285" TargetMode="External"/><Relationship Id="rId44" Type="http://schemas.openxmlformats.org/officeDocument/2006/relationships/hyperlink" Target="https://doi.org/10.17010/ijf/2015/v9i5/71452"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www.academia.edu/37160130/Investor_Behavior_Towards_Mutual_Fund_A_Challenge_to_Mutual_Fund_Industry_in_India" TargetMode="External"/><Relationship Id="rId22" Type="http://schemas.openxmlformats.org/officeDocument/2006/relationships/hyperlink" Target="https://doi.org/10.1111/j.1540-6261.1997.tb03808.x" TargetMode="External"/><Relationship Id="rId27" Type="http://schemas.openxmlformats.org/officeDocument/2006/relationships/hyperlink" Target="https://www.finexia.com.au/blog/mutual-funds?utm_source=chatgpt.com" TargetMode="External"/><Relationship Id="rId30" Type="http://schemas.openxmlformats.org/officeDocument/2006/relationships/hyperlink" Target="https://doi.org/10.1016/j.ribaf.2024.102485" TargetMode="External"/><Relationship Id="rId35" Type="http://schemas.openxmlformats.org/officeDocument/2006/relationships/hyperlink" Target="https://doi.org/10.1108/jamr-07-2022-0138" TargetMode="External"/><Relationship Id="rId43" Type="http://schemas.openxmlformats.org/officeDocument/2006/relationships/hyperlink" Target="https://doi.org/10.2139/ssrn.2801930" TargetMode="External"/><Relationship Id="rId8"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chart" Target="charts/chart7.xml"/><Relationship Id="rId17" Type="http://schemas.openxmlformats.org/officeDocument/2006/relationships/hyperlink" Target="https://www.amfiindia.com/investor/knowledge-center-info?zoneName=HistoryOfMutualFundsInIndia" TargetMode="External"/><Relationship Id="rId25" Type="http://schemas.openxmlformats.org/officeDocument/2006/relationships/hyperlink" Target="https://doi.org/10.9790/487x-2706095059" TargetMode="External"/><Relationship Id="rId33" Type="http://schemas.openxmlformats.org/officeDocument/2006/relationships/hyperlink" Target="https://www.ibef.org/research/case-study/financial-resurgence-a-comprehensive-exploration-of-the-recent-boom-in-mutual-fund-investments-in-india" TargetMode="External"/><Relationship Id="rId38" Type="http://schemas.openxmlformats.org/officeDocument/2006/relationships/hyperlink" Target="https://doi.org/10.36676/jrps.v15.i3.1427" TargetMode="External"/><Relationship Id="rId46" Type="http://schemas.openxmlformats.org/officeDocument/2006/relationships/theme" Target="theme/theme1.xml"/><Relationship Id="rId20" Type="http://schemas.openxmlformats.org/officeDocument/2006/relationships/hyperlink" Target="https://www.bajajfinserv.in/investments/what-is-a-mutual-fund?utm_source=chatgpt.com" TargetMode="External"/><Relationship Id="rId41" Type="http://schemas.openxmlformats.org/officeDocument/2006/relationships/hyperlink" Target="https://doi.org/10.55041/ijsrem3292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Total Assets (Rs. Lakh</a:t>
            </a:r>
            <a:r>
              <a:rPr lang="en-IN" baseline="0"/>
              <a:t> crore</a:t>
            </a:r>
            <a:r>
              <a:rPr lang="en-IN"/>
              <a: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Total Assets (Rs. Lakh Crore)</c:v>
                </c:pt>
              </c:strCache>
            </c:strRef>
          </c:tx>
          <c:spPr>
            <a:ln w="22225" cap="rnd">
              <a:solidFill>
                <a:schemeClr val="accent1"/>
              </a:solidFill>
              <a:round/>
            </a:ln>
            <a:effectLst/>
          </c:spPr>
          <c:marker>
            <c:symbol val="diamond"/>
            <c:size val="6"/>
            <c:spPr>
              <a:solidFill>
                <a:schemeClr val="accent2"/>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General</c:formatCode>
                <c:ptCount val="13"/>
                <c:pt idx="0">
                  <c:v>57.01</c:v>
                </c:pt>
                <c:pt idx="1">
                  <c:v>58.6</c:v>
                </c:pt>
                <c:pt idx="2">
                  <c:v>61.33</c:v>
                </c:pt>
                <c:pt idx="3">
                  <c:v>64.709999999999994</c:v>
                </c:pt>
                <c:pt idx="4">
                  <c:v>66.040000000000006</c:v>
                </c:pt>
                <c:pt idx="5">
                  <c:v>68</c:v>
                </c:pt>
                <c:pt idx="6">
                  <c:v>68.5</c:v>
                </c:pt>
                <c:pt idx="7">
                  <c:v>68.05</c:v>
                </c:pt>
                <c:pt idx="8">
                  <c:v>69.33</c:v>
                </c:pt>
                <c:pt idx="9">
                  <c:v>68.05</c:v>
                </c:pt>
                <c:pt idx="10">
                  <c:v>67.58</c:v>
                </c:pt>
                <c:pt idx="11">
                  <c:v>66.7</c:v>
                </c:pt>
                <c:pt idx="12">
                  <c:v>69.5</c:v>
                </c:pt>
              </c:numCache>
            </c:numRef>
          </c:val>
          <c:smooth val="0"/>
          <c:extLst>
            <c:ext xmlns:c16="http://schemas.microsoft.com/office/drawing/2014/chart" uri="{C3380CC4-5D6E-409C-BE32-E72D297353CC}">
              <c16:uniqueId val="{00000000-0820-49D7-B16C-3A6E1A4AC597}"/>
            </c:ext>
          </c:extLst>
        </c:ser>
        <c:dLbls>
          <c:dLblPos val="t"/>
          <c:showLegendKey val="0"/>
          <c:showVal val="1"/>
          <c:showCatName val="0"/>
          <c:showSerName val="0"/>
          <c:showPercent val="0"/>
          <c:showBubbleSize val="0"/>
        </c:dLbls>
        <c:marker val="1"/>
        <c:smooth val="0"/>
        <c:axId val="744406816"/>
        <c:axId val="744390496"/>
      </c:lineChart>
      <c:dateAx>
        <c:axId val="7444068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Months</a:t>
                </a:r>
                <a:r>
                  <a:rPr lang="en-IN" baseline="0"/>
                  <a:t> </a:t>
                </a:r>
                <a:endParaRPr lang="en-IN"/>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44390496"/>
        <c:crosses val="autoZero"/>
        <c:auto val="1"/>
        <c:lblOffset val="100"/>
        <c:baseTimeUnit val="months"/>
      </c:dateAx>
      <c:valAx>
        <c:axId val="7443904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AUM</a:t>
                </a:r>
                <a:r>
                  <a:rPr lang="en-IN" baseline="0"/>
                  <a:t> (Rs. Lakh crore)</a:t>
                </a:r>
                <a:endParaRPr lang="en-IN"/>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4068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Scheme</a:t>
            </a:r>
            <a:r>
              <a:rPr lang="en-IN" baseline="0"/>
              <a:t> wise composition of assets</a:t>
            </a:r>
            <a:endParaRPr lang="en-IN"/>
          </a:p>
        </c:rich>
      </c:tx>
      <c:overlay val="0"/>
      <c:spPr>
        <a:noFill/>
        <a:ln>
          <a:noFill/>
        </a:ln>
        <a:effectLst/>
      </c:spPr>
    </c:title>
    <c:autoTitleDeleted val="0"/>
    <c:plotArea>
      <c:layout/>
      <c:barChart>
        <c:barDir val="col"/>
        <c:grouping val="percentStacked"/>
        <c:varyColors val="0"/>
        <c:ser>
          <c:idx val="0"/>
          <c:order val="0"/>
          <c:tx>
            <c:strRef>
              <c:f>Sheet1!$B$1</c:f>
              <c:strCache>
                <c:ptCount val="1"/>
                <c:pt idx="0">
                  <c:v>Debt oriented schemes</c:v>
                </c:pt>
              </c:strCache>
            </c:strRef>
          </c:tx>
          <c:spPr>
            <a:solidFill>
              <a:schemeClr val="accent1"/>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ln>
                      <a:noFill/>
                    </a:ln>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0.00%</c:formatCode>
                <c:ptCount val="13"/>
                <c:pt idx="0">
                  <c:v>0.159</c:v>
                </c:pt>
                <c:pt idx="1">
                  <c:v>0.157</c:v>
                </c:pt>
                <c:pt idx="2">
                  <c:v>0.151</c:v>
                </c:pt>
                <c:pt idx="3">
                  <c:v>0.14599999999999999</c:v>
                </c:pt>
                <c:pt idx="4">
                  <c:v>0.14499999999999999</c:v>
                </c:pt>
                <c:pt idx="5">
                  <c:v>0.14199999999999999</c:v>
                </c:pt>
                <c:pt idx="6">
                  <c:v>0.14399999999999999</c:v>
                </c:pt>
                <c:pt idx="7">
                  <c:v>0.14799999999999999</c:v>
                </c:pt>
                <c:pt idx="8">
                  <c:v>0.14599999999999999</c:v>
                </c:pt>
                <c:pt idx="9">
                  <c:v>0.14799999999999999</c:v>
                </c:pt>
                <c:pt idx="10">
                  <c:v>0.15</c:v>
                </c:pt>
                <c:pt idx="11">
                  <c:v>0.151</c:v>
                </c:pt>
                <c:pt idx="12">
                  <c:v>0.15</c:v>
                </c:pt>
              </c:numCache>
            </c:numRef>
          </c:val>
          <c:extLst>
            <c:ext xmlns:c16="http://schemas.microsoft.com/office/drawing/2014/chart" uri="{C3380CC4-5D6E-409C-BE32-E72D297353CC}">
              <c16:uniqueId val="{00000000-1658-4BE7-9EE2-4ED2C95B5EBD}"/>
            </c:ext>
          </c:extLst>
        </c:ser>
        <c:ser>
          <c:idx val="1"/>
          <c:order val="1"/>
          <c:tx>
            <c:strRef>
              <c:f>Sheet1!$C$1</c:f>
              <c:strCache>
                <c:ptCount val="1"/>
                <c:pt idx="0">
                  <c:v>Equity oriented schemes</c:v>
                </c:pt>
              </c:strCache>
            </c:strRef>
          </c:tx>
          <c:spPr>
            <a:solidFill>
              <a:schemeClr val="accent2"/>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Sheet1!$C$2:$C$14</c:f>
              <c:numCache>
                <c:formatCode>0.00%</c:formatCode>
                <c:ptCount val="13"/>
                <c:pt idx="0">
                  <c:v>0.58099999999999996</c:v>
                </c:pt>
                <c:pt idx="1">
                  <c:v>0.58599999999999997</c:v>
                </c:pt>
                <c:pt idx="2">
                  <c:v>0.59599999999999997</c:v>
                </c:pt>
                <c:pt idx="3">
                  <c:v>0.59899999999999998</c:v>
                </c:pt>
                <c:pt idx="4">
                  <c:v>0.60099999999999998</c:v>
                </c:pt>
                <c:pt idx="5">
                  <c:v>0.61</c:v>
                </c:pt>
                <c:pt idx="6">
                  <c:v>0.60299999999999998</c:v>
                </c:pt>
                <c:pt idx="7">
                  <c:v>0.59699999999999998</c:v>
                </c:pt>
                <c:pt idx="8">
                  <c:v>0.60599999999999998</c:v>
                </c:pt>
                <c:pt idx="9">
                  <c:v>0.59899999999999998</c:v>
                </c:pt>
                <c:pt idx="10">
                  <c:v>0.58799999999999997</c:v>
                </c:pt>
                <c:pt idx="11">
                  <c:v>0.59199999999999997</c:v>
                </c:pt>
                <c:pt idx="12">
                  <c:v>0.58899999999999997</c:v>
                </c:pt>
              </c:numCache>
            </c:numRef>
          </c:val>
          <c:extLst>
            <c:ext xmlns:c16="http://schemas.microsoft.com/office/drawing/2014/chart" uri="{C3380CC4-5D6E-409C-BE32-E72D297353CC}">
              <c16:uniqueId val="{00000001-1658-4BE7-9EE2-4ED2C95B5EBD}"/>
            </c:ext>
          </c:extLst>
        </c:ser>
        <c:ser>
          <c:idx val="2"/>
          <c:order val="2"/>
          <c:tx>
            <c:strRef>
              <c:f>Sheet1!$D$1</c:f>
              <c:strCache>
                <c:ptCount val="1"/>
                <c:pt idx="0">
                  <c:v>ETFs &amp; FoFs</c:v>
                </c:pt>
              </c:strCache>
            </c:strRef>
          </c:tx>
          <c:spPr>
            <a:solidFill>
              <a:schemeClr val="accent3"/>
            </a:solidFill>
            <a:ln>
              <a:noFill/>
            </a:ln>
            <a:effectLst/>
          </c:spPr>
          <c:invertIfNegative val="0"/>
          <c:dLbls>
            <c:spPr>
              <a:noFill/>
              <a:ln>
                <a:noFill/>
              </a:ln>
              <a:effectLst/>
            </c:spPr>
            <c:txPr>
              <a:bodyPr rot="-540000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Sheet1!$D$2:$D$14</c:f>
              <c:numCache>
                <c:formatCode>0.00%</c:formatCode>
                <c:ptCount val="13"/>
                <c:pt idx="0">
                  <c:v>0.128</c:v>
                </c:pt>
                <c:pt idx="1">
                  <c:v>0.127</c:v>
                </c:pt>
                <c:pt idx="2">
                  <c:v>0.128</c:v>
                </c:pt>
                <c:pt idx="3">
                  <c:v>0.127</c:v>
                </c:pt>
                <c:pt idx="4">
                  <c:v>0.127</c:v>
                </c:pt>
                <c:pt idx="5">
                  <c:v>0.127</c:v>
                </c:pt>
                <c:pt idx="6">
                  <c:v>0.126</c:v>
                </c:pt>
                <c:pt idx="7">
                  <c:v>0.125</c:v>
                </c:pt>
                <c:pt idx="8">
                  <c:v>0.123</c:v>
                </c:pt>
                <c:pt idx="9">
                  <c:v>0.122</c:v>
                </c:pt>
                <c:pt idx="10">
                  <c:v>0.123</c:v>
                </c:pt>
                <c:pt idx="11">
                  <c:v>0.126</c:v>
                </c:pt>
                <c:pt idx="12">
                  <c:v>0.125</c:v>
                </c:pt>
              </c:numCache>
            </c:numRef>
          </c:val>
          <c:extLst>
            <c:ext xmlns:c16="http://schemas.microsoft.com/office/drawing/2014/chart" uri="{C3380CC4-5D6E-409C-BE32-E72D297353CC}">
              <c16:uniqueId val="{00000002-1658-4BE7-9EE2-4ED2C95B5EBD}"/>
            </c:ext>
          </c:extLst>
        </c:ser>
        <c:ser>
          <c:idx val="3"/>
          <c:order val="3"/>
          <c:tx>
            <c:strRef>
              <c:f>Sheet1!$E$1</c:f>
              <c:strCache>
                <c:ptCount val="1"/>
                <c:pt idx="0">
                  <c:v>Liquid/ Money Market</c:v>
                </c:pt>
              </c:strCache>
            </c:strRef>
          </c:tx>
          <c:spPr>
            <a:solidFill>
              <a:schemeClr val="accent4"/>
            </a:solidFill>
            <a:ln>
              <a:noFill/>
            </a:ln>
            <a:effectLst/>
          </c:spPr>
          <c:invertIfNegative val="0"/>
          <c:dLbls>
            <c:spPr>
              <a:noFill/>
              <a:ln>
                <a:noFill/>
              </a:ln>
              <a:effectLst/>
            </c:spPr>
            <c:txPr>
              <a:bodyPr rot="-5400000" spcFirstLastPara="1" vertOverflow="ellipsis" vert="horz" wrap="square" lIns="36000" tIns="19050" rIns="38100" bIns="19050" anchor="ctr" anchorCtr="0">
                <a:spAutoFit/>
              </a:bodyPr>
              <a:lstStyle/>
              <a:p>
                <a:pPr>
                  <a:defRPr sz="9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Sheet1!$E$2:$E$14</c:f>
              <c:numCache>
                <c:formatCode>0.00%</c:formatCode>
                <c:ptCount val="13"/>
                <c:pt idx="0">
                  <c:v>0.13200000000000001</c:v>
                </c:pt>
                <c:pt idx="1">
                  <c:v>0.129</c:v>
                </c:pt>
                <c:pt idx="2">
                  <c:v>0.125</c:v>
                </c:pt>
                <c:pt idx="3">
                  <c:v>0.128</c:v>
                </c:pt>
                <c:pt idx="4">
                  <c:v>0.128</c:v>
                </c:pt>
                <c:pt idx="5">
                  <c:v>0.121</c:v>
                </c:pt>
                <c:pt idx="6">
                  <c:v>0.127</c:v>
                </c:pt>
                <c:pt idx="7">
                  <c:v>0.13</c:v>
                </c:pt>
                <c:pt idx="8">
                  <c:v>0.125</c:v>
                </c:pt>
                <c:pt idx="9">
                  <c:v>0.13</c:v>
                </c:pt>
                <c:pt idx="10">
                  <c:v>0.13900000000000001</c:v>
                </c:pt>
                <c:pt idx="11">
                  <c:v>0.13200000000000001</c:v>
                </c:pt>
                <c:pt idx="12">
                  <c:v>0.13500000000000001</c:v>
                </c:pt>
              </c:numCache>
            </c:numRef>
          </c:val>
          <c:extLst>
            <c:ext xmlns:c16="http://schemas.microsoft.com/office/drawing/2014/chart" uri="{C3380CC4-5D6E-409C-BE32-E72D297353CC}">
              <c16:uniqueId val="{00000003-1658-4BE7-9EE2-4ED2C95B5EBD}"/>
            </c:ext>
          </c:extLst>
        </c:ser>
        <c:dLbls>
          <c:showLegendKey val="0"/>
          <c:showVal val="1"/>
          <c:showCatName val="0"/>
          <c:showSerName val="0"/>
          <c:showPercent val="0"/>
          <c:showBubbleSize val="0"/>
        </c:dLbls>
        <c:gapWidth val="219"/>
        <c:overlap val="100"/>
        <c:axId val="883318863"/>
        <c:axId val="883319823"/>
      </c:barChart>
      <c:dateAx>
        <c:axId val="8833188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Months</a:t>
                </a:r>
              </a:p>
            </c:rich>
          </c:tx>
          <c:overlay val="0"/>
          <c:spPr>
            <a:noFill/>
            <a:ln>
              <a:noFill/>
            </a:ln>
            <a:effectLst/>
          </c:sp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19823"/>
        <c:crosses val="autoZero"/>
        <c:auto val="1"/>
        <c:lblOffset val="100"/>
        <c:baseTimeUnit val="months"/>
      </c:dateAx>
      <c:valAx>
        <c:axId val="88331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t>
                </a:r>
                <a:r>
                  <a:rPr lang="en-IN" baseline="0"/>
                  <a:t> of total assets</a:t>
                </a:r>
                <a:endParaRPr lang="en-IN"/>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3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Apr-24</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cat>
            <c:strRef>
              <c:f>Sheet1!$A$2:$A$5</c:f>
              <c:strCache>
                <c:ptCount val="3"/>
                <c:pt idx="0">
                  <c:v>Individuals</c:v>
                </c:pt>
                <c:pt idx="1">
                  <c:v>Institutions</c:v>
                </c:pt>
                <c:pt idx="2">
                  <c:v>Grand Total</c:v>
                </c:pt>
              </c:strCache>
            </c:strRef>
          </c:cat>
          <c:val>
            <c:numRef>
              <c:f>Sheet1!$B$2:$B$5</c:f>
              <c:numCache>
                <c:formatCode>General</c:formatCode>
                <c:ptCount val="4"/>
                <c:pt idx="0">
                  <c:v>3451600</c:v>
                </c:pt>
                <c:pt idx="1">
                  <c:v>2249759</c:v>
                </c:pt>
                <c:pt idx="2">
                  <c:v>5701359</c:v>
                </c:pt>
              </c:numCache>
            </c:numRef>
          </c:val>
          <c:extLst>
            <c:ext xmlns:c16="http://schemas.microsoft.com/office/drawing/2014/chart" uri="{C3380CC4-5D6E-409C-BE32-E72D297353CC}">
              <c16:uniqueId val="{00000000-1203-454A-BFB8-7E1DA329A210}"/>
            </c:ext>
          </c:extLst>
        </c:ser>
        <c:ser>
          <c:idx val="1"/>
          <c:order val="1"/>
          <c:tx>
            <c:strRef>
              <c:f>Sheet1!$C$1</c:f>
              <c:strCache>
                <c:ptCount val="1"/>
                <c:pt idx="0">
                  <c:v>Apr-25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cat>
            <c:strRef>
              <c:f>Sheet1!$A$2:$A$5</c:f>
              <c:strCache>
                <c:ptCount val="3"/>
                <c:pt idx="0">
                  <c:v>Individuals</c:v>
                </c:pt>
                <c:pt idx="1">
                  <c:v>Institutions</c:v>
                </c:pt>
                <c:pt idx="2">
                  <c:v>Grand Total</c:v>
                </c:pt>
              </c:strCache>
            </c:strRef>
          </c:cat>
          <c:val>
            <c:numRef>
              <c:f>Sheet1!$C$2:$C$5</c:f>
              <c:numCache>
                <c:formatCode>General</c:formatCode>
                <c:ptCount val="4"/>
                <c:pt idx="0">
                  <c:v>4164632</c:v>
                </c:pt>
                <c:pt idx="1">
                  <c:v>2785261</c:v>
                </c:pt>
                <c:pt idx="2">
                  <c:v>6949893</c:v>
                </c:pt>
              </c:numCache>
            </c:numRef>
          </c:val>
          <c:extLst>
            <c:ext xmlns:c16="http://schemas.microsoft.com/office/drawing/2014/chart" uri="{C3380CC4-5D6E-409C-BE32-E72D297353CC}">
              <c16:uniqueId val="{00000001-1203-454A-BFB8-7E1DA329A210}"/>
            </c:ext>
          </c:extLst>
        </c:ser>
        <c:dLbls>
          <c:showLegendKey val="0"/>
          <c:showVal val="0"/>
          <c:showCatName val="0"/>
          <c:showSerName val="0"/>
          <c:showPercent val="0"/>
          <c:showBubbleSize val="0"/>
        </c:dLbls>
        <c:gapWidth val="150"/>
        <c:shape val="box"/>
        <c:axId val="274101663"/>
        <c:axId val="274102143"/>
        <c:axId val="0"/>
      </c:bar3DChart>
      <c:catAx>
        <c:axId val="27410166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102143"/>
        <c:crosses val="autoZero"/>
        <c:auto val="1"/>
        <c:lblAlgn val="ctr"/>
        <c:lblOffset val="100"/>
        <c:noMultiLvlLbl val="0"/>
      </c:catAx>
      <c:valAx>
        <c:axId val="27410214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74101663"/>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Individuals</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Sheet1!$B$2:$B$14</c:f>
              <c:numCache>
                <c:formatCode>0.00%</c:formatCode>
                <c:ptCount val="13"/>
                <c:pt idx="0">
                  <c:v>0.60499999999999998</c:v>
                </c:pt>
                <c:pt idx="1">
                  <c:v>0.60599999999999998</c:v>
                </c:pt>
                <c:pt idx="2">
                  <c:v>0.61099999999999999</c:v>
                </c:pt>
                <c:pt idx="3">
                  <c:v>0.61</c:v>
                </c:pt>
                <c:pt idx="4">
                  <c:v>0.61099999999999999</c:v>
                </c:pt>
                <c:pt idx="5">
                  <c:v>0.61899999999999999</c:v>
                </c:pt>
                <c:pt idx="6">
                  <c:v>0.61299999999999999</c:v>
                </c:pt>
                <c:pt idx="7">
                  <c:v>0.60799999999999998</c:v>
                </c:pt>
                <c:pt idx="8">
                  <c:v>0.61399999999999999</c:v>
                </c:pt>
                <c:pt idx="9">
                  <c:v>0.60899999999999999</c:v>
                </c:pt>
                <c:pt idx="10">
                  <c:v>0.59899999999999998</c:v>
                </c:pt>
                <c:pt idx="11">
                  <c:v>0.60399999999999998</c:v>
                </c:pt>
                <c:pt idx="12">
                  <c:v>0.59899999999999998</c:v>
                </c:pt>
              </c:numCache>
            </c:numRef>
          </c:val>
          <c:smooth val="0"/>
          <c:extLst>
            <c:ext xmlns:c16="http://schemas.microsoft.com/office/drawing/2014/chart" uri="{C3380CC4-5D6E-409C-BE32-E72D297353CC}">
              <c16:uniqueId val="{00000000-B493-44D5-9E35-CB1B8E453B82}"/>
            </c:ext>
          </c:extLst>
        </c:ser>
        <c:dLbls>
          <c:showLegendKey val="0"/>
          <c:showVal val="0"/>
          <c:showCatName val="0"/>
          <c:showSerName val="0"/>
          <c:showPercent val="0"/>
          <c:showBubbleSize val="0"/>
        </c:dLbls>
        <c:marker val="1"/>
        <c:smooth val="0"/>
        <c:axId val="1594044400"/>
        <c:axId val="1594045360"/>
      </c:lineChart>
      <c:lineChart>
        <c:grouping val="standard"/>
        <c:varyColors val="0"/>
        <c:ser>
          <c:idx val="1"/>
          <c:order val="1"/>
          <c:tx>
            <c:strRef>
              <c:f>Sheet1!$C$1</c:f>
              <c:strCache>
                <c:ptCount val="1"/>
                <c:pt idx="0">
                  <c:v>Institutions</c:v>
                </c:pt>
              </c:strCache>
            </c:strRef>
          </c:tx>
          <c:spPr>
            <a:ln w="22225" cap="rnd">
              <a:solidFill>
                <a:schemeClr val="accent2"/>
              </a:solidFill>
              <a:round/>
            </a:ln>
            <a:effectLst/>
          </c:spPr>
          <c:marker>
            <c:symbol val="circle"/>
            <c:size val="6"/>
            <c:spPr>
              <a:solidFill>
                <a:schemeClr val="lt1"/>
              </a:solidFill>
              <a:ln w="15875">
                <a:solidFill>
                  <a:schemeClr val="accent2"/>
                </a:solidFill>
                <a:round/>
              </a:ln>
              <a:effectLst/>
            </c:spPr>
          </c:marker>
          <c:cat>
            <c:numRef>
              <c:f>Sheet1!$A$2:$A$14</c:f>
              <c:numCache>
                <c:formatCode>mmm\-yy</c:formatCode>
                <c:ptCount val="13"/>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pt idx="12">
                  <c:v>45748</c:v>
                </c:pt>
              </c:numCache>
            </c:numRef>
          </c:cat>
          <c:val>
            <c:numRef>
              <c:f>Sheet1!$C$2:$C$14</c:f>
              <c:numCache>
                <c:formatCode>0.00%</c:formatCode>
                <c:ptCount val="13"/>
                <c:pt idx="0">
                  <c:v>0.39500000000000002</c:v>
                </c:pt>
                <c:pt idx="1">
                  <c:v>0.39400000000000002</c:v>
                </c:pt>
                <c:pt idx="2">
                  <c:v>0.38900000000000001</c:v>
                </c:pt>
                <c:pt idx="3">
                  <c:v>0.39</c:v>
                </c:pt>
                <c:pt idx="4">
                  <c:v>0.38900000000000001</c:v>
                </c:pt>
                <c:pt idx="5">
                  <c:v>0.38100000000000001</c:v>
                </c:pt>
                <c:pt idx="6">
                  <c:v>0.38700000000000001</c:v>
                </c:pt>
                <c:pt idx="7">
                  <c:v>0.39200000000000002</c:v>
                </c:pt>
                <c:pt idx="8">
                  <c:v>0.38600000000000001</c:v>
                </c:pt>
                <c:pt idx="9">
                  <c:v>0.39100000000000001</c:v>
                </c:pt>
                <c:pt idx="10">
                  <c:v>0.40100000000000002</c:v>
                </c:pt>
                <c:pt idx="11">
                  <c:v>0.39600000000000002</c:v>
                </c:pt>
                <c:pt idx="12">
                  <c:v>0.40100000000000002</c:v>
                </c:pt>
              </c:numCache>
            </c:numRef>
          </c:val>
          <c:smooth val="0"/>
          <c:extLst>
            <c:ext xmlns:c16="http://schemas.microsoft.com/office/drawing/2014/chart" uri="{C3380CC4-5D6E-409C-BE32-E72D297353CC}">
              <c16:uniqueId val="{00000001-B493-44D5-9E35-CB1B8E453B82}"/>
            </c:ext>
          </c:extLst>
        </c:ser>
        <c:dLbls>
          <c:showLegendKey val="0"/>
          <c:showVal val="0"/>
          <c:showCatName val="0"/>
          <c:showSerName val="0"/>
          <c:showPercent val="0"/>
          <c:showBubbleSize val="0"/>
        </c:dLbls>
        <c:marker val="1"/>
        <c:smooth val="0"/>
        <c:axId val="710991471"/>
        <c:axId val="710978511"/>
      </c:lineChart>
      <c:dateAx>
        <c:axId val="1594044400"/>
        <c:scaling>
          <c:orientation val="minMax"/>
        </c:scaling>
        <c:delete val="0"/>
        <c:axPos val="b"/>
        <c:numFmt formatCode="mmm\-yy"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594045360"/>
        <c:crosses val="autoZero"/>
        <c:auto val="1"/>
        <c:lblOffset val="100"/>
        <c:baseTimeUnit val="months"/>
      </c:dateAx>
      <c:valAx>
        <c:axId val="15940453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Proportion of Individuals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594044400"/>
        <c:crosses val="autoZero"/>
        <c:crossBetween val="between"/>
      </c:valAx>
      <c:valAx>
        <c:axId val="710978511"/>
        <c:scaling>
          <c:orientation val="minMax"/>
        </c:scaling>
        <c:delete val="0"/>
        <c:axPos val="r"/>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Proportion of Instituions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10991471"/>
        <c:crosses val="max"/>
        <c:crossBetween val="between"/>
      </c:valAx>
      <c:dateAx>
        <c:axId val="710991471"/>
        <c:scaling>
          <c:orientation val="minMax"/>
        </c:scaling>
        <c:delete val="1"/>
        <c:axPos val="b"/>
        <c:numFmt formatCode="mmm\-yy" sourceLinked="1"/>
        <c:majorTickMark val="out"/>
        <c:minorTickMark val="none"/>
        <c:tickLblPos val="nextTo"/>
        <c:crossAx val="710978511"/>
        <c:crosses val="autoZero"/>
        <c:auto val="1"/>
        <c:lblOffset val="100"/>
        <c:baseTimeUnit val="months"/>
      </c:date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Institutions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8A-410C-8418-18FE1BEDAD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8A-410C-8418-18FE1BEDAD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8A-410C-8418-18FE1BEDAD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8A-410C-8418-18FE1BEDADD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Debt oriented schemes</c:v>
                </c:pt>
                <c:pt idx="1">
                  <c:v>Equity oriented schemes</c:v>
                </c:pt>
                <c:pt idx="2">
                  <c:v>ETFs, FoFs</c:v>
                </c:pt>
                <c:pt idx="3">
                  <c:v>Liquid/ Money Market</c:v>
                </c:pt>
              </c:strCache>
            </c:strRef>
          </c:cat>
          <c:val>
            <c:numRef>
              <c:f>Sheet1!$B$2:$B$5</c:f>
              <c:numCache>
                <c:formatCode>0%</c:formatCode>
                <c:ptCount val="4"/>
                <c:pt idx="0">
                  <c:v>0.24</c:v>
                </c:pt>
                <c:pt idx="1">
                  <c:v>0.18</c:v>
                </c:pt>
                <c:pt idx="2">
                  <c:v>0.27</c:v>
                </c:pt>
                <c:pt idx="3">
                  <c:v>0.31</c:v>
                </c:pt>
              </c:numCache>
            </c:numRef>
          </c:val>
          <c:extLst>
            <c:ext xmlns:c16="http://schemas.microsoft.com/office/drawing/2014/chart" uri="{C3380CC4-5D6E-409C-BE32-E72D297353CC}">
              <c16:uniqueId val="{00000008-F28A-410C-8418-18FE1BEDADD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Individuals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CE-486C-B22F-D360EDAB79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CE-486C-B22F-D360EDAB79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CE-486C-B22F-D360EDAB793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CE-486C-B22F-D360EDAB793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Debt oriented schemes</c:v>
                </c:pt>
                <c:pt idx="1">
                  <c:v>Equity oriented schemes</c:v>
                </c:pt>
                <c:pt idx="2">
                  <c:v>ETFs, FoFs</c:v>
                </c:pt>
                <c:pt idx="3">
                  <c:v>Liquid/ Money Market</c:v>
                </c:pt>
              </c:strCache>
            </c:strRef>
          </c:cat>
          <c:val>
            <c:numRef>
              <c:f>Sheet1!$B$2:$B$5</c:f>
              <c:numCache>
                <c:formatCode>0%</c:formatCode>
                <c:ptCount val="4"/>
                <c:pt idx="0">
                  <c:v>0.09</c:v>
                </c:pt>
                <c:pt idx="1">
                  <c:v>0.86</c:v>
                </c:pt>
                <c:pt idx="2">
                  <c:v>0.03</c:v>
                </c:pt>
                <c:pt idx="3">
                  <c:v>0.02</c:v>
                </c:pt>
              </c:numCache>
            </c:numRef>
          </c:val>
          <c:extLst>
            <c:ext xmlns:c16="http://schemas.microsoft.com/office/drawing/2014/chart" uri="{C3380CC4-5D6E-409C-BE32-E72D297353CC}">
              <c16:uniqueId val="{00000008-C7CE-486C-B22F-D360EDAB793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Individual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Equity oriented schemes</c:v>
                </c:pt>
                <c:pt idx="1">
                  <c:v>Debt oriented schemes</c:v>
                </c:pt>
                <c:pt idx="2">
                  <c:v>Liquid/ Money market</c:v>
                </c:pt>
                <c:pt idx="3">
                  <c:v>ETFs, FoFs</c:v>
                </c:pt>
              </c:strCache>
            </c:strRef>
          </c:cat>
          <c:val>
            <c:numRef>
              <c:f>Sheet1!$B$2:$B$5</c:f>
              <c:numCache>
                <c:formatCode>0%</c:formatCode>
                <c:ptCount val="4"/>
                <c:pt idx="0">
                  <c:v>0.88</c:v>
                </c:pt>
                <c:pt idx="1">
                  <c:v>0.35</c:v>
                </c:pt>
                <c:pt idx="2">
                  <c:v>0.11</c:v>
                </c:pt>
                <c:pt idx="3">
                  <c:v>0.13</c:v>
                </c:pt>
              </c:numCache>
            </c:numRef>
          </c:val>
          <c:extLst>
            <c:ext xmlns:c16="http://schemas.microsoft.com/office/drawing/2014/chart" uri="{C3380CC4-5D6E-409C-BE32-E72D297353CC}">
              <c16:uniqueId val="{00000000-6FFE-4F09-ADD5-C9424462A06B}"/>
            </c:ext>
          </c:extLst>
        </c:ser>
        <c:ser>
          <c:idx val="1"/>
          <c:order val="1"/>
          <c:tx>
            <c:strRef>
              <c:f>Sheet1!$C$1</c:f>
              <c:strCache>
                <c:ptCount val="1"/>
                <c:pt idx="0">
                  <c:v>Institutional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Equity oriented schemes</c:v>
                </c:pt>
                <c:pt idx="1">
                  <c:v>Debt oriented schemes</c:v>
                </c:pt>
                <c:pt idx="2">
                  <c:v>Liquid/ Money market</c:v>
                </c:pt>
                <c:pt idx="3">
                  <c:v>ETFs, FoFs</c:v>
                </c:pt>
              </c:strCache>
            </c:strRef>
          </c:cat>
          <c:val>
            <c:numRef>
              <c:f>Sheet1!$C$2:$C$5</c:f>
              <c:numCache>
                <c:formatCode>0%</c:formatCode>
                <c:ptCount val="4"/>
                <c:pt idx="0">
                  <c:v>0.12</c:v>
                </c:pt>
                <c:pt idx="1">
                  <c:v>0.65</c:v>
                </c:pt>
                <c:pt idx="2">
                  <c:v>0.89</c:v>
                </c:pt>
                <c:pt idx="3">
                  <c:v>0.87</c:v>
                </c:pt>
              </c:numCache>
            </c:numRef>
          </c:val>
          <c:extLst>
            <c:ext xmlns:c16="http://schemas.microsoft.com/office/drawing/2014/chart" uri="{C3380CC4-5D6E-409C-BE32-E72D297353CC}">
              <c16:uniqueId val="{00000001-6FFE-4F09-ADD5-C9424462A06B}"/>
            </c:ext>
          </c:extLst>
        </c:ser>
        <c:dLbls>
          <c:dLblPos val="outEnd"/>
          <c:showLegendKey val="0"/>
          <c:showVal val="1"/>
          <c:showCatName val="0"/>
          <c:showSerName val="0"/>
          <c:showPercent val="0"/>
          <c:showBubbleSize val="0"/>
        </c:dLbls>
        <c:gapWidth val="100"/>
        <c:axId val="1254468511"/>
        <c:axId val="1254473311"/>
      </c:barChart>
      <c:catAx>
        <c:axId val="1254468511"/>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4473311"/>
        <c:crosses val="autoZero"/>
        <c:auto val="1"/>
        <c:lblAlgn val="ctr"/>
        <c:lblOffset val="100"/>
        <c:noMultiLvlLbl val="0"/>
      </c:catAx>
      <c:valAx>
        <c:axId val="1254473311"/>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54468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AMF25</b:Tag>
    <b:SourceType>InternetSite</b:SourceType>
    <b:Guid>{EEB3D585-8C4F-493C-B199-226B6FF82716}</b:Guid>
    <b:Title>Association of Mutual Funds in India</b:Title>
    <b:Medium>Website</b:Medium>
    <b:YearAccessed>2025</b:YearAccessed>
    <b:MonthAccessed>09</b:MonthAccessed>
    <b:DayAccessed>11</b:DayAccessed>
    <b:URL>https://www.amfiindia.com/investor/knowledge-center-info?zoneName=HistoryOfMutualFundsInIndia</b:URL>
    <b:Author>
      <b:Author>
        <b:NameList>
          <b:Person>
            <b:Last>AMFI</b:Last>
          </b:Person>
        </b:NameList>
      </b:Author>
    </b:Author>
    <b:RefOrder>1</b:RefOrder>
  </b:Source>
</b:Sources>
</file>

<file path=customXml/itemProps1.xml><?xml version="1.0" encoding="utf-8"?>
<ds:datastoreItem xmlns:ds="http://schemas.openxmlformats.org/officeDocument/2006/customXml" ds:itemID="{B0C90D3E-1196-47C9-8EF3-A46B8351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3280</TotalTime>
  <Pages>19</Pages>
  <Words>7402</Words>
  <Characters>42193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KUSHWAHA</dc:creator>
  <cp:keywords/>
  <dc:description/>
  <cp:lastModifiedBy>Editor-1183</cp:lastModifiedBy>
  <cp:revision>54</cp:revision>
  <cp:lastPrinted>2025-11-18T11:51:00Z</cp:lastPrinted>
  <dcterms:created xsi:type="dcterms:W3CDTF">2025-07-18T11:56:00Z</dcterms:created>
  <dcterms:modified xsi:type="dcterms:W3CDTF">2025-12-08T07:26:00Z</dcterms:modified>
</cp:coreProperties>
</file>