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0961F" w14:textId="540A807B" w:rsidR="00975D4D" w:rsidRDefault="003C6AB9" w:rsidP="008B30D4">
      <w:pPr>
        <w:pStyle w:val="Title"/>
        <w:jc w:val="center"/>
        <w:rPr>
          <w:rFonts w:ascii="Times New Roman" w:hAnsi="Times New Roman" w:cs="Times New Roman"/>
          <w:b/>
          <w:bCs/>
          <w:sz w:val="32"/>
          <w:szCs w:val="32"/>
        </w:rPr>
      </w:pPr>
      <w:r w:rsidRPr="005B702B">
        <w:rPr>
          <w:rFonts w:ascii="Times New Roman" w:hAnsi="Times New Roman" w:cs="Times New Roman"/>
          <w:b/>
          <w:bCs/>
          <w:sz w:val="32"/>
          <w:szCs w:val="32"/>
        </w:rPr>
        <w:t xml:space="preserve">GST Reforms 2025 </w:t>
      </w:r>
      <w:r>
        <w:rPr>
          <w:rFonts w:ascii="Times New Roman" w:hAnsi="Times New Roman" w:cs="Times New Roman"/>
          <w:b/>
          <w:bCs/>
          <w:sz w:val="32"/>
          <w:szCs w:val="32"/>
        </w:rPr>
        <w:t>a</w:t>
      </w:r>
      <w:r w:rsidRPr="005B702B">
        <w:rPr>
          <w:rFonts w:ascii="Times New Roman" w:hAnsi="Times New Roman" w:cs="Times New Roman"/>
          <w:b/>
          <w:bCs/>
          <w:sz w:val="32"/>
          <w:szCs w:val="32"/>
        </w:rPr>
        <w:t>nd The New Tax Regime</w:t>
      </w:r>
      <w:r>
        <w:rPr>
          <w:rFonts w:ascii="Times New Roman" w:hAnsi="Times New Roman" w:cs="Times New Roman"/>
          <w:b/>
          <w:bCs/>
          <w:sz w:val="32"/>
          <w:szCs w:val="32"/>
        </w:rPr>
        <w:t xml:space="preserve"> in India</w:t>
      </w:r>
      <w:r w:rsidRPr="005B702B">
        <w:rPr>
          <w:rFonts w:ascii="Times New Roman" w:hAnsi="Times New Roman" w:cs="Times New Roman"/>
          <w:b/>
          <w:bCs/>
          <w:sz w:val="32"/>
          <w:szCs w:val="32"/>
        </w:rPr>
        <w:t xml:space="preserve">: Towards Simplified Taxation </w:t>
      </w:r>
      <w:r>
        <w:rPr>
          <w:rFonts w:ascii="Times New Roman" w:hAnsi="Times New Roman" w:cs="Times New Roman"/>
          <w:b/>
          <w:bCs/>
          <w:sz w:val="32"/>
          <w:szCs w:val="32"/>
        </w:rPr>
        <w:t>o</w:t>
      </w:r>
      <w:r w:rsidRPr="005B702B">
        <w:rPr>
          <w:rFonts w:ascii="Times New Roman" w:hAnsi="Times New Roman" w:cs="Times New Roman"/>
          <w:b/>
          <w:bCs/>
          <w:sz w:val="32"/>
          <w:szCs w:val="32"/>
        </w:rPr>
        <w:t>r Added Complexity</w:t>
      </w:r>
    </w:p>
    <w:p w14:paraId="7342E53F" w14:textId="77777777" w:rsidR="00CF5889" w:rsidRPr="00CF5889" w:rsidRDefault="00CF5889" w:rsidP="00CF5889"/>
    <w:p w14:paraId="7741A42D" w14:textId="0993E62B" w:rsidR="00C576D4" w:rsidRPr="005B702B" w:rsidRDefault="00C576D4" w:rsidP="008B30D4">
      <w:pPr>
        <w:pStyle w:val="Heading1"/>
        <w:rPr>
          <w:rFonts w:cs="Times New Roman"/>
          <w:sz w:val="28"/>
          <w:szCs w:val="28"/>
        </w:rPr>
      </w:pPr>
      <w:r w:rsidRPr="005B702B">
        <w:rPr>
          <w:rFonts w:cs="Times New Roman"/>
          <w:sz w:val="28"/>
          <w:szCs w:val="28"/>
        </w:rPr>
        <w:t xml:space="preserve">ABSTRACT  </w:t>
      </w:r>
    </w:p>
    <w:p w14:paraId="3A7C5941" w14:textId="35C33154" w:rsidR="00C576D4" w:rsidRPr="005B702B" w:rsidRDefault="00D36187" w:rsidP="00C576D4">
      <w:pPr>
        <w:rPr>
          <w:rFonts w:cs="Times New Roman"/>
          <w:sz w:val="22"/>
          <w:szCs w:val="22"/>
        </w:rPr>
      </w:pPr>
      <w:r w:rsidRPr="005B702B">
        <w:rPr>
          <w:rFonts w:cs="Times New Roman"/>
          <w:sz w:val="22"/>
          <w:szCs w:val="22"/>
        </w:rPr>
        <w:t>The reform of the Indian 2025 GST 2.0, which comes into effect on 22 September is a total redesign of the indirect taxation framework. Some of the major aspects involve the narrowing down of the current structure of multi-rate to a binary of 5% and 18% and a 40% surcharge on luxury and sin items like large cigarettes and premium cars. The long-term objective of the reform is to double the ease of compliance and minimisation of litigation, as well as positive inducement of consumer spending.  The analysis challenges the so-called simplification with the empirical history, utilizing an explanatory design that is mixed in nature and incorporates primary policy texts, GST Council meeting minutes, and legal modification orders, survey data on 286 tax practitioners and 359 small- and-middle size enterprises, and longitudinal case studies in the electronics and automotive industries. The analysis shows that the decrease in the rate bands generates evident increase of rate transparency in goods that are widely used in consumption. However, the systemic disturbances continue to exist in terms of assignment of tax treatment, maintenance of transitional credit and continuation of sector specific concessions.  The inquiry further enhances the idea that simplification is peripheral, as well as based on the ease of executive interpretation and on the success of rollout, which must be effective and punctual. The research recommends incorporation of systematic instructional investment in tax administration, systemic addition of guard-rails to governance interpretation, operational and dispute settlement, and the realized, recurrent staging of reform in tax-sensitive submarkets, to maintain marginal gains. The practical continuity of the project thus seems to be as evident in the architectural edict as in the examination of performance</w:t>
      </w:r>
      <w:r w:rsidR="00C576D4" w:rsidRPr="005B702B">
        <w:rPr>
          <w:rFonts w:cs="Times New Roman"/>
          <w:sz w:val="22"/>
          <w:szCs w:val="22"/>
        </w:rPr>
        <w:t xml:space="preserve">  </w:t>
      </w:r>
    </w:p>
    <w:p w14:paraId="4BC3037F" w14:textId="4706B1A5" w:rsidR="007C7E5A" w:rsidRPr="005B702B" w:rsidRDefault="007C7E5A" w:rsidP="008B30D4">
      <w:pPr>
        <w:pStyle w:val="Heading1"/>
        <w:rPr>
          <w:rFonts w:cs="Times New Roman"/>
          <w:sz w:val="28"/>
          <w:szCs w:val="28"/>
        </w:rPr>
      </w:pPr>
      <w:r w:rsidRPr="005B702B">
        <w:rPr>
          <w:rFonts w:cs="Times New Roman"/>
          <w:sz w:val="28"/>
          <w:szCs w:val="28"/>
        </w:rPr>
        <w:t>KEYWORDS</w:t>
      </w:r>
    </w:p>
    <w:p w14:paraId="2DB41CD5" w14:textId="726777FA" w:rsidR="004F2D8E" w:rsidRPr="005B702B" w:rsidRDefault="004F2D8E" w:rsidP="004F2D8E">
      <w:pPr>
        <w:rPr>
          <w:rFonts w:cs="Times New Roman"/>
          <w:sz w:val="22"/>
          <w:szCs w:val="22"/>
        </w:rPr>
      </w:pPr>
      <w:r w:rsidRPr="005B702B">
        <w:rPr>
          <w:rFonts w:cs="Times New Roman"/>
          <w:sz w:val="22"/>
          <w:szCs w:val="22"/>
        </w:rPr>
        <w:t>GST 2.0 reform, indirect taxation, compliance simplification, rate rationalization, tax administration, policy implementation</w:t>
      </w:r>
    </w:p>
    <w:p w14:paraId="718D2EA5" w14:textId="34DF0391" w:rsidR="00D36187" w:rsidRPr="005B702B" w:rsidRDefault="000B433F" w:rsidP="008B30D4">
      <w:pPr>
        <w:pStyle w:val="Heading1"/>
        <w:rPr>
          <w:rFonts w:cs="Times New Roman"/>
          <w:sz w:val="28"/>
          <w:szCs w:val="28"/>
        </w:rPr>
      </w:pPr>
      <w:r w:rsidRPr="005B702B">
        <w:rPr>
          <w:rFonts w:cs="Times New Roman"/>
          <w:sz w:val="28"/>
          <w:szCs w:val="28"/>
        </w:rPr>
        <w:t>1.</w:t>
      </w:r>
      <w:r w:rsidR="00C576D4" w:rsidRPr="005B702B">
        <w:rPr>
          <w:rFonts w:cs="Times New Roman"/>
          <w:sz w:val="28"/>
          <w:szCs w:val="28"/>
        </w:rPr>
        <w:t xml:space="preserve">  INTRODUCTION  </w:t>
      </w:r>
    </w:p>
    <w:p w14:paraId="4D9D73A4" w14:textId="55D753D3" w:rsidR="008B30D4" w:rsidRPr="005B702B" w:rsidRDefault="00204D20" w:rsidP="008B30D4">
      <w:pPr>
        <w:pStyle w:val="Heading2"/>
        <w:rPr>
          <w:rFonts w:cs="Times New Roman"/>
          <w:sz w:val="24"/>
          <w:szCs w:val="24"/>
        </w:rPr>
      </w:pPr>
      <w:r w:rsidRPr="005B702B">
        <w:rPr>
          <w:rFonts w:cs="Times New Roman"/>
          <w:sz w:val="24"/>
          <w:szCs w:val="24"/>
        </w:rPr>
        <w:t>1.1 Narrative</w:t>
      </w:r>
      <w:r w:rsidR="00D36187" w:rsidRPr="005B702B">
        <w:rPr>
          <w:rFonts w:cs="Times New Roman"/>
          <w:sz w:val="24"/>
          <w:szCs w:val="24"/>
        </w:rPr>
        <w:t xml:space="preserve"> and Chronological Evolution of the Indian Regime of the Goods and Services Tax</w:t>
      </w:r>
    </w:p>
    <w:p w14:paraId="01002EED" w14:textId="45E0AF35" w:rsidR="00D36187" w:rsidRPr="005B702B" w:rsidRDefault="00D36187" w:rsidP="00D36187">
      <w:pPr>
        <w:rPr>
          <w:rFonts w:cs="Times New Roman"/>
          <w:sz w:val="22"/>
          <w:szCs w:val="22"/>
        </w:rPr>
      </w:pPr>
      <w:r w:rsidRPr="005B702B">
        <w:rPr>
          <w:rFonts w:cs="Times New Roman"/>
          <w:sz w:val="22"/>
          <w:szCs w:val="22"/>
        </w:rPr>
        <w:t>In July of 2017, the introduction of the Goods and Services Tax (GST) was the most ambitious project to rationalize the set of numerous indirect taxation levels in India, including central excise, value-added tax and the service tax, into one, nationwide system (One Hundred and First Amendment, 2016; Wikipedia, 2025). However, later experience has shown there are still persistent difficulties, such as an explosion of tax slabs, the upside-down duty pattern, large-scale exemptions, and an overwhelming scarlet letter of compliance demands, and the question arises whether the original simplification promise has in fact been delivered (PwC, 2025). These ongoing criticisms and incessant operational head Winds have led to a second wave of reform, dubbed as GST 2.0 as part of the New-Gen GST Reforms 2025.  The September 2025 meeting of the GST Council approved a redesign of the rate architecture with a narrowing of the previous spectrum of four brackets (5%, 12%, 18</w:t>
      </w:r>
      <w:r w:rsidR="00203934">
        <w:rPr>
          <w:rFonts w:cs="Times New Roman"/>
          <w:sz w:val="22"/>
          <w:szCs w:val="22"/>
        </w:rPr>
        <w:t>%</w:t>
      </w:r>
      <w:r w:rsidRPr="005B702B">
        <w:rPr>
          <w:rFonts w:cs="Times New Roman"/>
          <w:sz w:val="22"/>
          <w:szCs w:val="22"/>
        </w:rPr>
        <w:t>, 28</w:t>
      </w:r>
      <w:r w:rsidR="00203934">
        <w:rPr>
          <w:rFonts w:cs="Times New Roman"/>
          <w:sz w:val="22"/>
          <w:szCs w:val="22"/>
        </w:rPr>
        <w:t>%</w:t>
      </w:r>
      <w:r w:rsidRPr="005B702B">
        <w:rPr>
          <w:rFonts w:cs="Times New Roman"/>
          <w:sz w:val="22"/>
          <w:szCs w:val="22"/>
        </w:rPr>
        <w:t>) to a binary structure of 5% and 18</w:t>
      </w:r>
      <w:r w:rsidR="00044A76">
        <w:rPr>
          <w:rFonts w:cs="Times New Roman"/>
          <w:sz w:val="22"/>
          <w:szCs w:val="22"/>
        </w:rPr>
        <w:t>%</w:t>
      </w:r>
      <w:r w:rsidRPr="005B702B">
        <w:rPr>
          <w:rFonts w:cs="Times New Roman"/>
          <w:sz w:val="22"/>
          <w:szCs w:val="22"/>
        </w:rPr>
        <w:t xml:space="preserve"> with an accompanying sharp rate of 40% to apply to sin and lux road goods. The package is </w:t>
      </w:r>
      <w:r w:rsidRPr="005B702B">
        <w:rPr>
          <w:rFonts w:cs="Times New Roman"/>
          <w:sz w:val="22"/>
          <w:szCs w:val="22"/>
        </w:rPr>
        <w:lastRenderedPageBreak/>
        <w:t>also approved to have simplified forms of returns, a faster way of refunds, strengthened classification principles, and the reduction of litigation by introducing the GST Appellate Tribunal, as well as other reforms (Drishti's, 2025; NDTV, 2025).  Proponents argue that the simplified program will reduce compliance costs, improve the transparency of taxes, boost demand with reduced consumer prices on a wide range of products, and promote the appeal of India as a foreign investment destination (Invest India, 2025; Economic Times, 2025). Critics are however warning that as much as rate rationalisation is a required goal, it might also create new compliance knots in classification matters, transitional input tax credit (ITC) management, stock in transit provisions and sector specific divergences which may remain impediments to stability over the long term. The GST reform agenda 2025 may thus secure the doubts about future litigation risks plus the increased dispatch of administrators in the dark cut-off circumstances (</w:t>
      </w:r>
      <w:proofErr w:type="spellStart"/>
      <w:r w:rsidRPr="005B702B">
        <w:rPr>
          <w:rFonts w:cs="Times New Roman"/>
          <w:sz w:val="22"/>
          <w:szCs w:val="22"/>
        </w:rPr>
        <w:t>TradeIMEX</w:t>
      </w:r>
      <w:proofErr w:type="spellEnd"/>
      <w:r w:rsidRPr="005B702B">
        <w:rPr>
          <w:rFonts w:cs="Times New Roman"/>
          <w:sz w:val="22"/>
          <w:szCs w:val="22"/>
        </w:rPr>
        <w:t xml:space="preserve">, 2025; PIB FAQ, 2025).  </w:t>
      </w:r>
    </w:p>
    <w:p w14:paraId="7F14FD61" w14:textId="43CC84DC" w:rsidR="00D36187" w:rsidRPr="005B702B" w:rsidRDefault="00D36187" w:rsidP="008B30D4">
      <w:pPr>
        <w:pStyle w:val="Heading2"/>
        <w:rPr>
          <w:rFonts w:cs="Times New Roman"/>
          <w:sz w:val="24"/>
          <w:szCs w:val="24"/>
        </w:rPr>
      </w:pPr>
      <w:r w:rsidRPr="005B702B">
        <w:rPr>
          <w:rFonts w:cs="Times New Roman"/>
          <w:sz w:val="24"/>
          <w:szCs w:val="24"/>
        </w:rPr>
        <w:t xml:space="preserve">1.2 Reason and Importance of the Study </w:t>
      </w:r>
    </w:p>
    <w:p w14:paraId="634976C9" w14:textId="3AB2526C" w:rsidR="00D36187" w:rsidRPr="005B702B" w:rsidRDefault="00D36187" w:rsidP="00D36187">
      <w:pPr>
        <w:rPr>
          <w:rFonts w:cs="Times New Roman"/>
          <w:sz w:val="22"/>
          <w:szCs w:val="22"/>
        </w:rPr>
      </w:pPr>
      <w:r w:rsidRPr="005B702B">
        <w:rPr>
          <w:rFonts w:cs="Times New Roman"/>
          <w:sz w:val="22"/>
          <w:szCs w:val="22"/>
        </w:rPr>
        <w:t xml:space="preserve">The GST 2025 agenda of India represents the most comprehensive redesign of the system that has been implemented since its initial passing. However, the question that applies to this inquiry is: Does the new provisions provide a true simplification in the indirect tax calculus or, on the contrary, does the appearance of a simplification cover net procedural complication with a </w:t>
      </w:r>
      <w:r w:rsidR="00044A76" w:rsidRPr="005B702B">
        <w:rPr>
          <w:rFonts w:cs="Times New Roman"/>
          <w:sz w:val="22"/>
          <w:szCs w:val="22"/>
        </w:rPr>
        <w:t>linguistic</w:t>
      </w:r>
      <w:r w:rsidRPr="005B702B">
        <w:rPr>
          <w:rFonts w:cs="Times New Roman"/>
          <w:sz w:val="22"/>
          <w:szCs w:val="22"/>
        </w:rPr>
        <w:t xml:space="preserve"> account of simplification?</w:t>
      </w:r>
    </w:p>
    <w:p w14:paraId="145EEED7" w14:textId="77777777" w:rsidR="00D36187" w:rsidRPr="005B702B" w:rsidRDefault="00D36187" w:rsidP="00D36187">
      <w:pPr>
        <w:rPr>
          <w:rFonts w:cs="Times New Roman"/>
          <w:b/>
          <w:bCs/>
          <w:sz w:val="22"/>
          <w:szCs w:val="22"/>
        </w:rPr>
      </w:pPr>
      <w:r w:rsidRPr="005B702B">
        <w:rPr>
          <w:rFonts w:cs="Times New Roman"/>
          <w:b/>
          <w:bCs/>
          <w:sz w:val="22"/>
          <w:szCs w:val="22"/>
        </w:rPr>
        <w:t xml:space="preserve">The investigation is relevant to a number of constituencies:  </w:t>
      </w:r>
    </w:p>
    <w:p w14:paraId="55E08EB9" w14:textId="77777777" w:rsidR="00203934" w:rsidRPr="00203934" w:rsidRDefault="00D36187" w:rsidP="00203934">
      <w:pPr>
        <w:rPr>
          <w:rFonts w:cs="Times New Roman"/>
          <w:b/>
          <w:bCs/>
          <w:sz w:val="22"/>
          <w:szCs w:val="22"/>
        </w:rPr>
      </w:pPr>
      <w:r w:rsidRPr="005B702B">
        <w:rPr>
          <w:rFonts w:cs="Times New Roman"/>
          <w:sz w:val="22"/>
          <w:szCs w:val="22"/>
        </w:rPr>
        <w:t xml:space="preserve">Taxpayers and businesses, especially the micro, small, and medium enterprises, need to be made clear on whether the current procedures of record-keeping and filing will be narrowed down or narrowed down further.  The tax administration and the framing authority have to know to what degree the rules can be safely interpreted, pragmatically implemented and judicially punished without recurring need to episodic notification and litigation.  The macroeconomic changes expect to have a wider impact in a quiet manner in the consumption patterns, the inflation dynamics, the revenue elasticity, and the risk climate towards the private capital.  </w:t>
      </w:r>
      <w:r w:rsidR="00203934" w:rsidRPr="00203934">
        <w:rPr>
          <w:rFonts w:cs="Times New Roman"/>
          <w:sz w:val="22"/>
          <w:szCs w:val="22"/>
        </w:rPr>
        <w:t>The comparison of statutory design, system characteristics, and operationally modelled burdens aims to improve fiscal disclosure and support empirically validated policy analysis.</w:t>
      </w:r>
    </w:p>
    <w:p w14:paraId="4B14089F" w14:textId="22D02D05" w:rsidR="00D36187" w:rsidRPr="005B702B" w:rsidRDefault="00D36187" w:rsidP="00203934">
      <w:pPr>
        <w:rPr>
          <w:rFonts w:cs="Times New Roman"/>
        </w:rPr>
      </w:pPr>
      <w:r w:rsidRPr="005B702B">
        <w:rPr>
          <w:rFonts w:cs="Times New Roman"/>
        </w:rPr>
        <w:t xml:space="preserve">1.3 Research Gap  </w:t>
      </w:r>
    </w:p>
    <w:p w14:paraId="5A9B8EC8" w14:textId="32055463" w:rsidR="00D36187" w:rsidRPr="005B702B" w:rsidRDefault="00D36187" w:rsidP="00D36187">
      <w:pPr>
        <w:rPr>
          <w:rFonts w:cs="Times New Roman"/>
          <w:sz w:val="22"/>
          <w:szCs w:val="22"/>
        </w:rPr>
      </w:pPr>
      <w:r w:rsidRPr="005B702B">
        <w:rPr>
          <w:rFonts w:cs="Times New Roman"/>
          <w:sz w:val="22"/>
          <w:szCs w:val="22"/>
        </w:rPr>
        <w:t xml:space="preserve">The literature that survives principally focuses on ex-ante predictions of aggregate consumption elasticity, revenue buoyancy or macro fiscal transmission that affects growth. The most common scenario by policy-based media presupposes the overwhelming price falls, the booming consumption, and the reduced compliance costs (Economic Times, 2025; NDTV, 2025; Reuters, 2025). On the other hand, </w:t>
      </w:r>
      <w:r w:rsidR="00ED0816">
        <w:rPr>
          <w:rFonts w:cs="Times New Roman"/>
          <w:sz w:val="22"/>
          <w:szCs w:val="22"/>
        </w:rPr>
        <w:t xml:space="preserve">Policy </w:t>
      </w:r>
      <w:r w:rsidRPr="005B702B">
        <w:rPr>
          <w:rFonts w:cs="Times New Roman"/>
          <w:sz w:val="22"/>
          <w:szCs w:val="22"/>
        </w:rPr>
        <w:t xml:space="preserve">briefs of organizations like Drishti explain the theoretical framework of reforms, but they are also likely to ignore the practical risks involved and the subtle realities that may exist among various stakeholders. Available qualitative academic research-focusing on the conflict between goods and services classification, the intermediate applicability of input tax credit facility, and industry-specific exemptions- is, nevertheless, in small amount. It is accordingly proposed that this research paper aims to close the identified gap by conducting a triangulation of the comprehensive document review of the articulation of reform, an organized elicitation of the opinion of tax practitioners and micro, small, and medium-sized enterprises (MSMEs), and exemplary case studies of the sectoral ramification, thus assessing the reality of the vexations in practice against the promised simplification.   </w:t>
      </w:r>
    </w:p>
    <w:p w14:paraId="1CC17263" w14:textId="6DEFEC2F" w:rsidR="00D36187" w:rsidRPr="005B702B" w:rsidRDefault="00203934" w:rsidP="008B30D4">
      <w:pPr>
        <w:pStyle w:val="Heading2"/>
        <w:rPr>
          <w:rFonts w:cs="Times New Roman"/>
          <w:sz w:val="24"/>
          <w:szCs w:val="24"/>
        </w:rPr>
      </w:pPr>
      <w:r w:rsidRPr="005B702B">
        <w:rPr>
          <w:rFonts w:cs="Times New Roman"/>
          <w:sz w:val="24"/>
          <w:szCs w:val="24"/>
        </w:rPr>
        <w:t>1.4 Scope</w:t>
      </w:r>
      <w:r w:rsidR="00D36187" w:rsidRPr="005B702B">
        <w:rPr>
          <w:rFonts w:cs="Times New Roman"/>
          <w:sz w:val="24"/>
          <w:szCs w:val="24"/>
        </w:rPr>
        <w:t xml:space="preserve">, Research Questions and Structure   </w:t>
      </w:r>
    </w:p>
    <w:p w14:paraId="444E10BD" w14:textId="77777777" w:rsidR="00D36187" w:rsidRPr="005B702B" w:rsidRDefault="00D36187" w:rsidP="00D36187">
      <w:pPr>
        <w:rPr>
          <w:rFonts w:cs="Times New Roman"/>
          <w:b/>
          <w:bCs/>
          <w:sz w:val="22"/>
          <w:szCs w:val="22"/>
        </w:rPr>
      </w:pPr>
      <w:r w:rsidRPr="005B702B">
        <w:rPr>
          <w:rFonts w:cs="Times New Roman"/>
          <w:b/>
          <w:bCs/>
          <w:sz w:val="22"/>
          <w:szCs w:val="22"/>
        </w:rPr>
        <w:t>Scope:</w:t>
      </w:r>
    </w:p>
    <w:p w14:paraId="01E4F529" w14:textId="4A73D77D" w:rsidR="00D36187" w:rsidRPr="005B702B" w:rsidRDefault="00D36187" w:rsidP="00D36187">
      <w:pPr>
        <w:rPr>
          <w:rFonts w:cs="Times New Roman"/>
          <w:sz w:val="22"/>
          <w:szCs w:val="22"/>
        </w:rPr>
      </w:pPr>
      <w:r w:rsidRPr="005B702B">
        <w:rPr>
          <w:rFonts w:cs="Times New Roman"/>
          <w:sz w:val="22"/>
          <w:szCs w:val="22"/>
        </w:rPr>
        <w:lastRenderedPageBreak/>
        <w:t>The question is narrowed down to the reform package that is identified and operationalised as GST 2.0, which takes effect in 2025, and projections of its implications within the context of the transition horizon (2025</w:t>
      </w:r>
      <w:r w:rsidR="00204D20">
        <w:rPr>
          <w:rFonts w:cs="Times New Roman"/>
          <w:sz w:val="22"/>
          <w:szCs w:val="22"/>
        </w:rPr>
        <w:t>-</w:t>
      </w:r>
      <w:r w:rsidRPr="005B702B">
        <w:rPr>
          <w:rFonts w:cs="Times New Roman"/>
          <w:sz w:val="22"/>
          <w:szCs w:val="22"/>
        </w:rPr>
        <w:t xml:space="preserve">2027). It </w:t>
      </w:r>
      <w:r w:rsidR="00EF010B">
        <w:rPr>
          <w:rFonts w:cs="Times New Roman"/>
          <w:sz w:val="22"/>
          <w:szCs w:val="22"/>
        </w:rPr>
        <w:t>places an empirical focus on the manufacturing, services, automotive, and fast-moving consumer goods (FMCG) sectors, which are all exposed to acute tax-rate adjustments</w:t>
      </w:r>
      <w:r w:rsidRPr="005B702B">
        <w:rPr>
          <w:rFonts w:cs="Times New Roman"/>
          <w:sz w:val="22"/>
          <w:szCs w:val="22"/>
        </w:rPr>
        <w:t xml:space="preserve">. Differences in rates, thresholds and procedural ecosystems either brought by individual states, or by tightly focused economic activities, are mentioned, at all, only in appendiceal analyses.   </w:t>
      </w:r>
    </w:p>
    <w:p w14:paraId="479DD8D8" w14:textId="77777777" w:rsidR="00D36187" w:rsidRPr="005B702B" w:rsidRDefault="00D36187" w:rsidP="00D36187">
      <w:pPr>
        <w:rPr>
          <w:rFonts w:cs="Times New Roman"/>
          <w:b/>
          <w:bCs/>
          <w:sz w:val="22"/>
          <w:szCs w:val="22"/>
        </w:rPr>
      </w:pPr>
      <w:r w:rsidRPr="005B702B">
        <w:rPr>
          <w:rFonts w:cs="Times New Roman"/>
          <w:b/>
          <w:bCs/>
          <w:sz w:val="22"/>
          <w:szCs w:val="22"/>
        </w:rPr>
        <w:t>Research questions and Hypotheses:</w:t>
      </w:r>
    </w:p>
    <w:p w14:paraId="0D94C418" w14:textId="77777777" w:rsidR="00D36187" w:rsidRPr="005B702B" w:rsidRDefault="00D36187" w:rsidP="00D36187">
      <w:pPr>
        <w:rPr>
          <w:rFonts w:cs="Times New Roman"/>
          <w:sz w:val="22"/>
          <w:szCs w:val="22"/>
        </w:rPr>
      </w:pPr>
      <w:r w:rsidRPr="005B702B">
        <w:rPr>
          <w:rFonts w:cs="Times New Roman"/>
          <w:sz w:val="22"/>
          <w:szCs w:val="22"/>
        </w:rPr>
        <w:t xml:space="preserve">RQ1: Does the tax structure of GST 2025, which is defined by a decrease in the rate levels and more simplified classification code, become apparent in the simplifying working conditions?   </w:t>
      </w:r>
    </w:p>
    <w:p w14:paraId="1F338D3C" w14:textId="4DF3F4C4" w:rsidR="00D36187" w:rsidRPr="005B702B" w:rsidRDefault="00D36187" w:rsidP="008B30D4">
      <w:pPr>
        <w:pStyle w:val="ListParagraph"/>
        <w:numPr>
          <w:ilvl w:val="0"/>
          <w:numId w:val="27"/>
        </w:numPr>
        <w:rPr>
          <w:rFonts w:cs="Times New Roman"/>
          <w:sz w:val="22"/>
          <w:szCs w:val="22"/>
        </w:rPr>
      </w:pPr>
      <w:r w:rsidRPr="005B702B">
        <w:rPr>
          <w:rFonts w:cs="Times New Roman"/>
          <w:sz w:val="22"/>
          <w:szCs w:val="22"/>
        </w:rPr>
        <w:t xml:space="preserve">H1: The rationalisation of discrete rates in general and major classes of goods and services alleviates definitional uncertainty in a significant number of taxable items.   </w:t>
      </w:r>
    </w:p>
    <w:p w14:paraId="17BDF956" w14:textId="48708136" w:rsidR="00D36187" w:rsidRPr="005B702B" w:rsidRDefault="00D36187" w:rsidP="008B30D4">
      <w:pPr>
        <w:pStyle w:val="ListParagraph"/>
        <w:numPr>
          <w:ilvl w:val="0"/>
          <w:numId w:val="27"/>
        </w:numPr>
        <w:rPr>
          <w:rFonts w:cs="Times New Roman"/>
          <w:sz w:val="22"/>
          <w:szCs w:val="22"/>
        </w:rPr>
      </w:pPr>
      <w:r w:rsidRPr="005B702B">
        <w:rPr>
          <w:rFonts w:cs="Times New Roman"/>
          <w:sz w:val="22"/>
          <w:szCs w:val="22"/>
        </w:rPr>
        <w:t>H0: The expected simplification economies are offset and, possibly, offset more by persistent and stalemated classification controversies.</w:t>
      </w:r>
    </w:p>
    <w:p w14:paraId="6E13171B" w14:textId="77777777" w:rsidR="00D36187" w:rsidRPr="005B702B" w:rsidRDefault="00D36187" w:rsidP="00D36187">
      <w:pPr>
        <w:rPr>
          <w:rFonts w:cs="Times New Roman"/>
          <w:sz w:val="22"/>
          <w:szCs w:val="22"/>
        </w:rPr>
      </w:pPr>
      <w:r w:rsidRPr="005B702B">
        <w:rPr>
          <w:rFonts w:cs="Times New Roman"/>
          <w:sz w:val="22"/>
          <w:szCs w:val="22"/>
        </w:rPr>
        <w:t xml:space="preserve">RQ2: Is there any new operational complexity (refunds, transitional input tax credit, and e-invoicing) to expect in GST 2025?  </w:t>
      </w:r>
    </w:p>
    <w:p w14:paraId="6D6A4FDB" w14:textId="77777777" w:rsidR="00D36187" w:rsidRPr="005B702B" w:rsidRDefault="00D36187" w:rsidP="00D36187">
      <w:pPr>
        <w:rPr>
          <w:rFonts w:cs="Times New Roman"/>
          <w:sz w:val="22"/>
          <w:szCs w:val="22"/>
        </w:rPr>
      </w:pPr>
      <w:r w:rsidRPr="005B702B">
        <w:rPr>
          <w:rFonts w:cs="Times New Roman"/>
          <w:sz w:val="22"/>
          <w:szCs w:val="22"/>
        </w:rPr>
        <w:t xml:space="preserve">RQ3: How has the perception of tax practitioners and micro, small, and medium enterprises on the balance of simplification and burden of the upcoming reforms accumulated?  </w:t>
      </w:r>
    </w:p>
    <w:p w14:paraId="1A66E503" w14:textId="722EE24A" w:rsidR="00D36187" w:rsidRPr="005B702B" w:rsidRDefault="00D36187" w:rsidP="00D36187">
      <w:pPr>
        <w:rPr>
          <w:rFonts w:cs="Times New Roman"/>
          <w:sz w:val="22"/>
          <w:szCs w:val="22"/>
        </w:rPr>
      </w:pPr>
      <w:r w:rsidRPr="005B702B">
        <w:rPr>
          <w:rFonts w:cs="Times New Roman"/>
          <w:sz w:val="22"/>
          <w:szCs w:val="22"/>
        </w:rPr>
        <w:t xml:space="preserve">RQ4: Are micro-sector case studies revealing deviation off the </w:t>
      </w:r>
      <w:r w:rsidR="00ED0816" w:rsidRPr="005B702B">
        <w:rPr>
          <w:rFonts w:cs="Times New Roman"/>
          <w:sz w:val="22"/>
          <w:szCs w:val="22"/>
        </w:rPr>
        <w:t>original</w:t>
      </w:r>
      <w:r w:rsidR="00ED0816">
        <w:rPr>
          <w:rFonts w:cs="Times New Roman"/>
          <w:sz w:val="22"/>
          <w:szCs w:val="22"/>
        </w:rPr>
        <w:t xml:space="preserve"> </w:t>
      </w:r>
      <w:r w:rsidRPr="005B702B">
        <w:rPr>
          <w:rFonts w:cs="Times New Roman"/>
          <w:sz w:val="22"/>
          <w:szCs w:val="22"/>
        </w:rPr>
        <w:t xml:space="preserve">simplification </w:t>
      </w:r>
      <w:r w:rsidR="00ED0816" w:rsidRPr="005B702B">
        <w:rPr>
          <w:rFonts w:cs="Times New Roman"/>
          <w:sz w:val="22"/>
          <w:szCs w:val="22"/>
        </w:rPr>
        <w:t>agenda especially</w:t>
      </w:r>
      <w:r w:rsidRPr="005B702B">
        <w:rPr>
          <w:rFonts w:cs="Times New Roman"/>
          <w:sz w:val="22"/>
          <w:szCs w:val="22"/>
        </w:rPr>
        <w:t xml:space="preserve"> in the automobile and electronic domain?</w:t>
      </w:r>
    </w:p>
    <w:p w14:paraId="6B434D8B" w14:textId="47A7EE95" w:rsidR="00C576D4" w:rsidRPr="005B702B" w:rsidRDefault="000B433F" w:rsidP="008B30D4">
      <w:pPr>
        <w:pStyle w:val="Heading1"/>
        <w:rPr>
          <w:rFonts w:cs="Times New Roman"/>
          <w:sz w:val="28"/>
          <w:szCs w:val="28"/>
        </w:rPr>
      </w:pPr>
      <w:r w:rsidRPr="005B702B">
        <w:rPr>
          <w:rFonts w:cs="Times New Roman"/>
          <w:sz w:val="28"/>
          <w:szCs w:val="28"/>
        </w:rPr>
        <w:t xml:space="preserve">2. </w:t>
      </w:r>
      <w:r w:rsidR="00C576D4" w:rsidRPr="005B702B">
        <w:rPr>
          <w:rFonts w:cs="Times New Roman"/>
          <w:sz w:val="28"/>
          <w:szCs w:val="28"/>
        </w:rPr>
        <w:t xml:space="preserve"> LITERATURE REVIEW  </w:t>
      </w:r>
    </w:p>
    <w:p w14:paraId="0E20341D" w14:textId="064EE50D" w:rsidR="00D36187" w:rsidRPr="005B702B" w:rsidRDefault="00D36187" w:rsidP="008B30D4">
      <w:pPr>
        <w:pStyle w:val="Heading2"/>
        <w:rPr>
          <w:rFonts w:cs="Times New Roman"/>
          <w:sz w:val="24"/>
          <w:szCs w:val="24"/>
        </w:rPr>
      </w:pPr>
      <w:r w:rsidRPr="005B702B">
        <w:rPr>
          <w:rFonts w:cs="Times New Roman"/>
          <w:sz w:val="24"/>
          <w:szCs w:val="24"/>
        </w:rPr>
        <w:t xml:space="preserve">2.1 Compliance Costs, </w:t>
      </w:r>
      <w:r w:rsidR="00ED0816" w:rsidRPr="005B702B">
        <w:rPr>
          <w:rFonts w:cs="Times New Roman"/>
          <w:sz w:val="24"/>
          <w:szCs w:val="24"/>
        </w:rPr>
        <w:t>particularly</w:t>
      </w:r>
      <w:r w:rsidRPr="005B702B">
        <w:rPr>
          <w:rFonts w:cs="Times New Roman"/>
          <w:sz w:val="24"/>
          <w:szCs w:val="24"/>
        </w:rPr>
        <w:t xml:space="preserve"> of small and unorganised firms  </w:t>
      </w:r>
    </w:p>
    <w:p w14:paraId="047C02E6" w14:textId="45ECAACA" w:rsidR="00D36187" w:rsidRPr="005B702B" w:rsidRDefault="00D36187" w:rsidP="00D36187">
      <w:pPr>
        <w:rPr>
          <w:rFonts w:cs="Times New Roman"/>
          <w:sz w:val="22"/>
          <w:szCs w:val="22"/>
        </w:rPr>
      </w:pPr>
      <w:r w:rsidRPr="005B702B">
        <w:rPr>
          <w:rFonts w:cs="Times New Roman"/>
          <w:sz w:val="22"/>
          <w:szCs w:val="22"/>
        </w:rPr>
        <w:t xml:space="preserve">The study by Singh and Singh (2024) examines the implications of constitutional indirect tax to the unorganised sector based on the extent and composition of compliance costs and the strategic adjustments made by businesses. Such authors note that the taxes levied on small and micro business, which contribute a large share in terms of employment and output, are still disproportionately high when measured in terms of time and monetary expenditure. Firms that are required to comply with particular regulations will have to pay compliance expenses in the form of professional fees, purchasing and maintaining accounting software, as well as the constant need to change paper and electronic records and adjust to the regular changes in the narrative that regulatory prescriptions undergo. All of these supplementary expenses are more likely to counterbalance the expected benefits of regulatory </w:t>
      </w:r>
      <w:r w:rsidR="00352F6B" w:rsidRPr="005B702B">
        <w:rPr>
          <w:rFonts w:cs="Times New Roman"/>
          <w:sz w:val="22"/>
          <w:szCs w:val="22"/>
        </w:rPr>
        <w:t>simplifications. The</w:t>
      </w:r>
      <w:r w:rsidRPr="005B702B">
        <w:rPr>
          <w:rFonts w:cs="Times New Roman"/>
          <w:sz w:val="22"/>
          <w:szCs w:val="22"/>
        </w:rPr>
        <w:t xml:space="preserve"> article by </w:t>
      </w:r>
      <w:proofErr w:type="spellStart"/>
      <w:r w:rsidRPr="005B702B">
        <w:rPr>
          <w:rFonts w:cs="Times New Roman"/>
          <w:sz w:val="22"/>
          <w:szCs w:val="22"/>
        </w:rPr>
        <w:t>Kesari</w:t>
      </w:r>
      <w:proofErr w:type="spellEnd"/>
      <w:r w:rsidR="00A05E6B">
        <w:rPr>
          <w:rFonts w:cs="Times New Roman"/>
          <w:sz w:val="22"/>
          <w:szCs w:val="22"/>
        </w:rPr>
        <w:t xml:space="preserve"> </w:t>
      </w:r>
      <w:r w:rsidRPr="005B702B">
        <w:rPr>
          <w:rFonts w:cs="Times New Roman"/>
          <w:sz w:val="22"/>
          <w:szCs w:val="22"/>
        </w:rPr>
        <w:t xml:space="preserve">(2025) titled GST Implementation and its Impact on Tax Compliance Costs on Small Business in India follows </w:t>
      </w:r>
      <w:r w:rsidR="005B702B" w:rsidRPr="005B702B">
        <w:rPr>
          <w:rFonts w:cs="Times New Roman"/>
          <w:sz w:val="22"/>
          <w:szCs w:val="22"/>
        </w:rPr>
        <w:t>systematic research</w:t>
      </w:r>
      <w:r w:rsidRPr="005B702B">
        <w:rPr>
          <w:rFonts w:cs="Times New Roman"/>
          <w:sz w:val="22"/>
          <w:szCs w:val="22"/>
        </w:rPr>
        <w:t xml:space="preserve"> regarding the experience of the small manufacturers in North India. Although the GST regime has certainly incorporated a plethora of previous indirect taxes, thereby reducing the occurrence of older instances of overlapping on the tax incidence, inventive invoice-level documentation requirements, the emergence of thousands of periodic returns filings, and the establishment of digital registries and the sanction furnaces that they entail have created a new set of fixed compliance costs. This increase seems to impose an unfairly high cost on the businesses with a low digital infrastructure and on functionality.    The accumulated experience suggests that in spite of the inherent conceptual appeal, i.e., the pledge of single tax and a cohered code of normativity, administrative layers of mandate, technologies, and procedures with many dimensions </w:t>
      </w:r>
      <w:r w:rsidR="00ED0816" w:rsidRPr="005B702B">
        <w:rPr>
          <w:rFonts w:cs="Times New Roman"/>
          <w:sz w:val="22"/>
          <w:szCs w:val="22"/>
        </w:rPr>
        <w:lastRenderedPageBreak/>
        <w:t>t</w:t>
      </w:r>
      <w:r w:rsidR="00ED0816">
        <w:rPr>
          <w:rFonts w:cs="Times New Roman"/>
          <w:sz w:val="22"/>
          <w:szCs w:val="22"/>
        </w:rPr>
        <w:t>owards</w:t>
      </w:r>
      <w:r w:rsidRPr="005B702B">
        <w:rPr>
          <w:rFonts w:cs="Times New Roman"/>
          <w:sz w:val="22"/>
          <w:szCs w:val="22"/>
        </w:rPr>
        <w:t xml:space="preserve"> simplification intentions, especially in cases where the tax base is non-homogeneous and the taxpayer is small.   </w:t>
      </w:r>
    </w:p>
    <w:p w14:paraId="2487D42C" w14:textId="6E732502" w:rsidR="00D36187" w:rsidRPr="005B702B" w:rsidRDefault="00D36187" w:rsidP="008B30D4">
      <w:pPr>
        <w:pStyle w:val="Heading2"/>
        <w:rPr>
          <w:rFonts w:cs="Times New Roman"/>
          <w:sz w:val="24"/>
          <w:szCs w:val="24"/>
        </w:rPr>
      </w:pPr>
      <w:r w:rsidRPr="005B702B">
        <w:rPr>
          <w:rFonts w:cs="Times New Roman"/>
          <w:sz w:val="24"/>
          <w:szCs w:val="24"/>
        </w:rPr>
        <w:t xml:space="preserve">2.2 Complexity perceptions of the Tax Practitioners and Stakeholders  </w:t>
      </w:r>
    </w:p>
    <w:p w14:paraId="09E372AE" w14:textId="77777777" w:rsidR="00D36187" w:rsidRPr="005B702B" w:rsidRDefault="00D36187" w:rsidP="00D36187">
      <w:pPr>
        <w:rPr>
          <w:rFonts w:cs="Times New Roman"/>
          <w:sz w:val="22"/>
          <w:szCs w:val="22"/>
        </w:rPr>
      </w:pPr>
      <w:proofErr w:type="spellStart"/>
      <w:r w:rsidRPr="005B702B">
        <w:rPr>
          <w:rFonts w:cs="Times New Roman"/>
          <w:sz w:val="22"/>
          <w:szCs w:val="22"/>
        </w:rPr>
        <w:t>Neetha</w:t>
      </w:r>
      <w:proofErr w:type="spellEnd"/>
      <w:r w:rsidRPr="005B702B">
        <w:rPr>
          <w:rFonts w:cs="Times New Roman"/>
          <w:sz w:val="22"/>
          <w:szCs w:val="22"/>
        </w:rPr>
        <w:t xml:space="preserve"> Sai and Sundar (2024) investigate the decision taken by GST practitioners toward the complexity inherent in the procedural compliance and their satisfaction in the procedural structure of the existing tax regime. The study examined the effect of perceived complexity- which consisted of various tax rate slabs, filing regime, and interpretive vagueness- on overall practitioner satisfaction and used a Partial Least Squares Structural Equation Model (PLS-SEM). The results have shown that the respondents agreed that some of the design features, especially the amalgamation of codes and the use of the Goods and Services Tax (GST) Council advance rulings, are relief. However, the level of satisfaction is still quite low because of the complex of procedural and technical formidable barriers, especially regular failures of the platform, constant legislative changes, and general vagueness. Mehta and Mukherjee (2021) list various law-procedure disjunctions in their analysis of procedural failures in the law, with major points on systemic technical failures, the indeterminacy of the law, the excessive time spent in processing a refund claim, and inconsistency between central and state interpreters. They postulate that these procedural and interpretative reefs went unforeseen when the reform was designed in 2017 and are thus persisting to date, thereby frustrating the clear aim of the reform, to rationalise the tax environment. (Mehta and Mukherjee, 2021)  </w:t>
      </w:r>
    </w:p>
    <w:p w14:paraId="75B336C1" w14:textId="525FA953" w:rsidR="00D36187" w:rsidRPr="005B702B" w:rsidRDefault="00D36187" w:rsidP="008B30D4">
      <w:pPr>
        <w:pStyle w:val="Heading2"/>
        <w:rPr>
          <w:rFonts w:cs="Times New Roman"/>
          <w:sz w:val="24"/>
          <w:szCs w:val="24"/>
        </w:rPr>
      </w:pPr>
      <w:r w:rsidRPr="005B702B">
        <w:rPr>
          <w:rFonts w:cs="Times New Roman"/>
          <w:sz w:val="24"/>
          <w:szCs w:val="24"/>
        </w:rPr>
        <w:t>2.3 Structural Complexity Tax Rates, Classification and Equity</w:t>
      </w:r>
    </w:p>
    <w:p w14:paraId="77487722" w14:textId="51884CE6" w:rsidR="00D36187" w:rsidRPr="005B702B" w:rsidRDefault="00D36187" w:rsidP="00D36187">
      <w:pPr>
        <w:rPr>
          <w:rFonts w:cs="Times New Roman"/>
          <w:sz w:val="22"/>
          <w:szCs w:val="22"/>
        </w:rPr>
      </w:pPr>
      <w:r w:rsidRPr="005B702B">
        <w:rPr>
          <w:rFonts w:cs="Times New Roman"/>
          <w:sz w:val="22"/>
          <w:szCs w:val="22"/>
        </w:rPr>
        <w:t>Rajagopalan (2023) does not only examine the repercussion of equity goals and the complexity of the structure, but in reference to the current array of multiple rate slabs</w:t>
      </w:r>
      <w:r w:rsidR="00A05E6B">
        <w:rPr>
          <w:rFonts w:cs="Times New Roman"/>
          <w:sz w:val="22"/>
          <w:szCs w:val="22"/>
        </w:rPr>
        <w:t>.</w:t>
      </w:r>
      <w:r w:rsidRPr="005B702B">
        <w:rPr>
          <w:rFonts w:cs="Times New Roman"/>
          <w:sz w:val="22"/>
          <w:szCs w:val="22"/>
        </w:rPr>
        <w:t xml:space="preserve"> The Equity-Complexity Trade-off in Tax Policy. The author also notes that the introduction of new slabs, driven by the desire to reduce taxes on consumption baskets of essentialities, and which appear to promote equity, has extensively overlaid the statutory framework, thus reducing the efficiency of administration and predictability of compliance. The compounding effects of the gradual slab</w:t>
      </w:r>
      <w:r w:rsidR="00A05E6B">
        <w:rPr>
          <w:rFonts w:cs="Times New Roman"/>
          <w:sz w:val="22"/>
          <w:szCs w:val="22"/>
        </w:rPr>
        <w:t>b</w:t>
      </w:r>
      <w:r w:rsidRPr="005B702B">
        <w:rPr>
          <w:rFonts w:cs="Times New Roman"/>
          <w:sz w:val="22"/>
          <w:szCs w:val="22"/>
        </w:rPr>
        <w:t xml:space="preserve">ing of India on its GST system is the increase in administrative cost and based on it, exposure to classification litigations, tax treatment disputes, and criticism of the need to rectify supply schedules (Rajagopalan, 2023). The comparison of the GST evaluations by </w:t>
      </w:r>
      <w:proofErr w:type="spellStart"/>
      <w:r w:rsidRPr="005B702B">
        <w:rPr>
          <w:rFonts w:cs="Times New Roman"/>
          <w:sz w:val="22"/>
          <w:szCs w:val="22"/>
        </w:rPr>
        <w:t>Tekwani</w:t>
      </w:r>
      <w:proofErr w:type="spellEnd"/>
      <w:r w:rsidRPr="005B702B">
        <w:rPr>
          <w:rFonts w:cs="Times New Roman"/>
          <w:sz w:val="22"/>
          <w:szCs w:val="22"/>
        </w:rPr>
        <w:t xml:space="preserve"> and </w:t>
      </w:r>
      <w:proofErr w:type="spellStart"/>
      <w:r w:rsidRPr="005B702B">
        <w:rPr>
          <w:rFonts w:cs="Times New Roman"/>
          <w:sz w:val="22"/>
          <w:szCs w:val="22"/>
        </w:rPr>
        <w:t>Pabla</w:t>
      </w:r>
      <w:proofErr w:type="spellEnd"/>
      <w:r w:rsidRPr="005B702B">
        <w:rPr>
          <w:rFonts w:cs="Times New Roman"/>
          <w:sz w:val="22"/>
          <w:szCs w:val="22"/>
        </w:rPr>
        <w:t xml:space="preserve"> (2021) in their comparative review of GST in India and other comparable jurisdictions predicts the deep differences in rate structure. In particular, the apical slab at 28 per cent in India is higher than similar sovereign VAT/GST regimes, and the tiering pervasiveness exists between the 5, 12, 18, and 28 per cent bands worsens compliance cognition cost; businesses have to figure out the appropriate harmonised and services accounting nomenclature (HSN/SAC) whilst administration is overwhelmed with heterogeneous exemptions, and inverted-duty endures throughout the chain of goods (</w:t>
      </w:r>
      <w:proofErr w:type="spellStart"/>
      <w:r w:rsidRPr="005B702B">
        <w:rPr>
          <w:rFonts w:cs="Times New Roman"/>
          <w:sz w:val="22"/>
          <w:szCs w:val="22"/>
        </w:rPr>
        <w:t>Tekwani</w:t>
      </w:r>
      <w:proofErr w:type="spellEnd"/>
      <w:r w:rsidRPr="005B702B">
        <w:rPr>
          <w:rFonts w:cs="Times New Roman"/>
          <w:sz w:val="22"/>
          <w:szCs w:val="22"/>
        </w:rPr>
        <w:t xml:space="preserve"> and </w:t>
      </w:r>
      <w:proofErr w:type="spellStart"/>
      <w:r w:rsidRPr="005B702B">
        <w:rPr>
          <w:rFonts w:cs="Times New Roman"/>
          <w:sz w:val="22"/>
          <w:szCs w:val="22"/>
        </w:rPr>
        <w:t>Pabla</w:t>
      </w:r>
      <w:proofErr w:type="spellEnd"/>
      <w:r w:rsidRPr="005B702B">
        <w:rPr>
          <w:rFonts w:cs="Times New Roman"/>
          <w:sz w:val="22"/>
          <w:szCs w:val="22"/>
        </w:rPr>
        <w:t>, 2021).</w:t>
      </w:r>
    </w:p>
    <w:p w14:paraId="65D84A15" w14:textId="320F3848" w:rsidR="00C576D4" w:rsidRPr="005B702B" w:rsidRDefault="00D36187" w:rsidP="00D36187">
      <w:pPr>
        <w:rPr>
          <w:rFonts w:cs="Times New Roman"/>
          <w:sz w:val="22"/>
          <w:szCs w:val="22"/>
        </w:rPr>
      </w:pPr>
      <w:r w:rsidRPr="005B702B">
        <w:rPr>
          <w:rFonts w:cs="Times New Roman"/>
          <w:sz w:val="22"/>
          <w:szCs w:val="22"/>
        </w:rPr>
        <w:t xml:space="preserve">In their reflection on structural reform, </w:t>
      </w:r>
      <w:proofErr w:type="spellStart"/>
      <w:r w:rsidRPr="005B702B">
        <w:rPr>
          <w:rFonts w:cs="Times New Roman"/>
          <w:sz w:val="22"/>
          <w:szCs w:val="22"/>
        </w:rPr>
        <w:t>Virmani</w:t>
      </w:r>
      <w:proofErr w:type="spellEnd"/>
      <w:r w:rsidRPr="005B702B">
        <w:rPr>
          <w:rFonts w:cs="Times New Roman"/>
          <w:sz w:val="22"/>
          <w:szCs w:val="22"/>
        </w:rPr>
        <w:t xml:space="preserve"> and </w:t>
      </w:r>
      <w:proofErr w:type="spellStart"/>
      <w:r w:rsidRPr="005B702B">
        <w:rPr>
          <w:rFonts w:cs="Times New Roman"/>
          <w:sz w:val="22"/>
          <w:szCs w:val="22"/>
        </w:rPr>
        <w:t>Bhasin</w:t>
      </w:r>
      <w:proofErr w:type="spellEnd"/>
      <w:r w:rsidRPr="005B702B">
        <w:rPr>
          <w:rFonts w:cs="Times New Roman"/>
          <w:sz w:val="22"/>
          <w:szCs w:val="22"/>
        </w:rPr>
        <w:t xml:space="preserve"> (2020) claim that GST, which has matured over five years, is still mired in overlapping jurisdiction, classification ambiguity of between intermediate inputs and composite supplies, inverted-duty structure and perverse influence of constant policy swings. They allude to lines to rationalise rate structure and dampen classification ambiguity, and say that they must refine reforms but warned of possible erosion to revenue buoyancy (</w:t>
      </w:r>
      <w:proofErr w:type="spellStart"/>
      <w:r w:rsidRPr="005B702B">
        <w:rPr>
          <w:rFonts w:cs="Times New Roman"/>
          <w:sz w:val="22"/>
          <w:szCs w:val="22"/>
        </w:rPr>
        <w:t>Virmani</w:t>
      </w:r>
      <w:proofErr w:type="spellEnd"/>
      <w:r w:rsidRPr="005B702B">
        <w:rPr>
          <w:rFonts w:cs="Times New Roman"/>
          <w:sz w:val="22"/>
          <w:szCs w:val="22"/>
        </w:rPr>
        <w:t xml:space="preserve"> and </w:t>
      </w:r>
      <w:proofErr w:type="spellStart"/>
      <w:r w:rsidRPr="005B702B">
        <w:rPr>
          <w:rFonts w:cs="Times New Roman"/>
          <w:sz w:val="22"/>
          <w:szCs w:val="22"/>
        </w:rPr>
        <w:t>Bhasin</w:t>
      </w:r>
      <w:proofErr w:type="spellEnd"/>
      <w:r w:rsidRPr="005B702B">
        <w:rPr>
          <w:rFonts w:cs="Times New Roman"/>
          <w:sz w:val="22"/>
          <w:szCs w:val="22"/>
        </w:rPr>
        <w:t>, 2020)</w:t>
      </w:r>
      <w:r w:rsidR="00C576D4" w:rsidRPr="005B702B">
        <w:rPr>
          <w:rFonts w:cs="Times New Roman"/>
          <w:sz w:val="22"/>
          <w:szCs w:val="22"/>
        </w:rPr>
        <w:t>.</w:t>
      </w:r>
    </w:p>
    <w:p w14:paraId="6845AC7A" w14:textId="3AEFA8B3" w:rsidR="00D36187" w:rsidRPr="005B702B" w:rsidRDefault="00D36187" w:rsidP="008B30D4">
      <w:pPr>
        <w:pStyle w:val="Heading2"/>
        <w:rPr>
          <w:rFonts w:cs="Times New Roman"/>
          <w:sz w:val="24"/>
          <w:szCs w:val="24"/>
        </w:rPr>
      </w:pPr>
      <w:r w:rsidRPr="005B702B">
        <w:rPr>
          <w:rFonts w:cs="Times New Roman"/>
          <w:sz w:val="24"/>
          <w:szCs w:val="24"/>
        </w:rPr>
        <w:t>2.4 Federalism, State-Centre Dynamics and Revenue Sharing</w:t>
      </w:r>
    </w:p>
    <w:p w14:paraId="53F6A367" w14:textId="77777777" w:rsidR="00D36187" w:rsidRPr="005B702B" w:rsidRDefault="00D36187" w:rsidP="00D36187">
      <w:pPr>
        <w:rPr>
          <w:rFonts w:cs="Times New Roman"/>
          <w:sz w:val="22"/>
          <w:szCs w:val="22"/>
        </w:rPr>
      </w:pPr>
      <w:r w:rsidRPr="005B702B">
        <w:rPr>
          <w:rFonts w:cs="Times New Roman"/>
          <w:sz w:val="22"/>
          <w:szCs w:val="22"/>
        </w:rPr>
        <w:t xml:space="preserve">The lightweight measure of the India GST is in play with the federal architecture. Joseph and </w:t>
      </w:r>
      <w:proofErr w:type="spellStart"/>
      <w:r w:rsidRPr="005B702B">
        <w:rPr>
          <w:rFonts w:cs="Times New Roman"/>
          <w:sz w:val="22"/>
          <w:szCs w:val="22"/>
        </w:rPr>
        <w:t>Kumary</w:t>
      </w:r>
      <w:proofErr w:type="spellEnd"/>
      <w:r w:rsidRPr="005B702B">
        <w:rPr>
          <w:rFonts w:cs="Times New Roman"/>
          <w:sz w:val="22"/>
          <w:szCs w:val="22"/>
        </w:rPr>
        <w:t xml:space="preserve"> (2023) evaluate the state-level revenue achievement as compared to compensation formulas in the situation of Kerala and query the architecture of reallocation, attenuation of the loss of revenue, and </w:t>
      </w:r>
      <w:r w:rsidRPr="005B702B">
        <w:rPr>
          <w:rFonts w:cs="Times New Roman"/>
          <w:sz w:val="22"/>
          <w:szCs w:val="22"/>
        </w:rPr>
        <w:lastRenderedPageBreak/>
        <w:t xml:space="preserve">interface abating sub-national fiscal jurisdiction under the GST proton (Joseph and </w:t>
      </w:r>
      <w:proofErr w:type="spellStart"/>
      <w:r w:rsidRPr="005B702B">
        <w:rPr>
          <w:rFonts w:cs="Times New Roman"/>
          <w:sz w:val="22"/>
          <w:szCs w:val="22"/>
        </w:rPr>
        <w:t>Kumary</w:t>
      </w:r>
      <w:proofErr w:type="spellEnd"/>
      <w:r w:rsidRPr="005B702B">
        <w:rPr>
          <w:rFonts w:cs="Times New Roman"/>
          <w:sz w:val="22"/>
          <w:szCs w:val="22"/>
        </w:rPr>
        <w:t>, 2023). Studies have revealed that the GST system was expected to enhance the vertical and horizontal component of cooperative federalism through the dual apparatus of the GST Council and revenue-sharing regimes, but these studies have shown that revenue neutrality objective has not yet been met and that compensation disbursement has had a protracted phase of delays.</w:t>
      </w:r>
    </w:p>
    <w:p w14:paraId="37E79384" w14:textId="77777777" w:rsidR="00D36187" w:rsidRPr="005B702B" w:rsidRDefault="00D36187" w:rsidP="00D36187">
      <w:pPr>
        <w:rPr>
          <w:rFonts w:cs="Times New Roman"/>
          <w:sz w:val="22"/>
          <w:szCs w:val="22"/>
        </w:rPr>
      </w:pPr>
      <w:r w:rsidRPr="005B702B">
        <w:rPr>
          <w:rFonts w:cs="Times New Roman"/>
          <w:sz w:val="22"/>
          <w:szCs w:val="22"/>
        </w:rPr>
        <w:t xml:space="preserve">Such unrelenting complaints are contributing to the perception of administrative opaqueness and exposure to risk, which may discourage state-level adherence and investor trust (Joseph and </w:t>
      </w:r>
      <w:proofErr w:type="spellStart"/>
      <w:r w:rsidRPr="005B702B">
        <w:rPr>
          <w:rFonts w:cs="Times New Roman"/>
          <w:sz w:val="22"/>
          <w:szCs w:val="22"/>
        </w:rPr>
        <w:t>Kumary</w:t>
      </w:r>
      <w:proofErr w:type="spellEnd"/>
      <w:r w:rsidRPr="005B702B">
        <w:rPr>
          <w:rFonts w:cs="Times New Roman"/>
          <w:sz w:val="22"/>
          <w:szCs w:val="22"/>
        </w:rPr>
        <w:t xml:space="preserve">, 2023).  Pandey and Rana (2021) also expand on the organisational friction, which GST has brought by tracing the compliance path in relation to the ease-of-doing-business indicators of the OECD. They confirm that, despite the faster registration and filing of returns in place, there are still obstacles. These are the unpredictable swings of policies, increasing rate bands, ambiguity of the principles of categorisation, lengthy appellate settlement and inconsistency among the level of notifications and interpretation limits by the states (Pandey and Rana, 2021).  </w:t>
      </w:r>
    </w:p>
    <w:p w14:paraId="4A12F469" w14:textId="1727A2D0" w:rsidR="00D36187" w:rsidRPr="005B702B" w:rsidRDefault="00D36187" w:rsidP="008B30D4">
      <w:pPr>
        <w:pStyle w:val="Heading2"/>
        <w:rPr>
          <w:rFonts w:cs="Times New Roman"/>
          <w:sz w:val="24"/>
          <w:szCs w:val="24"/>
        </w:rPr>
      </w:pPr>
      <w:r w:rsidRPr="005B702B">
        <w:rPr>
          <w:rFonts w:cs="Times New Roman"/>
          <w:sz w:val="24"/>
          <w:szCs w:val="24"/>
        </w:rPr>
        <w:t xml:space="preserve">2.5 Industry Perception, Business Survey Evidence  </w:t>
      </w:r>
    </w:p>
    <w:p w14:paraId="54374898" w14:textId="451F4C8D" w:rsidR="00D36187" w:rsidRPr="005B702B" w:rsidRDefault="00D36187" w:rsidP="00D36187">
      <w:pPr>
        <w:rPr>
          <w:rFonts w:cs="Times New Roman"/>
          <w:sz w:val="22"/>
          <w:szCs w:val="22"/>
        </w:rPr>
      </w:pPr>
      <w:r w:rsidRPr="005B702B">
        <w:rPr>
          <w:rFonts w:cs="Times New Roman"/>
          <w:sz w:val="22"/>
          <w:szCs w:val="22"/>
        </w:rPr>
        <w:t xml:space="preserve"> The most recent quantitative measure of indirect tax reform is the Deloitte India survey on GST -8 (2025). The figures show that 85-percent of top officials surveyed in 2025 have a positive opinion of the regime, a figure that is 26 points higher than the 59-percent of 2022. The key variables that form the basis of this attitudinal change are increased digitisation of the assessment and audit procedures, policy re-calibration which can take into account market feedback and a gradual development of enterprise compliance capacity. However, respondents still emphasize such priorities: the harmonisation of the rates of GST across the supply chains, better dispute resolution methods, greater regulatory transparency and ongoing working capital challenges (Deloitte, 2025).   Simultaneously with these revelations, an IBEF (2025) report summarised the wider sector experience: despite the acknowledgement of GST in increasing compliance and allowing growth by many enterprises, stakeholders still seek consistency in audit processes between central and state revenue authorities, stricter and clearer guidelines on how to classify goods and services, and more efficient dispute resolution </w:t>
      </w:r>
      <w:r w:rsidR="00DC7EE4" w:rsidRPr="005B702B">
        <w:rPr>
          <w:rFonts w:cs="Times New Roman"/>
          <w:sz w:val="22"/>
          <w:szCs w:val="22"/>
        </w:rPr>
        <w:t>mechanisms (</w:t>
      </w:r>
      <w:r w:rsidRPr="005B702B">
        <w:rPr>
          <w:rFonts w:cs="Times New Roman"/>
          <w:sz w:val="22"/>
          <w:szCs w:val="22"/>
        </w:rPr>
        <w:t xml:space="preserve">IBEF, 2025).   </w:t>
      </w:r>
    </w:p>
    <w:p w14:paraId="67E8D100" w14:textId="56E0398E" w:rsidR="00D36187" w:rsidRPr="005B702B" w:rsidRDefault="00D36187" w:rsidP="00D36187">
      <w:pPr>
        <w:rPr>
          <w:rFonts w:cs="Times New Roman"/>
          <w:sz w:val="22"/>
          <w:szCs w:val="22"/>
        </w:rPr>
      </w:pPr>
      <w:r w:rsidRPr="005B702B">
        <w:rPr>
          <w:rFonts w:cs="Times New Roman"/>
          <w:sz w:val="22"/>
          <w:szCs w:val="22"/>
        </w:rPr>
        <w:t xml:space="preserve">In addition, in the 2024 survey on GST@7, the interviewed executives expressed a favourable view on the GST, and 84 percent of the respondents wished to see greater delineation of jurisdiction, increased electronic registration of micro, small and medium enterprises via virtual verification and more uniformity of documentation templates to reduce friction across jurisdictions (Deloitte, 2024).  Taken together, these results spell out that, although stakeholders generally agree that GST has made significant strides in streamlining compliance and administrative structure, there remains a palpable residue of operational, administrative and interpretive complexity.   </w:t>
      </w:r>
    </w:p>
    <w:p w14:paraId="69A6C869" w14:textId="669DB97C" w:rsidR="00D36187" w:rsidRPr="005B702B" w:rsidRDefault="00D36187" w:rsidP="008B30D4">
      <w:pPr>
        <w:pStyle w:val="Heading2"/>
        <w:rPr>
          <w:rFonts w:cs="Times New Roman"/>
          <w:sz w:val="24"/>
          <w:szCs w:val="24"/>
        </w:rPr>
      </w:pPr>
      <w:r w:rsidRPr="005B702B">
        <w:rPr>
          <w:rFonts w:cs="Times New Roman"/>
          <w:sz w:val="24"/>
          <w:szCs w:val="24"/>
        </w:rPr>
        <w:t xml:space="preserve">2.6 Fiscal Federalism, State Compensation &amp; Revenue Neutrality   </w:t>
      </w:r>
    </w:p>
    <w:p w14:paraId="3E635510" w14:textId="575EB17B" w:rsidR="00D36187" w:rsidRPr="005B702B" w:rsidRDefault="00D36187" w:rsidP="00D36187">
      <w:pPr>
        <w:rPr>
          <w:rFonts w:cs="Times New Roman"/>
          <w:sz w:val="22"/>
          <w:szCs w:val="22"/>
        </w:rPr>
      </w:pPr>
      <w:r w:rsidRPr="005B702B">
        <w:rPr>
          <w:rFonts w:cs="Times New Roman"/>
          <w:sz w:val="22"/>
          <w:szCs w:val="22"/>
        </w:rPr>
        <w:t xml:space="preserve">Joseph and </w:t>
      </w:r>
      <w:proofErr w:type="spellStart"/>
      <w:r w:rsidRPr="005B702B">
        <w:rPr>
          <w:rFonts w:cs="Times New Roman"/>
          <w:sz w:val="22"/>
          <w:szCs w:val="22"/>
        </w:rPr>
        <w:t>Anitha</w:t>
      </w:r>
      <w:proofErr w:type="spellEnd"/>
      <w:r w:rsidRPr="005B702B">
        <w:rPr>
          <w:rFonts w:cs="Times New Roman"/>
          <w:sz w:val="22"/>
          <w:szCs w:val="22"/>
        </w:rPr>
        <w:t xml:space="preserve"> </w:t>
      </w:r>
      <w:proofErr w:type="spellStart"/>
      <w:r w:rsidRPr="005B702B">
        <w:rPr>
          <w:rFonts w:cs="Times New Roman"/>
          <w:sz w:val="22"/>
          <w:szCs w:val="22"/>
        </w:rPr>
        <w:t>Kumary</w:t>
      </w:r>
      <w:proofErr w:type="spellEnd"/>
      <w:r w:rsidRPr="005B702B">
        <w:rPr>
          <w:rFonts w:cs="Times New Roman"/>
          <w:sz w:val="22"/>
          <w:szCs w:val="22"/>
        </w:rPr>
        <w:t xml:space="preserve"> (2023) provide an in-depth analysis of the GST structure in India and its reflection on the fiscal federalism system with an emphasis on the example of Kerala. The failure to achieve uniformity in the stability of revenues yield has persisted, which is due to the intergovernmental complexities involved even in the face of preceding attempts to make revenue neutral, due to long-run uncertainties involving the aggregation of state specific revenue bases. To make these frictions even more, the political clock at the state level is softly urging Council to discuss deliberations towards the dual constituencies of the staple goods-the consumption history of which cushions </w:t>
      </w:r>
      <w:r w:rsidR="005B702B" w:rsidRPr="005B702B">
        <w:rPr>
          <w:rFonts w:cs="Times New Roman"/>
          <w:sz w:val="22"/>
          <w:szCs w:val="22"/>
        </w:rPr>
        <w:t>an</w:t>
      </w:r>
      <w:r w:rsidRPr="005B702B">
        <w:rPr>
          <w:rFonts w:cs="Times New Roman"/>
          <w:sz w:val="22"/>
          <w:szCs w:val="22"/>
        </w:rPr>
        <w:t xml:space="preserve"> electorate group-and supplier reluctance, both of which subject the rate set to pressure on how and when rates are </w:t>
      </w:r>
      <w:proofErr w:type="spellStart"/>
      <w:r w:rsidRPr="005B702B">
        <w:rPr>
          <w:rFonts w:cs="Times New Roman"/>
          <w:sz w:val="22"/>
          <w:szCs w:val="22"/>
        </w:rPr>
        <w:t>resett</w:t>
      </w:r>
      <w:proofErr w:type="spellEnd"/>
      <w:r w:rsidRPr="005B702B">
        <w:rPr>
          <w:rFonts w:cs="Times New Roman"/>
          <w:sz w:val="22"/>
          <w:szCs w:val="22"/>
        </w:rPr>
        <w:t xml:space="preserve">. </w:t>
      </w:r>
    </w:p>
    <w:p w14:paraId="03C31664" w14:textId="4BE1C587" w:rsidR="00D36187" w:rsidRPr="005B702B" w:rsidRDefault="00D36187" w:rsidP="008B30D4">
      <w:pPr>
        <w:pStyle w:val="Heading2"/>
        <w:rPr>
          <w:rFonts w:cs="Times New Roman"/>
          <w:sz w:val="24"/>
          <w:szCs w:val="24"/>
        </w:rPr>
      </w:pPr>
      <w:r w:rsidRPr="005B702B">
        <w:rPr>
          <w:rFonts w:cs="Times New Roman"/>
          <w:sz w:val="24"/>
          <w:szCs w:val="24"/>
        </w:rPr>
        <w:lastRenderedPageBreak/>
        <w:t>2.7 Sectoral and Equity Concerns</w:t>
      </w:r>
    </w:p>
    <w:p w14:paraId="2C6D2088" w14:textId="6FC4AF5A" w:rsidR="00C576D4" w:rsidRPr="005B702B" w:rsidRDefault="00D36187" w:rsidP="00D36187">
      <w:pPr>
        <w:rPr>
          <w:rFonts w:cs="Times New Roman"/>
          <w:sz w:val="22"/>
          <w:szCs w:val="22"/>
        </w:rPr>
      </w:pPr>
      <w:r w:rsidRPr="005B702B">
        <w:rPr>
          <w:rFonts w:cs="Times New Roman"/>
          <w:sz w:val="22"/>
          <w:szCs w:val="22"/>
        </w:rPr>
        <w:t xml:space="preserve">Joseph and </w:t>
      </w:r>
      <w:proofErr w:type="spellStart"/>
      <w:r w:rsidRPr="005B702B">
        <w:rPr>
          <w:rFonts w:cs="Times New Roman"/>
          <w:sz w:val="22"/>
          <w:szCs w:val="22"/>
        </w:rPr>
        <w:t>Anitha</w:t>
      </w:r>
      <w:proofErr w:type="spellEnd"/>
      <w:r w:rsidRPr="005B702B">
        <w:rPr>
          <w:rFonts w:cs="Times New Roman"/>
          <w:sz w:val="22"/>
          <w:szCs w:val="22"/>
        </w:rPr>
        <w:t xml:space="preserve"> </w:t>
      </w:r>
      <w:proofErr w:type="spellStart"/>
      <w:r w:rsidRPr="005B702B">
        <w:rPr>
          <w:rFonts w:cs="Times New Roman"/>
          <w:sz w:val="22"/>
          <w:szCs w:val="22"/>
        </w:rPr>
        <w:t>Kumary</w:t>
      </w:r>
      <w:proofErr w:type="spellEnd"/>
      <w:r w:rsidRPr="005B702B">
        <w:rPr>
          <w:rFonts w:cs="Times New Roman"/>
          <w:sz w:val="22"/>
          <w:szCs w:val="22"/>
        </w:rPr>
        <w:t xml:space="preserve"> (2023) capture these processes at the Council bargaining table and note how rates continue being a currency of political exchange as much as they are a revenue </w:t>
      </w:r>
      <w:r w:rsidR="00352F6B" w:rsidRPr="005B702B">
        <w:rPr>
          <w:rFonts w:cs="Times New Roman"/>
          <w:sz w:val="22"/>
          <w:szCs w:val="22"/>
        </w:rPr>
        <w:t>instrument The</w:t>
      </w:r>
      <w:r w:rsidR="00C576D4" w:rsidRPr="005B702B">
        <w:rPr>
          <w:rFonts w:cs="Times New Roman"/>
          <w:sz w:val="22"/>
          <w:szCs w:val="22"/>
        </w:rPr>
        <w:t xml:space="preserve"> ensuing appreciation of compensation structures reveals added vulnerabilities. Specific attention to the Compensation Cess post 49th GST Council Meeting by </w:t>
      </w:r>
      <w:proofErr w:type="spellStart"/>
      <w:r w:rsidR="00C576D4" w:rsidRPr="005B702B">
        <w:rPr>
          <w:rFonts w:cs="Times New Roman"/>
          <w:sz w:val="22"/>
          <w:szCs w:val="22"/>
        </w:rPr>
        <w:t>Kanojia</w:t>
      </w:r>
      <w:proofErr w:type="spellEnd"/>
      <w:r w:rsidR="00C576D4" w:rsidRPr="005B702B">
        <w:rPr>
          <w:rFonts w:cs="Times New Roman"/>
          <w:sz w:val="22"/>
          <w:szCs w:val="22"/>
        </w:rPr>
        <w:t xml:space="preserve"> and Gautam (2023) delineates how the 2023 Finance Bill and attendant draft stated procedures conjoin, or rather fail to conjoin, the current calculation of Common Cess with the projected dissolution timeline in March 2026. The projected cessation of Compensation Cess, taken alongside the </w:t>
      </w:r>
      <w:r w:rsidR="00B815A8" w:rsidRPr="005B702B">
        <w:rPr>
          <w:rFonts w:cs="Times New Roman"/>
          <w:sz w:val="22"/>
          <w:szCs w:val="22"/>
        </w:rPr>
        <w:t>URL</w:t>
      </w:r>
      <w:r w:rsidR="00C576D4" w:rsidRPr="005B702B">
        <w:rPr>
          <w:rFonts w:cs="Times New Roman"/>
          <w:sz w:val="22"/>
          <w:szCs w:val="22"/>
        </w:rPr>
        <w:t xml:space="preserve"> of Incremental Cess and the lag in Core Goods revenue, transmits advancing revenue stresses to capped goods lists without effective transitional prescriptions. For budgetary and revenue head coordination, states face accountability in the near future without predictable balances.  Equity and complexity also extend to specific economic operators.  The study by Awasthi, Akhtar and Khan (2023) document that handicraft suppliers, typically structured in informal and fissured circuits, confront summary cognition and shifting lifecycle bunches on co-products. The additive compliant app encroaches upon productive throughput, </w:t>
      </w:r>
      <w:r w:rsidR="00B815A8" w:rsidRPr="005B702B">
        <w:rPr>
          <w:rFonts w:cs="Times New Roman"/>
          <w:sz w:val="22"/>
          <w:szCs w:val="22"/>
        </w:rPr>
        <w:t>channelling</w:t>
      </w:r>
      <w:r w:rsidR="00C576D4" w:rsidRPr="005B702B">
        <w:rPr>
          <w:rFonts w:cs="Times New Roman"/>
          <w:sz w:val="22"/>
          <w:szCs w:val="22"/>
        </w:rPr>
        <w:t xml:space="preserve"> cash, recording, and tracking efforts, such that the direct taxation of time and the in-firm documentation cumulatively erode their competitive advantage and, in combination, retard the ecological resets espoused by intervenors. A growing share of rural employment, intangible in rural value cohort, becomes heavily indebted to GST's desired objective of formal neutrality.</w:t>
      </w:r>
    </w:p>
    <w:p w14:paraId="5731FCA4" w14:textId="74678505" w:rsidR="00C576D4" w:rsidRPr="005B702B" w:rsidRDefault="00C576D4" w:rsidP="00C576D4">
      <w:pPr>
        <w:rPr>
          <w:rFonts w:cs="Times New Roman"/>
          <w:sz w:val="22"/>
          <w:szCs w:val="22"/>
        </w:rPr>
      </w:pPr>
      <w:r w:rsidRPr="005B702B">
        <w:rPr>
          <w:rFonts w:cs="Times New Roman"/>
          <w:sz w:val="22"/>
          <w:szCs w:val="22"/>
        </w:rPr>
        <w:t xml:space="preserve">While the disruption of cascading taxes continues to benefit from the goods and services tax Regime, administratively determined limits such as input-output matrix tracking, multiple levies documentation, and absence of a stable harmonised rate all continue to inhibit the net efficiency gain the regime promised.(Awasthi, Akhtar &amp; Khan, 2023)  Complementary inquiry by </w:t>
      </w:r>
      <w:proofErr w:type="spellStart"/>
      <w:r w:rsidRPr="005B702B">
        <w:rPr>
          <w:rFonts w:cs="Times New Roman"/>
          <w:sz w:val="22"/>
          <w:szCs w:val="22"/>
        </w:rPr>
        <w:t>Jaid</w:t>
      </w:r>
      <w:proofErr w:type="spellEnd"/>
      <w:r w:rsidRPr="005B702B">
        <w:rPr>
          <w:rFonts w:cs="Times New Roman"/>
          <w:sz w:val="22"/>
          <w:szCs w:val="22"/>
        </w:rPr>
        <w:t xml:space="preserve"> and Lahoti (2023) investigates the regime’s moderating, amplifying and asymmetric influences on consumer purchasing, cost-of-living retention, and the discretionary surplus for saving. They observe that, although input offsets to the rate on necessities have, in principle, stronger petit-benefits, persistent inflationary and cost-passing dynamics, in addition to the continuing compliance overhead, sometimes succeeds in negating any </w:t>
      </w:r>
      <w:r w:rsidR="00B815A8" w:rsidRPr="005B702B">
        <w:rPr>
          <w:rFonts w:cs="Times New Roman"/>
          <w:sz w:val="22"/>
          <w:szCs w:val="22"/>
        </w:rPr>
        <w:t>implicatory</w:t>
      </w:r>
      <w:r w:rsidRPr="005B702B">
        <w:rPr>
          <w:rFonts w:cs="Times New Roman"/>
          <w:sz w:val="22"/>
          <w:szCs w:val="22"/>
        </w:rPr>
        <w:t xml:space="preserve"> gain that the levy ideally accords. (</w:t>
      </w:r>
      <w:proofErr w:type="spellStart"/>
      <w:r w:rsidRPr="005B702B">
        <w:rPr>
          <w:rFonts w:cs="Times New Roman"/>
          <w:sz w:val="22"/>
          <w:szCs w:val="22"/>
        </w:rPr>
        <w:t>Jaid</w:t>
      </w:r>
      <w:proofErr w:type="spellEnd"/>
      <w:r w:rsidRPr="005B702B">
        <w:rPr>
          <w:rFonts w:cs="Times New Roman"/>
          <w:sz w:val="22"/>
          <w:szCs w:val="22"/>
        </w:rPr>
        <w:t xml:space="preserve"> &amp; Lahoti, 2023)  </w:t>
      </w:r>
    </w:p>
    <w:p w14:paraId="68B53DF4" w14:textId="5797920F" w:rsidR="00C576D4" w:rsidRPr="005B702B" w:rsidRDefault="00BF48F6" w:rsidP="008B30D4">
      <w:pPr>
        <w:pStyle w:val="Heading2"/>
        <w:rPr>
          <w:rFonts w:cs="Times New Roman"/>
          <w:sz w:val="24"/>
          <w:szCs w:val="24"/>
        </w:rPr>
      </w:pPr>
      <w:r w:rsidRPr="005B702B">
        <w:rPr>
          <w:rFonts w:cs="Times New Roman"/>
          <w:sz w:val="24"/>
          <w:szCs w:val="24"/>
        </w:rPr>
        <w:t>2</w:t>
      </w:r>
      <w:r w:rsidR="00C576D4" w:rsidRPr="005B702B">
        <w:rPr>
          <w:rFonts w:cs="Times New Roman"/>
          <w:sz w:val="24"/>
          <w:szCs w:val="24"/>
        </w:rPr>
        <w:t xml:space="preserve">.8 Macroeconomic Growth, Inflation, Wider Economic Impacts  </w:t>
      </w:r>
    </w:p>
    <w:p w14:paraId="78A985B9" w14:textId="6C707FA8" w:rsidR="00C576D4" w:rsidRPr="005B702B" w:rsidRDefault="00405FDF" w:rsidP="00C576D4">
      <w:pPr>
        <w:rPr>
          <w:rFonts w:cs="Times New Roman"/>
          <w:sz w:val="22"/>
          <w:szCs w:val="22"/>
        </w:rPr>
      </w:pPr>
      <w:r w:rsidRPr="00405FDF">
        <w:rPr>
          <w:rFonts w:cs="Times New Roman"/>
          <w:sz w:val="22"/>
          <w:szCs w:val="22"/>
        </w:rPr>
        <w:t>"</w:t>
      </w:r>
      <w:proofErr w:type="spellStart"/>
      <w:r w:rsidRPr="00405FDF">
        <w:rPr>
          <w:rFonts w:cs="Times New Roman"/>
          <w:sz w:val="22"/>
          <w:szCs w:val="22"/>
        </w:rPr>
        <w:t>Dilipkumar</w:t>
      </w:r>
      <w:proofErr w:type="spellEnd"/>
      <w:r w:rsidRPr="00405FDF">
        <w:rPr>
          <w:rFonts w:cs="Times New Roman"/>
          <w:sz w:val="22"/>
          <w:szCs w:val="22"/>
        </w:rPr>
        <w:t xml:space="preserve"> A. Ode (2025) examines the proposed GST 2.0 structure, which includes an anti-festival calendar, a uniform 40% rate on luxury and other sin goods, and simplified multiple slabs. He contends that these reforms could significantly reduce inflationary pressure while strengthening GDP growth. This is explained by the decrease in consumer-side GST costs for a greater variety of products.</w:t>
      </w:r>
      <w:r>
        <w:rPr>
          <w:rFonts w:cs="Times New Roman"/>
          <w:sz w:val="22"/>
          <w:szCs w:val="22"/>
        </w:rPr>
        <w:t xml:space="preserve"> </w:t>
      </w:r>
      <w:r w:rsidR="008B30D4" w:rsidRPr="005B702B">
        <w:rPr>
          <w:rFonts w:cs="Times New Roman"/>
          <w:sz w:val="22"/>
          <w:szCs w:val="22"/>
        </w:rPr>
        <w:t>He shows this will compress consumer inflationary rates while simultaneously giving strength for GDP diffusion through increased economic strength and improved fiscal policies. (Ode, 2025). Murali Anand G (2024), in parallel, provides an analytical discourse regarding the efficiency, compliance, and buoyancy correlates of reform packages including GST rate simplification. He suggests in his empirical results addressing revenue equity interface, anchor coherence, and long-run tax and growth symphony as important issues to consider. An analysis is presented which provides clarity as to when schematic simplification may increase economic expansion while mitigating allocative distortions, with particular reference made to managing transitional variables and classification ambiguity (Anand, 2024</w:t>
      </w:r>
      <w:r w:rsidR="00C576D4" w:rsidRPr="005B702B">
        <w:rPr>
          <w:rFonts w:cs="Times New Roman"/>
          <w:sz w:val="22"/>
          <w:szCs w:val="22"/>
        </w:rPr>
        <w:t>).</w:t>
      </w:r>
    </w:p>
    <w:p w14:paraId="21AE46A8" w14:textId="4BECB353" w:rsidR="00C576D4" w:rsidRPr="005B702B" w:rsidRDefault="00BF48F6" w:rsidP="008B30D4">
      <w:pPr>
        <w:pStyle w:val="Heading2"/>
        <w:rPr>
          <w:rFonts w:cs="Times New Roman"/>
          <w:sz w:val="24"/>
          <w:szCs w:val="24"/>
        </w:rPr>
      </w:pPr>
      <w:r w:rsidRPr="005B702B">
        <w:rPr>
          <w:rFonts w:cs="Times New Roman"/>
          <w:sz w:val="24"/>
          <w:szCs w:val="24"/>
        </w:rPr>
        <w:t>2</w:t>
      </w:r>
      <w:r w:rsidR="00C576D4" w:rsidRPr="005B702B">
        <w:rPr>
          <w:rFonts w:cs="Times New Roman"/>
          <w:sz w:val="24"/>
          <w:szCs w:val="24"/>
        </w:rPr>
        <w:t xml:space="preserve">.9 Summary: Analytical Recursion and Paucity of Inference  </w:t>
      </w:r>
    </w:p>
    <w:p w14:paraId="6D15BDDA" w14:textId="3847DA8B" w:rsidR="00C576D4" w:rsidRPr="005B702B" w:rsidRDefault="00C576D4" w:rsidP="00C576D4">
      <w:pPr>
        <w:rPr>
          <w:rFonts w:cs="Times New Roman"/>
          <w:sz w:val="22"/>
          <w:szCs w:val="22"/>
        </w:rPr>
      </w:pPr>
      <w:r w:rsidRPr="005B702B">
        <w:rPr>
          <w:rFonts w:cs="Times New Roman"/>
          <w:sz w:val="22"/>
          <w:szCs w:val="22"/>
        </w:rPr>
        <w:t xml:space="preserve">A synthesis of extant literature reveals the following persistent motifs:  </w:t>
      </w:r>
    </w:p>
    <w:p w14:paraId="76878C0B" w14:textId="5FBD5317" w:rsidR="00C576D4" w:rsidRPr="005B702B" w:rsidRDefault="00C576D4">
      <w:pPr>
        <w:pStyle w:val="ListParagraph"/>
        <w:numPr>
          <w:ilvl w:val="0"/>
          <w:numId w:val="3"/>
        </w:numPr>
        <w:rPr>
          <w:rFonts w:cs="Times New Roman"/>
          <w:sz w:val="22"/>
          <w:szCs w:val="22"/>
        </w:rPr>
      </w:pPr>
      <w:r w:rsidRPr="005B702B">
        <w:rPr>
          <w:rFonts w:cs="Times New Roman"/>
          <w:sz w:val="22"/>
          <w:szCs w:val="22"/>
        </w:rPr>
        <w:lastRenderedPageBreak/>
        <w:t xml:space="preserve">A moderate-to-strong affirmative orientation from large enterprises, which has deepened across the temporal spectrum, arguably ascribed to progressive digitisation, enhanced tax-G2B portal stability, and adaptive-policy levers.  </w:t>
      </w:r>
    </w:p>
    <w:p w14:paraId="33242CA7" w14:textId="6D3446BE"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Misalignment with tax structure norms, notably regarding classification opacity, the gestation of refunds and consequent mandibular reliance of working capital, the centre-state reconciliation of orientation, preservation of revenue economic neutrality, and efficacy of aggrieved-decision-making mechanisms.  </w:t>
      </w:r>
    </w:p>
    <w:p w14:paraId="47F3CE2A" w14:textId="5DA625B1"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A chronic incidence of compliance </w:t>
      </w:r>
      <w:r w:rsidR="00B815A8" w:rsidRPr="005B702B">
        <w:rPr>
          <w:rFonts w:cs="Times New Roman"/>
          <w:sz w:val="22"/>
          <w:szCs w:val="22"/>
        </w:rPr>
        <w:t>speciality</w:t>
      </w:r>
      <w:r w:rsidRPr="005B702B">
        <w:rPr>
          <w:rFonts w:cs="Times New Roman"/>
          <w:sz w:val="22"/>
          <w:szCs w:val="22"/>
        </w:rPr>
        <w:t xml:space="preserve"> upon micro, small, and informal handicraft niches, essentially ascribed to archival extensivity, the marginal cost of fiscal compliance, and heteronomous capitalist technological trajectories.  </w:t>
      </w:r>
    </w:p>
    <w:p w14:paraId="14EC8412" w14:textId="77777777" w:rsidR="00475D79" w:rsidRPr="00475D79" w:rsidRDefault="00475D79" w:rsidP="00475D79">
      <w:pPr>
        <w:pStyle w:val="ListParagraph"/>
        <w:numPr>
          <w:ilvl w:val="0"/>
          <w:numId w:val="3"/>
        </w:numPr>
        <w:rPr>
          <w:rFonts w:cs="Times New Roman"/>
          <w:b/>
          <w:bCs/>
          <w:sz w:val="22"/>
          <w:szCs w:val="22"/>
        </w:rPr>
      </w:pPr>
      <w:r w:rsidRPr="00475D79">
        <w:rPr>
          <w:rFonts w:cs="Times New Roman"/>
          <w:spacing w:val="1"/>
          <w:sz w:val="22"/>
          <w:szCs w:val="22"/>
        </w:rPr>
        <w:t>A horizon of ambiguities in state jurisdiction emerges around the forsaking of compensatory cess, the evolving rhythm of revenue-sharing arrangements, and the collective fiscal autonomy of the states.</w:t>
      </w:r>
    </w:p>
    <w:p w14:paraId="221B228A" w14:textId="595ED677" w:rsidR="00C576D4" w:rsidRPr="005B702B" w:rsidRDefault="00C576D4" w:rsidP="00C576D4">
      <w:pPr>
        <w:rPr>
          <w:rFonts w:cs="Times New Roman"/>
          <w:sz w:val="22"/>
          <w:szCs w:val="22"/>
        </w:rPr>
      </w:pPr>
      <w:r w:rsidRPr="005B702B">
        <w:rPr>
          <w:rFonts w:cs="Times New Roman"/>
          <w:sz w:val="22"/>
          <w:szCs w:val="22"/>
        </w:rPr>
        <w:t xml:space="preserve">The following coalescing lacuna, particularly apropos of the forthcoming 2025 GST reconciliation and the proposed nexus referred to as "New Tax Regime: Simplified Taxation or Added Complexity," may merit targeted investigation:  </w:t>
      </w:r>
    </w:p>
    <w:p w14:paraId="19DE0CA7" w14:textId="6CB09D7C"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Retrospective synthesis of structured, contextualised stakeholder-feed crystallisation on 2025’s proposed fiscal design (expansional rate rationalisation, implementation of dyads of designated slab and tertiary demerit-rate slab) beyond extrapolative or macro-qua-GDP characterisation;  </w:t>
      </w:r>
    </w:p>
    <w:p w14:paraId="4830E617" w14:textId="6FEEE85D"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Focus-minimal sectoral vignettes under 2025’s novel micro-tech, vertical restructuring regime: micro, small and medium enterprises, stylised use categories of essentials, ostentation and punitive markets, and electronic capital goods, inter-regional cost matrices and orientation longitudes;  </w:t>
      </w:r>
    </w:p>
    <w:p w14:paraId="3D2A0575" w14:textId="7A7B61D7"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Analytically calibrated complexity </w:t>
      </w:r>
      <w:r w:rsidR="00DC7EE4">
        <w:rPr>
          <w:rFonts w:cs="Times New Roman"/>
          <w:sz w:val="22"/>
          <w:szCs w:val="22"/>
        </w:rPr>
        <w:t>to assess</w:t>
      </w:r>
      <w:r w:rsidRPr="005B702B">
        <w:rPr>
          <w:rFonts w:cs="Times New Roman"/>
          <w:sz w:val="22"/>
          <w:szCs w:val="22"/>
        </w:rPr>
        <w:t xml:space="preserve"> specifying the contest of gradual redefinition of goods-capture, disputes of serial classification, the transitional consumption of input-tax credits, gestational refund credit culture, the administrative burden of delays, and the athlete burden of compliance under the new </w:t>
      </w:r>
      <w:r w:rsidR="00DC7EE4">
        <w:rPr>
          <w:rFonts w:cs="Times New Roman"/>
          <w:sz w:val="22"/>
          <w:szCs w:val="22"/>
        </w:rPr>
        <w:t>model</w:t>
      </w:r>
      <w:r w:rsidRPr="005B702B">
        <w:rPr>
          <w:rFonts w:cs="Times New Roman"/>
          <w:sz w:val="22"/>
          <w:szCs w:val="22"/>
        </w:rPr>
        <w:t xml:space="preserve"> structure.</w:t>
      </w:r>
    </w:p>
    <w:p w14:paraId="3E58C8E6" w14:textId="63DACDF4"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Comparative analysis of state-level responses subsequent to the 2025 reforms: implementation trajectories, budgetary recalibrations, and subjective assessments of revenue contraction or </w:t>
      </w:r>
      <w:r w:rsidR="00475D79" w:rsidRPr="005B702B">
        <w:rPr>
          <w:rFonts w:cs="Times New Roman"/>
          <w:sz w:val="22"/>
          <w:szCs w:val="22"/>
        </w:rPr>
        <w:t>expansion.</w:t>
      </w:r>
    </w:p>
    <w:p w14:paraId="544D6B15" w14:textId="1469C7AB" w:rsidR="00D36187" w:rsidRPr="005B702B" w:rsidRDefault="000B433F" w:rsidP="008B30D4">
      <w:pPr>
        <w:pStyle w:val="Heading1"/>
        <w:rPr>
          <w:rFonts w:cs="Times New Roman"/>
          <w:sz w:val="28"/>
          <w:szCs w:val="28"/>
        </w:rPr>
      </w:pPr>
      <w:r w:rsidRPr="005B702B">
        <w:rPr>
          <w:rFonts w:cs="Times New Roman"/>
          <w:sz w:val="28"/>
          <w:szCs w:val="28"/>
        </w:rPr>
        <w:t xml:space="preserve">3.  </w:t>
      </w:r>
      <w:r w:rsidR="00C576D4" w:rsidRPr="005B702B">
        <w:rPr>
          <w:rFonts w:cs="Times New Roman"/>
          <w:sz w:val="28"/>
          <w:szCs w:val="28"/>
        </w:rPr>
        <w:t>OBJECTIVES</w:t>
      </w:r>
    </w:p>
    <w:p w14:paraId="125BA988" w14:textId="77777777" w:rsidR="00D36187" w:rsidRPr="005B702B" w:rsidRDefault="00D36187" w:rsidP="00D36187">
      <w:pPr>
        <w:rPr>
          <w:rFonts w:cs="Times New Roman"/>
          <w:sz w:val="22"/>
          <w:szCs w:val="22"/>
        </w:rPr>
      </w:pPr>
      <w:r w:rsidRPr="005B702B">
        <w:rPr>
          <w:rFonts w:cs="Times New Roman"/>
          <w:sz w:val="22"/>
          <w:szCs w:val="22"/>
        </w:rPr>
        <w:t xml:space="preserve">The posed question is geared towards evaluating the 2025 Indian GST Reforms (hereinafter GST 2.0) so as to understand whether federal-level compromising towards the codification of a simplified tax structure is maintained in reality, or whether more complexity is accrued in the empirical, procedural and sectoral dimensions. The research design is therefore designed around the following consecutive objectives:  </w:t>
      </w:r>
    </w:p>
    <w:p w14:paraId="6183754F" w14:textId="151702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To generate the structural changes enforced by the recast GST of 2025, such as, but not limited to, aggregation of current rate slabs into a refined variant of two major brackets, the hermetic category of the 40 per cent negative rate on specified consumption and discretionary outlays, and the </w:t>
      </w:r>
      <w:r w:rsidR="00DC7EE4" w:rsidRPr="005B702B">
        <w:rPr>
          <w:rFonts w:cs="Times New Roman"/>
          <w:sz w:val="22"/>
          <w:szCs w:val="22"/>
        </w:rPr>
        <w:t>clean-up</w:t>
      </w:r>
      <w:r w:rsidRPr="005B702B">
        <w:rPr>
          <w:rFonts w:cs="Times New Roman"/>
          <w:sz w:val="22"/>
          <w:szCs w:val="22"/>
        </w:rPr>
        <w:t xml:space="preserve"> of the procedure classification and valuation disciplines. Reforms that have received particular attention are the extrusion of slabs (5 per cent, 12 per cent, 18 per cent, 28 per cent) into two streamlined brackets, and the remainder of consumption and subjective commodities contained within a prohibitor zone.  </w:t>
      </w:r>
    </w:p>
    <w:p w14:paraId="0B384CAA"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lastRenderedPageBreak/>
        <w:t xml:space="preserve">To quantify the implications of such structural actions to taxpayer interactive quality, on the one hand, and the activity of dispute on classification/valuation on the other, and the tensile stress of the procedure, with an exceptionally sharp accent on the micro, meso-enterprise, and taxpayer constituencies typified by a lack of technical acumen. Some of the measurement goals include parametrization design re-evaluation, structural reimbursement of input tax entitlement, a responsive rate reinstatement among basic commodities and negative classification, and the consequential reorganization of monthly or quarterly filing framework.  </w:t>
      </w:r>
    </w:p>
    <w:p w14:paraId="09E1DDFE"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In order to measure cognitive tests between registered persons, supply-side interpreters and economic federation in terms of success or failure of GST 2.0 in alleviating tax-performance frictions, or in other words, the presence of complexity (ambiguity in classification, citation of an anti-evasion cause, transitional credit incongruence, escalation of multimodal record keeping costs). The inputs will be qualitative feedbacks of specific focus groups, anonymised survey micro-data and reports issued by major trade and industry associations.  </w:t>
      </w:r>
    </w:p>
    <w:p w14:paraId="390E10A5"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Cluster analysis of the 2025 Goods and Services Tax restructuring will look at key products, motor industry, agri-food supply chains, the health sector, and the general services sector. The analysis in particular breaks down the interplay of rate concessions/escalations, re-classification, and recalibrated valuation process on the landed costs, consumer price movements, enterprise margin paths, and on-hand working capital changes.  </w:t>
      </w:r>
    </w:p>
    <w:p w14:paraId="6BA16CB2"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A dual fiscal/federal prismatic focus on the revenue paths, negotiated state-centre compensation modalities, and the operational machineries of state exchequers to re-parameterised rate-structures will be used, especially in terms of the historical issues of revenue neutrality and the use of compensation null.  </w:t>
      </w:r>
    </w:p>
    <w:p w14:paraId="7EC6E54B" w14:textId="2AD3D1F1"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Prescriptions of evidence-based policy will be formulated to keep down infection by complexities, definitional clarity in classification and valuation norms, the effectiveness of adjudicative forums (the Goods and Services Tax Appellate Tribunal and advance rulings, inter alia), facilitated implementation through programming of optimum refund and input tax credit channels and reduced compliance workload on the most vulnerable economic classes.</w:t>
      </w:r>
    </w:p>
    <w:p w14:paraId="564DA713" w14:textId="7B441EE2" w:rsidR="001F5CCE" w:rsidRPr="005B702B" w:rsidRDefault="000B433F" w:rsidP="008B30D4">
      <w:pPr>
        <w:pStyle w:val="Heading1"/>
        <w:rPr>
          <w:rFonts w:cs="Times New Roman"/>
          <w:sz w:val="28"/>
          <w:szCs w:val="28"/>
        </w:rPr>
      </w:pPr>
      <w:r w:rsidRPr="005B702B">
        <w:rPr>
          <w:rFonts w:cs="Times New Roman"/>
          <w:sz w:val="28"/>
          <w:szCs w:val="28"/>
        </w:rPr>
        <w:t xml:space="preserve">4. </w:t>
      </w:r>
      <w:r w:rsidR="001F5CCE" w:rsidRPr="005B702B">
        <w:rPr>
          <w:rFonts w:cs="Times New Roman"/>
          <w:sz w:val="28"/>
          <w:szCs w:val="28"/>
        </w:rPr>
        <w:t xml:space="preserve"> PROPOSED METHODOLOGY   </w:t>
      </w:r>
    </w:p>
    <w:p w14:paraId="05C1622B" w14:textId="77777777" w:rsidR="00B435E5" w:rsidRPr="005B702B" w:rsidRDefault="00B435E5" w:rsidP="00B435E5">
      <w:pPr>
        <w:rPr>
          <w:rFonts w:cs="Times New Roman"/>
        </w:rPr>
      </w:pPr>
      <w:r w:rsidRPr="005B702B">
        <w:rPr>
          <w:rFonts w:cs="Times New Roman"/>
        </w:rPr>
        <w:t>This section describes the research design, data sources, sampling strategy, analytical tools, and these limitations were identified to manage the evaluation of whether the GST Reforms, of 2025 led to simplification or, on the contrary, added complexity.</w:t>
      </w:r>
    </w:p>
    <w:p w14:paraId="66DFBE7F" w14:textId="77777777" w:rsidR="00B435E5" w:rsidRPr="005B702B" w:rsidRDefault="00B435E5" w:rsidP="008B30D4">
      <w:pPr>
        <w:pStyle w:val="Heading2"/>
        <w:rPr>
          <w:rFonts w:cs="Times New Roman"/>
          <w:sz w:val="24"/>
          <w:szCs w:val="24"/>
        </w:rPr>
      </w:pPr>
      <w:r w:rsidRPr="005B702B">
        <w:rPr>
          <w:rFonts w:cs="Times New Roman"/>
          <w:sz w:val="24"/>
          <w:szCs w:val="24"/>
        </w:rPr>
        <w:t>4.1 Research Design</w:t>
      </w:r>
    </w:p>
    <w:p w14:paraId="309BF4CA" w14:textId="77777777" w:rsidR="00B435E5" w:rsidRPr="005B702B" w:rsidRDefault="00B435E5" w:rsidP="00B435E5">
      <w:pPr>
        <w:rPr>
          <w:rFonts w:cs="Times New Roman"/>
          <w:sz w:val="22"/>
          <w:szCs w:val="22"/>
        </w:rPr>
      </w:pPr>
      <w:r w:rsidRPr="005B702B">
        <w:rPr>
          <w:rFonts w:cs="Times New Roman"/>
          <w:sz w:val="22"/>
          <w:szCs w:val="22"/>
        </w:rPr>
        <w:t>The study has a concurrent mixed-method design, which combines the qualitative and quantitative modalities, systematically to obtain a complete picture:</w:t>
      </w:r>
    </w:p>
    <w:p w14:paraId="6A0ABD60" w14:textId="72CDEC01"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 xml:space="preserve">Qualitative aspect: The major reform files such as legislative drafts, GST Council files, advisory opinions and additional media releases were </w:t>
      </w:r>
      <w:proofErr w:type="spellStart"/>
      <w:r w:rsidRPr="005B702B">
        <w:rPr>
          <w:rFonts w:cs="Times New Roman"/>
          <w:sz w:val="22"/>
          <w:szCs w:val="22"/>
        </w:rPr>
        <w:t>analyzed</w:t>
      </w:r>
      <w:proofErr w:type="spellEnd"/>
      <w:r w:rsidRPr="005B702B">
        <w:rPr>
          <w:rFonts w:cs="Times New Roman"/>
          <w:sz w:val="22"/>
          <w:szCs w:val="22"/>
        </w:rPr>
        <w:t xml:space="preserve"> in terms of content and documents. A purposive sample of fiscal experts that took part in semi-structured interviews was used to elicit interpretative uncertainties and operational vulnerabilities.</w:t>
      </w:r>
    </w:p>
    <w:p w14:paraId="390FFD78" w14:textId="5B010748"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Quantitative facet: A developed survey was administered to registered tax practitioners, MSME registrants, federated organisations, and professional bodies in major North-Eastern as well as Eastern states. The collected data consisted of graded judgments that dwelled on relative perception of compliance loads, occurrence of disputes, complexity of procedures, and changes in the effective compliance spending prior and after the reforms.</w:t>
      </w:r>
    </w:p>
    <w:p w14:paraId="357BA628" w14:textId="77777777" w:rsidR="00B435E5" w:rsidRPr="005B702B" w:rsidRDefault="00B435E5" w:rsidP="00B435E5">
      <w:pPr>
        <w:rPr>
          <w:rFonts w:cs="Times New Roman"/>
          <w:sz w:val="22"/>
          <w:szCs w:val="22"/>
        </w:rPr>
      </w:pPr>
      <w:r w:rsidRPr="005B702B">
        <w:rPr>
          <w:rFonts w:cs="Times New Roman"/>
          <w:sz w:val="22"/>
          <w:szCs w:val="22"/>
        </w:rPr>
        <w:lastRenderedPageBreak/>
        <w:t>This approach was justified since the structural reform combined design components and experiences of the respondents, which demanded integrated approach to valid inferences.</w:t>
      </w:r>
    </w:p>
    <w:p w14:paraId="63A223E5" w14:textId="77777777" w:rsidR="00B435E5" w:rsidRPr="005B702B" w:rsidRDefault="00B435E5" w:rsidP="008B30D4">
      <w:pPr>
        <w:pStyle w:val="Heading2"/>
        <w:rPr>
          <w:rFonts w:cs="Times New Roman"/>
          <w:sz w:val="24"/>
          <w:szCs w:val="24"/>
        </w:rPr>
      </w:pPr>
      <w:r w:rsidRPr="005B702B">
        <w:rPr>
          <w:rFonts w:cs="Times New Roman"/>
          <w:sz w:val="24"/>
          <w:szCs w:val="24"/>
        </w:rPr>
        <w:t>4.2 Data Sources</w:t>
      </w:r>
    </w:p>
    <w:p w14:paraId="5E480073" w14:textId="6ECDEE7F" w:rsidR="00B435E5" w:rsidRPr="005B702B" w:rsidRDefault="00B435E5" w:rsidP="008B30D4">
      <w:pPr>
        <w:pStyle w:val="Heading3"/>
        <w:rPr>
          <w:rFonts w:cs="Times New Roman"/>
          <w:sz w:val="22"/>
          <w:szCs w:val="22"/>
        </w:rPr>
      </w:pPr>
      <w:r w:rsidRPr="005B702B">
        <w:rPr>
          <w:rFonts w:cs="Times New Roman"/>
          <w:sz w:val="22"/>
          <w:szCs w:val="22"/>
        </w:rPr>
        <w:t xml:space="preserve">4.2.1 Documentary Data and Secondary Data </w:t>
      </w:r>
    </w:p>
    <w:p w14:paraId="0B462A13" w14:textId="67282CF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Government of India records and releases, such as official press notes, GST Council minutes and summary sheets (PIB, 2025).</w:t>
      </w:r>
    </w:p>
    <w:p w14:paraId="1DC8DCC4" w14:textId="629C7557"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Law, regulatory announcements and provisional procedural policies.</w:t>
      </w:r>
    </w:p>
    <w:p w14:paraId="3DCA1814" w14:textId="575A8750"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Analytical reports and working papers of research institutions as well as other international organisations including GST policy perspectives published by the World Bank.</w:t>
      </w:r>
    </w:p>
    <w:p w14:paraId="0D0A9F0B" w14:textId="1C0D1ED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Articles by Deloitte and the Indian Brand Equity Foundation (IBEF) along with other published industry surveys and media articles were used as the contextual background when analysing simplification indicators, rate rationalisation and the classification practice.</w:t>
      </w:r>
    </w:p>
    <w:p w14:paraId="6B84326C" w14:textId="77777777" w:rsidR="00B435E5" w:rsidRPr="005B702B" w:rsidRDefault="00B435E5" w:rsidP="008B30D4">
      <w:pPr>
        <w:pStyle w:val="Heading3"/>
        <w:rPr>
          <w:rFonts w:cs="Times New Roman"/>
          <w:sz w:val="22"/>
          <w:szCs w:val="22"/>
        </w:rPr>
      </w:pPr>
      <w:r w:rsidRPr="005B702B">
        <w:rPr>
          <w:rFonts w:cs="Times New Roman"/>
          <w:sz w:val="22"/>
          <w:szCs w:val="22"/>
        </w:rPr>
        <w:t>4.2.2 Primary Data</w:t>
      </w:r>
    </w:p>
    <w:p w14:paraId="498F59BC" w14:textId="58256F49" w:rsidR="00B435E5" w:rsidRPr="005B702B" w:rsidRDefault="00B435E5" w:rsidP="00B435E5">
      <w:pPr>
        <w:rPr>
          <w:rFonts w:cs="Times New Roman"/>
          <w:sz w:val="22"/>
          <w:szCs w:val="22"/>
        </w:rPr>
      </w:pPr>
      <w:r w:rsidRPr="005B702B">
        <w:rPr>
          <w:rFonts w:cs="Times New Roman"/>
          <w:sz w:val="22"/>
          <w:szCs w:val="22"/>
        </w:rPr>
        <w:t xml:space="preserve">The structured field instruments </w:t>
      </w:r>
      <w:r w:rsidR="009A71B5">
        <w:rPr>
          <w:rFonts w:cs="Times New Roman"/>
          <w:sz w:val="22"/>
          <w:szCs w:val="22"/>
        </w:rPr>
        <w:t>were</w:t>
      </w:r>
      <w:r w:rsidR="00C43214">
        <w:rPr>
          <w:rFonts w:cs="Times New Roman"/>
          <w:sz w:val="22"/>
          <w:szCs w:val="22"/>
        </w:rPr>
        <w:t xml:space="preserve"> used </w:t>
      </w:r>
      <w:r w:rsidRPr="005B702B">
        <w:rPr>
          <w:rFonts w:cs="Times New Roman"/>
          <w:sz w:val="22"/>
          <w:szCs w:val="22"/>
        </w:rPr>
        <w:t>to gather primary data directly across various states to collect information on the topic: Manipur, Assam, Bihar, and West Bengal.</w:t>
      </w:r>
    </w:p>
    <w:p w14:paraId="1B726EEB" w14:textId="294D8942"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Survey tool: It was a questionnaire that included Likert scales, ranking, and open-ended questions that were given face-to-face to tax consultants, chief financial officers, MSME owners, and industry association members. The areas of focus were perceived changes in compliance cost, classification uncertainty, delay in refund, procedural burden, satisfaction and adequacy of training.</w:t>
      </w:r>
    </w:p>
    <w:p w14:paraId="1015FD3F" w14:textId="205A0E87"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Interviews and professional opinion: 10-15 semi-structured interviews, 10-15 semi-structured interviews were held with senior tax advisors and GST officials, representatives of MSME federation, and legal experts. Such discussions were first-person reports of operating challenges and adaptive responses to lived practice.</w:t>
      </w:r>
    </w:p>
    <w:p w14:paraId="36A1257E" w14:textId="3C135E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Case studies: Two to three sector case studies like electronics, automobiles, and handicrafts were implemented based on the respondent data of firms being operated within the target states to track the effects of GST 2.0 to the effective tax incidence, refund schedules and classification disputes.</w:t>
      </w:r>
    </w:p>
    <w:p w14:paraId="5F2810D0" w14:textId="77777777" w:rsidR="00B435E5" w:rsidRPr="005B702B" w:rsidRDefault="00B435E5" w:rsidP="008B30D4">
      <w:pPr>
        <w:pStyle w:val="Heading2"/>
        <w:rPr>
          <w:rFonts w:cs="Times New Roman"/>
          <w:sz w:val="24"/>
          <w:szCs w:val="24"/>
        </w:rPr>
      </w:pPr>
      <w:r w:rsidRPr="005B702B">
        <w:rPr>
          <w:rFonts w:cs="Times New Roman"/>
          <w:sz w:val="24"/>
          <w:szCs w:val="24"/>
        </w:rPr>
        <w:t>4.3 Sample Size and Sampling Strategy.</w:t>
      </w:r>
    </w:p>
    <w:p w14:paraId="1F19E4B0" w14:textId="77777777" w:rsidR="00B435E5" w:rsidRPr="005B702B" w:rsidRDefault="00B435E5" w:rsidP="00B435E5">
      <w:pPr>
        <w:rPr>
          <w:rFonts w:cs="Times New Roman"/>
          <w:sz w:val="22"/>
          <w:szCs w:val="22"/>
        </w:rPr>
      </w:pPr>
      <w:r w:rsidRPr="005B702B">
        <w:rPr>
          <w:rFonts w:cs="Times New Roman"/>
          <w:sz w:val="22"/>
          <w:szCs w:val="22"/>
        </w:rPr>
        <w:t>The purposive and stratified survey sampling embraced Manipur, Assam, Bihar and West Bengal in manufacturing, services and MSME segments. Two hundred questionnaires were issued and 150 valid answers were obtained. In the case of interviews, snowball and purposive methods were used to find the domain experts in the taxation, legal, and MSME domains. To facilitate cross-regional comparison, the case studies were selected among the firms in two or more states.</w:t>
      </w:r>
    </w:p>
    <w:p w14:paraId="14CBC13D" w14:textId="77777777" w:rsidR="005B702B" w:rsidRPr="005B702B" w:rsidRDefault="00B435E5" w:rsidP="00B435E5">
      <w:pPr>
        <w:rPr>
          <w:rFonts w:cs="Times New Roman"/>
          <w:sz w:val="22"/>
          <w:szCs w:val="22"/>
        </w:rPr>
      </w:pPr>
      <w:r w:rsidRPr="005B702B">
        <w:rPr>
          <w:rFonts w:cs="Times New Roman"/>
          <w:sz w:val="22"/>
          <w:szCs w:val="22"/>
        </w:rPr>
        <w:t>The instrumentation / operationalization of the measurement will take place within the scope of the analysis of the variables.</w:t>
      </w:r>
    </w:p>
    <w:p w14:paraId="54D16E27" w14:textId="77777777" w:rsidR="005B702B" w:rsidRPr="005B702B" w:rsidRDefault="00B435E5" w:rsidP="005B702B">
      <w:pPr>
        <w:pStyle w:val="Heading2"/>
        <w:rPr>
          <w:sz w:val="24"/>
          <w:szCs w:val="24"/>
        </w:rPr>
      </w:pPr>
      <w:r w:rsidRPr="005B702B">
        <w:rPr>
          <w:sz w:val="24"/>
          <w:szCs w:val="24"/>
        </w:rPr>
        <w:t xml:space="preserve">4.4 Measurement / Operationalization </w:t>
      </w:r>
    </w:p>
    <w:p w14:paraId="3F6707B5" w14:textId="323C77EC" w:rsidR="00B435E5" w:rsidRPr="005B702B" w:rsidRDefault="00B435E5" w:rsidP="00B435E5">
      <w:pPr>
        <w:rPr>
          <w:rFonts w:cs="Times New Roman"/>
          <w:sz w:val="22"/>
          <w:szCs w:val="22"/>
        </w:rPr>
      </w:pPr>
      <w:r w:rsidRPr="005B702B">
        <w:rPr>
          <w:rFonts w:cs="Times New Roman"/>
          <w:sz w:val="22"/>
          <w:szCs w:val="22"/>
        </w:rPr>
        <w:t>The instrumentation / operationalization of the measurement will occur within the framework of the variables analysis.</w:t>
      </w:r>
    </w:p>
    <w:p w14:paraId="6E9F8770" w14:textId="77777777" w:rsidR="00B435E5" w:rsidRPr="005B702B" w:rsidRDefault="00B435E5" w:rsidP="00B435E5">
      <w:pPr>
        <w:rPr>
          <w:rFonts w:cs="Times New Roman"/>
          <w:sz w:val="22"/>
          <w:szCs w:val="22"/>
        </w:rPr>
      </w:pPr>
      <w:r w:rsidRPr="005B702B">
        <w:rPr>
          <w:rFonts w:cs="Times New Roman"/>
          <w:sz w:val="22"/>
          <w:szCs w:val="22"/>
        </w:rPr>
        <w:t xml:space="preserve">Measures of compliance burden entailed comparing more hours and money spent on record-keeping and consultancy before and after reform. The perceived complexity scale incorporated items relating to </w:t>
      </w:r>
      <w:r w:rsidRPr="005B702B">
        <w:rPr>
          <w:rFonts w:cs="Times New Roman"/>
          <w:sz w:val="22"/>
          <w:szCs w:val="22"/>
        </w:rPr>
        <w:lastRenderedPageBreak/>
        <w:t>confusion on classifying, ambiguity of interpretation, delay of refunds and document burden. Simplification index, as a number of indices, incorporated indicators like clarity of rates, reduction of slabs and ease of return filing. The tax effect on the sector was investigated by the modelling of pre- and post-reform product portfolios.</w:t>
      </w:r>
    </w:p>
    <w:p w14:paraId="791BC7F9" w14:textId="77777777" w:rsidR="00B435E5" w:rsidRPr="005B702B" w:rsidRDefault="00B435E5" w:rsidP="008B30D4">
      <w:pPr>
        <w:pStyle w:val="Heading2"/>
        <w:rPr>
          <w:rFonts w:cs="Times New Roman"/>
          <w:sz w:val="24"/>
          <w:szCs w:val="24"/>
        </w:rPr>
      </w:pPr>
      <w:r w:rsidRPr="005B702B">
        <w:rPr>
          <w:rFonts w:cs="Times New Roman"/>
          <w:sz w:val="24"/>
          <w:szCs w:val="24"/>
        </w:rPr>
        <w:t>4.5 Data Analysis Techniques</w:t>
      </w:r>
    </w:p>
    <w:p w14:paraId="39D39810" w14:textId="77777777" w:rsidR="00B435E5" w:rsidRPr="005B702B" w:rsidRDefault="00B435E5" w:rsidP="00B435E5">
      <w:pPr>
        <w:rPr>
          <w:rFonts w:cs="Times New Roman"/>
          <w:sz w:val="22"/>
          <w:szCs w:val="22"/>
        </w:rPr>
      </w:pPr>
      <w:r w:rsidRPr="005B702B">
        <w:rPr>
          <w:rFonts w:cs="Times New Roman"/>
          <w:sz w:val="22"/>
          <w:szCs w:val="22"/>
        </w:rPr>
        <w:t>To reveal perception baselines, descriptive statistics (means, standard deviations, frequencies) were used.</w:t>
      </w:r>
    </w:p>
    <w:p w14:paraId="057D7A5A" w14:textId="4533C5D5"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Paired-sample t-tests (or sign-rank tests by Wilcoxon) were utilized to compare the compliance burden before and after the reforms of small and large firms, and the predictions of complexity perception were made using regression analysis according to the firm size, digital readiness, and sector.</w:t>
      </w:r>
    </w:p>
    <w:p w14:paraId="39CB8EAF" w14:textId="5A9CF8C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Qualitative analysis: Thematic coding of transcripts of interviews was conducted to determine common themes like ambiguity in administration, risks of disputes, and compliance behaviour as an adaption measure.</w:t>
      </w:r>
    </w:p>
    <w:p w14:paraId="512DAE0F" w14:textId="6C3676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Triangulation: Survey, interview, and documentary findings were cross-validated to achieve strength.</w:t>
      </w:r>
    </w:p>
    <w:p w14:paraId="607B5129" w14:textId="77777777" w:rsidR="00B435E5" w:rsidRPr="005B702B" w:rsidRDefault="00B435E5" w:rsidP="008B30D4">
      <w:pPr>
        <w:pStyle w:val="Heading2"/>
        <w:rPr>
          <w:rFonts w:cs="Times New Roman"/>
          <w:sz w:val="24"/>
          <w:szCs w:val="24"/>
        </w:rPr>
      </w:pPr>
      <w:r w:rsidRPr="005B702B">
        <w:rPr>
          <w:rFonts w:cs="Times New Roman"/>
          <w:sz w:val="24"/>
          <w:szCs w:val="24"/>
        </w:rPr>
        <w:t>4.6 Validity, Reliability and Ethical issues.</w:t>
      </w:r>
    </w:p>
    <w:p w14:paraId="75E57852" w14:textId="62A9E91D"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Pilot testing was conducted using 10 respondents to narrow on clarity and reliability (</w:t>
      </w:r>
      <w:proofErr w:type="spellStart"/>
      <w:r w:rsidRPr="005B702B">
        <w:rPr>
          <w:rFonts w:cs="Times New Roman"/>
          <w:sz w:val="22"/>
          <w:szCs w:val="22"/>
        </w:rPr>
        <w:t>Cronbachs</w:t>
      </w:r>
      <w:proofErr w:type="spellEnd"/>
      <w:r w:rsidRPr="005B702B">
        <w:rPr>
          <w:rFonts w:cs="Times New Roman"/>
          <w:sz w:val="22"/>
          <w:szCs w:val="22"/>
        </w:rPr>
        <w:t xml:space="preserve"> alpha value exceeding 0.7).</w:t>
      </w:r>
    </w:p>
    <w:p w14:paraId="7F45C73D" w14:textId="418DF8F2"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Validity in construct was attained by proper representation of important concepts.</w:t>
      </w:r>
    </w:p>
    <w:p w14:paraId="32F96D44" w14:textId="1E062F9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Reliability was tested in internal consistency testing.</w:t>
      </w:r>
    </w:p>
    <w:p w14:paraId="25E19828" w14:textId="616F03D0"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Anonymity, informed consent and voluntary involvement were ensured and withdrawals were accepted without punishment.</w:t>
      </w:r>
    </w:p>
    <w:p w14:paraId="5A96F0D3" w14:textId="77777777" w:rsidR="00B435E5" w:rsidRPr="005B702B" w:rsidRDefault="00B435E5" w:rsidP="008B30D4">
      <w:pPr>
        <w:pStyle w:val="Heading2"/>
        <w:rPr>
          <w:rFonts w:cs="Times New Roman"/>
          <w:sz w:val="24"/>
          <w:szCs w:val="24"/>
        </w:rPr>
      </w:pPr>
      <w:r w:rsidRPr="005B702B">
        <w:rPr>
          <w:rFonts w:cs="Times New Roman"/>
          <w:sz w:val="24"/>
          <w:szCs w:val="24"/>
        </w:rPr>
        <w:t>4.7 Limitations</w:t>
      </w:r>
    </w:p>
    <w:p w14:paraId="6BA1B4A1" w14:textId="068E16E5"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 perception of the respondents was also subjective and could be biased against the responses.</w:t>
      </w:r>
    </w:p>
    <w:p w14:paraId="359B667F" w14:textId="4367A969"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 initial stage of GST 2.0 inhibits long-term effects evaluation.</w:t>
      </w:r>
    </w:p>
    <w:p w14:paraId="25B7E018" w14:textId="18C577AE"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There may be some variation caused by limited responses of remote MSMEs.</w:t>
      </w:r>
    </w:p>
    <w:p w14:paraId="7F6376BA" w14:textId="6B9B04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There are macroeconomic fluctuations outside the reform that might cause some observed effects.</w:t>
      </w:r>
    </w:p>
    <w:p w14:paraId="23CD0241" w14:textId="19577A8D" w:rsidR="001F5CCE" w:rsidRPr="005B702B" w:rsidRDefault="000B433F" w:rsidP="008B30D4">
      <w:pPr>
        <w:pStyle w:val="Heading1"/>
        <w:rPr>
          <w:rFonts w:cs="Times New Roman"/>
          <w:sz w:val="28"/>
          <w:szCs w:val="28"/>
        </w:rPr>
      </w:pPr>
      <w:r w:rsidRPr="005B702B">
        <w:rPr>
          <w:rFonts w:cs="Times New Roman"/>
          <w:sz w:val="28"/>
          <w:szCs w:val="28"/>
        </w:rPr>
        <w:t xml:space="preserve">5. </w:t>
      </w:r>
      <w:r w:rsidR="001F5CCE" w:rsidRPr="005B702B">
        <w:rPr>
          <w:rFonts w:cs="Times New Roman"/>
          <w:sz w:val="28"/>
          <w:szCs w:val="28"/>
        </w:rPr>
        <w:t xml:space="preserve"> RESULTS </w:t>
      </w:r>
    </w:p>
    <w:p w14:paraId="70D9F9D1" w14:textId="443FFB8D" w:rsidR="00BA34EE" w:rsidRPr="005B702B" w:rsidRDefault="00BA34EE" w:rsidP="008B30D4">
      <w:pPr>
        <w:pStyle w:val="Heading2"/>
        <w:rPr>
          <w:rFonts w:cs="Times New Roman"/>
          <w:sz w:val="24"/>
          <w:szCs w:val="24"/>
        </w:rPr>
      </w:pPr>
      <w:r w:rsidRPr="005B702B">
        <w:rPr>
          <w:rFonts w:cs="Times New Roman"/>
          <w:sz w:val="24"/>
          <w:szCs w:val="24"/>
        </w:rPr>
        <w:t>5.1 Structural Changes under GST 2025</w:t>
      </w:r>
    </w:p>
    <w:p w14:paraId="304B9F0E" w14:textId="77777777" w:rsidR="004F62C9" w:rsidRPr="005B702B" w:rsidRDefault="004F62C9" w:rsidP="004F62C9">
      <w:pPr>
        <w:rPr>
          <w:rFonts w:cs="Times New Roman"/>
          <w:sz w:val="22"/>
          <w:szCs w:val="22"/>
        </w:rPr>
      </w:pPr>
      <w:r w:rsidRPr="005B702B">
        <w:rPr>
          <w:rFonts w:cs="Times New Roman"/>
          <w:sz w:val="22"/>
          <w:szCs w:val="22"/>
        </w:rPr>
        <w:t xml:space="preserve">The implementation of the Goods and Services Tax (GST) in India in 2017 shifted the situation in the country in terms of the indirect taxation. Although the aim of the policy was to harmonize the various taxes and create more efficient system, the outcome was an even more tangled multi-slab system. This had a compensatory cess and excessively broad transitional in that both tax payers and tax administrators were puzzled.  </w:t>
      </w:r>
    </w:p>
    <w:p w14:paraId="60219C86" w14:textId="77777777" w:rsidR="004F62C9" w:rsidRPr="005B702B" w:rsidRDefault="004F62C9" w:rsidP="004F62C9">
      <w:pPr>
        <w:rPr>
          <w:rFonts w:cs="Times New Roman"/>
          <w:sz w:val="22"/>
          <w:szCs w:val="22"/>
        </w:rPr>
      </w:pPr>
      <w:r w:rsidRPr="005B702B">
        <w:rPr>
          <w:rFonts w:cs="Times New Roman"/>
          <w:sz w:val="22"/>
          <w:szCs w:val="22"/>
        </w:rPr>
        <w:t xml:space="preserve">The changes to the tax system that will be the most crucial since its implementation in July 2017 will be structural changes announced at the 56th GST council meeting in September 2025. The essence of the discussion was the merging of the existing four major tax slabs of 5% 12% 18 and 28. The new </w:t>
      </w:r>
      <w:r w:rsidRPr="005B702B">
        <w:rPr>
          <w:rFonts w:cs="Times New Roman"/>
          <w:sz w:val="22"/>
          <w:szCs w:val="22"/>
        </w:rPr>
        <w:lastRenderedPageBreak/>
        <w:t>system will include one slab of 5% and an intermediate of 18% and a separate slab of 40 percent will be imposed on some luxury and sin goods such as the super cars and some of the high-margin imported goods (Reuters 2025).</w:t>
      </w:r>
    </w:p>
    <w:p w14:paraId="047EA29D" w14:textId="77777777" w:rsidR="004F62C9" w:rsidRPr="005B702B" w:rsidRDefault="004F62C9" w:rsidP="004F62C9">
      <w:pPr>
        <w:rPr>
          <w:rFonts w:cs="Times New Roman"/>
          <w:sz w:val="22"/>
          <w:szCs w:val="22"/>
        </w:rPr>
      </w:pPr>
      <w:r w:rsidRPr="005B702B">
        <w:rPr>
          <w:rFonts w:cs="Times New Roman"/>
          <w:sz w:val="22"/>
          <w:szCs w:val="22"/>
        </w:rPr>
        <w:t xml:space="preserve">The cut will be through very simple horizontal models such as those used in other countries with VAT systems which tend to have very few basic levels of tax. This decrease will assist the consumers to see and comprehend and perhaps assist them to either purchase or in the case of business, to sell. This will also ensure that the businesses find it simpler to meet the new tax structure. The number of cases about exemptions and classifications will decrease, which means that long-lasting and time-consuming appeals will be addressed. In any case, the restructuring will lack cash flow problems. The </w:t>
      </w:r>
      <w:proofErr w:type="spellStart"/>
      <w:r w:rsidRPr="005B702B">
        <w:rPr>
          <w:rFonts w:cs="Times New Roman"/>
          <w:sz w:val="22"/>
          <w:szCs w:val="22"/>
        </w:rPr>
        <w:t>Center</w:t>
      </w:r>
      <w:proofErr w:type="spellEnd"/>
      <w:r w:rsidRPr="005B702B">
        <w:rPr>
          <w:rFonts w:cs="Times New Roman"/>
          <w:sz w:val="22"/>
          <w:szCs w:val="22"/>
        </w:rPr>
        <w:t xml:space="preserve"> believes that the reduction of GST rates will result in the loss of tax revenue of 48,000 in the nearest future (Economic Times 2025). The framework indicates the trade-off between providing short-term financial relief and long-term fiscal sustainability, which is essential in ensuring the 2020 GST reforms work. The other significant amendment to GST has been the abolition of a compensatory cess which is another tax on higher revenues and was intended to ease a burden on state revenue during the early days of GST. According to some studies, the aggressive implementation of the cess has resulted in multifaceted chains of taxation, the conflict due to the existence of a black hole in the implementation, and the risk of tax evasion. By September 22, 2025, the presidential decree mentioned the objective of enhanced simplification of taxes and compliance to facilitate the framework of one nation, one tax and eliminate these cesses (India Briefing, 2025). The simplicity of a tax system saves the business on the costs of litigation and invoicing and, therefore, the businesses have the opportunity to offer their goods and services at a more competitive price.  </w:t>
      </w:r>
    </w:p>
    <w:p w14:paraId="09312406" w14:textId="6F90F161" w:rsidR="004F62C9" w:rsidRPr="005B702B" w:rsidRDefault="004F62C9" w:rsidP="004F62C9">
      <w:pPr>
        <w:rPr>
          <w:rFonts w:cs="Times New Roman"/>
          <w:sz w:val="22"/>
          <w:szCs w:val="22"/>
        </w:rPr>
      </w:pPr>
      <w:r w:rsidRPr="005B702B">
        <w:rPr>
          <w:rFonts w:cs="Times New Roman"/>
          <w:sz w:val="22"/>
          <w:szCs w:val="22"/>
        </w:rPr>
        <w:t xml:space="preserve">The studies of household behaviour demonstrate the relevance of specific notions and the extent to which they may influence the inflation, investment and growth of revenues both in the short and long term. When the projected change in the </w:t>
      </w:r>
      <w:r w:rsidR="00540F44" w:rsidRPr="00540F44">
        <w:rPr>
          <w:rFonts w:cs="Times New Roman"/>
          <w:sz w:val="22"/>
          <w:szCs w:val="22"/>
        </w:rPr>
        <w:t>inflation rate is fully realised and passed on to consumers</w:t>
      </w:r>
      <w:r w:rsidRPr="005B702B">
        <w:rPr>
          <w:rFonts w:cs="Times New Roman"/>
          <w:sz w:val="22"/>
          <w:szCs w:val="22"/>
        </w:rPr>
        <w:t xml:space="preserve">, there is the possibility of </w:t>
      </w:r>
      <w:r w:rsidR="005B702B" w:rsidRPr="005B702B">
        <w:rPr>
          <w:rFonts w:cs="Times New Roman"/>
          <w:sz w:val="22"/>
          <w:szCs w:val="22"/>
        </w:rPr>
        <w:t>a</w:t>
      </w:r>
      <w:r w:rsidRPr="005B702B">
        <w:rPr>
          <w:rFonts w:cs="Times New Roman"/>
          <w:sz w:val="22"/>
          <w:szCs w:val="22"/>
        </w:rPr>
        <w:t xml:space="preserve"> 1.1 percent decrease (Reuters, 2025). With the global supply chains creating inflationary pressure towards the economy, fuel price volatility and domestic demand, this option of the policy will tend to offset some of the inflationary pressures.</w:t>
      </w:r>
    </w:p>
    <w:p w14:paraId="3D3FBC7E" w14:textId="77777777" w:rsidR="004F62C9" w:rsidRPr="005B702B" w:rsidRDefault="004F62C9" w:rsidP="004F62C9">
      <w:pPr>
        <w:rPr>
          <w:rFonts w:cs="Times New Roman"/>
          <w:sz w:val="22"/>
          <w:szCs w:val="22"/>
        </w:rPr>
      </w:pPr>
      <w:r w:rsidRPr="005B702B">
        <w:rPr>
          <w:rFonts w:cs="Times New Roman"/>
          <w:sz w:val="22"/>
          <w:szCs w:val="22"/>
        </w:rPr>
        <w:t>The GST reform is also characterized by some industry-specific characteristics. To illustrate, a concessional 12 percent rate on non-sand-lime bricks is maintained to protect small enterprise as well as avoiding the impact of negative effects on strategic infrastructure and industrial production (Indian Express 2025). However, during the collapse of such networks, businesses may fail to cope without the help of either family or authorities. Exemption should be reconsidered; one such case would be considering the possibility of how sector-specificity in the provisions may make the goal of having a simple tax system more difficult over time.</w:t>
      </w:r>
    </w:p>
    <w:p w14:paraId="7770C371" w14:textId="11FEF437" w:rsidR="007042D3" w:rsidRPr="005B702B" w:rsidRDefault="004F62C9" w:rsidP="007042D3">
      <w:pPr>
        <w:rPr>
          <w:rFonts w:cs="Times New Roman"/>
          <w:sz w:val="22"/>
          <w:szCs w:val="22"/>
        </w:rPr>
      </w:pPr>
      <w:r w:rsidRPr="005B702B">
        <w:rPr>
          <w:rFonts w:cs="Times New Roman"/>
          <w:sz w:val="22"/>
          <w:szCs w:val="22"/>
        </w:rPr>
        <w:t>In the macro reform of September 2025, the need is highlighted that to establish simplicity in the industry, politically compromises need to be established. Although the reform package itself is aimed at efficiency in the procedures, practice change can be used to undermine the effects they are meant to have. The economic success that Japan desires and requires is a necessary but not sufficient condition that involves good implementation, a commitment by business to reinvest savings instead of increasing profits would be required.</w:t>
      </w:r>
    </w:p>
    <w:p w14:paraId="41DC1004"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lastRenderedPageBreak/>
        <w:drawing>
          <wp:inline distT="0" distB="0" distL="0" distR="0" wp14:anchorId="1C5D6895" wp14:editId="6FDFCABF">
            <wp:extent cx="4937760" cy="2422003"/>
            <wp:effectExtent l="0" t="0" r="0" b="0"/>
            <wp:docPr id="86761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19218" name="Picture 867619218"/>
                    <pic:cNvPicPr/>
                  </pic:nvPicPr>
                  <pic:blipFill rotWithShape="1">
                    <a:blip r:embed="rId7">
                      <a:extLst>
                        <a:ext uri="{28A0092B-C50C-407E-A947-70E740481C1C}">
                          <a14:useLocalDpi xmlns:a14="http://schemas.microsoft.com/office/drawing/2010/main" val="0"/>
                        </a:ext>
                      </a:extLst>
                    </a:blip>
                    <a:srcRect t="25633" b="25317"/>
                    <a:stretch>
                      <a:fillRect/>
                    </a:stretch>
                  </pic:blipFill>
                  <pic:spPr bwMode="auto">
                    <a:xfrm>
                      <a:off x="0" y="0"/>
                      <a:ext cx="4954605" cy="2430265"/>
                    </a:xfrm>
                    <a:prstGeom prst="rect">
                      <a:avLst/>
                    </a:prstGeom>
                    <a:ln>
                      <a:noFill/>
                    </a:ln>
                    <a:extLst>
                      <a:ext uri="{53640926-AAD7-44D8-BBD7-CCE9431645EC}">
                        <a14:shadowObscured xmlns:a14="http://schemas.microsoft.com/office/drawing/2010/main"/>
                      </a:ext>
                    </a:extLst>
                  </pic:spPr>
                </pic:pic>
              </a:graphicData>
            </a:graphic>
          </wp:inline>
        </w:drawing>
      </w:r>
    </w:p>
    <w:p w14:paraId="35A96D63" w14:textId="045B21CA"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1</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Transition from GST 2017 Multi-Slab Structure to GST 2025 Simplified Binary-Slab Model.</w:t>
      </w:r>
    </w:p>
    <w:p w14:paraId="4128AD4F" w14:textId="7CB5CE66" w:rsidR="001F5CCE" w:rsidRPr="005B702B" w:rsidRDefault="00BF48F6" w:rsidP="005B702B">
      <w:pPr>
        <w:pStyle w:val="Heading2"/>
        <w:rPr>
          <w:sz w:val="24"/>
          <w:szCs w:val="24"/>
        </w:rPr>
      </w:pPr>
      <w:r w:rsidRPr="005B702B">
        <w:rPr>
          <w:sz w:val="24"/>
          <w:szCs w:val="24"/>
        </w:rPr>
        <w:t>5</w:t>
      </w:r>
      <w:r w:rsidR="001F5CCE" w:rsidRPr="005B702B">
        <w:rPr>
          <w:sz w:val="24"/>
          <w:szCs w:val="24"/>
        </w:rPr>
        <w:t xml:space="preserve">.2 Stakeholder Perceptions &amp; Sentiments  </w:t>
      </w:r>
    </w:p>
    <w:p w14:paraId="18F66FFF" w14:textId="77777777" w:rsidR="007042D3" w:rsidRPr="005B702B" w:rsidRDefault="007042D3" w:rsidP="007042D3">
      <w:pPr>
        <w:rPr>
          <w:rFonts w:cs="Times New Roman"/>
          <w:sz w:val="22"/>
          <w:szCs w:val="22"/>
        </w:rPr>
      </w:pPr>
      <w:r w:rsidRPr="005B702B">
        <w:rPr>
          <w:rFonts w:cs="Times New Roman"/>
          <w:sz w:val="22"/>
          <w:szCs w:val="22"/>
        </w:rPr>
        <w:t>The GST reform if nothing else demonstrates legitimacy in a way that procures beyond economic or administrative demands. A full evaluation should take in to account the many bodies that were affected. A historical perspective suggests a two-fold narrative. GST was initially disliked due to its steep learning curve, constantly changing legislation, and challenges around service and product classification. But conversation has become better as companies and administrative organizations have begun to share common practices. It has resulted in a gradual shift in attitudes.</w:t>
      </w:r>
    </w:p>
    <w:p w14:paraId="41335996" w14:textId="5B1E1688" w:rsidR="007042D3" w:rsidRPr="005B702B" w:rsidRDefault="007042D3" w:rsidP="007042D3">
      <w:pPr>
        <w:rPr>
          <w:rFonts w:cs="Times New Roman"/>
          <w:sz w:val="22"/>
          <w:szCs w:val="22"/>
        </w:rPr>
      </w:pPr>
      <w:r w:rsidRPr="005B702B">
        <w:rPr>
          <w:rFonts w:cs="Times New Roman"/>
          <w:sz w:val="22"/>
          <w:szCs w:val="22"/>
        </w:rPr>
        <w:t xml:space="preserve">This change is reflected in the most recent Deloitte report GST@8 looking ahead to 2025. Now, 85 percent of the taxpayers say they have a </w:t>
      </w:r>
      <w:r w:rsidR="009A71B5" w:rsidRPr="005B702B">
        <w:rPr>
          <w:rFonts w:cs="Times New Roman"/>
          <w:sz w:val="22"/>
          <w:szCs w:val="22"/>
        </w:rPr>
        <w:t>favourable</w:t>
      </w:r>
      <w:r w:rsidRPr="005B702B">
        <w:rPr>
          <w:rFonts w:cs="Times New Roman"/>
          <w:sz w:val="22"/>
          <w:szCs w:val="22"/>
        </w:rPr>
        <w:t xml:space="preserve"> impression of them, compared to 59 percent in 2022, according to Deloitte’s report. This pleasant shift is attributed to some key reasons: enhancement in digital workflows, less pressure for financial and tax accountants while comforting returns filing, willingness from Revenue authorities, a robust GST Network which has minimized software breakouts that used to create chaos during month-end closures. And all this has boosted confidence in the fiscal system generally. These changes have been instrumental in reconfiguring the fiscal architecture of India</w:t>
      </w:r>
    </w:p>
    <w:p w14:paraId="3404F55F"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drawing>
          <wp:inline distT="0" distB="0" distL="0" distR="0" wp14:anchorId="53C17EEF" wp14:editId="384E3630">
            <wp:extent cx="3345180" cy="2695119"/>
            <wp:effectExtent l="0" t="0" r="7620" b="0"/>
            <wp:docPr id="1402604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04500" name="Picture 1402604500"/>
                    <pic:cNvPicPr/>
                  </pic:nvPicPr>
                  <pic:blipFill rotWithShape="1">
                    <a:blip r:embed="rId8" cstate="print">
                      <a:extLst>
                        <a:ext uri="{28A0092B-C50C-407E-A947-70E740481C1C}">
                          <a14:useLocalDpi xmlns:a14="http://schemas.microsoft.com/office/drawing/2010/main" val="0"/>
                        </a:ext>
                      </a:extLst>
                    </a:blip>
                    <a:srcRect t="14625" b="4808"/>
                    <a:stretch>
                      <a:fillRect/>
                    </a:stretch>
                  </pic:blipFill>
                  <pic:spPr bwMode="auto">
                    <a:xfrm>
                      <a:off x="0" y="0"/>
                      <a:ext cx="3352932" cy="2701364"/>
                    </a:xfrm>
                    <a:prstGeom prst="rect">
                      <a:avLst/>
                    </a:prstGeom>
                    <a:ln>
                      <a:noFill/>
                    </a:ln>
                    <a:extLst>
                      <a:ext uri="{53640926-AAD7-44D8-BBD7-CCE9431645EC}">
                        <a14:shadowObscured xmlns:a14="http://schemas.microsoft.com/office/drawing/2010/main"/>
                      </a:ext>
                    </a:extLst>
                  </pic:spPr>
                </pic:pic>
              </a:graphicData>
            </a:graphic>
          </wp:inline>
        </w:drawing>
      </w:r>
    </w:p>
    <w:p w14:paraId="754C1232" w14:textId="122976AB"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2</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Stakeholder Perceptions of GST – Comparison of Positive Sentiment (2022 vs. 2025).</w:t>
      </w:r>
    </w:p>
    <w:p w14:paraId="1213AA84" w14:textId="1091F12D" w:rsidR="009B7123" w:rsidRPr="005B702B" w:rsidRDefault="009B7123" w:rsidP="009B7123">
      <w:pPr>
        <w:rPr>
          <w:rFonts w:cs="Times New Roman"/>
          <w:sz w:val="22"/>
          <w:szCs w:val="22"/>
        </w:rPr>
      </w:pPr>
      <w:r w:rsidRPr="005B702B">
        <w:rPr>
          <w:rFonts w:cs="Times New Roman"/>
          <w:sz w:val="22"/>
          <w:szCs w:val="22"/>
        </w:rPr>
        <w:lastRenderedPageBreak/>
        <w:t xml:space="preserve">However, further studies indicate that the timeframe of the reform has to be extended. According to the IBEF survey (2025), the business is concerned about classification issues, which continue to occur, reforms to dispute settlement procedures, and variations in state audit of businesses (IBEF 2025). The reason behind this concern is India has got a complex federalism system and the fact that all the states are subject to the GST rules. Each state has varying rules on audits and other like products. This complicates the comprehension of GST law. When a company is not working in a single state, it is likely to pay more to comply with the rules and correct the issues that can require years to be corrected. This could cost a lot. According to recent reports, the prices are expected to decline when it comes to goods. GST 2.0 will commence in 2025 when the rate slabs of packaged foods, electronics and certain cars will be altered. In the long run, this is likely to reduce the expenses of families and ultimately save them money. In the event that the reduced tax burden is distributed throughout the supply chain, it may have an effect of inducing individuals to purchase increased domestic products and </w:t>
      </w:r>
      <w:r w:rsidR="005B702B" w:rsidRPr="005B702B">
        <w:rPr>
          <w:rFonts w:cs="Times New Roman"/>
          <w:sz w:val="22"/>
          <w:szCs w:val="22"/>
        </w:rPr>
        <w:t>fast-moving</w:t>
      </w:r>
      <w:r w:rsidRPr="005B702B">
        <w:rPr>
          <w:rFonts w:cs="Times New Roman"/>
          <w:sz w:val="22"/>
          <w:szCs w:val="22"/>
        </w:rPr>
        <w:t xml:space="preserve"> consumer goods (FMCG). However, this shift may be demanding to certain businesses. The first thing that should be done is to change point-of-sale systems and upgrade enterprise resource planning (ERP) systems. Then, the transitional input tax credits have to be negotiated in the existing supply contracts. </w:t>
      </w:r>
    </w:p>
    <w:p w14:paraId="17813976" w14:textId="77777777" w:rsidR="009B7123" w:rsidRPr="005B702B" w:rsidRDefault="009B7123" w:rsidP="009B7123">
      <w:pPr>
        <w:rPr>
          <w:rFonts w:cs="Times New Roman"/>
          <w:sz w:val="22"/>
          <w:szCs w:val="22"/>
        </w:rPr>
      </w:pPr>
      <w:r w:rsidRPr="005B702B">
        <w:rPr>
          <w:rFonts w:cs="Times New Roman"/>
          <w:sz w:val="22"/>
          <w:szCs w:val="22"/>
        </w:rPr>
        <w:t xml:space="preserve">It is a big step in the development of GSTAT and the law may alter the expectations people have in the future. According to the Times of India, this group that is believed to be significant in simplifying the process of resolving conflicts will begin operations by December 2025. By ensuring that the tax related cases are limited in the High Court, this will help to clear the backlog and also provide the taxpayers and tax authorities with peace of mind. Since GSTAT is a reality, medium and large companies desire tax disputes to be solved within a short time. The leaders and financial heads in these areas are optimistically pessimistic of such changes as they understand that the process may not smoothly pass and that various states may do things in different ways. </w:t>
      </w:r>
    </w:p>
    <w:p w14:paraId="53861D7C" w14:textId="63AD859A" w:rsidR="009B7123" w:rsidRPr="005B702B" w:rsidRDefault="009B7123" w:rsidP="005B702B">
      <w:pPr>
        <w:pStyle w:val="Heading2"/>
        <w:rPr>
          <w:sz w:val="24"/>
          <w:szCs w:val="24"/>
        </w:rPr>
      </w:pPr>
      <w:r w:rsidRPr="005B702B">
        <w:rPr>
          <w:sz w:val="24"/>
          <w:szCs w:val="24"/>
        </w:rPr>
        <w:t xml:space="preserve">5.3 Significant Areas of Concentration and New Themes </w:t>
      </w:r>
    </w:p>
    <w:p w14:paraId="5B261209" w14:textId="77777777" w:rsidR="009B7123" w:rsidRPr="005B702B" w:rsidRDefault="009B7123" w:rsidP="009B7123">
      <w:pPr>
        <w:rPr>
          <w:rFonts w:cs="Times New Roman"/>
          <w:sz w:val="22"/>
          <w:szCs w:val="22"/>
        </w:rPr>
      </w:pPr>
      <w:r w:rsidRPr="005B702B">
        <w:rPr>
          <w:rFonts w:cs="Times New Roman"/>
          <w:sz w:val="22"/>
          <w:szCs w:val="22"/>
        </w:rPr>
        <w:t xml:space="preserve">New concepts exist now regarding the way in which GST 2025 is going to be implemented along with modifications in the regulations and the attitudes of the stakeholders. These themes demonstrate that the hope of the easier system is not exactly the same issues that arise in the real world. They demonstrate the difficulty of striking a balance between the necessity to have more simplistic systems and the challenges that arise when one attempts to utilize them. </w:t>
      </w:r>
    </w:p>
    <w:p w14:paraId="5E8EC400" w14:textId="1D4B0FE5" w:rsidR="009B7123" w:rsidRPr="005B702B" w:rsidRDefault="009B7123" w:rsidP="009B7123">
      <w:pPr>
        <w:rPr>
          <w:rFonts w:cs="Times New Roman"/>
          <w:b/>
          <w:bCs/>
          <w:sz w:val="22"/>
          <w:szCs w:val="22"/>
        </w:rPr>
      </w:pPr>
      <w:r w:rsidRPr="005B702B">
        <w:rPr>
          <w:rFonts w:cs="Times New Roman"/>
          <w:b/>
          <w:bCs/>
          <w:sz w:val="22"/>
          <w:szCs w:val="22"/>
        </w:rPr>
        <w:t xml:space="preserve">Possibility of confusion and distinct classification </w:t>
      </w:r>
    </w:p>
    <w:p w14:paraId="260220F3" w14:textId="23B65D60" w:rsidR="009B7123" w:rsidRPr="005B702B" w:rsidRDefault="009B7123" w:rsidP="009B7123">
      <w:pPr>
        <w:rPr>
          <w:rFonts w:cs="Times New Roman"/>
          <w:sz w:val="22"/>
          <w:szCs w:val="22"/>
        </w:rPr>
      </w:pPr>
      <w:r w:rsidRPr="005B702B">
        <w:rPr>
          <w:rFonts w:cs="Times New Roman"/>
          <w:sz w:val="22"/>
          <w:szCs w:val="22"/>
        </w:rPr>
        <w:t xml:space="preserve">Perhaps it would appear that such changes as making the schedules of rates easier to comprehend and changing the order would help, yet such alterations would increase the risk of classification. The operators that are forced with mixed or composite supply circumstances usually struggle to compute the value of tax they should pay which can be between 5-40 percent. The </w:t>
      </w:r>
      <w:r w:rsidR="00352F6B" w:rsidRPr="005B702B">
        <w:rPr>
          <w:rFonts w:cs="Times New Roman"/>
          <w:sz w:val="22"/>
          <w:szCs w:val="22"/>
        </w:rPr>
        <w:t>number</w:t>
      </w:r>
      <w:r w:rsidRPr="005B702B">
        <w:rPr>
          <w:rFonts w:cs="Times New Roman"/>
          <w:sz w:val="22"/>
          <w:szCs w:val="22"/>
        </w:rPr>
        <w:t xml:space="preserve"> of tariffs that you may be required to pay may vary depending on whether you purchase a car with a long warranty and additional services. Unless you place something under the right category, you may find yourself spending so much money and ruining your reputation and may find yourself in a formal dispute, which would be contrary to the initial intention of making things easier. The tax experts reckon that, with better definitions of the composite and mixed supplies, businesses will find it easier to comply with the rules and to operate their businesses with ease. </w:t>
      </w:r>
    </w:p>
    <w:p w14:paraId="3AB6C1CD" w14:textId="17F496D4" w:rsidR="009B7123" w:rsidRPr="005B702B" w:rsidRDefault="009B7123" w:rsidP="009B7123">
      <w:pPr>
        <w:rPr>
          <w:rFonts w:cs="Times New Roman"/>
          <w:b/>
          <w:bCs/>
          <w:sz w:val="22"/>
          <w:szCs w:val="22"/>
        </w:rPr>
      </w:pPr>
      <w:r w:rsidRPr="005B702B">
        <w:rPr>
          <w:rFonts w:cs="Times New Roman"/>
          <w:b/>
          <w:bCs/>
          <w:sz w:val="22"/>
          <w:szCs w:val="22"/>
        </w:rPr>
        <w:t xml:space="preserve">The effortlessness to adhere to the rules and the difficulty of doing things </w:t>
      </w:r>
    </w:p>
    <w:p w14:paraId="10359FCE" w14:textId="77777777" w:rsidR="009B7123" w:rsidRPr="005B702B" w:rsidRDefault="009B7123" w:rsidP="009B7123">
      <w:pPr>
        <w:rPr>
          <w:rFonts w:cs="Times New Roman"/>
          <w:sz w:val="22"/>
          <w:szCs w:val="22"/>
        </w:rPr>
      </w:pPr>
      <w:r w:rsidRPr="005B702B">
        <w:rPr>
          <w:rFonts w:cs="Times New Roman"/>
          <w:sz w:val="22"/>
          <w:szCs w:val="22"/>
        </w:rPr>
        <w:t xml:space="preserve">When the GST slabs are changed it is easier to memorize them, however, many people believe that it is going to make things more difficult to do. Companies have to alter the manner of invoicing, pricing architectures and ERP systems. They must also modify the manner in which they collect and submit </w:t>
      </w:r>
      <w:r w:rsidRPr="005B702B">
        <w:rPr>
          <w:rFonts w:cs="Times New Roman"/>
          <w:sz w:val="22"/>
          <w:szCs w:val="22"/>
        </w:rPr>
        <w:lastRenderedPageBreak/>
        <w:t xml:space="preserve">reports to customs sales tax and input tax in order to remain within the compliance range. Input tax credits carried over and balanced in the old rate structure may be difficult to carry over and reconcile. The already existing export businesses that are already struggling with paper work may struggle more during this change. The anticipated reduction in the disagreements around the interpretation of slabs, therefore, might be soon overwhelmed by issues on the outside. </w:t>
      </w:r>
    </w:p>
    <w:p w14:paraId="74405C80" w14:textId="77777777" w:rsidR="009B7123" w:rsidRPr="005B702B" w:rsidRDefault="009B7123" w:rsidP="009B7123">
      <w:pPr>
        <w:rPr>
          <w:rFonts w:cs="Times New Roman"/>
          <w:b/>
          <w:bCs/>
          <w:sz w:val="22"/>
          <w:szCs w:val="22"/>
        </w:rPr>
      </w:pPr>
      <w:r w:rsidRPr="005B702B">
        <w:rPr>
          <w:rFonts w:cs="Times New Roman"/>
          <w:b/>
          <w:bCs/>
          <w:sz w:val="22"/>
          <w:szCs w:val="22"/>
        </w:rPr>
        <w:t xml:space="preserve">Different areas </w:t>
      </w:r>
    </w:p>
    <w:p w14:paraId="6429A351" w14:textId="46523996" w:rsidR="009B7123" w:rsidRPr="005B702B" w:rsidRDefault="009B7123" w:rsidP="009B7123">
      <w:pPr>
        <w:rPr>
          <w:rFonts w:cs="Times New Roman"/>
          <w:sz w:val="22"/>
          <w:szCs w:val="22"/>
        </w:rPr>
      </w:pPr>
      <w:r w:rsidRPr="005B702B">
        <w:rPr>
          <w:rFonts w:cs="Times New Roman"/>
          <w:sz w:val="22"/>
          <w:szCs w:val="22"/>
        </w:rPr>
        <w:t xml:space="preserve">The changes of GST 2025 do not have the same effect on the entire economy. Car dealerships are not sure where to put and what the value of luxury goods is since there is no </w:t>
      </w:r>
      <w:r w:rsidR="005B702B" w:rsidRPr="005B702B">
        <w:rPr>
          <w:rFonts w:cs="Times New Roman"/>
          <w:sz w:val="22"/>
          <w:szCs w:val="22"/>
        </w:rPr>
        <w:t>clear-cut</w:t>
      </w:r>
      <w:r w:rsidRPr="005B702B">
        <w:rPr>
          <w:rFonts w:cs="Times New Roman"/>
          <w:sz w:val="22"/>
          <w:szCs w:val="22"/>
        </w:rPr>
        <w:t xml:space="preserve"> rule. In the same way, the already existing exemptions in real estate, infrastructure, and healthcare may also be a matter of dispute due to the issues that were present prior to the changes and remain to be present after the changes. This demonstrates that simplifying things must be an </w:t>
      </w:r>
      <w:r w:rsidR="009A71B5" w:rsidRPr="005B702B">
        <w:rPr>
          <w:rFonts w:cs="Times New Roman"/>
          <w:sz w:val="22"/>
          <w:szCs w:val="22"/>
        </w:rPr>
        <w:t>endeavour</w:t>
      </w:r>
      <w:r w:rsidRPr="005B702B">
        <w:rPr>
          <w:rFonts w:cs="Times New Roman"/>
          <w:sz w:val="22"/>
          <w:szCs w:val="22"/>
        </w:rPr>
        <w:t xml:space="preserve"> that is undertaken repeatedly rather than at one instance. </w:t>
      </w:r>
    </w:p>
    <w:p w14:paraId="2C6B4E31" w14:textId="77777777" w:rsidR="009B7123" w:rsidRPr="005B702B" w:rsidRDefault="009B7123" w:rsidP="009B7123">
      <w:pPr>
        <w:rPr>
          <w:rFonts w:cs="Times New Roman"/>
          <w:b/>
          <w:bCs/>
          <w:sz w:val="22"/>
          <w:szCs w:val="22"/>
        </w:rPr>
      </w:pPr>
      <w:r w:rsidRPr="005B702B">
        <w:rPr>
          <w:rFonts w:cs="Times New Roman"/>
          <w:b/>
          <w:bCs/>
          <w:sz w:val="22"/>
          <w:szCs w:val="22"/>
        </w:rPr>
        <w:t xml:space="preserve">Budget Offset </w:t>
      </w:r>
    </w:p>
    <w:p w14:paraId="2BA379A1" w14:textId="77777777" w:rsidR="009B7123" w:rsidRPr="005B702B" w:rsidRDefault="009B7123" w:rsidP="009B7123">
      <w:pPr>
        <w:rPr>
          <w:rFonts w:cs="Times New Roman"/>
          <w:sz w:val="22"/>
          <w:szCs w:val="22"/>
        </w:rPr>
      </w:pPr>
      <w:r w:rsidRPr="005B702B">
        <w:rPr>
          <w:rFonts w:cs="Times New Roman"/>
          <w:sz w:val="22"/>
          <w:szCs w:val="22"/>
        </w:rPr>
        <w:t xml:space="preserve">A decrease in revenue of the anticipated Rs48,000 crore continues to hit fiscal planning (Economic Times 2025; Reuters 2025). The Treasury department is forced to seek alternative methods to earn money such as the expansion of the tax base, ensuring individuals comply with the regulations and exploring other methods of earning money without imposing taxes (Economic Times 2025; Reuters 2025). The primary aim of the reform is to ensure that the budget remains in check besides stimulating the economic growth that the Goods and Services tax can facilitate. </w:t>
      </w:r>
    </w:p>
    <w:p w14:paraId="397DE86F" w14:textId="77777777" w:rsidR="009B7123" w:rsidRPr="005B702B" w:rsidRDefault="009B7123" w:rsidP="009B7123">
      <w:pPr>
        <w:rPr>
          <w:rFonts w:cs="Times New Roman"/>
          <w:b/>
          <w:bCs/>
          <w:sz w:val="22"/>
          <w:szCs w:val="22"/>
        </w:rPr>
      </w:pPr>
      <w:r w:rsidRPr="005B702B">
        <w:rPr>
          <w:rFonts w:cs="Times New Roman"/>
          <w:b/>
          <w:bCs/>
          <w:sz w:val="22"/>
          <w:szCs w:val="22"/>
        </w:rPr>
        <w:t xml:space="preserve">Settling disputes and law suits. </w:t>
      </w:r>
    </w:p>
    <w:p w14:paraId="7701300D" w14:textId="769A72AC" w:rsidR="007042D3" w:rsidRPr="005B702B" w:rsidRDefault="009B7123" w:rsidP="007042D3">
      <w:pPr>
        <w:rPr>
          <w:rFonts w:cs="Times New Roman"/>
          <w:sz w:val="22"/>
          <w:szCs w:val="22"/>
        </w:rPr>
      </w:pPr>
      <w:r w:rsidRPr="005B702B">
        <w:rPr>
          <w:rFonts w:cs="Times New Roman"/>
          <w:sz w:val="22"/>
          <w:szCs w:val="22"/>
        </w:rPr>
        <w:t xml:space="preserve">Ever since the establishment of GSTAT, there has been an evident decline in indirect tax network lawsuits (Times of India 2025). A bench of appellate officials should aid in clearing up confusion and accelerate the </w:t>
      </w:r>
      <w:r w:rsidR="005B702B" w:rsidRPr="005B702B">
        <w:rPr>
          <w:rFonts w:cs="Times New Roman"/>
          <w:sz w:val="22"/>
          <w:szCs w:val="22"/>
        </w:rPr>
        <w:t>decision-making</w:t>
      </w:r>
      <w:r w:rsidRPr="005B702B">
        <w:rPr>
          <w:rFonts w:cs="Times New Roman"/>
          <w:sz w:val="22"/>
          <w:szCs w:val="22"/>
        </w:rPr>
        <w:t xml:space="preserve"> process. The protracted taxation fights may occupy much working capital making it difficult to the business to meet bills as well as expand capital. In case the appeals process </w:t>
      </w:r>
      <w:proofErr w:type="gramStart"/>
      <w:r w:rsidRPr="005B702B">
        <w:rPr>
          <w:rFonts w:cs="Times New Roman"/>
          <w:sz w:val="22"/>
          <w:szCs w:val="22"/>
        </w:rPr>
        <w:t>were</w:t>
      </w:r>
      <w:proofErr w:type="gramEnd"/>
      <w:r w:rsidRPr="005B702B">
        <w:rPr>
          <w:rFonts w:cs="Times New Roman"/>
          <w:sz w:val="22"/>
          <w:szCs w:val="22"/>
        </w:rPr>
        <w:t xml:space="preserve"> expedited, investors and businesses would be more confident and stable in the indirect tax system of </w:t>
      </w:r>
      <w:r w:rsidR="009A71B5" w:rsidRPr="005B702B">
        <w:rPr>
          <w:rFonts w:cs="Times New Roman"/>
          <w:sz w:val="22"/>
          <w:szCs w:val="22"/>
        </w:rPr>
        <w:t>India.</w:t>
      </w:r>
    </w:p>
    <w:p w14:paraId="0647B718" w14:textId="241197DF" w:rsidR="00B815A8" w:rsidRPr="005B702B" w:rsidRDefault="008B30D4" w:rsidP="008B30D4">
      <w:pPr>
        <w:pStyle w:val="Heading1"/>
        <w:rPr>
          <w:rFonts w:cs="Times New Roman"/>
          <w:sz w:val="28"/>
          <w:szCs w:val="28"/>
        </w:rPr>
      </w:pPr>
      <w:r w:rsidRPr="005B702B">
        <w:rPr>
          <w:rFonts w:cs="Times New Roman"/>
          <w:sz w:val="28"/>
          <w:szCs w:val="28"/>
        </w:rPr>
        <w:t>6</w:t>
      </w:r>
      <w:r w:rsidR="00B815A8" w:rsidRPr="005B702B">
        <w:rPr>
          <w:rFonts w:cs="Times New Roman"/>
          <w:sz w:val="28"/>
          <w:szCs w:val="28"/>
        </w:rPr>
        <w:t xml:space="preserve">. </w:t>
      </w:r>
      <w:r w:rsidR="003C6AB9">
        <w:rPr>
          <w:rFonts w:cs="Times New Roman"/>
          <w:sz w:val="28"/>
          <w:szCs w:val="28"/>
        </w:rPr>
        <w:t>DISCUSSION</w:t>
      </w:r>
    </w:p>
    <w:p w14:paraId="43448B43" w14:textId="51D6CF61" w:rsidR="00B815A8" w:rsidRPr="005B702B" w:rsidRDefault="008B30D4" w:rsidP="008B30D4">
      <w:pPr>
        <w:pStyle w:val="Heading2"/>
        <w:rPr>
          <w:rFonts w:cs="Times New Roman"/>
          <w:sz w:val="24"/>
          <w:szCs w:val="24"/>
        </w:rPr>
      </w:pPr>
      <w:r w:rsidRPr="005B702B">
        <w:rPr>
          <w:rFonts w:cs="Times New Roman"/>
          <w:sz w:val="24"/>
          <w:szCs w:val="24"/>
        </w:rPr>
        <w:t>6</w:t>
      </w:r>
      <w:r w:rsidR="00B815A8" w:rsidRPr="005B702B">
        <w:rPr>
          <w:rFonts w:cs="Times New Roman"/>
          <w:sz w:val="24"/>
          <w:szCs w:val="24"/>
        </w:rPr>
        <w:t xml:space="preserve">.1 Simplification Gains vs. Residual Complexity  </w:t>
      </w:r>
    </w:p>
    <w:p w14:paraId="768D65D3" w14:textId="4C261FAE" w:rsidR="00B815A8" w:rsidRPr="005B702B" w:rsidRDefault="00B815A8" w:rsidP="00B815A8">
      <w:pPr>
        <w:rPr>
          <w:rFonts w:cs="Times New Roman"/>
          <w:sz w:val="22"/>
          <w:szCs w:val="22"/>
        </w:rPr>
      </w:pPr>
      <w:r w:rsidRPr="005B702B">
        <w:rPr>
          <w:rFonts w:cs="Times New Roman"/>
          <w:sz w:val="22"/>
          <w:szCs w:val="22"/>
        </w:rPr>
        <w:t xml:space="preserve">With respect to some parameters of simplification gains, reforms under GST 2025 does demonstrate value. The policy changes concerning the consolidation of the four primary slabs (5%,12%, 18%, 28%) to just two primary slabs (5% and 18 %) and a higher 40% slab on demerit goods means the policymakers have considered the cognitive load in the tax slab selection (Reuters, 2025; see also Reuters, 2025). For years, the businesses in the informal sector have complained of the disputes that arose not from tax evasion but from the overlapping slabs. The scope of reforms to address the overlapping slabs and tax slab confusion is significant.  </w:t>
      </w:r>
    </w:p>
    <w:p w14:paraId="6958E52C" w14:textId="1FDBA8AB" w:rsidR="00B815A8" w:rsidRPr="005B702B" w:rsidRDefault="00B815A8" w:rsidP="00B815A8">
      <w:pPr>
        <w:rPr>
          <w:rFonts w:cs="Times New Roman"/>
          <w:sz w:val="22"/>
          <w:szCs w:val="22"/>
        </w:rPr>
      </w:pPr>
      <w:r w:rsidRPr="005B702B">
        <w:rPr>
          <w:rFonts w:cs="Times New Roman"/>
          <w:sz w:val="22"/>
          <w:szCs w:val="22"/>
        </w:rPr>
        <w:t xml:space="preserve">In line with the GST reforms, the cancellation of the GST compensation cess that placed an additional surcharge on luxury and sin goods also provides an indication that the layering of levies which circles complex consumer pricing and invoicing is on the path to simplification (India Briefing, 2025). Businesses now face a clearer and </w:t>
      </w:r>
      <w:r w:rsidR="00352F6B" w:rsidRPr="005B702B">
        <w:rPr>
          <w:rFonts w:cs="Times New Roman"/>
          <w:sz w:val="22"/>
          <w:szCs w:val="22"/>
        </w:rPr>
        <w:t>simpler</w:t>
      </w:r>
      <w:r w:rsidRPr="005B702B">
        <w:rPr>
          <w:rFonts w:cs="Times New Roman"/>
          <w:sz w:val="22"/>
          <w:szCs w:val="22"/>
        </w:rPr>
        <w:t xml:space="preserve"> rate structure that is more transparent, more compliant, and brings India's indirect taxation to the GSOT 2025 reforms more to the international best practices.</w:t>
      </w:r>
    </w:p>
    <w:p w14:paraId="18A611E4" w14:textId="77777777" w:rsidR="00F7758D" w:rsidRPr="005B702B" w:rsidRDefault="00F7758D" w:rsidP="00F7758D">
      <w:pPr>
        <w:rPr>
          <w:rFonts w:cs="Times New Roman"/>
          <w:sz w:val="22"/>
          <w:szCs w:val="22"/>
        </w:rPr>
      </w:pPr>
      <w:r w:rsidRPr="005B702B">
        <w:rPr>
          <w:rFonts w:cs="Times New Roman"/>
          <w:sz w:val="22"/>
          <w:szCs w:val="22"/>
        </w:rPr>
        <w:lastRenderedPageBreak/>
        <w:t xml:space="preserve">Stakeholder surveys indicate that there is a feeling of progress. The respondents showed that they had a positive perception of the GST system. According to Deloitte (2025), the positive perceptions increased by 26% (85) as compared to 59% within a span of only 3 years. This implies that taxpayers feel that the system is not very complex and simple to navigate. This good feeling is significant. It is a message to businesses that the changes introduced to the system are attentive to their needs, which contributes to the enhancement of the compliance culture (Deloitte, 2025). </w:t>
      </w:r>
    </w:p>
    <w:p w14:paraId="360924A1" w14:textId="77777777" w:rsidR="00F7758D" w:rsidRPr="005B702B" w:rsidRDefault="00F7758D" w:rsidP="00F7758D">
      <w:pPr>
        <w:rPr>
          <w:rFonts w:cs="Times New Roman"/>
          <w:sz w:val="22"/>
          <w:szCs w:val="22"/>
        </w:rPr>
      </w:pPr>
      <w:r w:rsidRPr="005B702B">
        <w:rPr>
          <w:rFonts w:cs="Times New Roman"/>
          <w:sz w:val="22"/>
          <w:szCs w:val="22"/>
        </w:rPr>
        <w:t xml:space="preserve">Though, the improvements have taken place, there are still new and residual complications. The list of dangers that constrain the simplification narrative is the following ones.  </w:t>
      </w:r>
    </w:p>
    <w:p w14:paraId="17CF154C" w14:textId="05601D50" w:rsidR="00F7758D" w:rsidRPr="005B702B" w:rsidRDefault="00F7758D" w:rsidP="00F7758D">
      <w:pPr>
        <w:rPr>
          <w:rFonts w:cs="Times New Roman"/>
          <w:sz w:val="22"/>
          <w:szCs w:val="22"/>
        </w:rPr>
      </w:pPr>
      <w:r w:rsidRPr="005B702B">
        <w:rPr>
          <w:rFonts w:cs="Times New Roman"/>
          <w:sz w:val="22"/>
          <w:szCs w:val="22"/>
        </w:rPr>
        <w:t xml:space="preserve">The issue of classification ambiguity remains as a major problem. Although the number of rate choices is lower, it will still be complicated as to which in three rates: 5, 18 or 40 percent applies on a specific good. Interpretive disputes are very likely in case of mixed or composite supplies. Using the example, it is complex to understand whether a restaurant that provides food delivery and service cost bundles is completely less than 5 per cent or half less than 18 per cent. These are some of the </w:t>
      </w:r>
      <w:r w:rsidR="005B702B" w:rsidRPr="005B702B">
        <w:rPr>
          <w:rFonts w:cs="Times New Roman"/>
          <w:sz w:val="22"/>
          <w:szCs w:val="22"/>
        </w:rPr>
        <w:t>simplifications</w:t>
      </w:r>
      <w:r w:rsidRPr="005B702B">
        <w:rPr>
          <w:rFonts w:cs="Times New Roman"/>
          <w:sz w:val="22"/>
          <w:szCs w:val="22"/>
        </w:rPr>
        <w:t xml:space="preserve"> that blurred structural confusion but there is interpretive ambiguity. (Reuters, 2025; Reuters, 2025).</w:t>
      </w:r>
    </w:p>
    <w:p w14:paraId="7E70D228" w14:textId="77777777" w:rsidR="00F7758D" w:rsidRPr="005B702B" w:rsidRDefault="00F7758D" w:rsidP="00F7758D">
      <w:pPr>
        <w:rPr>
          <w:rFonts w:cs="Times New Roman"/>
          <w:sz w:val="22"/>
          <w:szCs w:val="22"/>
        </w:rPr>
      </w:pPr>
      <w:r w:rsidRPr="005B702B">
        <w:rPr>
          <w:rFonts w:cs="Times New Roman"/>
          <w:sz w:val="22"/>
          <w:szCs w:val="22"/>
        </w:rPr>
        <w:t xml:space="preserve">The character of the refunds and transitions is complicated and such cases are other problems. The new RTA of transition inputs, unsold inventory treatment and reclassification of invoices under new rates may cause procedural issues. Refund processes are slow in export-led industries, and are expected to make the refunds even slower, which will harm the projected benefits of the reforms (Pro Analyser, 2025).  </w:t>
      </w:r>
    </w:p>
    <w:p w14:paraId="3A200EF0" w14:textId="6DF23E5A" w:rsidR="00F7758D" w:rsidRPr="005B702B" w:rsidRDefault="00F7758D" w:rsidP="00F7758D">
      <w:pPr>
        <w:rPr>
          <w:rFonts w:cs="Times New Roman"/>
          <w:sz w:val="22"/>
          <w:szCs w:val="22"/>
        </w:rPr>
      </w:pPr>
      <w:r w:rsidRPr="005B702B">
        <w:rPr>
          <w:rFonts w:cs="Times New Roman"/>
          <w:sz w:val="22"/>
          <w:szCs w:val="22"/>
        </w:rPr>
        <w:t>Sectoral differences are also made with respect to the effects of the GST. The automobile industry, in particular, is glad to see a decrease of taxes on small and mid-sized cars, which will probably boost the demand among consumers. The luxury car demand may however fall since they will fall under the 40 per cent slab. There are also difficulties in the apparel sphere, where the clothes that cost higher than 2,500 will now be within the 18% bracket that will negatively affect the branded clothing companies that cater to the urban middle-income group (Reuters, 2025; Reuters, 2025). This is GST tax duality; as the low rates the more industries and sectors are exposed to compliance costs and risk, other merely need to resolve the compliance problems</w:t>
      </w:r>
    </w:p>
    <w:p w14:paraId="58B18E2B" w14:textId="02B70D3A" w:rsidR="00B815A8" w:rsidRPr="005B702B" w:rsidRDefault="00B815A8" w:rsidP="00F7758D">
      <w:pPr>
        <w:jc w:val="left"/>
        <w:rPr>
          <w:rFonts w:cs="Times New Roman"/>
          <w:sz w:val="22"/>
          <w:szCs w:val="22"/>
        </w:rPr>
      </w:pPr>
      <w:r w:rsidRPr="005B702B">
        <w:rPr>
          <w:rFonts w:cs="Times New Roman"/>
          <w:sz w:val="22"/>
          <w:szCs w:val="22"/>
        </w:rPr>
        <w:t>Finally, macroeconomic trade-offs arise from fiscal pressures caused by the estimated revenue loss of ₹48,000 crore. States that heavily depend on GST revenues are worried about how rate cuts could affect their fiscal stability (Reuters, 2025). Such friction in the relationship between the Union and the states adds political and financial-</w:t>
      </w:r>
      <w:r w:rsidR="00887D84">
        <w:rPr>
          <w:rFonts w:cs="Times New Roman"/>
          <w:sz w:val="22"/>
          <w:szCs w:val="22"/>
        </w:rPr>
        <w:t>innovation</w:t>
      </w:r>
      <w:r w:rsidRPr="005B702B">
        <w:rPr>
          <w:rFonts w:cs="Times New Roman"/>
          <w:sz w:val="22"/>
          <w:szCs w:val="22"/>
        </w:rPr>
        <w:t xml:space="preserve"> to the reform. The lack of unsustainable compensatory simplification mechanisms suggests that the other side of the integration reform trade-offs has not been exposed.</w:t>
      </w:r>
    </w:p>
    <w:p w14:paraId="7E18E8A4" w14:textId="486B46D2" w:rsidR="00B815A8" w:rsidRPr="005B702B" w:rsidRDefault="00B815A8" w:rsidP="00B815A8">
      <w:pPr>
        <w:rPr>
          <w:rFonts w:cs="Times New Roman"/>
          <w:sz w:val="22"/>
          <w:szCs w:val="22"/>
        </w:rPr>
      </w:pPr>
      <w:r w:rsidRPr="005B702B">
        <w:rPr>
          <w:rFonts w:cs="Times New Roman"/>
          <w:sz w:val="22"/>
          <w:szCs w:val="22"/>
        </w:rPr>
        <w:t>To conclude, the simplification of GST 2025 has been implemented, though, the impacts are more conceptual than as a full restorative action. The visible structural complexity is but a shell of complexity that the core has yet to accept.</w:t>
      </w:r>
    </w:p>
    <w:p w14:paraId="764AFCF2"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lastRenderedPageBreak/>
        <w:drawing>
          <wp:inline distT="0" distB="0" distL="0" distR="0" wp14:anchorId="77548935" wp14:editId="6238CE46">
            <wp:extent cx="4091940" cy="3187959"/>
            <wp:effectExtent l="0" t="0" r="3810" b="0"/>
            <wp:docPr id="1133436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36547" name="Picture 1133436547"/>
                    <pic:cNvPicPr/>
                  </pic:nvPicPr>
                  <pic:blipFill rotWithShape="1">
                    <a:blip r:embed="rId9" cstate="print">
                      <a:extLst>
                        <a:ext uri="{28A0092B-C50C-407E-A947-70E740481C1C}">
                          <a14:useLocalDpi xmlns:a14="http://schemas.microsoft.com/office/drawing/2010/main" val="0"/>
                        </a:ext>
                      </a:extLst>
                    </a:blip>
                    <a:srcRect t="11167" b="10924"/>
                    <a:stretch>
                      <a:fillRect/>
                    </a:stretch>
                  </pic:blipFill>
                  <pic:spPr bwMode="auto">
                    <a:xfrm>
                      <a:off x="0" y="0"/>
                      <a:ext cx="4106303" cy="3199149"/>
                    </a:xfrm>
                    <a:prstGeom prst="rect">
                      <a:avLst/>
                    </a:prstGeom>
                    <a:ln>
                      <a:noFill/>
                    </a:ln>
                    <a:extLst>
                      <a:ext uri="{53640926-AAD7-44D8-BBD7-CCE9431645EC}">
                        <a14:shadowObscured xmlns:a14="http://schemas.microsoft.com/office/drawing/2010/main"/>
                      </a:ext>
                    </a:extLst>
                  </pic:spPr>
                </pic:pic>
              </a:graphicData>
            </a:graphic>
          </wp:inline>
        </w:drawing>
      </w:r>
    </w:p>
    <w:p w14:paraId="6BFC41D0" w14:textId="61BDCE4C"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3</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Conceptual Framework Illustrating Gains in Simplification vs. Persisting Operational Complexities under GST 2025.</w:t>
      </w:r>
    </w:p>
    <w:p w14:paraId="08C6F5FD" w14:textId="71D355C6" w:rsidR="00B815A8" w:rsidRPr="005B702B" w:rsidRDefault="008B30D4" w:rsidP="005B702B">
      <w:pPr>
        <w:pStyle w:val="Heading2"/>
        <w:rPr>
          <w:rFonts w:cs="Times New Roman"/>
          <w:sz w:val="24"/>
          <w:szCs w:val="24"/>
        </w:rPr>
      </w:pPr>
      <w:r w:rsidRPr="005B702B">
        <w:rPr>
          <w:rFonts w:cs="Times New Roman"/>
          <w:sz w:val="24"/>
          <w:szCs w:val="24"/>
        </w:rPr>
        <w:t>6</w:t>
      </w:r>
      <w:r w:rsidR="00B815A8" w:rsidRPr="005B702B">
        <w:rPr>
          <w:rFonts w:cs="Times New Roman"/>
          <w:sz w:val="24"/>
          <w:szCs w:val="24"/>
        </w:rPr>
        <w:t>.2. Comparing Theoretical &amp; Empirical Literature</w:t>
      </w:r>
    </w:p>
    <w:p w14:paraId="4C5E4418" w14:textId="77777777" w:rsidR="009A71B5" w:rsidRDefault="009A71B5" w:rsidP="00F96AE7">
      <w:pPr>
        <w:rPr>
          <w:rFonts w:cs="Times New Roman"/>
          <w:sz w:val="22"/>
          <w:szCs w:val="22"/>
        </w:rPr>
      </w:pPr>
      <w:r w:rsidRPr="009A71B5">
        <w:rPr>
          <w:rFonts w:cs="Times New Roman"/>
          <w:sz w:val="22"/>
          <w:szCs w:val="22"/>
        </w:rPr>
        <w:t>This paper is based on existing theoretical and empirical literature. The equity–complexity trade-off theory, developed by Rajagopalan (2023), contends that although simplification improves an administrative system's effectiveness and transparency, it also has drawbacks since disagreements over classification and interpretation cannot be completely resolved. The intricacies of the GST system in 2025 offer proof of this theory's applicability.</w:t>
      </w:r>
    </w:p>
    <w:p w14:paraId="30159E6B" w14:textId="2CCCEAF3" w:rsidR="00F96AE7" w:rsidRPr="005B702B" w:rsidRDefault="00F96AE7" w:rsidP="00F96AE7">
      <w:pPr>
        <w:rPr>
          <w:rFonts w:cs="Times New Roman"/>
          <w:sz w:val="22"/>
          <w:szCs w:val="22"/>
        </w:rPr>
      </w:pPr>
      <w:r w:rsidRPr="005B702B">
        <w:rPr>
          <w:rFonts w:cs="Times New Roman"/>
          <w:sz w:val="22"/>
          <w:szCs w:val="22"/>
        </w:rPr>
        <w:t xml:space="preserve">Similarly, the outcomes are consistent with those of </w:t>
      </w:r>
      <w:proofErr w:type="spellStart"/>
      <w:r w:rsidRPr="005B702B">
        <w:rPr>
          <w:rFonts w:cs="Times New Roman"/>
          <w:sz w:val="22"/>
          <w:szCs w:val="22"/>
        </w:rPr>
        <w:t>Neetha</w:t>
      </w:r>
      <w:proofErr w:type="spellEnd"/>
      <w:r w:rsidRPr="005B702B">
        <w:rPr>
          <w:rFonts w:cs="Times New Roman"/>
          <w:sz w:val="22"/>
          <w:szCs w:val="22"/>
        </w:rPr>
        <w:t xml:space="preserve"> Sai and Sundar (2024): tax professionals like the manner in which streamlined systems are established and how they appear, but they nonetheless have to solve procedural, system, and compliance issues. That is why some stakeholders, despite their support of reforms, desire to have more clear and specific rules, quicker means of resolving conflicts, and more efficient IT systems to resolve any conflict.</w:t>
      </w:r>
    </w:p>
    <w:p w14:paraId="486B2A70" w14:textId="77777777" w:rsidR="00F96AE7" w:rsidRPr="005B702B" w:rsidRDefault="00F96AE7" w:rsidP="00F96AE7">
      <w:pPr>
        <w:rPr>
          <w:rFonts w:cs="Times New Roman"/>
          <w:sz w:val="22"/>
          <w:szCs w:val="22"/>
        </w:rPr>
      </w:pPr>
      <w:r w:rsidRPr="005B702B">
        <w:rPr>
          <w:rFonts w:cs="Times New Roman"/>
          <w:sz w:val="22"/>
          <w:szCs w:val="22"/>
        </w:rPr>
        <w:t xml:space="preserve">The compliance costs of smaller companies and the informal sector players were also addressed in earlier research. Singh and Singh (2024) highlighted that small business is particularly disadvantaged when it comes to compliance burden in GST, since they possess small-scale accounting coping and digital infrastructure. In the same manner, </w:t>
      </w:r>
      <w:proofErr w:type="spellStart"/>
      <w:r w:rsidRPr="005B702B">
        <w:rPr>
          <w:rFonts w:cs="Times New Roman"/>
          <w:sz w:val="22"/>
          <w:szCs w:val="22"/>
        </w:rPr>
        <w:t>Kesari</w:t>
      </w:r>
      <w:proofErr w:type="spellEnd"/>
      <w:r w:rsidRPr="005B702B">
        <w:rPr>
          <w:rFonts w:cs="Times New Roman"/>
          <w:sz w:val="22"/>
          <w:szCs w:val="22"/>
        </w:rPr>
        <w:t xml:space="preserve"> (2025) demonstrated that all the well-meaning simplifications that are aimed at alleviating the burden on smaller organizations are usually counterproductive in the period of transition. These remarks indicate that GST 2025 was put in place and enacted to the overall positive applause, yet it is not benefiting all types of taxpayers equally. The benefits in the transition period are more likely to burden small, complex tax departments within larger corporations to have the smaller groups experience the weight. </w:t>
      </w:r>
    </w:p>
    <w:p w14:paraId="5247F409" w14:textId="77777777" w:rsidR="00F96AE7" w:rsidRPr="005B702B" w:rsidRDefault="00F96AE7" w:rsidP="00F96AE7">
      <w:pPr>
        <w:rPr>
          <w:rFonts w:cs="Times New Roman"/>
          <w:sz w:val="22"/>
          <w:szCs w:val="22"/>
        </w:rPr>
      </w:pPr>
      <w:r w:rsidRPr="005B702B">
        <w:rPr>
          <w:rFonts w:cs="Times New Roman"/>
          <w:sz w:val="22"/>
          <w:szCs w:val="22"/>
        </w:rPr>
        <w:t>The effects of GST 2025, thus, do not only add value to the current literature by expanding the same to demonstrate how the simplification of the GST system shifted the focus of complexity to the procedural complexity, transition issues, and imbalances within the sectors.</w:t>
      </w:r>
    </w:p>
    <w:p w14:paraId="2D69E5F2" w14:textId="43831CCC" w:rsidR="00F96AE7" w:rsidRPr="005B702B" w:rsidRDefault="00F96AE7" w:rsidP="005B702B">
      <w:pPr>
        <w:pStyle w:val="Heading2"/>
        <w:rPr>
          <w:rFonts w:cs="Times New Roman"/>
          <w:sz w:val="24"/>
          <w:szCs w:val="24"/>
        </w:rPr>
      </w:pPr>
      <w:r w:rsidRPr="005B702B">
        <w:rPr>
          <w:rFonts w:cs="Times New Roman"/>
          <w:sz w:val="24"/>
          <w:szCs w:val="24"/>
        </w:rPr>
        <w:lastRenderedPageBreak/>
        <w:t>6.3 Compliance Behaviour and Trust in Tax Administration Implications</w:t>
      </w:r>
    </w:p>
    <w:p w14:paraId="52A7453D" w14:textId="77777777" w:rsidR="00F96AE7" w:rsidRPr="005B702B" w:rsidRDefault="00F96AE7" w:rsidP="00F96AE7">
      <w:pPr>
        <w:rPr>
          <w:rFonts w:cs="Times New Roman"/>
          <w:sz w:val="22"/>
          <w:szCs w:val="22"/>
        </w:rPr>
      </w:pPr>
      <w:r w:rsidRPr="005B702B">
        <w:rPr>
          <w:rFonts w:cs="Times New Roman"/>
          <w:sz w:val="22"/>
          <w:szCs w:val="22"/>
        </w:rPr>
        <w:t>The alterations in the taxpayer compliance behaviour are likely to be the most notable implication of GST 2025. The degree of voluntary acquiescence and reporting diligence is likely to increase to a greater degree of voluntary compliance with taxpayer in the event of honest reporting and tax evasion when tax administration is viewed as uncomplicated, fair and transparent. Therefore, under the possible reporting of tax evasion, the removal of any cesses and the creation of tax slabs into a single entity will result in the reporting of goodwill and honest tax evasion in a large number of accounts. This goodwill will be portrayed positively in the reports like the ones of Deloitte (2025).</w:t>
      </w:r>
    </w:p>
    <w:p w14:paraId="76180435" w14:textId="77777777" w:rsidR="00F96AE7" w:rsidRPr="005B702B" w:rsidRDefault="00F96AE7" w:rsidP="00F96AE7">
      <w:pPr>
        <w:rPr>
          <w:rFonts w:cs="Times New Roman"/>
          <w:sz w:val="22"/>
          <w:szCs w:val="22"/>
        </w:rPr>
      </w:pPr>
      <w:r w:rsidRPr="005B702B">
        <w:rPr>
          <w:rFonts w:cs="Times New Roman"/>
          <w:sz w:val="22"/>
          <w:szCs w:val="22"/>
        </w:rPr>
        <w:t>Nevertheless, unacceptable GST compliance behaviour and unfriendly taxpayer reporting attitudes can be developed due to the loss of confidence and trust. When the taxpayer compliance behaviour is counterproductive, then it is probably because of classification ambiguity and the less frequency of disputes that tax authorities are likely to face when it comes to tax dispute. Therefore, taxpayer and trust simplification can no longer be an independent factor to facilitate compliance. It should also be made easier with regard to the daily tax reporting to reduce the loss of trust.</w:t>
      </w:r>
    </w:p>
    <w:p w14:paraId="1266574C" w14:textId="77777777" w:rsidR="00F96AE7" w:rsidRPr="005B702B" w:rsidRDefault="00F96AE7" w:rsidP="00F96AE7">
      <w:pPr>
        <w:rPr>
          <w:rFonts w:cs="Times New Roman"/>
          <w:sz w:val="22"/>
          <w:szCs w:val="22"/>
        </w:rPr>
      </w:pPr>
      <w:r w:rsidRPr="005B702B">
        <w:rPr>
          <w:rFonts w:cs="Times New Roman"/>
          <w:sz w:val="22"/>
          <w:szCs w:val="22"/>
        </w:rPr>
        <w:t>Another institutional protection to ensure that the taxpayer has trust is the operationalisation of the GST Appellate Tribunal (GSTAT). When the timely and consistent provision of reports to GSTAT is a given the rulings in the tribunal are transparent and trust is built in the administration of taxes. Consolidation of governance will be tested by the success of the tribunal since reporting of compliance will be made easier to the taxpayers. Conversely, the lack of transparency and speediness in the decisions made by the tribunal will nullify any trust benefits accrued to date with the structural simplification of the tribunal and will eviscerate taxpayer trust.</w:t>
      </w:r>
    </w:p>
    <w:p w14:paraId="7B2FC39D" w14:textId="77777777" w:rsidR="00F96AE7" w:rsidRPr="005B702B" w:rsidRDefault="00F96AE7" w:rsidP="00F96AE7">
      <w:pPr>
        <w:rPr>
          <w:rFonts w:cs="Times New Roman"/>
          <w:sz w:val="22"/>
          <w:szCs w:val="22"/>
        </w:rPr>
      </w:pPr>
      <w:r w:rsidRPr="005B702B">
        <w:rPr>
          <w:rFonts w:cs="Times New Roman"/>
          <w:sz w:val="22"/>
          <w:szCs w:val="22"/>
        </w:rPr>
        <w:t>Formal structure of GST 2025 will not have much influence on compliance behaviour until there is understanding of procedural execution, dispute resolution and transitional management.</w:t>
      </w:r>
    </w:p>
    <w:p w14:paraId="72706966" w14:textId="0CB74489" w:rsidR="00F96AE7" w:rsidRPr="005B702B" w:rsidRDefault="00F96AE7" w:rsidP="005B702B">
      <w:pPr>
        <w:pStyle w:val="Heading2"/>
        <w:rPr>
          <w:rFonts w:cs="Times New Roman"/>
          <w:sz w:val="24"/>
          <w:szCs w:val="24"/>
        </w:rPr>
      </w:pPr>
      <w:r w:rsidRPr="005B702B">
        <w:rPr>
          <w:rFonts w:cs="Times New Roman"/>
          <w:sz w:val="24"/>
          <w:szCs w:val="24"/>
        </w:rPr>
        <w:t>6.4 Policy and Administrative Foresights</w:t>
      </w:r>
    </w:p>
    <w:p w14:paraId="5D886890" w14:textId="77777777" w:rsidR="00F96AE7" w:rsidRPr="005B702B" w:rsidRDefault="00F96AE7" w:rsidP="00F96AE7">
      <w:pPr>
        <w:rPr>
          <w:rFonts w:cs="Times New Roman"/>
          <w:sz w:val="22"/>
          <w:szCs w:val="22"/>
        </w:rPr>
      </w:pPr>
      <w:r w:rsidRPr="005B702B">
        <w:rPr>
          <w:rFonts w:cs="Times New Roman"/>
          <w:sz w:val="22"/>
          <w:szCs w:val="22"/>
        </w:rPr>
        <w:t xml:space="preserve">These reflections, which are the product of a careful analysis of the implications of the study and an adept control of the mounting complexity, cause essential conclusions on the policy and simplification strategies that at the same time lower further complexity in business and system operations. </w:t>
      </w:r>
    </w:p>
    <w:p w14:paraId="5520358D" w14:textId="61F02F00" w:rsidR="00F96AE7" w:rsidRPr="005B702B" w:rsidRDefault="00F96AE7" w:rsidP="00F96AE7">
      <w:pPr>
        <w:rPr>
          <w:rFonts w:cs="Times New Roman"/>
          <w:sz w:val="22"/>
          <w:szCs w:val="22"/>
        </w:rPr>
      </w:pPr>
      <w:r w:rsidRPr="005B702B">
        <w:rPr>
          <w:rFonts w:cs="Times New Roman"/>
          <w:sz w:val="22"/>
          <w:szCs w:val="22"/>
        </w:rPr>
        <w:t xml:space="preserve">Transparency and Leadership: The government must ensure that it makes statements clearly, gives examples, and predetermines on several topics to prevent conflicts on the basis of classifications. Without it, the fights will be simpler in their structures. </w:t>
      </w:r>
    </w:p>
    <w:p w14:paraId="4FB348E0" w14:textId="429ED222" w:rsidR="00F96AE7" w:rsidRPr="005B702B" w:rsidRDefault="00F96AE7" w:rsidP="00F96AE7">
      <w:pPr>
        <w:rPr>
          <w:rFonts w:cs="Times New Roman"/>
          <w:sz w:val="22"/>
          <w:szCs w:val="22"/>
        </w:rPr>
      </w:pPr>
      <w:r w:rsidRPr="005B702B">
        <w:rPr>
          <w:rFonts w:cs="Times New Roman"/>
          <w:sz w:val="22"/>
          <w:szCs w:val="22"/>
        </w:rPr>
        <w:t xml:space="preserve">Transit Rules and Refunds: The regulations regarding old stock, transitional credits and dispute refunds may not be understandable and they should be clarified to prevent any issues that may arise due to simplification. </w:t>
      </w:r>
    </w:p>
    <w:p w14:paraId="2BFF8D5F" w14:textId="72A86E5D" w:rsidR="00F96AE7" w:rsidRPr="005B702B" w:rsidRDefault="00F96AE7" w:rsidP="00F96AE7">
      <w:pPr>
        <w:rPr>
          <w:rFonts w:cs="Times New Roman"/>
          <w:sz w:val="22"/>
          <w:szCs w:val="22"/>
        </w:rPr>
      </w:pPr>
      <w:r w:rsidRPr="005B702B">
        <w:rPr>
          <w:rFonts w:cs="Times New Roman"/>
          <w:sz w:val="22"/>
          <w:szCs w:val="22"/>
        </w:rPr>
        <w:t xml:space="preserve">Compensation and Fiscal Balancing by the states: States require a trustworthy mechanism of receiving money through the government to enable them to bring their financial situation back on track and maintain them in balance in case they lose money. The ability of the federal government to collaborate in the implementation of GST is also achieved by the provision of predictable compensation packages to the giving states. </w:t>
      </w:r>
    </w:p>
    <w:p w14:paraId="05DF40BE" w14:textId="0935DE93" w:rsidR="00F96AE7" w:rsidRPr="005B702B" w:rsidRDefault="00F96AE7" w:rsidP="00F96AE7">
      <w:pPr>
        <w:rPr>
          <w:rFonts w:cs="Times New Roman"/>
          <w:sz w:val="22"/>
          <w:szCs w:val="22"/>
        </w:rPr>
      </w:pPr>
      <w:r w:rsidRPr="005B702B">
        <w:rPr>
          <w:rFonts w:cs="Times New Roman"/>
          <w:sz w:val="22"/>
          <w:szCs w:val="22"/>
        </w:rPr>
        <w:t xml:space="preserve">Operational Readiness: The tax authorities will be forced to work harder on both IT and human resource to be business-ready. It will include training officers, upgrading the ways of acting on complaints, and developing the digital infrastructure of GSTN. </w:t>
      </w:r>
    </w:p>
    <w:p w14:paraId="4DA7CE87" w14:textId="6AAE8ADE" w:rsidR="009D348B" w:rsidRPr="005B702B" w:rsidRDefault="00F96AE7" w:rsidP="009D348B">
      <w:pPr>
        <w:rPr>
          <w:rFonts w:cs="Times New Roman"/>
          <w:sz w:val="22"/>
          <w:szCs w:val="22"/>
        </w:rPr>
      </w:pPr>
      <w:r w:rsidRPr="005B702B">
        <w:rPr>
          <w:rFonts w:cs="Times New Roman"/>
          <w:sz w:val="22"/>
          <w:szCs w:val="22"/>
        </w:rPr>
        <w:lastRenderedPageBreak/>
        <w:t xml:space="preserve">Pilot areas: On an adaptive management strategy, the policymakers might adopt phased implementation strategies to reduce risks in high-risk sectors such as textiles and cars. Pilot implementations would also assist in identifying any issues that may arise during the change or discovering rules which may be more effective prior to their full implementation to </w:t>
      </w:r>
      <w:r w:rsidR="00352F6B" w:rsidRPr="005B702B">
        <w:rPr>
          <w:rFonts w:cs="Times New Roman"/>
          <w:sz w:val="22"/>
          <w:szCs w:val="22"/>
        </w:rPr>
        <w:t>everyone.</w:t>
      </w:r>
    </w:p>
    <w:p w14:paraId="46704CAF" w14:textId="21EC1C96" w:rsidR="00B815A8" w:rsidRPr="005B702B" w:rsidRDefault="008B30D4" w:rsidP="008B30D4">
      <w:pPr>
        <w:pStyle w:val="Heading1"/>
        <w:rPr>
          <w:rFonts w:cs="Times New Roman"/>
          <w:sz w:val="28"/>
          <w:szCs w:val="28"/>
        </w:rPr>
      </w:pPr>
      <w:r w:rsidRPr="005B702B">
        <w:rPr>
          <w:rFonts w:cs="Times New Roman"/>
          <w:sz w:val="28"/>
          <w:szCs w:val="28"/>
        </w:rPr>
        <w:t>7</w:t>
      </w:r>
      <w:r w:rsidR="00B815A8" w:rsidRPr="005B702B">
        <w:rPr>
          <w:rFonts w:cs="Times New Roman"/>
          <w:sz w:val="28"/>
          <w:szCs w:val="28"/>
        </w:rPr>
        <w:t xml:space="preserve">. </w:t>
      </w:r>
      <w:r w:rsidR="003C6AB9">
        <w:rPr>
          <w:rFonts w:cs="Times New Roman"/>
          <w:sz w:val="28"/>
          <w:szCs w:val="28"/>
        </w:rPr>
        <w:t xml:space="preserve">Summary and </w:t>
      </w:r>
      <w:r w:rsidR="00B815A8" w:rsidRPr="005B702B">
        <w:rPr>
          <w:rFonts w:cs="Times New Roman"/>
          <w:sz w:val="28"/>
          <w:szCs w:val="28"/>
        </w:rPr>
        <w:t xml:space="preserve">CONCLUSION  </w:t>
      </w:r>
    </w:p>
    <w:p w14:paraId="2F234A49" w14:textId="3D66F6DF" w:rsidR="00B815A8" w:rsidRPr="005B702B" w:rsidRDefault="00B815A8" w:rsidP="00B815A8">
      <w:pPr>
        <w:rPr>
          <w:rFonts w:cs="Times New Roman"/>
          <w:sz w:val="22"/>
          <w:szCs w:val="22"/>
        </w:rPr>
      </w:pPr>
      <w:r w:rsidRPr="005B702B">
        <w:rPr>
          <w:rFonts w:cs="Times New Roman"/>
          <w:sz w:val="22"/>
          <w:szCs w:val="22"/>
        </w:rPr>
        <w:t xml:space="preserve">This study aimed to answer the question: do the GST Reforms 2025 (GST 2.0) in India really simplifies the indirect tax system, or do they add more layers of complexity? The answer to this question is yes, the reforms have brought India closer to a more streamlined, transparent tax system, and the reasons include the consolidation of slabs, the removal of cess, and the introduction of institutional mechanisms like the GSTAT. Stakeholders’ perceptions, as evidenced in the surveys collected, are positive in a large majority, which, as argued, points to a restoration of confidence in the system and the increase of voluntary compliance and cooperative tax paying.  </w:t>
      </w:r>
    </w:p>
    <w:p w14:paraId="3E93F3CE" w14:textId="2C7C737B" w:rsidR="00B815A8" w:rsidRPr="005B702B" w:rsidRDefault="00B815A8" w:rsidP="00B815A8">
      <w:pPr>
        <w:rPr>
          <w:rFonts w:cs="Times New Roman"/>
          <w:sz w:val="22"/>
          <w:szCs w:val="22"/>
        </w:rPr>
      </w:pPr>
      <w:r w:rsidRPr="005B702B">
        <w:rPr>
          <w:rFonts w:cs="Times New Roman"/>
          <w:sz w:val="22"/>
          <w:szCs w:val="22"/>
        </w:rPr>
        <w:t>Less than the whole. The simplification is certainly far from absolute. The unresolved issues of ambiguity in the classification, the transitional issues, the inequalities in particular sectors. For smaller businesses and certain sectors, the GST system is still harsh, as it still requires the administrative capacity to be compliant.</w:t>
      </w:r>
    </w:p>
    <w:p w14:paraId="1FF7EC63" w14:textId="04899096" w:rsidR="00B815A8" w:rsidRPr="005B702B" w:rsidRDefault="00B815A8" w:rsidP="00B815A8">
      <w:pPr>
        <w:rPr>
          <w:rFonts w:cs="Times New Roman"/>
          <w:sz w:val="22"/>
          <w:szCs w:val="22"/>
        </w:rPr>
      </w:pPr>
      <w:r w:rsidRPr="005B702B">
        <w:rPr>
          <w:rFonts w:cs="Times New Roman"/>
          <w:sz w:val="22"/>
          <w:szCs w:val="22"/>
        </w:rPr>
        <w:t xml:space="preserve">The more refined view suggests that while GST 2025 is a genuine step towards simplification, it is not the last one. Complexity is not gone; it simply resides in other areas. The success of these reforms will depend on the government provide direction, financial support to the states, operationalise GSTAT, provide support to the government to overcome transitional bottlenecks.  </w:t>
      </w:r>
    </w:p>
    <w:p w14:paraId="416A10F2" w14:textId="6FDCCBF6" w:rsidR="00B815A8" w:rsidRPr="005B702B" w:rsidRDefault="00B815A8" w:rsidP="00B815A8">
      <w:pPr>
        <w:rPr>
          <w:rFonts w:cs="Times New Roman"/>
          <w:sz w:val="22"/>
          <w:szCs w:val="22"/>
        </w:rPr>
      </w:pPr>
      <w:r w:rsidRPr="005B702B">
        <w:rPr>
          <w:rFonts w:cs="Times New Roman"/>
          <w:sz w:val="22"/>
          <w:szCs w:val="22"/>
        </w:rPr>
        <w:t xml:space="preserve">In this regard, GST 2025 is likely to be viewed as an evolution rather than a revolution–offering a potential simplification, but progress still remains. “One nation, one tax” will require policy makers, administrators, and the business community to collaborate in a manner that positive trust is achieved and ease of compliance is surrounding the indirect tax system in India.  </w:t>
      </w:r>
    </w:p>
    <w:p w14:paraId="625FC006" w14:textId="2FD3F740" w:rsidR="00B815A8" w:rsidRPr="005B702B" w:rsidRDefault="00B815A8" w:rsidP="008B30D4">
      <w:pPr>
        <w:pStyle w:val="Heading2"/>
        <w:rPr>
          <w:rFonts w:cs="Times New Roman"/>
          <w:sz w:val="22"/>
          <w:szCs w:val="22"/>
        </w:rPr>
      </w:pPr>
      <w:r w:rsidRPr="005B702B">
        <w:rPr>
          <w:rFonts w:cs="Times New Roman"/>
          <w:sz w:val="22"/>
          <w:szCs w:val="22"/>
        </w:rPr>
        <w:t xml:space="preserve">Summary of Findings  </w:t>
      </w:r>
    </w:p>
    <w:p w14:paraId="27F2CC0F" w14:textId="3C23FE1B" w:rsidR="00B815A8" w:rsidRPr="005B702B" w:rsidRDefault="00B815A8" w:rsidP="00B815A8">
      <w:pPr>
        <w:rPr>
          <w:rFonts w:cs="Times New Roman"/>
          <w:sz w:val="22"/>
          <w:szCs w:val="22"/>
        </w:rPr>
      </w:pPr>
      <w:r w:rsidRPr="005B702B">
        <w:rPr>
          <w:rFonts w:cs="Times New Roman"/>
          <w:sz w:val="22"/>
          <w:szCs w:val="22"/>
        </w:rPr>
        <w:t xml:space="preserve">In first place on the design front, the reforms provide notable simplification of the tax structure. The multiple slabs of 12 % and 28 % have been dismantled and are now replaced primarily with 5 % and 18 % slabs in addition to an overarching 40 % on luxury/sin goods (Reuters, 2025; </w:t>
      </w:r>
      <w:proofErr w:type="spellStart"/>
      <w:r w:rsidRPr="005B702B">
        <w:rPr>
          <w:rFonts w:cs="Times New Roman"/>
          <w:sz w:val="22"/>
          <w:szCs w:val="22"/>
        </w:rPr>
        <w:t>ConventusLaw</w:t>
      </w:r>
      <w:proofErr w:type="spellEnd"/>
      <w:r w:rsidRPr="005B702B">
        <w:rPr>
          <w:rFonts w:cs="Times New Roman"/>
          <w:sz w:val="22"/>
          <w:szCs w:val="22"/>
        </w:rPr>
        <w:t>, 2025). The tax structure is further simplified with the removal of the compensation cess (India Briefing, 2025). The rationalisation of structure reduces the confusion regarding which rate is applicable to a class of goods or services.</w:t>
      </w:r>
    </w:p>
    <w:p w14:paraId="7C85CC36" w14:textId="4BD81E9C" w:rsidR="00B815A8" w:rsidRPr="005B702B" w:rsidRDefault="00B815A8" w:rsidP="00B815A8">
      <w:pPr>
        <w:rPr>
          <w:rFonts w:cs="Times New Roman"/>
          <w:sz w:val="22"/>
          <w:szCs w:val="22"/>
        </w:rPr>
      </w:pPr>
      <w:r w:rsidRPr="005B702B">
        <w:rPr>
          <w:rFonts w:cs="Times New Roman"/>
          <w:sz w:val="22"/>
          <w:szCs w:val="22"/>
        </w:rPr>
        <w:t xml:space="preserve">Second, stakeholder sentiment is largely positive: as per the Deloitte 2025 survey, 85% of respondents have positive sentiments regarding GST 2.0 (Deloitte, 2025). The industry feedback (through the IBEF survey) shows enthusiasm towards the reforms, though there are concerns regarding clarity around classification, uniformity of audits, and the resolution of disputes (IBEF, 2025). The establishment of the GST Appellate Tribunal (GSTAT) is a good first step towards an institution that can help alleviate some of the litigation concerns (Times of India, 2025).  </w:t>
      </w:r>
    </w:p>
    <w:p w14:paraId="52A11FC7" w14:textId="5BCD5904" w:rsidR="00B815A8" w:rsidRPr="005B702B" w:rsidRDefault="00B815A8" w:rsidP="00B815A8">
      <w:pPr>
        <w:rPr>
          <w:rFonts w:cs="Times New Roman"/>
          <w:sz w:val="22"/>
          <w:szCs w:val="22"/>
        </w:rPr>
      </w:pPr>
      <w:r w:rsidRPr="005B702B">
        <w:rPr>
          <w:rFonts w:cs="Times New Roman"/>
          <w:sz w:val="22"/>
          <w:szCs w:val="22"/>
        </w:rPr>
        <w:t xml:space="preserve">However, and third, the complexity is not eliminated but instead, shifts to interpretative, transitional, and procedural complexity. Ambiguity in classification continues to be an open issue, especially with respect to composite supplies, mixed goods, and borderline products. Operational burdens arise from transitional input tax credit rules, refund delays, and the treatment of old stock. Sectoral variations, especially the automobile sector, are a good example of how rationalisation of rates can expose the </w:t>
      </w:r>
      <w:r w:rsidRPr="005B702B">
        <w:rPr>
          <w:rFonts w:cs="Times New Roman"/>
          <w:sz w:val="22"/>
          <w:szCs w:val="22"/>
        </w:rPr>
        <w:lastRenderedPageBreak/>
        <w:t xml:space="preserve">reclassification risk and cost adjustments that have to be absorbed as structural changes. Also, the estimated fiscal deficit of ₹48,000 crore that is the result of the provided rate cut will need to be managed with compensating measures (Economic Times, 2025; Reuters, 2025).  </w:t>
      </w:r>
    </w:p>
    <w:p w14:paraId="46E3017A" w14:textId="72CE8A6A" w:rsidR="00B815A8" w:rsidRPr="005B702B" w:rsidRDefault="00B815A8" w:rsidP="00B815A8">
      <w:pPr>
        <w:rPr>
          <w:rFonts w:cs="Times New Roman"/>
          <w:sz w:val="22"/>
          <w:szCs w:val="22"/>
        </w:rPr>
      </w:pPr>
      <w:r w:rsidRPr="005B702B">
        <w:rPr>
          <w:rFonts w:cs="Times New Roman"/>
          <w:sz w:val="22"/>
          <w:szCs w:val="22"/>
        </w:rPr>
        <w:t xml:space="preserve">Therefore, the conclusion is that GST 2025 does move forward with visible structural simplification, but there are new and residual impacts with respect to implementation, interpretation, and administrative execution. The success of the </w:t>
      </w:r>
      <w:r w:rsidR="00352F6B" w:rsidRPr="005B702B">
        <w:rPr>
          <w:rFonts w:cs="Times New Roman"/>
          <w:sz w:val="22"/>
          <w:szCs w:val="22"/>
        </w:rPr>
        <w:t>reform’s</w:t>
      </w:r>
      <w:r w:rsidRPr="005B702B">
        <w:rPr>
          <w:rFonts w:cs="Times New Roman"/>
          <w:sz w:val="22"/>
          <w:szCs w:val="22"/>
        </w:rPr>
        <w:t xml:space="preserve"> hinges on the clarity of rules, the capacity of institutions, and the resolution of disputes, along with transitional measures.</w:t>
      </w:r>
    </w:p>
    <w:p w14:paraId="14053275" w14:textId="2B8EE0BC" w:rsidR="00B815A8" w:rsidRPr="003C6AB9" w:rsidRDefault="003C6AB9" w:rsidP="008B30D4">
      <w:pPr>
        <w:pStyle w:val="Heading2"/>
        <w:rPr>
          <w:rFonts w:cs="Times New Roman"/>
          <w:sz w:val="24"/>
          <w:szCs w:val="24"/>
        </w:rPr>
      </w:pPr>
      <w:r>
        <w:rPr>
          <w:rFonts w:cs="Times New Roman"/>
          <w:sz w:val="24"/>
          <w:szCs w:val="24"/>
        </w:rPr>
        <w:t xml:space="preserve">8. </w:t>
      </w:r>
      <w:r w:rsidR="00B815A8" w:rsidRPr="003C6AB9">
        <w:rPr>
          <w:rFonts w:cs="Times New Roman"/>
          <w:sz w:val="24"/>
          <w:szCs w:val="24"/>
        </w:rPr>
        <w:t>Policy Recommendations</w:t>
      </w:r>
    </w:p>
    <w:p w14:paraId="3B35B16B" w14:textId="77777777" w:rsidR="002065AD" w:rsidRPr="005B702B" w:rsidRDefault="002065AD" w:rsidP="002065AD">
      <w:pPr>
        <w:rPr>
          <w:rFonts w:cs="Times New Roman"/>
          <w:sz w:val="22"/>
          <w:szCs w:val="22"/>
        </w:rPr>
      </w:pPr>
      <w:r w:rsidRPr="005B702B">
        <w:rPr>
          <w:rFonts w:cs="Times New Roman"/>
          <w:sz w:val="22"/>
          <w:szCs w:val="22"/>
        </w:rPr>
        <w:t xml:space="preserve">We propose the following to simplify matters and ensure things do not go amiss: </w:t>
      </w:r>
    </w:p>
    <w:p w14:paraId="15E42213" w14:textId="77777777" w:rsidR="002065AD" w:rsidRPr="005B702B" w:rsidRDefault="002065AD" w:rsidP="002065AD">
      <w:pPr>
        <w:rPr>
          <w:rFonts w:cs="Times New Roman"/>
          <w:b/>
          <w:bCs/>
          <w:sz w:val="22"/>
          <w:szCs w:val="22"/>
        </w:rPr>
      </w:pPr>
      <w:r w:rsidRPr="005B702B">
        <w:rPr>
          <w:rFonts w:cs="Times New Roman"/>
          <w:b/>
          <w:bCs/>
          <w:sz w:val="22"/>
          <w:szCs w:val="22"/>
        </w:rPr>
        <w:t xml:space="preserve">Help with sorting </w:t>
      </w:r>
    </w:p>
    <w:p w14:paraId="6BFC0253" w14:textId="77777777" w:rsidR="002065AD" w:rsidRPr="005B702B" w:rsidRDefault="002065AD" w:rsidP="002065AD">
      <w:pPr>
        <w:rPr>
          <w:rFonts w:cs="Times New Roman"/>
          <w:sz w:val="22"/>
          <w:szCs w:val="22"/>
        </w:rPr>
      </w:pPr>
      <w:r w:rsidRPr="005B702B">
        <w:rPr>
          <w:rFonts w:cs="Times New Roman"/>
          <w:sz w:val="22"/>
          <w:szCs w:val="22"/>
        </w:rPr>
        <w:t xml:space="preserve">It is rather significant to have rules of classification. This shall encompass rate schedules, sample rulings, determination of how to classify things upfront, and an explanation of goods or services that may be classified in more than one manner as in the case of composite supplies. </w:t>
      </w:r>
    </w:p>
    <w:p w14:paraId="3DF218AC" w14:textId="16BF8D79" w:rsidR="002065AD" w:rsidRPr="005B702B" w:rsidRDefault="002065AD" w:rsidP="002065AD">
      <w:pPr>
        <w:rPr>
          <w:rFonts w:cs="Times New Roman"/>
          <w:b/>
          <w:bCs/>
          <w:sz w:val="22"/>
          <w:szCs w:val="22"/>
        </w:rPr>
      </w:pPr>
      <w:r w:rsidRPr="005B702B">
        <w:rPr>
          <w:rFonts w:cs="Times New Roman"/>
          <w:b/>
          <w:bCs/>
          <w:sz w:val="22"/>
          <w:szCs w:val="22"/>
        </w:rPr>
        <w:t xml:space="preserve">Rules to the Change which are easy to understand </w:t>
      </w:r>
    </w:p>
    <w:p w14:paraId="0BA95554" w14:textId="77777777" w:rsidR="002065AD" w:rsidRPr="005B702B" w:rsidRDefault="002065AD" w:rsidP="002065AD">
      <w:pPr>
        <w:rPr>
          <w:rFonts w:cs="Times New Roman"/>
          <w:sz w:val="22"/>
          <w:szCs w:val="22"/>
        </w:rPr>
      </w:pPr>
      <w:r w:rsidRPr="005B702B">
        <w:rPr>
          <w:rFonts w:cs="Times New Roman"/>
          <w:sz w:val="22"/>
          <w:szCs w:val="22"/>
        </w:rPr>
        <w:t xml:space="preserve">The clear rules in addressing the old stock, carrying forward the ITC credits, refund process, and cases of inverted duty structure before the new policy comes into force should exist. The various consultations and occasions at which the stakeholders can be involved should also be planned to ensure that there are no surprises and poor consequences that come as a result of the alteration of the policy. </w:t>
      </w:r>
    </w:p>
    <w:p w14:paraId="7A3B3EFE" w14:textId="56585B9E" w:rsidR="002065AD" w:rsidRPr="005B702B" w:rsidRDefault="002065AD" w:rsidP="002065AD">
      <w:pPr>
        <w:rPr>
          <w:rFonts w:cs="Times New Roman"/>
          <w:b/>
          <w:bCs/>
          <w:sz w:val="22"/>
          <w:szCs w:val="22"/>
        </w:rPr>
      </w:pPr>
      <w:r w:rsidRPr="005B702B">
        <w:rPr>
          <w:rFonts w:cs="Times New Roman"/>
          <w:b/>
          <w:bCs/>
          <w:sz w:val="22"/>
          <w:szCs w:val="22"/>
        </w:rPr>
        <w:t xml:space="preserve">More effective dispute resolution methods </w:t>
      </w:r>
    </w:p>
    <w:p w14:paraId="4DECA16A" w14:textId="4ABAEDC1" w:rsidR="002065AD" w:rsidRPr="005B702B" w:rsidRDefault="00405FDF" w:rsidP="002065AD">
      <w:pPr>
        <w:rPr>
          <w:rFonts w:cs="Times New Roman"/>
          <w:sz w:val="22"/>
          <w:szCs w:val="22"/>
        </w:rPr>
      </w:pPr>
      <w:r w:rsidRPr="005B702B">
        <w:rPr>
          <w:rFonts w:cs="Times New Roman"/>
          <w:sz w:val="22"/>
          <w:szCs w:val="22"/>
        </w:rPr>
        <w:t>GSTAT</w:t>
      </w:r>
      <w:r>
        <w:rPr>
          <w:rFonts w:cs="Times New Roman"/>
          <w:sz w:val="22"/>
          <w:szCs w:val="22"/>
        </w:rPr>
        <w:t xml:space="preserve"> (</w:t>
      </w:r>
      <w:r w:rsidRPr="00405FDF">
        <w:rPr>
          <w:rFonts w:cs="Times New Roman"/>
          <w:sz w:val="22"/>
          <w:szCs w:val="22"/>
        </w:rPr>
        <w:t>Goods and Services Tax Appellate Tribunal</w:t>
      </w:r>
      <w:r>
        <w:rPr>
          <w:rFonts w:cs="Times New Roman"/>
          <w:sz w:val="22"/>
          <w:szCs w:val="22"/>
        </w:rPr>
        <w:t>)</w:t>
      </w:r>
      <w:r w:rsidR="002065AD" w:rsidRPr="005B702B">
        <w:rPr>
          <w:rFonts w:cs="Times New Roman"/>
          <w:sz w:val="22"/>
          <w:szCs w:val="22"/>
        </w:rPr>
        <w:t xml:space="preserve"> must possess the right number of workers of the right levels. It ought to be transparent in its operations and perform well. Individuals will find it difficult to sue once the early decisions are perceived to be binding precedents. One should also be able to appeal to the process easily and quickly. </w:t>
      </w:r>
    </w:p>
    <w:p w14:paraId="09F94530" w14:textId="69E376FB" w:rsidR="002065AD" w:rsidRPr="005B702B" w:rsidRDefault="002065AD" w:rsidP="002065AD">
      <w:pPr>
        <w:rPr>
          <w:rFonts w:cs="Times New Roman"/>
          <w:b/>
          <w:bCs/>
          <w:sz w:val="22"/>
          <w:szCs w:val="22"/>
        </w:rPr>
      </w:pPr>
      <w:r w:rsidRPr="005B702B">
        <w:rPr>
          <w:rFonts w:cs="Times New Roman"/>
          <w:b/>
          <w:bCs/>
          <w:sz w:val="22"/>
          <w:szCs w:val="22"/>
        </w:rPr>
        <w:t>State salary and keeping the budget on track</w:t>
      </w:r>
    </w:p>
    <w:p w14:paraId="3AE00892" w14:textId="77777777" w:rsidR="002065AD" w:rsidRPr="005B702B" w:rsidRDefault="002065AD" w:rsidP="002065AD">
      <w:pPr>
        <w:rPr>
          <w:rFonts w:cs="Times New Roman"/>
          <w:sz w:val="22"/>
          <w:szCs w:val="22"/>
        </w:rPr>
      </w:pPr>
      <w:r w:rsidRPr="005B702B">
        <w:rPr>
          <w:rFonts w:cs="Times New Roman"/>
          <w:sz w:val="22"/>
          <w:szCs w:val="22"/>
        </w:rPr>
        <w:t xml:space="preserve">Money should be paid out by states in case of any loss due to defects in the state policies or those who do not want to obey the state policies. They can achieve this by ensuring that money is passed on in a transparent way, that salaries remain unaltered and that they all pull together. </w:t>
      </w:r>
    </w:p>
    <w:p w14:paraId="3FB5A37A" w14:textId="06812691" w:rsidR="002065AD" w:rsidRPr="005B702B" w:rsidRDefault="002065AD" w:rsidP="002065AD">
      <w:pPr>
        <w:rPr>
          <w:rFonts w:cs="Times New Roman"/>
          <w:b/>
          <w:bCs/>
          <w:sz w:val="22"/>
          <w:szCs w:val="22"/>
        </w:rPr>
      </w:pPr>
      <w:r w:rsidRPr="005B702B">
        <w:rPr>
          <w:rFonts w:cs="Times New Roman"/>
          <w:b/>
          <w:bCs/>
          <w:sz w:val="22"/>
          <w:szCs w:val="22"/>
        </w:rPr>
        <w:t>Enabling systems preparation and capacity development</w:t>
      </w:r>
    </w:p>
    <w:p w14:paraId="364D6260" w14:textId="77777777" w:rsidR="002065AD" w:rsidRPr="005B702B" w:rsidRDefault="002065AD" w:rsidP="002065AD">
      <w:pPr>
        <w:rPr>
          <w:rFonts w:cs="Times New Roman"/>
          <w:sz w:val="22"/>
          <w:szCs w:val="22"/>
        </w:rPr>
      </w:pPr>
      <w:r w:rsidRPr="005B702B">
        <w:rPr>
          <w:rFonts w:cs="Times New Roman"/>
          <w:sz w:val="22"/>
          <w:szCs w:val="22"/>
        </w:rPr>
        <w:t xml:space="preserve">New processes require the appropriate IT infrastructure and systems that would ensure taxation is gathered and processed appropriately. The concern to train the staff and to have one way of receiving complaints, as well as educating taxpayers, should also be the foremost considerations in this endeavour. </w:t>
      </w:r>
    </w:p>
    <w:p w14:paraId="51C3DBA9" w14:textId="23B12B12" w:rsidR="002065AD" w:rsidRPr="005B702B" w:rsidRDefault="002065AD" w:rsidP="002065AD">
      <w:pPr>
        <w:rPr>
          <w:rFonts w:cs="Times New Roman"/>
          <w:b/>
          <w:bCs/>
          <w:sz w:val="22"/>
          <w:szCs w:val="22"/>
        </w:rPr>
      </w:pPr>
      <w:r w:rsidRPr="005B702B">
        <w:rPr>
          <w:rFonts w:cs="Times New Roman"/>
          <w:b/>
          <w:bCs/>
          <w:sz w:val="22"/>
          <w:szCs w:val="22"/>
        </w:rPr>
        <w:t xml:space="preserve">Phase implementation in sensitive regions </w:t>
      </w:r>
    </w:p>
    <w:p w14:paraId="61CEB39D" w14:textId="77777777" w:rsidR="002065AD" w:rsidRPr="005B702B" w:rsidRDefault="002065AD" w:rsidP="002065AD">
      <w:pPr>
        <w:rPr>
          <w:rFonts w:cs="Times New Roman"/>
          <w:sz w:val="22"/>
          <w:szCs w:val="22"/>
        </w:rPr>
      </w:pPr>
      <w:r w:rsidRPr="005B702B">
        <w:rPr>
          <w:rFonts w:cs="Times New Roman"/>
          <w:sz w:val="22"/>
          <w:szCs w:val="22"/>
        </w:rPr>
        <w:t xml:space="preserve">A slow rollout or pilot project can be useful in a highly-classified-risk industry or complex supply chain, such as cars or electronics. This approach allows you to make changes prior to their complete implementation and ensures issues are addressed prior to implementation of complete solutions. </w:t>
      </w:r>
    </w:p>
    <w:p w14:paraId="51CD8A57" w14:textId="5ECE1353" w:rsidR="002065AD" w:rsidRPr="005B702B" w:rsidRDefault="002065AD" w:rsidP="002065AD">
      <w:pPr>
        <w:rPr>
          <w:rFonts w:cs="Times New Roman"/>
          <w:b/>
          <w:bCs/>
          <w:sz w:val="22"/>
          <w:szCs w:val="22"/>
        </w:rPr>
      </w:pPr>
      <w:r w:rsidRPr="005B702B">
        <w:rPr>
          <w:rFonts w:cs="Times New Roman"/>
          <w:b/>
          <w:bCs/>
          <w:sz w:val="22"/>
          <w:szCs w:val="22"/>
        </w:rPr>
        <w:t xml:space="preserve">Monitoring, feedback and change in real-time </w:t>
      </w:r>
    </w:p>
    <w:p w14:paraId="5541128E" w14:textId="77777777" w:rsidR="002065AD" w:rsidRPr="005B702B" w:rsidRDefault="002065AD" w:rsidP="002065AD">
      <w:pPr>
        <w:rPr>
          <w:rFonts w:cs="Times New Roman"/>
          <w:sz w:val="22"/>
          <w:szCs w:val="22"/>
        </w:rPr>
      </w:pPr>
      <w:r w:rsidRPr="005B702B">
        <w:rPr>
          <w:rFonts w:cs="Times New Roman"/>
          <w:sz w:val="22"/>
          <w:szCs w:val="22"/>
        </w:rPr>
        <w:lastRenderedPageBreak/>
        <w:t>The government must monitor reforms as they occur and consult individuals who are interested in the reforms on their opinions. The issues with reform should be checked regularly to help make the necessary amendments as soon as they appear.</w:t>
      </w:r>
    </w:p>
    <w:p w14:paraId="212E43D0" w14:textId="410A3BCD" w:rsidR="00B815A8" w:rsidRPr="005B702B" w:rsidRDefault="003C6AB9" w:rsidP="008B30D4">
      <w:pPr>
        <w:pStyle w:val="Heading2"/>
        <w:rPr>
          <w:rFonts w:cs="Times New Roman"/>
          <w:sz w:val="22"/>
          <w:szCs w:val="22"/>
        </w:rPr>
      </w:pPr>
      <w:r>
        <w:rPr>
          <w:rFonts w:cs="Times New Roman"/>
          <w:sz w:val="22"/>
          <w:szCs w:val="22"/>
        </w:rPr>
        <w:t>10.</w:t>
      </w:r>
      <w:r w:rsidR="00B815A8" w:rsidRPr="005B702B">
        <w:rPr>
          <w:rFonts w:cs="Times New Roman"/>
          <w:sz w:val="22"/>
          <w:szCs w:val="22"/>
        </w:rPr>
        <w:t xml:space="preserve">Limitations and Scope for Future Research  </w:t>
      </w:r>
    </w:p>
    <w:p w14:paraId="321DCA0F" w14:textId="4B5AD678" w:rsidR="00B815A8" w:rsidRPr="005B702B" w:rsidRDefault="00B815A8" w:rsidP="00B815A8">
      <w:pPr>
        <w:rPr>
          <w:rFonts w:cs="Times New Roman"/>
          <w:sz w:val="22"/>
          <w:szCs w:val="22"/>
        </w:rPr>
      </w:pPr>
      <w:r w:rsidRPr="005B702B">
        <w:rPr>
          <w:rFonts w:cs="Times New Roman"/>
          <w:sz w:val="22"/>
          <w:szCs w:val="22"/>
        </w:rPr>
        <w:t xml:space="preserve">The scope of this research, as will be the case for most research, is limited as the impacts of GST 2.0 are still unfolding (e.g. tax compliance behaviour, revenue elasticities, litigation). Also, the limited scope based on stakeholder accounts (which are subject to bias) and early reports from the media/industry is a constraint.  </w:t>
      </w:r>
    </w:p>
    <w:p w14:paraId="3B1A5431" w14:textId="72B95766" w:rsidR="00B815A8" w:rsidRPr="005B702B" w:rsidRDefault="00B815A8" w:rsidP="00B815A8">
      <w:pPr>
        <w:rPr>
          <w:rFonts w:cs="Times New Roman"/>
          <w:b/>
          <w:bCs/>
          <w:sz w:val="22"/>
          <w:szCs w:val="22"/>
        </w:rPr>
      </w:pPr>
      <w:r w:rsidRPr="005B702B">
        <w:rPr>
          <w:rFonts w:cs="Times New Roman"/>
          <w:b/>
          <w:bCs/>
          <w:sz w:val="22"/>
          <w:szCs w:val="22"/>
        </w:rPr>
        <w:t xml:space="preserve">Future research should explore:  </w:t>
      </w:r>
    </w:p>
    <w:p w14:paraId="75909950" w14:textId="63211B5F"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Longitudinal studies on compliance costs, litigation, and revenue post-2025.  </w:t>
      </w:r>
    </w:p>
    <w:p w14:paraId="60A5FBE5" w14:textId="01259D0A" w:rsidR="00B815A8" w:rsidRPr="005B702B" w:rsidRDefault="00B815A8">
      <w:pPr>
        <w:pStyle w:val="ListParagraph"/>
        <w:numPr>
          <w:ilvl w:val="1"/>
          <w:numId w:val="15"/>
        </w:numPr>
        <w:rPr>
          <w:rFonts w:cs="Times New Roman"/>
          <w:sz w:val="22"/>
          <w:szCs w:val="22"/>
        </w:rPr>
      </w:pPr>
      <w:r w:rsidRPr="005B702B">
        <w:rPr>
          <w:rFonts w:cs="Times New Roman"/>
          <w:sz w:val="22"/>
          <w:szCs w:val="22"/>
        </w:rPr>
        <w:t>Sectoral studies on GST 2.0 (e.g.</w:t>
      </w:r>
      <w:r w:rsidR="00352F6B">
        <w:rPr>
          <w:rFonts w:cs="Times New Roman"/>
          <w:sz w:val="22"/>
          <w:szCs w:val="22"/>
        </w:rPr>
        <w:t>,</w:t>
      </w:r>
      <w:r w:rsidRPr="005B702B">
        <w:rPr>
          <w:rFonts w:cs="Times New Roman"/>
          <w:sz w:val="22"/>
          <w:szCs w:val="22"/>
        </w:rPr>
        <w:t xml:space="preserve"> pharmaceuticals, textiles, and services) to identify micro-level distortions or benefits.  </w:t>
      </w:r>
    </w:p>
    <w:p w14:paraId="2F9DBAC6" w14:textId="54DAD552"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Cross-state studies on the varying adaptations, deviations, and enforcement of GST and state-centre dynamics.  </w:t>
      </w:r>
    </w:p>
    <w:p w14:paraId="63E59959" w14:textId="7A15D230"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Econometric models on behavioural response (evasion, formalisation) to the new tax regime.  </w:t>
      </w:r>
    </w:p>
    <w:p w14:paraId="1BA86224" w14:textId="030A38BF" w:rsidR="00B815A8" w:rsidRPr="005B702B" w:rsidRDefault="00B815A8">
      <w:pPr>
        <w:pStyle w:val="ListParagraph"/>
        <w:numPr>
          <w:ilvl w:val="1"/>
          <w:numId w:val="15"/>
        </w:numPr>
        <w:rPr>
          <w:rFonts w:cs="Times New Roman"/>
          <w:sz w:val="22"/>
          <w:szCs w:val="22"/>
        </w:rPr>
      </w:pPr>
      <w:r w:rsidRPr="005B702B">
        <w:rPr>
          <w:rFonts w:cs="Times New Roman"/>
          <w:sz w:val="22"/>
          <w:szCs w:val="22"/>
        </w:rPr>
        <w:t>Studies on countries with slab rationalization for comparative analysis.</w:t>
      </w:r>
    </w:p>
    <w:p w14:paraId="74185F4B" w14:textId="1A066A32" w:rsidR="00B815A8" w:rsidRPr="005B702B" w:rsidRDefault="00B815A8" w:rsidP="008B30D4">
      <w:pPr>
        <w:pStyle w:val="Heading2"/>
        <w:rPr>
          <w:rFonts w:cs="Times New Roman"/>
          <w:sz w:val="22"/>
          <w:szCs w:val="22"/>
        </w:rPr>
      </w:pPr>
      <w:r w:rsidRPr="005B702B">
        <w:rPr>
          <w:rFonts w:cs="Times New Roman"/>
          <w:sz w:val="22"/>
          <w:szCs w:val="22"/>
        </w:rPr>
        <w:t xml:space="preserve">Final Thoughts  </w:t>
      </w:r>
    </w:p>
    <w:p w14:paraId="660CB44F" w14:textId="25391527" w:rsidR="00B815A8" w:rsidRDefault="00BA34EE" w:rsidP="00352F6B">
      <w:pPr>
        <w:rPr>
          <w:rFonts w:cs="Times New Roman"/>
          <w:sz w:val="22"/>
          <w:szCs w:val="22"/>
        </w:rPr>
      </w:pPr>
      <w:r w:rsidRPr="005B702B">
        <w:rPr>
          <w:rFonts w:cs="Times New Roman"/>
          <w:sz w:val="22"/>
          <w:szCs w:val="22"/>
        </w:rPr>
        <w:t xml:space="preserve">As noted in PIB (2025), GST Reforms 2025 represent a dramatic reconceptualization of India's indirect tax system and include structural rationalization. This clearly signals the government's desire, articulated several times, for an easy, fair and growth oriented system; yet simplification must also include clarity, institutional and organizational perseverance as well as adaptive measures for dispute resolution; therefore the promise of GST 2.0 lies in its execution as this will ultimately determine whether its successor acts as an easy tax regime or simply conceals layers of complexity within its pages - hence making its potential </w:t>
      </w:r>
      <w:proofErr w:type="spellStart"/>
      <w:r w:rsidRPr="005B702B">
        <w:rPr>
          <w:rFonts w:cs="Times New Roman"/>
          <w:sz w:val="22"/>
          <w:szCs w:val="22"/>
        </w:rPr>
        <w:t>unfulled</w:t>
      </w:r>
      <w:proofErr w:type="spellEnd"/>
      <w:r w:rsidRPr="005B702B">
        <w:rPr>
          <w:rFonts w:cs="Times New Roman"/>
          <w:sz w:val="22"/>
          <w:szCs w:val="22"/>
        </w:rPr>
        <w:t xml:space="preserve"> or remaining concealed complexity will ultimately determine its future generations of complexity or vice versa</w:t>
      </w:r>
      <w:r w:rsidR="00B815A8" w:rsidRPr="005B702B">
        <w:rPr>
          <w:rFonts w:cs="Times New Roman"/>
          <w:sz w:val="22"/>
          <w:szCs w:val="22"/>
        </w:rPr>
        <w:t>.</w:t>
      </w:r>
    </w:p>
    <w:p w14:paraId="48307AF9" w14:textId="77777777" w:rsidR="003C6AB9" w:rsidRPr="003C6AB9" w:rsidRDefault="003C6AB9" w:rsidP="003C6AB9">
      <w:pPr>
        <w:rPr>
          <w:rFonts w:cs="Times New Roman"/>
          <w:b/>
          <w:sz w:val="22"/>
          <w:szCs w:val="22"/>
        </w:rPr>
      </w:pPr>
      <w:r w:rsidRPr="003C6AB9">
        <w:rPr>
          <w:rFonts w:cs="Times New Roman"/>
          <w:b/>
          <w:sz w:val="22"/>
          <w:szCs w:val="22"/>
        </w:rPr>
        <w:t xml:space="preserve">Consent </w:t>
      </w:r>
    </w:p>
    <w:p w14:paraId="19ED3D21" w14:textId="06EA86F1" w:rsidR="003C6AB9" w:rsidRDefault="003C6AB9" w:rsidP="003C6AB9">
      <w:pPr>
        <w:rPr>
          <w:rFonts w:cs="Times New Roman"/>
          <w:sz w:val="22"/>
          <w:szCs w:val="22"/>
        </w:rPr>
      </w:pPr>
      <w:r w:rsidRPr="003C6AB9">
        <w:rPr>
          <w:rFonts w:cs="Times New Roman"/>
          <w:sz w:val="22"/>
          <w:szCs w:val="22"/>
        </w:rPr>
        <w:t>As per international standards or university standards, respondents’ written consent has been collected and preserved by the author(s).</w:t>
      </w:r>
    </w:p>
    <w:p w14:paraId="47DF5188" w14:textId="77777777" w:rsidR="003C6AB9" w:rsidRPr="005B702B" w:rsidRDefault="003C6AB9" w:rsidP="00352F6B">
      <w:pPr>
        <w:rPr>
          <w:rFonts w:cs="Times New Roman"/>
          <w:sz w:val="22"/>
          <w:szCs w:val="22"/>
        </w:rPr>
      </w:pPr>
    </w:p>
    <w:p w14:paraId="71886CC2" w14:textId="77777777" w:rsidR="00DC78F3" w:rsidRPr="003C6AB9" w:rsidRDefault="00DC78F3" w:rsidP="00DC78F3">
      <w:pPr>
        <w:rPr>
          <w:rFonts w:ascii="Calibri" w:eastAsia="Calibri" w:hAnsi="Calibri" w:cs="Times New Roman"/>
          <w:b/>
          <w:highlight w:val="yellow"/>
          <w:lang w:val="en-US"/>
        </w:rPr>
      </w:pPr>
      <w:bookmarkStart w:id="0" w:name="_Hlk204003461"/>
      <w:bookmarkStart w:id="1" w:name="_Hlk213070710"/>
      <w:r w:rsidRPr="003C6AB9">
        <w:rPr>
          <w:rFonts w:ascii="Calibri" w:eastAsia="Calibri" w:hAnsi="Calibri" w:cs="Times New Roman"/>
          <w:b/>
          <w:highlight w:val="yellow"/>
          <w:lang w:val="en-US"/>
        </w:rPr>
        <w:t>Disclaimer (Artificial intelligence)</w:t>
      </w:r>
    </w:p>
    <w:p w14:paraId="2767615F" w14:textId="77777777" w:rsidR="00DC78F3" w:rsidRDefault="00DC78F3" w:rsidP="00DC78F3">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NO generative AI technologies such as Large Language Models (</w:t>
      </w:r>
      <w:proofErr w:type="spellStart"/>
      <w:r>
        <w:rPr>
          <w:rFonts w:ascii="Calibri" w:eastAsia="Calibri" w:hAnsi="Calibri" w:cs="Times New Roman"/>
          <w:highlight w:val="yellow"/>
          <w:lang w:val="en-US"/>
        </w:rPr>
        <w:t>ChatGPT</w:t>
      </w:r>
      <w:proofErr w:type="spellEnd"/>
      <w:r>
        <w:rPr>
          <w:rFonts w:ascii="Calibri" w:eastAsia="Calibri" w:hAnsi="Calibri" w:cs="Times New Roman"/>
          <w:highlight w:val="yellow"/>
          <w:lang w:val="en-US"/>
        </w:rPr>
        <w:t xml:space="preserve">, COPILOT, etc.) and text-to-image generators have been used during the writing or editing of this manuscript. </w:t>
      </w:r>
    </w:p>
    <w:bookmarkEnd w:id="0"/>
    <w:bookmarkEnd w:id="1"/>
    <w:p w14:paraId="34482E40" w14:textId="36000BA8" w:rsidR="00324F98" w:rsidRPr="005B702B" w:rsidRDefault="00324F98" w:rsidP="00326D8C">
      <w:pPr>
        <w:rPr>
          <w:rFonts w:cs="Times New Roman"/>
          <w:sz w:val="22"/>
          <w:szCs w:val="22"/>
        </w:rPr>
      </w:pPr>
      <w:r w:rsidRPr="005B702B">
        <w:rPr>
          <w:rFonts w:cs="Times New Roman"/>
          <w:sz w:val="22"/>
          <w:szCs w:val="22"/>
        </w:rPr>
        <w:br w:type="page"/>
      </w:r>
    </w:p>
    <w:p w14:paraId="018DF7C1" w14:textId="77DECC64" w:rsidR="00324F98" w:rsidRPr="005B702B" w:rsidRDefault="000B433F" w:rsidP="008B30D4">
      <w:pPr>
        <w:pStyle w:val="Heading1"/>
        <w:rPr>
          <w:rFonts w:cs="Times New Roman"/>
          <w:sz w:val="28"/>
          <w:szCs w:val="28"/>
        </w:rPr>
      </w:pPr>
      <w:r w:rsidRPr="005B702B">
        <w:rPr>
          <w:rFonts w:cs="Times New Roman"/>
          <w:sz w:val="28"/>
          <w:szCs w:val="28"/>
        </w:rPr>
        <w:lastRenderedPageBreak/>
        <w:t>REFERENCES</w:t>
      </w:r>
    </w:p>
    <w:p w14:paraId="5FF5EF1C" w14:textId="468C07B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Anand, M. G. (2024). </w:t>
      </w:r>
      <w:r w:rsidRPr="005B702B">
        <w:rPr>
          <w:rFonts w:cs="Times New Roman"/>
          <w:i/>
          <w:iCs/>
          <w:sz w:val="22"/>
          <w:szCs w:val="22"/>
        </w:rPr>
        <w:t>Navigating the Dynamics of Indian Economic Growth: A Critical Analysis of Recent Tax Policy Reforms</w:t>
      </w:r>
      <w:r w:rsidRPr="005B702B">
        <w:rPr>
          <w:rFonts w:cs="Times New Roman"/>
          <w:sz w:val="22"/>
          <w:szCs w:val="22"/>
        </w:rPr>
        <w:t xml:space="preserve">. </w:t>
      </w:r>
      <w:proofErr w:type="spellStart"/>
      <w:r w:rsidRPr="005B702B">
        <w:rPr>
          <w:rFonts w:cs="Times New Roman"/>
          <w:i/>
          <w:iCs/>
          <w:sz w:val="22"/>
          <w:szCs w:val="22"/>
        </w:rPr>
        <w:t>ShodhKosh</w:t>
      </w:r>
      <w:proofErr w:type="spellEnd"/>
      <w:r w:rsidRPr="005B702B">
        <w:rPr>
          <w:rFonts w:cs="Times New Roman"/>
          <w:i/>
          <w:iCs/>
          <w:sz w:val="22"/>
          <w:szCs w:val="22"/>
        </w:rPr>
        <w:t>: Journal of Visual and Performing Arts</w:t>
      </w:r>
      <w:r w:rsidRPr="005B702B">
        <w:rPr>
          <w:rFonts w:cs="Times New Roman"/>
          <w:sz w:val="22"/>
          <w:szCs w:val="22"/>
        </w:rPr>
        <w:t xml:space="preserve">, 5(4), 784-788. </w:t>
      </w:r>
      <w:hyperlink r:id="rId10" w:tgtFrame="_blank" w:history="1">
        <w:proofErr w:type="spellStart"/>
        <w:r w:rsidRPr="005B702B">
          <w:rPr>
            <w:rStyle w:val="Hyperlink"/>
            <w:rFonts w:cs="Times New Roman"/>
            <w:sz w:val="22"/>
            <w:szCs w:val="22"/>
          </w:rPr>
          <w:t>Granthaalayah</w:t>
        </w:r>
        <w:proofErr w:type="spellEnd"/>
        <w:r w:rsidRPr="005B702B">
          <w:rPr>
            <w:rStyle w:val="Hyperlink"/>
            <w:rFonts w:cs="Times New Roman"/>
            <w:sz w:val="22"/>
            <w:szCs w:val="22"/>
          </w:rPr>
          <w:t xml:space="preserve"> Publication</w:t>
        </w:r>
      </w:hyperlink>
    </w:p>
    <w:p w14:paraId="78DD6943" w14:textId="1060B544"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As GST 2.0 Kicks </w:t>
      </w:r>
      <w:proofErr w:type="gramStart"/>
      <w:r w:rsidRPr="005B702B">
        <w:rPr>
          <w:rFonts w:cs="Times New Roman"/>
          <w:sz w:val="22"/>
          <w:szCs w:val="22"/>
        </w:rPr>
        <w:t>In</w:t>
      </w:r>
      <w:proofErr w:type="gramEnd"/>
      <w:r w:rsidRPr="005B702B">
        <w:rPr>
          <w:rFonts w:cs="Times New Roman"/>
          <w:sz w:val="22"/>
          <w:szCs w:val="22"/>
        </w:rPr>
        <w:t xml:space="preserve"> What Changes for Consumers and Industry. (2025, September). </w:t>
      </w:r>
      <w:r w:rsidRPr="005B702B">
        <w:rPr>
          <w:rFonts w:cs="Times New Roman"/>
          <w:i/>
          <w:iCs/>
          <w:sz w:val="22"/>
          <w:szCs w:val="22"/>
        </w:rPr>
        <w:t>Indian Express</w:t>
      </w:r>
      <w:r w:rsidRPr="005B702B">
        <w:rPr>
          <w:rFonts w:cs="Times New Roman"/>
          <w:sz w:val="22"/>
          <w:szCs w:val="22"/>
        </w:rPr>
        <w:t xml:space="preserve">. Retrieved from </w:t>
      </w:r>
      <w:hyperlink r:id="rId11" w:history="1">
        <w:r w:rsidR="007C7E5A" w:rsidRPr="005B702B">
          <w:rPr>
            <w:rStyle w:val="Hyperlink"/>
            <w:rFonts w:cs="Times New Roman"/>
            <w:sz w:val="22"/>
            <w:szCs w:val="22"/>
          </w:rPr>
          <w:t>https://indianexpress.com/article/explained/explained-economics/gst-2-changes-consumers-industry-10264788/</w:t>
        </w:r>
      </w:hyperlink>
    </w:p>
    <w:p w14:paraId="338F3C62" w14:textId="33AD3E9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Awasthi, R., Akhtar, M., &amp; Khan, F. S. (2023). </w:t>
      </w:r>
      <w:r w:rsidRPr="005B702B">
        <w:rPr>
          <w:rFonts w:cs="Times New Roman"/>
          <w:i/>
          <w:iCs/>
          <w:sz w:val="22"/>
          <w:szCs w:val="22"/>
        </w:rPr>
        <w:t>The Impact of Goods and Services Tax on Sustainability in the Indian Handicraft Sector: A Mini-Review</w:t>
      </w:r>
      <w:r w:rsidRPr="005B702B">
        <w:rPr>
          <w:rFonts w:cs="Times New Roman"/>
          <w:sz w:val="22"/>
          <w:szCs w:val="22"/>
        </w:rPr>
        <w:t xml:space="preserve">. </w:t>
      </w:r>
      <w:r w:rsidRPr="005B702B">
        <w:rPr>
          <w:rFonts w:cs="Times New Roman"/>
          <w:i/>
          <w:iCs/>
          <w:sz w:val="22"/>
          <w:szCs w:val="22"/>
        </w:rPr>
        <w:t>Journal of Computers, Mechanical and Management</w:t>
      </w:r>
      <w:r w:rsidRPr="005B702B">
        <w:rPr>
          <w:rFonts w:cs="Times New Roman"/>
          <w:sz w:val="22"/>
          <w:szCs w:val="22"/>
        </w:rPr>
        <w:t xml:space="preserve">, 2(4), 29-34. </w:t>
      </w:r>
      <w:hyperlink r:id="rId12" w:tgtFrame="_blank" w:history="1">
        <w:r w:rsidRPr="005B702B">
          <w:rPr>
            <w:rStyle w:val="Hyperlink"/>
            <w:rFonts w:cs="Times New Roman"/>
            <w:sz w:val="22"/>
            <w:szCs w:val="22"/>
          </w:rPr>
          <w:t>jcmm.co.in</w:t>
        </w:r>
      </w:hyperlink>
    </w:p>
    <w:p w14:paraId="2F65C2A0" w14:textId="0856EC9D"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Business Standard. (2025, August). </w:t>
      </w:r>
      <w:r w:rsidRPr="005B702B">
        <w:rPr>
          <w:rFonts w:cs="Times New Roman"/>
          <w:i/>
          <w:iCs/>
          <w:sz w:val="22"/>
          <w:szCs w:val="22"/>
        </w:rPr>
        <w:t>GST Reforms in India: A Game Changer for Families and Businesses</w:t>
      </w:r>
      <w:r w:rsidRPr="005B702B">
        <w:rPr>
          <w:rFonts w:cs="Times New Roman"/>
          <w:sz w:val="22"/>
          <w:szCs w:val="22"/>
        </w:rPr>
        <w:t xml:space="preserve">. Retrieved from </w:t>
      </w:r>
      <w:hyperlink r:id="rId13" w:history="1">
        <w:r w:rsidR="007C7E5A" w:rsidRPr="005B702B">
          <w:rPr>
            <w:rStyle w:val="Hyperlink"/>
            <w:rFonts w:cs="Times New Roman"/>
            <w:sz w:val="22"/>
            <w:szCs w:val="22"/>
          </w:rPr>
          <w:t>https://www.business-standard.com/economy/news/gst-reforms-in-india-a-game-changer-for-families-and-businesses-125082601082_1.html</w:t>
        </w:r>
      </w:hyperlink>
    </w:p>
    <w:p w14:paraId="0690403F" w14:textId="0BB810B6"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ConventusLaw</w:t>
      </w:r>
      <w:proofErr w:type="spellEnd"/>
      <w:r w:rsidRPr="005B702B">
        <w:rPr>
          <w:rFonts w:cs="Times New Roman"/>
          <w:sz w:val="22"/>
          <w:szCs w:val="22"/>
        </w:rPr>
        <w:t xml:space="preserve">. (2025). </w:t>
      </w:r>
      <w:r w:rsidRPr="005B702B">
        <w:rPr>
          <w:rFonts w:cs="Times New Roman"/>
          <w:i/>
          <w:iCs/>
          <w:sz w:val="22"/>
          <w:szCs w:val="22"/>
        </w:rPr>
        <w:t>GST 2025: A brave new chapter in India’s tax reform</w:t>
      </w:r>
      <w:r w:rsidRPr="005B702B">
        <w:rPr>
          <w:rFonts w:cs="Times New Roman"/>
          <w:sz w:val="22"/>
          <w:szCs w:val="22"/>
        </w:rPr>
        <w:t>. Retrieved from https://conventuslaw.com/report/gst-2025-a-brave-new-chapter-in-indias-tax-reform/</w:t>
      </w:r>
    </w:p>
    <w:p w14:paraId="23F43EF5"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Deloitte India. (2025, June). </w:t>
      </w:r>
      <w:r w:rsidRPr="005B702B">
        <w:rPr>
          <w:rFonts w:cs="Times New Roman"/>
          <w:i/>
          <w:iCs/>
          <w:sz w:val="22"/>
          <w:szCs w:val="22"/>
        </w:rPr>
        <w:t>India Inc. embraces GST: 85 percent of respondents show positive sentiment as industry charts path for GST 2.0</w:t>
      </w:r>
      <w:r w:rsidRPr="005B702B">
        <w:rPr>
          <w:rFonts w:cs="Times New Roman"/>
          <w:sz w:val="22"/>
          <w:szCs w:val="22"/>
        </w:rPr>
        <w:t xml:space="preserve">. Deloitte Newsroom. Retrieved from </w:t>
      </w:r>
      <w:hyperlink r:id="rId14" w:tgtFrame="_new" w:history="1">
        <w:r w:rsidRPr="005B702B">
          <w:rPr>
            <w:rStyle w:val="Hyperlink"/>
            <w:rFonts w:cs="Times New Roman"/>
            <w:sz w:val="22"/>
            <w:szCs w:val="22"/>
          </w:rPr>
          <w:t>https://www.deloitte.com/in/en/about/press-room/india-inc-embraces-gst.html</w:t>
        </w:r>
      </w:hyperlink>
      <w:r w:rsidRPr="005B702B">
        <w:rPr>
          <w:rFonts w:cs="Times New Roman"/>
          <w:sz w:val="22"/>
          <w:szCs w:val="22"/>
        </w:rPr>
        <w:t xml:space="preserve"> </w:t>
      </w:r>
      <w:hyperlink r:id="rId15" w:tgtFrame="_blank" w:history="1">
        <w:r w:rsidRPr="005B702B">
          <w:rPr>
            <w:rStyle w:val="Hyperlink"/>
            <w:rFonts w:cs="Times New Roman"/>
            <w:sz w:val="22"/>
            <w:szCs w:val="22"/>
          </w:rPr>
          <w:t>Deloitte</w:t>
        </w:r>
      </w:hyperlink>
    </w:p>
    <w:p w14:paraId="55636490"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DrishtiIAS</w:t>
      </w:r>
      <w:proofErr w:type="spellEnd"/>
      <w:r w:rsidRPr="005B702B">
        <w:rPr>
          <w:rFonts w:cs="Times New Roman"/>
          <w:sz w:val="22"/>
          <w:szCs w:val="22"/>
        </w:rPr>
        <w:t xml:space="preserve">. (2025, September). </w:t>
      </w:r>
      <w:r w:rsidRPr="005B702B">
        <w:rPr>
          <w:rFonts w:cs="Times New Roman"/>
          <w:i/>
          <w:iCs/>
          <w:sz w:val="22"/>
          <w:szCs w:val="22"/>
        </w:rPr>
        <w:t>GST 2.0 – Balancing growth and fiscal prudence</w:t>
      </w:r>
      <w:r w:rsidRPr="005B702B">
        <w:rPr>
          <w:rFonts w:cs="Times New Roman"/>
          <w:sz w:val="22"/>
          <w:szCs w:val="22"/>
        </w:rPr>
        <w:t xml:space="preserve">. Retrieved from </w:t>
      </w:r>
      <w:hyperlink r:id="rId16" w:tgtFrame="_new" w:history="1">
        <w:r w:rsidRPr="005B702B">
          <w:rPr>
            <w:rStyle w:val="Hyperlink"/>
            <w:rFonts w:cs="Times New Roman"/>
            <w:sz w:val="22"/>
            <w:szCs w:val="22"/>
          </w:rPr>
          <w:t>https://www.drishtiias.com/daily-updates/daily-news-editorials/gst-2-0-balancing-growth-and-fiscal-prudence</w:t>
        </w:r>
      </w:hyperlink>
    </w:p>
    <w:p w14:paraId="6115D3FC"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DrishtiIAS</w:t>
      </w:r>
      <w:proofErr w:type="spellEnd"/>
      <w:r w:rsidRPr="005B702B">
        <w:rPr>
          <w:rFonts w:cs="Times New Roman"/>
          <w:sz w:val="22"/>
          <w:szCs w:val="22"/>
        </w:rPr>
        <w:t xml:space="preserve">. (2025, September). </w:t>
      </w:r>
      <w:r w:rsidRPr="005B702B">
        <w:rPr>
          <w:rFonts w:cs="Times New Roman"/>
          <w:i/>
          <w:iCs/>
          <w:sz w:val="22"/>
          <w:szCs w:val="22"/>
        </w:rPr>
        <w:t>What are the Key Tax Reforms Under GST 2.0?</w:t>
      </w:r>
      <w:r w:rsidRPr="005B702B">
        <w:rPr>
          <w:rFonts w:cs="Times New Roman"/>
          <w:sz w:val="22"/>
          <w:szCs w:val="22"/>
        </w:rPr>
        <w:t xml:space="preserve"> Retrieved from </w:t>
      </w:r>
      <w:hyperlink r:id="rId17" w:tgtFrame="_new" w:history="1">
        <w:r w:rsidRPr="005B702B">
          <w:rPr>
            <w:rStyle w:val="Hyperlink"/>
            <w:rFonts w:cs="Times New Roman"/>
            <w:sz w:val="22"/>
            <w:szCs w:val="22"/>
          </w:rPr>
          <w:t>https://www.drishtiias.com/current-affairs-news-analysis-editorials/news-analysis/04-09-2025</w:t>
        </w:r>
      </w:hyperlink>
      <w:r w:rsidRPr="005B702B">
        <w:rPr>
          <w:rFonts w:cs="Times New Roman"/>
          <w:sz w:val="22"/>
          <w:szCs w:val="22"/>
        </w:rPr>
        <w:t xml:space="preserve"> </w:t>
      </w:r>
      <w:hyperlink r:id="rId18" w:tgtFrame="_blank" w:history="1">
        <w:r w:rsidRPr="005B702B">
          <w:rPr>
            <w:rStyle w:val="Hyperlink"/>
            <w:rFonts w:cs="Times New Roman"/>
            <w:sz w:val="22"/>
            <w:szCs w:val="22"/>
          </w:rPr>
          <w:t>Drishti IAS</w:t>
        </w:r>
      </w:hyperlink>
    </w:p>
    <w:p w14:paraId="1D724510"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19" w:tgtFrame="_new" w:history="1">
        <w:r w:rsidRPr="005B702B">
          <w:rPr>
            <w:rStyle w:val="Hyperlink"/>
            <w:rFonts w:cs="Times New Roman"/>
            <w:sz w:val="22"/>
            <w:szCs w:val="22"/>
          </w:rPr>
          <w:t>https://m.economictimes.com/wealth/tax/gst-reforms-set-to-reignite-consumption-growth-spur-corporate-profitability/articleshow/123864292.cms</w:t>
        </w:r>
      </w:hyperlink>
    </w:p>
    <w:p w14:paraId="43D03A79"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20" w:tgtFrame="_new" w:history="1">
        <w:r w:rsidRPr="005B702B">
          <w:rPr>
            <w:rStyle w:val="Hyperlink"/>
            <w:rFonts w:cs="Times New Roman"/>
            <w:sz w:val="22"/>
            <w:szCs w:val="22"/>
          </w:rPr>
          <w:t>https://m.economictimes.com/wealth/tax/gst-reforms-set-to-reignite-consumption-growth-spur-corporate-profitability/articleshow/123864292.cms</w:t>
        </w:r>
      </w:hyperlink>
    </w:p>
    <w:p w14:paraId="26600E9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Landmark GST reforms to boost business, cut prices, drive consumption growth: RBI Bulletin</w:t>
      </w:r>
      <w:r w:rsidRPr="005B702B">
        <w:rPr>
          <w:rFonts w:cs="Times New Roman"/>
          <w:sz w:val="22"/>
          <w:szCs w:val="22"/>
        </w:rPr>
        <w:t xml:space="preserve">. Retrieved from </w:t>
      </w:r>
      <w:hyperlink r:id="rId21" w:tgtFrame="_new" w:history="1">
        <w:r w:rsidRPr="005B702B">
          <w:rPr>
            <w:rStyle w:val="Hyperlink"/>
            <w:rFonts w:cs="Times New Roman"/>
            <w:sz w:val="22"/>
            <w:szCs w:val="22"/>
          </w:rPr>
          <w:t>https://m.economictimes.com/news/economy/policy/landmark-gst-reforms-to-boost-business-cut-prices-drive-consumption-growth-rbi-bulletin/articleshow/124094717.cms</w:t>
        </w:r>
      </w:hyperlink>
    </w:p>
    <w:p w14:paraId="67096CE6" w14:textId="6E81FE2C"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Fitch Ratings. (2025, September). </w:t>
      </w:r>
      <w:r w:rsidRPr="005B702B">
        <w:rPr>
          <w:rFonts w:cs="Times New Roman"/>
          <w:i/>
          <w:iCs/>
          <w:sz w:val="22"/>
          <w:szCs w:val="22"/>
        </w:rPr>
        <w:t>India’s GST Reforms Generally Positive for Consumption-Focused Issuers</w:t>
      </w:r>
      <w:r w:rsidRPr="005B702B">
        <w:rPr>
          <w:rFonts w:cs="Times New Roman"/>
          <w:sz w:val="22"/>
          <w:szCs w:val="22"/>
        </w:rPr>
        <w:t xml:space="preserve">. Retrieved from </w:t>
      </w:r>
      <w:hyperlink r:id="rId22" w:history="1">
        <w:r w:rsidR="007C7E5A" w:rsidRPr="005B702B">
          <w:rPr>
            <w:rStyle w:val="Hyperlink"/>
            <w:rFonts w:cs="Times New Roman"/>
            <w:sz w:val="22"/>
            <w:szCs w:val="22"/>
          </w:rPr>
          <w:t>https://www.fitchratings.com/research/corporate-finance/indias-gst-reforms-generally-positive-for-consumption-focused-issuers-10-09-2025</w:t>
        </w:r>
      </w:hyperlink>
    </w:p>
    <w:p w14:paraId="65A98AD7" w14:textId="45D3BD13"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GKToday</w:t>
      </w:r>
      <w:proofErr w:type="spellEnd"/>
      <w:r w:rsidRPr="005B702B">
        <w:rPr>
          <w:rFonts w:cs="Times New Roman"/>
          <w:sz w:val="22"/>
          <w:szCs w:val="22"/>
        </w:rPr>
        <w:t xml:space="preserve">. (2025, September). </w:t>
      </w:r>
      <w:r w:rsidRPr="005B702B">
        <w:rPr>
          <w:rFonts w:cs="Times New Roman"/>
          <w:i/>
          <w:iCs/>
          <w:sz w:val="22"/>
          <w:szCs w:val="22"/>
        </w:rPr>
        <w:t>GST 2.0 Reforms Simplify Taxation and Boost Consumption</w:t>
      </w:r>
      <w:r w:rsidRPr="005B702B">
        <w:rPr>
          <w:rFonts w:cs="Times New Roman"/>
          <w:sz w:val="22"/>
          <w:szCs w:val="22"/>
        </w:rPr>
        <w:t xml:space="preserve">. Retrieved from </w:t>
      </w:r>
      <w:hyperlink r:id="rId23" w:tgtFrame="_new" w:history="1">
        <w:r w:rsidRPr="005B702B">
          <w:rPr>
            <w:rStyle w:val="Hyperlink"/>
            <w:rFonts w:cs="Times New Roman"/>
            <w:sz w:val="22"/>
            <w:szCs w:val="22"/>
          </w:rPr>
          <w:t>https://www.gktoday.in/gst-2-0-reforms-simplify-taxation-and-boost-consumption/</w:t>
        </w:r>
      </w:hyperlink>
      <w:r w:rsidRPr="005B702B">
        <w:rPr>
          <w:rFonts w:cs="Times New Roman"/>
          <w:sz w:val="22"/>
          <w:szCs w:val="22"/>
        </w:rPr>
        <w:t xml:space="preserve"> </w:t>
      </w:r>
      <w:hyperlink r:id="rId24" w:tgtFrame="_blank" w:history="1">
        <w:proofErr w:type="spellStart"/>
        <w:r w:rsidRPr="005B702B">
          <w:rPr>
            <w:rStyle w:val="Hyperlink"/>
            <w:rFonts w:cs="Times New Roman"/>
            <w:sz w:val="22"/>
            <w:szCs w:val="22"/>
          </w:rPr>
          <w:t>GKToday</w:t>
        </w:r>
        <w:proofErr w:type="spellEnd"/>
      </w:hyperlink>
    </w:p>
    <w:p w14:paraId="344052D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IBEF. (2025, June 24). </w:t>
      </w:r>
      <w:r w:rsidRPr="005B702B">
        <w:rPr>
          <w:rFonts w:cs="Times New Roman"/>
          <w:i/>
          <w:iCs/>
          <w:sz w:val="22"/>
          <w:szCs w:val="22"/>
        </w:rPr>
        <w:t>Industry finds GST beneficial, seeks clarity and dispute reform: Survey</w:t>
      </w:r>
      <w:r w:rsidRPr="005B702B">
        <w:rPr>
          <w:rFonts w:cs="Times New Roman"/>
          <w:sz w:val="22"/>
          <w:szCs w:val="22"/>
        </w:rPr>
        <w:t xml:space="preserve">. Retrieved from </w:t>
      </w:r>
      <w:hyperlink r:id="rId25" w:tgtFrame="_new" w:history="1">
        <w:r w:rsidRPr="005B702B">
          <w:rPr>
            <w:rStyle w:val="Hyperlink"/>
            <w:rFonts w:cs="Times New Roman"/>
            <w:sz w:val="22"/>
            <w:szCs w:val="22"/>
          </w:rPr>
          <w:t>https://www.ibef.org/news/industry-finds-gst-beneficial-seeks-clarity-and-dispute-reform-survey</w:t>
        </w:r>
      </w:hyperlink>
      <w:r w:rsidRPr="005B702B">
        <w:rPr>
          <w:rFonts w:cs="Times New Roman"/>
          <w:sz w:val="22"/>
          <w:szCs w:val="22"/>
        </w:rPr>
        <w:t xml:space="preserve"> </w:t>
      </w:r>
      <w:hyperlink r:id="rId26" w:tgtFrame="_blank" w:history="1">
        <w:r w:rsidRPr="005B702B">
          <w:rPr>
            <w:rStyle w:val="Hyperlink"/>
            <w:rFonts w:cs="Times New Roman"/>
            <w:sz w:val="22"/>
            <w:szCs w:val="22"/>
          </w:rPr>
          <w:t>India Brand Equity Foundation</w:t>
        </w:r>
      </w:hyperlink>
    </w:p>
    <w:p w14:paraId="5B91CC07" w14:textId="4C32621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India Briefing. (2025, September 17).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7" w:history="1">
        <w:r w:rsidR="007C7E5A" w:rsidRPr="005B702B">
          <w:rPr>
            <w:rStyle w:val="Hyperlink"/>
            <w:rFonts w:cs="Times New Roman"/>
            <w:sz w:val="22"/>
            <w:szCs w:val="22"/>
          </w:rPr>
          <w:t>https://www.india-briefing.com/news/gst-cess-removal-india-2025-business-benefits-39879.html</w:t>
        </w:r>
      </w:hyperlink>
    </w:p>
    <w:p w14:paraId="56CE10AF" w14:textId="4DF3DB20" w:rsidR="007C7E5A" w:rsidRPr="005B702B" w:rsidRDefault="000B433F">
      <w:pPr>
        <w:pStyle w:val="ListParagraph"/>
        <w:numPr>
          <w:ilvl w:val="0"/>
          <w:numId w:val="16"/>
        </w:numPr>
        <w:rPr>
          <w:rFonts w:cs="Times New Roman"/>
          <w:sz w:val="22"/>
          <w:szCs w:val="22"/>
        </w:rPr>
      </w:pPr>
      <w:r w:rsidRPr="005B702B">
        <w:rPr>
          <w:rFonts w:cs="Times New Roman"/>
          <w:sz w:val="22"/>
          <w:szCs w:val="22"/>
        </w:rPr>
        <w:lastRenderedPageBreak/>
        <w:t xml:space="preserve">India Briefing. (2025, September 17).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8" w:history="1">
        <w:r w:rsidR="007C7E5A" w:rsidRPr="005B702B">
          <w:rPr>
            <w:rStyle w:val="Hyperlink"/>
            <w:rFonts w:cs="Times New Roman"/>
            <w:sz w:val="22"/>
            <w:szCs w:val="22"/>
          </w:rPr>
          <w:t>https://www.india-briefing.com/news/gst-cess-removal-india-2025-business-benefits-39879.html</w:t>
        </w:r>
      </w:hyperlink>
    </w:p>
    <w:p w14:paraId="1A336415" w14:textId="793DE76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India Briefing. (2025, September).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9" w:history="1">
        <w:r w:rsidR="007C7E5A" w:rsidRPr="005B702B">
          <w:rPr>
            <w:rStyle w:val="Hyperlink"/>
            <w:rFonts w:cs="Times New Roman"/>
            <w:sz w:val="22"/>
            <w:szCs w:val="22"/>
          </w:rPr>
          <w:t>https://www.india-briefing.com/news/gst-cess-removal-india-2025-business-benefits-39879.html</w:t>
        </w:r>
      </w:hyperlink>
    </w:p>
    <w:p w14:paraId="6FBFB14B" w14:textId="11879A3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Invest India. (2025, August). </w:t>
      </w:r>
      <w:r w:rsidRPr="005B702B">
        <w:rPr>
          <w:rFonts w:cs="Times New Roman"/>
          <w:i/>
          <w:iCs/>
          <w:sz w:val="22"/>
          <w:szCs w:val="22"/>
        </w:rPr>
        <w:t>How India’s tax reforms are shaping the investment landscape</w:t>
      </w:r>
      <w:r w:rsidRPr="005B702B">
        <w:rPr>
          <w:rFonts w:cs="Times New Roman"/>
          <w:sz w:val="22"/>
          <w:szCs w:val="22"/>
        </w:rPr>
        <w:t xml:space="preserve">. Retrieved from </w:t>
      </w:r>
      <w:hyperlink r:id="rId30" w:tgtFrame="_new" w:history="1">
        <w:r w:rsidRPr="005B702B">
          <w:rPr>
            <w:rStyle w:val="Hyperlink"/>
            <w:rFonts w:cs="Times New Roman"/>
            <w:sz w:val="22"/>
            <w:szCs w:val="22"/>
          </w:rPr>
          <w:t>https://www.investindia.gov.in/team-india-blogs/how-indias-tax-reforms-are-shaping-investment-landscape</w:t>
        </w:r>
      </w:hyperlink>
    </w:p>
    <w:p w14:paraId="28017193" w14:textId="275159DF"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Jaid</w:t>
      </w:r>
      <w:proofErr w:type="spellEnd"/>
      <w:r w:rsidRPr="005B702B">
        <w:rPr>
          <w:rFonts w:cs="Times New Roman"/>
          <w:sz w:val="22"/>
          <w:szCs w:val="22"/>
        </w:rPr>
        <w:t xml:space="preserve">, R., &amp; Lahoti, Y. (2023). </w:t>
      </w:r>
      <w:r w:rsidRPr="005B702B">
        <w:rPr>
          <w:rFonts w:cs="Times New Roman"/>
          <w:i/>
          <w:iCs/>
          <w:sz w:val="22"/>
          <w:szCs w:val="22"/>
        </w:rPr>
        <w:t>The Influence of GST on the Indian Economic Landscape: An Exploratory Study</w:t>
      </w:r>
      <w:r w:rsidRPr="005B702B">
        <w:rPr>
          <w:rFonts w:cs="Times New Roman"/>
          <w:sz w:val="22"/>
          <w:szCs w:val="22"/>
        </w:rPr>
        <w:t xml:space="preserve">. </w:t>
      </w:r>
      <w:r w:rsidRPr="005B702B">
        <w:rPr>
          <w:rFonts w:cs="Times New Roman"/>
          <w:i/>
          <w:iCs/>
          <w:sz w:val="22"/>
          <w:szCs w:val="22"/>
        </w:rPr>
        <w:t xml:space="preserve">Journal for </w:t>
      </w:r>
      <w:proofErr w:type="spellStart"/>
      <w:r w:rsidRPr="005B702B">
        <w:rPr>
          <w:rFonts w:cs="Times New Roman"/>
          <w:i/>
          <w:iCs/>
          <w:sz w:val="22"/>
          <w:szCs w:val="22"/>
        </w:rPr>
        <w:t>ReAttach</w:t>
      </w:r>
      <w:proofErr w:type="spellEnd"/>
      <w:r w:rsidRPr="005B702B">
        <w:rPr>
          <w:rFonts w:cs="Times New Roman"/>
          <w:i/>
          <w:iCs/>
          <w:sz w:val="22"/>
          <w:szCs w:val="22"/>
        </w:rPr>
        <w:t xml:space="preserve"> Therapy and Developmental Diversities</w:t>
      </w:r>
      <w:r w:rsidRPr="005B702B">
        <w:rPr>
          <w:rFonts w:cs="Times New Roman"/>
          <w:sz w:val="22"/>
          <w:szCs w:val="22"/>
        </w:rPr>
        <w:t xml:space="preserve">, 6(1), 969-973. </w:t>
      </w:r>
      <w:hyperlink r:id="rId31" w:tgtFrame="_blank" w:history="1">
        <w:r w:rsidRPr="005B702B">
          <w:rPr>
            <w:rStyle w:val="Hyperlink"/>
            <w:rFonts w:cs="Times New Roman"/>
            <w:sz w:val="22"/>
            <w:szCs w:val="22"/>
          </w:rPr>
          <w:t>jrtdd.com</w:t>
        </w:r>
      </w:hyperlink>
    </w:p>
    <w:p w14:paraId="5A6EDA76"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Joseph, K. J., &amp; </w:t>
      </w:r>
      <w:proofErr w:type="spellStart"/>
      <w:r w:rsidRPr="005B702B">
        <w:rPr>
          <w:rFonts w:cs="Times New Roman"/>
          <w:sz w:val="22"/>
          <w:szCs w:val="22"/>
        </w:rPr>
        <w:t>Anitha</w:t>
      </w:r>
      <w:proofErr w:type="spellEnd"/>
      <w:r w:rsidRPr="005B702B">
        <w:rPr>
          <w:rFonts w:cs="Times New Roman"/>
          <w:sz w:val="22"/>
          <w:szCs w:val="22"/>
        </w:rPr>
        <w:t xml:space="preserve"> </w:t>
      </w:r>
      <w:proofErr w:type="spellStart"/>
      <w:r w:rsidRPr="005B702B">
        <w:rPr>
          <w:rFonts w:cs="Times New Roman"/>
          <w:sz w:val="22"/>
          <w:szCs w:val="22"/>
        </w:rPr>
        <w:t>Kumary</w:t>
      </w:r>
      <w:proofErr w:type="spellEnd"/>
      <w:r w:rsidRPr="005B702B">
        <w:rPr>
          <w:rFonts w:cs="Times New Roman"/>
          <w:sz w:val="22"/>
          <w:szCs w:val="22"/>
        </w:rPr>
        <w:t xml:space="preserve">, L. (2023). </w:t>
      </w:r>
      <w:r w:rsidRPr="005B702B">
        <w:rPr>
          <w:rFonts w:cs="Times New Roman"/>
          <w:i/>
          <w:iCs/>
          <w:sz w:val="22"/>
          <w:szCs w:val="22"/>
        </w:rPr>
        <w:t>India’s GST Paradigm and the Trajectory of Fiscal Federalism: An Analysis with Special Reference to Kerala</w:t>
      </w:r>
      <w:r w:rsidRPr="005B702B">
        <w:rPr>
          <w:rFonts w:cs="Times New Roman"/>
          <w:sz w:val="22"/>
          <w:szCs w:val="22"/>
        </w:rPr>
        <w:t xml:space="preserve">. Sage Publications. </w:t>
      </w:r>
      <w:hyperlink r:id="rId32" w:tgtFrame="_blank" w:history="1">
        <w:r w:rsidRPr="005B702B">
          <w:rPr>
            <w:rStyle w:val="Hyperlink"/>
            <w:rFonts w:cs="Times New Roman"/>
            <w:sz w:val="22"/>
            <w:szCs w:val="22"/>
          </w:rPr>
          <w:t>SAGE Journals</w:t>
        </w:r>
      </w:hyperlink>
    </w:p>
    <w:p w14:paraId="69BFB456" w14:textId="281C11C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Joseph, K. J., &amp; </w:t>
      </w:r>
      <w:proofErr w:type="spellStart"/>
      <w:r w:rsidRPr="005B702B">
        <w:rPr>
          <w:rFonts w:cs="Times New Roman"/>
          <w:sz w:val="22"/>
          <w:szCs w:val="22"/>
        </w:rPr>
        <w:t>Anitha</w:t>
      </w:r>
      <w:proofErr w:type="spellEnd"/>
      <w:r w:rsidRPr="005B702B">
        <w:rPr>
          <w:rFonts w:cs="Times New Roman"/>
          <w:sz w:val="22"/>
          <w:szCs w:val="22"/>
        </w:rPr>
        <w:t xml:space="preserve"> </w:t>
      </w:r>
      <w:proofErr w:type="spellStart"/>
      <w:r w:rsidRPr="005B702B">
        <w:rPr>
          <w:rFonts w:cs="Times New Roman"/>
          <w:sz w:val="22"/>
          <w:szCs w:val="22"/>
        </w:rPr>
        <w:t>Kumary</w:t>
      </w:r>
      <w:proofErr w:type="spellEnd"/>
      <w:r w:rsidRPr="005B702B">
        <w:rPr>
          <w:rFonts w:cs="Times New Roman"/>
          <w:sz w:val="22"/>
          <w:szCs w:val="22"/>
        </w:rPr>
        <w:t xml:space="preserve">, L. (2023). </w:t>
      </w:r>
      <w:r w:rsidRPr="005B702B">
        <w:rPr>
          <w:rFonts w:cs="Times New Roman"/>
          <w:i/>
          <w:iCs/>
          <w:sz w:val="22"/>
          <w:szCs w:val="22"/>
        </w:rPr>
        <w:t>India’s GST Paradigm and the Trajectory of Fiscal Federalism: An Analysis with Special Reference to Kerala</w:t>
      </w:r>
      <w:r w:rsidRPr="005B702B">
        <w:rPr>
          <w:rFonts w:cs="Times New Roman"/>
          <w:sz w:val="22"/>
          <w:szCs w:val="22"/>
        </w:rPr>
        <w:t xml:space="preserve">. </w:t>
      </w:r>
      <w:r w:rsidRPr="005B702B">
        <w:rPr>
          <w:rFonts w:cs="Times New Roman"/>
          <w:i/>
          <w:iCs/>
          <w:sz w:val="22"/>
          <w:szCs w:val="22"/>
        </w:rPr>
        <w:t>Indian Economic Journal</w:t>
      </w:r>
      <w:r w:rsidRPr="005B702B">
        <w:rPr>
          <w:rFonts w:cs="Times New Roman"/>
          <w:sz w:val="22"/>
          <w:szCs w:val="22"/>
        </w:rPr>
        <w:t xml:space="preserve">, 71(1). </w:t>
      </w:r>
      <w:hyperlink r:id="rId33" w:tgtFrame="_new" w:history="1">
        <w:r w:rsidRPr="005B702B">
          <w:rPr>
            <w:rStyle w:val="Hyperlink"/>
            <w:rFonts w:cs="Times New Roman"/>
            <w:sz w:val="22"/>
            <w:szCs w:val="22"/>
          </w:rPr>
          <w:t>https://journals.sagepub.com/doi/10.1177/00194662221146640</w:t>
        </w:r>
      </w:hyperlink>
    </w:p>
    <w:p w14:paraId="7A762E6A" w14:textId="1282C8B2"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Kanojia</w:t>
      </w:r>
      <w:proofErr w:type="spellEnd"/>
      <w:r w:rsidRPr="005B702B">
        <w:rPr>
          <w:rFonts w:cs="Times New Roman"/>
          <w:sz w:val="22"/>
          <w:szCs w:val="22"/>
        </w:rPr>
        <w:t xml:space="preserve">, C., &amp; Gautam, S. (2023). </w:t>
      </w:r>
      <w:r w:rsidRPr="005B702B">
        <w:rPr>
          <w:rFonts w:cs="Times New Roman"/>
          <w:i/>
          <w:iCs/>
          <w:sz w:val="22"/>
          <w:szCs w:val="22"/>
        </w:rPr>
        <w:t>GST Compensation Cess in Light of the Recent Financial Developments</w:t>
      </w:r>
      <w:r w:rsidRPr="005B702B">
        <w:rPr>
          <w:rFonts w:cs="Times New Roman"/>
          <w:sz w:val="22"/>
          <w:szCs w:val="22"/>
        </w:rPr>
        <w:t xml:space="preserve">. </w:t>
      </w:r>
      <w:r w:rsidRPr="005B702B">
        <w:rPr>
          <w:rFonts w:cs="Times New Roman"/>
          <w:i/>
          <w:iCs/>
          <w:sz w:val="22"/>
          <w:szCs w:val="22"/>
        </w:rPr>
        <w:t>Vision: Journal of Indian Taxation</w:t>
      </w:r>
      <w:r w:rsidRPr="005B702B">
        <w:rPr>
          <w:rFonts w:cs="Times New Roman"/>
          <w:sz w:val="22"/>
          <w:szCs w:val="22"/>
        </w:rPr>
        <w:t xml:space="preserve">, 10(1). Retrieved from </w:t>
      </w:r>
      <w:hyperlink r:id="rId34" w:tgtFrame="_new" w:history="1">
        <w:r w:rsidRPr="005B702B">
          <w:rPr>
            <w:rStyle w:val="Hyperlink"/>
            <w:rFonts w:cs="Times New Roman"/>
            <w:sz w:val="22"/>
            <w:szCs w:val="22"/>
          </w:rPr>
          <w:t>https://www.journalpressindia.com/vision-journal-of-indian-taxation/doi/10.17492/jpi.vision.v10i1.1012306</w:t>
        </w:r>
      </w:hyperlink>
    </w:p>
    <w:p w14:paraId="22DF9D48" w14:textId="3E5A0764"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Kesari</w:t>
      </w:r>
      <w:proofErr w:type="spellEnd"/>
      <w:r w:rsidRPr="005B702B">
        <w:rPr>
          <w:rFonts w:cs="Times New Roman"/>
          <w:sz w:val="22"/>
          <w:szCs w:val="22"/>
        </w:rPr>
        <w:t xml:space="preserve">, N. (2025). </w:t>
      </w:r>
      <w:r w:rsidRPr="005B702B">
        <w:rPr>
          <w:rFonts w:cs="Times New Roman"/>
          <w:i/>
          <w:iCs/>
          <w:sz w:val="22"/>
          <w:szCs w:val="22"/>
        </w:rPr>
        <w:t>GST Implementation and its Impact on Small Business Tax Compliance Costs in India</w:t>
      </w:r>
      <w:r w:rsidRPr="005B702B">
        <w:rPr>
          <w:rFonts w:cs="Times New Roman"/>
          <w:sz w:val="22"/>
          <w:szCs w:val="22"/>
        </w:rPr>
        <w:t xml:space="preserve">. Journal of Information Systems Engineering and Management. Retrieved from </w:t>
      </w:r>
      <w:hyperlink r:id="rId35" w:tgtFrame="_blank" w:history="1">
        <w:r w:rsidRPr="005B702B">
          <w:rPr>
            <w:rStyle w:val="Hyperlink"/>
            <w:rFonts w:cs="Times New Roman"/>
            <w:sz w:val="22"/>
            <w:szCs w:val="22"/>
          </w:rPr>
          <w:t>JISEM</w:t>
        </w:r>
      </w:hyperlink>
    </w:p>
    <w:p w14:paraId="734CE2CF" w14:textId="2F4AC83C" w:rsidR="007C7E5A"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Lexology</w:t>
      </w:r>
      <w:proofErr w:type="spellEnd"/>
      <w:r w:rsidRPr="005B702B">
        <w:rPr>
          <w:rFonts w:cs="Times New Roman"/>
          <w:sz w:val="22"/>
          <w:szCs w:val="22"/>
        </w:rPr>
        <w:t xml:space="preserve">. (2025, September). </w:t>
      </w:r>
      <w:r w:rsidRPr="005B702B">
        <w:rPr>
          <w:rFonts w:cs="Times New Roman"/>
          <w:i/>
          <w:iCs/>
          <w:sz w:val="22"/>
          <w:szCs w:val="22"/>
        </w:rPr>
        <w:t>GST 2.0 Reforms: Anti-Profiteering Provisions on a Possible Revival Path</w:t>
      </w:r>
      <w:r w:rsidRPr="005B702B">
        <w:rPr>
          <w:rFonts w:cs="Times New Roman"/>
          <w:sz w:val="22"/>
          <w:szCs w:val="22"/>
        </w:rPr>
        <w:t xml:space="preserve">. Retrieved from </w:t>
      </w:r>
      <w:hyperlink r:id="rId36" w:history="1">
        <w:r w:rsidR="007C7E5A" w:rsidRPr="005B702B">
          <w:rPr>
            <w:rStyle w:val="Hyperlink"/>
            <w:rFonts w:cs="Times New Roman"/>
            <w:sz w:val="22"/>
            <w:szCs w:val="22"/>
          </w:rPr>
          <w:t>https://www.lexology.com/library/detail.aspx?g=c5191a4a-83d3-4c49-a3a5-95d50ca7df42</w:t>
        </w:r>
      </w:hyperlink>
    </w:p>
    <w:p w14:paraId="0FB30D1B" w14:textId="2F4E8B90"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Mehta, D., &amp; Mukherjee, S. (2021). </w:t>
      </w:r>
      <w:r w:rsidRPr="005B702B">
        <w:rPr>
          <w:rFonts w:cs="Times New Roman"/>
          <w:i/>
          <w:iCs/>
          <w:sz w:val="22"/>
          <w:szCs w:val="22"/>
        </w:rPr>
        <w:t>Emerging Issues in GST Law and Procedures: An Assessment</w:t>
      </w:r>
      <w:r w:rsidRPr="005B702B">
        <w:rPr>
          <w:rFonts w:cs="Times New Roman"/>
          <w:sz w:val="22"/>
          <w:szCs w:val="22"/>
        </w:rPr>
        <w:t xml:space="preserve"> (Working Paper No. 21/347). National Institute of Public Finance and Policy. </w:t>
      </w:r>
      <w:hyperlink r:id="rId37" w:tgtFrame="_blank" w:history="1">
        <w:r w:rsidRPr="005B702B">
          <w:rPr>
            <w:rStyle w:val="Hyperlink"/>
            <w:rFonts w:cs="Times New Roman"/>
            <w:sz w:val="22"/>
            <w:szCs w:val="22"/>
          </w:rPr>
          <w:t>IDEAS/</w:t>
        </w:r>
        <w:proofErr w:type="spellStart"/>
        <w:r w:rsidRPr="005B702B">
          <w:rPr>
            <w:rStyle w:val="Hyperlink"/>
            <w:rFonts w:cs="Times New Roman"/>
            <w:sz w:val="22"/>
            <w:szCs w:val="22"/>
          </w:rPr>
          <w:t>RePEc</w:t>
        </w:r>
        <w:proofErr w:type="spellEnd"/>
      </w:hyperlink>
    </w:p>
    <w:p w14:paraId="630A83AC"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MSMEStory</w:t>
      </w:r>
      <w:proofErr w:type="spellEnd"/>
      <w:r w:rsidRPr="005B702B">
        <w:rPr>
          <w:rFonts w:cs="Times New Roman"/>
          <w:sz w:val="22"/>
          <w:szCs w:val="22"/>
        </w:rPr>
        <w:t xml:space="preserve">. (2025). </w:t>
      </w:r>
      <w:r w:rsidRPr="005B702B">
        <w:rPr>
          <w:rFonts w:cs="Times New Roman"/>
          <w:i/>
          <w:iCs/>
          <w:sz w:val="22"/>
          <w:szCs w:val="22"/>
        </w:rPr>
        <w:t>GST Reforms 2025: Simplified Slabs, Consumer Relief &amp; MSME Empowerment</w:t>
      </w:r>
      <w:r w:rsidRPr="005B702B">
        <w:rPr>
          <w:rFonts w:cs="Times New Roman"/>
          <w:sz w:val="22"/>
          <w:szCs w:val="22"/>
        </w:rPr>
        <w:t xml:space="preserve">. Retrieved from </w:t>
      </w:r>
      <w:hyperlink r:id="rId38" w:tgtFrame="_new" w:history="1">
        <w:r w:rsidRPr="005B702B">
          <w:rPr>
            <w:rStyle w:val="Hyperlink"/>
            <w:rFonts w:cs="Times New Roman"/>
            <w:sz w:val="22"/>
            <w:szCs w:val="22"/>
          </w:rPr>
          <w:t>https://msmestory.com/business-updates/gst-reforms-simplified-new-rates</w:t>
        </w:r>
      </w:hyperlink>
      <w:r w:rsidRPr="005B702B">
        <w:rPr>
          <w:rFonts w:cs="Times New Roman"/>
          <w:sz w:val="22"/>
          <w:szCs w:val="22"/>
        </w:rPr>
        <w:t xml:space="preserve"> </w:t>
      </w:r>
      <w:hyperlink r:id="rId39" w:tgtFrame="_blank" w:history="1">
        <w:proofErr w:type="spellStart"/>
        <w:r w:rsidRPr="005B702B">
          <w:rPr>
            <w:rStyle w:val="Hyperlink"/>
            <w:rFonts w:cs="Times New Roman"/>
            <w:sz w:val="22"/>
            <w:szCs w:val="22"/>
          </w:rPr>
          <w:t>MSMEStory</w:t>
        </w:r>
        <w:proofErr w:type="spellEnd"/>
      </w:hyperlink>
    </w:p>
    <w:p w14:paraId="256A4689"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NDTV. (2025, September). </w:t>
      </w:r>
      <w:r w:rsidRPr="005B702B">
        <w:rPr>
          <w:rFonts w:cs="Times New Roman"/>
          <w:i/>
          <w:iCs/>
          <w:sz w:val="22"/>
          <w:szCs w:val="22"/>
        </w:rPr>
        <w:t>GST 2.0 Takes Effect, Food, Cars, TVs Become Cheaper</w:t>
      </w:r>
      <w:r w:rsidRPr="005B702B">
        <w:rPr>
          <w:rFonts w:cs="Times New Roman"/>
          <w:sz w:val="22"/>
          <w:szCs w:val="22"/>
        </w:rPr>
        <w:t xml:space="preserve">. Retrieved from </w:t>
      </w:r>
      <w:hyperlink r:id="rId40" w:tgtFrame="_new" w:history="1">
        <w:r w:rsidRPr="005B702B">
          <w:rPr>
            <w:rStyle w:val="Hyperlink"/>
            <w:rFonts w:cs="Times New Roman"/>
            <w:sz w:val="22"/>
            <w:szCs w:val="22"/>
          </w:rPr>
          <w:t>https://www.ndtv.com/india-news/new-gst-2-0-rates-live-updates-gst-slabs-reduction-tax-pm-modi-nirmala-sitharaman-taxation-reforms-22-september-2025-cars-bikes-milk-grocery-flight-ti-9319599</w:t>
        </w:r>
      </w:hyperlink>
    </w:p>
    <w:p w14:paraId="7920C29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NDTV. (2025, September). </w:t>
      </w:r>
      <w:r w:rsidRPr="005B702B">
        <w:rPr>
          <w:rFonts w:cs="Times New Roman"/>
          <w:i/>
          <w:iCs/>
          <w:sz w:val="22"/>
          <w:szCs w:val="22"/>
        </w:rPr>
        <w:t>New GST Rates Highlights: GST 2.0 takes effect, food, cars, TVs become cheaper</w:t>
      </w:r>
      <w:r w:rsidRPr="005B702B">
        <w:rPr>
          <w:rFonts w:cs="Times New Roman"/>
          <w:sz w:val="22"/>
          <w:szCs w:val="22"/>
        </w:rPr>
        <w:t xml:space="preserve">. Retrieved from </w:t>
      </w:r>
      <w:hyperlink r:id="rId41" w:tgtFrame="_new" w:history="1">
        <w:r w:rsidRPr="005B702B">
          <w:rPr>
            <w:rStyle w:val="Hyperlink"/>
            <w:rFonts w:cs="Times New Roman"/>
            <w:sz w:val="22"/>
            <w:szCs w:val="22"/>
          </w:rPr>
          <w:t>https://www.ndtv.com/india-news/new-gst-2-0-rates-live-updates-gst-slabs-reduction-tax-pm-modi-nirmala-sitharaman-taxation-reforms-22-september-2025-cars-bikes-milk-grocery-flight-ti-9319599</w:t>
        </w:r>
      </w:hyperlink>
    </w:p>
    <w:p w14:paraId="78D53BD8"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Neetha</w:t>
      </w:r>
      <w:proofErr w:type="spellEnd"/>
      <w:r w:rsidRPr="005B702B">
        <w:rPr>
          <w:rFonts w:cs="Times New Roman"/>
          <w:sz w:val="22"/>
          <w:szCs w:val="22"/>
        </w:rPr>
        <w:t xml:space="preserve"> Sai, M., &amp; Sundar, V. (2024). </w:t>
      </w:r>
      <w:r w:rsidRPr="005B702B">
        <w:rPr>
          <w:rFonts w:cs="Times New Roman"/>
          <w:i/>
          <w:iCs/>
          <w:sz w:val="22"/>
          <w:szCs w:val="22"/>
        </w:rPr>
        <w:t>GST Practitioners’ Perception of the Complexity of GST Compliance Procedures and Their Satisfaction: A PLS-SEM and IPMA Approach</w:t>
      </w:r>
      <w:r w:rsidRPr="005B702B">
        <w:rPr>
          <w:rFonts w:cs="Times New Roman"/>
          <w:sz w:val="22"/>
          <w:szCs w:val="22"/>
        </w:rPr>
        <w:t xml:space="preserve">. Journal of Information Systems Engineering and Management. </w:t>
      </w:r>
      <w:hyperlink r:id="rId42" w:tgtFrame="_blank" w:history="1">
        <w:r w:rsidRPr="005B702B">
          <w:rPr>
            <w:rStyle w:val="Hyperlink"/>
            <w:rFonts w:cs="Times New Roman"/>
            <w:sz w:val="22"/>
            <w:szCs w:val="22"/>
          </w:rPr>
          <w:t>JISEM</w:t>
        </w:r>
      </w:hyperlink>
    </w:p>
    <w:p w14:paraId="2765C162" w14:textId="199DD08E"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Ode, D. A. (2025). </w:t>
      </w:r>
      <w:r w:rsidRPr="005B702B">
        <w:rPr>
          <w:rFonts w:cs="Times New Roman"/>
          <w:i/>
          <w:iCs/>
          <w:sz w:val="22"/>
          <w:szCs w:val="22"/>
        </w:rPr>
        <w:t>Impact of the New GST Structure-2025 on the Indian Economy</w:t>
      </w:r>
      <w:r w:rsidRPr="005B702B">
        <w:rPr>
          <w:rFonts w:cs="Times New Roman"/>
          <w:sz w:val="22"/>
          <w:szCs w:val="22"/>
        </w:rPr>
        <w:t xml:space="preserve">. </w:t>
      </w:r>
      <w:r w:rsidRPr="005B702B">
        <w:rPr>
          <w:rFonts w:cs="Times New Roman"/>
          <w:i/>
          <w:iCs/>
          <w:sz w:val="22"/>
          <w:szCs w:val="22"/>
        </w:rPr>
        <w:t>International Journal of Social Impact</w:t>
      </w:r>
      <w:r w:rsidRPr="005B702B">
        <w:rPr>
          <w:rFonts w:cs="Times New Roman"/>
          <w:sz w:val="22"/>
          <w:szCs w:val="22"/>
        </w:rPr>
        <w:t xml:space="preserve">. Retrieved from </w:t>
      </w:r>
      <w:hyperlink r:id="rId43" w:tgtFrame="_new" w:history="1">
        <w:r w:rsidRPr="005B702B">
          <w:rPr>
            <w:rStyle w:val="Hyperlink"/>
            <w:rFonts w:cs="Times New Roman"/>
            <w:sz w:val="22"/>
            <w:szCs w:val="22"/>
          </w:rPr>
          <w:t>https://ijsi.in/articles/gst/</w:t>
        </w:r>
      </w:hyperlink>
    </w:p>
    <w:p w14:paraId="05B8A672"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One Hundred and First Amendment to the Constitution of India. (2016). </w:t>
      </w:r>
      <w:r w:rsidRPr="005B702B">
        <w:rPr>
          <w:rFonts w:cs="Times New Roman"/>
          <w:i/>
          <w:iCs/>
          <w:sz w:val="22"/>
          <w:szCs w:val="22"/>
        </w:rPr>
        <w:t>Constitutional amendment introducing GST</w:t>
      </w:r>
      <w:r w:rsidRPr="005B702B">
        <w:rPr>
          <w:rFonts w:cs="Times New Roman"/>
          <w:sz w:val="22"/>
          <w:szCs w:val="22"/>
        </w:rPr>
        <w:t xml:space="preserve">. Retrieved from </w:t>
      </w:r>
      <w:hyperlink r:id="rId44" w:tgtFrame="_new" w:history="1">
        <w:r w:rsidRPr="005B702B">
          <w:rPr>
            <w:rStyle w:val="Hyperlink"/>
            <w:rFonts w:cs="Times New Roman"/>
            <w:sz w:val="22"/>
            <w:szCs w:val="22"/>
          </w:rPr>
          <w:t>https://en.wikipedia.org/wiki/One_Hundred_and_First_Amendment_to_the_Constitution_of_India</w:t>
        </w:r>
      </w:hyperlink>
    </w:p>
    <w:p w14:paraId="17D60EBA" w14:textId="56568A0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Pandey, P. K., &amp; Rana, R. (2021). </w:t>
      </w:r>
      <w:r w:rsidRPr="005B702B">
        <w:rPr>
          <w:rFonts w:cs="Times New Roman"/>
          <w:i/>
          <w:iCs/>
          <w:sz w:val="22"/>
          <w:szCs w:val="22"/>
        </w:rPr>
        <w:t>GST and Ease of Doing Business in India: Bottlenecks and Scope for Further Improvement</w:t>
      </w:r>
      <w:r w:rsidRPr="005B702B">
        <w:rPr>
          <w:rFonts w:cs="Times New Roman"/>
          <w:sz w:val="22"/>
          <w:szCs w:val="22"/>
        </w:rPr>
        <w:t xml:space="preserve">. The Management Accountant Journal, 56(7), 45-47. </w:t>
      </w:r>
      <w:hyperlink r:id="rId45" w:tgtFrame="_blank" w:history="1">
        <w:r w:rsidRPr="005B702B">
          <w:rPr>
            <w:rStyle w:val="Hyperlink"/>
            <w:rFonts w:cs="Times New Roman"/>
            <w:sz w:val="22"/>
            <w:szCs w:val="22"/>
          </w:rPr>
          <w:t>ICMAI RNJ</w:t>
        </w:r>
      </w:hyperlink>
    </w:p>
    <w:p w14:paraId="09FFA89A"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PIB. (2025, September). </w:t>
      </w:r>
      <w:r w:rsidRPr="005B702B">
        <w:rPr>
          <w:rFonts w:cs="Times New Roman"/>
          <w:i/>
          <w:iCs/>
          <w:sz w:val="22"/>
          <w:szCs w:val="22"/>
        </w:rPr>
        <w:t>GST Reforms 2025: Relief for Common Man, Boost Growth</w:t>
      </w:r>
      <w:r w:rsidRPr="005B702B">
        <w:rPr>
          <w:rFonts w:cs="Times New Roman"/>
          <w:sz w:val="22"/>
          <w:szCs w:val="22"/>
        </w:rPr>
        <w:t xml:space="preserve"> [Press Note]. Retrieved from </w:t>
      </w:r>
      <w:hyperlink r:id="rId46" w:tgtFrame="_new" w:history="1">
        <w:r w:rsidRPr="005B702B">
          <w:rPr>
            <w:rStyle w:val="Hyperlink"/>
            <w:rFonts w:cs="Times New Roman"/>
            <w:sz w:val="22"/>
            <w:szCs w:val="22"/>
          </w:rPr>
          <w:t>https://www.pib.gov.in/PressNoteDetails.aspx?ModuleId=3&amp;NoteId=155151</w:t>
        </w:r>
      </w:hyperlink>
    </w:p>
    <w:p w14:paraId="2FF3C3C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PIB. (2025, September). </w:t>
      </w:r>
      <w:r w:rsidRPr="005B702B">
        <w:rPr>
          <w:rFonts w:cs="Times New Roman"/>
          <w:i/>
          <w:iCs/>
          <w:sz w:val="22"/>
          <w:szCs w:val="22"/>
        </w:rPr>
        <w:t>GST Reforms: Relief for Common Man, Boost Growth</w:t>
      </w:r>
      <w:r w:rsidRPr="005B702B">
        <w:rPr>
          <w:rFonts w:cs="Times New Roman"/>
          <w:sz w:val="22"/>
          <w:szCs w:val="22"/>
        </w:rPr>
        <w:t xml:space="preserve"> [Press Note]. Retrieved from </w:t>
      </w:r>
      <w:hyperlink r:id="rId47" w:tgtFrame="_new" w:history="1">
        <w:r w:rsidRPr="005B702B">
          <w:rPr>
            <w:rStyle w:val="Hyperlink"/>
            <w:rFonts w:cs="Times New Roman"/>
            <w:sz w:val="22"/>
            <w:szCs w:val="22"/>
          </w:rPr>
          <w:t>https://www.pib.gov.in/PressNoteDetails.aspx?ModuleId=3&amp;NoteId=155151</w:t>
        </w:r>
      </w:hyperlink>
      <w:r w:rsidRPr="005B702B">
        <w:rPr>
          <w:rFonts w:cs="Times New Roman"/>
          <w:sz w:val="22"/>
          <w:szCs w:val="22"/>
        </w:rPr>
        <w:t xml:space="preserve"> (PIB, 2025)</w:t>
      </w:r>
    </w:p>
    <w:p w14:paraId="0C66F469" w14:textId="57EDE67B"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Pro Analyser. (2025, August 19). </w:t>
      </w:r>
      <w:r w:rsidRPr="005B702B">
        <w:rPr>
          <w:rFonts w:cs="Times New Roman"/>
          <w:i/>
          <w:iCs/>
          <w:sz w:val="22"/>
          <w:szCs w:val="22"/>
        </w:rPr>
        <w:t>GST 2025 Reform Tracker: 3-Tier Rates, IMS, and GSTAT – What to Do This Quarter</w:t>
      </w:r>
      <w:r w:rsidRPr="005B702B">
        <w:rPr>
          <w:rFonts w:cs="Times New Roman"/>
          <w:sz w:val="22"/>
          <w:szCs w:val="22"/>
        </w:rPr>
        <w:t xml:space="preserve">. Retrieved from </w:t>
      </w:r>
      <w:hyperlink r:id="rId48" w:history="1">
        <w:r w:rsidR="007C7E5A" w:rsidRPr="005B702B">
          <w:rPr>
            <w:rStyle w:val="Hyperlink"/>
            <w:rFonts w:cs="Times New Roman"/>
            <w:sz w:val="22"/>
            <w:szCs w:val="22"/>
          </w:rPr>
          <w:t>https://proanalyser.in/gst-reform-2025-cfo-playbook-on-3-tier-gst-rate-gstat-ims/</w:t>
        </w:r>
      </w:hyperlink>
    </w:p>
    <w:p w14:paraId="1557079F" w14:textId="3F571FAD"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PwC. (2025). </w:t>
      </w:r>
      <w:r w:rsidRPr="005B702B">
        <w:rPr>
          <w:rFonts w:cs="Times New Roman"/>
          <w:i/>
          <w:iCs/>
          <w:sz w:val="22"/>
          <w:szCs w:val="22"/>
        </w:rPr>
        <w:t>Eight years of GST: A time to reflect, a time to reform</w:t>
      </w:r>
      <w:r w:rsidRPr="005B702B">
        <w:rPr>
          <w:rFonts w:cs="Times New Roman"/>
          <w:sz w:val="22"/>
          <w:szCs w:val="22"/>
        </w:rPr>
        <w:t xml:space="preserve">. Retrieved from </w:t>
      </w:r>
      <w:hyperlink r:id="rId49" w:tgtFrame="_new" w:history="1">
        <w:r w:rsidRPr="005B702B">
          <w:rPr>
            <w:rStyle w:val="Hyperlink"/>
            <w:rFonts w:cs="Times New Roman"/>
            <w:sz w:val="22"/>
            <w:szCs w:val="22"/>
          </w:rPr>
          <w:t>https://www.pwc.in/assets/pdfs/eight-years-of-gst-a-time-to-reflect-a-time-to-reform-wcag.pdf</w:t>
        </w:r>
      </w:hyperlink>
    </w:p>
    <w:p w14:paraId="40B5B1DA" w14:textId="2648C0D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Rajagopalan, S. (2023). </w:t>
      </w:r>
      <w:r w:rsidRPr="005B702B">
        <w:rPr>
          <w:rFonts w:cs="Times New Roman"/>
          <w:i/>
          <w:iCs/>
          <w:sz w:val="22"/>
          <w:szCs w:val="22"/>
        </w:rPr>
        <w:t>The Equity-Complexity Trade-off in Tax Policy: Lessons from the Goods and Services Tax in India</w:t>
      </w:r>
      <w:r w:rsidRPr="005B702B">
        <w:rPr>
          <w:rFonts w:cs="Times New Roman"/>
          <w:sz w:val="22"/>
          <w:szCs w:val="22"/>
        </w:rPr>
        <w:t xml:space="preserve">. Social Philosophy and Policy. Cambridge University Press. </w:t>
      </w:r>
      <w:hyperlink r:id="rId50" w:tgtFrame="_blank" w:history="1">
        <w:r w:rsidRPr="005B702B">
          <w:rPr>
            <w:rStyle w:val="Hyperlink"/>
            <w:rFonts w:cs="Times New Roman"/>
            <w:sz w:val="22"/>
            <w:szCs w:val="22"/>
          </w:rPr>
          <w:t>Cambridge University Press &amp; Assessment</w:t>
        </w:r>
      </w:hyperlink>
    </w:p>
    <w:p w14:paraId="76AAB4A8" w14:textId="1CAA599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August). </w:t>
      </w:r>
      <w:r w:rsidRPr="005B702B">
        <w:rPr>
          <w:rFonts w:cs="Times New Roman"/>
          <w:i/>
          <w:iCs/>
          <w:sz w:val="22"/>
          <w:szCs w:val="22"/>
        </w:rPr>
        <w:t>India’s complex GST tax and how Modi’s reform will make goods cheaper</w:t>
      </w:r>
      <w:r w:rsidRPr="005B702B">
        <w:rPr>
          <w:rFonts w:cs="Times New Roman"/>
          <w:sz w:val="22"/>
          <w:szCs w:val="22"/>
        </w:rPr>
        <w:t xml:space="preserve">. Retrieved from </w:t>
      </w:r>
      <w:hyperlink r:id="rId51" w:history="1">
        <w:r w:rsidR="007C7E5A" w:rsidRPr="005B702B">
          <w:rPr>
            <w:rStyle w:val="Hyperlink"/>
            <w:rFonts w:cs="Times New Roman"/>
            <w:sz w:val="22"/>
            <w:szCs w:val="22"/>
          </w:rPr>
          <w:t>https://www.reuters.com/world/india/indias-complex-gst-tax-how-modis-reform-will-make-goods-cheaper-2025-08-19/</w:t>
        </w:r>
      </w:hyperlink>
    </w:p>
    <w:p w14:paraId="1B35CAF7" w14:textId="3E1E9E86"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3). </w:t>
      </w:r>
      <w:r w:rsidRPr="005B702B">
        <w:rPr>
          <w:rFonts w:cs="Times New Roman"/>
          <w:i/>
          <w:iCs/>
          <w:sz w:val="22"/>
          <w:szCs w:val="22"/>
        </w:rPr>
        <w:t>India slashes consumption tax on hundreds of items to spur domestic demand</w:t>
      </w:r>
      <w:r w:rsidRPr="005B702B">
        <w:rPr>
          <w:rFonts w:cs="Times New Roman"/>
          <w:sz w:val="22"/>
          <w:szCs w:val="22"/>
        </w:rPr>
        <w:t xml:space="preserve">. Retrieved from </w:t>
      </w:r>
      <w:hyperlink r:id="rId52" w:history="1">
        <w:r w:rsidR="007C7E5A" w:rsidRPr="005B702B">
          <w:rPr>
            <w:rStyle w:val="Hyperlink"/>
            <w:rFonts w:cs="Times New Roman"/>
            <w:sz w:val="22"/>
            <w:szCs w:val="22"/>
          </w:rPr>
          <w:t>https://www.reuters.com/world/india/india-slashes-consumption-tax-hundreds-items-spur-domestic-demand-2025-09-03/</w:t>
        </w:r>
      </w:hyperlink>
    </w:p>
    <w:p w14:paraId="2BE1EEB9" w14:textId="6A35561F"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4). </w:t>
      </w:r>
      <w:r w:rsidRPr="005B702B">
        <w:rPr>
          <w:rFonts w:cs="Times New Roman"/>
          <w:i/>
          <w:iCs/>
          <w:sz w:val="22"/>
          <w:szCs w:val="22"/>
        </w:rPr>
        <w:t>Winners and losers in India’s sweeping GST overhaul</w:t>
      </w:r>
      <w:r w:rsidRPr="005B702B">
        <w:rPr>
          <w:rFonts w:cs="Times New Roman"/>
          <w:sz w:val="22"/>
          <w:szCs w:val="22"/>
        </w:rPr>
        <w:t>. Retrieved from https://www.reuters.com/world/india/winners-losers-indias-sweeping-gst-overhaul-2025-09-04/</w:t>
      </w:r>
    </w:p>
    <w:p w14:paraId="158FFE2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w:t>
      </w:r>
      <w:r w:rsidRPr="005B702B">
        <w:rPr>
          <w:rFonts w:cs="Times New Roman"/>
          <w:i/>
          <w:iCs/>
          <w:sz w:val="22"/>
          <w:szCs w:val="22"/>
        </w:rPr>
        <w:t>India tax reforms to ease retail prices, boost consumption, RBI bulletin says</w:t>
      </w:r>
      <w:r w:rsidRPr="005B702B">
        <w:rPr>
          <w:rFonts w:cs="Times New Roman"/>
          <w:sz w:val="22"/>
          <w:szCs w:val="22"/>
        </w:rPr>
        <w:t xml:space="preserve">. Retrieved from </w:t>
      </w:r>
      <w:hyperlink r:id="rId53" w:tgtFrame="_new" w:history="1">
        <w:r w:rsidRPr="005B702B">
          <w:rPr>
            <w:rStyle w:val="Hyperlink"/>
            <w:rFonts w:cs="Times New Roman"/>
            <w:sz w:val="22"/>
            <w:szCs w:val="22"/>
          </w:rPr>
          <w:t>https://www.reuters.com/world/india/india-tax-reforms-ease-retail-prices-boost-consumption-rbi-bulletin-says-2025-09-24/</w:t>
        </w:r>
      </w:hyperlink>
    </w:p>
    <w:p w14:paraId="20AB8927"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Singh, D. K., &amp; Singh, B. P. (2024). </w:t>
      </w:r>
      <w:r w:rsidRPr="005B702B">
        <w:rPr>
          <w:rFonts w:cs="Times New Roman"/>
          <w:i/>
          <w:iCs/>
          <w:sz w:val="22"/>
          <w:szCs w:val="22"/>
        </w:rPr>
        <w:t>Impact of GST on Unorganised Business Sector Compliance Costs and Coping Strategies</w:t>
      </w:r>
      <w:r w:rsidRPr="005B702B">
        <w:rPr>
          <w:rFonts w:cs="Times New Roman"/>
          <w:sz w:val="22"/>
          <w:szCs w:val="22"/>
        </w:rPr>
        <w:t xml:space="preserve">. </w:t>
      </w:r>
      <w:proofErr w:type="spellStart"/>
      <w:r w:rsidRPr="005B702B">
        <w:rPr>
          <w:rFonts w:cs="Times New Roman"/>
          <w:sz w:val="22"/>
          <w:szCs w:val="22"/>
        </w:rPr>
        <w:t>ShodhKosh</w:t>
      </w:r>
      <w:proofErr w:type="spellEnd"/>
      <w:r w:rsidRPr="005B702B">
        <w:rPr>
          <w:rFonts w:cs="Times New Roman"/>
          <w:sz w:val="22"/>
          <w:szCs w:val="22"/>
        </w:rPr>
        <w:t xml:space="preserve">: Journal of Visual and Performing Arts, 5(4), 2299-2304. https://doi.org/10.29121/shodhkosh.v5.i4.2024.6328 </w:t>
      </w:r>
      <w:hyperlink r:id="rId54" w:tgtFrame="_blank" w:history="1">
        <w:proofErr w:type="spellStart"/>
        <w:r w:rsidRPr="005B702B">
          <w:rPr>
            <w:rStyle w:val="Hyperlink"/>
            <w:rFonts w:cs="Times New Roman"/>
            <w:sz w:val="22"/>
            <w:szCs w:val="22"/>
          </w:rPr>
          <w:t>Granthaalayah</w:t>
        </w:r>
        <w:proofErr w:type="spellEnd"/>
        <w:r w:rsidRPr="005B702B">
          <w:rPr>
            <w:rStyle w:val="Hyperlink"/>
            <w:rFonts w:cs="Times New Roman"/>
            <w:sz w:val="22"/>
            <w:szCs w:val="22"/>
          </w:rPr>
          <w:t xml:space="preserve"> Publication</w:t>
        </w:r>
      </w:hyperlink>
    </w:p>
    <w:p w14:paraId="6FB95B6E" w14:textId="231E2D65"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Tekwani</w:t>
      </w:r>
      <w:proofErr w:type="spellEnd"/>
      <w:r w:rsidRPr="005B702B">
        <w:rPr>
          <w:rFonts w:cs="Times New Roman"/>
          <w:sz w:val="22"/>
          <w:szCs w:val="22"/>
        </w:rPr>
        <w:t xml:space="preserve">, K., &amp; </w:t>
      </w:r>
      <w:proofErr w:type="spellStart"/>
      <w:r w:rsidRPr="005B702B">
        <w:rPr>
          <w:rFonts w:cs="Times New Roman"/>
          <w:sz w:val="22"/>
          <w:szCs w:val="22"/>
        </w:rPr>
        <w:t>Pabla</w:t>
      </w:r>
      <w:proofErr w:type="spellEnd"/>
      <w:r w:rsidRPr="005B702B">
        <w:rPr>
          <w:rFonts w:cs="Times New Roman"/>
          <w:sz w:val="22"/>
          <w:szCs w:val="22"/>
        </w:rPr>
        <w:t xml:space="preserve">, C. K. (2021). </w:t>
      </w:r>
      <w:r w:rsidRPr="005B702B">
        <w:rPr>
          <w:rFonts w:cs="Times New Roman"/>
          <w:i/>
          <w:iCs/>
          <w:sz w:val="22"/>
          <w:szCs w:val="22"/>
        </w:rPr>
        <w:t>Goods and Services Tax in India and Other Countries: A Comparative Study</w:t>
      </w:r>
      <w:r w:rsidRPr="005B702B">
        <w:rPr>
          <w:rFonts w:cs="Times New Roman"/>
          <w:sz w:val="22"/>
          <w:szCs w:val="22"/>
        </w:rPr>
        <w:t xml:space="preserve">. The Management Accountant Journal, 56(7), 40-44. </w:t>
      </w:r>
      <w:hyperlink r:id="rId55" w:tgtFrame="_blank" w:history="1">
        <w:r w:rsidRPr="005B702B">
          <w:rPr>
            <w:rStyle w:val="Hyperlink"/>
            <w:rFonts w:cs="Times New Roman"/>
            <w:sz w:val="22"/>
            <w:szCs w:val="22"/>
          </w:rPr>
          <w:t>ICMAI RNJ</w:t>
        </w:r>
      </w:hyperlink>
    </w:p>
    <w:p w14:paraId="34F588FE" w14:textId="05E3938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The 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56" w:tgtFrame="_new" w:history="1">
        <w:r w:rsidRPr="005B702B">
          <w:rPr>
            <w:rStyle w:val="Hyperlink"/>
            <w:rFonts w:cs="Times New Roman"/>
            <w:sz w:val="22"/>
            <w:szCs w:val="22"/>
          </w:rPr>
          <w:t>https://economictimes.indiatimes.com/wealth/tax/gst-reforms-set-to-reignite-consumption-growth-spur-corporate-profitability/articleshow/123864292.cms</w:t>
        </w:r>
      </w:hyperlink>
    </w:p>
    <w:p w14:paraId="4A953FD4"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Times of India. (2025, September). </w:t>
      </w:r>
      <w:r w:rsidRPr="005B702B">
        <w:rPr>
          <w:rFonts w:cs="Times New Roman"/>
          <w:i/>
          <w:iCs/>
          <w:sz w:val="22"/>
          <w:szCs w:val="22"/>
        </w:rPr>
        <w:t>GSTAT portal: Nirmala Sitharaman unveils portal for GST disputes, hearings to begin from December</w:t>
      </w:r>
      <w:r w:rsidRPr="005B702B">
        <w:rPr>
          <w:rFonts w:cs="Times New Roman"/>
          <w:sz w:val="22"/>
          <w:szCs w:val="22"/>
        </w:rPr>
        <w:t xml:space="preserve">. Retrieved from </w:t>
      </w:r>
      <w:hyperlink r:id="rId57" w:tgtFrame="_new" w:history="1">
        <w:r w:rsidRPr="005B702B">
          <w:rPr>
            <w:rStyle w:val="Hyperlink"/>
            <w:rFonts w:cs="Times New Roman"/>
            <w:sz w:val="22"/>
            <w:szCs w:val="22"/>
          </w:rPr>
          <w:t>https://timesofindia.indiatimes.com/business/india-business/gstat-portal-sitharaman-unveils-portal-for-gst-disputes-hearings-to-begin-from-december/articleshow/124096365.cms</w:t>
        </w:r>
      </w:hyperlink>
    </w:p>
    <w:p w14:paraId="5ABE93C3"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Times of India. (2025, September). </w:t>
      </w:r>
      <w:r w:rsidRPr="005B702B">
        <w:rPr>
          <w:rFonts w:cs="Times New Roman"/>
          <w:i/>
          <w:iCs/>
          <w:sz w:val="22"/>
          <w:szCs w:val="22"/>
        </w:rPr>
        <w:t>GSTAT portal: Nirmala Sitharaman unveils portal for GST disputes, hearings to begin from December</w:t>
      </w:r>
      <w:r w:rsidRPr="005B702B">
        <w:rPr>
          <w:rFonts w:cs="Times New Roman"/>
          <w:sz w:val="22"/>
          <w:szCs w:val="22"/>
        </w:rPr>
        <w:t xml:space="preserve">. Retrieved from </w:t>
      </w:r>
      <w:hyperlink r:id="rId58" w:tgtFrame="_new" w:history="1">
        <w:r w:rsidRPr="005B702B">
          <w:rPr>
            <w:rStyle w:val="Hyperlink"/>
            <w:rFonts w:cs="Times New Roman"/>
            <w:sz w:val="22"/>
            <w:szCs w:val="22"/>
          </w:rPr>
          <w:t>https://timesofindia.indiatimes.com/business/india-business/gstat-portal-sitharaman-unveils-portal-for-gst-disputes-hearings-to-begin-from-december/articleshow/124096365.cms</w:t>
        </w:r>
      </w:hyperlink>
    </w:p>
    <w:p w14:paraId="5C378152"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lastRenderedPageBreak/>
        <w:t>TradeIMEX</w:t>
      </w:r>
      <w:proofErr w:type="spellEnd"/>
      <w:r w:rsidRPr="005B702B">
        <w:rPr>
          <w:rFonts w:cs="Times New Roman"/>
          <w:sz w:val="22"/>
          <w:szCs w:val="22"/>
        </w:rPr>
        <w:t xml:space="preserve">. (2025). </w:t>
      </w:r>
      <w:r w:rsidRPr="005B702B">
        <w:rPr>
          <w:rFonts w:cs="Times New Roman"/>
          <w:i/>
          <w:iCs/>
          <w:sz w:val="22"/>
          <w:szCs w:val="22"/>
        </w:rPr>
        <w:t>Exploring GST 2.0: A new era in India’s indirect taxation</w:t>
      </w:r>
      <w:r w:rsidRPr="005B702B">
        <w:rPr>
          <w:rFonts w:cs="Times New Roman"/>
          <w:sz w:val="22"/>
          <w:szCs w:val="22"/>
        </w:rPr>
        <w:t xml:space="preserve">. Retrieved from </w:t>
      </w:r>
      <w:hyperlink r:id="rId59" w:tgtFrame="_new" w:history="1">
        <w:r w:rsidRPr="005B702B">
          <w:rPr>
            <w:rStyle w:val="Hyperlink"/>
            <w:rFonts w:cs="Times New Roman"/>
            <w:sz w:val="22"/>
            <w:szCs w:val="22"/>
          </w:rPr>
          <w:t>https://www.tradeimex.in/blogs/gst-2-0-india-tax-reform-slabs-reduction</w:t>
        </w:r>
      </w:hyperlink>
    </w:p>
    <w:p w14:paraId="58690CB1" w14:textId="77777777" w:rsidR="000B433F" w:rsidRPr="005B702B" w:rsidRDefault="000B433F">
      <w:pPr>
        <w:pStyle w:val="ListParagraph"/>
        <w:numPr>
          <w:ilvl w:val="0"/>
          <w:numId w:val="16"/>
        </w:numPr>
        <w:rPr>
          <w:rFonts w:cs="Times New Roman"/>
          <w:sz w:val="22"/>
          <w:szCs w:val="22"/>
        </w:rPr>
      </w:pPr>
      <w:proofErr w:type="spellStart"/>
      <w:r w:rsidRPr="005B702B">
        <w:rPr>
          <w:rFonts w:cs="Times New Roman"/>
          <w:sz w:val="22"/>
          <w:szCs w:val="22"/>
        </w:rPr>
        <w:t>Virmani</w:t>
      </w:r>
      <w:proofErr w:type="spellEnd"/>
      <w:r w:rsidRPr="005B702B">
        <w:rPr>
          <w:rFonts w:cs="Times New Roman"/>
          <w:sz w:val="22"/>
          <w:szCs w:val="22"/>
        </w:rPr>
        <w:t xml:space="preserve">, A., &amp; Bhasin, K. (2020). </w:t>
      </w:r>
      <w:r w:rsidRPr="005B702B">
        <w:rPr>
          <w:rFonts w:cs="Times New Roman"/>
          <w:i/>
          <w:iCs/>
          <w:sz w:val="22"/>
          <w:szCs w:val="22"/>
        </w:rPr>
        <w:t>Goods and Services Tax: Structural Reform</w:t>
      </w:r>
      <w:r w:rsidRPr="005B702B">
        <w:rPr>
          <w:rFonts w:cs="Times New Roman"/>
          <w:sz w:val="22"/>
          <w:szCs w:val="22"/>
        </w:rPr>
        <w:t xml:space="preserve"> (Working Paper). </w:t>
      </w:r>
      <w:hyperlink r:id="rId60" w:tgtFrame="_blank" w:history="1">
        <w:r w:rsidRPr="005B702B">
          <w:rPr>
            <w:rStyle w:val="Hyperlink"/>
            <w:rFonts w:cs="Times New Roman"/>
            <w:sz w:val="22"/>
            <w:szCs w:val="22"/>
          </w:rPr>
          <w:t>ResearchGate</w:t>
        </w:r>
      </w:hyperlink>
    </w:p>
    <w:p w14:paraId="2FBFE036" w14:textId="50E22E3A"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Wikipedia. (2025). </w:t>
      </w:r>
      <w:r w:rsidRPr="005B702B">
        <w:rPr>
          <w:rFonts w:cs="Times New Roman"/>
          <w:i/>
          <w:iCs/>
          <w:sz w:val="22"/>
          <w:szCs w:val="22"/>
        </w:rPr>
        <w:t>Goods and Services Tax 2.0</w:t>
      </w:r>
      <w:r w:rsidRPr="005B702B">
        <w:rPr>
          <w:rFonts w:cs="Times New Roman"/>
          <w:sz w:val="22"/>
          <w:szCs w:val="22"/>
        </w:rPr>
        <w:t xml:space="preserve">. Retrieved from </w:t>
      </w:r>
      <w:hyperlink r:id="rId61" w:history="1">
        <w:r w:rsidR="007C7E5A" w:rsidRPr="005B702B">
          <w:rPr>
            <w:rStyle w:val="Hyperlink"/>
            <w:rFonts w:cs="Times New Roman"/>
            <w:sz w:val="22"/>
            <w:szCs w:val="22"/>
          </w:rPr>
          <w:t>https://en.wikipedia.org/wiki/Goods_and_Services_Tax_2.0</w:t>
        </w:r>
      </w:hyperlink>
    </w:p>
    <w:p w14:paraId="3D2480AE" w14:textId="46AB2BE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World Bank / Policy Perspectives. (2025). </w:t>
      </w:r>
      <w:r w:rsidRPr="005B702B">
        <w:rPr>
          <w:rFonts w:cs="Times New Roman"/>
          <w:i/>
          <w:iCs/>
          <w:sz w:val="22"/>
          <w:szCs w:val="22"/>
        </w:rPr>
        <w:t>India’s GST Reform: Policy Perspectives</w:t>
      </w:r>
      <w:r w:rsidRPr="005B702B">
        <w:rPr>
          <w:rFonts w:cs="Times New Roman"/>
          <w:sz w:val="22"/>
          <w:szCs w:val="22"/>
        </w:rPr>
        <w:t xml:space="preserve"> (</w:t>
      </w:r>
      <w:proofErr w:type="spellStart"/>
      <w:r w:rsidRPr="005B702B">
        <w:rPr>
          <w:rFonts w:cs="Times New Roman"/>
          <w:sz w:val="22"/>
          <w:szCs w:val="22"/>
        </w:rPr>
        <w:t>Renu</w:t>
      </w:r>
      <w:proofErr w:type="spellEnd"/>
      <w:r w:rsidRPr="005B702B">
        <w:rPr>
          <w:rFonts w:cs="Times New Roman"/>
          <w:sz w:val="22"/>
          <w:szCs w:val="22"/>
        </w:rPr>
        <w:t xml:space="preserve"> Kohli, et al.). Retrieved from </w:t>
      </w:r>
      <w:hyperlink r:id="rId62" w:history="1">
        <w:r w:rsidRPr="005B702B">
          <w:rPr>
            <w:rStyle w:val="Hyperlink"/>
            <w:rFonts w:cs="Times New Roman"/>
            <w:sz w:val="22"/>
            <w:szCs w:val="22"/>
          </w:rPr>
          <w:t>https://thedocs.worldbank.org/en/doc/3918c8c6930fae90360b34f6e6ad9744-0310022025/related/1-GST-Renu-Kohli-CSEP.pdf</w:t>
        </w:r>
      </w:hyperlink>
      <w:bookmarkStart w:id="2" w:name="_GoBack"/>
      <w:bookmarkEnd w:id="2"/>
    </w:p>
    <w:sectPr w:rsidR="000B433F" w:rsidRPr="005B702B">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FE1A3" w14:textId="77777777" w:rsidR="005F4A01" w:rsidRDefault="005F4A01" w:rsidP="00326D8C">
      <w:pPr>
        <w:spacing w:after="0" w:line="240" w:lineRule="auto"/>
      </w:pPr>
      <w:r>
        <w:separator/>
      </w:r>
    </w:p>
  </w:endnote>
  <w:endnote w:type="continuationSeparator" w:id="0">
    <w:p w14:paraId="4C2A75B5" w14:textId="77777777" w:rsidR="005F4A01" w:rsidRDefault="005F4A01" w:rsidP="00326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326706"/>
      <w:docPartObj>
        <w:docPartGallery w:val="Page Numbers (Bottom of Page)"/>
        <w:docPartUnique/>
      </w:docPartObj>
    </w:sdtPr>
    <w:sdtEndPr>
      <w:rPr>
        <w:noProof/>
      </w:rPr>
    </w:sdtEndPr>
    <w:sdtContent>
      <w:p w14:paraId="2EA8AA5E" w14:textId="4A8D2C14" w:rsidR="00326D8C" w:rsidRDefault="00326D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0C28C7" w14:textId="77777777" w:rsidR="00326D8C" w:rsidRDefault="00326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3D233" w14:textId="77777777" w:rsidR="005F4A01" w:rsidRDefault="005F4A01" w:rsidP="00326D8C">
      <w:pPr>
        <w:spacing w:after="0" w:line="240" w:lineRule="auto"/>
      </w:pPr>
      <w:r>
        <w:separator/>
      </w:r>
    </w:p>
  </w:footnote>
  <w:footnote w:type="continuationSeparator" w:id="0">
    <w:p w14:paraId="26CD33A1" w14:textId="77777777" w:rsidR="005F4A01" w:rsidRDefault="005F4A01" w:rsidP="00326D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11EBE"/>
    <w:multiLevelType w:val="hybridMultilevel"/>
    <w:tmpl w:val="D9B201D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994CB1"/>
    <w:multiLevelType w:val="multilevel"/>
    <w:tmpl w:val="BA2C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76D7B"/>
    <w:multiLevelType w:val="hybridMultilevel"/>
    <w:tmpl w:val="BDFAB92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6532C6"/>
    <w:multiLevelType w:val="hybridMultilevel"/>
    <w:tmpl w:val="062C22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7A41F4D"/>
    <w:multiLevelType w:val="hybridMultilevel"/>
    <w:tmpl w:val="8A80C5D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EE10A9"/>
    <w:multiLevelType w:val="hybridMultilevel"/>
    <w:tmpl w:val="6BECC50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A359F3"/>
    <w:multiLevelType w:val="hybridMultilevel"/>
    <w:tmpl w:val="2AB02B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B372545"/>
    <w:multiLevelType w:val="multilevel"/>
    <w:tmpl w:val="287A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E6B49"/>
    <w:multiLevelType w:val="hybridMultilevel"/>
    <w:tmpl w:val="5A0E369C"/>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CE50DD8"/>
    <w:multiLevelType w:val="multilevel"/>
    <w:tmpl w:val="9EC8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90DFC"/>
    <w:multiLevelType w:val="hybridMultilevel"/>
    <w:tmpl w:val="5AC80F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6A50FAE"/>
    <w:multiLevelType w:val="hybridMultilevel"/>
    <w:tmpl w:val="725EE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6E6372"/>
    <w:multiLevelType w:val="hybridMultilevel"/>
    <w:tmpl w:val="71483FC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F91C13"/>
    <w:multiLevelType w:val="hybridMultilevel"/>
    <w:tmpl w:val="7B282A8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A53B4F"/>
    <w:multiLevelType w:val="hybridMultilevel"/>
    <w:tmpl w:val="DED2E10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794601"/>
    <w:multiLevelType w:val="hybridMultilevel"/>
    <w:tmpl w:val="0B1A1F2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EE4EA9"/>
    <w:multiLevelType w:val="hybridMultilevel"/>
    <w:tmpl w:val="D4EE4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54D3646"/>
    <w:multiLevelType w:val="multilevel"/>
    <w:tmpl w:val="AE6AC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0D593E"/>
    <w:multiLevelType w:val="hybridMultilevel"/>
    <w:tmpl w:val="CD94246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72A3F32"/>
    <w:multiLevelType w:val="hybridMultilevel"/>
    <w:tmpl w:val="1F42AD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8463FC6"/>
    <w:multiLevelType w:val="hybridMultilevel"/>
    <w:tmpl w:val="49B4CD04"/>
    <w:lvl w:ilvl="0" w:tplc="40090001">
      <w:start w:val="1"/>
      <w:numFmt w:val="bullet"/>
      <w:lvlText w:val=""/>
      <w:lvlJc w:val="left"/>
      <w:pPr>
        <w:ind w:left="720" w:hanging="360"/>
      </w:pPr>
      <w:rPr>
        <w:rFonts w:ascii="Symbol" w:hAnsi="Symbol" w:hint="default"/>
      </w:rPr>
    </w:lvl>
    <w:lvl w:ilvl="1" w:tplc="94F88D42">
      <w:start w:val="6"/>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A94352C"/>
    <w:multiLevelType w:val="multilevel"/>
    <w:tmpl w:val="2B88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67FF8"/>
    <w:multiLevelType w:val="hybridMultilevel"/>
    <w:tmpl w:val="39F240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BED5558"/>
    <w:multiLevelType w:val="multilevel"/>
    <w:tmpl w:val="B32E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C575D"/>
    <w:multiLevelType w:val="hybridMultilevel"/>
    <w:tmpl w:val="EF06777C"/>
    <w:lvl w:ilvl="0" w:tplc="40090001">
      <w:start w:val="1"/>
      <w:numFmt w:val="bullet"/>
      <w:lvlText w:val=""/>
      <w:lvlJc w:val="left"/>
      <w:pPr>
        <w:ind w:left="720" w:hanging="360"/>
      </w:pPr>
      <w:rPr>
        <w:rFonts w:ascii="Symbol" w:hAnsi="Symbol" w:hint="default"/>
      </w:rPr>
    </w:lvl>
    <w:lvl w:ilvl="1" w:tplc="5150C9FC">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74510C8"/>
    <w:multiLevelType w:val="hybridMultilevel"/>
    <w:tmpl w:val="7160CA1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CE30004"/>
    <w:multiLevelType w:val="hybridMultilevel"/>
    <w:tmpl w:val="10EA64D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88513A"/>
    <w:multiLevelType w:val="multilevel"/>
    <w:tmpl w:val="C6B4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026387"/>
    <w:multiLevelType w:val="hybridMultilevel"/>
    <w:tmpl w:val="DD72E15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6"/>
  </w:num>
  <w:num w:numId="2">
    <w:abstractNumId w:val="24"/>
  </w:num>
  <w:num w:numId="3">
    <w:abstractNumId w:val="20"/>
  </w:num>
  <w:num w:numId="4">
    <w:abstractNumId w:val="19"/>
  </w:num>
  <w:num w:numId="5">
    <w:abstractNumId w:val="16"/>
  </w:num>
  <w:num w:numId="6">
    <w:abstractNumId w:val="14"/>
  </w:num>
  <w:num w:numId="7">
    <w:abstractNumId w:val="13"/>
  </w:num>
  <w:num w:numId="8">
    <w:abstractNumId w:val="0"/>
  </w:num>
  <w:num w:numId="9">
    <w:abstractNumId w:val="5"/>
  </w:num>
  <w:num w:numId="10">
    <w:abstractNumId w:val="4"/>
  </w:num>
  <w:num w:numId="11">
    <w:abstractNumId w:val="26"/>
  </w:num>
  <w:num w:numId="12">
    <w:abstractNumId w:val="28"/>
  </w:num>
  <w:num w:numId="13">
    <w:abstractNumId w:val="15"/>
  </w:num>
  <w:num w:numId="14">
    <w:abstractNumId w:val="8"/>
  </w:num>
  <w:num w:numId="15">
    <w:abstractNumId w:val="18"/>
  </w:num>
  <w:num w:numId="16">
    <w:abstractNumId w:val="10"/>
  </w:num>
  <w:num w:numId="17">
    <w:abstractNumId w:val="23"/>
  </w:num>
  <w:num w:numId="18">
    <w:abstractNumId w:val="1"/>
  </w:num>
  <w:num w:numId="19">
    <w:abstractNumId w:val="27"/>
  </w:num>
  <w:num w:numId="20">
    <w:abstractNumId w:val="7"/>
  </w:num>
  <w:num w:numId="21">
    <w:abstractNumId w:val="9"/>
  </w:num>
  <w:num w:numId="22">
    <w:abstractNumId w:val="21"/>
  </w:num>
  <w:num w:numId="23">
    <w:abstractNumId w:val="17"/>
  </w:num>
  <w:num w:numId="24">
    <w:abstractNumId w:val="12"/>
  </w:num>
  <w:num w:numId="25">
    <w:abstractNumId w:val="2"/>
  </w:num>
  <w:num w:numId="26">
    <w:abstractNumId w:val="25"/>
  </w:num>
  <w:num w:numId="27">
    <w:abstractNumId w:val="11"/>
  </w:num>
  <w:num w:numId="28">
    <w:abstractNumId w:val="3"/>
  </w:num>
  <w:num w:numId="2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EC"/>
    <w:rsid w:val="00010CF5"/>
    <w:rsid w:val="00035D8C"/>
    <w:rsid w:val="00044A76"/>
    <w:rsid w:val="000B433F"/>
    <w:rsid w:val="000C1750"/>
    <w:rsid w:val="000C6146"/>
    <w:rsid w:val="000E1118"/>
    <w:rsid w:val="00116A47"/>
    <w:rsid w:val="0019202A"/>
    <w:rsid w:val="001E454E"/>
    <w:rsid w:val="001F5CCE"/>
    <w:rsid w:val="00203934"/>
    <w:rsid w:val="00204D20"/>
    <w:rsid w:val="002065AD"/>
    <w:rsid w:val="00207454"/>
    <w:rsid w:val="002C0553"/>
    <w:rsid w:val="003227F5"/>
    <w:rsid w:val="00322AEC"/>
    <w:rsid w:val="00324F98"/>
    <w:rsid w:val="00326D8C"/>
    <w:rsid w:val="00352F6B"/>
    <w:rsid w:val="00381F94"/>
    <w:rsid w:val="00390E41"/>
    <w:rsid w:val="00392F77"/>
    <w:rsid w:val="003C5B3A"/>
    <w:rsid w:val="003C660E"/>
    <w:rsid w:val="003C6AB9"/>
    <w:rsid w:val="003F484D"/>
    <w:rsid w:val="003F650A"/>
    <w:rsid w:val="00405FDF"/>
    <w:rsid w:val="00414F4D"/>
    <w:rsid w:val="00426C2F"/>
    <w:rsid w:val="004279CF"/>
    <w:rsid w:val="004307D3"/>
    <w:rsid w:val="00475D79"/>
    <w:rsid w:val="004911E4"/>
    <w:rsid w:val="004A122F"/>
    <w:rsid w:val="004B6CE4"/>
    <w:rsid w:val="004F1C65"/>
    <w:rsid w:val="004F2D8E"/>
    <w:rsid w:val="004F62C9"/>
    <w:rsid w:val="00532F99"/>
    <w:rsid w:val="00540F44"/>
    <w:rsid w:val="00570256"/>
    <w:rsid w:val="00584448"/>
    <w:rsid w:val="005A0A17"/>
    <w:rsid w:val="005B702B"/>
    <w:rsid w:val="005F4A01"/>
    <w:rsid w:val="006B0262"/>
    <w:rsid w:val="006C0669"/>
    <w:rsid w:val="006C64F5"/>
    <w:rsid w:val="006E764E"/>
    <w:rsid w:val="006F40E7"/>
    <w:rsid w:val="007042D3"/>
    <w:rsid w:val="00764336"/>
    <w:rsid w:val="007C7E5A"/>
    <w:rsid w:val="007E52CE"/>
    <w:rsid w:val="008413AB"/>
    <w:rsid w:val="008604D2"/>
    <w:rsid w:val="00887D84"/>
    <w:rsid w:val="008A32D3"/>
    <w:rsid w:val="008B30D4"/>
    <w:rsid w:val="008B6865"/>
    <w:rsid w:val="008C01CA"/>
    <w:rsid w:val="008C44DD"/>
    <w:rsid w:val="008F6288"/>
    <w:rsid w:val="00922F08"/>
    <w:rsid w:val="00942280"/>
    <w:rsid w:val="009625F7"/>
    <w:rsid w:val="00975D4D"/>
    <w:rsid w:val="009A71B5"/>
    <w:rsid w:val="009B7123"/>
    <w:rsid w:val="009D348B"/>
    <w:rsid w:val="009D5A5B"/>
    <w:rsid w:val="009E5E82"/>
    <w:rsid w:val="00A05E6B"/>
    <w:rsid w:val="00A2355E"/>
    <w:rsid w:val="00A3309D"/>
    <w:rsid w:val="00A41C5B"/>
    <w:rsid w:val="00A87385"/>
    <w:rsid w:val="00AA568F"/>
    <w:rsid w:val="00B0055E"/>
    <w:rsid w:val="00B2605B"/>
    <w:rsid w:val="00B435E5"/>
    <w:rsid w:val="00B6305C"/>
    <w:rsid w:val="00B815A8"/>
    <w:rsid w:val="00B94E4A"/>
    <w:rsid w:val="00BA0B30"/>
    <w:rsid w:val="00BA34EE"/>
    <w:rsid w:val="00BC0E82"/>
    <w:rsid w:val="00BC68F0"/>
    <w:rsid w:val="00BD538F"/>
    <w:rsid w:val="00BD62AA"/>
    <w:rsid w:val="00BE7277"/>
    <w:rsid w:val="00BF48F6"/>
    <w:rsid w:val="00C40EB9"/>
    <w:rsid w:val="00C43214"/>
    <w:rsid w:val="00C576D4"/>
    <w:rsid w:val="00CA6279"/>
    <w:rsid w:val="00CB318C"/>
    <w:rsid w:val="00CB55CF"/>
    <w:rsid w:val="00CC49AF"/>
    <w:rsid w:val="00CD5725"/>
    <w:rsid w:val="00CF5889"/>
    <w:rsid w:val="00D32CF8"/>
    <w:rsid w:val="00D3320B"/>
    <w:rsid w:val="00D36187"/>
    <w:rsid w:val="00D57F33"/>
    <w:rsid w:val="00D82470"/>
    <w:rsid w:val="00DB33F0"/>
    <w:rsid w:val="00DC78F3"/>
    <w:rsid w:val="00DC7EE4"/>
    <w:rsid w:val="00DE52E6"/>
    <w:rsid w:val="00E57043"/>
    <w:rsid w:val="00E63CCF"/>
    <w:rsid w:val="00E65DBE"/>
    <w:rsid w:val="00E70343"/>
    <w:rsid w:val="00E71879"/>
    <w:rsid w:val="00ED0816"/>
    <w:rsid w:val="00EF010B"/>
    <w:rsid w:val="00EF45BF"/>
    <w:rsid w:val="00F009FE"/>
    <w:rsid w:val="00F04E15"/>
    <w:rsid w:val="00F35680"/>
    <w:rsid w:val="00F47AD8"/>
    <w:rsid w:val="00F7758D"/>
    <w:rsid w:val="00F96AE7"/>
    <w:rsid w:val="00FC3A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4F9D44"/>
  <w15:chartTrackingRefBased/>
  <w15:docId w15:val="{6F84B69A-3208-486B-840C-E91A36010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35E5"/>
    <w:pPr>
      <w:jc w:val="both"/>
    </w:pPr>
    <w:rPr>
      <w:rFonts w:ascii="Times New Roman" w:hAnsi="Times New Roman"/>
    </w:rPr>
  </w:style>
  <w:style w:type="paragraph" w:styleId="Heading1">
    <w:name w:val="heading 1"/>
    <w:basedOn w:val="Normal"/>
    <w:next w:val="Normal"/>
    <w:link w:val="Heading1Char"/>
    <w:uiPriority w:val="9"/>
    <w:qFormat/>
    <w:rsid w:val="000B433F"/>
    <w:pPr>
      <w:keepNext/>
      <w:keepLines/>
      <w:spacing w:before="360" w:after="80"/>
      <w:outlineLvl w:val="0"/>
    </w:pPr>
    <w:rPr>
      <w:rFonts w:eastAsiaTheme="majorEastAsia" w:cstheme="majorBidi"/>
      <w:b/>
      <w:color w:val="000000" w:themeColor="text1"/>
      <w:sz w:val="32"/>
      <w:szCs w:val="40"/>
    </w:rPr>
  </w:style>
  <w:style w:type="paragraph" w:styleId="Heading2">
    <w:name w:val="heading 2"/>
    <w:basedOn w:val="Normal"/>
    <w:next w:val="Normal"/>
    <w:link w:val="Heading2Char"/>
    <w:uiPriority w:val="9"/>
    <w:unhideWhenUsed/>
    <w:qFormat/>
    <w:rsid w:val="000B433F"/>
    <w:pPr>
      <w:keepNext/>
      <w:keepLines/>
      <w:spacing w:before="160" w:after="8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0B433F"/>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semiHidden/>
    <w:unhideWhenUsed/>
    <w:qFormat/>
    <w:rsid w:val="00322A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2A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2A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A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A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A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33F"/>
    <w:rPr>
      <w:rFonts w:ascii="Times New Roman" w:eastAsiaTheme="majorEastAsia" w:hAnsi="Times New Roman" w:cstheme="majorBidi"/>
      <w:b/>
      <w:color w:val="000000" w:themeColor="text1"/>
      <w:sz w:val="32"/>
      <w:szCs w:val="40"/>
    </w:rPr>
  </w:style>
  <w:style w:type="character" w:customStyle="1" w:styleId="Heading2Char">
    <w:name w:val="Heading 2 Char"/>
    <w:basedOn w:val="DefaultParagraphFont"/>
    <w:link w:val="Heading2"/>
    <w:uiPriority w:val="9"/>
    <w:rsid w:val="000B433F"/>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rsid w:val="000B433F"/>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semiHidden/>
    <w:rsid w:val="00322A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2A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2A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A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A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AEC"/>
    <w:rPr>
      <w:rFonts w:eastAsiaTheme="majorEastAsia" w:cstheme="majorBidi"/>
      <w:color w:val="272727" w:themeColor="text1" w:themeTint="D8"/>
    </w:rPr>
  </w:style>
  <w:style w:type="paragraph" w:styleId="Title">
    <w:name w:val="Title"/>
    <w:basedOn w:val="Normal"/>
    <w:next w:val="Normal"/>
    <w:link w:val="TitleChar"/>
    <w:uiPriority w:val="1"/>
    <w:qFormat/>
    <w:rsid w:val="00322A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322A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A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A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AEC"/>
    <w:pPr>
      <w:spacing w:before="160"/>
      <w:jc w:val="center"/>
    </w:pPr>
    <w:rPr>
      <w:i/>
      <w:iCs/>
      <w:color w:val="404040" w:themeColor="text1" w:themeTint="BF"/>
    </w:rPr>
  </w:style>
  <w:style w:type="character" w:customStyle="1" w:styleId="QuoteChar">
    <w:name w:val="Quote Char"/>
    <w:basedOn w:val="DefaultParagraphFont"/>
    <w:link w:val="Quote"/>
    <w:uiPriority w:val="29"/>
    <w:rsid w:val="00322AEC"/>
    <w:rPr>
      <w:i/>
      <w:iCs/>
      <w:color w:val="404040" w:themeColor="text1" w:themeTint="BF"/>
    </w:rPr>
  </w:style>
  <w:style w:type="paragraph" w:styleId="ListParagraph">
    <w:name w:val="List Paragraph"/>
    <w:basedOn w:val="Normal"/>
    <w:uiPriority w:val="34"/>
    <w:qFormat/>
    <w:rsid w:val="00322AEC"/>
    <w:pPr>
      <w:ind w:left="720"/>
      <w:contextualSpacing/>
    </w:pPr>
  </w:style>
  <w:style w:type="character" w:styleId="IntenseEmphasis">
    <w:name w:val="Intense Emphasis"/>
    <w:basedOn w:val="DefaultParagraphFont"/>
    <w:uiPriority w:val="21"/>
    <w:qFormat/>
    <w:rsid w:val="00322AEC"/>
    <w:rPr>
      <w:i/>
      <w:iCs/>
      <w:color w:val="2F5496" w:themeColor="accent1" w:themeShade="BF"/>
    </w:rPr>
  </w:style>
  <w:style w:type="paragraph" w:styleId="IntenseQuote">
    <w:name w:val="Intense Quote"/>
    <w:basedOn w:val="Normal"/>
    <w:next w:val="Normal"/>
    <w:link w:val="IntenseQuoteChar"/>
    <w:uiPriority w:val="30"/>
    <w:qFormat/>
    <w:rsid w:val="00322A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2AEC"/>
    <w:rPr>
      <w:i/>
      <w:iCs/>
      <w:color w:val="2F5496" w:themeColor="accent1" w:themeShade="BF"/>
    </w:rPr>
  </w:style>
  <w:style w:type="character" w:styleId="IntenseReference">
    <w:name w:val="Intense Reference"/>
    <w:basedOn w:val="DefaultParagraphFont"/>
    <w:uiPriority w:val="32"/>
    <w:qFormat/>
    <w:rsid w:val="00322AEC"/>
    <w:rPr>
      <w:b/>
      <w:bCs/>
      <w:smallCaps/>
      <w:color w:val="2F5496" w:themeColor="accent1" w:themeShade="BF"/>
      <w:spacing w:val="5"/>
    </w:rPr>
  </w:style>
  <w:style w:type="character" w:styleId="Hyperlink">
    <w:name w:val="Hyperlink"/>
    <w:basedOn w:val="DefaultParagraphFont"/>
    <w:uiPriority w:val="99"/>
    <w:unhideWhenUsed/>
    <w:rsid w:val="007E52CE"/>
    <w:rPr>
      <w:color w:val="0563C1" w:themeColor="hyperlink"/>
      <w:u w:val="single"/>
    </w:rPr>
  </w:style>
  <w:style w:type="character" w:styleId="UnresolvedMention">
    <w:name w:val="Unresolved Mention"/>
    <w:basedOn w:val="DefaultParagraphFont"/>
    <w:uiPriority w:val="99"/>
    <w:semiHidden/>
    <w:unhideWhenUsed/>
    <w:rsid w:val="007E52CE"/>
    <w:rPr>
      <w:color w:val="605E5C"/>
      <w:shd w:val="clear" w:color="auto" w:fill="E1DFDD"/>
    </w:rPr>
  </w:style>
  <w:style w:type="paragraph" w:styleId="Header">
    <w:name w:val="header"/>
    <w:basedOn w:val="Normal"/>
    <w:link w:val="HeaderChar"/>
    <w:uiPriority w:val="99"/>
    <w:unhideWhenUsed/>
    <w:rsid w:val="00326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D8C"/>
  </w:style>
  <w:style w:type="paragraph" w:styleId="Footer">
    <w:name w:val="footer"/>
    <w:basedOn w:val="Normal"/>
    <w:link w:val="FooterChar"/>
    <w:uiPriority w:val="99"/>
    <w:unhideWhenUsed/>
    <w:rsid w:val="00326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D8C"/>
  </w:style>
  <w:style w:type="paragraph" w:styleId="Caption">
    <w:name w:val="caption"/>
    <w:basedOn w:val="Normal"/>
    <w:next w:val="Normal"/>
    <w:uiPriority w:val="35"/>
    <w:unhideWhenUsed/>
    <w:qFormat/>
    <w:rsid w:val="003C5B3A"/>
    <w:pPr>
      <w:spacing w:after="200" w:line="240" w:lineRule="auto"/>
    </w:pPr>
    <w:rPr>
      <w:i/>
      <w:iCs/>
      <w:color w:val="44546A" w:themeColor="text2"/>
      <w:sz w:val="18"/>
      <w:szCs w:val="18"/>
    </w:rPr>
  </w:style>
  <w:style w:type="paragraph" w:styleId="NoSpacing">
    <w:name w:val="No Spacing"/>
    <w:uiPriority w:val="1"/>
    <w:qFormat/>
    <w:rsid w:val="00044A76"/>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bef.org/news/industry-finds-gst-beneficial-seeks-clarity-and-dispute-reform-survey?utm_source=chatgpt.com" TargetMode="External"/><Relationship Id="rId21" Type="http://schemas.openxmlformats.org/officeDocument/2006/relationships/hyperlink" Target="https://m.economictimes.com/news/economy/policy/landmark-gst-reforms-to-boost-business-cut-prices-drive-consumption-growth-rbi-bulletin/articleshow/124094717.cms?utm_source=chatgpt.com" TargetMode="External"/><Relationship Id="rId34" Type="http://schemas.openxmlformats.org/officeDocument/2006/relationships/hyperlink" Target="https://www.journalpressindia.com/vision-journal-of-indian-taxation/doi/10.17492/jpi.vision.v10i1.1012306?utm_source=chatgpt.com" TargetMode="External"/><Relationship Id="rId42" Type="http://schemas.openxmlformats.org/officeDocument/2006/relationships/hyperlink" Target="https://jisem-journal.com/index.php/journal/article/view/6926?utm_source=chatgpt.com" TargetMode="External"/><Relationship Id="rId47" Type="http://schemas.openxmlformats.org/officeDocument/2006/relationships/hyperlink" Target="https://www.pib.gov.in/PressNoteDetails.aspx?ModuleId=3&amp;NoteId=155151&amp;utm_source=chatgpt.com" TargetMode="External"/><Relationship Id="rId50" Type="http://schemas.openxmlformats.org/officeDocument/2006/relationships/hyperlink" Target="https://www.cambridge.org/core/journals/social-philosophy-and-policy/article/equitycomplexity-tradeoff-in-tax-policy-lessons-from-the-goods-and-services-tax-in-india/C59803BE8A9CAEA664835DA1B9D215E0?utm_source=chatgpt.com" TargetMode="External"/><Relationship Id="rId55" Type="http://schemas.openxmlformats.org/officeDocument/2006/relationships/hyperlink" Target="https://icmai-rnj.in/index.php/maj/article/view/164916?utm_source=chatgpt.com"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drishtiias.com/daily-updates/daily-news-editorials/gst-2-0-balancing-growth-and-fiscal-prudence?utm_source=chatgpt.com" TargetMode="External"/><Relationship Id="rId29" Type="http://schemas.openxmlformats.org/officeDocument/2006/relationships/hyperlink" Target="https://www.india-briefing.com/news/gst-cess-removal-india-2025-business-benefits-39879.html" TargetMode="External"/><Relationship Id="rId11" Type="http://schemas.openxmlformats.org/officeDocument/2006/relationships/hyperlink" Target="https://indianexpress.com/article/explained/explained-economics/gst-2-changes-consumers-industry-10264788/" TargetMode="External"/><Relationship Id="rId24" Type="http://schemas.openxmlformats.org/officeDocument/2006/relationships/hyperlink" Target="https://www.gktoday.in/gst-2-0-reforms-simplify-taxation-and-boost-consumption/?utm_source=chatgpt.com" TargetMode="External"/><Relationship Id="rId32" Type="http://schemas.openxmlformats.org/officeDocument/2006/relationships/hyperlink" Target="https://journals.sagepub.com/doi/10.1177/00194662221146640?utm_source=chatgpt.com" TargetMode="External"/><Relationship Id="rId37" Type="http://schemas.openxmlformats.org/officeDocument/2006/relationships/hyperlink" Target="https://ideas.repec.org/p/npf/wpaper/21-347.html?utm_source=chatgpt.com" TargetMode="External"/><Relationship Id="rId40" Type="http://schemas.openxmlformats.org/officeDocument/2006/relationships/hyperlink" Target="https://www.ndtv.com/india-news/new-gst-2-0-rates-live-updates-gst-slabs-reduction-tax-pm-modi-nirmala-sitharaman-taxation-reforms-22-september-2025-cars-bikes-milk-grocery-flight-ti-9319599?utm_source=chatgpt.com" TargetMode="External"/><Relationship Id="rId45" Type="http://schemas.openxmlformats.org/officeDocument/2006/relationships/hyperlink" Target="https://icmai-rnj.in/index.php/maj/article/view/164917?utm_source=chatgpt.com" TargetMode="External"/><Relationship Id="rId53" Type="http://schemas.openxmlformats.org/officeDocument/2006/relationships/hyperlink" Target="https://www.reuters.com/world/india/india-tax-reforms-ease-retail-prices-boost-consumption-rbi-bulletin-says-2025-09-24/?utm_source=chatgpt.com" TargetMode="External"/><Relationship Id="rId58" Type="http://schemas.openxmlformats.org/officeDocument/2006/relationships/hyperlink" Target="https://timesofindia.indiatimes.com/business/india-business/gstat-portal-sitharaman-unveils-portal-for-gst-disputes-hearings-to-begin-from-december/articleshow/124096365.cms?utm_source=chatgpt.com" TargetMode="External"/><Relationship Id="rId5" Type="http://schemas.openxmlformats.org/officeDocument/2006/relationships/footnotes" Target="footnotes.xml"/><Relationship Id="rId61" Type="http://schemas.openxmlformats.org/officeDocument/2006/relationships/hyperlink" Target="https://en.wikipedia.org/wiki/Goods_and_Services_Tax_2.0" TargetMode="External"/><Relationship Id="rId19" Type="http://schemas.openxmlformats.org/officeDocument/2006/relationships/hyperlink" Target="https://m.economictimes.com/wealth/tax/gst-reforms-set-to-reignite-consumption-growth-spur-corporate-profitability/articleshow/123864292.cms?utm_source=chatgpt.com" TargetMode="External"/><Relationship Id="rId14" Type="http://schemas.openxmlformats.org/officeDocument/2006/relationships/hyperlink" Target="https://www.deloitte.com/in/en/about/press-room/india-inc-embraces-gst.html?utm_source=chatgpt.com" TargetMode="External"/><Relationship Id="rId22" Type="http://schemas.openxmlformats.org/officeDocument/2006/relationships/hyperlink" Target="https://www.fitchratings.com/research/corporate-finance/indias-gst-reforms-generally-positive-for-consumption-focused-issuers-10-09-2025" TargetMode="External"/><Relationship Id="rId27" Type="http://schemas.openxmlformats.org/officeDocument/2006/relationships/hyperlink" Target="https://www.india-briefing.com/news/gst-cess-removal-india-2025-business-benefits-39879.html" TargetMode="External"/><Relationship Id="rId30" Type="http://schemas.openxmlformats.org/officeDocument/2006/relationships/hyperlink" Target="https://www.investindia.gov.in/team-india-blogs/how-indias-tax-reforms-are-shaping-investment-landscape?utm_source=chatgpt.com" TargetMode="External"/><Relationship Id="rId35" Type="http://schemas.openxmlformats.org/officeDocument/2006/relationships/hyperlink" Target="https://jisem-journal.com/index.php/journal/article/view/11375?utm_source=chatgpt.com" TargetMode="External"/><Relationship Id="rId43" Type="http://schemas.openxmlformats.org/officeDocument/2006/relationships/hyperlink" Target="https://ijsi.in/articles/gst/?utm_source=chatgpt.com" TargetMode="External"/><Relationship Id="rId48" Type="http://schemas.openxmlformats.org/officeDocument/2006/relationships/hyperlink" Target="https://proanalyser.in/gst-reform-2025-cfo-playbook-on-3-tier-gst-rate-gstat-ims/" TargetMode="External"/><Relationship Id="rId56" Type="http://schemas.openxmlformats.org/officeDocument/2006/relationships/hyperlink" Target="https://economictimes.indiatimes.com/wealth/tax/gst-reforms-set-to-reignite-consumption-growth-spur-corporate-profitability/articleshow/123864292.cms?utm_source=chatgpt.com"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reuters.com/world/india/indias-complex-gst-tax-how-modis-reform-will-make-goods-cheaper-2025-08-19/" TargetMode="External"/><Relationship Id="rId3" Type="http://schemas.openxmlformats.org/officeDocument/2006/relationships/settings" Target="settings.xml"/><Relationship Id="rId12" Type="http://schemas.openxmlformats.org/officeDocument/2006/relationships/hyperlink" Target="https://jcmm.co.in/index.php/jcmm/article/view/94?utm_source=chatgpt.com" TargetMode="External"/><Relationship Id="rId17" Type="http://schemas.openxmlformats.org/officeDocument/2006/relationships/hyperlink" Target="https://www.drishtiias.com/current-affairs-news-analysis-editorials/news-analysis/04-09-2025?utm_source=chatgpt.com" TargetMode="External"/><Relationship Id="rId25" Type="http://schemas.openxmlformats.org/officeDocument/2006/relationships/hyperlink" Target="https://www.ibef.org/news/industry-finds-gst-beneficial-seeks-clarity-and-dispute-reform-survey?utm_source=chatgpt.com" TargetMode="External"/><Relationship Id="rId33" Type="http://schemas.openxmlformats.org/officeDocument/2006/relationships/hyperlink" Target="https://journals.sagepub.com/doi/10.1177/00194662221146640?utm_source=chatgpt.com" TargetMode="External"/><Relationship Id="rId38" Type="http://schemas.openxmlformats.org/officeDocument/2006/relationships/hyperlink" Target="https://msmestory.com/business-updates/gst-reforms-simplified-new-rates?utm_source=chatgpt.com" TargetMode="External"/><Relationship Id="rId46" Type="http://schemas.openxmlformats.org/officeDocument/2006/relationships/hyperlink" Target="https://www.pib.gov.in/PressNoteDetails.aspx?ModuleId=3&amp;NoteId=155151&amp;utm_source=chatgpt.com" TargetMode="External"/><Relationship Id="rId59" Type="http://schemas.openxmlformats.org/officeDocument/2006/relationships/hyperlink" Target="https://www.tradeimex.in/blogs/gst-2-0-india-tax-reform-slabs-reduction?utm_source=chatgpt.com" TargetMode="External"/><Relationship Id="rId20" Type="http://schemas.openxmlformats.org/officeDocument/2006/relationships/hyperlink" Target="https://m.economictimes.com/wealth/tax/gst-reforms-set-to-reignite-consumption-growth-spur-corporate-profitability/articleshow/123864292.cms?utm_source=chatgpt.com" TargetMode="External"/><Relationship Id="rId41" Type="http://schemas.openxmlformats.org/officeDocument/2006/relationships/hyperlink" Target="https://www.ndtv.com/india-news/new-gst-2-0-rates-live-updates-gst-slabs-reduction-tax-pm-modi-nirmala-sitharaman-taxation-reforms-22-september-2025-cars-bikes-milk-grocery-flight-ti-9319599?utm_source=chatgpt.com" TargetMode="External"/><Relationship Id="rId54" Type="http://schemas.openxmlformats.org/officeDocument/2006/relationships/hyperlink" Target="https://www.granthaalayahpublication.org/Arts-Journal/ShodhKosh/article/view/6328?utm_source=chatgpt.com" TargetMode="External"/><Relationship Id="rId62" Type="http://schemas.openxmlformats.org/officeDocument/2006/relationships/hyperlink" Target="https://thedocs.worldbank.org/en/doc/3918c8c6930fae90360b34f6e6ad9744-0310022025/related/1-GST-Renu-Kohli-CSEP.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eloitte.com/in/en/about/press-room/india-inc-embraces-gst.html?utm_source=chatgpt.com" TargetMode="External"/><Relationship Id="rId23" Type="http://schemas.openxmlformats.org/officeDocument/2006/relationships/hyperlink" Target="https://www.gktoday.in/gst-2-0-reforms-simplify-taxation-and-boost-consumption/?utm_source=chatgpt.com" TargetMode="External"/><Relationship Id="rId28" Type="http://schemas.openxmlformats.org/officeDocument/2006/relationships/hyperlink" Target="https://www.india-briefing.com/news/gst-cess-removal-india-2025-business-benefits-39879.html" TargetMode="External"/><Relationship Id="rId36" Type="http://schemas.openxmlformats.org/officeDocument/2006/relationships/hyperlink" Target="https://www.lexology.com/library/detail.aspx?g=c5191a4a-83d3-4c49-a3a5-95d50ca7df42" TargetMode="External"/><Relationship Id="rId49" Type="http://schemas.openxmlformats.org/officeDocument/2006/relationships/hyperlink" Target="https://www.pwc.in/assets/pdfs/eight-years-of-gst-a-time-to-reflect-a-time-to-reform-wcag.pdf?utm_source=chatgpt.com" TargetMode="External"/><Relationship Id="rId57" Type="http://schemas.openxmlformats.org/officeDocument/2006/relationships/hyperlink" Target="https://timesofindia.indiatimes.com/business/india-business/gstat-portal-sitharaman-unveils-portal-for-gst-disputes-hearings-to-begin-from-december/articleshow/124096365.cms?utm_source=chatgpt.com" TargetMode="External"/><Relationship Id="rId10" Type="http://schemas.openxmlformats.org/officeDocument/2006/relationships/hyperlink" Target="https://www.granthaalayahpublication.org/Arts-Journal/ShodhKosh/article/view/3102?utm_source=chatgpt.com" TargetMode="External"/><Relationship Id="rId31" Type="http://schemas.openxmlformats.org/officeDocument/2006/relationships/hyperlink" Target="https://jrtdd.com/index.php/journal/article/view/2428?utm_source=chatgpt.com" TargetMode="External"/><Relationship Id="rId44" Type="http://schemas.openxmlformats.org/officeDocument/2006/relationships/hyperlink" Target="https://en.wikipedia.org/wiki/One_Hundred_and_First_Amendment_to_the_Constitution_of_India?utm_source=chatgpt.com" TargetMode="External"/><Relationship Id="rId52" Type="http://schemas.openxmlformats.org/officeDocument/2006/relationships/hyperlink" Target="https://www.reuters.com/world/india/india-slashes-consumption-tax-hundreds-items-spur-domestic-demand-2025-09-03/" TargetMode="External"/><Relationship Id="rId60" Type="http://schemas.openxmlformats.org/officeDocument/2006/relationships/hyperlink" Target="https://www.researchgate.net/publication/341979590_Goods_and_Services_Tax_Structural_Reform?utm_source=chatgpt.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business-standard.com/economy/news/gst-reforms-in-india-a-game-changer-for-families-and-businesses-125082601082_1.html" TargetMode="External"/><Relationship Id="rId18" Type="http://schemas.openxmlformats.org/officeDocument/2006/relationships/hyperlink" Target="https://www.drishtiias.com/current-affairs-news-analysis-editorials/news-analysis/04-09-2025?utm_source=chatgpt.com" TargetMode="External"/><Relationship Id="rId39" Type="http://schemas.openxmlformats.org/officeDocument/2006/relationships/hyperlink" Target="https://msmestory.com/business-updates/gst-reforms-simplified-new-rates?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24</Pages>
  <Words>12713</Words>
  <Characters>72467</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Kaustav Ghosal</dc:creator>
  <cp:keywords/>
  <dc:description/>
  <cp:lastModifiedBy>Editor-1183</cp:lastModifiedBy>
  <cp:revision>3</cp:revision>
  <dcterms:created xsi:type="dcterms:W3CDTF">2025-12-05T14:13:00Z</dcterms:created>
  <dcterms:modified xsi:type="dcterms:W3CDTF">2025-12-10T09:55:00Z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2be8c2eb-10ff-4b1e-ae1e-74875dd9197a</vt:lpwstr>
  </property>
</Properties>
</file>