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0961F" w14:textId="1EA0491B" w:rsidR="00975D4D" w:rsidRDefault="00010CF5"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 xml:space="preserve">GST </w:t>
      </w:r>
      <w:r w:rsidR="00975D4D" w:rsidRPr="005B702B">
        <w:rPr>
          <w:rFonts w:ascii="Times New Roman" w:hAnsi="Times New Roman" w:cs="Times New Roman"/>
          <w:b/>
          <w:bCs/>
          <w:sz w:val="32"/>
          <w:szCs w:val="32"/>
        </w:rPr>
        <w:t>REFORMS 2025 AND THE NEW TAX REGIME</w:t>
      </w:r>
      <w:r w:rsidR="00203934">
        <w:rPr>
          <w:rFonts w:ascii="Times New Roman" w:hAnsi="Times New Roman" w:cs="Times New Roman"/>
          <w:b/>
          <w:bCs/>
          <w:sz w:val="32"/>
          <w:szCs w:val="32"/>
        </w:rPr>
        <w:t xml:space="preserve"> IN INDIA</w:t>
      </w:r>
      <w:r w:rsidR="00975D4D" w:rsidRPr="005B702B">
        <w:rPr>
          <w:rFonts w:ascii="Times New Roman" w:hAnsi="Times New Roman" w:cs="Times New Roman"/>
          <w:b/>
          <w:bCs/>
          <w:sz w:val="32"/>
          <w:szCs w:val="32"/>
        </w:rPr>
        <w:t>: TOWARDS SIMPLIFIED TAXATION OR ADDED COMPLEXITY</w:t>
      </w:r>
    </w:p>
    <w:p w14:paraId="7342E53F" w14:textId="77777777" w:rsidR="00CF5889" w:rsidRPr="00CF5889" w:rsidRDefault="00CF5889" w:rsidP="00CF5889"/>
    <w:p w14:paraId="7741A42D" w14:textId="0993E62B" w:rsidR="00C576D4" w:rsidRPr="005B702B" w:rsidRDefault="00C576D4" w:rsidP="008B30D4">
      <w:pPr>
        <w:pStyle w:val="Heading1"/>
        <w:rPr>
          <w:rFonts w:cs="Times New Roman"/>
          <w:sz w:val="28"/>
          <w:szCs w:val="28"/>
        </w:rPr>
      </w:pPr>
      <w:r w:rsidRPr="005B702B">
        <w:rPr>
          <w:rFonts w:cs="Times New Roman"/>
          <w:sz w:val="28"/>
          <w:szCs w:val="28"/>
        </w:rPr>
        <w:t xml:space="preserve">ABSTRACT  </w:t>
      </w:r>
    </w:p>
    <w:p w14:paraId="3A7C5941" w14:textId="35C33154" w:rsidR="00C576D4" w:rsidRPr="005B702B" w:rsidRDefault="00D36187" w:rsidP="00C576D4">
      <w:pPr>
        <w:rPr>
          <w:rFonts w:cs="Times New Roman"/>
          <w:sz w:val="22"/>
          <w:szCs w:val="22"/>
        </w:rPr>
      </w:pPr>
      <w:r w:rsidRPr="005B702B">
        <w:rPr>
          <w:rFonts w:cs="Times New Roman"/>
          <w:sz w:val="22"/>
          <w:szCs w:val="22"/>
        </w:rPr>
        <w:t>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w:t>
      </w:r>
      <w:r w:rsidR="00C576D4" w:rsidRPr="005B702B">
        <w:rPr>
          <w:rFonts w:cs="Times New Roman"/>
          <w:sz w:val="22"/>
          <w:szCs w:val="22"/>
        </w:rPr>
        <w:t xml:space="preserve">  </w:t>
      </w:r>
    </w:p>
    <w:p w14:paraId="4BC3037F" w14:textId="4706B1A5" w:rsidR="007C7E5A" w:rsidRPr="005B702B" w:rsidRDefault="007C7E5A" w:rsidP="008B30D4">
      <w:pPr>
        <w:pStyle w:val="Heading1"/>
        <w:rPr>
          <w:rFonts w:cs="Times New Roman"/>
          <w:sz w:val="28"/>
          <w:szCs w:val="28"/>
        </w:rPr>
      </w:pPr>
      <w:r w:rsidRPr="005B702B">
        <w:rPr>
          <w:rFonts w:cs="Times New Roman"/>
          <w:sz w:val="28"/>
          <w:szCs w:val="28"/>
        </w:rPr>
        <w:t>KEYWORDS</w:t>
      </w:r>
    </w:p>
    <w:p w14:paraId="2DB41CD5" w14:textId="726777FA" w:rsidR="004F2D8E" w:rsidRPr="005B702B" w:rsidRDefault="004F2D8E" w:rsidP="004F2D8E">
      <w:pPr>
        <w:rPr>
          <w:rFonts w:cs="Times New Roman"/>
          <w:sz w:val="22"/>
          <w:szCs w:val="22"/>
        </w:rPr>
      </w:pPr>
      <w:r w:rsidRPr="005B702B">
        <w:rPr>
          <w:rFonts w:cs="Times New Roman"/>
          <w:sz w:val="22"/>
          <w:szCs w:val="22"/>
        </w:rPr>
        <w:t>GST 2.0 reform, indirect taxation, compliance simplification, rate rationalization, tax administration, policy implementation</w:t>
      </w:r>
    </w:p>
    <w:p w14:paraId="718D2EA5" w14:textId="34DF0391" w:rsidR="00D36187" w:rsidRPr="005B702B" w:rsidRDefault="000B433F" w:rsidP="008B30D4">
      <w:pPr>
        <w:pStyle w:val="Heading1"/>
        <w:rPr>
          <w:rFonts w:cs="Times New Roman"/>
          <w:sz w:val="28"/>
          <w:szCs w:val="28"/>
        </w:rPr>
      </w:pPr>
      <w:r w:rsidRPr="005B702B">
        <w:rPr>
          <w:rFonts w:cs="Times New Roman"/>
          <w:sz w:val="28"/>
          <w:szCs w:val="28"/>
        </w:rPr>
        <w:t>1.</w:t>
      </w:r>
      <w:r w:rsidR="00C576D4" w:rsidRPr="005B702B">
        <w:rPr>
          <w:rFonts w:cs="Times New Roman"/>
          <w:sz w:val="28"/>
          <w:szCs w:val="28"/>
        </w:rPr>
        <w:t xml:space="preserve">  INTRODUCTION  </w:t>
      </w:r>
    </w:p>
    <w:p w14:paraId="4D9D73A4" w14:textId="55D753D3" w:rsidR="008B30D4" w:rsidRPr="005B702B" w:rsidRDefault="00204D20" w:rsidP="008B30D4">
      <w:pPr>
        <w:pStyle w:val="Heading2"/>
        <w:rPr>
          <w:rFonts w:cs="Times New Roman"/>
          <w:sz w:val="24"/>
          <w:szCs w:val="24"/>
        </w:rPr>
      </w:pPr>
      <w:r w:rsidRPr="005B702B">
        <w:rPr>
          <w:rFonts w:cs="Times New Roman"/>
          <w:sz w:val="24"/>
          <w:szCs w:val="24"/>
        </w:rPr>
        <w:t>1.1 Narrative</w:t>
      </w:r>
      <w:r w:rsidR="00D36187" w:rsidRPr="005B702B">
        <w:rPr>
          <w:rFonts w:cs="Times New Roman"/>
          <w:sz w:val="24"/>
          <w:szCs w:val="24"/>
        </w:rPr>
        <w:t xml:space="preserve"> and Chronological Evolution of the Indian Regime of the Goods and Services Tax</w:t>
      </w:r>
    </w:p>
    <w:p w14:paraId="01002EED" w14:textId="45E0AF35" w:rsidR="00D36187" w:rsidRPr="005B702B" w:rsidRDefault="00D36187" w:rsidP="00D36187">
      <w:pPr>
        <w:rPr>
          <w:rFonts w:cs="Times New Roman"/>
          <w:sz w:val="22"/>
          <w:szCs w:val="22"/>
        </w:rPr>
      </w:pPr>
      <w:r w:rsidRPr="005B702B">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(5%, 12%, 18</w:t>
      </w:r>
      <w:r w:rsidR="00203934">
        <w:rPr>
          <w:rFonts w:cs="Times New Roman"/>
          <w:sz w:val="22"/>
          <w:szCs w:val="22"/>
        </w:rPr>
        <w:t>%</w:t>
      </w:r>
      <w:r w:rsidRPr="005B702B">
        <w:rPr>
          <w:rFonts w:cs="Times New Roman"/>
          <w:sz w:val="22"/>
          <w:szCs w:val="22"/>
        </w:rPr>
        <w:t>, 28</w:t>
      </w:r>
      <w:r w:rsidR="00203934">
        <w:rPr>
          <w:rFonts w:cs="Times New Roman"/>
          <w:sz w:val="22"/>
          <w:szCs w:val="22"/>
        </w:rPr>
        <w:t>%</w:t>
      </w:r>
      <w:r w:rsidRPr="005B702B">
        <w:rPr>
          <w:rFonts w:cs="Times New Roman"/>
          <w:sz w:val="22"/>
          <w:szCs w:val="22"/>
        </w:rPr>
        <w:t>) to a binary structure of 5% and 18</w:t>
      </w:r>
      <w:r w:rsidR="00044A76">
        <w:rPr>
          <w:rFonts w:cs="Times New Roman"/>
          <w:sz w:val="22"/>
          <w:szCs w:val="22"/>
        </w:rPr>
        <w:t>%</w:t>
      </w:r>
      <w:r w:rsidRPr="005B702B">
        <w:rPr>
          <w:rFonts w:cs="Times New Roman"/>
          <w:sz w:val="22"/>
          <w:szCs w:val="22"/>
        </w:rPr>
        <w:t xml:space="preserve"> with an accompanying sharp rate of 40% to apply to sin and lux road goods. The package is </w:t>
      </w:r>
      <w:r w:rsidRPr="005B702B">
        <w:rPr>
          <w:rFonts w:cs="Times New Roman"/>
          <w:sz w:val="22"/>
          <w:szCs w:val="22"/>
        </w:rPr>
        <w:lastRenderedPageBreak/>
        <w:t xml:space="preserve">also 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(TradeIMEX, 2025; PIB FAQ, 2025).  </w:t>
      </w:r>
    </w:p>
    <w:p w14:paraId="7F14FD61" w14:textId="43CC84DC" w:rsidR="00D36187" w:rsidRPr="005B702B" w:rsidRDefault="00D36187" w:rsidP="008B30D4">
      <w:pPr>
        <w:pStyle w:val="Heading2"/>
        <w:rPr>
          <w:rFonts w:cs="Times New Roman"/>
          <w:sz w:val="24"/>
          <w:szCs w:val="24"/>
        </w:rPr>
      </w:pPr>
      <w:r w:rsidRPr="005B702B">
        <w:rPr>
          <w:rFonts w:cs="Times New Roman"/>
          <w:sz w:val="24"/>
          <w:szCs w:val="24"/>
        </w:rPr>
        <w:t xml:space="preserve">1.2 Reason and Importance of the Study </w:t>
      </w:r>
    </w:p>
    <w:p w14:paraId="634976C9" w14:textId="3AB2526C" w:rsidR="00D36187" w:rsidRPr="005B702B" w:rsidRDefault="00D36187" w:rsidP="00D36187">
      <w:pPr>
        <w:rPr>
          <w:rFonts w:cs="Times New Roman"/>
          <w:sz w:val="22"/>
          <w:szCs w:val="22"/>
        </w:rPr>
      </w:pPr>
      <w:r w:rsidRPr="005B702B">
        <w:rPr>
          <w:rFonts w:cs="Times New Roman"/>
          <w:sz w:val="22"/>
          <w:szCs w:val="22"/>
        </w:rPr>
        <w:t xml:space="preserve">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w:t>
      </w:r>
      <w:r w:rsidR="00044A76" w:rsidRPr="005B702B">
        <w:rPr>
          <w:rFonts w:cs="Times New Roman"/>
          <w:sz w:val="22"/>
          <w:szCs w:val="22"/>
        </w:rPr>
        <w:t>linguistic</w:t>
      </w:r>
      <w:r w:rsidRPr="005B702B">
        <w:rPr>
          <w:rFonts w:cs="Times New Roman"/>
          <w:sz w:val="22"/>
          <w:szCs w:val="22"/>
        </w:rPr>
        <w:t xml:space="preserve"> account of simplification?</w:t>
      </w:r>
    </w:p>
    <w:p w14:paraId="145EEED7" w14:textId="77777777" w:rsidR="00D36187" w:rsidRPr="005B702B" w:rsidRDefault="00D36187" w:rsidP="00D36187">
      <w:pPr>
        <w:rPr>
          <w:rFonts w:cs="Times New Roman"/>
          <w:b/>
          <w:bCs/>
          <w:sz w:val="22"/>
          <w:szCs w:val="22"/>
        </w:rPr>
      </w:pPr>
      <w:r w:rsidRPr="005B702B">
        <w:rPr>
          <w:rFonts w:cs="Times New Roman"/>
          <w:b/>
          <w:bCs/>
          <w:sz w:val="22"/>
          <w:szCs w:val="22"/>
        </w:rPr>
        <w:t xml:space="preserve">The investigation is relevant to a number of constituencies:  </w:t>
      </w:r>
    </w:p>
    <w:p w14:paraId="55E08EB9" w14:textId="77777777" w:rsidR="00203934" w:rsidRPr="00203934" w:rsidRDefault="00D36187" w:rsidP="00203934">
      <w:pPr>
        <w:rPr>
          <w:rFonts w:cs="Times New Roman"/>
          <w:b/>
          <w:bCs/>
          <w:sz w:val="22"/>
          <w:szCs w:val="22"/>
        </w:rPr>
      </w:pPr>
      <w:r w:rsidRPr="005B702B">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w:t>
      </w:r>
      <w:r w:rsidR="00203934" w:rsidRPr="00203934">
        <w:rPr>
          <w:rFonts w:cs="Times New Roman"/>
          <w:sz w:val="22"/>
          <w:szCs w:val="22"/>
        </w:rPr>
        <w:t>The comparison of statutory design, system characteristics, and operationally modelled burdens aims to improve fiscal disclosure and support empirically validated policy analysis.</w:t>
      </w:r>
    </w:p>
    <w:p w14:paraId="4B14089F" w14:textId="22D02D05" w:rsidR="00D36187" w:rsidRPr="005B702B" w:rsidRDefault="00D36187" w:rsidP="00203934">
      <w:pPr>
        <w:rPr>
          <w:rFonts w:cs="Times New Roman"/>
        </w:rPr>
      </w:pPr>
      <w:r w:rsidRPr="005B702B">
        <w:rPr>
          <w:rFonts w:cs="Times New Roman"/>
        </w:rPr>
        <w:t xml:space="preserve">1.3 Research Gap  </w:t>
      </w:r>
    </w:p>
    <w:p w14:paraId="5A9B8EC8" w14:textId="77777777" w:rsidR="00D36187" w:rsidRPr="005B702B" w:rsidRDefault="00D36187" w:rsidP="00D36187">
      <w:pPr>
        <w:rPr>
          <w:rFonts w:cs="Times New Roman"/>
          <w:sz w:val="22"/>
          <w:szCs w:val="22"/>
        </w:rPr>
      </w:pPr>
      <w:r w:rsidRPr="005B702B">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police briefs of organizations like Drishti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CC17263" w14:textId="6DEFEC2F" w:rsidR="00D36187" w:rsidRPr="005B702B" w:rsidRDefault="00203934" w:rsidP="008B30D4">
      <w:pPr>
        <w:pStyle w:val="Heading2"/>
        <w:rPr>
          <w:rFonts w:cs="Times New Roman"/>
          <w:sz w:val="24"/>
          <w:szCs w:val="24"/>
        </w:rPr>
      </w:pPr>
      <w:r w:rsidRPr="005B702B">
        <w:rPr>
          <w:rFonts w:cs="Times New Roman"/>
          <w:sz w:val="24"/>
          <w:szCs w:val="24"/>
        </w:rPr>
        <w:t>1.4 Scope</w:t>
      </w:r>
      <w:r w:rsidR="00D36187" w:rsidRPr="005B702B">
        <w:rPr>
          <w:rFonts w:cs="Times New Roman"/>
          <w:sz w:val="24"/>
          <w:szCs w:val="24"/>
        </w:rPr>
        <w:t xml:space="preserve">, Research Questions and Structure   </w:t>
      </w:r>
    </w:p>
    <w:p w14:paraId="444E10BD" w14:textId="77777777" w:rsidR="00D36187" w:rsidRPr="005B702B" w:rsidRDefault="00D36187" w:rsidP="00D36187">
      <w:pPr>
        <w:rPr>
          <w:rFonts w:cs="Times New Roman"/>
          <w:b/>
          <w:bCs/>
          <w:sz w:val="22"/>
          <w:szCs w:val="22"/>
        </w:rPr>
      </w:pPr>
      <w:r w:rsidRPr="005B702B">
        <w:rPr>
          <w:rFonts w:cs="Times New Roman"/>
          <w:b/>
          <w:bCs/>
          <w:sz w:val="22"/>
          <w:szCs w:val="22"/>
        </w:rPr>
        <w:t>Scope:</w:t>
      </w:r>
    </w:p>
    <w:p w14:paraId="01E4F529" w14:textId="4A73D77D" w:rsidR="00D36187" w:rsidRPr="005B702B" w:rsidRDefault="00D36187" w:rsidP="00D36187">
      <w:pPr>
        <w:rPr>
          <w:rFonts w:cs="Times New Roman"/>
          <w:sz w:val="22"/>
          <w:szCs w:val="22"/>
        </w:rPr>
      </w:pPr>
      <w:r w:rsidRPr="005B702B">
        <w:rPr>
          <w:rFonts w:cs="Times New Roman"/>
          <w:sz w:val="22"/>
          <w:szCs w:val="22"/>
        </w:rPr>
        <w:lastRenderedPageBreak/>
        <w:t>The question is narrowed down to the reform package that is identified and operationalised as GST 2.0, which takes effect in 2025, and projections of its implications within the context of the transition horizon (2025</w:t>
      </w:r>
      <w:r w:rsidR="00204D20">
        <w:rPr>
          <w:rFonts w:cs="Times New Roman"/>
          <w:sz w:val="22"/>
          <w:szCs w:val="22"/>
        </w:rPr>
        <w:t>-</w:t>
      </w:r>
      <w:r w:rsidRPr="005B702B">
        <w:rPr>
          <w:rFonts w:cs="Times New Roman"/>
          <w:sz w:val="22"/>
          <w:szCs w:val="22"/>
        </w:rPr>
        <w:t xml:space="preserve">2027). It </w:t>
      </w:r>
      <w:r w:rsidR="00EF010B">
        <w:rPr>
          <w:rFonts w:cs="Times New Roman"/>
          <w:sz w:val="22"/>
          <w:szCs w:val="22"/>
        </w:rPr>
        <w:t>places an empirical focus on the manufacturing, services, automotive, and fast-moving consumer goods (FMCG) sectors, which are all exposed to acute tax-rate adjustments</w:t>
      </w:r>
      <w:r w:rsidRPr="005B702B">
        <w:rPr>
          <w:rFonts w:cs="Times New Roman"/>
          <w:sz w:val="22"/>
          <w:szCs w:val="22"/>
        </w:rPr>
        <w:t xml:space="preserve">. Differences in rates, thresholds and procedural ecosystems either brought by individual states, or by tightly focused economic activities, are mentioned, at all, only in appendiceal analyses.   </w:t>
      </w:r>
    </w:p>
    <w:p w14:paraId="479DD8D8" w14:textId="77777777" w:rsidR="00D36187" w:rsidRPr="005B702B" w:rsidRDefault="00D36187" w:rsidP="00D36187">
      <w:pPr>
        <w:rPr>
          <w:rFonts w:cs="Times New Roman"/>
          <w:b/>
          <w:bCs/>
          <w:sz w:val="22"/>
          <w:szCs w:val="22"/>
        </w:rPr>
      </w:pPr>
      <w:r w:rsidRPr="005B702B">
        <w:rPr>
          <w:rFonts w:cs="Times New Roman"/>
          <w:b/>
          <w:bCs/>
          <w:sz w:val="22"/>
          <w:szCs w:val="22"/>
        </w:rPr>
        <w:t>Research questions and Hypotheses:</w:t>
      </w:r>
    </w:p>
    <w:p w14:paraId="0D94C418" w14:textId="77777777" w:rsidR="00D36187" w:rsidRPr="005B702B" w:rsidRDefault="00D36187" w:rsidP="00D36187">
      <w:pPr>
        <w:rPr>
          <w:rFonts w:cs="Times New Roman"/>
          <w:sz w:val="22"/>
          <w:szCs w:val="22"/>
        </w:rPr>
      </w:pPr>
      <w:r w:rsidRPr="005B702B">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14:textId="4DF3F4C4"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14:textId="48708136"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H0: The expected simplification economies are offset and, possibly, offset more by persistent and stalemated classification controversies.</w:t>
      </w:r>
    </w:p>
    <w:p w14:paraId="6E13171B" w14:textId="77777777" w:rsidR="00D36187" w:rsidRPr="005B702B" w:rsidRDefault="00D36187" w:rsidP="00D36187">
      <w:pPr>
        <w:rPr>
          <w:rFonts w:cs="Times New Roman"/>
          <w:sz w:val="22"/>
          <w:szCs w:val="22"/>
        </w:rPr>
      </w:pPr>
      <w:r w:rsidRPr="005B702B">
        <w:rPr>
          <w:rFonts w:cs="Times New Roman"/>
          <w:sz w:val="22"/>
          <w:szCs w:val="22"/>
        </w:rPr>
        <w:t xml:space="preserve">RQ2: Is there any new operational complexity (refunds, transitional input tax credit, and e-invoicing) to expect in GST 2025?  </w:t>
      </w:r>
    </w:p>
    <w:p w14:paraId="6D6A4FDB" w14:textId="77777777" w:rsidR="00D36187" w:rsidRPr="005B702B" w:rsidRDefault="00D36187" w:rsidP="00D36187">
      <w:pPr>
        <w:rPr>
          <w:rFonts w:cs="Times New Roman"/>
          <w:sz w:val="22"/>
          <w:szCs w:val="22"/>
        </w:rPr>
      </w:pPr>
      <w:r w:rsidRPr="005B702B">
        <w:rPr>
          <w:rFonts w:cs="Times New Roman"/>
          <w:sz w:val="22"/>
          <w:szCs w:val="22"/>
        </w:rPr>
        <w:t xml:space="preserve">RQ3: How has the perception of tax practitioners and micro, small, and medium enterprises on the balance of simplification and burden of the upcoming reforms accumulated?  </w:t>
      </w:r>
    </w:p>
    <w:p w14:paraId="1A66E503" w14:textId="228677E0" w:rsidR="00D36187" w:rsidRPr="005B702B" w:rsidRDefault="00D36187" w:rsidP="00D36187">
      <w:pPr>
        <w:rPr>
          <w:rFonts w:cs="Times New Roman"/>
          <w:sz w:val="22"/>
          <w:szCs w:val="22"/>
        </w:rPr>
      </w:pPr>
      <w:r w:rsidRPr="005B702B">
        <w:rPr>
          <w:rFonts w:cs="Times New Roman"/>
          <w:sz w:val="22"/>
          <w:szCs w:val="22"/>
        </w:rPr>
        <w:t>RQ4: Are micro-sector case studies revealing deviation off the simplification agenda original agenda especially in the automobile and electronic domain?</w:t>
      </w:r>
    </w:p>
    <w:p w14:paraId="6B434D8B" w14:textId="47A7EE95" w:rsidR="00C576D4" w:rsidRPr="005B702B" w:rsidRDefault="000B433F" w:rsidP="008B30D4">
      <w:pPr>
        <w:pStyle w:val="Heading1"/>
        <w:rPr>
          <w:rFonts w:cs="Times New Roman"/>
          <w:sz w:val="28"/>
          <w:szCs w:val="28"/>
        </w:rPr>
      </w:pPr>
      <w:r w:rsidRPr="005B702B">
        <w:rPr>
          <w:rFonts w:cs="Times New Roman"/>
          <w:sz w:val="28"/>
          <w:szCs w:val="28"/>
        </w:rPr>
        <w:t xml:space="preserve">2. </w:t>
      </w:r>
      <w:r w:rsidR="00C576D4" w:rsidRPr="005B702B">
        <w:rPr>
          <w:rFonts w:cs="Times New Roman"/>
          <w:sz w:val="28"/>
          <w:szCs w:val="28"/>
        </w:rPr>
        <w:t xml:space="preserve"> LITERATURE REVIEW  </w:t>
      </w:r>
    </w:p>
    <w:p w14:paraId="0E20341D" w14:textId="2844B226" w:rsidR="00D36187" w:rsidRPr="005B702B" w:rsidRDefault="00D36187" w:rsidP="008B30D4">
      <w:pPr>
        <w:pStyle w:val="Heading2"/>
        <w:rPr>
          <w:rFonts w:cs="Times New Roman"/>
          <w:sz w:val="24"/>
          <w:szCs w:val="24"/>
        </w:rPr>
      </w:pPr>
      <w:r w:rsidRPr="005B702B">
        <w:rPr>
          <w:rFonts w:cs="Times New Roman"/>
          <w:sz w:val="24"/>
          <w:szCs w:val="24"/>
        </w:rPr>
        <w:t xml:space="preserve">2.1 Compliance Costs, Particularly of small and unorganised firms  </w:t>
      </w:r>
    </w:p>
    <w:p w14:paraId="047C02E6" w14:textId="4CBC8300" w:rsidR="00D36187" w:rsidRPr="005B702B" w:rsidRDefault="00D36187" w:rsidP="00D36187">
      <w:pPr>
        <w:rPr>
          <w:rFonts w:cs="Times New Roman"/>
          <w:sz w:val="22"/>
          <w:szCs w:val="22"/>
        </w:rPr>
      </w:pPr>
      <w:r w:rsidRPr="005B702B">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w:t>
      </w:r>
      <w:r w:rsidR="00352F6B" w:rsidRPr="005B702B">
        <w:rPr>
          <w:rFonts w:cs="Times New Roman"/>
          <w:sz w:val="22"/>
          <w:szCs w:val="22"/>
        </w:rPr>
        <w:t>simplifications. The</w:t>
      </w:r>
      <w:r w:rsidRPr="005B702B">
        <w:rPr>
          <w:rFonts w:cs="Times New Roman"/>
          <w:sz w:val="22"/>
          <w:szCs w:val="22"/>
        </w:rPr>
        <w:t xml:space="preserve"> article by Kesari (2025) titled GST Implementation and its Impact on Tax Compliance Costs on Small Business in India follows </w:t>
      </w:r>
      <w:r w:rsidR="005B702B" w:rsidRPr="005B702B">
        <w:rPr>
          <w:rFonts w:cs="Times New Roman"/>
          <w:sz w:val="22"/>
          <w:szCs w:val="22"/>
        </w:rPr>
        <w:t>systematic research</w:t>
      </w:r>
      <w:r w:rsidRPr="005B702B">
        <w:rPr>
          <w:rFonts w:cs="Times New Roman"/>
          <w:sz w:val="22"/>
          <w:szCs w:val="22"/>
        </w:rPr>
        <w:t xml:space="preserve">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normativity, administrative layers of mandate, technologies, and procedures with many dimensions </w:t>
      </w:r>
      <w:r w:rsidRPr="005B702B">
        <w:rPr>
          <w:rFonts w:cs="Times New Roman"/>
          <w:sz w:val="22"/>
          <w:szCs w:val="22"/>
        </w:rPr>
        <w:lastRenderedPageBreak/>
        <w:t xml:space="preserve">thwart simplification intentions, especially in cases where the tax base is non-homogeneous and the taxpayer is small.   </w:t>
      </w:r>
    </w:p>
    <w:p w14:paraId="2487D42C" w14:textId="6E732502" w:rsidR="00D36187" w:rsidRPr="005B702B" w:rsidRDefault="00D36187" w:rsidP="008B30D4">
      <w:pPr>
        <w:pStyle w:val="Heading2"/>
        <w:rPr>
          <w:rFonts w:cs="Times New Roman"/>
          <w:sz w:val="24"/>
          <w:szCs w:val="24"/>
        </w:rPr>
      </w:pPr>
      <w:r w:rsidRPr="005B702B">
        <w:rPr>
          <w:rFonts w:cs="Times New Roman"/>
          <w:sz w:val="24"/>
          <w:szCs w:val="24"/>
        </w:rPr>
        <w:t xml:space="preserve">2.2 Complexity perceptions of the Tax Practitioners and Stakeholders  </w:t>
      </w:r>
    </w:p>
    <w:p w14:paraId="09E372AE" w14:textId="77777777" w:rsidR="00D36187" w:rsidRPr="005B702B" w:rsidRDefault="00D36187" w:rsidP="00D36187">
      <w:pPr>
        <w:rPr>
          <w:rFonts w:cs="Times New Roman"/>
          <w:sz w:val="22"/>
          <w:szCs w:val="22"/>
        </w:rPr>
      </w:pPr>
      <w:r w:rsidRPr="005B702B">
        <w:rPr>
          <w:rFonts w:cs="Times New Roman"/>
          <w:sz w:val="22"/>
          <w:szCs w:val="22"/>
        </w:rPr>
        <w:t xml:space="preserve">Neetha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14:textId="525FA953" w:rsidR="00D36187" w:rsidRPr="005B702B" w:rsidRDefault="00D36187" w:rsidP="008B30D4">
      <w:pPr>
        <w:pStyle w:val="Heading2"/>
        <w:rPr>
          <w:rFonts w:cs="Times New Roman"/>
          <w:sz w:val="24"/>
          <w:szCs w:val="24"/>
        </w:rPr>
      </w:pPr>
      <w:r w:rsidRPr="005B702B">
        <w:rPr>
          <w:rFonts w:cs="Times New Roman"/>
          <w:sz w:val="24"/>
          <w:szCs w:val="24"/>
        </w:rPr>
        <w:t>2.3 Structural Complexity Tax Rates, Classification and Equity</w:t>
      </w:r>
    </w:p>
    <w:p w14:paraId="77487722" w14:textId="77777777" w:rsidR="00D36187" w:rsidRPr="005B702B" w:rsidRDefault="00D36187" w:rsidP="00D36187">
      <w:pPr>
        <w:rPr>
          <w:rFonts w:cs="Times New Roman"/>
          <w:sz w:val="22"/>
          <w:szCs w:val="22"/>
        </w:rPr>
      </w:pPr>
      <w:r w:rsidRPr="005B702B">
        <w:rPr>
          <w:rFonts w:cs="Times New Roman"/>
          <w:sz w:val="22"/>
          <w:szCs w:val="22"/>
        </w:rPr>
        <w:t>Rajagopalan (2023) does not only examine the repercussion of equity goals and the complexity of the structure, but in reference to the current array of multiple rate slabs in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slabging of India on its GST system is the increase in administrative cost and based on it, exposure to classification litigations, tax treatment disputes, and criticism of the need to rectify supply schedules (Rajagopalan, 2023). The comparison of the GST evaluations by Tekwani and Pabla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(Tekwani and Pabla, 2021).</w:t>
      </w:r>
    </w:p>
    <w:p w14:paraId="65D84A15" w14:textId="320F3848" w:rsidR="00C576D4" w:rsidRPr="005B702B" w:rsidRDefault="00D36187" w:rsidP="00D36187">
      <w:pPr>
        <w:rPr>
          <w:rFonts w:cs="Times New Roman"/>
          <w:sz w:val="22"/>
          <w:szCs w:val="22"/>
        </w:rPr>
      </w:pPr>
      <w:r w:rsidRPr="005B702B">
        <w:rPr>
          <w:rFonts w:cs="Times New Roman"/>
          <w:sz w:val="22"/>
          <w:szCs w:val="22"/>
        </w:rPr>
        <w:t>In their reflection on structural reform, Virmani and Bhasin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(Virmani and Bhasin, 2020)</w:t>
      </w:r>
      <w:r w:rsidR="00C576D4" w:rsidRPr="005B702B">
        <w:rPr>
          <w:rFonts w:cs="Times New Roman"/>
          <w:sz w:val="22"/>
          <w:szCs w:val="22"/>
        </w:rPr>
        <w:t>.</w:t>
      </w:r>
    </w:p>
    <w:p w14:paraId="6845AC7A" w14:textId="3AEFA8B3" w:rsidR="00D36187" w:rsidRPr="005B702B" w:rsidRDefault="00D36187" w:rsidP="008B30D4">
      <w:pPr>
        <w:pStyle w:val="Heading2"/>
        <w:rPr>
          <w:rFonts w:cs="Times New Roman"/>
          <w:sz w:val="24"/>
          <w:szCs w:val="24"/>
        </w:rPr>
      </w:pPr>
      <w:r w:rsidRPr="005B702B">
        <w:rPr>
          <w:rFonts w:cs="Times New Roman"/>
          <w:sz w:val="24"/>
          <w:szCs w:val="24"/>
        </w:rPr>
        <w:t>2.4 Federalism, State-Centre Dynamics and Revenue Sharing</w:t>
      </w:r>
    </w:p>
    <w:p w14:paraId="53F6A367" w14:textId="77777777" w:rsidR="00D36187" w:rsidRPr="005B702B" w:rsidRDefault="00D36187" w:rsidP="00D36187">
      <w:pPr>
        <w:rPr>
          <w:rFonts w:cs="Times New Roman"/>
          <w:sz w:val="22"/>
          <w:szCs w:val="22"/>
        </w:rPr>
      </w:pPr>
      <w:r w:rsidRPr="005B702B">
        <w:rPr>
          <w:rFonts w:cs="Times New Roman"/>
          <w:sz w:val="22"/>
          <w:szCs w:val="22"/>
        </w:rPr>
        <w:t xml:space="preserve">The lightweight measure of the India GST is in play with the federal architecture. Joseph and Kumary (2023) evaluate the state-level revenue achievement as compared to compensation formulas in the situation of Kerala and query the architecture of reallocation, attenuation of the loss of revenue, and </w:t>
      </w:r>
      <w:r w:rsidRPr="005B702B">
        <w:rPr>
          <w:rFonts w:cs="Times New Roman"/>
          <w:sz w:val="22"/>
          <w:szCs w:val="22"/>
        </w:rPr>
        <w:lastRenderedPageBreak/>
        <w:t>interface abating sub-national fiscal jurisdiction under the GST proton (Joseph and Kumary,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14:textId="77777777" w:rsidR="00D36187" w:rsidRPr="005B702B" w:rsidRDefault="00D36187" w:rsidP="00D36187">
      <w:pPr>
        <w:rPr>
          <w:rFonts w:cs="Times New Roman"/>
          <w:sz w:val="22"/>
          <w:szCs w:val="22"/>
        </w:rPr>
      </w:pPr>
      <w:r w:rsidRPr="005B702B">
        <w:rPr>
          <w:rFonts w:cs="Times New Roman"/>
          <w:sz w:val="22"/>
          <w:szCs w:val="22"/>
        </w:rPr>
        <w:t xml:space="preserve">Such unrelenting complaints are contributing to the perception of administrative opaqueness and exposure to risk, which may discourage state-level adherence and investor trust (Joseph and Kumary,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14:textId="1727A2D0" w:rsidR="00D36187" w:rsidRPr="005B702B" w:rsidRDefault="00D36187" w:rsidP="008B30D4">
      <w:pPr>
        <w:pStyle w:val="Heading2"/>
        <w:rPr>
          <w:rFonts w:cs="Times New Roman"/>
          <w:sz w:val="24"/>
          <w:szCs w:val="24"/>
        </w:rPr>
      </w:pPr>
      <w:r w:rsidRPr="005B702B">
        <w:rPr>
          <w:rFonts w:cs="Times New Roman"/>
          <w:sz w:val="24"/>
          <w:szCs w:val="24"/>
        </w:rPr>
        <w:t xml:space="preserve">2.5 Industry Perception, Business Survey Evidence  </w:t>
      </w:r>
    </w:p>
    <w:p w14:paraId="54374898" w14:textId="77777777" w:rsidR="00D36187" w:rsidRPr="005B702B" w:rsidRDefault="00D36187" w:rsidP="00D36187">
      <w:pPr>
        <w:rPr>
          <w:rFonts w:cs="Times New Roman"/>
          <w:sz w:val="22"/>
          <w:szCs w:val="22"/>
        </w:rPr>
      </w:pPr>
      <w:r w:rsidRPr="005B702B">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mechanisms(IBEF, 2025).   </w:t>
      </w:r>
    </w:p>
    <w:p w14:paraId="67E8D100" w14:textId="77777777" w:rsidR="00D36187" w:rsidRPr="005B702B" w:rsidRDefault="00D36187" w:rsidP="00D36187">
      <w:pPr>
        <w:rPr>
          <w:rFonts w:cs="Times New Roman"/>
          <w:sz w:val="22"/>
          <w:szCs w:val="22"/>
        </w:rPr>
      </w:pPr>
      <w:r w:rsidRPr="005B702B">
        <w:rPr>
          <w:rFonts w:cs="Times New Roman"/>
          <w:sz w:val="22"/>
          <w:szCs w:val="22"/>
        </w:rPr>
        <w:t xml:space="preserve">In addition, in the 2024 survey on GST@7, the interviewed executives supported the GST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14:textId="669DB97C" w:rsidR="00D36187" w:rsidRPr="005B702B" w:rsidRDefault="00D36187" w:rsidP="008B30D4">
      <w:pPr>
        <w:pStyle w:val="Heading2"/>
        <w:rPr>
          <w:rFonts w:cs="Times New Roman"/>
          <w:sz w:val="24"/>
          <w:szCs w:val="24"/>
        </w:rPr>
      </w:pPr>
      <w:r w:rsidRPr="005B702B">
        <w:rPr>
          <w:rFonts w:cs="Times New Roman"/>
          <w:sz w:val="24"/>
          <w:szCs w:val="24"/>
        </w:rPr>
        <w:t xml:space="preserve">2.6 Fiscal Federalism, State Compensation &amp; Revenue Neutrality   </w:t>
      </w:r>
    </w:p>
    <w:p w14:paraId="3E635510" w14:textId="575EB17B" w:rsidR="00D36187" w:rsidRPr="005B702B" w:rsidRDefault="00D36187" w:rsidP="00D36187">
      <w:pPr>
        <w:rPr>
          <w:rFonts w:cs="Times New Roman"/>
          <w:sz w:val="22"/>
          <w:szCs w:val="22"/>
        </w:rPr>
      </w:pPr>
      <w:r w:rsidRPr="005B702B">
        <w:rPr>
          <w:rFonts w:cs="Times New Roman"/>
          <w:sz w:val="22"/>
          <w:szCs w:val="22"/>
        </w:rPr>
        <w:t xml:space="preserve">Joseph and Anitha Kumary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w:t>
      </w:r>
      <w:r w:rsidR="005B702B" w:rsidRPr="005B702B">
        <w:rPr>
          <w:rFonts w:cs="Times New Roman"/>
          <w:sz w:val="22"/>
          <w:szCs w:val="22"/>
        </w:rPr>
        <w:t>an</w:t>
      </w:r>
      <w:r w:rsidRPr="005B702B">
        <w:rPr>
          <w:rFonts w:cs="Times New Roman"/>
          <w:sz w:val="22"/>
          <w:szCs w:val="22"/>
        </w:rPr>
        <w:t xml:space="preserve"> electorate group-and supplier reluctance, both of which subject the rate set to pressure on how and when rates are resett. </w:t>
      </w:r>
    </w:p>
    <w:p w14:paraId="03C31664" w14:textId="4BE1C587" w:rsidR="00D36187" w:rsidRPr="005B702B" w:rsidRDefault="00D36187" w:rsidP="008B30D4">
      <w:pPr>
        <w:pStyle w:val="Heading2"/>
        <w:rPr>
          <w:rFonts w:cs="Times New Roman"/>
          <w:sz w:val="24"/>
          <w:szCs w:val="24"/>
        </w:rPr>
      </w:pPr>
      <w:r w:rsidRPr="005B702B">
        <w:rPr>
          <w:rFonts w:cs="Times New Roman"/>
          <w:sz w:val="24"/>
          <w:szCs w:val="24"/>
        </w:rPr>
        <w:lastRenderedPageBreak/>
        <w:t>2.7 Sectoral and Equity Concerns</w:t>
      </w:r>
    </w:p>
    <w:p w14:paraId="2C6D2088" w14:textId="6FC4AF5A" w:rsidR="00C576D4" w:rsidRPr="005B702B" w:rsidRDefault="00D36187" w:rsidP="00D36187">
      <w:pPr>
        <w:rPr>
          <w:rFonts w:cs="Times New Roman"/>
          <w:sz w:val="22"/>
          <w:szCs w:val="22"/>
        </w:rPr>
      </w:pPr>
      <w:r w:rsidRPr="005B702B">
        <w:rPr>
          <w:rFonts w:cs="Times New Roman"/>
          <w:sz w:val="22"/>
          <w:szCs w:val="22"/>
        </w:rPr>
        <w:t xml:space="preserve">Joseph and Anitha Kumary (2023) capture these processes at the Council bargaining table and note how rates continue being a currency of political exchange as much as they are a revenue </w:t>
      </w:r>
      <w:r w:rsidR="00352F6B" w:rsidRPr="005B702B">
        <w:rPr>
          <w:rFonts w:cs="Times New Roman"/>
          <w:sz w:val="22"/>
          <w:szCs w:val="22"/>
        </w:rPr>
        <w:t>instrument The</w:t>
      </w:r>
      <w:r w:rsidR="00C576D4" w:rsidRPr="005B702B">
        <w:rPr>
          <w:rFonts w:cs="Times New Roman"/>
          <w:sz w:val="22"/>
          <w:szCs w:val="22"/>
        </w:rPr>
        <w:t xml:space="preserve"> ensuing appreciation of compensation structures reveals added vulnerabilities. Specific attention to the Compensation Cess post 49th GST Council Meeting by Kanojia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w:t>
      </w:r>
      <w:r w:rsidR="00B815A8" w:rsidRPr="005B702B">
        <w:rPr>
          <w:rFonts w:cs="Times New Roman"/>
          <w:sz w:val="22"/>
          <w:szCs w:val="22"/>
        </w:rPr>
        <w:t>URL</w:t>
      </w:r>
      <w:r w:rsidR="00C576D4" w:rsidRPr="005B702B">
        <w:rPr>
          <w:rFonts w:cs="Times New Roman"/>
          <w:sz w:val="22"/>
          <w:szCs w:val="22"/>
        </w:rPr>
        <w:t xml:space="preserve">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w:t>
      </w:r>
      <w:r w:rsidR="00B815A8" w:rsidRPr="005B702B">
        <w:rPr>
          <w:rFonts w:cs="Times New Roman"/>
          <w:sz w:val="22"/>
          <w:szCs w:val="22"/>
        </w:rPr>
        <w:t>channelling</w:t>
      </w:r>
      <w:r w:rsidR="00C576D4" w:rsidRPr="005B702B">
        <w:rPr>
          <w:rFonts w:cs="Times New Roman"/>
          <w:sz w:val="22"/>
          <w:szCs w:val="22"/>
        </w:rPr>
        <w:t xml:space="preserve">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14:textId="74678505" w:rsidR="00C576D4" w:rsidRPr="005B702B" w:rsidRDefault="00C576D4" w:rsidP="00C576D4">
      <w:pPr>
        <w:rPr>
          <w:rFonts w:cs="Times New Roman"/>
          <w:sz w:val="22"/>
          <w:szCs w:val="22"/>
        </w:rPr>
      </w:pPr>
      <w:r w:rsidRPr="005B702B">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Jaid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w:t>
      </w:r>
      <w:r w:rsidR="00B815A8" w:rsidRPr="005B702B">
        <w:rPr>
          <w:rFonts w:cs="Times New Roman"/>
          <w:sz w:val="22"/>
          <w:szCs w:val="22"/>
        </w:rPr>
        <w:t>implicatory</w:t>
      </w:r>
      <w:r w:rsidRPr="005B702B">
        <w:rPr>
          <w:rFonts w:cs="Times New Roman"/>
          <w:sz w:val="22"/>
          <w:szCs w:val="22"/>
        </w:rPr>
        <w:t xml:space="preserve"> gain that the levy ideally accords. (Jaid &amp; Lahoti, 2023)  </w:t>
      </w:r>
    </w:p>
    <w:p w14:paraId="68B53DF4" w14:textId="5797920F"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.8 Macroeconomic Growth, Inflation, Wider Economic Impacts  </w:t>
      </w:r>
    </w:p>
    <w:p w14:paraId="78A985B9" w14:textId="6E18D14B" w:rsidR="00C576D4" w:rsidRPr="005B702B" w:rsidRDefault="008B30D4" w:rsidP="00C576D4">
      <w:pPr>
        <w:rPr>
          <w:rFonts w:cs="Times New Roman"/>
          <w:sz w:val="22"/>
          <w:szCs w:val="22"/>
        </w:rPr>
      </w:pPr>
      <w:r w:rsidRPr="005B702B">
        <w:rPr>
          <w:rFonts w:cs="Times New Roman"/>
          <w:sz w:val="22"/>
          <w:szCs w:val="22"/>
        </w:rPr>
        <w:t>Unfortunately, not everyone who applies can get through. Here at DBS we make this easier for them and ensure all our applicants get through successfully. Dilipkumar A. Ode (2025) explores how GST 2.0 editions--featuring simplified multiple slabs, uniform rates of 40% on luxury and other sin categories, and an anti-festival calendar--will significantly mitigate inflationary pressure while at the same time creating strength for GDP diffusion, thanks to their reductions of consumer front end GST burden on wider selection of goods. 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r w:rsidR="00C576D4" w:rsidRPr="005B702B">
        <w:rPr>
          <w:rFonts w:cs="Times New Roman"/>
          <w:sz w:val="22"/>
          <w:szCs w:val="22"/>
        </w:rPr>
        <w:t>).</w:t>
      </w:r>
    </w:p>
    <w:p w14:paraId="21AE46A8" w14:textId="4BECB353"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.9 Summary: Analytical Recursion and Paucity of Inference  </w:t>
      </w:r>
    </w:p>
    <w:p w14:paraId="6D15BDDA" w14:textId="3847DA8B" w:rsidR="00C576D4" w:rsidRPr="005B702B" w:rsidRDefault="00C576D4" w:rsidP="00C576D4">
      <w:pPr>
        <w:rPr>
          <w:rFonts w:cs="Times New Roman"/>
          <w:sz w:val="22"/>
          <w:szCs w:val="22"/>
        </w:rPr>
      </w:pPr>
      <w:r w:rsidRPr="005B702B">
        <w:rPr>
          <w:rFonts w:cs="Times New Roman"/>
          <w:sz w:val="22"/>
          <w:szCs w:val="22"/>
        </w:rPr>
        <w:t xml:space="preserve">A synthesis of extant literature reveals the following persistent motifs:  </w:t>
      </w:r>
    </w:p>
    <w:p w14:paraId="76878C0B" w14:textId="5FBD5317" w:rsidR="00C576D4" w:rsidRPr="005B702B" w:rsidRDefault="00C576D4">
      <w:pPr>
        <w:pStyle w:val="ListParagraph"/>
        <w:numPr>
          <w:ilvl w:val="0"/>
          <w:numId w:val="3"/>
        </w:numPr>
        <w:rPr>
          <w:rFonts w:cs="Times New Roman"/>
          <w:sz w:val="22"/>
          <w:szCs w:val="22"/>
        </w:rPr>
      </w:pPr>
      <w:r w:rsidRPr="005B702B">
        <w:rPr>
          <w:rFonts w:cs="Times New Roman"/>
          <w:sz w:val="22"/>
          <w:szCs w:val="22"/>
        </w:rPr>
        <w:lastRenderedPageBreak/>
        <w:t xml:space="preserve">A moderate-to-strong affirmative orientation from large enterprises, which has deepened across the temporal spectrum, arguably ascribed to progressive digitisation, enhanced tax-G2B portal stability, and adaptive-policy levers.  </w:t>
      </w:r>
    </w:p>
    <w:p w14:paraId="33242CA7" w14:textId="6D3446BE"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14:textId="5DA625B1"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chronic incidence of compliance </w:t>
      </w:r>
      <w:r w:rsidR="00B815A8" w:rsidRPr="005B702B">
        <w:rPr>
          <w:rFonts w:cs="Times New Roman"/>
          <w:sz w:val="22"/>
          <w:szCs w:val="22"/>
        </w:rPr>
        <w:t>speciality</w:t>
      </w:r>
      <w:r w:rsidRPr="005B702B">
        <w:rPr>
          <w:rFonts w:cs="Times New Roman"/>
          <w:sz w:val="22"/>
          <w:szCs w:val="22"/>
        </w:rPr>
        <w:t xml:space="preserve"> upon micro, small, and informal handicraft niches, essentially ascribed to archival extensivity, the marginal cost of fiscal compliance, and heteronomous capitalist technological trajectories.  </w:t>
      </w:r>
    </w:p>
    <w:p w14:paraId="14EC8412" w14:textId="77777777" w:rsidR="00475D79" w:rsidRPr="00475D79" w:rsidRDefault="00475D79" w:rsidP="00475D79">
      <w:pPr>
        <w:pStyle w:val="ListParagraph"/>
        <w:numPr>
          <w:ilvl w:val="0"/>
          <w:numId w:val="3"/>
        </w:numPr>
        <w:rPr>
          <w:rFonts w:cs="Times New Roman"/>
          <w:b/>
          <w:bCs/>
          <w:sz w:val="22"/>
          <w:szCs w:val="22"/>
        </w:rPr>
      </w:pPr>
      <w:r w:rsidRPr="00475D79">
        <w:rPr>
          <w:rFonts w:cs="Times New Roman"/>
          <w:spacing w:val="1"/>
          <w:sz w:val="22"/>
          <w:szCs w:val="22"/>
        </w:rPr>
        <w:t>A horizon of ambiguities in state jurisdiction emerges around the forsaking of compensatory cess, the evolving rhythm of revenue-sharing arrangements, and the collective fiscal autonomy of the states.</w:t>
      </w:r>
    </w:p>
    <w:p w14:paraId="221B228A" w14:textId="595ED677" w:rsidR="00C576D4" w:rsidRPr="005B702B" w:rsidRDefault="00C576D4" w:rsidP="00C576D4">
      <w:pPr>
        <w:rPr>
          <w:rFonts w:cs="Times New Roman"/>
          <w:sz w:val="22"/>
          <w:szCs w:val="22"/>
        </w:rPr>
      </w:pPr>
      <w:r w:rsidRPr="005B702B">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14:textId="6CB09D7C"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14:textId="6FEEE85D"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14:textId="170F0C25" w:rsidR="00C576D4" w:rsidRPr="005B702B" w:rsidRDefault="00C576D4">
      <w:pPr>
        <w:pStyle w:val="ListParagraph"/>
        <w:numPr>
          <w:ilvl w:val="0"/>
          <w:numId w:val="4"/>
        </w:numPr>
        <w:rPr>
          <w:rFonts w:cs="Times New Roman"/>
          <w:sz w:val="22"/>
          <w:szCs w:val="22"/>
        </w:rPr>
      </w:pPr>
      <w:r w:rsidRPr="005B702B">
        <w:rPr>
          <w:rFonts w:cs="Times New Roman"/>
          <w:sz w:val="22"/>
          <w:szCs w:val="22"/>
        </w:rPr>
        <w:t>Analytically calibrated complexity Einschätzen, specifying the contest of gradual redefinition of goods-capture, disputes of serial classification, the transitional consumption of input-tax credits, gestational refund credit culture, the administrative burden of delays, and the athlete burden of compliance under the new Mitchell structure.</w:t>
      </w:r>
    </w:p>
    <w:p w14:paraId="3E58C8E6" w14:textId="63DACDF4"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Comparative analysis of state-level responses subsequent to the 2025 reforms: implementation trajectories, budgetary recalibrations, and subjective assessments of revenue contraction or </w:t>
      </w:r>
      <w:r w:rsidR="00475D79" w:rsidRPr="005B702B">
        <w:rPr>
          <w:rFonts w:cs="Times New Roman"/>
          <w:sz w:val="22"/>
          <w:szCs w:val="22"/>
        </w:rPr>
        <w:t>expansion.</w:t>
      </w:r>
    </w:p>
    <w:p w14:paraId="544D6B15" w14:textId="1469C7AB" w:rsidR="00D36187" w:rsidRPr="005B702B" w:rsidRDefault="000B433F" w:rsidP="008B30D4">
      <w:pPr>
        <w:pStyle w:val="Heading1"/>
        <w:rPr>
          <w:rFonts w:cs="Times New Roman"/>
          <w:sz w:val="28"/>
          <w:szCs w:val="28"/>
        </w:rPr>
      </w:pPr>
      <w:r w:rsidRPr="005B702B">
        <w:rPr>
          <w:rFonts w:cs="Times New Roman"/>
          <w:sz w:val="28"/>
          <w:szCs w:val="28"/>
        </w:rPr>
        <w:t xml:space="preserve">3.  </w:t>
      </w:r>
      <w:r w:rsidR="00C576D4" w:rsidRPr="005B702B">
        <w:rPr>
          <w:rFonts w:cs="Times New Roman"/>
          <w:sz w:val="28"/>
          <w:szCs w:val="28"/>
        </w:rPr>
        <w:t>OBJECTIVES</w:t>
      </w:r>
    </w:p>
    <w:p w14:paraId="125BA988" w14:textId="77777777" w:rsidR="00D36187" w:rsidRPr="005B702B" w:rsidRDefault="00D36187" w:rsidP="00D36187">
      <w:pPr>
        <w:rPr>
          <w:rFonts w:cs="Times New Roman"/>
          <w:sz w:val="22"/>
          <w:szCs w:val="22"/>
        </w:rPr>
      </w:pPr>
      <w:r w:rsidRPr="005B702B">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clean up of the procedure classification and valuation disciplines. Reforms that have received particular attention are the extrusion of slabs (5 per cent, 12 per cent, 18 per cent, 28 per cent) into two streamlined brackets, and the remainder of consumption and subjective commodities contained within a prohibitor zone.  </w:t>
      </w:r>
    </w:p>
    <w:p w14:paraId="0B384CAA"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lastRenderedPageBreak/>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14:textId="2AD3D1F1"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14:textId="7B441EE2" w:rsidR="001F5CCE" w:rsidRPr="005B702B" w:rsidRDefault="000B433F" w:rsidP="008B30D4">
      <w:pPr>
        <w:pStyle w:val="Heading1"/>
        <w:rPr>
          <w:rFonts w:cs="Times New Roman"/>
          <w:sz w:val="28"/>
          <w:szCs w:val="28"/>
        </w:rPr>
      </w:pPr>
      <w:r w:rsidRPr="005B702B">
        <w:rPr>
          <w:rFonts w:cs="Times New Roman"/>
          <w:sz w:val="28"/>
          <w:szCs w:val="28"/>
        </w:rPr>
        <w:t xml:space="preserve">4. </w:t>
      </w:r>
      <w:r w:rsidR="001F5CCE" w:rsidRPr="005B702B">
        <w:rPr>
          <w:rFonts w:cs="Times New Roman"/>
          <w:sz w:val="28"/>
          <w:szCs w:val="28"/>
        </w:rPr>
        <w:t xml:space="preserve"> PROPOSED METHODOLOGY   </w:t>
      </w:r>
    </w:p>
    <w:p w14:paraId="05C1622B" w14:textId="77777777" w:rsidR="00B435E5" w:rsidRPr="005B702B" w:rsidRDefault="00B435E5" w:rsidP="00B435E5">
      <w:pPr>
        <w:rPr>
          <w:rFonts w:cs="Times New Roman"/>
        </w:rPr>
      </w:pPr>
      <w:r w:rsidRPr="005B702B">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14:textId="77777777" w:rsidR="00B435E5" w:rsidRPr="005B702B" w:rsidRDefault="00B435E5" w:rsidP="008B30D4">
      <w:pPr>
        <w:pStyle w:val="Heading2"/>
        <w:rPr>
          <w:rFonts w:cs="Times New Roman"/>
          <w:sz w:val="24"/>
          <w:szCs w:val="24"/>
        </w:rPr>
      </w:pPr>
      <w:r w:rsidRPr="005B702B">
        <w:rPr>
          <w:rFonts w:cs="Times New Roman"/>
          <w:sz w:val="24"/>
          <w:szCs w:val="24"/>
        </w:rPr>
        <w:t>4.1 Research Design</w:t>
      </w:r>
    </w:p>
    <w:p w14:paraId="309BF4CA" w14:textId="77777777" w:rsidR="00B435E5" w:rsidRPr="005B702B" w:rsidRDefault="00B435E5" w:rsidP="00B435E5">
      <w:pPr>
        <w:rPr>
          <w:rFonts w:cs="Times New Roman"/>
          <w:sz w:val="22"/>
          <w:szCs w:val="22"/>
        </w:rPr>
      </w:pPr>
      <w:r w:rsidRPr="005B702B">
        <w:rPr>
          <w:rFonts w:cs="Times New Roman"/>
          <w:sz w:val="22"/>
          <w:szCs w:val="22"/>
        </w:rPr>
        <w:t>The study has a concurrent mixed-method design, which combines the qualitative and quantitative modalities, systematically to obtain a complete picture:</w:t>
      </w:r>
    </w:p>
    <w:p w14:paraId="6A0ABD60" w14:textId="72CDEC01"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aspect: The major reform files such as legislative drafts, GST Council files, advisory opinions and additional media releases were analyzed in terms of content and documents. A purposive sample of fiscal experts that took part in semi-structured interviews was used to elicit interpretative uncertainties and operational vulnerabilities.</w:t>
      </w:r>
    </w:p>
    <w:p w14:paraId="390FFD78" w14:textId="5B01074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Quantitative facet: A developed survey was administered to registered tax practitioners, MSME registrants, federated organisations, and professional bodies in major North-Eastern as well as Eastern states. The collected data consisted of graded judgments that dwelled on relative perception of compliance loads, occurrence of disputes, complexity of procedures, and changes in the effective compliance spending prior and after the reforms.</w:t>
      </w:r>
    </w:p>
    <w:p w14:paraId="357BA628" w14:textId="77777777" w:rsidR="00B435E5" w:rsidRPr="005B702B" w:rsidRDefault="00B435E5" w:rsidP="00B435E5">
      <w:pPr>
        <w:rPr>
          <w:rFonts w:cs="Times New Roman"/>
          <w:sz w:val="22"/>
          <w:szCs w:val="22"/>
        </w:rPr>
      </w:pPr>
      <w:r w:rsidRPr="005B702B">
        <w:rPr>
          <w:rFonts w:cs="Times New Roman"/>
          <w:sz w:val="22"/>
          <w:szCs w:val="22"/>
        </w:rPr>
        <w:lastRenderedPageBreak/>
        <w:t>This approach was justified since the structural reform combined design components and experiences of the respondents, which demanded integrated approach to valid inferences.</w:t>
      </w:r>
    </w:p>
    <w:p w14:paraId="63A223E5" w14:textId="77777777" w:rsidR="00B435E5" w:rsidRPr="005B702B" w:rsidRDefault="00B435E5" w:rsidP="008B30D4">
      <w:pPr>
        <w:pStyle w:val="Heading2"/>
        <w:rPr>
          <w:rFonts w:cs="Times New Roman"/>
          <w:sz w:val="24"/>
          <w:szCs w:val="24"/>
        </w:rPr>
      </w:pPr>
      <w:r w:rsidRPr="005B702B">
        <w:rPr>
          <w:rFonts w:cs="Times New Roman"/>
          <w:sz w:val="24"/>
          <w:szCs w:val="24"/>
        </w:rPr>
        <w:t>4.2 Data Sources</w:t>
      </w:r>
    </w:p>
    <w:p w14:paraId="5E480073" w14:textId="6ECDEE7F" w:rsidR="00B435E5" w:rsidRPr="005B702B" w:rsidRDefault="00B435E5" w:rsidP="008B30D4">
      <w:pPr>
        <w:pStyle w:val="Heading3"/>
        <w:rPr>
          <w:rFonts w:cs="Times New Roman"/>
          <w:sz w:val="22"/>
          <w:szCs w:val="22"/>
        </w:rPr>
      </w:pPr>
      <w:r w:rsidRPr="005B702B">
        <w:rPr>
          <w:rFonts w:cs="Times New Roman"/>
          <w:sz w:val="22"/>
          <w:szCs w:val="22"/>
        </w:rPr>
        <w:t xml:space="preserve">4.2.1 Documentary Data and Secondary Data </w:t>
      </w:r>
    </w:p>
    <w:p w14:paraId="0B462A13" w14:textId="67282CF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Government of India records and releases, such as official press notes, GST Council minutes and summary sheets (PIB, 2025).</w:t>
      </w:r>
    </w:p>
    <w:p w14:paraId="1DC8DCC4" w14:textId="629C755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Law, regulatory announcements and provisional procedural policies.</w:t>
      </w:r>
    </w:p>
    <w:p w14:paraId="3DCA1814" w14:textId="575A875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Analytical reports and working papers of research institutions as well as other international organisations including GST policy perspectives published by the World Bank.</w:t>
      </w:r>
    </w:p>
    <w:p w14:paraId="0D0A9F0B" w14:textId="1C0D1ED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14:textId="77777777" w:rsidR="00B435E5" w:rsidRPr="005B702B" w:rsidRDefault="00B435E5" w:rsidP="008B30D4">
      <w:pPr>
        <w:pStyle w:val="Heading3"/>
        <w:rPr>
          <w:rFonts w:cs="Times New Roman"/>
          <w:sz w:val="22"/>
          <w:szCs w:val="22"/>
        </w:rPr>
      </w:pPr>
      <w:r w:rsidRPr="005B702B">
        <w:rPr>
          <w:rFonts w:cs="Times New Roman"/>
          <w:sz w:val="22"/>
          <w:szCs w:val="22"/>
        </w:rPr>
        <w:t>4.2.2 Primary Data</w:t>
      </w:r>
    </w:p>
    <w:p w14:paraId="498F59BC" w14:textId="52409B1F" w:rsidR="00B435E5" w:rsidRPr="005B702B" w:rsidRDefault="00B435E5" w:rsidP="00B435E5">
      <w:pPr>
        <w:rPr>
          <w:rFonts w:cs="Times New Roman"/>
          <w:sz w:val="22"/>
          <w:szCs w:val="22"/>
        </w:rPr>
      </w:pPr>
      <w:r w:rsidRPr="005B702B">
        <w:rPr>
          <w:rFonts w:cs="Times New Roman"/>
          <w:sz w:val="22"/>
          <w:szCs w:val="22"/>
        </w:rPr>
        <w:t xml:space="preserve">The structured field instruments </w:t>
      </w:r>
      <w:r w:rsidR="00C43214">
        <w:rPr>
          <w:rFonts w:cs="Times New Roman"/>
          <w:sz w:val="22"/>
          <w:szCs w:val="22"/>
        </w:rPr>
        <w:t xml:space="preserve">was used </w:t>
      </w:r>
      <w:r w:rsidRPr="005B702B">
        <w:rPr>
          <w:rFonts w:cs="Times New Roman"/>
          <w:sz w:val="22"/>
          <w:szCs w:val="22"/>
        </w:rPr>
        <w:t>to gather primary data directly across various states to collect information on the topic: Manipur, Assam, Bihar, and West Bengal.</w:t>
      </w:r>
    </w:p>
    <w:p w14:paraId="1B726EEB" w14:textId="294D894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14:textId="205A0E8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14:textId="3C135E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14:textId="77777777" w:rsidR="00B435E5" w:rsidRPr="005B702B" w:rsidRDefault="00B435E5" w:rsidP="008B30D4">
      <w:pPr>
        <w:pStyle w:val="Heading2"/>
        <w:rPr>
          <w:rFonts w:cs="Times New Roman"/>
          <w:sz w:val="24"/>
          <w:szCs w:val="24"/>
        </w:rPr>
      </w:pPr>
      <w:r w:rsidRPr="005B702B">
        <w:rPr>
          <w:rFonts w:cs="Times New Roman"/>
          <w:sz w:val="24"/>
          <w:szCs w:val="24"/>
        </w:rPr>
        <w:t>4.3 Sample Size and Sampling Strategy.</w:t>
      </w:r>
    </w:p>
    <w:p w14:paraId="1F19E4B0" w14:textId="77777777" w:rsidR="00B435E5" w:rsidRPr="005B702B" w:rsidRDefault="00B435E5" w:rsidP="00B435E5">
      <w:pPr>
        <w:rPr>
          <w:rFonts w:cs="Times New Roman"/>
          <w:sz w:val="22"/>
          <w:szCs w:val="22"/>
        </w:rPr>
      </w:pPr>
      <w:r w:rsidRPr="005B702B">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14:textId="77777777" w:rsidR="005B702B" w:rsidRPr="005B702B" w:rsidRDefault="00B435E5" w:rsidP="00B435E5">
      <w:pPr>
        <w:rPr>
          <w:rFonts w:cs="Times New Roman"/>
          <w:sz w:val="22"/>
          <w:szCs w:val="22"/>
        </w:rPr>
      </w:pPr>
      <w:r w:rsidRPr="005B702B">
        <w:rPr>
          <w:rFonts w:cs="Times New Roman"/>
          <w:sz w:val="22"/>
          <w:szCs w:val="22"/>
        </w:rPr>
        <w:t>The instrumentation / operationalization of the measurement will take place within the scope of the analysis of the variables.</w:t>
      </w:r>
    </w:p>
    <w:p w14:paraId="54D16E27" w14:textId="77777777" w:rsidR="005B702B" w:rsidRPr="005B702B" w:rsidRDefault="00B435E5" w:rsidP="005B702B">
      <w:pPr>
        <w:pStyle w:val="Heading2"/>
        <w:rPr>
          <w:sz w:val="24"/>
          <w:szCs w:val="24"/>
        </w:rPr>
      </w:pPr>
      <w:r w:rsidRPr="005B702B">
        <w:rPr>
          <w:sz w:val="24"/>
          <w:szCs w:val="24"/>
        </w:rPr>
        <w:t xml:space="preserve">4.4 Measurement / Operationalization </w:t>
      </w:r>
    </w:p>
    <w:p w14:paraId="3F6707B5" w14:textId="323C77EC" w:rsidR="00B435E5" w:rsidRPr="005B702B" w:rsidRDefault="00B435E5" w:rsidP="00B435E5">
      <w:pPr>
        <w:rPr>
          <w:rFonts w:cs="Times New Roman"/>
          <w:sz w:val="22"/>
          <w:szCs w:val="22"/>
        </w:rPr>
      </w:pPr>
      <w:r w:rsidRPr="005B702B">
        <w:rPr>
          <w:rFonts w:cs="Times New Roman"/>
          <w:sz w:val="22"/>
          <w:szCs w:val="22"/>
        </w:rPr>
        <w:t>The instrumentation / operationalization of the measurement will occur within the framework of the variables analysis.</w:t>
      </w:r>
    </w:p>
    <w:p w14:paraId="6E9F8770" w14:textId="77777777" w:rsidR="00B435E5" w:rsidRPr="005B702B" w:rsidRDefault="00B435E5" w:rsidP="00B435E5">
      <w:pPr>
        <w:rPr>
          <w:rFonts w:cs="Times New Roman"/>
          <w:sz w:val="22"/>
          <w:szCs w:val="22"/>
        </w:rPr>
      </w:pPr>
      <w:r w:rsidRPr="005B702B">
        <w:rPr>
          <w:rFonts w:cs="Times New Roman"/>
          <w:sz w:val="22"/>
          <w:szCs w:val="22"/>
        </w:rPr>
        <w:t xml:space="preserve">Measures of compliance burden entailed comparing more hours and money spent on record-keeping and consultancy before and after reform. The perceived complexity scale incorporated items relating to </w:t>
      </w:r>
      <w:r w:rsidRPr="005B702B">
        <w:rPr>
          <w:rFonts w:cs="Times New Roman"/>
          <w:sz w:val="22"/>
          <w:szCs w:val="22"/>
        </w:rPr>
        <w:lastRenderedPageBreak/>
        <w:t>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14:textId="77777777" w:rsidR="00B435E5" w:rsidRPr="005B702B" w:rsidRDefault="00B435E5" w:rsidP="008B30D4">
      <w:pPr>
        <w:pStyle w:val="Heading2"/>
        <w:rPr>
          <w:rFonts w:cs="Times New Roman"/>
          <w:sz w:val="24"/>
          <w:szCs w:val="24"/>
        </w:rPr>
      </w:pPr>
      <w:r w:rsidRPr="005B702B">
        <w:rPr>
          <w:rFonts w:cs="Times New Roman"/>
          <w:sz w:val="24"/>
          <w:szCs w:val="24"/>
        </w:rPr>
        <w:t>4.5 Data Analysis Techniques</w:t>
      </w:r>
    </w:p>
    <w:p w14:paraId="39D39810" w14:textId="77777777" w:rsidR="00B435E5" w:rsidRPr="005B702B" w:rsidRDefault="00B435E5" w:rsidP="00B435E5">
      <w:pPr>
        <w:rPr>
          <w:rFonts w:cs="Times New Roman"/>
          <w:sz w:val="22"/>
          <w:szCs w:val="22"/>
        </w:rPr>
      </w:pPr>
      <w:r w:rsidRPr="005B702B">
        <w:rPr>
          <w:rFonts w:cs="Times New Roman"/>
          <w:sz w:val="22"/>
          <w:szCs w:val="22"/>
        </w:rPr>
        <w:t>To reveal perception baselines, descriptive statistics (means, standard deviations, frequencies) were used.</w:t>
      </w:r>
    </w:p>
    <w:p w14:paraId="057D7A5A" w14:textId="4533C5D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14:textId="5A9CF8C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14:textId="6C3676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Triangulation: Survey, interview, and documentary findings were cross-validated to achieve strength.</w:t>
      </w:r>
    </w:p>
    <w:p w14:paraId="607B5129" w14:textId="77777777" w:rsidR="00B435E5" w:rsidRPr="005B702B" w:rsidRDefault="00B435E5" w:rsidP="008B30D4">
      <w:pPr>
        <w:pStyle w:val="Heading2"/>
        <w:rPr>
          <w:rFonts w:cs="Times New Roman"/>
          <w:sz w:val="24"/>
          <w:szCs w:val="24"/>
        </w:rPr>
      </w:pPr>
      <w:r w:rsidRPr="005B702B">
        <w:rPr>
          <w:rFonts w:cs="Times New Roman"/>
          <w:sz w:val="24"/>
          <w:szCs w:val="24"/>
        </w:rPr>
        <w:t>4.6 Validity, Reliability and Ethical issues.</w:t>
      </w:r>
    </w:p>
    <w:p w14:paraId="75E57852" w14:textId="62A9E91D"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Pilot testing was conducted using 10 respondents to narrow on clarity and reliability (Cronbachs alpha value exceeding 0.7).</w:t>
      </w:r>
    </w:p>
    <w:p w14:paraId="7F45C73D" w14:textId="418DF8F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Validity in construct was attained by proper representation of important concepts.</w:t>
      </w:r>
    </w:p>
    <w:p w14:paraId="32F96D44" w14:textId="1E062F9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Reliability was tested in internal consistency testing.</w:t>
      </w:r>
    </w:p>
    <w:p w14:paraId="25E19828" w14:textId="616F03D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Anonymity, informed consent and voluntary involvement were ensured and withdrawals were accepted without punishment.</w:t>
      </w:r>
    </w:p>
    <w:p w14:paraId="5A96F0D3" w14:textId="77777777" w:rsidR="00B435E5" w:rsidRPr="005B702B" w:rsidRDefault="00B435E5" w:rsidP="008B30D4">
      <w:pPr>
        <w:pStyle w:val="Heading2"/>
        <w:rPr>
          <w:rFonts w:cs="Times New Roman"/>
          <w:sz w:val="24"/>
          <w:szCs w:val="24"/>
        </w:rPr>
      </w:pPr>
      <w:r w:rsidRPr="005B702B">
        <w:rPr>
          <w:rFonts w:cs="Times New Roman"/>
          <w:sz w:val="24"/>
          <w:szCs w:val="24"/>
        </w:rPr>
        <w:t>4.7 Limitations</w:t>
      </w:r>
    </w:p>
    <w:p w14:paraId="6BA1B4A1" w14:textId="068E16E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perception of the respondents was also subjective and could be biased against the responses.</w:t>
      </w:r>
    </w:p>
    <w:p w14:paraId="359B667F" w14:textId="4367A969"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initial stage of GST 2.0 inhibits long-term effects evaluation.</w:t>
      </w:r>
    </w:p>
    <w:p w14:paraId="25B7E018" w14:textId="18C577AE"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may be some variation caused by limited responses of remote MSMEs.</w:t>
      </w:r>
    </w:p>
    <w:p w14:paraId="7F6376BA" w14:textId="6B9B04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are macroeconomic fluctuations outside the reform that might cause some observed effects.</w:t>
      </w:r>
    </w:p>
    <w:p w14:paraId="23CD0241" w14:textId="5C03FCF3" w:rsidR="001F5CCE" w:rsidRPr="005B702B" w:rsidRDefault="000B433F" w:rsidP="008B30D4">
      <w:pPr>
        <w:pStyle w:val="Heading1"/>
        <w:rPr>
          <w:rFonts w:cs="Times New Roman"/>
          <w:sz w:val="28"/>
          <w:szCs w:val="28"/>
        </w:rPr>
      </w:pPr>
      <w:r w:rsidRPr="005B702B">
        <w:rPr>
          <w:rFonts w:cs="Times New Roman"/>
          <w:sz w:val="28"/>
          <w:szCs w:val="28"/>
        </w:rPr>
        <w:t xml:space="preserve">5. </w:t>
      </w:r>
      <w:r w:rsidR="001F5CCE" w:rsidRPr="005B702B">
        <w:rPr>
          <w:rFonts w:cs="Times New Roman"/>
          <w:sz w:val="28"/>
          <w:szCs w:val="28"/>
        </w:rPr>
        <w:t xml:space="preserve"> RESULTS / OBSERVATIONS  </w:t>
      </w:r>
    </w:p>
    <w:p w14:paraId="70D9F9D1" w14:textId="443FFB8D" w:rsidR="00BA34EE" w:rsidRPr="005B702B" w:rsidRDefault="00BA34EE" w:rsidP="008B30D4">
      <w:pPr>
        <w:pStyle w:val="Heading2"/>
        <w:rPr>
          <w:rFonts w:cs="Times New Roman"/>
          <w:sz w:val="24"/>
          <w:szCs w:val="24"/>
        </w:rPr>
      </w:pPr>
      <w:r w:rsidRPr="005B702B">
        <w:rPr>
          <w:rFonts w:cs="Times New Roman"/>
          <w:sz w:val="24"/>
          <w:szCs w:val="24"/>
        </w:rPr>
        <w:t>5.1 Structural Changes under GST 2025</w:t>
      </w:r>
    </w:p>
    <w:p w14:paraId="304B9F0E" w14:textId="77777777" w:rsidR="004F62C9" w:rsidRPr="005B702B" w:rsidRDefault="004F62C9" w:rsidP="004F62C9">
      <w:pPr>
        <w:rPr>
          <w:rFonts w:cs="Times New Roman"/>
          <w:sz w:val="22"/>
          <w:szCs w:val="22"/>
        </w:rPr>
      </w:pPr>
      <w:r w:rsidRPr="005B702B">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14:textId="77777777" w:rsidR="004F62C9" w:rsidRPr="005B702B" w:rsidRDefault="004F62C9" w:rsidP="004F62C9">
      <w:pPr>
        <w:rPr>
          <w:rFonts w:cs="Times New Roman"/>
          <w:sz w:val="22"/>
          <w:szCs w:val="22"/>
        </w:rPr>
      </w:pPr>
      <w:r w:rsidRPr="005B702B">
        <w:rPr>
          <w:rFonts w:cs="Times New Roman"/>
          <w:sz w:val="22"/>
          <w:szCs w:val="22"/>
        </w:rPr>
        <w:t xml:space="preserve">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w:t>
      </w:r>
      <w:r w:rsidRPr="005B702B">
        <w:rPr>
          <w:rFonts w:cs="Times New Roman"/>
          <w:sz w:val="22"/>
          <w:szCs w:val="22"/>
        </w:rPr>
        <w:lastRenderedPageBreak/>
        <w:t>system will include one slab of 5% and an intermediate of 18% and a separate slab of 40 percent will be imposed on some luxury and sin goods such as the super cars and some of the high-margin imported goods (Reuters 2025).</w:t>
      </w:r>
    </w:p>
    <w:p w14:paraId="047EA29D" w14:textId="77777777" w:rsidR="004F62C9" w:rsidRPr="005B702B" w:rsidRDefault="004F62C9" w:rsidP="004F62C9">
      <w:pPr>
        <w:rPr>
          <w:rFonts w:cs="Times New Roman"/>
          <w:sz w:val="22"/>
          <w:szCs w:val="22"/>
        </w:rPr>
      </w:pPr>
      <w:r w:rsidRPr="005B702B">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Center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14:textId="2CA3F6CD" w:rsidR="004F62C9" w:rsidRPr="005B702B" w:rsidRDefault="004F62C9" w:rsidP="004F62C9">
      <w:pPr>
        <w:rPr>
          <w:rFonts w:cs="Times New Roman"/>
          <w:sz w:val="22"/>
          <w:szCs w:val="22"/>
        </w:rPr>
      </w:pPr>
      <w:r w:rsidRPr="005B702B">
        <w:rPr>
          <w:rFonts w:cs="Times New Roman"/>
          <w:sz w:val="22"/>
          <w:szCs w:val="22"/>
        </w:rPr>
        <w:t xml:space="preserve">The studies of household behaviour demonstrate the relevance of specific notions and the extent to which they may influence the inflation, investment and growth of revenues both in the short and long term. When the projected change in the inflation is completely realized and transferred to consumers, there is the possibility of </w:t>
      </w:r>
      <w:r w:rsidR="005B702B" w:rsidRPr="005B702B">
        <w:rPr>
          <w:rFonts w:cs="Times New Roman"/>
          <w:sz w:val="22"/>
          <w:szCs w:val="22"/>
        </w:rPr>
        <w:t>a</w:t>
      </w:r>
      <w:r w:rsidRPr="005B702B">
        <w:rPr>
          <w:rFonts w:cs="Times New Roman"/>
          <w:sz w:val="22"/>
          <w:szCs w:val="22"/>
        </w:rPr>
        <w:t xml:space="preserve"> 1.1 percent decrease (Reuters, 2025). With the global supply chains creating inflationary pressure towards the economy, fuel price volatility and domestic demand, this option of the policy will tend to offset some of the inflationary pressures.</w:t>
      </w:r>
    </w:p>
    <w:p w14:paraId="3D3FBC7E" w14:textId="77777777" w:rsidR="004F62C9" w:rsidRPr="005B702B" w:rsidRDefault="004F62C9" w:rsidP="004F62C9">
      <w:pPr>
        <w:rPr>
          <w:rFonts w:cs="Times New Roman"/>
          <w:sz w:val="22"/>
          <w:szCs w:val="22"/>
        </w:rPr>
      </w:pPr>
      <w:r w:rsidRPr="005B702B">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14:textId="11FEF437" w:rsidR="007042D3" w:rsidRPr="005B702B" w:rsidRDefault="004F62C9" w:rsidP="007042D3">
      <w:pPr>
        <w:rPr>
          <w:rFonts w:cs="Times New Roman"/>
          <w:sz w:val="22"/>
          <w:szCs w:val="22"/>
        </w:rPr>
      </w:pPr>
      <w:r w:rsidRPr="005B702B">
        <w:rPr>
          <w:rFonts w:cs="Times New Roman"/>
          <w:sz w:val="22"/>
          <w:szCs w:val="22"/>
        </w:rPr>
        <w:t>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required.</w:t>
      </w:r>
    </w:p>
    <w:p w14:paraId="41DC1004"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1C5D6895" wp14:editId="6FDFCABF">
            <wp:extent cx="4937760" cy="2422003"/>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867619218"/>
                    <pic:cNvPicPr/>
                  </pic:nvPicPr>
                  <pic:blipFill rotWithShape="1">
                    <a:blip r:embed="rId7">
                      <a:extLst>
                        <a:ext uri="{28A0092B-C50C-407E-A947-70E740481C1C}">
                          <a14:useLocalDpi xmlns:a14="http://schemas.microsoft.com/office/drawing/2010/main" val="0"/>
                        </a:ext>
                      </a:extLst>
                    </a:blip>
                    <a:srcRect t="25633" b="25317"/>
                    <a:stretch>
                      <a:fillRect/>
                    </a:stretch>
                  </pic:blipFill>
                  <pic:spPr bwMode="auto">
                    <a:xfrm>
                      <a:off x="0" y="0"/>
                      <a:ext cx="4954605" cy="2430265"/>
                    </a:xfrm>
                    <a:prstGeom prst="rect">
                      <a:avLst/>
                    </a:prstGeom>
                    <a:ln>
                      <a:noFill/>
                    </a:ln>
                    <a:extLst>
                      <a:ext uri="{53640926-AAD7-44D8-BBD7-CCE9431645EC}">
                        <a14:shadowObscured xmlns:a14="http://schemas.microsoft.com/office/drawing/2010/main"/>
                      </a:ext>
                    </a:extLst>
                  </pic:spPr>
                </pic:pic>
              </a:graphicData>
            </a:graphic>
          </wp:inline>
        </w:drawing>
      </w:r>
    </w:p>
    <w:p w14:paraId="35A96D63" w14:textId="045B21CA"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1</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Transition from GST 2017 Multi-Slab Structure to GST 2025 Simplified Binary-Slab Model.</w:t>
      </w:r>
    </w:p>
    <w:p w14:paraId="4128AD4F" w14:textId="7CB5CE66" w:rsidR="001F5CCE" w:rsidRPr="005B702B" w:rsidRDefault="00BF48F6" w:rsidP="005B702B">
      <w:pPr>
        <w:pStyle w:val="Heading2"/>
        <w:rPr>
          <w:sz w:val="24"/>
          <w:szCs w:val="24"/>
        </w:rPr>
      </w:pPr>
      <w:r w:rsidRPr="005B702B">
        <w:rPr>
          <w:sz w:val="24"/>
          <w:szCs w:val="24"/>
        </w:rPr>
        <w:t>5</w:t>
      </w:r>
      <w:r w:rsidR="001F5CCE" w:rsidRPr="005B702B">
        <w:rPr>
          <w:sz w:val="24"/>
          <w:szCs w:val="24"/>
        </w:rPr>
        <w:t xml:space="preserve">.2 Stakeholder Perceptions &amp; Sentiments  </w:t>
      </w:r>
    </w:p>
    <w:p w14:paraId="18F66FFF" w14:textId="77777777" w:rsidR="007042D3" w:rsidRPr="005B702B" w:rsidRDefault="007042D3" w:rsidP="007042D3">
      <w:pPr>
        <w:rPr>
          <w:rFonts w:cs="Times New Roman"/>
          <w:sz w:val="22"/>
          <w:szCs w:val="22"/>
        </w:rPr>
      </w:pPr>
      <w:r w:rsidRPr="005B702B">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14:textId="77777777" w:rsidR="007042D3" w:rsidRPr="005B702B" w:rsidRDefault="007042D3" w:rsidP="007042D3">
      <w:pPr>
        <w:rPr>
          <w:rFonts w:cs="Times New Roman"/>
          <w:sz w:val="22"/>
          <w:szCs w:val="22"/>
        </w:rPr>
      </w:pPr>
      <w:r w:rsidRPr="005B702B">
        <w:rPr>
          <w:rFonts w:cs="Times New Roman"/>
          <w:sz w:val="22"/>
          <w:szCs w:val="22"/>
        </w:rPr>
        <w:t>This change is reflected in the most recent Deloitte report GST@8 looking ahead to 2025. Now, 85 percent of the taxpayers say they have a favorable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drawing>
          <wp:inline distT="0" distB="0" distL="0" distR="0" wp14:anchorId="53C17EEF" wp14:editId="384E3630">
            <wp:extent cx="3345180" cy="2695119"/>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1402604500"/>
                    <pic:cNvPicPr/>
                  </pic:nvPicPr>
                  <pic:blipFill rotWithShape="1">
                    <a:blip r:embed="rId8" cstate="print">
                      <a:extLst>
                        <a:ext uri="{28A0092B-C50C-407E-A947-70E740481C1C}">
                          <a14:useLocalDpi xmlns:a14="http://schemas.microsoft.com/office/drawing/2010/main" val="0"/>
                        </a:ext>
                      </a:extLst>
                    </a:blip>
                    <a:srcRect t="14625" b="4808"/>
                    <a:stretch>
                      <a:fillRect/>
                    </a:stretch>
                  </pic:blipFill>
                  <pic:spPr bwMode="auto">
                    <a:xfrm>
                      <a:off x="0" y="0"/>
                      <a:ext cx="3352932" cy="2701364"/>
                    </a:xfrm>
                    <a:prstGeom prst="rect">
                      <a:avLst/>
                    </a:prstGeom>
                    <a:ln>
                      <a:noFill/>
                    </a:ln>
                    <a:extLst>
                      <a:ext uri="{53640926-AAD7-44D8-BBD7-CCE9431645EC}">
                        <a14:shadowObscured xmlns:a14="http://schemas.microsoft.com/office/drawing/2010/main"/>
                      </a:ext>
                    </a:extLst>
                  </pic:spPr>
                </pic:pic>
              </a:graphicData>
            </a:graphic>
          </wp:inline>
        </w:drawing>
      </w:r>
    </w:p>
    <w:p w14:paraId="754C1232" w14:textId="122976AB"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2</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Stakeholder Perceptions of GST – Comparison of Positive Sentiment (2022 vs. 2025).</w:t>
      </w:r>
    </w:p>
    <w:p w14:paraId="1213AA84" w14:textId="1091F12D" w:rsidR="009B7123" w:rsidRPr="005B702B" w:rsidRDefault="009B7123" w:rsidP="009B7123">
      <w:pPr>
        <w:rPr>
          <w:rFonts w:cs="Times New Roman"/>
          <w:sz w:val="22"/>
          <w:szCs w:val="22"/>
        </w:rPr>
      </w:pPr>
      <w:r w:rsidRPr="005B702B">
        <w:rPr>
          <w:rFonts w:cs="Times New Roman"/>
          <w:sz w:val="22"/>
          <w:szCs w:val="22"/>
        </w:rPr>
        <w:lastRenderedPageBreak/>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w:t>
      </w:r>
      <w:r w:rsidR="005B702B" w:rsidRPr="005B702B">
        <w:rPr>
          <w:rFonts w:cs="Times New Roman"/>
          <w:sz w:val="22"/>
          <w:szCs w:val="22"/>
        </w:rPr>
        <w:t>fast-moving</w:t>
      </w:r>
      <w:r w:rsidRPr="005B702B">
        <w:rPr>
          <w:rFonts w:cs="Times New Roman"/>
          <w:sz w:val="22"/>
          <w:szCs w:val="22"/>
        </w:rPr>
        <w:t xml:space="preserve">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14:textId="77777777" w:rsidR="009B7123" w:rsidRPr="005B702B" w:rsidRDefault="009B7123" w:rsidP="009B7123">
      <w:pPr>
        <w:rPr>
          <w:rFonts w:cs="Times New Roman"/>
          <w:sz w:val="22"/>
          <w:szCs w:val="22"/>
        </w:rPr>
      </w:pPr>
      <w:r w:rsidRPr="005B702B">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14:textId="63AD859A" w:rsidR="009B7123" w:rsidRPr="005B702B" w:rsidRDefault="009B7123" w:rsidP="005B702B">
      <w:pPr>
        <w:pStyle w:val="Heading2"/>
        <w:rPr>
          <w:sz w:val="24"/>
          <w:szCs w:val="24"/>
        </w:rPr>
      </w:pPr>
      <w:r w:rsidRPr="005B702B">
        <w:rPr>
          <w:sz w:val="24"/>
          <w:szCs w:val="24"/>
        </w:rPr>
        <w:t xml:space="preserve">5.3 Significant Areas of Concentration and New Themes </w:t>
      </w:r>
    </w:p>
    <w:p w14:paraId="5B261209" w14:textId="77777777" w:rsidR="009B7123" w:rsidRPr="005B702B" w:rsidRDefault="009B7123" w:rsidP="009B7123">
      <w:pPr>
        <w:rPr>
          <w:rFonts w:cs="Times New Roman"/>
          <w:sz w:val="22"/>
          <w:szCs w:val="22"/>
        </w:rPr>
      </w:pPr>
      <w:r w:rsidRPr="005B702B">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14:textId="1D4B0FE5" w:rsidR="009B7123" w:rsidRPr="005B702B" w:rsidRDefault="009B7123" w:rsidP="009B7123">
      <w:pPr>
        <w:rPr>
          <w:rFonts w:cs="Times New Roman"/>
          <w:b/>
          <w:bCs/>
          <w:sz w:val="22"/>
          <w:szCs w:val="22"/>
        </w:rPr>
      </w:pPr>
      <w:r w:rsidRPr="005B702B">
        <w:rPr>
          <w:rFonts w:cs="Times New Roman"/>
          <w:b/>
          <w:bCs/>
          <w:sz w:val="22"/>
          <w:szCs w:val="22"/>
        </w:rPr>
        <w:t xml:space="preserve">Possibility of confusion and distinct classification </w:t>
      </w:r>
    </w:p>
    <w:p w14:paraId="260220F3" w14:textId="23B65D60" w:rsidR="009B7123" w:rsidRPr="005B702B" w:rsidRDefault="009B7123" w:rsidP="009B7123">
      <w:pPr>
        <w:rPr>
          <w:rFonts w:cs="Times New Roman"/>
          <w:sz w:val="22"/>
          <w:szCs w:val="22"/>
        </w:rPr>
      </w:pPr>
      <w:r w:rsidRPr="005B702B">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w:t>
      </w:r>
      <w:r w:rsidR="00352F6B" w:rsidRPr="005B702B">
        <w:rPr>
          <w:rFonts w:cs="Times New Roman"/>
          <w:sz w:val="22"/>
          <w:szCs w:val="22"/>
        </w:rPr>
        <w:t>number</w:t>
      </w:r>
      <w:r w:rsidRPr="005B702B">
        <w:rPr>
          <w:rFonts w:cs="Times New Roman"/>
          <w:sz w:val="22"/>
          <w:szCs w:val="22"/>
        </w:rPr>
        <w:t xml:space="preserve">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14:textId="17F496D4" w:rsidR="009B7123" w:rsidRPr="005B702B" w:rsidRDefault="009B7123" w:rsidP="009B7123">
      <w:pPr>
        <w:rPr>
          <w:rFonts w:cs="Times New Roman"/>
          <w:b/>
          <w:bCs/>
          <w:sz w:val="22"/>
          <w:szCs w:val="22"/>
        </w:rPr>
      </w:pPr>
      <w:r w:rsidRPr="005B702B">
        <w:rPr>
          <w:rFonts w:cs="Times New Roman"/>
          <w:b/>
          <w:bCs/>
          <w:sz w:val="22"/>
          <w:szCs w:val="22"/>
        </w:rPr>
        <w:t xml:space="preserve">The effortlessness to adhere to the rules and the difficulty of doing things </w:t>
      </w:r>
    </w:p>
    <w:p w14:paraId="10359FCE" w14:textId="77777777" w:rsidR="009B7123" w:rsidRPr="005B702B" w:rsidRDefault="009B7123" w:rsidP="009B7123">
      <w:pPr>
        <w:rPr>
          <w:rFonts w:cs="Times New Roman"/>
          <w:sz w:val="22"/>
          <w:szCs w:val="22"/>
        </w:rPr>
      </w:pPr>
      <w:r w:rsidRPr="005B702B">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w:t>
      </w:r>
      <w:r w:rsidRPr="005B702B">
        <w:rPr>
          <w:rFonts w:cs="Times New Roman"/>
          <w:sz w:val="22"/>
          <w:szCs w:val="22"/>
        </w:rPr>
        <w:lastRenderedPageBreak/>
        <w:t xml:space="preserve">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14:textId="77777777" w:rsidR="009B7123" w:rsidRPr="005B702B" w:rsidRDefault="009B7123" w:rsidP="009B7123">
      <w:pPr>
        <w:rPr>
          <w:rFonts w:cs="Times New Roman"/>
          <w:b/>
          <w:bCs/>
          <w:sz w:val="22"/>
          <w:szCs w:val="22"/>
        </w:rPr>
      </w:pPr>
      <w:r w:rsidRPr="005B702B">
        <w:rPr>
          <w:rFonts w:cs="Times New Roman"/>
          <w:b/>
          <w:bCs/>
          <w:sz w:val="22"/>
          <w:szCs w:val="22"/>
        </w:rPr>
        <w:t xml:space="preserve">Different areas </w:t>
      </w:r>
    </w:p>
    <w:p w14:paraId="6429A351" w14:textId="529FEA3F" w:rsidR="009B7123" w:rsidRPr="005B702B" w:rsidRDefault="009B7123" w:rsidP="009B7123">
      <w:pPr>
        <w:rPr>
          <w:rFonts w:cs="Times New Roman"/>
          <w:sz w:val="22"/>
          <w:szCs w:val="22"/>
        </w:rPr>
      </w:pPr>
      <w:r w:rsidRPr="005B702B">
        <w:rPr>
          <w:rFonts w:cs="Times New Roman"/>
          <w:sz w:val="22"/>
          <w:szCs w:val="22"/>
        </w:rPr>
        <w:t xml:space="preserve">The changes of GST 2025 do not have the same effect on the entire economy. Car dealerships are not sure where to put and what the value of luxury goods is since there is no </w:t>
      </w:r>
      <w:r w:rsidR="005B702B" w:rsidRPr="005B702B">
        <w:rPr>
          <w:rFonts w:cs="Times New Roman"/>
          <w:sz w:val="22"/>
          <w:szCs w:val="22"/>
        </w:rPr>
        <w:t>clear-cut</w:t>
      </w:r>
      <w:r w:rsidRPr="005B702B">
        <w:rPr>
          <w:rFonts w:cs="Times New Roman"/>
          <w:sz w:val="22"/>
          <w:szCs w:val="22"/>
        </w:rPr>
        <w:t xml:space="preserve">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endeavor that is undertaken repeatedly rather than at one instance. </w:t>
      </w:r>
    </w:p>
    <w:p w14:paraId="2C6B4E31" w14:textId="77777777" w:rsidR="009B7123" w:rsidRPr="005B702B" w:rsidRDefault="009B7123" w:rsidP="009B7123">
      <w:pPr>
        <w:rPr>
          <w:rFonts w:cs="Times New Roman"/>
          <w:b/>
          <w:bCs/>
          <w:sz w:val="22"/>
          <w:szCs w:val="22"/>
        </w:rPr>
      </w:pPr>
      <w:r w:rsidRPr="005B702B">
        <w:rPr>
          <w:rFonts w:cs="Times New Roman"/>
          <w:b/>
          <w:bCs/>
          <w:sz w:val="22"/>
          <w:szCs w:val="22"/>
        </w:rPr>
        <w:t xml:space="preserve">Budget Offset </w:t>
      </w:r>
    </w:p>
    <w:p w14:paraId="2BA379A1" w14:textId="77777777" w:rsidR="009B7123" w:rsidRPr="005B702B" w:rsidRDefault="009B7123" w:rsidP="009B7123">
      <w:pPr>
        <w:rPr>
          <w:rFonts w:cs="Times New Roman"/>
          <w:sz w:val="22"/>
          <w:szCs w:val="22"/>
        </w:rPr>
      </w:pPr>
      <w:r w:rsidRPr="005B702B">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14:textId="77777777" w:rsidR="009B7123" w:rsidRPr="005B702B" w:rsidRDefault="009B7123" w:rsidP="009B7123">
      <w:pPr>
        <w:rPr>
          <w:rFonts w:cs="Times New Roman"/>
          <w:b/>
          <w:bCs/>
          <w:sz w:val="22"/>
          <w:szCs w:val="22"/>
        </w:rPr>
      </w:pPr>
      <w:r w:rsidRPr="005B702B">
        <w:rPr>
          <w:rFonts w:cs="Times New Roman"/>
          <w:b/>
          <w:bCs/>
          <w:sz w:val="22"/>
          <w:szCs w:val="22"/>
        </w:rPr>
        <w:t xml:space="preserve">Settling disputes and law suits. </w:t>
      </w:r>
    </w:p>
    <w:p w14:paraId="7701300D" w14:textId="44E7C041" w:rsidR="007042D3" w:rsidRPr="005B702B" w:rsidRDefault="009B7123" w:rsidP="007042D3">
      <w:pPr>
        <w:rPr>
          <w:rFonts w:cs="Times New Roman"/>
          <w:sz w:val="22"/>
          <w:szCs w:val="22"/>
        </w:rPr>
      </w:pPr>
      <w:r w:rsidRPr="005B702B">
        <w:rPr>
          <w:rFonts w:cs="Times New Roman"/>
          <w:sz w:val="22"/>
          <w:szCs w:val="22"/>
        </w:rPr>
        <w:t xml:space="preserve">Ever since the establishment of GSTAT, there has been an evident decline in indirect tax network lawsuits (Times of India 2025). A bench of appellate officials should aid in clearing up confusion and accelerate the </w:t>
      </w:r>
      <w:r w:rsidR="005B702B" w:rsidRPr="005B702B">
        <w:rPr>
          <w:rFonts w:cs="Times New Roman"/>
          <w:sz w:val="22"/>
          <w:szCs w:val="22"/>
        </w:rPr>
        <w:t>decision-making</w:t>
      </w:r>
      <w:r w:rsidRPr="005B702B">
        <w:rPr>
          <w:rFonts w:cs="Times New Roman"/>
          <w:sz w:val="22"/>
          <w:szCs w:val="22"/>
        </w:rPr>
        <w:t xml:space="preserve"> process. The protracted taxation fights may occupy much working capital making it difficult to the business to meet bills as well as expand capital. In case the appeals process were expedited, investors and businesses would be more confident and stable in the indirect tax system of India.</w:t>
      </w:r>
      <w:r w:rsidR="007042D3" w:rsidRPr="005B702B">
        <w:rPr>
          <w:rFonts w:cs="Times New Roman"/>
          <w:sz w:val="22"/>
          <w:szCs w:val="22"/>
        </w:rPr>
        <w:t>.</w:t>
      </w:r>
    </w:p>
    <w:p w14:paraId="0647B718" w14:textId="7C87EB43" w:rsidR="00B815A8" w:rsidRPr="005B702B" w:rsidRDefault="008B30D4" w:rsidP="008B30D4">
      <w:pPr>
        <w:pStyle w:val="Heading1"/>
        <w:rPr>
          <w:rFonts w:cs="Times New Roman"/>
          <w:sz w:val="28"/>
          <w:szCs w:val="28"/>
        </w:rPr>
      </w:pPr>
      <w:r w:rsidRPr="005B702B">
        <w:rPr>
          <w:rFonts w:cs="Times New Roman"/>
          <w:sz w:val="28"/>
          <w:szCs w:val="28"/>
        </w:rPr>
        <w:t>6</w:t>
      </w:r>
      <w:r w:rsidR="00B815A8" w:rsidRPr="005B702B">
        <w:rPr>
          <w:rFonts w:cs="Times New Roman"/>
          <w:sz w:val="28"/>
          <w:szCs w:val="28"/>
        </w:rPr>
        <w:t xml:space="preserve">. INTERPRETATION OF RESULTS  </w:t>
      </w:r>
    </w:p>
    <w:p w14:paraId="43448B43" w14:textId="51D6CF61" w:rsidR="00B815A8" w:rsidRPr="005B702B" w:rsidRDefault="008B30D4" w:rsidP="008B30D4">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 xml:space="preserve">.1 Simplification Gains vs. Residual Complexity  </w:t>
      </w:r>
    </w:p>
    <w:p w14:paraId="768D65D3" w14:textId="4C261FAE" w:rsidR="00B815A8" w:rsidRPr="005B702B" w:rsidRDefault="00B815A8" w:rsidP="00B815A8">
      <w:pPr>
        <w:rPr>
          <w:rFonts w:cs="Times New Roman"/>
          <w:sz w:val="22"/>
          <w:szCs w:val="22"/>
        </w:rPr>
      </w:pPr>
      <w:r w:rsidRPr="005B702B">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14:textId="1FDBA8AB" w:rsidR="00B815A8" w:rsidRPr="005B702B" w:rsidRDefault="00B815A8" w:rsidP="00B815A8">
      <w:pPr>
        <w:rPr>
          <w:rFonts w:cs="Times New Roman"/>
          <w:sz w:val="22"/>
          <w:szCs w:val="22"/>
        </w:rPr>
      </w:pPr>
      <w:r w:rsidRPr="005B702B">
        <w:rPr>
          <w:rFonts w:cs="Times New Roman"/>
          <w:sz w:val="22"/>
          <w:szCs w:val="22"/>
        </w:rPr>
        <w:t xml:space="preserve">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w:t>
      </w:r>
      <w:r w:rsidR="00352F6B" w:rsidRPr="005B702B">
        <w:rPr>
          <w:rFonts w:cs="Times New Roman"/>
          <w:sz w:val="22"/>
          <w:szCs w:val="22"/>
        </w:rPr>
        <w:t>simpler</w:t>
      </w:r>
      <w:r w:rsidRPr="005B702B">
        <w:rPr>
          <w:rFonts w:cs="Times New Roman"/>
          <w:sz w:val="22"/>
          <w:szCs w:val="22"/>
        </w:rPr>
        <w:t xml:space="preserve"> rate structure that is more transparent, more compliant, and brings India's indirect taxation to the GSOT 2025 reforms more to the international best practices.</w:t>
      </w:r>
    </w:p>
    <w:p w14:paraId="18A611E4" w14:textId="77777777" w:rsidR="00F7758D" w:rsidRPr="005B702B" w:rsidRDefault="00F7758D" w:rsidP="00F7758D">
      <w:pPr>
        <w:rPr>
          <w:rFonts w:cs="Times New Roman"/>
          <w:sz w:val="22"/>
          <w:szCs w:val="22"/>
        </w:rPr>
      </w:pPr>
      <w:r w:rsidRPr="005B702B">
        <w:rPr>
          <w:rFonts w:cs="Times New Roman"/>
          <w:sz w:val="22"/>
          <w:szCs w:val="22"/>
        </w:rPr>
        <w:lastRenderedPageBreak/>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14:textId="77777777" w:rsidR="00F7758D" w:rsidRPr="005B702B" w:rsidRDefault="00F7758D" w:rsidP="00F7758D">
      <w:pPr>
        <w:rPr>
          <w:rFonts w:cs="Times New Roman"/>
          <w:sz w:val="22"/>
          <w:szCs w:val="22"/>
        </w:rPr>
      </w:pPr>
      <w:r w:rsidRPr="005B702B">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14:textId="05601D50" w:rsidR="00F7758D" w:rsidRPr="005B702B" w:rsidRDefault="00F7758D" w:rsidP="00F7758D">
      <w:pPr>
        <w:rPr>
          <w:rFonts w:cs="Times New Roman"/>
          <w:sz w:val="22"/>
          <w:szCs w:val="22"/>
        </w:rPr>
      </w:pPr>
      <w:r w:rsidRPr="005B702B">
        <w:rPr>
          <w:rFonts w:cs="Times New Roman"/>
          <w:sz w:val="22"/>
          <w:szCs w:val="22"/>
        </w:rPr>
        <w:t xml:space="preserve">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w:t>
      </w:r>
      <w:r w:rsidR="005B702B" w:rsidRPr="005B702B">
        <w:rPr>
          <w:rFonts w:cs="Times New Roman"/>
          <w:sz w:val="22"/>
          <w:szCs w:val="22"/>
        </w:rPr>
        <w:t>simplifications</w:t>
      </w:r>
      <w:r w:rsidRPr="005B702B">
        <w:rPr>
          <w:rFonts w:cs="Times New Roman"/>
          <w:sz w:val="22"/>
          <w:szCs w:val="22"/>
        </w:rPr>
        <w:t xml:space="preserve"> that blurred structural confusion but there is interpretive ambiguity. (Reuters, 2025; Reuters, 2025).</w:t>
      </w:r>
    </w:p>
    <w:p w14:paraId="7E70D228" w14:textId="77777777" w:rsidR="00F7758D" w:rsidRPr="005B702B" w:rsidRDefault="00F7758D" w:rsidP="00F7758D">
      <w:pPr>
        <w:rPr>
          <w:rFonts w:cs="Times New Roman"/>
          <w:sz w:val="22"/>
          <w:szCs w:val="22"/>
        </w:rPr>
      </w:pPr>
      <w:r w:rsidRPr="005B702B">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14:textId="6DF23E5A" w:rsidR="00F7758D" w:rsidRPr="005B702B" w:rsidRDefault="00F7758D" w:rsidP="00F7758D">
      <w:pPr>
        <w:rPr>
          <w:rFonts w:cs="Times New Roman"/>
          <w:sz w:val="22"/>
          <w:szCs w:val="22"/>
        </w:rPr>
      </w:pPr>
      <w:r w:rsidRPr="005B702B">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14:textId="02B70D3A" w:rsidR="00B815A8" w:rsidRPr="005B702B" w:rsidRDefault="00B815A8" w:rsidP="00F7758D">
      <w:pPr>
        <w:jc w:val="left"/>
        <w:rPr>
          <w:rFonts w:cs="Times New Roman"/>
          <w:sz w:val="22"/>
          <w:szCs w:val="22"/>
        </w:rPr>
      </w:pPr>
      <w:r w:rsidRPr="005B702B">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w:t>
      </w:r>
      <w:r w:rsidR="00887D84">
        <w:rPr>
          <w:rFonts w:cs="Times New Roman"/>
          <w:sz w:val="22"/>
          <w:szCs w:val="22"/>
        </w:rPr>
        <w:t>innovation</w:t>
      </w:r>
      <w:r w:rsidRPr="005B702B">
        <w:rPr>
          <w:rFonts w:cs="Times New Roman"/>
          <w:sz w:val="22"/>
          <w:szCs w:val="22"/>
        </w:rPr>
        <w:t xml:space="preserve"> to the reform. The lack of unsustainable compensatory simplification mechanisms suggests that the other side of the integration reform trade-offs has not been exposed.</w:t>
      </w:r>
    </w:p>
    <w:p w14:paraId="7E18E8A4" w14:textId="486B46D2" w:rsidR="00B815A8" w:rsidRPr="005B702B" w:rsidRDefault="00B815A8" w:rsidP="00B815A8">
      <w:pPr>
        <w:rPr>
          <w:rFonts w:cs="Times New Roman"/>
          <w:sz w:val="22"/>
          <w:szCs w:val="22"/>
        </w:rPr>
      </w:pPr>
      <w:r w:rsidRPr="005B702B">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77548935" wp14:editId="6238CE46">
            <wp:extent cx="4091940" cy="3187959"/>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1133436547"/>
                    <pic:cNvPicPr/>
                  </pic:nvPicPr>
                  <pic:blipFill rotWithShape="1">
                    <a:blip r:embed="rId9" cstate="print">
                      <a:extLst>
                        <a:ext uri="{28A0092B-C50C-407E-A947-70E740481C1C}">
                          <a14:useLocalDpi xmlns:a14="http://schemas.microsoft.com/office/drawing/2010/main" val="0"/>
                        </a:ext>
                      </a:extLst>
                    </a:blip>
                    <a:srcRect t="11167" b="10924"/>
                    <a:stretch>
                      <a:fillRect/>
                    </a:stretch>
                  </pic:blipFill>
                  <pic:spPr bwMode="auto">
                    <a:xfrm>
                      <a:off x="0" y="0"/>
                      <a:ext cx="4106303" cy="3199149"/>
                    </a:xfrm>
                    <a:prstGeom prst="rect">
                      <a:avLst/>
                    </a:prstGeom>
                    <a:ln>
                      <a:noFill/>
                    </a:ln>
                    <a:extLst>
                      <a:ext uri="{53640926-AAD7-44D8-BBD7-CCE9431645EC}">
                        <a14:shadowObscured xmlns:a14="http://schemas.microsoft.com/office/drawing/2010/main"/>
                      </a:ext>
                    </a:extLst>
                  </pic:spPr>
                </pic:pic>
              </a:graphicData>
            </a:graphic>
          </wp:inline>
        </w:drawing>
      </w:r>
    </w:p>
    <w:p w14:paraId="6BFC41D0" w14:textId="61BDCE4C"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3</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Conceptual Framework Illustrating Gains in Simplification vs. Persisting Operational Complexities under GST 2025.</w:t>
      </w:r>
    </w:p>
    <w:p w14:paraId="08C6F5FD" w14:textId="71D355C6" w:rsidR="00B815A8" w:rsidRPr="005B702B" w:rsidRDefault="008B30D4" w:rsidP="005B702B">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.2. Comparing Theoretical &amp; Empirical Literature</w:t>
      </w:r>
    </w:p>
    <w:p w14:paraId="6FD74241" w14:textId="77777777" w:rsidR="00F96AE7" w:rsidRPr="005B702B" w:rsidRDefault="00F96AE7" w:rsidP="00F96AE7">
      <w:pPr>
        <w:rPr>
          <w:rFonts w:cs="Times New Roman"/>
          <w:sz w:val="22"/>
          <w:szCs w:val="22"/>
        </w:rPr>
      </w:pPr>
      <w:r w:rsidRPr="005B702B">
        <w:rPr>
          <w:rFonts w:cs="Times New Roman"/>
          <w:sz w:val="22"/>
          <w:szCs w:val="22"/>
        </w:rPr>
        <w:t>The existing paper is based on the available empirical and theoretical literature. Interestingly is the so-called equity-complexity trade-off theory formulated by Rajagopalan (2023). According to the theory, although, simplification enhances the efficiency and transparency of an administrative system, it also comes at a cost, because, conflicts in classification and disputes of interpretation are not entirely eliminated. The problems in GST 2025 complexities exist are a witness to the proposed theory and its applicability.</w:t>
      </w:r>
    </w:p>
    <w:p w14:paraId="30159E6B" w14:textId="77777777" w:rsidR="00F96AE7" w:rsidRPr="005B702B" w:rsidRDefault="00F96AE7" w:rsidP="00F96AE7">
      <w:pPr>
        <w:rPr>
          <w:rFonts w:cs="Times New Roman"/>
          <w:sz w:val="22"/>
          <w:szCs w:val="22"/>
        </w:rPr>
      </w:pPr>
      <w:r w:rsidRPr="005B702B">
        <w:rPr>
          <w:rFonts w:cs="Times New Roman"/>
          <w:sz w:val="22"/>
          <w:szCs w:val="22"/>
        </w:rPr>
        <w:t>Similarly, the outcomes are consistent with those of Neetha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14:textId="77777777" w:rsidR="00F96AE7" w:rsidRPr="005B702B" w:rsidRDefault="00F96AE7" w:rsidP="00F96AE7">
      <w:pPr>
        <w:rPr>
          <w:rFonts w:cs="Times New Roman"/>
          <w:sz w:val="22"/>
          <w:szCs w:val="22"/>
        </w:rPr>
      </w:pPr>
      <w:r w:rsidRPr="005B702B">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Kesari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14:textId="77777777" w:rsidR="00F96AE7" w:rsidRPr="005B702B" w:rsidRDefault="00F96AE7" w:rsidP="00F96AE7">
      <w:pPr>
        <w:rPr>
          <w:rFonts w:cs="Times New Roman"/>
          <w:sz w:val="22"/>
          <w:szCs w:val="22"/>
        </w:rPr>
      </w:pPr>
      <w:r w:rsidRPr="005B702B">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14:textId="43831CCC" w:rsidR="00F96AE7" w:rsidRPr="005B702B" w:rsidRDefault="00F96AE7" w:rsidP="005B702B">
      <w:pPr>
        <w:pStyle w:val="Heading2"/>
        <w:rPr>
          <w:rFonts w:cs="Times New Roman"/>
          <w:sz w:val="24"/>
          <w:szCs w:val="24"/>
        </w:rPr>
      </w:pPr>
      <w:r w:rsidRPr="005B702B">
        <w:rPr>
          <w:rFonts w:cs="Times New Roman"/>
          <w:sz w:val="24"/>
          <w:szCs w:val="24"/>
        </w:rPr>
        <w:lastRenderedPageBreak/>
        <w:t>6.3 Compliance Behaviour and Trust in Tax Administration Implications</w:t>
      </w:r>
    </w:p>
    <w:p w14:paraId="52A7453D" w14:textId="77777777" w:rsidR="00F96AE7" w:rsidRPr="005B702B" w:rsidRDefault="00F96AE7" w:rsidP="00F96AE7">
      <w:pPr>
        <w:rPr>
          <w:rFonts w:cs="Times New Roman"/>
          <w:sz w:val="22"/>
          <w:szCs w:val="22"/>
        </w:rPr>
      </w:pPr>
      <w:r w:rsidRPr="005B702B">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14:textId="77777777" w:rsidR="00F96AE7" w:rsidRPr="005B702B" w:rsidRDefault="00F96AE7" w:rsidP="00F96AE7">
      <w:pPr>
        <w:rPr>
          <w:rFonts w:cs="Times New Roman"/>
          <w:sz w:val="22"/>
          <w:szCs w:val="22"/>
        </w:rPr>
      </w:pPr>
      <w:r w:rsidRPr="005B702B">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14:textId="77777777" w:rsidR="00F96AE7" w:rsidRPr="005B702B" w:rsidRDefault="00F96AE7" w:rsidP="00F96AE7">
      <w:pPr>
        <w:rPr>
          <w:rFonts w:cs="Times New Roman"/>
          <w:sz w:val="22"/>
          <w:szCs w:val="22"/>
        </w:rPr>
      </w:pPr>
      <w:r w:rsidRPr="005B702B">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14:textId="77777777" w:rsidR="00F96AE7" w:rsidRPr="005B702B" w:rsidRDefault="00F96AE7" w:rsidP="00F96AE7">
      <w:pPr>
        <w:rPr>
          <w:rFonts w:cs="Times New Roman"/>
          <w:sz w:val="22"/>
          <w:szCs w:val="22"/>
        </w:rPr>
      </w:pPr>
      <w:r w:rsidRPr="005B702B">
        <w:rPr>
          <w:rFonts w:cs="Times New Roman"/>
          <w:sz w:val="22"/>
          <w:szCs w:val="22"/>
        </w:rPr>
        <w:t>Formal structure of GST 2025 will not have much influence on compliance behaviour until there is understanding of procedural execution, dispute resolution and transitional management.</w:t>
      </w:r>
    </w:p>
    <w:p w14:paraId="72706966" w14:textId="0CB74489" w:rsidR="00F96AE7" w:rsidRPr="005B702B" w:rsidRDefault="00F96AE7" w:rsidP="005B702B">
      <w:pPr>
        <w:pStyle w:val="Heading2"/>
        <w:rPr>
          <w:rFonts w:cs="Times New Roman"/>
          <w:sz w:val="24"/>
          <w:szCs w:val="24"/>
        </w:rPr>
      </w:pPr>
      <w:r w:rsidRPr="005B702B">
        <w:rPr>
          <w:rFonts w:cs="Times New Roman"/>
          <w:sz w:val="24"/>
          <w:szCs w:val="24"/>
        </w:rPr>
        <w:t>6.4 Policy and Administrative Foresights</w:t>
      </w:r>
    </w:p>
    <w:p w14:paraId="5D886890" w14:textId="77777777" w:rsidR="00F96AE7" w:rsidRPr="005B702B" w:rsidRDefault="00F96AE7" w:rsidP="00F96AE7">
      <w:pPr>
        <w:rPr>
          <w:rFonts w:cs="Times New Roman"/>
          <w:sz w:val="22"/>
          <w:szCs w:val="22"/>
        </w:rPr>
      </w:pPr>
      <w:r w:rsidRPr="005B702B">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14:textId="61F02F00" w:rsidR="00F96AE7" w:rsidRPr="005B702B" w:rsidRDefault="00F96AE7" w:rsidP="00F96AE7">
      <w:pPr>
        <w:rPr>
          <w:rFonts w:cs="Times New Roman"/>
          <w:sz w:val="22"/>
          <w:szCs w:val="22"/>
        </w:rPr>
      </w:pPr>
      <w:r w:rsidRPr="005B702B">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14:textId="429ED222" w:rsidR="00F96AE7" w:rsidRPr="005B702B" w:rsidRDefault="00F96AE7" w:rsidP="00F96AE7">
      <w:pPr>
        <w:rPr>
          <w:rFonts w:cs="Times New Roman"/>
          <w:sz w:val="22"/>
          <w:szCs w:val="22"/>
        </w:rPr>
      </w:pPr>
      <w:r w:rsidRPr="005B702B">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14:textId="72A86E5D" w:rsidR="00F96AE7" w:rsidRPr="005B702B" w:rsidRDefault="00F96AE7" w:rsidP="00F96AE7">
      <w:pPr>
        <w:rPr>
          <w:rFonts w:cs="Times New Roman"/>
          <w:sz w:val="22"/>
          <w:szCs w:val="22"/>
        </w:rPr>
      </w:pPr>
      <w:r w:rsidRPr="005B702B">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14:textId="0935DE93" w:rsidR="00F96AE7" w:rsidRPr="005B702B" w:rsidRDefault="00F96AE7" w:rsidP="00F96AE7">
      <w:pPr>
        <w:rPr>
          <w:rFonts w:cs="Times New Roman"/>
          <w:sz w:val="22"/>
          <w:szCs w:val="22"/>
        </w:rPr>
      </w:pPr>
      <w:r w:rsidRPr="005B702B">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14:textId="6AAE8ADE" w:rsidR="009D348B" w:rsidRPr="005B702B" w:rsidRDefault="00F96AE7" w:rsidP="009D348B">
      <w:pPr>
        <w:rPr>
          <w:rFonts w:cs="Times New Roman"/>
          <w:sz w:val="22"/>
          <w:szCs w:val="22"/>
        </w:rPr>
      </w:pPr>
      <w:r w:rsidRPr="005B702B">
        <w:rPr>
          <w:rFonts w:cs="Times New Roman"/>
          <w:sz w:val="22"/>
          <w:szCs w:val="22"/>
        </w:rPr>
        <w:lastRenderedPageBreak/>
        <w:t xml:space="preserve">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w:t>
      </w:r>
      <w:r w:rsidR="00352F6B" w:rsidRPr="005B702B">
        <w:rPr>
          <w:rFonts w:cs="Times New Roman"/>
          <w:sz w:val="22"/>
          <w:szCs w:val="22"/>
        </w:rPr>
        <w:t>everyone.</w:t>
      </w:r>
    </w:p>
    <w:p w14:paraId="46704CAF" w14:textId="41FBEB59" w:rsidR="00B815A8" w:rsidRPr="005B702B" w:rsidRDefault="008B30D4" w:rsidP="008B30D4">
      <w:pPr>
        <w:pStyle w:val="Heading1"/>
        <w:rPr>
          <w:rFonts w:cs="Times New Roman"/>
          <w:sz w:val="28"/>
          <w:szCs w:val="28"/>
        </w:rPr>
      </w:pPr>
      <w:r w:rsidRPr="005B702B">
        <w:rPr>
          <w:rFonts w:cs="Times New Roman"/>
          <w:sz w:val="28"/>
          <w:szCs w:val="28"/>
        </w:rPr>
        <w:t>7</w:t>
      </w:r>
      <w:r w:rsidR="00B815A8" w:rsidRPr="005B702B">
        <w:rPr>
          <w:rFonts w:cs="Times New Roman"/>
          <w:sz w:val="28"/>
          <w:szCs w:val="28"/>
        </w:rPr>
        <w:t xml:space="preserve">. CONCLUSION  </w:t>
      </w:r>
    </w:p>
    <w:p w14:paraId="2F234A49" w14:textId="3D66F6DF" w:rsidR="00B815A8" w:rsidRPr="005B702B" w:rsidRDefault="00B815A8" w:rsidP="00B815A8">
      <w:pPr>
        <w:rPr>
          <w:rFonts w:cs="Times New Roman"/>
          <w:sz w:val="22"/>
          <w:szCs w:val="22"/>
        </w:rPr>
      </w:pPr>
      <w:r w:rsidRPr="005B702B">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14:textId="2C7C737B" w:rsidR="00B815A8" w:rsidRPr="005B702B" w:rsidRDefault="00B815A8" w:rsidP="00B815A8">
      <w:pPr>
        <w:rPr>
          <w:rFonts w:cs="Times New Roman"/>
          <w:sz w:val="22"/>
          <w:szCs w:val="22"/>
        </w:rPr>
      </w:pPr>
      <w:r w:rsidRPr="005B702B">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14:textId="04899096" w:rsidR="00B815A8" w:rsidRPr="005B702B" w:rsidRDefault="00B815A8" w:rsidP="00B815A8">
      <w:pPr>
        <w:rPr>
          <w:rFonts w:cs="Times New Roman"/>
          <w:sz w:val="22"/>
          <w:szCs w:val="22"/>
        </w:rPr>
      </w:pPr>
      <w:r w:rsidRPr="005B702B">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14:textId="6FDCCBF6" w:rsidR="00B815A8" w:rsidRPr="005B702B" w:rsidRDefault="00B815A8" w:rsidP="00B815A8">
      <w:pPr>
        <w:rPr>
          <w:rFonts w:cs="Times New Roman"/>
          <w:sz w:val="22"/>
          <w:szCs w:val="22"/>
        </w:rPr>
      </w:pPr>
      <w:r w:rsidRPr="005B702B">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14:textId="78B08941"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.1 Summary of Findings  </w:t>
      </w:r>
    </w:p>
    <w:p w14:paraId="27F2CC0F" w14:textId="3C23FE1B" w:rsidR="00B815A8" w:rsidRPr="005B702B" w:rsidRDefault="00B815A8" w:rsidP="00B815A8">
      <w:pPr>
        <w:rPr>
          <w:rFonts w:cs="Times New Roman"/>
          <w:sz w:val="22"/>
          <w:szCs w:val="22"/>
        </w:rPr>
      </w:pPr>
      <w:r w:rsidRPr="005B702B">
        <w:rPr>
          <w:rFonts w:cs="Times New Roman"/>
          <w:sz w:val="22"/>
          <w:szCs w:val="22"/>
        </w:rPr>
        <w:t>In first place on the design front, the reforms provide notable simplification of the tax structure. The multiple slabs of 12 % and 28 % have been dismantled and are now replaced primarily with 5 % and 18 % slabs in addition to an overarching 40 % on luxury/sin goods (Reuters, 2025; ConventusLaw, 2025). The tax structure is further simplified with the removal of the compensation cess (India Briefing, 2025). The rationalisation of structure reduces the confusion regarding which rate is applicable to a class of goods or services.</w:t>
      </w:r>
    </w:p>
    <w:p w14:paraId="7C85CC36" w14:textId="4BD81E9C" w:rsidR="00B815A8" w:rsidRPr="005B702B" w:rsidRDefault="00B815A8" w:rsidP="00B815A8">
      <w:pPr>
        <w:rPr>
          <w:rFonts w:cs="Times New Roman"/>
          <w:sz w:val="22"/>
          <w:szCs w:val="22"/>
        </w:rPr>
      </w:pPr>
      <w:r w:rsidRPr="005B702B">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14:textId="5BCD5904" w:rsidR="00B815A8" w:rsidRPr="005B702B" w:rsidRDefault="00B815A8" w:rsidP="00B815A8">
      <w:pPr>
        <w:rPr>
          <w:rFonts w:cs="Times New Roman"/>
          <w:sz w:val="22"/>
          <w:szCs w:val="22"/>
        </w:rPr>
      </w:pPr>
      <w:r w:rsidRPr="005B702B">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w:t>
      </w:r>
      <w:r w:rsidRPr="005B702B">
        <w:rPr>
          <w:rFonts w:cs="Times New Roman"/>
          <w:sz w:val="22"/>
          <w:szCs w:val="22"/>
        </w:rPr>
        <w:lastRenderedPageBreak/>
        <w:t xml:space="preserve">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14:textId="72CE8A6A" w:rsidR="00B815A8" w:rsidRPr="005B702B" w:rsidRDefault="00B815A8" w:rsidP="00B815A8">
      <w:pPr>
        <w:rPr>
          <w:rFonts w:cs="Times New Roman"/>
          <w:sz w:val="22"/>
          <w:szCs w:val="22"/>
        </w:rPr>
      </w:pPr>
      <w:r w:rsidRPr="005B702B">
        <w:rPr>
          <w:rFonts w:cs="Times New Roman"/>
          <w:sz w:val="22"/>
          <w:szCs w:val="22"/>
        </w:rPr>
        <w:t xml:space="preserve">Therefore, the conclusion is that GST 2025 does move forward with visible structural simplification, but there are new and residual impacts with respect to implementation, interpretation, and administrative execution. The success of the </w:t>
      </w:r>
      <w:r w:rsidR="00352F6B" w:rsidRPr="005B702B">
        <w:rPr>
          <w:rFonts w:cs="Times New Roman"/>
          <w:sz w:val="22"/>
          <w:szCs w:val="22"/>
        </w:rPr>
        <w:t>reform’s</w:t>
      </w:r>
      <w:r w:rsidRPr="005B702B">
        <w:rPr>
          <w:rFonts w:cs="Times New Roman"/>
          <w:sz w:val="22"/>
          <w:szCs w:val="22"/>
        </w:rPr>
        <w:t xml:space="preserve"> hinges on the clarity of rules, the capacity of institutions, and the resolution of disputes, along with transitional measures.</w:t>
      </w:r>
    </w:p>
    <w:p w14:paraId="14053275" w14:textId="43A84FF7"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.2 Policy Recommendations</w:t>
      </w:r>
    </w:p>
    <w:p w14:paraId="3B35B16B" w14:textId="77777777" w:rsidR="002065AD" w:rsidRPr="005B702B" w:rsidRDefault="002065AD" w:rsidP="002065AD">
      <w:pPr>
        <w:rPr>
          <w:rFonts w:cs="Times New Roman"/>
          <w:sz w:val="22"/>
          <w:szCs w:val="22"/>
        </w:rPr>
      </w:pPr>
      <w:r w:rsidRPr="005B702B">
        <w:rPr>
          <w:rFonts w:cs="Times New Roman"/>
          <w:sz w:val="22"/>
          <w:szCs w:val="22"/>
        </w:rPr>
        <w:t xml:space="preserve">We propose the following to simplify matters and ensure things do not go amiss: </w:t>
      </w:r>
    </w:p>
    <w:p w14:paraId="15E42213" w14:textId="77777777" w:rsidR="002065AD" w:rsidRPr="005B702B" w:rsidRDefault="002065AD" w:rsidP="002065AD">
      <w:pPr>
        <w:rPr>
          <w:rFonts w:cs="Times New Roman"/>
          <w:b/>
          <w:bCs/>
          <w:sz w:val="22"/>
          <w:szCs w:val="22"/>
        </w:rPr>
      </w:pPr>
      <w:r w:rsidRPr="005B702B">
        <w:rPr>
          <w:rFonts w:cs="Times New Roman"/>
          <w:b/>
          <w:bCs/>
          <w:sz w:val="22"/>
          <w:szCs w:val="22"/>
        </w:rPr>
        <w:t xml:space="preserve">Help with sorting </w:t>
      </w:r>
    </w:p>
    <w:p w14:paraId="6BFC0253" w14:textId="77777777" w:rsidR="002065AD" w:rsidRPr="005B702B" w:rsidRDefault="002065AD" w:rsidP="002065AD">
      <w:pPr>
        <w:rPr>
          <w:rFonts w:cs="Times New Roman"/>
          <w:sz w:val="22"/>
          <w:szCs w:val="22"/>
        </w:rPr>
      </w:pPr>
      <w:r w:rsidRPr="005B702B">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14:textId="16BF8D79" w:rsidR="002065AD" w:rsidRPr="005B702B" w:rsidRDefault="002065AD" w:rsidP="002065AD">
      <w:pPr>
        <w:rPr>
          <w:rFonts w:cs="Times New Roman"/>
          <w:b/>
          <w:bCs/>
          <w:sz w:val="22"/>
          <w:szCs w:val="22"/>
        </w:rPr>
      </w:pPr>
      <w:r w:rsidRPr="005B702B">
        <w:rPr>
          <w:rFonts w:cs="Times New Roman"/>
          <w:b/>
          <w:bCs/>
          <w:sz w:val="22"/>
          <w:szCs w:val="22"/>
        </w:rPr>
        <w:t xml:space="preserve">Rules to the Change which are easy to understand </w:t>
      </w:r>
    </w:p>
    <w:p w14:paraId="0BA95554" w14:textId="77777777" w:rsidR="002065AD" w:rsidRPr="005B702B" w:rsidRDefault="002065AD" w:rsidP="002065AD">
      <w:pPr>
        <w:rPr>
          <w:rFonts w:cs="Times New Roman"/>
          <w:sz w:val="22"/>
          <w:szCs w:val="22"/>
        </w:rPr>
      </w:pPr>
      <w:r w:rsidRPr="005B702B">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14:textId="56585B9E" w:rsidR="002065AD" w:rsidRPr="005B702B" w:rsidRDefault="002065AD" w:rsidP="002065AD">
      <w:pPr>
        <w:rPr>
          <w:rFonts w:cs="Times New Roman"/>
          <w:b/>
          <w:bCs/>
          <w:sz w:val="22"/>
          <w:szCs w:val="22"/>
        </w:rPr>
      </w:pPr>
      <w:r w:rsidRPr="005B702B">
        <w:rPr>
          <w:rFonts w:cs="Times New Roman"/>
          <w:b/>
          <w:bCs/>
          <w:sz w:val="22"/>
          <w:szCs w:val="22"/>
        </w:rPr>
        <w:t xml:space="preserve">More effective dispute resolution methods </w:t>
      </w:r>
    </w:p>
    <w:p w14:paraId="4DECA16A" w14:textId="77777777" w:rsidR="002065AD" w:rsidRPr="005B702B" w:rsidRDefault="002065AD" w:rsidP="002065AD">
      <w:pPr>
        <w:rPr>
          <w:rFonts w:cs="Times New Roman"/>
          <w:sz w:val="22"/>
          <w:szCs w:val="22"/>
        </w:rPr>
      </w:pPr>
      <w:r w:rsidRPr="005B702B">
        <w:rPr>
          <w:rFonts w:cs="Times New Roman"/>
          <w:sz w:val="22"/>
          <w:szCs w:val="22"/>
        </w:rPr>
        <w:t xml:space="preserve">GSTAT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14:textId="69E376FB" w:rsidR="002065AD" w:rsidRPr="005B702B" w:rsidRDefault="002065AD" w:rsidP="002065AD">
      <w:pPr>
        <w:rPr>
          <w:rFonts w:cs="Times New Roman"/>
          <w:b/>
          <w:bCs/>
          <w:sz w:val="22"/>
          <w:szCs w:val="22"/>
        </w:rPr>
      </w:pPr>
      <w:r w:rsidRPr="005B702B">
        <w:rPr>
          <w:rFonts w:cs="Times New Roman"/>
          <w:b/>
          <w:bCs/>
          <w:sz w:val="22"/>
          <w:szCs w:val="22"/>
        </w:rPr>
        <w:t>State salary and keeping the budget on track</w:t>
      </w:r>
    </w:p>
    <w:p w14:paraId="3AE00892" w14:textId="77777777" w:rsidR="002065AD" w:rsidRPr="005B702B" w:rsidRDefault="002065AD" w:rsidP="002065AD">
      <w:pPr>
        <w:rPr>
          <w:rFonts w:cs="Times New Roman"/>
          <w:sz w:val="22"/>
          <w:szCs w:val="22"/>
        </w:rPr>
      </w:pPr>
      <w:r w:rsidRPr="005B702B">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14:textId="06812691" w:rsidR="002065AD" w:rsidRPr="005B702B" w:rsidRDefault="002065AD" w:rsidP="002065AD">
      <w:pPr>
        <w:rPr>
          <w:rFonts w:cs="Times New Roman"/>
          <w:b/>
          <w:bCs/>
          <w:sz w:val="22"/>
          <w:szCs w:val="22"/>
        </w:rPr>
      </w:pPr>
      <w:r w:rsidRPr="005B702B">
        <w:rPr>
          <w:rFonts w:cs="Times New Roman"/>
          <w:b/>
          <w:bCs/>
          <w:sz w:val="22"/>
          <w:szCs w:val="22"/>
        </w:rPr>
        <w:t>Enabling systems preparation and capacity development</w:t>
      </w:r>
    </w:p>
    <w:p w14:paraId="364D6260" w14:textId="77777777" w:rsidR="002065AD" w:rsidRPr="005B702B" w:rsidRDefault="002065AD" w:rsidP="002065AD">
      <w:pPr>
        <w:rPr>
          <w:rFonts w:cs="Times New Roman"/>
          <w:sz w:val="22"/>
          <w:szCs w:val="22"/>
        </w:rPr>
      </w:pPr>
      <w:r w:rsidRPr="005B702B">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14:textId="23B12B12" w:rsidR="002065AD" w:rsidRPr="005B702B" w:rsidRDefault="002065AD" w:rsidP="002065AD">
      <w:pPr>
        <w:rPr>
          <w:rFonts w:cs="Times New Roman"/>
          <w:b/>
          <w:bCs/>
          <w:sz w:val="22"/>
          <w:szCs w:val="22"/>
        </w:rPr>
      </w:pPr>
      <w:r w:rsidRPr="005B702B">
        <w:rPr>
          <w:rFonts w:cs="Times New Roman"/>
          <w:b/>
          <w:bCs/>
          <w:sz w:val="22"/>
          <w:szCs w:val="22"/>
        </w:rPr>
        <w:t xml:space="preserve">Phase implementation in sensitive regions </w:t>
      </w:r>
    </w:p>
    <w:p w14:paraId="61CEB39D" w14:textId="77777777" w:rsidR="002065AD" w:rsidRPr="005B702B" w:rsidRDefault="002065AD" w:rsidP="002065AD">
      <w:pPr>
        <w:rPr>
          <w:rFonts w:cs="Times New Roman"/>
          <w:sz w:val="22"/>
          <w:szCs w:val="22"/>
        </w:rPr>
      </w:pPr>
      <w:r w:rsidRPr="005B702B">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14:textId="5ECE1353" w:rsidR="002065AD" w:rsidRPr="005B702B" w:rsidRDefault="002065AD" w:rsidP="002065AD">
      <w:pPr>
        <w:rPr>
          <w:rFonts w:cs="Times New Roman"/>
          <w:b/>
          <w:bCs/>
          <w:sz w:val="22"/>
          <w:szCs w:val="22"/>
        </w:rPr>
      </w:pPr>
      <w:r w:rsidRPr="005B702B">
        <w:rPr>
          <w:rFonts w:cs="Times New Roman"/>
          <w:b/>
          <w:bCs/>
          <w:sz w:val="22"/>
          <w:szCs w:val="22"/>
        </w:rPr>
        <w:t xml:space="preserve">Monitoring, feedback and change in real-time </w:t>
      </w:r>
    </w:p>
    <w:p w14:paraId="5541128E" w14:textId="77777777" w:rsidR="002065AD" w:rsidRPr="005B702B" w:rsidRDefault="002065AD" w:rsidP="002065AD">
      <w:pPr>
        <w:rPr>
          <w:rFonts w:cs="Times New Roman"/>
          <w:sz w:val="22"/>
          <w:szCs w:val="22"/>
        </w:rPr>
      </w:pPr>
      <w:r w:rsidRPr="005B702B">
        <w:rPr>
          <w:rFonts w:cs="Times New Roman"/>
          <w:sz w:val="22"/>
          <w:szCs w:val="22"/>
        </w:rPr>
        <w:t>The government must monitor reforms as they occur and consult individuals who are interested in the reforms on their opinions. The issues with reform should be checked regularly to help make the necessary amendments as soon as they appear.</w:t>
      </w:r>
    </w:p>
    <w:p w14:paraId="212E43D0" w14:textId="7C1A053F" w:rsidR="00B815A8" w:rsidRPr="005B702B" w:rsidRDefault="008B30D4" w:rsidP="008B30D4">
      <w:pPr>
        <w:pStyle w:val="Heading2"/>
        <w:rPr>
          <w:rFonts w:cs="Times New Roman"/>
          <w:sz w:val="22"/>
          <w:szCs w:val="22"/>
        </w:rPr>
      </w:pPr>
      <w:r w:rsidRPr="005B702B">
        <w:rPr>
          <w:rFonts w:cs="Times New Roman"/>
          <w:sz w:val="22"/>
          <w:szCs w:val="22"/>
        </w:rPr>
        <w:lastRenderedPageBreak/>
        <w:t>7</w:t>
      </w:r>
      <w:r w:rsidR="00B815A8" w:rsidRPr="005B702B">
        <w:rPr>
          <w:rFonts w:cs="Times New Roman"/>
          <w:sz w:val="22"/>
          <w:szCs w:val="22"/>
        </w:rPr>
        <w:t xml:space="preserve">.3 Limitations and Scope for Future Research  </w:t>
      </w:r>
    </w:p>
    <w:p w14:paraId="321DCA0F" w14:textId="4B5AD678" w:rsidR="00B815A8" w:rsidRPr="005B702B" w:rsidRDefault="00B815A8" w:rsidP="00B815A8">
      <w:pPr>
        <w:rPr>
          <w:rFonts w:cs="Times New Roman"/>
          <w:sz w:val="22"/>
          <w:szCs w:val="22"/>
        </w:rPr>
      </w:pPr>
      <w:r w:rsidRPr="005B702B">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14:textId="72B95766" w:rsidR="00B815A8" w:rsidRPr="005B702B" w:rsidRDefault="00B815A8" w:rsidP="00B815A8">
      <w:pPr>
        <w:rPr>
          <w:rFonts w:cs="Times New Roman"/>
          <w:b/>
          <w:bCs/>
          <w:sz w:val="22"/>
          <w:szCs w:val="22"/>
        </w:rPr>
      </w:pPr>
      <w:r w:rsidRPr="005B702B">
        <w:rPr>
          <w:rFonts w:cs="Times New Roman"/>
          <w:b/>
          <w:bCs/>
          <w:sz w:val="22"/>
          <w:szCs w:val="22"/>
        </w:rPr>
        <w:t xml:space="preserve">Future research should explore:  </w:t>
      </w:r>
    </w:p>
    <w:p w14:paraId="75909950" w14:textId="63211B5F"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Longitudinal studies on compliance costs, litigation, and revenue post-2025.  </w:t>
      </w:r>
    </w:p>
    <w:p w14:paraId="60A5FBE5" w14:textId="01259D0A" w:rsidR="00B815A8" w:rsidRPr="005B702B" w:rsidRDefault="00B815A8">
      <w:pPr>
        <w:pStyle w:val="ListParagraph"/>
        <w:numPr>
          <w:ilvl w:val="1"/>
          <w:numId w:val="15"/>
        </w:numPr>
        <w:rPr>
          <w:rFonts w:cs="Times New Roman"/>
          <w:sz w:val="22"/>
          <w:szCs w:val="22"/>
        </w:rPr>
      </w:pPr>
      <w:r w:rsidRPr="005B702B">
        <w:rPr>
          <w:rFonts w:cs="Times New Roman"/>
          <w:sz w:val="22"/>
          <w:szCs w:val="22"/>
        </w:rPr>
        <w:t>Sectoral studies on GST 2.0 (e.g.</w:t>
      </w:r>
      <w:r w:rsidR="00352F6B">
        <w:rPr>
          <w:rFonts w:cs="Times New Roman"/>
          <w:sz w:val="22"/>
          <w:szCs w:val="22"/>
        </w:rPr>
        <w:t>,</w:t>
      </w:r>
      <w:r w:rsidRPr="005B702B">
        <w:rPr>
          <w:rFonts w:cs="Times New Roman"/>
          <w:sz w:val="22"/>
          <w:szCs w:val="22"/>
        </w:rPr>
        <w:t xml:space="preserve"> pharmaceuticals, textiles, and services) to identify micro-level distortions or benefits.  </w:t>
      </w:r>
    </w:p>
    <w:p w14:paraId="2F9DBAC6" w14:textId="54DAD552"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Cross-state studies on the varying adaptations, deviations, and enforcement of GST and state-centre dynamics.  </w:t>
      </w:r>
    </w:p>
    <w:p w14:paraId="63E59959" w14:textId="7A15D230"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Econometric models on behavioural response (evasion, formalisation) to the new tax regime.  </w:t>
      </w:r>
    </w:p>
    <w:p w14:paraId="1BA86224" w14:textId="030A38BF" w:rsidR="00B815A8" w:rsidRPr="005B702B" w:rsidRDefault="00B815A8">
      <w:pPr>
        <w:pStyle w:val="ListParagraph"/>
        <w:numPr>
          <w:ilvl w:val="1"/>
          <w:numId w:val="15"/>
        </w:numPr>
        <w:rPr>
          <w:rFonts w:cs="Times New Roman"/>
          <w:sz w:val="22"/>
          <w:szCs w:val="22"/>
        </w:rPr>
      </w:pPr>
      <w:r w:rsidRPr="005B702B">
        <w:rPr>
          <w:rFonts w:cs="Times New Roman"/>
          <w:sz w:val="22"/>
          <w:szCs w:val="22"/>
        </w:rPr>
        <w:t>Studies on countries with slab rationalization for comparative analysis.</w:t>
      </w:r>
    </w:p>
    <w:p w14:paraId="74185F4B" w14:textId="2798040E"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.4 Final Thoughts  </w:t>
      </w:r>
    </w:p>
    <w:p w14:paraId="660CB44F" w14:textId="6F50866C" w:rsidR="00B815A8" w:rsidRPr="005B702B" w:rsidRDefault="00BA34EE" w:rsidP="00352F6B">
      <w:pPr>
        <w:rPr>
          <w:rFonts w:cs="Times New Roman"/>
          <w:sz w:val="22"/>
          <w:szCs w:val="22"/>
        </w:rPr>
      </w:pPr>
      <w:r w:rsidRPr="005B702B">
        <w:rPr>
          <w:rFonts w:cs="Times New Roman"/>
          <w:sz w:val="22"/>
          <w:szCs w:val="22"/>
        </w:rPr>
        <w:t>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unfulled or remaining concealed complexity will ultimately determine its future generations of complexity or vice versa</w:t>
      </w:r>
      <w:r w:rsidR="00B815A8" w:rsidRPr="005B702B">
        <w:rPr>
          <w:rFonts w:cs="Times New Roman"/>
          <w:sz w:val="22"/>
          <w:szCs w:val="22"/>
        </w:rPr>
        <w:t>.</w:t>
      </w:r>
    </w:p>
    <w:p w14:paraId="71886CC2" w14:textId="77777777" w:rsidR="00DC78F3" w:rsidRDefault="00DC78F3" w:rsidP="00DC78F3">
      <w:pPr>
        <w:rPr>
          <w:rFonts w:ascii="Calibri" w:eastAsia="Calibri" w:hAnsi="Calibri" w:cs="Times New Roman"/>
          <w:highlight w:val="yellow"/>
          <w:lang w:val="en-US"/>
        </w:rPr>
      </w:pPr>
      <w:bookmarkStart w:id="0" w:name="_Hlk204003461"/>
      <w:bookmarkStart w:id="1" w:name="_Hlk213070710"/>
      <w:r>
        <w:rPr>
          <w:rFonts w:ascii="Calibri" w:eastAsia="Calibri" w:hAnsi="Calibri" w:cs="Times New Roman"/>
          <w:highlight w:val="yellow"/>
          <w:lang w:val="en-US"/>
        </w:rPr>
        <w:t>Disclaimer (Artificial intelligence)</w:t>
      </w:r>
    </w:p>
    <w:p w14:paraId="19C14B03"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2767615F"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40F4497"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18C72ED9"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5CF414"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050C746B" w14:textId="0D8DA60F"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1.</w:t>
      </w:r>
      <w:r w:rsidR="008604D2">
        <w:rPr>
          <w:rFonts w:ascii="Calibri" w:eastAsia="Calibri" w:hAnsi="Calibri" w:cs="Times New Roman"/>
          <w:highlight w:val="yellow"/>
          <w:lang w:val="en-US"/>
        </w:rPr>
        <w:t xml:space="preserve">No AI has bee used in generating the text </w:t>
      </w:r>
    </w:p>
    <w:p w14:paraId="49DAD57B"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2.</w:t>
      </w:r>
    </w:p>
    <w:p w14:paraId="6B3CBAC1"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3.</w:t>
      </w:r>
      <w:bookmarkEnd w:id="0"/>
    </w:p>
    <w:bookmarkEnd w:id="1"/>
    <w:p w14:paraId="34482E40" w14:textId="36000BA8" w:rsidR="00324F98" w:rsidRPr="005B702B" w:rsidRDefault="00324F98" w:rsidP="00326D8C">
      <w:pPr>
        <w:rPr>
          <w:rFonts w:cs="Times New Roman"/>
          <w:sz w:val="22"/>
          <w:szCs w:val="22"/>
        </w:rPr>
      </w:pPr>
      <w:r w:rsidRPr="005B702B">
        <w:rPr>
          <w:rFonts w:cs="Times New Roman"/>
          <w:sz w:val="22"/>
          <w:szCs w:val="22"/>
        </w:rPr>
        <w:br w:type="page"/>
      </w:r>
    </w:p>
    <w:p w14:paraId="018DF7C1" w14:textId="77DECC64" w:rsidR="00324F98" w:rsidRPr="005B702B" w:rsidRDefault="000B433F" w:rsidP="008B30D4">
      <w:pPr>
        <w:pStyle w:val="Heading1"/>
        <w:rPr>
          <w:rFonts w:cs="Times New Roman"/>
          <w:sz w:val="28"/>
          <w:szCs w:val="28"/>
        </w:rPr>
      </w:pPr>
      <w:r w:rsidRPr="005B702B">
        <w:rPr>
          <w:rFonts w:cs="Times New Roman"/>
          <w:sz w:val="28"/>
          <w:szCs w:val="28"/>
        </w:rPr>
        <w:lastRenderedPageBreak/>
        <w:t>REFERENCES</w:t>
      </w:r>
    </w:p>
    <w:p w14:paraId="5FF5EF1C" w14:textId="468C07B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Anand, M. G. (2024). </w:t>
      </w:r>
      <w:r w:rsidRPr="005B702B">
        <w:rPr>
          <w:rFonts w:cs="Times New Roman"/>
          <w:i/>
          <w:iCs/>
          <w:sz w:val="22"/>
          <w:szCs w:val="22"/>
        </w:rPr>
        <w:t>Navigating the Dynamics of Indian Economic Growth: A Critical Analysis of Recent Tax Policy Reforms</w:t>
      </w:r>
      <w:r w:rsidRPr="005B702B">
        <w:rPr>
          <w:rFonts w:cs="Times New Roman"/>
          <w:sz w:val="22"/>
          <w:szCs w:val="22"/>
        </w:rPr>
        <w:t xml:space="preserve">. </w:t>
      </w:r>
      <w:r w:rsidRPr="005B702B">
        <w:rPr>
          <w:rFonts w:cs="Times New Roman"/>
          <w:i/>
          <w:iCs/>
          <w:sz w:val="22"/>
          <w:szCs w:val="22"/>
        </w:rPr>
        <w:t>ShodhKosh: Journal of Visual and Performing Arts</w:t>
      </w:r>
      <w:r w:rsidRPr="005B702B">
        <w:rPr>
          <w:rFonts w:cs="Times New Roman"/>
          <w:sz w:val="22"/>
          <w:szCs w:val="22"/>
        </w:rPr>
        <w:t xml:space="preserve">, 5(4), 784-788. </w:t>
      </w:r>
      <w:hyperlink r:id="rId10" w:tgtFrame="_blank" w:history="1">
        <w:r w:rsidRPr="005B702B">
          <w:rPr>
            <w:rStyle w:val="Hyperlink"/>
            <w:rFonts w:cs="Times New Roman"/>
            <w:sz w:val="22"/>
            <w:szCs w:val="22"/>
          </w:rPr>
          <w:t>Granthaalayah Publication</w:t>
        </w:r>
      </w:hyperlink>
    </w:p>
    <w:p w14:paraId="78DD6943" w14:textId="1060B544"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As GST 2.0 Kicks In What Changes for Consumers and Industry. (2025, September). </w:t>
      </w:r>
      <w:r w:rsidRPr="005B702B">
        <w:rPr>
          <w:rFonts w:cs="Times New Roman"/>
          <w:i/>
          <w:iCs/>
          <w:sz w:val="22"/>
          <w:szCs w:val="22"/>
        </w:rPr>
        <w:t>Indian Express</w:t>
      </w:r>
      <w:r w:rsidRPr="005B702B">
        <w:rPr>
          <w:rFonts w:cs="Times New Roman"/>
          <w:sz w:val="22"/>
          <w:szCs w:val="22"/>
        </w:rPr>
        <w:t xml:space="preserve">. Retrieved from </w:t>
      </w:r>
      <w:hyperlink r:id="rId11" w:history="1">
        <w:r w:rsidR="007C7E5A" w:rsidRPr="005B702B">
          <w:rPr>
            <w:rStyle w:val="Hyperlink"/>
            <w:rFonts w:cs="Times New Roman"/>
            <w:sz w:val="22"/>
            <w:szCs w:val="22"/>
          </w:rPr>
          <w:t>https://indianexpress.com/article/explained/explained-economics/gst-2-changes-consumers-industry-10264788/</w:t>
        </w:r>
      </w:hyperlink>
    </w:p>
    <w:p w14:paraId="338F3C62" w14:textId="33AD3E9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Awasthi, R., Akhtar, M., &amp; Khan, F. S. (2023). </w:t>
      </w:r>
      <w:r w:rsidRPr="005B702B">
        <w:rPr>
          <w:rFonts w:cs="Times New Roman"/>
          <w:i/>
          <w:iCs/>
          <w:sz w:val="22"/>
          <w:szCs w:val="22"/>
        </w:rPr>
        <w:t>The Impact of Goods and Services Tax on Sustainability in the Indian Handicraft Sector: A Mini-Review</w:t>
      </w:r>
      <w:r w:rsidRPr="005B702B">
        <w:rPr>
          <w:rFonts w:cs="Times New Roman"/>
          <w:sz w:val="22"/>
          <w:szCs w:val="22"/>
        </w:rPr>
        <w:t xml:space="preserve">. </w:t>
      </w:r>
      <w:r w:rsidRPr="005B702B">
        <w:rPr>
          <w:rFonts w:cs="Times New Roman"/>
          <w:i/>
          <w:iCs/>
          <w:sz w:val="22"/>
          <w:szCs w:val="22"/>
        </w:rPr>
        <w:t>Journal of Computers, Mechanical and Management</w:t>
      </w:r>
      <w:r w:rsidRPr="005B702B">
        <w:rPr>
          <w:rFonts w:cs="Times New Roman"/>
          <w:sz w:val="22"/>
          <w:szCs w:val="22"/>
        </w:rPr>
        <w:t xml:space="preserve">, 2(4), 29-34. </w:t>
      </w:r>
      <w:hyperlink r:id="rId12" w:tgtFrame="_blank" w:history="1">
        <w:r w:rsidRPr="005B702B">
          <w:rPr>
            <w:rStyle w:val="Hyperlink"/>
            <w:rFonts w:cs="Times New Roman"/>
            <w:sz w:val="22"/>
            <w:szCs w:val="22"/>
          </w:rPr>
          <w:t>jcmm.co.in</w:t>
        </w:r>
      </w:hyperlink>
    </w:p>
    <w:p w14:paraId="2F65C2A0" w14:textId="0856EC9D"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Business Standard. (2025, August). </w:t>
      </w:r>
      <w:r w:rsidRPr="005B702B">
        <w:rPr>
          <w:rFonts w:cs="Times New Roman"/>
          <w:i/>
          <w:iCs/>
          <w:sz w:val="22"/>
          <w:szCs w:val="22"/>
        </w:rPr>
        <w:t>GST Reforms in India: A Game Changer for Families and Businesses</w:t>
      </w:r>
      <w:r w:rsidRPr="005B702B">
        <w:rPr>
          <w:rFonts w:cs="Times New Roman"/>
          <w:sz w:val="22"/>
          <w:szCs w:val="22"/>
        </w:rPr>
        <w:t xml:space="preserve">. Retrieved from </w:t>
      </w:r>
      <w:hyperlink r:id="rId13" w:history="1">
        <w:r w:rsidR="007C7E5A" w:rsidRPr="005B702B">
          <w:rPr>
            <w:rStyle w:val="Hyperlink"/>
            <w:rFonts w:cs="Times New Roman"/>
            <w:sz w:val="22"/>
            <w:szCs w:val="22"/>
          </w:rPr>
          <w:t>https://www.business-standard.com/economy/news/gst-reforms-in-india-a-game-changer-for-families-and-businesses-125082601082_1.html</w:t>
        </w:r>
      </w:hyperlink>
    </w:p>
    <w:p w14:paraId="0690403F" w14:textId="0BB810B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ConventusLaw. (2025). </w:t>
      </w:r>
      <w:r w:rsidRPr="005B702B">
        <w:rPr>
          <w:rFonts w:cs="Times New Roman"/>
          <w:i/>
          <w:iCs/>
          <w:sz w:val="22"/>
          <w:szCs w:val="22"/>
        </w:rPr>
        <w:t>GST 2025: A brave new chapter in India’s tax reform</w:t>
      </w:r>
      <w:r w:rsidRPr="005B702B">
        <w:rPr>
          <w:rFonts w:cs="Times New Roman"/>
          <w:sz w:val="22"/>
          <w:szCs w:val="22"/>
        </w:rPr>
        <w:t>. Retrieved from https://conventuslaw.com/report/gst-2025-a-brave-new-chapter-in-indias-tax-reform/</w:t>
      </w:r>
    </w:p>
    <w:p w14:paraId="23F43EF5"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Deloitte India. (2025, June). </w:t>
      </w:r>
      <w:r w:rsidRPr="005B702B">
        <w:rPr>
          <w:rFonts w:cs="Times New Roman"/>
          <w:i/>
          <w:iCs/>
          <w:sz w:val="22"/>
          <w:szCs w:val="22"/>
        </w:rPr>
        <w:t>India Inc. embraces GST: 85 percent of respondents show positive sentiment as industry charts path for GST 2.0</w:t>
      </w:r>
      <w:r w:rsidRPr="005B702B">
        <w:rPr>
          <w:rFonts w:cs="Times New Roman"/>
          <w:sz w:val="22"/>
          <w:szCs w:val="22"/>
        </w:rPr>
        <w:t xml:space="preserve">. Deloitte Newsroom. Retrieved from </w:t>
      </w:r>
      <w:hyperlink r:id="rId14" w:tgtFrame="_new" w:history="1">
        <w:r w:rsidRPr="005B702B">
          <w:rPr>
            <w:rStyle w:val="Hyperlink"/>
            <w:rFonts w:cs="Times New Roman"/>
            <w:sz w:val="22"/>
            <w:szCs w:val="22"/>
          </w:rPr>
          <w:t>https://www.deloitte.com/in/en/about/press-room/india-inc-embraces-gst.html</w:t>
        </w:r>
      </w:hyperlink>
      <w:r w:rsidRPr="005B702B">
        <w:rPr>
          <w:rFonts w:cs="Times New Roman"/>
          <w:sz w:val="22"/>
          <w:szCs w:val="22"/>
        </w:rPr>
        <w:t xml:space="preserve"> </w:t>
      </w:r>
      <w:hyperlink r:id="rId15" w:tgtFrame="_blank" w:history="1">
        <w:r w:rsidRPr="005B702B">
          <w:rPr>
            <w:rStyle w:val="Hyperlink"/>
            <w:rFonts w:cs="Times New Roman"/>
            <w:sz w:val="22"/>
            <w:szCs w:val="22"/>
          </w:rPr>
          <w:t>Deloitte</w:t>
        </w:r>
      </w:hyperlink>
    </w:p>
    <w:p w14:paraId="5563649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DrishtiIAS. (2025, September). </w:t>
      </w:r>
      <w:r w:rsidRPr="005B702B">
        <w:rPr>
          <w:rFonts w:cs="Times New Roman"/>
          <w:i/>
          <w:iCs/>
          <w:sz w:val="22"/>
          <w:szCs w:val="22"/>
        </w:rPr>
        <w:t>GST 2.0 – Balancing growth and fiscal prudence</w:t>
      </w:r>
      <w:r w:rsidRPr="005B702B">
        <w:rPr>
          <w:rFonts w:cs="Times New Roman"/>
          <w:sz w:val="22"/>
          <w:szCs w:val="22"/>
        </w:rPr>
        <w:t xml:space="preserve">. Retrieved from </w:t>
      </w:r>
      <w:hyperlink r:id="rId16" w:tgtFrame="_new" w:history="1">
        <w:r w:rsidRPr="005B702B">
          <w:rPr>
            <w:rStyle w:val="Hyperlink"/>
            <w:rFonts w:cs="Times New Roman"/>
            <w:sz w:val="22"/>
            <w:szCs w:val="22"/>
          </w:rPr>
          <w:t>https://www.drishtiias.com/daily-updates/daily-news-editorials/gst-2-0-balancing-growth-and-fiscal-prudence</w:t>
        </w:r>
      </w:hyperlink>
    </w:p>
    <w:p w14:paraId="6115D3FC"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DrishtiIAS. (2025, September). </w:t>
      </w:r>
      <w:r w:rsidRPr="005B702B">
        <w:rPr>
          <w:rFonts w:cs="Times New Roman"/>
          <w:i/>
          <w:iCs/>
          <w:sz w:val="22"/>
          <w:szCs w:val="22"/>
        </w:rPr>
        <w:t>What are the Key Tax Reforms Under GST 2.0?</w:t>
      </w:r>
      <w:r w:rsidRPr="005B702B">
        <w:rPr>
          <w:rFonts w:cs="Times New Roman"/>
          <w:sz w:val="22"/>
          <w:szCs w:val="22"/>
        </w:rPr>
        <w:t xml:space="preserve"> Retrieved from </w:t>
      </w:r>
      <w:hyperlink r:id="rId17" w:tgtFrame="_new" w:history="1">
        <w:r w:rsidRPr="005B702B">
          <w:rPr>
            <w:rStyle w:val="Hyperlink"/>
            <w:rFonts w:cs="Times New Roman"/>
            <w:sz w:val="22"/>
            <w:szCs w:val="22"/>
          </w:rPr>
          <w:t>https://www.drishtiias.com/current-affairs-news-analysis-editorials/news-analysis/04-09-2025</w:t>
        </w:r>
      </w:hyperlink>
      <w:r w:rsidRPr="005B702B">
        <w:rPr>
          <w:rFonts w:cs="Times New Roman"/>
          <w:sz w:val="22"/>
          <w:szCs w:val="22"/>
        </w:rPr>
        <w:t xml:space="preserve"> </w:t>
      </w:r>
      <w:hyperlink r:id="rId18" w:tgtFrame="_blank" w:history="1">
        <w:r w:rsidRPr="005B702B">
          <w:rPr>
            <w:rStyle w:val="Hyperlink"/>
            <w:rFonts w:cs="Times New Roman"/>
            <w:sz w:val="22"/>
            <w:szCs w:val="22"/>
          </w:rPr>
          <w:t>Drishti IAS</w:t>
        </w:r>
      </w:hyperlink>
    </w:p>
    <w:p w14:paraId="1D72451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19"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43D03A7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0"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26600E9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Landmark GST reforms to boost business, cut prices, drive consumption growth: RBI Bulletin</w:t>
      </w:r>
      <w:r w:rsidRPr="005B702B">
        <w:rPr>
          <w:rFonts w:cs="Times New Roman"/>
          <w:sz w:val="22"/>
          <w:szCs w:val="22"/>
        </w:rPr>
        <w:t xml:space="preserve">. Retrieved from </w:t>
      </w:r>
      <w:hyperlink r:id="rId21" w:tgtFrame="_new" w:history="1">
        <w:r w:rsidRPr="005B702B">
          <w:rPr>
            <w:rStyle w:val="Hyperlink"/>
            <w:rFonts w:cs="Times New Roman"/>
            <w:sz w:val="22"/>
            <w:szCs w:val="22"/>
          </w:rPr>
          <w:t>https://m.economictimes.com/news/economy/policy/landmark-gst-reforms-to-boost-business-cut-prices-drive-consumption-growth-rbi-bulletin/articleshow/124094717.cms</w:t>
        </w:r>
      </w:hyperlink>
    </w:p>
    <w:p w14:paraId="67096CE6" w14:textId="6E81FE2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Fitch Ratings. (2025, September). </w:t>
      </w:r>
      <w:r w:rsidRPr="005B702B">
        <w:rPr>
          <w:rFonts w:cs="Times New Roman"/>
          <w:i/>
          <w:iCs/>
          <w:sz w:val="22"/>
          <w:szCs w:val="22"/>
        </w:rPr>
        <w:t>India’s GST Reforms Generally Positive for Consumption-Focused Issuers</w:t>
      </w:r>
      <w:r w:rsidRPr="005B702B">
        <w:rPr>
          <w:rFonts w:cs="Times New Roman"/>
          <w:sz w:val="22"/>
          <w:szCs w:val="22"/>
        </w:rPr>
        <w:t xml:space="preserve">. Retrieved from </w:t>
      </w:r>
      <w:hyperlink r:id="rId22" w:history="1">
        <w:r w:rsidR="007C7E5A" w:rsidRPr="005B702B">
          <w:rPr>
            <w:rStyle w:val="Hyperlink"/>
            <w:rFonts w:cs="Times New Roman"/>
            <w:sz w:val="22"/>
            <w:szCs w:val="22"/>
          </w:rPr>
          <w:t>https://www.fitchratings.com/research/corporate-finance/indias-gst-reforms-generally-positive-for-consumption-focused-issuers-10-09-2025</w:t>
        </w:r>
      </w:hyperlink>
    </w:p>
    <w:p w14:paraId="65A98AD7" w14:textId="45D3BD1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GKToday. (2025, September). </w:t>
      </w:r>
      <w:r w:rsidRPr="005B702B">
        <w:rPr>
          <w:rFonts w:cs="Times New Roman"/>
          <w:i/>
          <w:iCs/>
          <w:sz w:val="22"/>
          <w:szCs w:val="22"/>
        </w:rPr>
        <w:t>GST 2.0 Reforms Simplify Taxation and Boost Consumption</w:t>
      </w:r>
      <w:r w:rsidRPr="005B702B">
        <w:rPr>
          <w:rFonts w:cs="Times New Roman"/>
          <w:sz w:val="22"/>
          <w:szCs w:val="22"/>
        </w:rPr>
        <w:t xml:space="preserve">. Retrieved from </w:t>
      </w:r>
      <w:hyperlink r:id="rId23" w:tgtFrame="_new" w:history="1">
        <w:r w:rsidRPr="005B702B">
          <w:rPr>
            <w:rStyle w:val="Hyperlink"/>
            <w:rFonts w:cs="Times New Roman"/>
            <w:sz w:val="22"/>
            <w:szCs w:val="22"/>
          </w:rPr>
          <w:t>https://www.gktoday.in/gst-2-0-reforms-simplify-taxation-and-boost-consumption/</w:t>
        </w:r>
      </w:hyperlink>
      <w:r w:rsidRPr="005B702B">
        <w:rPr>
          <w:rFonts w:cs="Times New Roman"/>
          <w:sz w:val="22"/>
          <w:szCs w:val="22"/>
        </w:rPr>
        <w:t xml:space="preserve"> </w:t>
      </w:r>
      <w:hyperlink r:id="rId24" w:tgtFrame="_blank" w:history="1">
        <w:r w:rsidRPr="005B702B">
          <w:rPr>
            <w:rStyle w:val="Hyperlink"/>
            <w:rFonts w:cs="Times New Roman"/>
            <w:sz w:val="22"/>
            <w:szCs w:val="22"/>
          </w:rPr>
          <w:t>GKToday</w:t>
        </w:r>
      </w:hyperlink>
    </w:p>
    <w:p w14:paraId="344052D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IBEF. (2025, June 24). </w:t>
      </w:r>
      <w:r w:rsidRPr="005B702B">
        <w:rPr>
          <w:rFonts w:cs="Times New Roman"/>
          <w:i/>
          <w:iCs/>
          <w:sz w:val="22"/>
          <w:szCs w:val="22"/>
        </w:rPr>
        <w:t>Industry finds GST beneficial, seeks clarity and dispute reform: Survey</w:t>
      </w:r>
      <w:r w:rsidRPr="005B702B">
        <w:rPr>
          <w:rFonts w:cs="Times New Roman"/>
          <w:sz w:val="22"/>
          <w:szCs w:val="22"/>
        </w:rPr>
        <w:t xml:space="preserve">. Retrieved from </w:t>
      </w:r>
      <w:hyperlink r:id="rId25" w:tgtFrame="_new" w:history="1">
        <w:r w:rsidRPr="005B702B">
          <w:rPr>
            <w:rStyle w:val="Hyperlink"/>
            <w:rFonts w:cs="Times New Roman"/>
            <w:sz w:val="22"/>
            <w:szCs w:val="22"/>
          </w:rPr>
          <w:t>https://www.ibef.org/news/industry-finds-gst-beneficial-seeks-clarity-and-dispute-reform-survey</w:t>
        </w:r>
      </w:hyperlink>
      <w:r w:rsidRPr="005B702B">
        <w:rPr>
          <w:rFonts w:cs="Times New Roman"/>
          <w:sz w:val="22"/>
          <w:szCs w:val="22"/>
        </w:rPr>
        <w:t xml:space="preserve"> </w:t>
      </w:r>
      <w:hyperlink r:id="rId26" w:tgtFrame="_blank" w:history="1">
        <w:r w:rsidRPr="005B702B">
          <w:rPr>
            <w:rStyle w:val="Hyperlink"/>
            <w:rFonts w:cs="Times New Roman"/>
            <w:sz w:val="22"/>
            <w:szCs w:val="22"/>
          </w:rPr>
          <w:t>India Brand Equity Foundation</w:t>
        </w:r>
      </w:hyperlink>
    </w:p>
    <w:p w14:paraId="5B91CC07" w14:textId="4C32621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7" w:history="1">
        <w:r w:rsidR="007C7E5A" w:rsidRPr="005B702B">
          <w:rPr>
            <w:rStyle w:val="Hyperlink"/>
            <w:rFonts w:cs="Times New Roman"/>
            <w:sz w:val="22"/>
            <w:szCs w:val="22"/>
          </w:rPr>
          <w:t>https://www.india-briefing.com/news/gst-cess-removal-india-2025-business-benefits-39879.html</w:t>
        </w:r>
      </w:hyperlink>
    </w:p>
    <w:p w14:paraId="56CE10AF" w14:textId="4DF3DB20" w:rsidR="007C7E5A"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8" w:history="1">
        <w:r w:rsidR="007C7E5A" w:rsidRPr="005B702B">
          <w:rPr>
            <w:rStyle w:val="Hyperlink"/>
            <w:rFonts w:cs="Times New Roman"/>
            <w:sz w:val="22"/>
            <w:szCs w:val="22"/>
          </w:rPr>
          <w:t>https://www.india-briefing.com/news/gst-cess-removal-india-2025-business-benefits-39879.html</w:t>
        </w:r>
      </w:hyperlink>
    </w:p>
    <w:p w14:paraId="1A336415" w14:textId="793DE76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9" w:history="1">
        <w:r w:rsidR="007C7E5A" w:rsidRPr="005B702B">
          <w:rPr>
            <w:rStyle w:val="Hyperlink"/>
            <w:rFonts w:cs="Times New Roman"/>
            <w:sz w:val="22"/>
            <w:szCs w:val="22"/>
          </w:rPr>
          <w:t>https://www.india-briefing.com/news/gst-cess-removal-india-2025-business-benefits-39879.html</w:t>
        </w:r>
      </w:hyperlink>
    </w:p>
    <w:p w14:paraId="6FBFB14B" w14:textId="11879A3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Invest India. (2025, August). </w:t>
      </w:r>
      <w:r w:rsidRPr="005B702B">
        <w:rPr>
          <w:rFonts w:cs="Times New Roman"/>
          <w:i/>
          <w:iCs/>
          <w:sz w:val="22"/>
          <w:szCs w:val="22"/>
        </w:rPr>
        <w:t>How India’s tax reforms are shaping the investment landscape</w:t>
      </w:r>
      <w:r w:rsidRPr="005B702B">
        <w:rPr>
          <w:rFonts w:cs="Times New Roman"/>
          <w:sz w:val="22"/>
          <w:szCs w:val="22"/>
        </w:rPr>
        <w:t xml:space="preserve">. Retrieved from </w:t>
      </w:r>
      <w:hyperlink r:id="rId30" w:tgtFrame="_new" w:history="1">
        <w:r w:rsidRPr="005B702B">
          <w:rPr>
            <w:rStyle w:val="Hyperlink"/>
            <w:rFonts w:cs="Times New Roman"/>
            <w:sz w:val="22"/>
            <w:szCs w:val="22"/>
          </w:rPr>
          <w:t>https://www.investindia.gov.in/team-india-blogs/how-indias-tax-reforms-are-shaping-investment-landscape</w:t>
        </w:r>
      </w:hyperlink>
    </w:p>
    <w:p w14:paraId="28017193" w14:textId="275159D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Jaid, R., &amp; Lahoti, Y. (2023). </w:t>
      </w:r>
      <w:r w:rsidRPr="005B702B">
        <w:rPr>
          <w:rFonts w:cs="Times New Roman"/>
          <w:i/>
          <w:iCs/>
          <w:sz w:val="22"/>
          <w:szCs w:val="22"/>
        </w:rPr>
        <w:t>The Influence of GST on the Indian Economic Landscape: An Exploratory Study</w:t>
      </w:r>
      <w:r w:rsidRPr="005B702B">
        <w:rPr>
          <w:rFonts w:cs="Times New Roman"/>
          <w:sz w:val="22"/>
          <w:szCs w:val="22"/>
        </w:rPr>
        <w:t xml:space="preserve">. </w:t>
      </w:r>
      <w:r w:rsidRPr="005B702B">
        <w:rPr>
          <w:rFonts w:cs="Times New Roman"/>
          <w:i/>
          <w:iCs/>
          <w:sz w:val="22"/>
          <w:szCs w:val="22"/>
        </w:rPr>
        <w:t>Journal for ReAttach Therapy and Developmental Diversities</w:t>
      </w:r>
      <w:r w:rsidRPr="005B702B">
        <w:rPr>
          <w:rFonts w:cs="Times New Roman"/>
          <w:sz w:val="22"/>
          <w:szCs w:val="22"/>
        </w:rPr>
        <w:t xml:space="preserve">, 6(1), 969-973. </w:t>
      </w:r>
      <w:hyperlink r:id="rId31" w:tgtFrame="_blank" w:history="1">
        <w:r w:rsidRPr="005B702B">
          <w:rPr>
            <w:rStyle w:val="Hyperlink"/>
            <w:rFonts w:cs="Times New Roman"/>
            <w:sz w:val="22"/>
            <w:szCs w:val="22"/>
          </w:rPr>
          <w:t>jrtdd.com</w:t>
        </w:r>
      </w:hyperlink>
    </w:p>
    <w:p w14:paraId="5A6EDA76"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Sage Publications. </w:t>
      </w:r>
      <w:hyperlink r:id="rId32" w:tgtFrame="_blank" w:history="1">
        <w:r w:rsidRPr="005B702B">
          <w:rPr>
            <w:rStyle w:val="Hyperlink"/>
            <w:rFonts w:cs="Times New Roman"/>
            <w:sz w:val="22"/>
            <w:szCs w:val="22"/>
          </w:rPr>
          <w:t>SAGE Journals</w:t>
        </w:r>
      </w:hyperlink>
    </w:p>
    <w:p w14:paraId="69BFB456" w14:textId="281C11C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w:t>
      </w:r>
      <w:r w:rsidRPr="005B702B">
        <w:rPr>
          <w:rFonts w:cs="Times New Roman"/>
          <w:i/>
          <w:iCs/>
          <w:sz w:val="22"/>
          <w:szCs w:val="22"/>
        </w:rPr>
        <w:t>Indian Economic Journal</w:t>
      </w:r>
      <w:r w:rsidRPr="005B702B">
        <w:rPr>
          <w:rFonts w:cs="Times New Roman"/>
          <w:sz w:val="22"/>
          <w:szCs w:val="22"/>
        </w:rPr>
        <w:t xml:space="preserve">, 71(1). </w:t>
      </w:r>
      <w:hyperlink r:id="rId33" w:tgtFrame="_new" w:history="1">
        <w:r w:rsidRPr="005B702B">
          <w:rPr>
            <w:rStyle w:val="Hyperlink"/>
            <w:rFonts w:cs="Times New Roman"/>
            <w:sz w:val="22"/>
            <w:szCs w:val="22"/>
          </w:rPr>
          <w:t>https://journals.sagepub.com/doi/10.1177/00194662221146640</w:t>
        </w:r>
      </w:hyperlink>
    </w:p>
    <w:p w14:paraId="7A762E6A" w14:textId="1282C8B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Kanojia, C., &amp; Gautam, S. (2023). </w:t>
      </w:r>
      <w:r w:rsidRPr="005B702B">
        <w:rPr>
          <w:rFonts w:cs="Times New Roman"/>
          <w:i/>
          <w:iCs/>
          <w:sz w:val="22"/>
          <w:szCs w:val="22"/>
        </w:rPr>
        <w:t>GST Compensation Cess in Light of the Recent Financial Developments</w:t>
      </w:r>
      <w:r w:rsidRPr="005B702B">
        <w:rPr>
          <w:rFonts w:cs="Times New Roman"/>
          <w:sz w:val="22"/>
          <w:szCs w:val="22"/>
        </w:rPr>
        <w:t xml:space="preserve">. </w:t>
      </w:r>
      <w:r w:rsidRPr="005B702B">
        <w:rPr>
          <w:rFonts w:cs="Times New Roman"/>
          <w:i/>
          <w:iCs/>
          <w:sz w:val="22"/>
          <w:szCs w:val="22"/>
        </w:rPr>
        <w:t>Vision: Journal of Indian Taxation</w:t>
      </w:r>
      <w:r w:rsidRPr="005B702B">
        <w:rPr>
          <w:rFonts w:cs="Times New Roman"/>
          <w:sz w:val="22"/>
          <w:szCs w:val="22"/>
        </w:rPr>
        <w:t xml:space="preserve">, 10(1). Retrieved from </w:t>
      </w:r>
      <w:hyperlink r:id="rId34" w:tgtFrame="_new" w:history="1">
        <w:r w:rsidRPr="005B702B">
          <w:rPr>
            <w:rStyle w:val="Hyperlink"/>
            <w:rFonts w:cs="Times New Roman"/>
            <w:sz w:val="22"/>
            <w:szCs w:val="22"/>
          </w:rPr>
          <w:t>https://www.journalpressindia.com/vision-journal-of-indian-taxation/doi/10.17492/jpi.vision.v10i1.1012306</w:t>
        </w:r>
      </w:hyperlink>
    </w:p>
    <w:p w14:paraId="22DF9D48" w14:textId="3E5A0764"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Kesari, N. (2025). </w:t>
      </w:r>
      <w:r w:rsidRPr="005B702B">
        <w:rPr>
          <w:rFonts w:cs="Times New Roman"/>
          <w:i/>
          <w:iCs/>
          <w:sz w:val="22"/>
          <w:szCs w:val="22"/>
        </w:rPr>
        <w:t>GST Implementation and its Impact on Small Business Tax Compliance Costs in India</w:t>
      </w:r>
      <w:r w:rsidRPr="005B702B">
        <w:rPr>
          <w:rFonts w:cs="Times New Roman"/>
          <w:sz w:val="22"/>
          <w:szCs w:val="22"/>
        </w:rPr>
        <w:t xml:space="preserve">. Journal of Information Systems Engineering and Management. Retrieved from </w:t>
      </w:r>
      <w:hyperlink r:id="rId35" w:tgtFrame="_blank" w:history="1">
        <w:r w:rsidRPr="005B702B">
          <w:rPr>
            <w:rStyle w:val="Hyperlink"/>
            <w:rFonts w:cs="Times New Roman"/>
            <w:sz w:val="22"/>
            <w:szCs w:val="22"/>
          </w:rPr>
          <w:t>JISEM</w:t>
        </w:r>
      </w:hyperlink>
    </w:p>
    <w:p w14:paraId="734CE2CF" w14:textId="2F4AC83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Lexology. (2025, September). </w:t>
      </w:r>
      <w:r w:rsidRPr="005B702B">
        <w:rPr>
          <w:rFonts w:cs="Times New Roman"/>
          <w:i/>
          <w:iCs/>
          <w:sz w:val="22"/>
          <w:szCs w:val="22"/>
        </w:rPr>
        <w:t>GST 2.0 Reforms: Anti-Profiteering Provisions on a Possible Revival Path</w:t>
      </w:r>
      <w:r w:rsidRPr="005B702B">
        <w:rPr>
          <w:rFonts w:cs="Times New Roman"/>
          <w:sz w:val="22"/>
          <w:szCs w:val="22"/>
        </w:rPr>
        <w:t xml:space="preserve">. Retrieved from </w:t>
      </w:r>
      <w:hyperlink r:id="rId36" w:history="1">
        <w:r w:rsidR="007C7E5A" w:rsidRPr="005B702B">
          <w:rPr>
            <w:rStyle w:val="Hyperlink"/>
            <w:rFonts w:cs="Times New Roman"/>
            <w:sz w:val="22"/>
            <w:szCs w:val="22"/>
          </w:rPr>
          <w:t>https://www.lexology.com/library/detail.aspx?g=c5191a4a-83d3-4c49-a3a5-95d50ca7df42</w:t>
        </w:r>
      </w:hyperlink>
    </w:p>
    <w:p w14:paraId="0FB30D1B" w14:textId="2F4E8B90"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Mehta, D., &amp; Mukherjee, S. (2021). </w:t>
      </w:r>
      <w:r w:rsidRPr="005B702B">
        <w:rPr>
          <w:rFonts w:cs="Times New Roman"/>
          <w:i/>
          <w:iCs/>
          <w:sz w:val="22"/>
          <w:szCs w:val="22"/>
        </w:rPr>
        <w:t>Emerging Issues in GST Law and Procedures: An Assessment</w:t>
      </w:r>
      <w:r w:rsidRPr="005B702B">
        <w:rPr>
          <w:rFonts w:cs="Times New Roman"/>
          <w:sz w:val="22"/>
          <w:szCs w:val="22"/>
        </w:rPr>
        <w:t xml:space="preserve"> (Working Paper No. 21/347). National Institute of Public Finance and Policy. </w:t>
      </w:r>
      <w:hyperlink r:id="rId37" w:tgtFrame="_blank" w:history="1">
        <w:r w:rsidRPr="005B702B">
          <w:rPr>
            <w:rStyle w:val="Hyperlink"/>
            <w:rFonts w:cs="Times New Roman"/>
            <w:sz w:val="22"/>
            <w:szCs w:val="22"/>
          </w:rPr>
          <w:t>IDEAS/RePEc</w:t>
        </w:r>
      </w:hyperlink>
    </w:p>
    <w:p w14:paraId="630A83AC"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MSMEStory. (2025). </w:t>
      </w:r>
      <w:r w:rsidRPr="005B702B">
        <w:rPr>
          <w:rFonts w:cs="Times New Roman"/>
          <w:i/>
          <w:iCs/>
          <w:sz w:val="22"/>
          <w:szCs w:val="22"/>
        </w:rPr>
        <w:t>GST Reforms 2025: Simplified Slabs, Consumer Relief &amp; MSME Empowerment</w:t>
      </w:r>
      <w:r w:rsidRPr="005B702B">
        <w:rPr>
          <w:rFonts w:cs="Times New Roman"/>
          <w:sz w:val="22"/>
          <w:szCs w:val="22"/>
        </w:rPr>
        <w:t xml:space="preserve">. Retrieved from </w:t>
      </w:r>
      <w:hyperlink r:id="rId38" w:tgtFrame="_new" w:history="1">
        <w:r w:rsidRPr="005B702B">
          <w:rPr>
            <w:rStyle w:val="Hyperlink"/>
            <w:rFonts w:cs="Times New Roman"/>
            <w:sz w:val="22"/>
            <w:szCs w:val="22"/>
          </w:rPr>
          <w:t>https://msmestory.com/business-updates/gst-reforms-simplified-new-rates</w:t>
        </w:r>
      </w:hyperlink>
      <w:r w:rsidRPr="005B702B">
        <w:rPr>
          <w:rFonts w:cs="Times New Roman"/>
          <w:sz w:val="22"/>
          <w:szCs w:val="22"/>
        </w:rPr>
        <w:t xml:space="preserve"> </w:t>
      </w:r>
      <w:hyperlink r:id="rId39" w:tgtFrame="_blank" w:history="1">
        <w:r w:rsidRPr="005B702B">
          <w:rPr>
            <w:rStyle w:val="Hyperlink"/>
            <w:rFonts w:cs="Times New Roman"/>
            <w:sz w:val="22"/>
            <w:szCs w:val="22"/>
          </w:rPr>
          <w:t>MSMEStory</w:t>
        </w:r>
      </w:hyperlink>
    </w:p>
    <w:p w14:paraId="256A468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GST 2.0 Takes Effect, Food, Cars, TVs Become Cheaper</w:t>
      </w:r>
      <w:r w:rsidRPr="005B702B">
        <w:rPr>
          <w:rFonts w:cs="Times New Roman"/>
          <w:sz w:val="22"/>
          <w:szCs w:val="22"/>
        </w:rPr>
        <w:t xml:space="preserve">. Retrieved from </w:t>
      </w:r>
      <w:hyperlink r:id="rId40"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920C29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New GST Rates Highlights: GST 2.0 takes effect, food, cars, TVs become cheaper</w:t>
      </w:r>
      <w:r w:rsidRPr="005B702B">
        <w:rPr>
          <w:rFonts w:cs="Times New Roman"/>
          <w:sz w:val="22"/>
          <w:szCs w:val="22"/>
        </w:rPr>
        <w:t xml:space="preserve">. Retrieved from </w:t>
      </w:r>
      <w:hyperlink r:id="rId41"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8D53BD8"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Neetha Sai, M., &amp; Sundar, V. (2024). </w:t>
      </w:r>
      <w:r w:rsidRPr="005B702B">
        <w:rPr>
          <w:rFonts w:cs="Times New Roman"/>
          <w:i/>
          <w:iCs/>
          <w:sz w:val="22"/>
          <w:szCs w:val="22"/>
        </w:rPr>
        <w:t>GST Practitioners’ Perception of the Complexity of GST Compliance Procedures and Their Satisfaction: A PLS-SEM and IPMA Approach</w:t>
      </w:r>
      <w:r w:rsidRPr="005B702B">
        <w:rPr>
          <w:rFonts w:cs="Times New Roman"/>
          <w:sz w:val="22"/>
          <w:szCs w:val="22"/>
        </w:rPr>
        <w:t xml:space="preserve">. Journal of Information Systems Engineering and Management. </w:t>
      </w:r>
      <w:hyperlink r:id="rId42" w:tgtFrame="_blank" w:history="1">
        <w:r w:rsidRPr="005B702B">
          <w:rPr>
            <w:rStyle w:val="Hyperlink"/>
            <w:rFonts w:cs="Times New Roman"/>
            <w:sz w:val="22"/>
            <w:szCs w:val="22"/>
          </w:rPr>
          <w:t>JISEM</w:t>
        </w:r>
      </w:hyperlink>
    </w:p>
    <w:p w14:paraId="2765C162" w14:textId="199DD08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Ode, D. A. (2025). </w:t>
      </w:r>
      <w:r w:rsidRPr="005B702B">
        <w:rPr>
          <w:rFonts w:cs="Times New Roman"/>
          <w:i/>
          <w:iCs/>
          <w:sz w:val="22"/>
          <w:szCs w:val="22"/>
        </w:rPr>
        <w:t>Impact of the New GST Structure-2025 on the Indian Economy</w:t>
      </w:r>
      <w:r w:rsidRPr="005B702B">
        <w:rPr>
          <w:rFonts w:cs="Times New Roman"/>
          <w:sz w:val="22"/>
          <w:szCs w:val="22"/>
        </w:rPr>
        <w:t xml:space="preserve">. </w:t>
      </w:r>
      <w:r w:rsidRPr="005B702B">
        <w:rPr>
          <w:rFonts w:cs="Times New Roman"/>
          <w:i/>
          <w:iCs/>
          <w:sz w:val="22"/>
          <w:szCs w:val="22"/>
        </w:rPr>
        <w:t>International Journal of Social Impact</w:t>
      </w:r>
      <w:r w:rsidRPr="005B702B">
        <w:rPr>
          <w:rFonts w:cs="Times New Roman"/>
          <w:sz w:val="22"/>
          <w:szCs w:val="22"/>
        </w:rPr>
        <w:t xml:space="preserve">. Retrieved from </w:t>
      </w:r>
      <w:hyperlink r:id="rId43" w:tgtFrame="_new" w:history="1">
        <w:r w:rsidRPr="005B702B">
          <w:rPr>
            <w:rStyle w:val="Hyperlink"/>
            <w:rFonts w:cs="Times New Roman"/>
            <w:sz w:val="22"/>
            <w:szCs w:val="22"/>
          </w:rPr>
          <w:t>https://ijsi.in/articles/gst/</w:t>
        </w:r>
      </w:hyperlink>
    </w:p>
    <w:p w14:paraId="05B8A67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One Hundred and First Amendment to the Constitution of India. (2016). </w:t>
      </w:r>
      <w:r w:rsidRPr="005B702B">
        <w:rPr>
          <w:rFonts w:cs="Times New Roman"/>
          <w:i/>
          <w:iCs/>
          <w:sz w:val="22"/>
          <w:szCs w:val="22"/>
        </w:rPr>
        <w:t>Constitutional amendment introducing GST</w:t>
      </w:r>
      <w:r w:rsidRPr="005B702B">
        <w:rPr>
          <w:rFonts w:cs="Times New Roman"/>
          <w:sz w:val="22"/>
          <w:szCs w:val="22"/>
        </w:rPr>
        <w:t xml:space="preserve">. Retrieved from </w:t>
      </w:r>
      <w:hyperlink r:id="rId44" w:tgtFrame="_new" w:history="1">
        <w:r w:rsidRPr="005B702B">
          <w:rPr>
            <w:rStyle w:val="Hyperlink"/>
            <w:rFonts w:cs="Times New Roman"/>
            <w:sz w:val="22"/>
            <w:szCs w:val="22"/>
          </w:rPr>
          <w:t>https://en.wikipedia.org/wiki/One_Hundred_and_First_Amendment_to_the_Constitution_of_India</w:t>
        </w:r>
      </w:hyperlink>
    </w:p>
    <w:p w14:paraId="17D60EBA" w14:textId="56568A0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Pandey, P. K., &amp; Rana, R. (2021). </w:t>
      </w:r>
      <w:r w:rsidRPr="005B702B">
        <w:rPr>
          <w:rFonts w:cs="Times New Roman"/>
          <w:i/>
          <w:iCs/>
          <w:sz w:val="22"/>
          <w:szCs w:val="22"/>
        </w:rPr>
        <w:t>GST and Ease of Doing Business in India: Bottlenecks and Scope for Further Improvement</w:t>
      </w:r>
      <w:r w:rsidRPr="005B702B">
        <w:rPr>
          <w:rFonts w:cs="Times New Roman"/>
          <w:sz w:val="22"/>
          <w:szCs w:val="22"/>
        </w:rPr>
        <w:t xml:space="preserve">. The Management Accountant Journal, 56(7), 45-47. </w:t>
      </w:r>
      <w:hyperlink r:id="rId45" w:tgtFrame="_blank" w:history="1">
        <w:r w:rsidRPr="005B702B">
          <w:rPr>
            <w:rStyle w:val="Hyperlink"/>
            <w:rFonts w:cs="Times New Roman"/>
            <w:sz w:val="22"/>
            <w:szCs w:val="22"/>
          </w:rPr>
          <w:t>ICMAI RNJ</w:t>
        </w:r>
      </w:hyperlink>
    </w:p>
    <w:p w14:paraId="09FFA89A"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2025: Relief for Common Man, Boost Growth</w:t>
      </w:r>
      <w:r w:rsidRPr="005B702B">
        <w:rPr>
          <w:rFonts w:cs="Times New Roman"/>
          <w:sz w:val="22"/>
          <w:szCs w:val="22"/>
        </w:rPr>
        <w:t xml:space="preserve"> [Press Note]. Retrieved from </w:t>
      </w:r>
      <w:hyperlink r:id="rId46" w:tgtFrame="_new" w:history="1">
        <w:r w:rsidRPr="005B702B">
          <w:rPr>
            <w:rStyle w:val="Hyperlink"/>
            <w:rFonts w:cs="Times New Roman"/>
            <w:sz w:val="22"/>
            <w:szCs w:val="22"/>
          </w:rPr>
          <w:t>https://www.pib.gov.in/PressNoteDetails.aspx?ModuleId=3&amp;NoteId=155151</w:t>
        </w:r>
      </w:hyperlink>
    </w:p>
    <w:p w14:paraId="2FF3C3C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Relief for Common Man, Boost Growth</w:t>
      </w:r>
      <w:r w:rsidRPr="005B702B">
        <w:rPr>
          <w:rFonts w:cs="Times New Roman"/>
          <w:sz w:val="22"/>
          <w:szCs w:val="22"/>
        </w:rPr>
        <w:t xml:space="preserve"> [Press Note]. Retrieved from </w:t>
      </w:r>
      <w:hyperlink r:id="rId47" w:tgtFrame="_new" w:history="1">
        <w:r w:rsidRPr="005B702B">
          <w:rPr>
            <w:rStyle w:val="Hyperlink"/>
            <w:rFonts w:cs="Times New Roman"/>
            <w:sz w:val="22"/>
            <w:szCs w:val="22"/>
          </w:rPr>
          <w:t>https://www.pib.gov.in/PressNoteDetails.aspx?ModuleId=3&amp;NoteId=155151</w:t>
        </w:r>
      </w:hyperlink>
      <w:r w:rsidRPr="005B702B">
        <w:rPr>
          <w:rFonts w:cs="Times New Roman"/>
          <w:sz w:val="22"/>
          <w:szCs w:val="22"/>
        </w:rPr>
        <w:t xml:space="preserve"> (PIB, 2025)</w:t>
      </w:r>
    </w:p>
    <w:p w14:paraId="0C66F469" w14:textId="57EDE67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Pro Analyser. (2025, August 19). </w:t>
      </w:r>
      <w:r w:rsidRPr="005B702B">
        <w:rPr>
          <w:rFonts w:cs="Times New Roman"/>
          <w:i/>
          <w:iCs/>
          <w:sz w:val="22"/>
          <w:szCs w:val="22"/>
        </w:rPr>
        <w:t>GST 2025 Reform Tracker: 3-Tier Rates, IMS, and GSTAT – What to Do This Quarter</w:t>
      </w:r>
      <w:r w:rsidRPr="005B702B">
        <w:rPr>
          <w:rFonts w:cs="Times New Roman"/>
          <w:sz w:val="22"/>
          <w:szCs w:val="22"/>
        </w:rPr>
        <w:t xml:space="preserve">. Retrieved from </w:t>
      </w:r>
      <w:hyperlink r:id="rId48" w:history="1">
        <w:r w:rsidR="007C7E5A" w:rsidRPr="005B702B">
          <w:rPr>
            <w:rStyle w:val="Hyperlink"/>
            <w:rFonts w:cs="Times New Roman"/>
            <w:sz w:val="22"/>
            <w:szCs w:val="22"/>
          </w:rPr>
          <w:t>https://proanalyser.in/gst-reform-2025-cfo-playbook-on-3-tier-gst-rate-gstat-ims/</w:t>
        </w:r>
      </w:hyperlink>
    </w:p>
    <w:p w14:paraId="1557079F" w14:textId="3F571FAD"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PwC. (2025). </w:t>
      </w:r>
      <w:r w:rsidRPr="005B702B">
        <w:rPr>
          <w:rFonts w:cs="Times New Roman"/>
          <w:i/>
          <w:iCs/>
          <w:sz w:val="22"/>
          <w:szCs w:val="22"/>
        </w:rPr>
        <w:t>Eight years of GST: A time to reflect, a time to reform</w:t>
      </w:r>
      <w:r w:rsidRPr="005B702B">
        <w:rPr>
          <w:rFonts w:cs="Times New Roman"/>
          <w:sz w:val="22"/>
          <w:szCs w:val="22"/>
        </w:rPr>
        <w:t xml:space="preserve">. Retrieved from </w:t>
      </w:r>
      <w:hyperlink r:id="rId49" w:tgtFrame="_new" w:history="1">
        <w:r w:rsidRPr="005B702B">
          <w:rPr>
            <w:rStyle w:val="Hyperlink"/>
            <w:rFonts w:cs="Times New Roman"/>
            <w:sz w:val="22"/>
            <w:szCs w:val="22"/>
          </w:rPr>
          <w:t>https://www.pwc.in/assets/pdfs/eight-years-of-gst-a-time-to-reflect-a-time-to-reform-wcag.pdf</w:t>
        </w:r>
      </w:hyperlink>
    </w:p>
    <w:p w14:paraId="40B5B1DA" w14:textId="2648C0D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Rajagopalan, S. (2023). </w:t>
      </w:r>
      <w:r w:rsidRPr="005B702B">
        <w:rPr>
          <w:rFonts w:cs="Times New Roman"/>
          <w:i/>
          <w:iCs/>
          <w:sz w:val="22"/>
          <w:szCs w:val="22"/>
        </w:rPr>
        <w:t>The Equity-Complexity Trade-off in Tax Policy: Lessons from the Goods and Services Tax in India</w:t>
      </w:r>
      <w:r w:rsidRPr="005B702B">
        <w:rPr>
          <w:rFonts w:cs="Times New Roman"/>
          <w:sz w:val="22"/>
          <w:szCs w:val="22"/>
        </w:rPr>
        <w:t xml:space="preserve">. Social Philosophy and Policy. Cambridge University Press. </w:t>
      </w:r>
      <w:hyperlink r:id="rId50" w:tgtFrame="_blank" w:history="1">
        <w:r w:rsidRPr="005B702B">
          <w:rPr>
            <w:rStyle w:val="Hyperlink"/>
            <w:rFonts w:cs="Times New Roman"/>
            <w:sz w:val="22"/>
            <w:szCs w:val="22"/>
          </w:rPr>
          <w:t>Cambridge University Press &amp; Assessment</w:t>
        </w:r>
      </w:hyperlink>
    </w:p>
    <w:p w14:paraId="76AAB4A8" w14:textId="1CAA599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August). </w:t>
      </w:r>
      <w:r w:rsidRPr="005B702B">
        <w:rPr>
          <w:rFonts w:cs="Times New Roman"/>
          <w:i/>
          <w:iCs/>
          <w:sz w:val="22"/>
          <w:szCs w:val="22"/>
        </w:rPr>
        <w:t>India’s complex GST tax and how Modi’s reform will make goods cheaper</w:t>
      </w:r>
      <w:r w:rsidRPr="005B702B">
        <w:rPr>
          <w:rFonts w:cs="Times New Roman"/>
          <w:sz w:val="22"/>
          <w:szCs w:val="22"/>
        </w:rPr>
        <w:t xml:space="preserve">. Retrieved from </w:t>
      </w:r>
      <w:hyperlink r:id="rId51" w:history="1">
        <w:r w:rsidR="007C7E5A" w:rsidRPr="005B702B">
          <w:rPr>
            <w:rStyle w:val="Hyperlink"/>
            <w:rFonts w:cs="Times New Roman"/>
            <w:sz w:val="22"/>
            <w:szCs w:val="22"/>
          </w:rPr>
          <w:t>https://www.reuters.com/world/india/indias-complex-gst-tax-how-modis-reform-will-make-goods-cheaper-2025-08-19/</w:t>
        </w:r>
      </w:hyperlink>
    </w:p>
    <w:p w14:paraId="1B35CAF7" w14:textId="3E1E9E86"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3). </w:t>
      </w:r>
      <w:r w:rsidRPr="005B702B">
        <w:rPr>
          <w:rFonts w:cs="Times New Roman"/>
          <w:i/>
          <w:iCs/>
          <w:sz w:val="22"/>
          <w:szCs w:val="22"/>
        </w:rPr>
        <w:t>India slashes consumption tax on hundreds of items to spur domestic demand</w:t>
      </w:r>
      <w:r w:rsidRPr="005B702B">
        <w:rPr>
          <w:rFonts w:cs="Times New Roman"/>
          <w:sz w:val="22"/>
          <w:szCs w:val="22"/>
        </w:rPr>
        <w:t xml:space="preserve">. Retrieved from </w:t>
      </w:r>
      <w:hyperlink r:id="rId52" w:history="1">
        <w:r w:rsidR="007C7E5A" w:rsidRPr="005B702B">
          <w:rPr>
            <w:rStyle w:val="Hyperlink"/>
            <w:rFonts w:cs="Times New Roman"/>
            <w:sz w:val="22"/>
            <w:szCs w:val="22"/>
          </w:rPr>
          <w:t>https://www.reuters.com/world/india/india-slashes-consumption-tax-hundreds-items-spur-domestic-demand-2025-09-03/</w:t>
        </w:r>
      </w:hyperlink>
    </w:p>
    <w:p w14:paraId="2BE1EEB9" w14:textId="6A35561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4). </w:t>
      </w:r>
      <w:r w:rsidRPr="005B702B">
        <w:rPr>
          <w:rFonts w:cs="Times New Roman"/>
          <w:i/>
          <w:iCs/>
          <w:sz w:val="22"/>
          <w:szCs w:val="22"/>
        </w:rPr>
        <w:t>Winners and losers in India’s sweeping GST overhaul</w:t>
      </w:r>
      <w:r w:rsidRPr="005B702B">
        <w:rPr>
          <w:rFonts w:cs="Times New Roman"/>
          <w:sz w:val="22"/>
          <w:szCs w:val="22"/>
        </w:rPr>
        <w:t>. Retrieved from https://www.reuters.com/world/india/winners-losers-indias-sweeping-gst-overhaul-2025-09-04/</w:t>
      </w:r>
    </w:p>
    <w:p w14:paraId="158FFE2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w:t>
      </w:r>
      <w:r w:rsidRPr="005B702B">
        <w:rPr>
          <w:rFonts w:cs="Times New Roman"/>
          <w:i/>
          <w:iCs/>
          <w:sz w:val="22"/>
          <w:szCs w:val="22"/>
        </w:rPr>
        <w:t>India tax reforms to ease retail prices, boost consumption, RBI bulletin says</w:t>
      </w:r>
      <w:r w:rsidRPr="005B702B">
        <w:rPr>
          <w:rFonts w:cs="Times New Roman"/>
          <w:sz w:val="22"/>
          <w:szCs w:val="22"/>
        </w:rPr>
        <w:t xml:space="preserve">. Retrieved from </w:t>
      </w:r>
      <w:hyperlink r:id="rId53" w:tgtFrame="_new" w:history="1">
        <w:r w:rsidRPr="005B702B">
          <w:rPr>
            <w:rStyle w:val="Hyperlink"/>
            <w:rFonts w:cs="Times New Roman"/>
            <w:sz w:val="22"/>
            <w:szCs w:val="22"/>
          </w:rPr>
          <w:t>https://www.reuters.com/world/india/india-tax-reforms-ease-retail-prices-boost-consumption-rbi-bulletin-says-2025-09-24/</w:t>
        </w:r>
      </w:hyperlink>
    </w:p>
    <w:p w14:paraId="20AB8927"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Singh, D. K., &amp; Singh, B. P. (2024). </w:t>
      </w:r>
      <w:r w:rsidRPr="005B702B">
        <w:rPr>
          <w:rFonts w:cs="Times New Roman"/>
          <w:i/>
          <w:iCs/>
          <w:sz w:val="22"/>
          <w:szCs w:val="22"/>
        </w:rPr>
        <w:t>Impact of GST on Unorganised Business Sector Compliance Costs and Coping Strategies</w:t>
      </w:r>
      <w:r w:rsidRPr="005B702B">
        <w:rPr>
          <w:rFonts w:cs="Times New Roman"/>
          <w:sz w:val="22"/>
          <w:szCs w:val="22"/>
        </w:rPr>
        <w:t xml:space="preserve">. ShodhKosh: Journal of Visual and Performing Arts, 5(4), 2299-2304. https://doi.org/10.29121/shodhkosh.v5.i4.2024.6328 </w:t>
      </w:r>
      <w:hyperlink r:id="rId54" w:tgtFrame="_blank" w:history="1">
        <w:r w:rsidRPr="005B702B">
          <w:rPr>
            <w:rStyle w:val="Hyperlink"/>
            <w:rFonts w:cs="Times New Roman"/>
            <w:sz w:val="22"/>
            <w:szCs w:val="22"/>
          </w:rPr>
          <w:t>Granthaalayah Publication</w:t>
        </w:r>
      </w:hyperlink>
    </w:p>
    <w:p w14:paraId="6FB95B6E" w14:textId="231E2D65"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Tekwani, K., &amp; Pabla, C. K. (2021). </w:t>
      </w:r>
      <w:r w:rsidRPr="005B702B">
        <w:rPr>
          <w:rFonts w:cs="Times New Roman"/>
          <w:i/>
          <w:iCs/>
          <w:sz w:val="22"/>
          <w:szCs w:val="22"/>
        </w:rPr>
        <w:t>Goods and Services Tax in India and Other Countries: A Comparative Study</w:t>
      </w:r>
      <w:r w:rsidRPr="005B702B">
        <w:rPr>
          <w:rFonts w:cs="Times New Roman"/>
          <w:sz w:val="22"/>
          <w:szCs w:val="22"/>
        </w:rPr>
        <w:t xml:space="preserve">. The Management Accountant Journal, 56(7), 40-44. </w:t>
      </w:r>
      <w:hyperlink r:id="rId55" w:tgtFrame="_blank" w:history="1">
        <w:r w:rsidRPr="005B702B">
          <w:rPr>
            <w:rStyle w:val="Hyperlink"/>
            <w:rFonts w:cs="Times New Roman"/>
            <w:sz w:val="22"/>
            <w:szCs w:val="22"/>
          </w:rPr>
          <w:t>ICMAI RNJ</w:t>
        </w:r>
      </w:hyperlink>
    </w:p>
    <w:p w14:paraId="34F588FE" w14:textId="05E3938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The 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56" w:tgtFrame="_new" w:history="1">
        <w:r w:rsidRPr="005B702B">
          <w:rPr>
            <w:rStyle w:val="Hyperlink"/>
            <w:rFonts w:cs="Times New Roman"/>
            <w:sz w:val="22"/>
            <w:szCs w:val="22"/>
          </w:rPr>
          <w:t>https://economictimes.indiatimes.com/wealth/tax/gst-reforms-set-to-reignite-consumption-growth-spur-corporate-profitability/articleshow/123864292.cms</w:t>
        </w:r>
      </w:hyperlink>
    </w:p>
    <w:p w14:paraId="4A953FD4"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7"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ABE93C3"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8"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C37815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TradeIMEX. (2025). </w:t>
      </w:r>
      <w:r w:rsidRPr="005B702B">
        <w:rPr>
          <w:rFonts w:cs="Times New Roman"/>
          <w:i/>
          <w:iCs/>
          <w:sz w:val="22"/>
          <w:szCs w:val="22"/>
        </w:rPr>
        <w:t>Exploring GST 2.0: A new era in India’s indirect taxation</w:t>
      </w:r>
      <w:r w:rsidRPr="005B702B">
        <w:rPr>
          <w:rFonts w:cs="Times New Roman"/>
          <w:sz w:val="22"/>
          <w:szCs w:val="22"/>
        </w:rPr>
        <w:t xml:space="preserve">. Retrieved from </w:t>
      </w:r>
      <w:hyperlink r:id="rId59" w:tgtFrame="_new" w:history="1">
        <w:r w:rsidRPr="005B702B">
          <w:rPr>
            <w:rStyle w:val="Hyperlink"/>
            <w:rFonts w:cs="Times New Roman"/>
            <w:sz w:val="22"/>
            <w:szCs w:val="22"/>
          </w:rPr>
          <w:t>https://www.tradeimex.in/blogs/gst-2-0-india-tax-reform-slabs-reduction</w:t>
        </w:r>
      </w:hyperlink>
    </w:p>
    <w:p w14:paraId="58690CB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Virmani, A., &amp; Bhasin, K. (2020). </w:t>
      </w:r>
      <w:r w:rsidRPr="005B702B">
        <w:rPr>
          <w:rFonts w:cs="Times New Roman"/>
          <w:i/>
          <w:iCs/>
          <w:sz w:val="22"/>
          <w:szCs w:val="22"/>
        </w:rPr>
        <w:t>Goods and Services Tax: Structural Reform</w:t>
      </w:r>
      <w:r w:rsidRPr="005B702B">
        <w:rPr>
          <w:rFonts w:cs="Times New Roman"/>
          <w:sz w:val="22"/>
          <w:szCs w:val="22"/>
        </w:rPr>
        <w:t xml:space="preserve"> (Working Paper). </w:t>
      </w:r>
      <w:hyperlink r:id="rId60" w:tgtFrame="_blank" w:history="1">
        <w:r w:rsidRPr="005B702B">
          <w:rPr>
            <w:rStyle w:val="Hyperlink"/>
            <w:rFonts w:cs="Times New Roman"/>
            <w:sz w:val="22"/>
            <w:szCs w:val="22"/>
          </w:rPr>
          <w:t>ResearchGate</w:t>
        </w:r>
      </w:hyperlink>
    </w:p>
    <w:p w14:paraId="2FBFE036" w14:textId="50E22E3A"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Wikipedia. (2025). </w:t>
      </w:r>
      <w:r w:rsidRPr="005B702B">
        <w:rPr>
          <w:rFonts w:cs="Times New Roman"/>
          <w:i/>
          <w:iCs/>
          <w:sz w:val="22"/>
          <w:szCs w:val="22"/>
        </w:rPr>
        <w:t>Goods and Services Tax 2.0</w:t>
      </w:r>
      <w:r w:rsidRPr="005B702B">
        <w:rPr>
          <w:rFonts w:cs="Times New Roman"/>
          <w:sz w:val="22"/>
          <w:szCs w:val="22"/>
        </w:rPr>
        <w:t xml:space="preserve">. Retrieved from </w:t>
      </w:r>
      <w:hyperlink r:id="rId61" w:history="1">
        <w:r w:rsidR="007C7E5A" w:rsidRPr="005B702B">
          <w:rPr>
            <w:rStyle w:val="Hyperlink"/>
            <w:rFonts w:cs="Times New Roman"/>
            <w:sz w:val="22"/>
            <w:szCs w:val="22"/>
          </w:rPr>
          <w:t>https://en.wikipedia.org/wiki/Goods_and_Services_Tax_2.0</w:t>
        </w:r>
      </w:hyperlink>
    </w:p>
    <w:p w14:paraId="3D2480AE" w14:textId="46AB2BE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World Bank / Policy Perspectives. (2025). </w:t>
      </w:r>
      <w:r w:rsidRPr="005B702B">
        <w:rPr>
          <w:rFonts w:cs="Times New Roman"/>
          <w:i/>
          <w:iCs/>
          <w:sz w:val="22"/>
          <w:szCs w:val="22"/>
        </w:rPr>
        <w:t>India’s GST Reform: Policy Perspectives</w:t>
      </w:r>
      <w:r w:rsidRPr="005B702B">
        <w:rPr>
          <w:rFonts w:cs="Times New Roman"/>
          <w:sz w:val="22"/>
          <w:szCs w:val="22"/>
        </w:rPr>
        <w:t xml:space="preserve"> (Renu Kohli, et al.). Retrieved from </w:t>
      </w:r>
      <w:hyperlink r:id="rId62" w:history="1">
        <w:r w:rsidRPr="005B702B">
          <w:rPr>
            <w:rStyle w:val="Hyperlink"/>
            <w:rFonts w:cs="Times New Roman"/>
            <w:sz w:val="22"/>
            <w:szCs w:val="22"/>
          </w:rPr>
          <w:t>https://thedocs.worldbank.org/en/doc/3918c8c6930fae90360b34f6e6ad9744-0310022025/related/1-GST-Renu-Kohli-CSEP.pdf</w:t>
        </w:r>
      </w:hyperlink>
    </w:p>
    <w:sectPr w:rsidR="000B433F" w:rsidRPr="005B702B">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5F769" w14:textId="77777777" w:rsidR="00B0055E" w:rsidRDefault="00B0055E" w:rsidP="00326D8C">
      <w:pPr>
        <w:spacing w:after="0" w:line="240" w:lineRule="auto"/>
      </w:pPr>
      <w:r>
        <w:separator/>
      </w:r>
    </w:p>
  </w:endnote>
  <w:endnote w:type="continuationSeparator" w:id="0">
    <w:p w14:paraId="3C6BC144" w14:textId="77777777" w:rsidR="00B0055E" w:rsidRDefault="00B0055E" w:rsidP="0032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326706"/>
      <w:docPartObj>
        <w:docPartGallery w:val="Page Numbers (Bottom of Page)"/>
        <w:docPartUnique/>
      </w:docPartObj>
    </w:sdtPr>
    <w:sdtEndPr>
      <w:rPr>
        <w:noProof/>
      </w:rPr>
    </w:sdtEndPr>
    <w:sdtContent>
      <w:p w14:paraId="2EA8AA5E" w14:textId="4A8D2C14" w:rsidR="00326D8C" w:rsidRDefault="00326D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C28C7" w14:textId="77777777" w:rsidR="00326D8C" w:rsidRDefault="00326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45D6" w14:textId="77777777" w:rsidR="00B0055E" w:rsidRDefault="00B0055E" w:rsidP="00326D8C">
      <w:pPr>
        <w:spacing w:after="0" w:line="240" w:lineRule="auto"/>
      </w:pPr>
      <w:r>
        <w:separator/>
      </w:r>
    </w:p>
  </w:footnote>
  <w:footnote w:type="continuationSeparator" w:id="0">
    <w:p w14:paraId="3D6DEBBD" w14:textId="77777777" w:rsidR="00B0055E" w:rsidRDefault="00B0055E" w:rsidP="00326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1EBE"/>
    <w:multiLevelType w:val="hybridMultilevel"/>
    <w:tmpl w:val="D9B201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94CB1"/>
    <w:multiLevelType w:val="multilevel"/>
    <w:tmpl w:val="BA2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D7B"/>
    <w:multiLevelType w:val="hybridMultilevel"/>
    <w:tmpl w:val="BDFAB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6532C6"/>
    <w:multiLevelType w:val="hybridMultilevel"/>
    <w:tmpl w:val="062C2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41F4D"/>
    <w:multiLevelType w:val="hybridMultilevel"/>
    <w:tmpl w:val="8A80C5D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E10A9"/>
    <w:multiLevelType w:val="hybridMultilevel"/>
    <w:tmpl w:val="6BECC5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A359F3"/>
    <w:multiLevelType w:val="hybridMultilevel"/>
    <w:tmpl w:val="2AB02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72545"/>
    <w:multiLevelType w:val="multilevel"/>
    <w:tmpl w:val="287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6B49"/>
    <w:multiLevelType w:val="hybridMultilevel"/>
    <w:tmpl w:val="5A0E369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CE50DD8"/>
    <w:multiLevelType w:val="multilevel"/>
    <w:tmpl w:val="9EC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90DFC"/>
    <w:multiLevelType w:val="hybridMultilevel"/>
    <w:tmpl w:val="5AC80F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A50FAE"/>
    <w:multiLevelType w:val="hybridMultilevel"/>
    <w:tmpl w:val="725EE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6E6372"/>
    <w:multiLevelType w:val="hybridMultilevel"/>
    <w:tmpl w:val="71483F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F91C13"/>
    <w:multiLevelType w:val="hybridMultilevel"/>
    <w:tmpl w:val="7B282A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A53B4F"/>
    <w:multiLevelType w:val="hybridMultilevel"/>
    <w:tmpl w:val="DED2E10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94601"/>
    <w:multiLevelType w:val="hybridMultilevel"/>
    <w:tmpl w:val="0B1A1F2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EE4EA9"/>
    <w:multiLevelType w:val="hybridMultilevel"/>
    <w:tmpl w:val="D4EE4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4D3646"/>
    <w:multiLevelType w:val="multilevel"/>
    <w:tmpl w:val="AE6AC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D593E"/>
    <w:multiLevelType w:val="hybridMultilevel"/>
    <w:tmpl w:val="CD9424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A3F32"/>
    <w:multiLevelType w:val="hybridMultilevel"/>
    <w:tmpl w:val="1F42A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8463FC6"/>
    <w:multiLevelType w:val="hybridMultilevel"/>
    <w:tmpl w:val="49B4CD04"/>
    <w:lvl w:ilvl="0" w:tplc="40090001">
      <w:start w:val="1"/>
      <w:numFmt w:val="bullet"/>
      <w:lvlText w:val=""/>
      <w:lvlJc w:val="left"/>
      <w:pPr>
        <w:ind w:left="720" w:hanging="360"/>
      </w:pPr>
      <w:rPr>
        <w:rFonts w:ascii="Symbol" w:hAnsi="Symbol" w:hint="default"/>
      </w:rPr>
    </w:lvl>
    <w:lvl w:ilvl="1" w:tplc="94F88D42">
      <w:start w:val="6"/>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94352C"/>
    <w:multiLevelType w:val="multilevel"/>
    <w:tmpl w:val="2B88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67FF8"/>
    <w:multiLevelType w:val="hybridMultilevel"/>
    <w:tmpl w:val="39F240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BED5558"/>
    <w:multiLevelType w:val="multilevel"/>
    <w:tmpl w:val="B32E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575D"/>
    <w:multiLevelType w:val="hybridMultilevel"/>
    <w:tmpl w:val="EF06777C"/>
    <w:lvl w:ilvl="0" w:tplc="40090001">
      <w:start w:val="1"/>
      <w:numFmt w:val="bullet"/>
      <w:lvlText w:val=""/>
      <w:lvlJc w:val="left"/>
      <w:pPr>
        <w:ind w:left="720" w:hanging="360"/>
      </w:pPr>
      <w:rPr>
        <w:rFonts w:ascii="Symbol" w:hAnsi="Symbol" w:hint="default"/>
      </w:rPr>
    </w:lvl>
    <w:lvl w:ilvl="1" w:tplc="5150C9FC">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4510C8"/>
    <w:multiLevelType w:val="hybridMultilevel"/>
    <w:tmpl w:val="7160CA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E30004"/>
    <w:multiLevelType w:val="hybridMultilevel"/>
    <w:tmpl w:val="10EA64D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13A"/>
    <w:multiLevelType w:val="multilevel"/>
    <w:tmpl w:val="C6B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26387"/>
    <w:multiLevelType w:val="hybridMultilevel"/>
    <w:tmpl w:val="DD72E1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24"/>
  </w:num>
  <w:num w:numId="3">
    <w:abstractNumId w:val="20"/>
  </w:num>
  <w:num w:numId="4">
    <w:abstractNumId w:val="19"/>
  </w:num>
  <w:num w:numId="5">
    <w:abstractNumId w:val="16"/>
  </w:num>
  <w:num w:numId="6">
    <w:abstractNumId w:val="14"/>
  </w:num>
  <w:num w:numId="7">
    <w:abstractNumId w:val="13"/>
  </w:num>
  <w:num w:numId="8">
    <w:abstractNumId w:val="0"/>
  </w:num>
  <w:num w:numId="9">
    <w:abstractNumId w:val="5"/>
  </w:num>
  <w:num w:numId="10">
    <w:abstractNumId w:val="4"/>
  </w:num>
  <w:num w:numId="11">
    <w:abstractNumId w:val="26"/>
  </w:num>
  <w:num w:numId="12">
    <w:abstractNumId w:val="28"/>
  </w:num>
  <w:num w:numId="13">
    <w:abstractNumId w:val="15"/>
  </w:num>
  <w:num w:numId="14">
    <w:abstractNumId w:val="8"/>
  </w:num>
  <w:num w:numId="15">
    <w:abstractNumId w:val="18"/>
  </w:num>
  <w:num w:numId="16">
    <w:abstractNumId w:val="10"/>
  </w:num>
  <w:num w:numId="17">
    <w:abstractNumId w:val="23"/>
  </w:num>
  <w:num w:numId="18">
    <w:abstractNumId w:val="1"/>
  </w:num>
  <w:num w:numId="19">
    <w:abstractNumId w:val="27"/>
  </w:num>
  <w:num w:numId="20">
    <w:abstractNumId w:val="7"/>
  </w:num>
  <w:num w:numId="21">
    <w:abstractNumId w:val="9"/>
  </w:num>
  <w:num w:numId="22">
    <w:abstractNumId w:val="21"/>
  </w:num>
  <w:num w:numId="23">
    <w:abstractNumId w:val="17"/>
  </w:num>
  <w:num w:numId="24">
    <w:abstractNumId w:val="12"/>
  </w:num>
  <w:num w:numId="25">
    <w:abstractNumId w:val="2"/>
  </w:num>
  <w:num w:numId="26">
    <w:abstractNumId w:val="25"/>
  </w:num>
  <w:num w:numId="27">
    <w:abstractNumId w:val="11"/>
  </w:num>
  <w:num w:numId="28">
    <w:abstractNumId w:val="3"/>
  </w:num>
  <w:num w:numId="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EC"/>
    <w:rsid w:val="00010CF5"/>
    <w:rsid w:val="00035D8C"/>
    <w:rsid w:val="00044A76"/>
    <w:rsid w:val="000B433F"/>
    <w:rsid w:val="000C1750"/>
    <w:rsid w:val="000C6146"/>
    <w:rsid w:val="000E1118"/>
    <w:rsid w:val="00116A47"/>
    <w:rsid w:val="0019202A"/>
    <w:rsid w:val="001E454E"/>
    <w:rsid w:val="001F5CCE"/>
    <w:rsid w:val="00203934"/>
    <w:rsid w:val="00204D20"/>
    <w:rsid w:val="002065AD"/>
    <w:rsid w:val="00207454"/>
    <w:rsid w:val="002C0553"/>
    <w:rsid w:val="003227F5"/>
    <w:rsid w:val="00322AEC"/>
    <w:rsid w:val="00324F98"/>
    <w:rsid w:val="00326D8C"/>
    <w:rsid w:val="00352F6B"/>
    <w:rsid w:val="00381F94"/>
    <w:rsid w:val="00390E41"/>
    <w:rsid w:val="00392F77"/>
    <w:rsid w:val="003C5B3A"/>
    <w:rsid w:val="003C660E"/>
    <w:rsid w:val="003F484D"/>
    <w:rsid w:val="003F650A"/>
    <w:rsid w:val="00414F4D"/>
    <w:rsid w:val="00426C2F"/>
    <w:rsid w:val="004279CF"/>
    <w:rsid w:val="004307D3"/>
    <w:rsid w:val="00475D79"/>
    <w:rsid w:val="004911E4"/>
    <w:rsid w:val="004A122F"/>
    <w:rsid w:val="004B6CE4"/>
    <w:rsid w:val="004F1C65"/>
    <w:rsid w:val="004F2D8E"/>
    <w:rsid w:val="004F62C9"/>
    <w:rsid w:val="00532F99"/>
    <w:rsid w:val="00570256"/>
    <w:rsid w:val="00584448"/>
    <w:rsid w:val="005A0A17"/>
    <w:rsid w:val="005B702B"/>
    <w:rsid w:val="006B0262"/>
    <w:rsid w:val="006C0669"/>
    <w:rsid w:val="006C64F5"/>
    <w:rsid w:val="006E764E"/>
    <w:rsid w:val="007042D3"/>
    <w:rsid w:val="00764336"/>
    <w:rsid w:val="007C7E5A"/>
    <w:rsid w:val="007E52CE"/>
    <w:rsid w:val="008413AB"/>
    <w:rsid w:val="008604D2"/>
    <w:rsid w:val="00887D84"/>
    <w:rsid w:val="008A32D3"/>
    <w:rsid w:val="008B30D4"/>
    <w:rsid w:val="008B6865"/>
    <w:rsid w:val="008C01CA"/>
    <w:rsid w:val="008C44DD"/>
    <w:rsid w:val="008F6288"/>
    <w:rsid w:val="00922F08"/>
    <w:rsid w:val="00942280"/>
    <w:rsid w:val="009625F7"/>
    <w:rsid w:val="00975D4D"/>
    <w:rsid w:val="009B7123"/>
    <w:rsid w:val="009D348B"/>
    <w:rsid w:val="009D5A5B"/>
    <w:rsid w:val="009E5E82"/>
    <w:rsid w:val="00A2355E"/>
    <w:rsid w:val="00A3309D"/>
    <w:rsid w:val="00A41C5B"/>
    <w:rsid w:val="00A87385"/>
    <w:rsid w:val="00AA568F"/>
    <w:rsid w:val="00B0055E"/>
    <w:rsid w:val="00B2605B"/>
    <w:rsid w:val="00B435E5"/>
    <w:rsid w:val="00B6305C"/>
    <w:rsid w:val="00B815A8"/>
    <w:rsid w:val="00B94E4A"/>
    <w:rsid w:val="00BA0B30"/>
    <w:rsid w:val="00BA34EE"/>
    <w:rsid w:val="00BC0E82"/>
    <w:rsid w:val="00BC68F0"/>
    <w:rsid w:val="00BD538F"/>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C78F3"/>
    <w:rsid w:val="00DE52E6"/>
    <w:rsid w:val="00E57043"/>
    <w:rsid w:val="00E63CCF"/>
    <w:rsid w:val="00E70343"/>
    <w:rsid w:val="00E71879"/>
    <w:rsid w:val="00EF010B"/>
    <w:rsid w:val="00EF45BF"/>
    <w:rsid w:val="00F009FE"/>
    <w:rsid w:val="00F04E15"/>
    <w:rsid w:val="00F35680"/>
    <w:rsid w:val="00F47AD8"/>
    <w:rsid w:val="00F7758D"/>
    <w:rsid w:val="00F96AE7"/>
    <w:rsid w:val="00FC3A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F9D44"/>
  <w15:chartTrackingRefBased/>
  <w15:docId w15:val="{6F84B69A-3208-486B-840C-E91A3601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E5"/>
    <w:pPr>
      <w:jc w:val="both"/>
    </w:pPr>
    <w:rPr>
      <w:rFonts w:ascii="Times New Roman" w:hAnsi="Times New Roman"/>
    </w:rPr>
  </w:style>
  <w:style w:type="paragraph" w:styleId="Heading1">
    <w:name w:val="heading 1"/>
    <w:basedOn w:val="Normal"/>
    <w:next w:val="Normal"/>
    <w:link w:val="Heading1Char"/>
    <w:uiPriority w:val="9"/>
    <w:qFormat/>
    <w:rsid w:val="000B433F"/>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0B433F"/>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0B433F"/>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322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2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3F"/>
    <w:rPr>
      <w:rFonts w:ascii="Times New Roman" w:eastAsiaTheme="majorEastAsia" w:hAnsi="Times New Roman" w:cstheme="majorBidi"/>
      <w:b/>
      <w:color w:val="000000" w:themeColor="text1"/>
      <w:sz w:val="32"/>
      <w:szCs w:val="40"/>
    </w:rPr>
  </w:style>
  <w:style w:type="character" w:customStyle="1" w:styleId="Heading2Char">
    <w:name w:val="Heading 2 Char"/>
    <w:basedOn w:val="DefaultParagraphFont"/>
    <w:link w:val="Heading2"/>
    <w:uiPriority w:val="9"/>
    <w:rsid w:val="000B433F"/>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0B433F"/>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322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2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AEC"/>
    <w:rPr>
      <w:rFonts w:eastAsiaTheme="majorEastAsia" w:cstheme="majorBidi"/>
      <w:color w:val="272727" w:themeColor="text1" w:themeTint="D8"/>
    </w:rPr>
  </w:style>
  <w:style w:type="paragraph" w:styleId="Title">
    <w:name w:val="Title"/>
    <w:basedOn w:val="Normal"/>
    <w:next w:val="Normal"/>
    <w:link w:val="TitleChar"/>
    <w:uiPriority w:val="1"/>
    <w:qFormat/>
    <w:rsid w:val="0032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32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AEC"/>
    <w:pPr>
      <w:spacing w:before="160"/>
      <w:jc w:val="center"/>
    </w:pPr>
    <w:rPr>
      <w:i/>
      <w:iCs/>
      <w:color w:val="404040" w:themeColor="text1" w:themeTint="BF"/>
    </w:rPr>
  </w:style>
  <w:style w:type="character" w:customStyle="1" w:styleId="QuoteChar">
    <w:name w:val="Quote Char"/>
    <w:basedOn w:val="DefaultParagraphFont"/>
    <w:link w:val="Quote"/>
    <w:uiPriority w:val="29"/>
    <w:rsid w:val="00322AEC"/>
    <w:rPr>
      <w:i/>
      <w:iCs/>
      <w:color w:val="404040" w:themeColor="text1" w:themeTint="BF"/>
    </w:rPr>
  </w:style>
  <w:style w:type="paragraph" w:styleId="ListParagraph">
    <w:name w:val="List Paragraph"/>
    <w:basedOn w:val="Normal"/>
    <w:uiPriority w:val="34"/>
    <w:qFormat/>
    <w:rsid w:val="00322AEC"/>
    <w:pPr>
      <w:ind w:left="720"/>
      <w:contextualSpacing/>
    </w:pPr>
  </w:style>
  <w:style w:type="character" w:styleId="IntenseEmphasis">
    <w:name w:val="Intense Emphasis"/>
    <w:basedOn w:val="DefaultParagraphFont"/>
    <w:uiPriority w:val="21"/>
    <w:qFormat/>
    <w:rsid w:val="00322AEC"/>
    <w:rPr>
      <w:i/>
      <w:iCs/>
      <w:color w:val="2F5496" w:themeColor="accent1" w:themeShade="BF"/>
    </w:rPr>
  </w:style>
  <w:style w:type="paragraph" w:styleId="IntenseQuote">
    <w:name w:val="Intense Quote"/>
    <w:basedOn w:val="Normal"/>
    <w:next w:val="Normal"/>
    <w:link w:val="IntenseQuoteChar"/>
    <w:uiPriority w:val="30"/>
    <w:qFormat/>
    <w:rsid w:val="00322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AEC"/>
    <w:rPr>
      <w:i/>
      <w:iCs/>
      <w:color w:val="2F5496" w:themeColor="accent1" w:themeShade="BF"/>
    </w:rPr>
  </w:style>
  <w:style w:type="character" w:styleId="IntenseReference">
    <w:name w:val="Intense Reference"/>
    <w:basedOn w:val="DefaultParagraphFont"/>
    <w:uiPriority w:val="32"/>
    <w:qFormat/>
    <w:rsid w:val="00322AEC"/>
    <w:rPr>
      <w:b/>
      <w:bCs/>
      <w:smallCaps/>
      <w:color w:val="2F5496" w:themeColor="accent1" w:themeShade="BF"/>
      <w:spacing w:val="5"/>
    </w:rPr>
  </w:style>
  <w:style w:type="character" w:styleId="Hyperlink">
    <w:name w:val="Hyperlink"/>
    <w:basedOn w:val="DefaultParagraphFont"/>
    <w:uiPriority w:val="99"/>
    <w:unhideWhenUsed/>
    <w:rsid w:val="007E52CE"/>
    <w:rPr>
      <w:color w:val="0563C1" w:themeColor="hyperlink"/>
      <w:u w:val="single"/>
    </w:rPr>
  </w:style>
  <w:style w:type="character" w:styleId="UnresolvedMention">
    <w:name w:val="Unresolved Mention"/>
    <w:basedOn w:val="DefaultParagraphFont"/>
    <w:uiPriority w:val="99"/>
    <w:semiHidden/>
    <w:unhideWhenUsed/>
    <w:rsid w:val="007E52CE"/>
    <w:rPr>
      <w:color w:val="605E5C"/>
      <w:shd w:val="clear" w:color="auto" w:fill="E1DFDD"/>
    </w:rPr>
  </w:style>
  <w:style w:type="paragraph" w:styleId="Header">
    <w:name w:val="header"/>
    <w:basedOn w:val="Normal"/>
    <w:link w:val="HeaderChar"/>
    <w:uiPriority w:val="99"/>
    <w:unhideWhenUsed/>
    <w:rsid w:val="0032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8C"/>
  </w:style>
  <w:style w:type="paragraph" w:styleId="Footer">
    <w:name w:val="footer"/>
    <w:basedOn w:val="Normal"/>
    <w:link w:val="FooterChar"/>
    <w:uiPriority w:val="99"/>
    <w:unhideWhenUsed/>
    <w:rsid w:val="0032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D8C"/>
  </w:style>
  <w:style w:type="paragraph" w:styleId="Caption">
    <w:name w:val="caption"/>
    <w:basedOn w:val="Normal"/>
    <w:next w:val="Normal"/>
    <w:uiPriority w:val="35"/>
    <w:unhideWhenUsed/>
    <w:qFormat/>
    <w:rsid w:val="003C5B3A"/>
    <w:pPr>
      <w:spacing w:after="200" w:line="240" w:lineRule="auto"/>
    </w:pPr>
    <w:rPr>
      <w:i/>
      <w:iCs/>
      <w:color w:val="44546A" w:themeColor="text2"/>
      <w:sz w:val="18"/>
      <w:szCs w:val="18"/>
    </w:rPr>
  </w:style>
  <w:style w:type="paragraph" w:styleId="NoSpacing">
    <w:name w:val="No Spacing"/>
    <w:uiPriority w:val="1"/>
    <w:qFormat/>
    <w:rsid w:val="00044A76"/>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ef.org/news/industry-finds-gst-beneficial-seeks-clarity-and-dispute-reform-survey?utm_source=chatgpt.com" TargetMode="External"/><Relationship Id="rId21" Type="http://schemas.openxmlformats.org/officeDocument/2006/relationships/hyperlink" Target="https://m.economictimes.com/news/economy/policy/landmark-gst-reforms-to-boost-business-cut-prices-drive-consumption-growth-rbi-bulletin/articleshow/124094717.cms?utm_source=chatgpt.com" TargetMode="External"/><Relationship Id="rId34" Type="http://schemas.openxmlformats.org/officeDocument/2006/relationships/hyperlink" Target="https://www.journalpressindia.com/vision-journal-of-indian-taxation/doi/10.17492/jpi.vision.v10i1.1012306?utm_source=chatgpt.com" TargetMode="External"/><Relationship Id="rId42" Type="http://schemas.openxmlformats.org/officeDocument/2006/relationships/hyperlink" Target="https://jisem-journal.com/index.php/journal/article/view/6926?utm_source=chatgpt.com" TargetMode="External"/><Relationship Id="rId47" Type="http://schemas.openxmlformats.org/officeDocument/2006/relationships/hyperlink" Target="https://www.pib.gov.in/PressNoteDetails.aspx?ModuleId=3&amp;NoteId=155151&amp;utm_source=chatgpt.com" TargetMode="External"/><Relationship Id="rId50" Type="http://schemas.openxmlformats.org/officeDocument/2006/relationships/hyperlink" Target="https://www.cambridge.org/core/journals/social-philosophy-and-policy/article/equitycomplexity-tradeoff-in-tax-policy-lessons-from-the-goods-and-services-tax-in-india/C59803BE8A9CAEA664835DA1B9D215E0?utm_source=chatgpt.com" TargetMode="External"/><Relationship Id="rId55" Type="http://schemas.openxmlformats.org/officeDocument/2006/relationships/hyperlink" Target="https://icmai-rnj.in/index.php/maj/article/view/164916?utm_source=chatgpt.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rishtiias.com/daily-updates/daily-news-editorials/gst-2-0-balancing-growth-and-fiscal-prudence?utm_source=chatgpt.com" TargetMode="External"/><Relationship Id="rId29" Type="http://schemas.openxmlformats.org/officeDocument/2006/relationships/hyperlink" Target="https://www.india-briefing.com/news/gst-cess-removal-india-2025-business-benefits-39879.html" TargetMode="External"/><Relationship Id="rId11" Type="http://schemas.openxmlformats.org/officeDocument/2006/relationships/hyperlink" Target="https://indianexpress.com/article/explained/explained-economics/gst-2-changes-consumers-industry-10264788/" TargetMode="External"/><Relationship Id="rId24" Type="http://schemas.openxmlformats.org/officeDocument/2006/relationships/hyperlink" Target="https://www.gktoday.in/gst-2-0-reforms-simplify-taxation-and-boost-consumption/?utm_source=chatgpt.com" TargetMode="External"/><Relationship Id="rId32" Type="http://schemas.openxmlformats.org/officeDocument/2006/relationships/hyperlink" Target="https://journals.sagepub.com/doi/10.1177/00194662221146640?utm_source=chatgpt.com" TargetMode="External"/><Relationship Id="rId37" Type="http://schemas.openxmlformats.org/officeDocument/2006/relationships/hyperlink" Target="https://ideas.repec.org/p/npf/wpaper/21-347.html?utm_source=chatgpt.com" TargetMode="External"/><Relationship Id="rId40"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45" Type="http://schemas.openxmlformats.org/officeDocument/2006/relationships/hyperlink" Target="https://icmai-rnj.in/index.php/maj/article/view/164917?utm_source=chatgpt.com" TargetMode="External"/><Relationship Id="rId53" Type="http://schemas.openxmlformats.org/officeDocument/2006/relationships/hyperlink" Target="https://www.reuters.com/world/india/india-tax-reforms-ease-retail-prices-boost-consumption-rbi-bulletin-says-2025-09-24/?utm_source=chatgpt.com" TargetMode="External"/><Relationship Id="rId58"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5" Type="http://schemas.openxmlformats.org/officeDocument/2006/relationships/footnotes" Target="footnotes.xml"/><Relationship Id="rId61" Type="http://schemas.openxmlformats.org/officeDocument/2006/relationships/hyperlink" Target="https://en.wikipedia.org/wiki/Goods_and_Services_Tax_2.0" TargetMode="External"/><Relationship Id="rId19" Type="http://schemas.openxmlformats.org/officeDocument/2006/relationships/hyperlink" Target="https://m.economictimes.com/wealth/tax/gst-reforms-set-to-reignite-consumption-growth-spur-corporate-profitability/articleshow/123864292.cms?utm_source=chatgpt.com" TargetMode="External"/><Relationship Id="rId14" Type="http://schemas.openxmlformats.org/officeDocument/2006/relationships/hyperlink" Target="https://www.deloitte.com/in/en/about/press-room/india-inc-embraces-gst.html?utm_source=chatgpt.com" TargetMode="External"/><Relationship Id="rId22" Type="http://schemas.openxmlformats.org/officeDocument/2006/relationships/hyperlink" Target="https://www.fitchratings.com/research/corporate-finance/indias-gst-reforms-generally-positive-for-consumption-focused-issuers-10-09-2025" TargetMode="External"/><Relationship Id="rId27" Type="http://schemas.openxmlformats.org/officeDocument/2006/relationships/hyperlink" Target="https://www.india-briefing.com/news/gst-cess-removal-india-2025-business-benefits-39879.html" TargetMode="External"/><Relationship Id="rId30" Type="http://schemas.openxmlformats.org/officeDocument/2006/relationships/hyperlink" Target="https://www.investindia.gov.in/team-india-blogs/how-indias-tax-reforms-are-shaping-investment-landscape?utm_source=chatgpt.com" TargetMode="External"/><Relationship Id="rId35" Type="http://schemas.openxmlformats.org/officeDocument/2006/relationships/hyperlink" Target="https://jisem-journal.com/index.php/journal/article/view/11375?utm_source=chatgpt.com" TargetMode="External"/><Relationship Id="rId43" Type="http://schemas.openxmlformats.org/officeDocument/2006/relationships/hyperlink" Target="https://ijsi.in/articles/gst/?utm_source=chatgpt.com" TargetMode="External"/><Relationship Id="rId48" Type="http://schemas.openxmlformats.org/officeDocument/2006/relationships/hyperlink" Target="https://proanalyser.in/gst-reform-2025-cfo-playbook-on-3-tier-gst-rate-gstat-ims/" TargetMode="External"/><Relationship Id="rId56" Type="http://schemas.openxmlformats.org/officeDocument/2006/relationships/hyperlink" Target="https://economictimes.indiatimes.com/wealth/tax/gst-reforms-set-to-reignite-consumption-growth-spur-corporate-profitability/articleshow/123864292.cms?utm_source=chatgpt.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reuters.com/world/india/indias-complex-gst-tax-how-modis-reform-will-make-goods-cheaper-2025-08-19/" TargetMode="External"/><Relationship Id="rId3" Type="http://schemas.openxmlformats.org/officeDocument/2006/relationships/settings" Target="settings.xml"/><Relationship Id="rId12" Type="http://schemas.openxmlformats.org/officeDocument/2006/relationships/hyperlink" Target="https://jcmm.co.in/index.php/jcmm/article/view/94?utm_source=chatgpt.com" TargetMode="External"/><Relationship Id="rId17" Type="http://schemas.openxmlformats.org/officeDocument/2006/relationships/hyperlink" Target="https://www.drishtiias.com/current-affairs-news-analysis-editorials/news-analysis/04-09-2025?utm_source=chatgpt.com" TargetMode="External"/><Relationship Id="rId25" Type="http://schemas.openxmlformats.org/officeDocument/2006/relationships/hyperlink" Target="https://www.ibef.org/news/industry-finds-gst-beneficial-seeks-clarity-and-dispute-reform-survey?utm_source=chatgpt.com" TargetMode="External"/><Relationship Id="rId33" Type="http://schemas.openxmlformats.org/officeDocument/2006/relationships/hyperlink" Target="https://journals.sagepub.com/doi/10.1177/00194662221146640?utm_source=chatgpt.com" TargetMode="External"/><Relationship Id="rId38" Type="http://schemas.openxmlformats.org/officeDocument/2006/relationships/hyperlink" Target="https://msmestory.com/business-updates/gst-reforms-simplified-new-rates?utm_source=chatgpt.com" TargetMode="External"/><Relationship Id="rId46" Type="http://schemas.openxmlformats.org/officeDocument/2006/relationships/hyperlink" Target="https://www.pib.gov.in/PressNoteDetails.aspx?ModuleId=3&amp;NoteId=155151&amp;utm_source=chatgpt.com" TargetMode="External"/><Relationship Id="rId59" Type="http://schemas.openxmlformats.org/officeDocument/2006/relationships/hyperlink" Target="https://www.tradeimex.in/blogs/gst-2-0-india-tax-reform-slabs-reduction?utm_source=chatgpt.com" TargetMode="External"/><Relationship Id="rId20" Type="http://schemas.openxmlformats.org/officeDocument/2006/relationships/hyperlink" Target="https://m.economictimes.com/wealth/tax/gst-reforms-set-to-reignite-consumption-growth-spur-corporate-profitability/articleshow/123864292.cms?utm_source=chatgpt.com" TargetMode="External"/><Relationship Id="rId41"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4" Type="http://schemas.openxmlformats.org/officeDocument/2006/relationships/hyperlink" Target="https://www.granthaalayahpublication.org/Arts-Journal/ShodhKosh/article/view/6328?utm_source=chatgpt.com" TargetMode="External"/><Relationship Id="rId62" Type="http://schemas.openxmlformats.org/officeDocument/2006/relationships/hyperlink" Target="https://thedocs.worldbank.org/en/doc/3918c8c6930fae90360b34f6e6ad9744-0310022025/related/1-GST-Renu-Kohli-CSEP.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loitte.com/in/en/about/press-room/india-inc-embraces-gst.html?utm_source=chatgpt.com" TargetMode="External"/><Relationship Id="rId23" Type="http://schemas.openxmlformats.org/officeDocument/2006/relationships/hyperlink" Target="https://www.gktoday.in/gst-2-0-reforms-simplify-taxation-and-boost-consumption/?utm_source=chatgpt.com" TargetMode="External"/><Relationship Id="rId28" Type="http://schemas.openxmlformats.org/officeDocument/2006/relationships/hyperlink" Target="https://www.india-briefing.com/news/gst-cess-removal-india-2025-business-benefits-39879.html" TargetMode="External"/><Relationship Id="rId36" Type="http://schemas.openxmlformats.org/officeDocument/2006/relationships/hyperlink" Target="https://www.lexology.com/library/detail.aspx?g=c5191a4a-83d3-4c49-a3a5-95d50ca7df42" TargetMode="External"/><Relationship Id="rId49" Type="http://schemas.openxmlformats.org/officeDocument/2006/relationships/hyperlink" Target="https://www.pwc.in/assets/pdfs/eight-years-of-gst-a-time-to-reflect-a-time-to-reform-wcag.pdf?utm_source=chatgpt.com" TargetMode="External"/><Relationship Id="rId57"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10" Type="http://schemas.openxmlformats.org/officeDocument/2006/relationships/hyperlink" Target="https://www.granthaalayahpublication.org/Arts-Journal/ShodhKosh/article/view/3102?utm_source=chatgpt.com" TargetMode="External"/><Relationship Id="rId31" Type="http://schemas.openxmlformats.org/officeDocument/2006/relationships/hyperlink" Target="https://jrtdd.com/index.php/journal/article/view/2428?utm_source=chatgpt.com" TargetMode="External"/><Relationship Id="rId44" Type="http://schemas.openxmlformats.org/officeDocument/2006/relationships/hyperlink" Target="https://en.wikipedia.org/wiki/One_Hundred_and_First_Amendment_to_the_Constitution_of_India?utm_source=chatgpt.com" TargetMode="External"/><Relationship Id="rId52" Type="http://schemas.openxmlformats.org/officeDocument/2006/relationships/hyperlink" Target="https://www.reuters.com/world/india/india-slashes-consumption-tax-hundreds-items-spur-domestic-demand-2025-09-03/" TargetMode="External"/><Relationship Id="rId60" Type="http://schemas.openxmlformats.org/officeDocument/2006/relationships/hyperlink" Target="https://www.researchgate.net/publication/341979590_Goods_and_Services_Tax_Structural_Reform?utm_source=chatgp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business-standard.com/economy/news/gst-reforms-in-india-a-game-changer-for-families-and-businesses-125082601082_1.html" TargetMode="External"/><Relationship Id="rId18" Type="http://schemas.openxmlformats.org/officeDocument/2006/relationships/hyperlink" Target="https://www.drishtiias.com/current-affairs-news-analysis-editorials/news-analysis/04-09-2025?utm_source=chatgpt.com" TargetMode="External"/><Relationship Id="rId39" Type="http://schemas.openxmlformats.org/officeDocument/2006/relationships/hyperlink" Target="https://msmestory.com/business-updates/gst-reforms-simplified-new-rate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12792</Words>
  <Characters>72918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Kaustav Ghosal</dc:creator>
  <cp:keywords/>
  <dc:description/>
  <cp:lastModifiedBy>Tejnarayan Thakur</cp:lastModifiedBy>
  <cp:revision>3</cp:revision>
  <dcterms:created xsi:type="dcterms:W3CDTF">2025-11-29T08:32:00Z</dcterms:created>
  <dcterms:modified xsi:type="dcterms:W3CDTF">2025-11-29T08:36:00Z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ies>
</file>