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E52" w:rsidRDefault="00514E52">
      <w:pPr>
        <w:spacing w:after="0" w:line="360" w:lineRule="auto"/>
        <w:ind w:right="28"/>
        <w:jc w:val="center"/>
        <w:rPr>
          <w:rFonts w:ascii="Arial" w:eastAsia="Arial" w:hAnsi="Arial" w:cs="Arial"/>
          <w:b/>
          <w:bCs/>
          <w:sz w:val="24"/>
          <w:szCs w:val="24"/>
        </w:rPr>
      </w:pPr>
    </w:p>
    <w:p w:rsidR="00514E52" w:rsidRDefault="0069353D">
      <w:pPr>
        <w:spacing w:after="0" w:line="360" w:lineRule="auto"/>
        <w:ind w:right="28"/>
        <w:jc w:val="center"/>
        <w:rPr>
          <w:rFonts w:ascii="Arial" w:eastAsia="Arial" w:hAnsi="Arial" w:cs="Arial"/>
          <w:b/>
          <w:bCs/>
          <w:sz w:val="24"/>
          <w:szCs w:val="24"/>
        </w:rPr>
      </w:pPr>
      <w:r>
        <w:rPr>
          <w:rFonts w:ascii="Arial" w:eastAsia="Arial" w:hAnsi="Arial" w:cs="Arial"/>
          <w:b/>
          <w:bCs/>
          <w:sz w:val="24"/>
          <w:szCs w:val="24"/>
        </w:rPr>
        <w:t>Economic Analysis of Agricultural Sustainability in Western Maharashtra</w:t>
      </w:r>
      <w:r w:rsidR="00AD7544">
        <w:rPr>
          <w:rFonts w:ascii="Arial" w:eastAsia="Arial" w:hAnsi="Arial" w:cs="Arial"/>
          <w:b/>
          <w:bCs/>
          <w:sz w:val="24"/>
          <w:szCs w:val="24"/>
        </w:rPr>
        <w:t>, India</w:t>
      </w:r>
      <w:r>
        <w:rPr>
          <w:rFonts w:ascii="Arial" w:eastAsia="Arial" w:hAnsi="Arial" w:cs="Arial"/>
          <w:b/>
          <w:bCs/>
          <w:sz w:val="24"/>
          <w:szCs w:val="24"/>
        </w:rPr>
        <w:t>: A District Wise Study</w:t>
      </w:r>
    </w:p>
    <w:p w:rsidR="00514E52" w:rsidRDefault="00514E52">
      <w:pPr>
        <w:spacing w:after="0" w:line="360" w:lineRule="auto"/>
        <w:ind w:right="28"/>
        <w:rPr>
          <w:rFonts w:ascii="Arial" w:eastAsia="Arial" w:hAnsi="Arial" w:cs="Arial"/>
          <w:b/>
          <w:bCs/>
          <w:sz w:val="24"/>
          <w:szCs w:val="24"/>
        </w:rPr>
      </w:pPr>
    </w:p>
    <w:p w:rsidR="00514E52" w:rsidRDefault="00514E52">
      <w:pPr>
        <w:spacing w:after="0" w:line="360" w:lineRule="auto"/>
        <w:ind w:right="28"/>
        <w:rPr>
          <w:rFonts w:ascii="Arial" w:eastAsia="Arial" w:hAnsi="Arial" w:cs="Arial"/>
          <w:b/>
          <w:bCs/>
          <w:sz w:val="24"/>
          <w:szCs w:val="24"/>
        </w:rPr>
      </w:pPr>
    </w:p>
    <w:p w:rsidR="00514E52" w:rsidRDefault="00514E52">
      <w:pPr>
        <w:spacing w:after="0" w:line="360" w:lineRule="auto"/>
        <w:ind w:right="28"/>
        <w:rPr>
          <w:rFonts w:ascii="Arial" w:eastAsia="Arial" w:hAnsi="Arial" w:cs="Arial"/>
          <w:b/>
          <w:bCs/>
          <w:sz w:val="24"/>
          <w:szCs w:val="24"/>
        </w:rPr>
      </w:pPr>
    </w:p>
    <w:p w:rsidR="00514E52" w:rsidRDefault="0069353D">
      <w:pPr>
        <w:spacing w:after="0" w:line="360" w:lineRule="auto"/>
        <w:ind w:right="28"/>
        <w:jc w:val="both"/>
        <w:rPr>
          <w:rFonts w:ascii="Arial" w:eastAsia="Arial" w:hAnsi="Arial" w:cs="Arial"/>
          <w:b/>
          <w:bCs/>
        </w:rPr>
      </w:pPr>
      <w:r>
        <w:rPr>
          <w:rFonts w:ascii="Arial" w:eastAsia="Arial" w:hAnsi="Arial" w:cs="Arial"/>
          <w:b/>
          <w:bCs/>
        </w:rPr>
        <w:t>ABSTRACT</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Aim:</w:t>
      </w:r>
      <w:r>
        <w:rPr>
          <w:rFonts w:ascii="Arial" w:eastAsia="Arial" w:hAnsi="Arial" w:cs="Arial"/>
          <w:sz w:val="24"/>
          <w:szCs w:val="24"/>
        </w:rPr>
        <w:t xml:space="preserve"> To study the sustainability of Western Maharashtra region in order to know the suitability of the region for agriculture.</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Place and Duration of the study:</w:t>
      </w:r>
      <w:r>
        <w:rPr>
          <w:rFonts w:ascii="Arial" w:eastAsia="Arial" w:hAnsi="Arial" w:cs="Arial"/>
          <w:sz w:val="24"/>
          <w:szCs w:val="24"/>
        </w:rPr>
        <w:t xml:space="preserve"> The present study assesses the agricultural sustainability of western Maharashtra using the Sustainable Livelihood Security Index (SLSI), a composite measure integrating ecological, economic, and social dimensions of sustainability. The SLSI was computed for ten districts—Ahmednagar, Pune, Solapur, </w:t>
      </w:r>
      <w:proofErr w:type="spellStart"/>
      <w:r>
        <w:rPr>
          <w:rFonts w:ascii="Arial" w:eastAsia="Arial" w:hAnsi="Arial" w:cs="Arial"/>
          <w:sz w:val="24"/>
          <w:szCs w:val="24"/>
        </w:rPr>
        <w:t>Satara</w:t>
      </w:r>
      <w:proofErr w:type="spellEnd"/>
      <w:r>
        <w:rPr>
          <w:rFonts w:ascii="Arial" w:eastAsia="Arial" w:hAnsi="Arial" w:cs="Arial"/>
          <w:sz w:val="24"/>
          <w:szCs w:val="24"/>
        </w:rPr>
        <w:t xml:space="preserve">, </w:t>
      </w:r>
      <w:proofErr w:type="spellStart"/>
      <w:r>
        <w:rPr>
          <w:rFonts w:ascii="Arial" w:eastAsia="Arial" w:hAnsi="Arial" w:cs="Arial"/>
          <w:sz w:val="24"/>
          <w:szCs w:val="24"/>
        </w:rPr>
        <w:t>Sangli</w:t>
      </w:r>
      <w:proofErr w:type="spellEnd"/>
      <w:r>
        <w:rPr>
          <w:rFonts w:ascii="Arial" w:eastAsia="Arial" w:hAnsi="Arial" w:cs="Arial"/>
          <w:sz w:val="24"/>
          <w:szCs w:val="24"/>
        </w:rPr>
        <w:t xml:space="preserve">, Kolhapur, Nashik, Jalgaon, Dhule,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—for the years 1961, 1981, 2001, and 2021. </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Methodology:</w:t>
      </w:r>
      <w:r>
        <w:rPr>
          <w:rFonts w:ascii="Arial" w:eastAsia="Arial" w:hAnsi="Arial" w:cs="Arial"/>
          <w:sz w:val="24"/>
          <w:szCs w:val="24"/>
        </w:rPr>
        <w:t xml:space="preserve"> The methodology involved constructing three sub-indices: The Ecological Security Index (ESI), Economic Efficiency Index (EEI), and Social Equity Index (SEI), each derived from standardized district-level indicators. These included variables such as population pressure, forest area, cropping intensity, crop yield, irrigation, literacy, sex ratio, and health infrastructure.</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Results:</w:t>
      </w:r>
      <w:r>
        <w:rPr>
          <w:rFonts w:ascii="Arial" w:eastAsia="Arial" w:hAnsi="Arial" w:cs="Arial"/>
          <w:sz w:val="24"/>
          <w:szCs w:val="24"/>
        </w:rPr>
        <w:t xml:space="preserve"> Results revealed a gradual improvement in regional agricultural sustainability, with the overall SLSI increasing from 0.3729 in 1961 to 0.4833 in 2021, reflecting progress in ecological management, economic productivity, and social welfare. However, significant inter-district disparities were observed. </w:t>
      </w:r>
      <w:proofErr w:type="spellStart"/>
      <w:r>
        <w:rPr>
          <w:rFonts w:ascii="Arial" w:eastAsia="Arial" w:hAnsi="Arial" w:cs="Arial"/>
          <w:sz w:val="24"/>
          <w:szCs w:val="24"/>
        </w:rPr>
        <w:t>Satara</w:t>
      </w:r>
      <w:proofErr w:type="spellEnd"/>
      <w:r>
        <w:rPr>
          <w:rFonts w:ascii="Arial" w:eastAsia="Arial" w:hAnsi="Arial" w:cs="Arial"/>
          <w:sz w:val="24"/>
          <w:szCs w:val="24"/>
        </w:rPr>
        <w:t xml:space="preserve"> district maintained the highest sustainability levels up to 2001 (maximum SLSI = 0.6161) but showed a declining trend thereafter (0.5223 in 2021). In contrast, Pune rose to the top position in 2021 (0.5519), supported by strong economic and social indicators despite poor ecological security. Districts like Nashik, </w:t>
      </w:r>
      <w:proofErr w:type="spellStart"/>
      <w:r>
        <w:rPr>
          <w:rFonts w:ascii="Arial" w:eastAsia="Arial" w:hAnsi="Arial" w:cs="Arial"/>
          <w:sz w:val="24"/>
          <w:szCs w:val="24"/>
        </w:rPr>
        <w:t>Sangli</w:t>
      </w:r>
      <w:proofErr w:type="spellEnd"/>
      <w:r>
        <w:rPr>
          <w:rFonts w:ascii="Arial" w:eastAsia="Arial" w:hAnsi="Arial" w:cs="Arial"/>
          <w:sz w:val="24"/>
          <w:szCs w:val="24"/>
        </w:rPr>
        <w:t xml:space="preserve">,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exhibited steady progress, while Dhule and Ahmednagar lagged due to low economic efficiency and persistent social inequalities.</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Conclusion:</w:t>
      </w:r>
      <w:r>
        <w:rPr>
          <w:rFonts w:ascii="Arial" w:eastAsia="Arial" w:hAnsi="Arial" w:cs="Arial"/>
          <w:sz w:val="24"/>
          <w:szCs w:val="24"/>
        </w:rPr>
        <w:t xml:space="preserve"> At the component level, ecological conditions fluctuated across decades, economic efficiency improved steadily, and social equity showed consistent upward trends. The findings highlight that while agricultural sustainability in western Maharashtra has improved overall, regional imbalances persist. Strengthening ecological resilience, enhancing farm productivity, and promoting social inclusion through district-specific strategies are essential to achieving balanced and sustainable agricultural development in the region.</w:t>
      </w:r>
    </w:p>
    <w:p w:rsidR="00514E52" w:rsidRDefault="0069353D">
      <w:pPr>
        <w:spacing w:after="0" w:line="360" w:lineRule="auto"/>
        <w:ind w:right="28"/>
        <w:jc w:val="both"/>
        <w:rPr>
          <w:rFonts w:ascii="Arial" w:eastAsia="Arial" w:hAnsi="Arial" w:cs="Arial"/>
          <w:sz w:val="24"/>
          <w:szCs w:val="24"/>
        </w:rPr>
      </w:pPr>
      <w:r>
        <w:rPr>
          <w:rFonts w:ascii="Arial" w:eastAsia="Arial" w:hAnsi="Arial" w:cs="Arial"/>
          <w:b/>
          <w:bCs/>
          <w:sz w:val="24"/>
          <w:szCs w:val="24"/>
        </w:rPr>
        <w:t xml:space="preserve">Key words: </w:t>
      </w:r>
      <w:r>
        <w:rPr>
          <w:rFonts w:ascii="Arial" w:eastAsia="Arial" w:hAnsi="Arial" w:cs="Arial"/>
          <w:sz w:val="24"/>
          <w:szCs w:val="24"/>
        </w:rPr>
        <w:t>Sustainability, equity, efficiency, security</w:t>
      </w:r>
    </w:p>
    <w:p w:rsidR="00514E52" w:rsidRDefault="0069353D">
      <w:pPr>
        <w:spacing w:after="0" w:line="360" w:lineRule="auto"/>
        <w:ind w:right="28"/>
        <w:jc w:val="both"/>
        <w:rPr>
          <w:rFonts w:ascii="Arial" w:eastAsia="Arial" w:hAnsi="Arial" w:cs="Arial"/>
          <w:b/>
          <w:bCs/>
        </w:rPr>
      </w:pPr>
      <w:r>
        <w:rPr>
          <w:rFonts w:ascii="Arial" w:eastAsia="Arial" w:hAnsi="Arial" w:cs="Arial"/>
          <w:b/>
          <w:bCs/>
        </w:rPr>
        <w:t>1. INTRODUCTION</w:t>
      </w:r>
    </w:p>
    <w:p w:rsidR="00514E52" w:rsidRDefault="0069353D">
      <w:pPr>
        <w:spacing w:after="0" w:line="360" w:lineRule="auto"/>
        <w:ind w:right="28" w:firstLine="1134"/>
        <w:jc w:val="both"/>
        <w:rPr>
          <w:rFonts w:ascii="Arial" w:eastAsia="Arial" w:hAnsi="Arial" w:cs="Arial"/>
          <w:sz w:val="24"/>
          <w:szCs w:val="24"/>
        </w:rPr>
      </w:pPr>
      <w:r>
        <w:rPr>
          <w:rFonts w:ascii="Arial" w:eastAsia="Arial" w:hAnsi="Arial" w:cs="Arial"/>
          <w:sz w:val="24"/>
          <w:szCs w:val="24"/>
        </w:rPr>
        <w:t>Agricultural sustainability is essential for maintaining food security, protecting the environment, and ensuring economic stability</w:t>
      </w:r>
      <w:r w:rsidR="00AD7544">
        <w:rPr>
          <w:rFonts w:ascii="Arial" w:eastAsia="Arial" w:hAnsi="Arial" w:cs="Arial"/>
          <w:sz w:val="24"/>
          <w:szCs w:val="24"/>
        </w:rPr>
        <w:t xml:space="preserve"> (</w:t>
      </w:r>
      <w:proofErr w:type="spellStart"/>
      <w:r w:rsidR="00AD7544" w:rsidRPr="00AD7544">
        <w:rPr>
          <w:rFonts w:ascii="Arial" w:eastAsia="Arial" w:hAnsi="Arial" w:cs="Arial"/>
          <w:sz w:val="24"/>
          <w:szCs w:val="24"/>
        </w:rPr>
        <w:t>Umesha</w:t>
      </w:r>
      <w:proofErr w:type="spellEnd"/>
      <w:r w:rsidR="00AD7544">
        <w:rPr>
          <w:rFonts w:ascii="Arial" w:eastAsia="Arial" w:hAnsi="Arial" w:cs="Arial"/>
          <w:sz w:val="24"/>
          <w:szCs w:val="24"/>
        </w:rPr>
        <w:t xml:space="preserve"> et al., 2018)</w:t>
      </w:r>
      <w:r>
        <w:rPr>
          <w:rFonts w:ascii="Arial" w:eastAsia="Arial" w:hAnsi="Arial" w:cs="Arial"/>
          <w:sz w:val="24"/>
          <w:szCs w:val="24"/>
        </w:rPr>
        <w:t xml:space="preserve">. It encompasses farming methods </w:t>
      </w:r>
      <w:r>
        <w:rPr>
          <w:rFonts w:ascii="Arial" w:eastAsia="Arial" w:hAnsi="Arial" w:cs="Arial"/>
          <w:sz w:val="24"/>
          <w:szCs w:val="24"/>
        </w:rPr>
        <w:lastRenderedPageBreak/>
        <w:t>that support the long-term productivity of agricultural systems, preserve natural resources, and strengthen rural communities.</w:t>
      </w:r>
    </w:p>
    <w:p w:rsidR="00514E52" w:rsidRDefault="0069353D">
      <w:pPr>
        <w:spacing w:after="0" w:line="360" w:lineRule="auto"/>
        <w:ind w:right="28" w:firstLine="1134"/>
        <w:jc w:val="both"/>
        <w:rPr>
          <w:rFonts w:ascii="Arial" w:eastAsia="Arial" w:hAnsi="Arial" w:cs="Arial"/>
          <w:sz w:val="24"/>
          <w:szCs w:val="24"/>
        </w:rPr>
      </w:pPr>
      <w:r>
        <w:rPr>
          <w:rFonts w:ascii="Arial" w:eastAsia="Arial" w:hAnsi="Arial" w:cs="Arial"/>
          <w:sz w:val="24"/>
          <w:szCs w:val="24"/>
        </w:rPr>
        <w:t>The major elements of agricultural sustainability include environmental management, which aims to protect soil, water, and biodiversity through measures such as crop diversification, organic cultivation, and the efficient use of irrigation</w:t>
      </w:r>
      <w:r w:rsidR="00AD7544">
        <w:rPr>
          <w:rFonts w:ascii="Arial" w:eastAsia="Arial" w:hAnsi="Arial" w:cs="Arial"/>
          <w:sz w:val="24"/>
          <w:szCs w:val="24"/>
        </w:rPr>
        <w:t xml:space="preserve"> (</w:t>
      </w:r>
      <w:proofErr w:type="spellStart"/>
      <w:r w:rsidR="00AD7544" w:rsidRPr="00AD7544">
        <w:rPr>
          <w:rFonts w:ascii="Arial" w:eastAsia="Arial" w:hAnsi="Arial" w:cs="Arial"/>
          <w:sz w:val="24"/>
          <w:szCs w:val="24"/>
        </w:rPr>
        <w:t>Kremsa</w:t>
      </w:r>
      <w:proofErr w:type="spellEnd"/>
      <w:r w:rsidR="00AD7544">
        <w:rPr>
          <w:rFonts w:ascii="Arial" w:eastAsia="Arial" w:hAnsi="Arial" w:cs="Arial"/>
          <w:sz w:val="24"/>
          <w:szCs w:val="24"/>
        </w:rPr>
        <w:t>, 2021)</w:t>
      </w:r>
      <w:r>
        <w:rPr>
          <w:rFonts w:ascii="Arial" w:eastAsia="Arial" w:hAnsi="Arial" w:cs="Arial"/>
          <w:sz w:val="24"/>
          <w:szCs w:val="24"/>
        </w:rPr>
        <w:t xml:space="preserve">. Economic sustainability ensures stable and profitable livelihoods for farmers by promoting fair trade, income diversification, and value-added production. Additionally, social responsibility emphasizes the welfare of rural populations, encouraging equitable </w:t>
      </w:r>
      <w:proofErr w:type="spellStart"/>
      <w:r>
        <w:rPr>
          <w:rFonts w:ascii="Arial" w:eastAsia="Arial" w:hAnsi="Arial" w:cs="Arial"/>
          <w:sz w:val="24"/>
          <w:szCs w:val="24"/>
        </w:rPr>
        <w:t>labor</w:t>
      </w:r>
      <w:proofErr w:type="spellEnd"/>
      <w:r>
        <w:rPr>
          <w:rFonts w:ascii="Arial" w:eastAsia="Arial" w:hAnsi="Arial" w:cs="Arial"/>
          <w:sz w:val="24"/>
          <w:szCs w:val="24"/>
        </w:rPr>
        <w:t xml:space="preserve"> practices and better living standards.</w:t>
      </w:r>
    </w:p>
    <w:p w:rsidR="00514E52" w:rsidRDefault="0069353D">
      <w:pPr>
        <w:spacing w:after="0" w:line="360" w:lineRule="auto"/>
        <w:ind w:right="28" w:firstLine="1134"/>
        <w:jc w:val="both"/>
        <w:rPr>
          <w:rFonts w:ascii="Arial" w:eastAsia="Arial" w:hAnsi="Arial" w:cs="Arial"/>
          <w:sz w:val="24"/>
          <w:szCs w:val="24"/>
        </w:rPr>
      </w:pPr>
      <w:r>
        <w:rPr>
          <w:rFonts w:ascii="Arial" w:eastAsia="Arial" w:hAnsi="Arial" w:cs="Arial"/>
          <w:sz w:val="24"/>
          <w:szCs w:val="24"/>
        </w:rPr>
        <w:t>Sustainable farming offers numerous advantages—such as higher and more stable crop yields, healthier ecosystems, climate resilience, water efficiency, and improved farmer earnings. Adopting sustainable agricultural approaches contributes to a secure food supply, robust natural systems, and a cleaner environment. In essence, sustainable agriculture is the foundation for achieving a balanced and enduring global food system.</w:t>
      </w:r>
    </w:p>
    <w:p w:rsidR="00514E52" w:rsidRDefault="0069353D">
      <w:pPr>
        <w:spacing w:after="0" w:line="360" w:lineRule="auto"/>
        <w:ind w:right="28"/>
        <w:jc w:val="both"/>
        <w:rPr>
          <w:rFonts w:ascii="Arial" w:eastAsia="Arial" w:hAnsi="Arial" w:cs="Arial"/>
          <w:b/>
          <w:bCs/>
        </w:rPr>
      </w:pPr>
      <w:r>
        <w:rPr>
          <w:rFonts w:ascii="Arial" w:eastAsia="Arial" w:hAnsi="Arial" w:cs="Arial"/>
          <w:b/>
          <w:bCs/>
        </w:rPr>
        <w:t>2. METHODOLOGY</w:t>
      </w:r>
    </w:p>
    <w:p w:rsidR="00514E52" w:rsidRDefault="0069353D">
      <w:pPr>
        <w:spacing w:after="0" w:line="360" w:lineRule="auto"/>
        <w:ind w:right="28"/>
        <w:jc w:val="both"/>
        <w:rPr>
          <w:rFonts w:ascii="Arial" w:eastAsia="Arial" w:hAnsi="Arial" w:cs="Arial"/>
          <w:b/>
          <w:bCs/>
          <w:sz w:val="24"/>
          <w:szCs w:val="24"/>
        </w:rPr>
      </w:pPr>
      <w:r>
        <w:rPr>
          <w:rFonts w:ascii="Arial" w:eastAsia="Arial" w:hAnsi="Arial" w:cs="Arial"/>
          <w:b/>
          <w:bCs/>
          <w:sz w:val="24"/>
          <w:szCs w:val="24"/>
        </w:rPr>
        <w:t>2.1 Construction of Sustainable Livelihood Security Index</w:t>
      </w:r>
    </w:p>
    <w:p w:rsidR="00514E52" w:rsidRDefault="0069353D">
      <w:pPr>
        <w:spacing w:after="0" w:line="360" w:lineRule="auto"/>
        <w:ind w:right="28" w:firstLine="1134"/>
        <w:jc w:val="both"/>
        <w:rPr>
          <w:rFonts w:ascii="Arial" w:eastAsia="Arial" w:hAnsi="Arial" w:cs="Arial"/>
          <w:sz w:val="24"/>
          <w:szCs w:val="24"/>
        </w:rPr>
      </w:pPr>
      <w:r>
        <w:rPr>
          <w:rFonts w:ascii="Arial" w:eastAsia="Arial" w:hAnsi="Arial" w:cs="Arial"/>
          <w:sz w:val="24"/>
          <w:szCs w:val="24"/>
        </w:rPr>
        <w:t xml:space="preserve">Let </w:t>
      </w:r>
      <w:proofErr w:type="spellStart"/>
      <w:r>
        <w:rPr>
          <w:rFonts w:ascii="Arial" w:eastAsia="Arial" w:hAnsi="Arial" w:cs="Arial"/>
          <w:sz w:val="24"/>
          <w:szCs w:val="24"/>
        </w:rPr>
        <w:t>X</w:t>
      </w:r>
      <w:r>
        <w:rPr>
          <w:rFonts w:ascii="Arial" w:eastAsia="Arial" w:hAnsi="Arial" w:cs="Arial"/>
          <w:sz w:val="24"/>
          <w:szCs w:val="24"/>
          <w:vertAlign w:val="subscript"/>
        </w:rPr>
        <w:t>ijk</w:t>
      </w:r>
      <w:proofErr w:type="spellEnd"/>
      <w:r>
        <w:rPr>
          <w:rFonts w:ascii="Arial" w:eastAsia="Arial" w:hAnsi="Arial" w:cs="Arial"/>
          <w:sz w:val="24"/>
          <w:szCs w:val="24"/>
        </w:rPr>
        <w:t xml:space="preserve"> and </w:t>
      </w:r>
      <w:proofErr w:type="spellStart"/>
      <w:r>
        <w:rPr>
          <w:rFonts w:ascii="Arial" w:eastAsia="Arial" w:hAnsi="Arial" w:cs="Arial"/>
          <w:sz w:val="24"/>
          <w:szCs w:val="24"/>
        </w:rPr>
        <w:t>SLSI</w:t>
      </w:r>
      <w:r>
        <w:rPr>
          <w:rFonts w:ascii="Arial" w:eastAsia="Arial" w:hAnsi="Arial" w:cs="Arial"/>
          <w:sz w:val="24"/>
          <w:szCs w:val="24"/>
          <w:vertAlign w:val="subscript"/>
        </w:rPr>
        <w:t>ijk</w:t>
      </w:r>
      <w:proofErr w:type="spellEnd"/>
      <w:r>
        <w:rPr>
          <w:rFonts w:ascii="Arial" w:eastAsia="Arial" w:hAnsi="Arial" w:cs="Arial"/>
          <w:sz w:val="24"/>
          <w:szCs w:val="24"/>
        </w:rPr>
        <w:t xml:space="preserve"> represent the value of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 and k</w:t>
      </w:r>
      <w:r>
        <w:rPr>
          <w:rFonts w:ascii="Arial" w:eastAsia="Arial" w:hAnsi="Arial" w:cs="Arial"/>
          <w:sz w:val="24"/>
          <w:szCs w:val="24"/>
          <w:vertAlign w:val="superscript"/>
        </w:rPr>
        <w:t>th</w:t>
      </w:r>
      <w:r>
        <w:rPr>
          <w:rFonts w:ascii="Arial" w:eastAsia="Arial" w:hAnsi="Arial" w:cs="Arial"/>
          <w:sz w:val="24"/>
          <w:szCs w:val="24"/>
        </w:rPr>
        <w:t xml:space="preserve"> district and index for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representing the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 of the SLSI of k</w:t>
      </w:r>
      <w:r>
        <w:rPr>
          <w:rFonts w:ascii="Arial" w:eastAsia="Arial" w:hAnsi="Arial" w:cs="Arial"/>
          <w:sz w:val="24"/>
          <w:szCs w:val="24"/>
          <w:vertAlign w:val="superscript"/>
        </w:rPr>
        <w:t>th</w:t>
      </w:r>
      <w:r>
        <w:rPr>
          <w:rFonts w:ascii="Arial" w:eastAsia="Arial" w:hAnsi="Arial" w:cs="Arial"/>
          <w:sz w:val="24"/>
          <w:szCs w:val="24"/>
        </w:rPr>
        <w:t xml:space="preserve"> district, respectively. Then, for positive implication equation (1) was used and for negative implication equation (2) was used </w:t>
      </w:r>
    </w:p>
    <w:p w:rsidR="00514E52" w:rsidRDefault="0069353D">
      <w:pPr>
        <w:spacing w:after="0" w:line="240" w:lineRule="auto"/>
        <w:ind w:left="2552"/>
        <w:rPr>
          <w:rFonts w:ascii="Arial" w:eastAsia="Arial" w:hAnsi="Arial" w:cs="Arial"/>
          <w:b/>
          <w:bCs/>
          <w:sz w:val="24"/>
          <w:szCs w:val="24"/>
          <w:vertAlign w:val="subscript"/>
        </w:rPr>
      </w:pPr>
      <w:proofErr w:type="spellStart"/>
      <w:r>
        <w:rPr>
          <w:rFonts w:ascii="Arial" w:eastAsia="Arial" w:hAnsi="Arial" w:cs="Arial"/>
          <w:b/>
          <w:bCs/>
          <w:sz w:val="20"/>
          <w:szCs w:val="20"/>
        </w:rPr>
        <w:t>X</w:t>
      </w:r>
      <w:r>
        <w:rPr>
          <w:rFonts w:ascii="Arial" w:eastAsia="Arial" w:hAnsi="Arial" w:cs="Arial"/>
          <w:b/>
          <w:bCs/>
          <w:sz w:val="14"/>
          <w:szCs w:val="14"/>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p>
    <w:p w:rsidR="00514E52" w:rsidRDefault="0069353D">
      <w:pPr>
        <w:spacing w:after="0" w:line="240" w:lineRule="auto"/>
        <w:ind w:left="2552"/>
        <w:rPr>
          <w:rFonts w:ascii="Arial" w:eastAsia="Arial" w:hAnsi="Arial" w:cs="Arial"/>
          <w:b/>
          <w:bCs/>
          <w:sz w:val="20"/>
          <w:szCs w:val="20"/>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 ...............…</w:t>
      </w:r>
      <w:proofErr w:type="gramStart"/>
      <w:r>
        <w:rPr>
          <w:rFonts w:ascii="Arial" w:eastAsia="Arial" w:hAnsi="Arial" w:cs="Arial"/>
          <w:b/>
          <w:bCs/>
          <w:sz w:val="20"/>
          <w:szCs w:val="20"/>
        </w:rPr>
        <w:t>…..</w:t>
      </w:r>
      <w:proofErr w:type="gramEnd"/>
      <w:r>
        <w:rPr>
          <w:rFonts w:ascii="Arial" w:eastAsia="Arial" w:hAnsi="Arial" w:cs="Arial"/>
          <w:b/>
          <w:bCs/>
          <w:sz w:val="20"/>
          <w:szCs w:val="20"/>
        </w:rPr>
        <w:t xml:space="preserve"> (1)</w:t>
      </w:r>
    </w:p>
    <w:p w:rsidR="00514E52" w:rsidRDefault="0069353D">
      <w:pPr>
        <w:spacing w:after="0" w:line="240" w:lineRule="auto"/>
        <w:ind w:left="2552"/>
        <w:rPr>
          <w:rFonts w:ascii="Arial" w:eastAsia="Arial" w:hAnsi="Arial" w:cs="Arial"/>
          <w:b/>
          <w:bCs/>
          <w:sz w:val="14"/>
          <w:szCs w:val="14"/>
          <w:vertAlign w:val="subscript"/>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vertAlign w:val="subscript"/>
        </w:rPr>
        <w:t>ijk</w:t>
      </w:r>
      <w:proofErr w:type="spellEnd"/>
    </w:p>
    <w:p w:rsidR="00514E52" w:rsidRDefault="00514E52">
      <w:pPr>
        <w:spacing w:after="0" w:line="240" w:lineRule="auto"/>
        <w:ind w:left="2552"/>
        <w:rPr>
          <w:rFonts w:ascii="Arial" w:eastAsia="Arial" w:hAnsi="Arial" w:cs="Arial"/>
          <w:b/>
          <w:bCs/>
          <w:sz w:val="14"/>
          <w:szCs w:val="14"/>
        </w:rPr>
      </w:pPr>
    </w:p>
    <w:p w:rsidR="00514E52" w:rsidRDefault="0069353D">
      <w:pPr>
        <w:spacing w:after="0" w:line="240" w:lineRule="auto"/>
        <w:ind w:left="2552"/>
        <w:rPr>
          <w:rFonts w:ascii="Arial" w:eastAsia="Arial" w:hAnsi="Arial" w:cs="Arial"/>
          <w:b/>
          <w:bCs/>
          <w:sz w:val="14"/>
          <w:szCs w:val="14"/>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X</w:t>
      </w:r>
      <w:r>
        <w:rPr>
          <w:rFonts w:ascii="Arial" w:eastAsia="Arial" w:hAnsi="Arial" w:cs="Arial"/>
          <w:b/>
          <w:bCs/>
          <w:sz w:val="14"/>
          <w:szCs w:val="14"/>
        </w:rPr>
        <w:t>ijk</w:t>
      </w:r>
      <w:proofErr w:type="spellEnd"/>
    </w:p>
    <w:p w:rsidR="00514E52" w:rsidRDefault="0069353D">
      <w:pPr>
        <w:spacing w:after="0" w:line="240" w:lineRule="auto"/>
        <w:ind w:left="2552"/>
        <w:rPr>
          <w:rFonts w:ascii="Arial" w:eastAsia="Arial" w:hAnsi="Arial" w:cs="Arial"/>
          <w:b/>
          <w:bCs/>
          <w:sz w:val="20"/>
          <w:szCs w:val="20"/>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 ...............…</w:t>
      </w:r>
      <w:proofErr w:type="gramStart"/>
      <w:r>
        <w:rPr>
          <w:rFonts w:ascii="Arial" w:eastAsia="Arial" w:hAnsi="Arial" w:cs="Arial"/>
          <w:b/>
          <w:bCs/>
          <w:sz w:val="20"/>
          <w:szCs w:val="20"/>
        </w:rPr>
        <w:t>…..</w:t>
      </w:r>
      <w:proofErr w:type="gramEnd"/>
      <w:r>
        <w:rPr>
          <w:rFonts w:ascii="Arial" w:eastAsia="Arial" w:hAnsi="Arial" w:cs="Arial"/>
          <w:b/>
          <w:bCs/>
          <w:sz w:val="20"/>
          <w:szCs w:val="20"/>
        </w:rPr>
        <w:t xml:space="preserve"> (2)</w:t>
      </w:r>
    </w:p>
    <w:p w:rsidR="00514E52" w:rsidRDefault="0069353D">
      <w:pPr>
        <w:spacing w:after="0" w:line="240" w:lineRule="auto"/>
        <w:ind w:left="2552"/>
        <w:rPr>
          <w:rFonts w:ascii="Arial" w:eastAsia="Arial" w:hAnsi="Arial" w:cs="Arial"/>
          <w:b/>
          <w:bCs/>
          <w:sz w:val="14"/>
          <w:szCs w:val="14"/>
          <w:vertAlign w:val="subscript"/>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vertAlign w:val="subscript"/>
        </w:rPr>
        <w:t>ijk</w:t>
      </w:r>
      <w:proofErr w:type="spellEnd"/>
    </w:p>
    <w:p w:rsidR="00514E52" w:rsidRDefault="00514E52">
      <w:pPr>
        <w:spacing w:after="0" w:line="240" w:lineRule="auto"/>
        <w:ind w:left="2552"/>
        <w:rPr>
          <w:rFonts w:ascii="Arial" w:eastAsia="Arial" w:hAnsi="Arial" w:cs="Arial"/>
          <w:b/>
          <w:bCs/>
          <w:sz w:val="14"/>
          <w:szCs w:val="14"/>
        </w:rPr>
      </w:pPr>
    </w:p>
    <w:p w:rsidR="00514E52" w:rsidRDefault="0069353D">
      <w:pPr>
        <w:spacing w:after="0" w:line="240" w:lineRule="auto"/>
        <w:ind w:left="2552" w:right="28"/>
        <w:jc w:val="both"/>
        <w:rPr>
          <w:rFonts w:ascii="Arial" w:eastAsia="Arial" w:hAnsi="Arial" w:cs="Arial"/>
          <w:b/>
          <w:bCs/>
          <w:sz w:val="14"/>
          <w:szCs w:val="14"/>
        </w:rPr>
      </w:pPr>
      <w:r>
        <w:rPr>
          <w:rFonts w:ascii="Arial" w:eastAsia="Arial" w:hAnsi="Arial" w:cs="Arial"/>
          <w:b/>
          <w:bCs/>
          <w:sz w:val="14"/>
          <w:szCs w:val="14"/>
        </w:rPr>
        <w:t xml:space="preserve">                        I</w:t>
      </w:r>
    </w:p>
    <w:p w:rsidR="00514E52" w:rsidRDefault="0069353D">
      <w:pPr>
        <w:spacing w:after="0" w:line="240" w:lineRule="auto"/>
        <w:ind w:left="2552" w:right="28"/>
        <w:jc w:val="both"/>
        <w:rPr>
          <w:rFonts w:ascii="Arial" w:eastAsia="Arial" w:hAnsi="Arial" w:cs="Arial"/>
          <w:b/>
          <w:bCs/>
          <w:sz w:val="14"/>
          <w:szCs w:val="14"/>
        </w:rPr>
      </w:pPr>
      <w:r>
        <w:rPr>
          <w:rFonts w:ascii="Arial Unicode MS" w:eastAsia="Arial Unicode MS" w:hAnsi="Arial Unicode MS" w:cs="Arial Unicode MS"/>
          <w:b/>
          <w:bCs/>
          <w:sz w:val="20"/>
          <w:szCs w:val="20"/>
        </w:rPr>
        <w:t xml:space="preserve">               ∑</w:t>
      </w:r>
      <w:proofErr w:type="spellStart"/>
      <w:r>
        <w:rPr>
          <w:rFonts w:ascii="Arial Unicode MS" w:eastAsia="Arial Unicode MS" w:hAnsi="Arial Unicode MS" w:cs="Arial Unicode MS"/>
          <w:b/>
          <w:bCs/>
          <w:sz w:val="20"/>
          <w:szCs w:val="20"/>
        </w:rPr>
        <w:t>SLSI</w:t>
      </w:r>
      <w:r>
        <w:rPr>
          <w:rFonts w:ascii="Arial" w:eastAsia="Arial" w:hAnsi="Arial" w:cs="Arial"/>
          <w:b/>
          <w:bCs/>
          <w:sz w:val="14"/>
          <w:szCs w:val="14"/>
        </w:rPr>
        <w:t>ijk</w:t>
      </w:r>
      <w:proofErr w:type="spellEnd"/>
    </w:p>
    <w:p w:rsidR="00514E52" w:rsidRDefault="0069353D">
      <w:pPr>
        <w:spacing w:after="0" w:line="240" w:lineRule="auto"/>
        <w:ind w:left="2552" w:right="28"/>
        <w:jc w:val="both"/>
        <w:rPr>
          <w:rFonts w:ascii="Arial" w:eastAsia="Arial" w:hAnsi="Arial" w:cs="Arial"/>
          <w:b/>
          <w:bCs/>
          <w:sz w:val="14"/>
          <w:szCs w:val="14"/>
        </w:rPr>
      </w:pPr>
      <w:r>
        <w:rPr>
          <w:rFonts w:ascii="Arial" w:eastAsia="Arial" w:hAnsi="Arial" w:cs="Arial"/>
          <w:b/>
          <w:bCs/>
          <w:sz w:val="14"/>
          <w:szCs w:val="14"/>
        </w:rPr>
        <w:t xml:space="preserve">                          I=1</w:t>
      </w:r>
    </w:p>
    <w:p w:rsidR="00514E52" w:rsidRDefault="0069353D">
      <w:pPr>
        <w:spacing w:after="0" w:line="240" w:lineRule="auto"/>
        <w:ind w:left="2552" w:right="28"/>
        <w:jc w:val="both"/>
        <w:rPr>
          <w:rFonts w:ascii="Arial" w:eastAsia="Arial" w:hAnsi="Arial" w:cs="Arial"/>
          <w:b/>
          <w:bCs/>
          <w:sz w:val="24"/>
          <w:szCs w:val="24"/>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 ...............…….......... (3)</w:t>
      </w:r>
    </w:p>
    <w:p w:rsidR="00514E52" w:rsidRDefault="0069353D">
      <w:pPr>
        <w:spacing w:after="0" w:line="240" w:lineRule="auto"/>
        <w:ind w:left="2552"/>
        <w:jc w:val="both"/>
        <w:rPr>
          <w:rFonts w:ascii="Arial" w:eastAsia="Arial" w:hAnsi="Arial" w:cs="Arial"/>
          <w:b/>
          <w:bCs/>
          <w:sz w:val="24"/>
          <w:szCs w:val="24"/>
        </w:rPr>
      </w:pPr>
      <w:r>
        <w:rPr>
          <w:rFonts w:ascii="Arial" w:eastAsia="Arial" w:hAnsi="Arial" w:cs="Arial"/>
          <w:b/>
          <w:bCs/>
          <w:sz w:val="24"/>
          <w:szCs w:val="24"/>
        </w:rPr>
        <w:t xml:space="preserve">                 I  </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Where,</w:t>
      </w:r>
    </w:p>
    <w:p w:rsidR="00514E52" w:rsidRDefault="0069353D">
      <w:pPr>
        <w:spacing w:after="0" w:line="360" w:lineRule="auto"/>
        <w:ind w:firstLine="709"/>
        <w:jc w:val="both"/>
        <w:rPr>
          <w:rFonts w:ascii="Arial" w:eastAsia="Arial" w:hAnsi="Arial" w:cs="Arial"/>
          <w:sz w:val="24"/>
          <w:szCs w:val="24"/>
        </w:rPr>
      </w:pPr>
      <w:proofErr w:type="spellStart"/>
      <w:r>
        <w:rPr>
          <w:rFonts w:ascii="Arial" w:eastAsia="Arial" w:hAnsi="Arial" w:cs="Arial"/>
          <w:sz w:val="24"/>
          <w:szCs w:val="24"/>
        </w:rPr>
        <w:t>i</w:t>
      </w:r>
      <w:proofErr w:type="spellEnd"/>
      <w:r>
        <w:rPr>
          <w:rFonts w:ascii="Arial" w:eastAsia="Arial" w:hAnsi="Arial" w:cs="Arial"/>
          <w:sz w:val="24"/>
          <w:szCs w:val="24"/>
        </w:rPr>
        <w:t xml:space="preserve"> = variables (1,2,3………. </w:t>
      </w:r>
      <w:proofErr w:type="spellStart"/>
      <w:r>
        <w:rPr>
          <w:rFonts w:ascii="Arial" w:eastAsia="Arial" w:hAnsi="Arial" w:cs="Arial"/>
          <w:sz w:val="24"/>
          <w:szCs w:val="24"/>
        </w:rPr>
        <w:t>i</w:t>
      </w:r>
      <w:proofErr w:type="spellEnd"/>
      <w:r>
        <w:rPr>
          <w:rFonts w:ascii="Arial" w:eastAsia="Arial" w:hAnsi="Arial" w:cs="Arial"/>
          <w:sz w:val="24"/>
          <w:szCs w:val="24"/>
        </w:rPr>
        <w:t>)</w:t>
      </w:r>
    </w:p>
    <w:p w:rsidR="00514E52" w:rsidRDefault="0069353D">
      <w:pPr>
        <w:spacing w:after="0" w:line="360" w:lineRule="auto"/>
        <w:ind w:firstLine="709"/>
        <w:jc w:val="both"/>
        <w:rPr>
          <w:rFonts w:ascii="Arial" w:eastAsia="Arial" w:hAnsi="Arial" w:cs="Arial"/>
          <w:sz w:val="24"/>
          <w:szCs w:val="24"/>
        </w:rPr>
      </w:pPr>
      <w:r>
        <w:rPr>
          <w:rFonts w:ascii="Arial" w:eastAsia="Arial" w:hAnsi="Arial" w:cs="Arial"/>
          <w:sz w:val="24"/>
          <w:szCs w:val="24"/>
        </w:rPr>
        <w:t>j = components (1,2,3………. j)</w:t>
      </w:r>
    </w:p>
    <w:p w:rsidR="00514E52" w:rsidRDefault="0069353D">
      <w:pPr>
        <w:spacing w:after="0" w:line="360" w:lineRule="auto"/>
        <w:ind w:firstLine="709"/>
        <w:jc w:val="both"/>
        <w:rPr>
          <w:rFonts w:ascii="Arial" w:eastAsia="Arial" w:hAnsi="Arial" w:cs="Arial"/>
          <w:sz w:val="24"/>
          <w:szCs w:val="24"/>
        </w:rPr>
      </w:pPr>
      <w:r>
        <w:rPr>
          <w:rFonts w:ascii="Arial" w:eastAsia="Arial" w:hAnsi="Arial" w:cs="Arial"/>
          <w:sz w:val="24"/>
          <w:szCs w:val="24"/>
        </w:rPr>
        <w:t>k = district (1,2,3………. k)</w:t>
      </w:r>
    </w:p>
    <w:p w:rsidR="00514E52" w:rsidRDefault="0069353D">
      <w:pPr>
        <w:spacing w:after="0" w:line="360" w:lineRule="auto"/>
        <w:ind w:firstLine="1134"/>
        <w:jc w:val="both"/>
        <w:rPr>
          <w:rFonts w:ascii="Arial" w:eastAsia="Arial" w:hAnsi="Arial" w:cs="Arial"/>
          <w:sz w:val="24"/>
          <w:szCs w:val="24"/>
        </w:rPr>
      </w:pPr>
      <w:r>
        <w:rPr>
          <w:rFonts w:ascii="Arial" w:eastAsia="Arial" w:hAnsi="Arial" w:cs="Arial"/>
          <w:sz w:val="24"/>
          <w:szCs w:val="24"/>
        </w:rPr>
        <w:t>The numerator in equation (1) and (2) shows that, it measures the extent by which the k</w:t>
      </w:r>
      <w:r>
        <w:rPr>
          <w:rFonts w:ascii="Arial" w:eastAsia="Arial" w:hAnsi="Arial" w:cs="Arial"/>
          <w:sz w:val="24"/>
          <w:szCs w:val="24"/>
          <w:vertAlign w:val="superscript"/>
        </w:rPr>
        <w:t xml:space="preserve">th </w:t>
      </w:r>
      <w:r>
        <w:rPr>
          <w:rFonts w:ascii="Arial" w:eastAsia="Arial" w:hAnsi="Arial" w:cs="Arial"/>
          <w:sz w:val="24"/>
          <w:szCs w:val="24"/>
        </w:rPr>
        <w:t xml:space="preserve">district did better in the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representing the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components of SLSI as compared to the district showing the worst performance in that component, and the denominator indicates the range (i.e., the difference between the maximum and the minimum values of the variable representing a given component).</w:t>
      </w:r>
    </w:p>
    <w:p w:rsidR="00514E52" w:rsidRDefault="0069353D">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The equation (3) exhibited that three component indices of SLSI, </w:t>
      </w:r>
      <w:r>
        <w:rPr>
          <w:rFonts w:ascii="Arial" w:eastAsia="Arial" w:hAnsi="Arial" w:cs="Arial"/>
          <w:i/>
          <w:iCs/>
          <w:sz w:val="24"/>
          <w:szCs w:val="24"/>
        </w:rPr>
        <w:t xml:space="preserve">viz., </w:t>
      </w:r>
      <w:r>
        <w:rPr>
          <w:rFonts w:ascii="Arial" w:eastAsia="Arial" w:hAnsi="Arial" w:cs="Arial"/>
          <w:sz w:val="24"/>
          <w:szCs w:val="24"/>
        </w:rPr>
        <w:t xml:space="preserve">ESI, EEI and SEI were calculated for all variables, taking simple mean by assigning equal weights to the indices of their </w:t>
      </w:r>
      <w:r>
        <w:rPr>
          <w:rFonts w:ascii="Arial" w:eastAsia="Arial" w:hAnsi="Arial" w:cs="Arial"/>
          <w:sz w:val="24"/>
          <w:szCs w:val="24"/>
        </w:rPr>
        <w:lastRenderedPageBreak/>
        <w:t>respective variables. The SLSI has range of 0 to 1 in which a value closer to zero shows low level of sustainability and value near to 1 denotes high level of sustainability.</w:t>
      </w:r>
    </w:p>
    <w:p w:rsidR="00514E52" w:rsidRDefault="0069353D">
      <w:pPr>
        <w:spacing w:after="0" w:line="360" w:lineRule="auto"/>
        <w:jc w:val="both"/>
        <w:rPr>
          <w:rFonts w:ascii="Arial" w:eastAsia="Arial" w:hAnsi="Arial" w:cs="Arial"/>
          <w:sz w:val="24"/>
          <w:szCs w:val="24"/>
        </w:rPr>
      </w:pPr>
      <w:r>
        <w:rPr>
          <w:rFonts w:ascii="Arial" w:eastAsia="Arial" w:hAnsi="Arial" w:cs="Arial"/>
          <w:b/>
          <w:bCs/>
          <w:sz w:val="24"/>
          <w:szCs w:val="24"/>
        </w:rPr>
        <w:t>2.2 Selection of variables</w:t>
      </w:r>
    </w:p>
    <w:p w:rsidR="00514E52" w:rsidRDefault="0069353D">
      <w:pPr>
        <w:spacing w:after="0" w:line="360" w:lineRule="auto"/>
        <w:ind w:firstLine="1134"/>
        <w:jc w:val="both"/>
        <w:rPr>
          <w:rFonts w:ascii="Arial" w:eastAsia="Arial" w:hAnsi="Arial" w:cs="Arial"/>
          <w:sz w:val="24"/>
          <w:szCs w:val="24"/>
        </w:rPr>
      </w:pPr>
      <w:r>
        <w:rPr>
          <w:rFonts w:ascii="Arial" w:eastAsia="Arial" w:hAnsi="Arial" w:cs="Arial"/>
          <w:sz w:val="24"/>
          <w:szCs w:val="24"/>
        </w:rPr>
        <w:t>Variables for indices were selected as follows:</w:t>
      </w:r>
    </w:p>
    <w:p w:rsidR="00514E52" w:rsidRDefault="0069353D">
      <w:pPr>
        <w:spacing w:after="0"/>
        <w:rPr>
          <w:rFonts w:ascii="Arial" w:eastAsia="Arial" w:hAnsi="Arial" w:cs="Arial"/>
          <w:b/>
          <w:bCs/>
          <w:sz w:val="24"/>
          <w:szCs w:val="24"/>
        </w:rPr>
      </w:pPr>
      <w:r>
        <w:rPr>
          <w:rFonts w:ascii="Arial" w:eastAsia="Arial" w:hAnsi="Arial" w:cs="Arial"/>
          <w:b/>
          <w:bCs/>
          <w:sz w:val="24"/>
          <w:szCs w:val="24"/>
        </w:rPr>
        <w:t>Table 1</w:t>
      </w:r>
      <w:r w:rsidR="00AD7544">
        <w:rPr>
          <w:rFonts w:ascii="Arial" w:eastAsia="Arial" w:hAnsi="Arial" w:cs="Arial"/>
          <w:b/>
          <w:bCs/>
          <w:sz w:val="24"/>
          <w:szCs w:val="24"/>
        </w:rPr>
        <w:t xml:space="preserve">. </w:t>
      </w:r>
      <w:r>
        <w:rPr>
          <w:rFonts w:ascii="Arial" w:eastAsia="Arial" w:hAnsi="Arial" w:cs="Arial"/>
          <w:b/>
          <w:bCs/>
          <w:sz w:val="24"/>
          <w:szCs w:val="24"/>
        </w:rPr>
        <w:t>SLSI indicators</w:t>
      </w:r>
    </w:p>
    <w:tbl>
      <w:tblPr>
        <w:tblStyle w:val="a"/>
        <w:tblW w:w="1109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3145"/>
        <w:gridCol w:w="464"/>
        <w:gridCol w:w="2801"/>
        <w:gridCol w:w="3525"/>
      </w:tblGrid>
      <w:tr w:rsidR="00514E52">
        <w:trPr>
          <w:trHeight w:val="236"/>
        </w:trPr>
        <w:tc>
          <w:tcPr>
            <w:tcW w:w="1164" w:type="dxa"/>
            <w:vAlign w:val="center"/>
          </w:tcPr>
          <w:p w:rsidR="00514E52" w:rsidRDefault="0069353D">
            <w:pPr>
              <w:spacing w:line="276" w:lineRule="auto"/>
              <w:jc w:val="center"/>
              <w:rPr>
                <w:rFonts w:ascii="Arial" w:eastAsia="Arial" w:hAnsi="Arial" w:cs="Arial"/>
                <w:b/>
                <w:bCs/>
                <w:sz w:val="24"/>
                <w:szCs w:val="24"/>
              </w:rPr>
            </w:pPr>
            <w:r>
              <w:rPr>
                <w:rFonts w:ascii="Arial" w:eastAsia="Arial" w:hAnsi="Arial" w:cs="Arial"/>
                <w:b/>
                <w:bCs/>
                <w:sz w:val="24"/>
                <w:szCs w:val="24"/>
              </w:rPr>
              <w:t>Sr. No.</w:t>
            </w:r>
          </w:p>
        </w:tc>
        <w:tc>
          <w:tcPr>
            <w:tcW w:w="3145" w:type="dxa"/>
            <w:vAlign w:val="center"/>
          </w:tcPr>
          <w:p w:rsidR="00514E52" w:rsidRDefault="0069353D">
            <w:pPr>
              <w:spacing w:line="276" w:lineRule="auto"/>
              <w:jc w:val="center"/>
              <w:rPr>
                <w:rFonts w:ascii="Arial" w:eastAsia="Arial" w:hAnsi="Arial" w:cs="Arial"/>
                <w:b/>
                <w:bCs/>
                <w:sz w:val="24"/>
                <w:szCs w:val="24"/>
              </w:rPr>
            </w:pPr>
            <w:r>
              <w:rPr>
                <w:rFonts w:ascii="Arial" w:eastAsia="Arial" w:hAnsi="Arial" w:cs="Arial"/>
                <w:b/>
                <w:bCs/>
                <w:sz w:val="24"/>
                <w:szCs w:val="24"/>
              </w:rPr>
              <w:t>Indicator</w:t>
            </w:r>
          </w:p>
        </w:tc>
        <w:tc>
          <w:tcPr>
            <w:tcW w:w="464" w:type="dxa"/>
            <w:vAlign w:val="center"/>
          </w:tcPr>
          <w:p w:rsidR="00514E52" w:rsidRDefault="00514E52">
            <w:pPr>
              <w:spacing w:line="276" w:lineRule="auto"/>
              <w:jc w:val="center"/>
              <w:rPr>
                <w:rFonts w:ascii="Arial" w:eastAsia="Arial" w:hAnsi="Arial" w:cs="Arial"/>
                <w:b/>
                <w:bCs/>
                <w:sz w:val="24"/>
                <w:szCs w:val="24"/>
              </w:rPr>
            </w:pPr>
          </w:p>
        </w:tc>
        <w:tc>
          <w:tcPr>
            <w:tcW w:w="2801" w:type="dxa"/>
            <w:vAlign w:val="center"/>
          </w:tcPr>
          <w:p w:rsidR="00514E52" w:rsidRDefault="0069353D">
            <w:pPr>
              <w:spacing w:line="276" w:lineRule="auto"/>
              <w:jc w:val="center"/>
              <w:rPr>
                <w:rFonts w:ascii="Arial" w:eastAsia="Arial" w:hAnsi="Arial" w:cs="Arial"/>
                <w:b/>
                <w:bCs/>
                <w:sz w:val="24"/>
                <w:szCs w:val="24"/>
              </w:rPr>
            </w:pPr>
            <w:r>
              <w:rPr>
                <w:rFonts w:ascii="Arial" w:eastAsia="Arial" w:hAnsi="Arial" w:cs="Arial"/>
                <w:b/>
                <w:bCs/>
                <w:sz w:val="24"/>
                <w:szCs w:val="24"/>
              </w:rPr>
              <w:t>Parameter</w:t>
            </w:r>
          </w:p>
        </w:tc>
        <w:tc>
          <w:tcPr>
            <w:tcW w:w="3525" w:type="dxa"/>
            <w:vAlign w:val="center"/>
          </w:tcPr>
          <w:p w:rsidR="00514E52" w:rsidRDefault="0069353D">
            <w:pPr>
              <w:spacing w:line="276" w:lineRule="auto"/>
              <w:jc w:val="center"/>
              <w:rPr>
                <w:rFonts w:ascii="Arial" w:eastAsia="Arial" w:hAnsi="Arial" w:cs="Arial"/>
                <w:b/>
                <w:bCs/>
                <w:sz w:val="24"/>
                <w:szCs w:val="24"/>
              </w:rPr>
            </w:pPr>
            <w:r>
              <w:rPr>
                <w:rFonts w:ascii="Arial" w:eastAsia="Arial" w:hAnsi="Arial" w:cs="Arial"/>
                <w:b/>
                <w:bCs/>
                <w:sz w:val="24"/>
                <w:szCs w:val="24"/>
              </w:rPr>
              <w:t>Variable</w:t>
            </w:r>
          </w:p>
        </w:tc>
      </w:tr>
      <w:tr w:rsidR="00514E52">
        <w:trPr>
          <w:trHeight w:val="236"/>
        </w:trPr>
        <w:tc>
          <w:tcPr>
            <w:tcW w:w="1164" w:type="dxa"/>
            <w:vMerge w:val="restart"/>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1</w:t>
            </w:r>
          </w:p>
        </w:tc>
        <w:tc>
          <w:tcPr>
            <w:tcW w:w="3145" w:type="dxa"/>
            <w:vMerge w:val="restart"/>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Ecological Security Index</w:t>
            </w: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Ecological burden</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Total population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Land use</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Cropping intensity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Soil fertility</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Forest Area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restart"/>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2</w:t>
            </w:r>
          </w:p>
        </w:tc>
        <w:tc>
          <w:tcPr>
            <w:tcW w:w="3145" w:type="dxa"/>
            <w:vMerge w:val="restart"/>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Economic Efficiency Index</w:t>
            </w: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Food security</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Food grains yield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Farmers income</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Sugarcane yield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Water availability</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Irrigated area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restart"/>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3</w:t>
            </w:r>
          </w:p>
        </w:tc>
        <w:tc>
          <w:tcPr>
            <w:tcW w:w="3145" w:type="dxa"/>
            <w:vMerge w:val="restart"/>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Social Security Index</w:t>
            </w: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Education status</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Literacy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Gender equity</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Sex ratio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514E52">
        <w:trPr>
          <w:trHeight w:val="236"/>
        </w:trPr>
        <w:tc>
          <w:tcPr>
            <w:tcW w:w="1164"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3145"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sz w:val="24"/>
                <w:szCs w:val="24"/>
              </w:rPr>
            </w:pPr>
          </w:p>
        </w:tc>
        <w:tc>
          <w:tcPr>
            <w:tcW w:w="464" w:type="dxa"/>
            <w:vAlign w:val="center"/>
          </w:tcPr>
          <w:p w:rsidR="00514E52" w:rsidRDefault="0069353D">
            <w:pPr>
              <w:spacing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Health services</w:t>
            </w:r>
          </w:p>
        </w:tc>
        <w:tc>
          <w:tcPr>
            <w:tcW w:w="3525" w:type="dxa"/>
            <w:vAlign w:val="center"/>
          </w:tcPr>
          <w:p w:rsidR="00514E52" w:rsidRDefault="0069353D">
            <w:pPr>
              <w:spacing w:line="276" w:lineRule="auto"/>
              <w:rPr>
                <w:rFonts w:ascii="Arial" w:eastAsia="Arial" w:hAnsi="Arial" w:cs="Arial"/>
                <w:sz w:val="24"/>
                <w:szCs w:val="24"/>
              </w:rPr>
            </w:pPr>
            <w:r>
              <w:rPr>
                <w:rFonts w:ascii="Arial" w:eastAsia="Arial" w:hAnsi="Arial" w:cs="Arial"/>
                <w:sz w:val="24"/>
                <w:szCs w:val="24"/>
              </w:rPr>
              <w:t>Health facility (+</w:t>
            </w:r>
            <w:proofErr w:type="spellStart"/>
            <w:r>
              <w:rPr>
                <w:rFonts w:ascii="Arial" w:eastAsia="Arial" w:hAnsi="Arial" w:cs="Arial"/>
                <w:sz w:val="24"/>
                <w:szCs w:val="24"/>
              </w:rPr>
              <w:t>ve</w:t>
            </w:r>
            <w:proofErr w:type="spellEnd"/>
            <w:r>
              <w:rPr>
                <w:rFonts w:ascii="Arial" w:eastAsia="Arial" w:hAnsi="Arial" w:cs="Arial"/>
                <w:sz w:val="24"/>
                <w:szCs w:val="24"/>
              </w:rPr>
              <w:t>)</w:t>
            </w:r>
          </w:p>
        </w:tc>
      </w:tr>
    </w:tbl>
    <w:p w:rsidR="00514E52" w:rsidRDefault="0069353D">
      <w:pPr>
        <w:spacing w:after="0" w:line="360" w:lineRule="auto"/>
        <w:jc w:val="both"/>
        <w:rPr>
          <w:rFonts w:ascii="Arial" w:eastAsia="Arial" w:hAnsi="Arial" w:cs="Arial"/>
          <w:sz w:val="24"/>
          <w:szCs w:val="24"/>
        </w:rPr>
      </w:pPr>
      <w:r>
        <w:rPr>
          <w:rFonts w:ascii="Arial" w:eastAsia="Arial" w:hAnsi="Arial" w:cs="Arial"/>
          <w:b/>
          <w:bCs/>
          <w:sz w:val="24"/>
          <w:szCs w:val="24"/>
        </w:rPr>
        <w:t>(Note:</w:t>
      </w:r>
      <w:r>
        <w:rPr>
          <w:rFonts w:ascii="Arial" w:eastAsia="Arial" w:hAnsi="Arial" w:cs="Arial"/>
          <w:sz w:val="24"/>
          <w:szCs w:val="24"/>
        </w:rPr>
        <w:t xml:space="preserve"> signs in parentheses indicates the relationship of variables with the sustainability) </w:t>
      </w:r>
    </w:p>
    <w:p w:rsidR="00514E52" w:rsidRDefault="0069353D">
      <w:pPr>
        <w:spacing w:after="0" w:line="360" w:lineRule="auto"/>
        <w:jc w:val="both"/>
        <w:rPr>
          <w:rFonts w:ascii="Arial" w:eastAsia="Arial" w:hAnsi="Arial" w:cs="Arial"/>
          <w:b/>
          <w:bCs/>
          <w:highlight w:val="white"/>
        </w:rPr>
      </w:pPr>
      <w:r>
        <w:rPr>
          <w:rFonts w:ascii="Arial" w:eastAsia="Arial" w:hAnsi="Arial" w:cs="Arial"/>
          <w:b/>
          <w:bCs/>
          <w:highlight w:val="white"/>
        </w:rPr>
        <w:t>3 RESULTS AND DISCUSSION</w:t>
      </w:r>
    </w:p>
    <w:p w:rsidR="00514E52" w:rsidRDefault="0069353D">
      <w:pPr>
        <w:spacing w:after="0" w:line="360" w:lineRule="auto"/>
        <w:jc w:val="both"/>
        <w:rPr>
          <w:rFonts w:ascii="Arial" w:eastAsia="Arial" w:hAnsi="Arial" w:cs="Arial"/>
          <w:b/>
          <w:bCs/>
          <w:sz w:val="24"/>
          <w:szCs w:val="24"/>
        </w:rPr>
      </w:pPr>
      <w:r>
        <w:rPr>
          <w:rFonts w:ascii="Arial" w:eastAsia="Arial" w:hAnsi="Arial" w:cs="Arial"/>
          <w:b/>
          <w:bCs/>
          <w:sz w:val="24"/>
          <w:szCs w:val="24"/>
        </w:rPr>
        <w:t>Agricultural Sustainability in Western Maharashtra</w:t>
      </w:r>
    </w:p>
    <w:p w:rsidR="00514E52" w:rsidRDefault="0069353D">
      <w:pPr>
        <w:spacing w:after="0" w:line="360" w:lineRule="auto"/>
        <w:jc w:val="both"/>
        <w:rPr>
          <w:rFonts w:ascii="Arial" w:eastAsia="Arial" w:hAnsi="Arial" w:cs="Arial"/>
          <w:color w:val="101112"/>
          <w:sz w:val="24"/>
          <w:szCs w:val="24"/>
          <w:highlight w:val="white"/>
        </w:rPr>
      </w:pPr>
      <w:r>
        <w:rPr>
          <w:rFonts w:ascii="Arial" w:eastAsia="Arial" w:hAnsi="Arial" w:cs="Arial"/>
          <w:color w:val="101112"/>
          <w:sz w:val="24"/>
          <w:szCs w:val="24"/>
          <w:highlight w:val="white"/>
        </w:rPr>
        <w:t xml:space="preserve">Agricultural sustainability in Western Maharashtra was studied using the Sustainable Livelihood Security Index (SLSI) to assess district-level sustainability. This method has been used by various studies to </w:t>
      </w:r>
      <w:proofErr w:type="spellStart"/>
      <w:r>
        <w:rPr>
          <w:rFonts w:ascii="Arial" w:eastAsia="Arial" w:hAnsi="Arial" w:cs="Arial"/>
          <w:color w:val="101112"/>
          <w:sz w:val="24"/>
          <w:szCs w:val="24"/>
          <w:highlight w:val="white"/>
        </w:rPr>
        <w:t>analyze</w:t>
      </w:r>
      <w:proofErr w:type="spellEnd"/>
      <w:r>
        <w:rPr>
          <w:rFonts w:ascii="Arial" w:eastAsia="Arial" w:hAnsi="Arial" w:cs="Arial"/>
          <w:color w:val="101112"/>
          <w:sz w:val="24"/>
          <w:szCs w:val="24"/>
          <w:highlight w:val="white"/>
        </w:rPr>
        <w:t xml:space="preserve"> agricultural sustainability, proving useful in reducing regional disparities and promoting sustainable growth. The study aimed to ensure food security, environmental conservation and climate resilience.</w:t>
      </w:r>
    </w:p>
    <w:p w:rsidR="00514E52" w:rsidRDefault="0069353D">
      <w:pPr>
        <w:spacing w:after="0" w:line="360" w:lineRule="auto"/>
        <w:jc w:val="both"/>
        <w:rPr>
          <w:rFonts w:ascii="Arial" w:eastAsia="Arial" w:hAnsi="Arial" w:cs="Arial"/>
          <w:sz w:val="24"/>
          <w:szCs w:val="24"/>
          <w:highlight w:val="white"/>
        </w:rPr>
      </w:pPr>
      <w:r>
        <w:rPr>
          <w:rFonts w:ascii="Arial" w:eastAsia="Arial" w:hAnsi="Arial" w:cs="Arial"/>
          <w:b/>
          <w:bCs/>
          <w:sz w:val="24"/>
          <w:szCs w:val="24"/>
        </w:rPr>
        <w:t>3.1 Ecological Security Index</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Ecological security, a key component of the Sustainable Livelihood Security Index (SLSI), ensures the long-term sustainability of agriculture by maintaining ecological balance. District-wise Ecological Security Indices (ESI) were estimated to assess changes from 1961 to 2021.</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Districts such as Ahmednagar, Solapur, </w:t>
      </w:r>
      <w:proofErr w:type="spellStart"/>
      <w:r>
        <w:rPr>
          <w:rFonts w:ascii="Arial" w:eastAsia="Arial" w:hAnsi="Arial" w:cs="Arial"/>
          <w:sz w:val="24"/>
          <w:szCs w:val="24"/>
        </w:rPr>
        <w:t>Sangli</w:t>
      </w:r>
      <w:proofErr w:type="spellEnd"/>
      <w:r>
        <w:rPr>
          <w:rFonts w:ascii="Arial" w:eastAsia="Arial" w:hAnsi="Arial" w:cs="Arial"/>
          <w:sz w:val="24"/>
          <w:szCs w:val="24"/>
        </w:rPr>
        <w:t xml:space="preserve">, Kolhapur,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showed improved ESI values in 2021, while Pune, </w:t>
      </w:r>
      <w:proofErr w:type="spellStart"/>
      <w:r>
        <w:rPr>
          <w:rFonts w:ascii="Arial" w:eastAsia="Arial" w:hAnsi="Arial" w:cs="Arial"/>
          <w:sz w:val="24"/>
          <w:szCs w:val="24"/>
        </w:rPr>
        <w:t>Satara</w:t>
      </w:r>
      <w:proofErr w:type="spellEnd"/>
      <w:r>
        <w:rPr>
          <w:rFonts w:ascii="Arial" w:eastAsia="Arial" w:hAnsi="Arial" w:cs="Arial"/>
          <w:sz w:val="24"/>
          <w:szCs w:val="24"/>
        </w:rPr>
        <w:t>, Nashik, and Dhule experienced ecological decline.</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Dhule ranked first in 1961 (ESI = 0.9938) and 1981 (0.8925) due to high forest cover and low population density but declined sharply in 2001 (0.4818) after its division to form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However, it recovered slightly in 2021 (0.6571, rank 2). </w:t>
      </w:r>
      <w:proofErr w:type="spellStart"/>
      <w:r>
        <w:rPr>
          <w:rFonts w:ascii="Arial" w:eastAsia="Arial" w:hAnsi="Arial" w:cs="Arial"/>
          <w:sz w:val="24"/>
          <w:szCs w:val="24"/>
        </w:rPr>
        <w:t>Nandurbar</w:t>
      </w:r>
      <w:proofErr w:type="spellEnd"/>
      <w:r>
        <w:rPr>
          <w:rFonts w:ascii="Arial" w:eastAsia="Arial" w:hAnsi="Arial" w:cs="Arial"/>
          <w:sz w:val="24"/>
          <w:szCs w:val="24"/>
        </w:rPr>
        <w:t>, the new district, ranked first in 2001 (0.6667) and 2021 (0.9729) owing to low population density, large forest area, and improved cropping intensity.</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Kolhapur was the most ecologically stressed district in 1961 and 1981 with very low ESI values (0.1311 and 0.1290) due to dense population and poor cropping intensity but showed gradual improvement by 2021 (0.3178). Pune’s ESI declined continuously from 0.4882 (1961) to 0.1133 (2001), slightly rising to 0.2464 in 2021, mainly due to urbanization and reduced forest cover. According to the study of Jain et al. (2022) over-exploitation of natural resources and population explosion (Kumar and </w:t>
      </w:r>
      <w:proofErr w:type="spellStart"/>
      <w:r>
        <w:rPr>
          <w:rFonts w:ascii="Arial" w:eastAsia="Arial" w:hAnsi="Arial" w:cs="Arial"/>
          <w:sz w:val="24"/>
          <w:szCs w:val="24"/>
        </w:rPr>
        <w:t>Issac</w:t>
      </w:r>
      <w:proofErr w:type="spellEnd"/>
      <w:r>
        <w:rPr>
          <w:rFonts w:ascii="Arial" w:eastAsia="Arial" w:hAnsi="Arial" w:cs="Arial"/>
          <w:sz w:val="24"/>
          <w:szCs w:val="24"/>
        </w:rPr>
        <w:t xml:space="preserve">, 2018) are the major threats to agricultural sustainability. </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Overall, the western Maharashtra region showed slight improvement in ecological security in 2021 (0.4637) compared to 1961 (0.4572), though the index fluctuated over the decades, peaking in 1981 (0.5039).</w:t>
      </w:r>
    </w:p>
    <w:p w:rsidR="00514E52" w:rsidRDefault="0069353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t xml:space="preserve">3.2 Economic Efficiency Index </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Economic efficiency in agriculture drives growth, productivity, food sufficiency, and rural employment. District-wise Economic Efficiency Indices (EEI) were calculated based on food grain yield, sugarcane yield, and irrigation intensity, key indicators influencing agricultural performance (Mane &amp; Gaikwad, 2019).</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Except for Ahmednagar, all districts showed improvement in 2021 over 1961. Ahmednagar’s EEI declined from 0.6085 (rank 2, 1961) to 0.4054 (rank 8, 2021) due to poor performance across all variables.</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Kolhapur led in 1961 (0.6720), 1981 (0.8018), and 2001 but dropped to second in 2021 (0.6964). Pune rose to first place in 2021 (0.7425) because of its highest sugarcane yield and cropping intensity. Dhule remained the least efficient from 1961 to 2001 (0.0503–0.0313), showing slight improvement by 2021 (0.1733, rank 9).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also performed poorly in 2021 (0.1114).</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Nashik showed the most consistent progress, with EEI increasing from 0.1642 (1961) to 0.6350 (2021) due to substantial gains in crop yields. </w:t>
      </w:r>
      <w:proofErr w:type="spellStart"/>
      <w:r>
        <w:rPr>
          <w:rFonts w:ascii="Arial" w:eastAsia="Arial" w:hAnsi="Arial" w:cs="Arial"/>
          <w:sz w:val="24"/>
          <w:szCs w:val="24"/>
        </w:rPr>
        <w:t>Sangli</w:t>
      </w:r>
      <w:proofErr w:type="spellEnd"/>
      <w:r>
        <w:rPr>
          <w:rFonts w:ascii="Arial" w:eastAsia="Arial" w:hAnsi="Arial" w:cs="Arial"/>
          <w:sz w:val="24"/>
          <w:szCs w:val="24"/>
        </w:rPr>
        <w:t xml:space="preserve"> and Jalgaon also improved notably, reaching EEI values of 0.6724 and 0.5071, respectively, by 2021.</w:t>
      </w:r>
    </w:p>
    <w:p w:rsidR="00514E52" w:rsidRDefault="0069353D">
      <w:pPr>
        <w:shd w:val="clear" w:color="auto" w:fill="FFFFFF"/>
        <w:spacing w:after="0" w:line="360" w:lineRule="auto"/>
        <w:jc w:val="both"/>
        <w:rPr>
          <w:rFonts w:ascii="Arial" w:eastAsia="Arial" w:hAnsi="Arial" w:cs="Arial"/>
          <w:sz w:val="24"/>
          <w:szCs w:val="24"/>
        </w:rPr>
        <w:sectPr w:rsidR="00514E52">
          <w:headerReference w:type="even" r:id="rId7"/>
          <w:headerReference w:type="default" r:id="rId8"/>
          <w:footerReference w:type="even" r:id="rId9"/>
          <w:footerReference w:type="default" r:id="rId10"/>
          <w:headerReference w:type="first" r:id="rId11"/>
          <w:footerReference w:type="first" r:id="rId12"/>
          <w:pgSz w:w="11909" w:h="16834"/>
          <w:pgMar w:top="567" w:right="567" w:bottom="567" w:left="567" w:header="567" w:footer="567" w:gutter="0"/>
          <w:pgNumType w:start="1"/>
          <w:cols w:space="720"/>
          <w:titlePg/>
        </w:sectPr>
      </w:pPr>
      <w:r>
        <w:rPr>
          <w:rFonts w:ascii="Arial" w:eastAsia="Arial" w:hAnsi="Arial" w:cs="Arial"/>
          <w:sz w:val="24"/>
          <w:szCs w:val="24"/>
        </w:rPr>
        <w:t>At the regional level, western Maharashtra’s EEI steadily increased from 0.3728 (1961) to 0.5016 (2021), indicating overall progress in agricultural economic efficiency across the decades.</w:t>
      </w:r>
    </w:p>
    <w:p w:rsidR="00514E52" w:rsidRDefault="0069353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lastRenderedPageBreak/>
        <w:t>Table 2</w:t>
      </w:r>
      <w:r w:rsidR="00AD7544">
        <w:rPr>
          <w:rFonts w:ascii="Arial" w:eastAsia="Arial" w:hAnsi="Arial" w:cs="Arial"/>
          <w:b/>
          <w:bCs/>
          <w:sz w:val="24"/>
          <w:szCs w:val="24"/>
        </w:rPr>
        <w:t xml:space="preserve">. </w:t>
      </w:r>
      <w:r>
        <w:rPr>
          <w:rFonts w:ascii="Arial" w:eastAsia="Arial" w:hAnsi="Arial" w:cs="Arial"/>
          <w:b/>
          <w:bCs/>
          <w:sz w:val="24"/>
          <w:szCs w:val="24"/>
        </w:rPr>
        <w:t>District-wise ecological security indices</w:t>
      </w:r>
    </w:p>
    <w:tbl>
      <w:tblPr>
        <w:tblStyle w:val="a0"/>
        <w:tblW w:w="15722"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750"/>
        <w:gridCol w:w="704"/>
        <w:gridCol w:w="705"/>
        <w:gridCol w:w="705"/>
        <w:gridCol w:w="702"/>
        <w:gridCol w:w="705"/>
        <w:gridCol w:w="705"/>
        <w:gridCol w:w="705"/>
        <w:gridCol w:w="702"/>
        <w:gridCol w:w="705"/>
        <w:gridCol w:w="705"/>
        <w:gridCol w:w="705"/>
        <w:gridCol w:w="802"/>
        <w:gridCol w:w="609"/>
        <w:gridCol w:w="802"/>
        <w:gridCol w:w="609"/>
        <w:gridCol w:w="802"/>
        <w:gridCol w:w="609"/>
        <w:gridCol w:w="802"/>
        <w:gridCol w:w="609"/>
      </w:tblGrid>
      <w:tr w:rsidR="00514E52">
        <w:trPr>
          <w:trHeight w:val="308"/>
        </w:trPr>
        <w:tc>
          <w:tcPr>
            <w:tcW w:w="1580" w:type="dxa"/>
            <w:vMerge w:val="restart"/>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District</w:t>
            </w:r>
          </w:p>
        </w:tc>
        <w:tc>
          <w:tcPr>
            <w:tcW w:w="2864"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Ecological burden index</w:t>
            </w:r>
          </w:p>
        </w:tc>
        <w:tc>
          <w:tcPr>
            <w:tcW w:w="2817"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Soil fertility index</w:t>
            </w:r>
          </w:p>
        </w:tc>
        <w:tc>
          <w:tcPr>
            <w:tcW w:w="2817"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Land use index</w:t>
            </w:r>
          </w:p>
        </w:tc>
        <w:tc>
          <w:tcPr>
            <w:tcW w:w="5644" w:type="dxa"/>
            <w:gridSpan w:val="8"/>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Ecological Security Index (ESI)</w:t>
            </w:r>
          </w:p>
        </w:tc>
      </w:tr>
      <w:tr w:rsidR="00514E52">
        <w:trPr>
          <w:trHeight w:val="308"/>
        </w:trPr>
        <w:tc>
          <w:tcPr>
            <w:tcW w:w="1580"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b/>
                <w:bCs/>
                <w:sz w:val="24"/>
                <w:szCs w:val="24"/>
              </w:rPr>
            </w:pP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802"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1961</w:t>
            </w:r>
          </w:p>
        </w:tc>
        <w:tc>
          <w:tcPr>
            <w:tcW w:w="609"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1981</w:t>
            </w:r>
          </w:p>
        </w:tc>
        <w:tc>
          <w:tcPr>
            <w:tcW w:w="609"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2001</w:t>
            </w:r>
          </w:p>
        </w:tc>
        <w:tc>
          <w:tcPr>
            <w:tcW w:w="609"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2021</w:t>
            </w:r>
          </w:p>
        </w:tc>
        <w:tc>
          <w:tcPr>
            <w:tcW w:w="609"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Ahmednagar</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0.4930</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0.5291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0.4664</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0.5091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Pune</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0.4882</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0.3747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0.1133</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0.2464</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Solapur</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0.80</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0.84</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0.94</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0.04</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0.2784</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0.4876</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0.2834</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0.3701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r>
      <w:tr w:rsidR="00514E52">
        <w:trPr>
          <w:trHeight w:val="308"/>
        </w:trPr>
        <w:tc>
          <w:tcPr>
            <w:tcW w:w="1580" w:type="dxa"/>
            <w:vAlign w:val="bottom"/>
          </w:tcPr>
          <w:p w:rsidR="00514E52" w:rsidRDefault="0069353D">
            <w:pPr>
              <w:rPr>
                <w:rFonts w:ascii="Arial" w:eastAsia="Arial" w:hAnsi="Arial" w:cs="Arial"/>
                <w:sz w:val="24"/>
                <w:szCs w:val="24"/>
              </w:rPr>
            </w:pPr>
            <w:proofErr w:type="spellStart"/>
            <w:r>
              <w:rPr>
                <w:rFonts w:ascii="Arial" w:eastAsia="Arial" w:hAnsi="Arial" w:cs="Arial"/>
                <w:sz w:val="24"/>
                <w:szCs w:val="24"/>
              </w:rPr>
              <w:t>Satara</w:t>
            </w:r>
            <w:proofErr w:type="spellEnd"/>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0.64</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0.94</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0.4876</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0.6806</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0.4022</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0.3771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r>
      <w:tr w:rsidR="00514E52">
        <w:trPr>
          <w:trHeight w:val="308"/>
        </w:trPr>
        <w:tc>
          <w:tcPr>
            <w:tcW w:w="1580" w:type="dxa"/>
            <w:vAlign w:val="bottom"/>
          </w:tcPr>
          <w:p w:rsidR="00514E52" w:rsidRDefault="0069353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0.57</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0.82</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0.04</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0.2627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0.3158</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0.3241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Kolhapur</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0.1311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0.129</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0.4428</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0.3178</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Nashik</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0.85</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0.76</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0.47</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0.22</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0.5867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0.6183</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0.305</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0.3635</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Jalgaon</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0.57</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0.62</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0.74</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0.18</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0.59</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0.3934</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0.5071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0.5163</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0.5027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r>
      <w:tr w:rsidR="00514E52">
        <w:trPr>
          <w:trHeight w:val="308"/>
        </w:trPr>
        <w:tc>
          <w:tcPr>
            <w:tcW w:w="1580" w:type="dxa"/>
            <w:vAlign w:val="bottom"/>
          </w:tcPr>
          <w:p w:rsidR="00514E52" w:rsidRDefault="0069353D">
            <w:pPr>
              <w:rPr>
                <w:rFonts w:ascii="Arial" w:eastAsia="Arial" w:hAnsi="Arial" w:cs="Arial"/>
                <w:sz w:val="24"/>
                <w:szCs w:val="24"/>
              </w:rPr>
            </w:pPr>
            <w:r>
              <w:rPr>
                <w:rFonts w:ascii="Arial" w:eastAsia="Arial" w:hAnsi="Arial" w:cs="Arial"/>
                <w:sz w:val="24"/>
                <w:szCs w:val="24"/>
              </w:rPr>
              <w:t>Dhule</w:t>
            </w:r>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0.98</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0.93</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0.95</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0.68</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0.01</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0.61</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0.9938</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0.8925</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0.4818</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0.6571</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r>
      <w:tr w:rsidR="00514E52">
        <w:trPr>
          <w:trHeight w:val="308"/>
        </w:trPr>
        <w:tc>
          <w:tcPr>
            <w:tcW w:w="1580"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Nandurbar</w:t>
            </w:r>
            <w:proofErr w:type="spellEnd"/>
          </w:p>
        </w:tc>
        <w:tc>
          <w:tcPr>
            <w:tcW w:w="75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0.92</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0.6667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0.9729</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r>
      <w:tr w:rsidR="00514E52">
        <w:trPr>
          <w:trHeight w:val="308"/>
        </w:trPr>
        <w:tc>
          <w:tcPr>
            <w:tcW w:w="2330" w:type="dxa"/>
            <w:gridSpan w:val="2"/>
            <w:vAlign w:val="center"/>
          </w:tcPr>
          <w:p w:rsidR="00514E52" w:rsidRDefault="0069353D">
            <w:pPr>
              <w:rPr>
                <w:rFonts w:ascii="Arial" w:eastAsia="Arial" w:hAnsi="Arial" w:cs="Arial"/>
                <w:sz w:val="24"/>
                <w:szCs w:val="24"/>
              </w:rPr>
            </w:pPr>
            <w:r>
              <w:rPr>
                <w:rFonts w:ascii="Arial" w:eastAsia="Arial" w:hAnsi="Arial" w:cs="Arial"/>
                <w:sz w:val="24"/>
                <w:szCs w:val="24"/>
              </w:rPr>
              <w:t>Western Maharashtra</w:t>
            </w:r>
          </w:p>
        </w:tc>
        <w:tc>
          <w:tcPr>
            <w:tcW w:w="70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0.4572</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0.5039</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0.4002</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0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0.4637</w:t>
            </w:r>
          </w:p>
        </w:tc>
        <w:tc>
          <w:tcPr>
            <w:tcW w:w="60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r>
    </w:tbl>
    <w:p w:rsidR="00514E52" w:rsidRDefault="0069353D">
      <w:pPr>
        <w:rPr>
          <w:rFonts w:ascii="Arial" w:eastAsia="Arial" w:hAnsi="Arial" w:cs="Arial"/>
          <w:sz w:val="24"/>
          <w:szCs w:val="24"/>
        </w:rPr>
      </w:pPr>
      <w:r>
        <w:rPr>
          <w:rFonts w:ascii="Arial" w:eastAsia="Arial" w:hAnsi="Arial" w:cs="Arial"/>
          <w:b/>
          <w:bCs/>
          <w:sz w:val="24"/>
          <w:szCs w:val="24"/>
        </w:rPr>
        <w:t>Table 3</w:t>
      </w:r>
      <w:r w:rsidR="00AD7544">
        <w:rPr>
          <w:rFonts w:ascii="Arial" w:eastAsia="Arial" w:hAnsi="Arial" w:cs="Arial"/>
          <w:b/>
          <w:bCs/>
          <w:sz w:val="24"/>
          <w:szCs w:val="24"/>
        </w:rPr>
        <w:t xml:space="preserve">. </w:t>
      </w:r>
      <w:r>
        <w:rPr>
          <w:rFonts w:ascii="Arial" w:eastAsia="Arial" w:hAnsi="Arial" w:cs="Arial"/>
          <w:b/>
          <w:bCs/>
          <w:sz w:val="24"/>
          <w:szCs w:val="24"/>
        </w:rPr>
        <w:t>District-wise economic efficiency indices</w:t>
      </w:r>
    </w:p>
    <w:tbl>
      <w:tblPr>
        <w:tblStyle w:val="a1"/>
        <w:tblW w:w="15720"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767"/>
        <w:gridCol w:w="685"/>
        <w:gridCol w:w="685"/>
        <w:gridCol w:w="689"/>
        <w:gridCol w:w="648"/>
        <w:gridCol w:w="648"/>
        <w:gridCol w:w="648"/>
        <w:gridCol w:w="648"/>
        <w:gridCol w:w="739"/>
        <w:gridCol w:w="739"/>
        <w:gridCol w:w="739"/>
        <w:gridCol w:w="739"/>
        <w:gridCol w:w="777"/>
        <w:gridCol w:w="663"/>
        <w:gridCol w:w="777"/>
        <w:gridCol w:w="663"/>
        <w:gridCol w:w="777"/>
        <w:gridCol w:w="663"/>
        <w:gridCol w:w="777"/>
        <w:gridCol w:w="651"/>
      </w:tblGrid>
      <w:tr w:rsidR="00514E52">
        <w:trPr>
          <w:trHeight w:val="314"/>
        </w:trPr>
        <w:tc>
          <w:tcPr>
            <w:tcW w:w="1599" w:type="dxa"/>
            <w:vMerge w:val="restart"/>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District</w:t>
            </w:r>
          </w:p>
        </w:tc>
        <w:tc>
          <w:tcPr>
            <w:tcW w:w="2826"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Food security index</w:t>
            </w:r>
          </w:p>
        </w:tc>
        <w:tc>
          <w:tcPr>
            <w:tcW w:w="2592"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Famers income index</w:t>
            </w:r>
          </w:p>
        </w:tc>
        <w:tc>
          <w:tcPr>
            <w:tcW w:w="2956"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Water availability index</w:t>
            </w:r>
          </w:p>
        </w:tc>
        <w:tc>
          <w:tcPr>
            <w:tcW w:w="5748" w:type="dxa"/>
            <w:gridSpan w:val="8"/>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Economic Efficiency Index (EEI)</w:t>
            </w:r>
          </w:p>
        </w:tc>
      </w:tr>
      <w:tr w:rsidR="00514E52">
        <w:trPr>
          <w:trHeight w:val="314"/>
        </w:trPr>
        <w:tc>
          <w:tcPr>
            <w:tcW w:w="1599"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b/>
                <w:bCs/>
                <w:sz w:val="24"/>
                <w:szCs w:val="24"/>
              </w:rPr>
            </w:pP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777"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1961</w:t>
            </w:r>
          </w:p>
        </w:tc>
        <w:tc>
          <w:tcPr>
            <w:tcW w:w="663"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1981</w:t>
            </w:r>
          </w:p>
        </w:tc>
        <w:tc>
          <w:tcPr>
            <w:tcW w:w="663"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2001</w:t>
            </w:r>
          </w:p>
        </w:tc>
        <w:tc>
          <w:tcPr>
            <w:tcW w:w="663"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2021</w:t>
            </w:r>
          </w:p>
        </w:tc>
        <w:tc>
          <w:tcPr>
            <w:tcW w:w="651"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Ahmednagar</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0.14</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0.35</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0.88</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0.83</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0.6085</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0.4575</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0.3709</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0.4054</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Pune</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0.59</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0.38</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0.65</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0.64</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0.77</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0.4526</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0.4047</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0.5898</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0.7425</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Solapur</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0.03</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0.04</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0.79</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0.72</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0.3903</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0.2806</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0.532</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0.4781</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r>
      <w:tr w:rsidR="00514E52">
        <w:trPr>
          <w:trHeight w:val="314"/>
        </w:trPr>
        <w:tc>
          <w:tcPr>
            <w:tcW w:w="1599"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Satara</w:t>
            </w:r>
            <w:proofErr w:type="spellEnd"/>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0.36</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0.77</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0.82</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0.92</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0.74</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0.5019</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0.6246</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0.714</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0.5946</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r>
      <w:tr w:rsidR="00514E52">
        <w:trPr>
          <w:trHeight w:val="314"/>
        </w:trPr>
        <w:tc>
          <w:tcPr>
            <w:tcW w:w="1599"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0.93</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0.52</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0.3622</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0.3244</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0.6037</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0.6724</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Kolhapur</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0.47</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0.672</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0.8018</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0.7313</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0.6964</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Nashik</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0.01</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0.78</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0.99</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0.1642</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0.4466</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0.5377</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0.635</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Jalgaon</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0.92</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0.15</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0.1529</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0.341</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0.2992</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0.5071</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r>
      <w:tr w:rsidR="00514E52">
        <w:trPr>
          <w:trHeight w:val="314"/>
        </w:trPr>
        <w:tc>
          <w:tcPr>
            <w:tcW w:w="1599" w:type="dxa"/>
            <w:vAlign w:val="center"/>
          </w:tcPr>
          <w:p w:rsidR="00514E52" w:rsidRDefault="0069353D">
            <w:pPr>
              <w:rPr>
                <w:rFonts w:ascii="Arial" w:eastAsia="Arial" w:hAnsi="Arial" w:cs="Arial"/>
                <w:sz w:val="24"/>
                <w:szCs w:val="24"/>
              </w:rPr>
            </w:pPr>
            <w:r>
              <w:rPr>
                <w:rFonts w:ascii="Arial" w:eastAsia="Arial" w:hAnsi="Arial" w:cs="Arial"/>
                <w:sz w:val="24"/>
                <w:szCs w:val="24"/>
              </w:rPr>
              <w:t>Dhule</w:t>
            </w:r>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0.15</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0.20</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0.01</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0.08</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0.0503</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0.0676</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0.0313</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0.1733</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r>
      <w:tr w:rsidR="00514E52">
        <w:trPr>
          <w:trHeight w:val="314"/>
        </w:trPr>
        <w:tc>
          <w:tcPr>
            <w:tcW w:w="1599"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Nandurbar</w:t>
            </w:r>
            <w:proofErr w:type="spellEnd"/>
          </w:p>
        </w:tc>
        <w:tc>
          <w:tcPr>
            <w:tcW w:w="76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0.0889</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0.1114</w:t>
            </w:r>
          </w:p>
        </w:tc>
        <w:tc>
          <w:tcPr>
            <w:tcW w:w="65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r>
      <w:tr w:rsidR="00514E52">
        <w:trPr>
          <w:trHeight w:val="314"/>
        </w:trPr>
        <w:tc>
          <w:tcPr>
            <w:tcW w:w="2366" w:type="dxa"/>
            <w:gridSpan w:val="2"/>
            <w:vAlign w:val="center"/>
          </w:tcPr>
          <w:p w:rsidR="00514E52" w:rsidRDefault="0069353D">
            <w:pPr>
              <w:rPr>
                <w:rFonts w:ascii="Arial" w:eastAsia="Arial" w:hAnsi="Arial" w:cs="Arial"/>
                <w:sz w:val="24"/>
                <w:szCs w:val="24"/>
              </w:rPr>
            </w:pPr>
            <w:r>
              <w:rPr>
                <w:rFonts w:ascii="Arial" w:eastAsia="Arial" w:hAnsi="Arial" w:cs="Arial"/>
                <w:sz w:val="24"/>
                <w:szCs w:val="24"/>
              </w:rPr>
              <w:t>Western Maharashtra</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8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0.3728</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0.4165</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0.4499</w:t>
            </w:r>
          </w:p>
        </w:tc>
        <w:tc>
          <w:tcPr>
            <w:tcW w:w="663"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0.5016</w:t>
            </w:r>
          </w:p>
        </w:tc>
        <w:tc>
          <w:tcPr>
            <w:tcW w:w="651" w:type="dxa"/>
            <w:vAlign w:val="center"/>
          </w:tcPr>
          <w:p w:rsidR="00514E52" w:rsidRDefault="00514E52">
            <w:pPr>
              <w:jc w:val="center"/>
              <w:rPr>
                <w:rFonts w:ascii="Arial" w:eastAsia="Arial" w:hAnsi="Arial" w:cs="Arial"/>
                <w:sz w:val="24"/>
                <w:szCs w:val="24"/>
              </w:rPr>
            </w:pPr>
          </w:p>
        </w:tc>
      </w:tr>
    </w:tbl>
    <w:p w:rsidR="00514E52" w:rsidRDefault="00514E52">
      <w:pPr>
        <w:rPr>
          <w:rFonts w:ascii="Arial" w:eastAsia="Arial" w:hAnsi="Arial" w:cs="Arial"/>
          <w:sz w:val="24"/>
          <w:szCs w:val="24"/>
        </w:rPr>
        <w:sectPr w:rsidR="00514E52">
          <w:pgSz w:w="16834" w:h="11909" w:orient="landscape"/>
          <w:pgMar w:top="567" w:right="567" w:bottom="567" w:left="567" w:header="709" w:footer="709" w:gutter="0"/>
          <w:cols w:space="720"/>
        </w:sectPr>
      </w:pPr>
    </w:p>
    <w:p w:rsidR="00514E52" w:rsidRDefault="0069353D">
      <w:pPr>
        <w:rPr>
          <w:rFonts w:ascii="Arial" w:eastAsia="Arial" w:hAnsi="Arial" w:cs="Arial"/>
          <w:sz w:val="24"/>
          <w:szCs w:val="24"/>
        </w:rPr>
      </w:pPr>
      <w:r>
        <w:rPr>
          <w:rFonts w:ascii="Arial" w:eastAsia="Arial" w:hAnsi="Arial" w:cs="Arial"/>
          <w:b/>
          <w:bCs/>
          <w:sz w:val="24"/>
          <w:szCs w:val="24"/>
        </w:rPr>
        <w:lastRenderedPageBreak/>
        <w:t>Table 4</w:t>
      </w:r>
      <w:r w:rsidR="00AD7544">
        <w:rPr>
          <w:rFonts w:ascii="Arial" w:eastAsia="Arial" w:hAnsi="Arial" w:cs="Arial"/>
          <w:b/>
          <w:bCs/>
          <w:sz w:val="24"/>
          <w:szCs w:val="24"/>
        </w:rPr>
        <w:t xml:space="preserve">. </w:t>
      </w:r>
      <w:r>
        <w:rPr>
          <w:rFonts w:ascii="Arial" w:eastAsia="Arial" w:hAnsi="Arial" w:cs="Arial"/>
          <w:b/>
          <w:bCs/>
          <w:sz w:val="24"/>
          <w:szCs w:val="24"/>
        </w:rPr>
        <w:t>District-wise social equity indices</w:t>
      </w:r>
    </w:p>
    <w:tbl>
      <w:tblPr>
        <w:tblStyle w:val="a2"/>
        <w:tblW w:w="15628"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31"/>
        <w:gridCol w:w="628"/>
        <w:gridCol w:w="628"/>
        <w:gridCol w:w="628"/>
        <w:gridCol w:w="622"/>
        <w:gridCol w:w="622"/>
        <w:gridCol w:w="622"/>
        <w:gridCol w:w="628"/>
        <w:gridCol w:w="697"/>
        <w:gridCol w:w="697"/>
        <w:gridCol w:w="697"/>
        <w:gridCol w:w="700"/>
        <w:gridCol w:w="810"/>
        <w:gridCol w:w="691"/>
        <w:gridCol w:w="810"/>
        <w:gridCol w:w="691"/>
        <w:gridCol w:w="810"/>
        <w:gridCol w:w="691"/>
        <w:gridCol w:w="810"/>
        <w:gridCol w:w="678"/>
      </w:tblGrid>
      <w:tr w:rsidR="00514E52">
        <w:trPr>
          <w:trHeight w:val="253"/>
        </w:trPr>
        <w:tc>
          <w:tcPr>
            <w:tcW w:w="1737" w:type="dxa"/>
            <w:vMerge w:val="restart"/>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District</w:t>
            </w:r>
          </w:p>
        </w:tc>
        <w:tc>
          <w:tcPr>
            <w:tcW w:w="2615"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Gender equity index</w:t>
            </w:r>
          </w:p>
        </w:tc>
        <w:tc>
          <w:tcPr>
            <w:tcW w:w="2494"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Health service index</w:t>
            </w:r>
          </w:p>
        </w:tc>
        <w:tc>
          <w:tcPr>
            <w:tcW w:w="2791" w:type="dxa"/>
            <w:gridSpan w:val="4"/>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Education status index</w:t>
            </w:r>
          </w:p>
        </w:tc>
        <w:tc>
          <w:tcPr>
            <w:tcW w:w="5991" w:type="dxa"/>
            <w:gridSpan w:val="8"/>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Social Equity Index (SEI)</w:t>
            </w:r>
          </w:p>
        </w:tc>
      </w:tr>
      <w:tr w:rsidR="00514E52">
        <w:trPr>
          <w:trHeight w:val="253"/>
        </w:trPr>
        <w:tc>
          <w:tcPr>
            <w:tcW w:w="1737" w:type="dxa"/>
            <w:vMerge/>
            <w:vAlign w:val="center"/>
          </w:tcPr>
          <w:p w:rsidR="00514E52" w:rsidRDefault="00514E52">
            <w:pPr>
              <w:widowControl w:val="0"/>
              <w:pBdr>
                <w:top w:val="nil"/>
                <w:left w:val="nil"/>
                <w:bottom w:val="nil"/>
                <w:right w:val="nil"/>
                <w:between w:val="nil"/>
              </w:pBdr>
              <w:spacing w:line="276" w:lineRule="auto"/>
              <w:rPr>
                <w:rFonts w:ascii="Arial" w:eastAsia="Arial" w:hAnsi="Arial" w:cs="Arial"/>
                <w:b/>
                <w:bCs/>
                <w:sz w:val="24"/>
                <w:szCs w:val="24"/>
              </w:rPr>
            </w:pP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1961</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1981</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2001</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2021</w:t>
            </w:r>
          </w:p>
        </w:tc>
        <w:tc>
          <w:tcPr>
            <w:tcW w:w="810"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1961</w:t>
            </w:r>
          </w:p>
        </w:tc>
        <w:tc>
          <w:tcPr>
            <w:tcW w:w="691"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1981</w:t>
            </w:r>
          </w:p>
        </w:tc>
        <w:tc>
          <w:tcPr>
            <w:tcW w:w="691"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2001</w:t>
            </w:r>
          </w:p>
        </w:tc>
        <w:tc>
          <w:tcPr>
            <w:tcW w:w="691"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2021</w:t>
            </w:r>
          </w:p>
        </w:tc>
        <w:tc>
          <w:tcPr>
            <w:tcW w:w="678"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Ahmednagar</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0.34</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0.35</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0.1663</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0.2122</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0.3965</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Pune</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0.6919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0.6667</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0.6667</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0.6667</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Solapur</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0.03</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0.36</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0.21</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0.62</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0.64</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0.0546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0.1649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0.5088</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0.4422</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r>
      <w:tr w:rsidR="00514E52">
        <w:trPr>
          <w:trHeight w:val="253"/>
        </w:trPr>
        <w:tc>
          <w:tcPr>
            <w:tcW w:w="1737"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Satara</w:t>
            </w:r>
            <w:proofErr w:type="spellEnd"/>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0.78</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0.04</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0.13</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0.91</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0.93</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0.6869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0.5428</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0.679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0.6042</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r>
      <w:tr w:rsidR="00514E52">
        <w:trPr>
          <w:trHeight w:val="253"/>
        </w:trPr>
        <w:tc>
          <w:tcPr>
            <w:tcW w:w="1737"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0.67</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0.14</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0.85</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0.88</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0.1945</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0.3096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0.5336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0.5391</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Kolhapur</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0.46</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0.09</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0.14</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0.86</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0.97</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0.1621</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0.2689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0.5499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0.588</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Nashik</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0.09</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0.05</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0.66</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0.49</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0.74</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0.95</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0.1145</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0.1713</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0.5038</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0.58</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Jalgaon</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0.11</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0.19</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0.14</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0.04</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0.97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0.64</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0.80</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0.63</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0.4266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0.2646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0.4285</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0.3145</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r>
      <w:tr w:rsidR="00514E52">
        <w:trPr>
          <w:trHeight w:val="253"/>
        </w:trPr>
        <w:tc>
          <w:tcPr>
            <w:tcW w:w="1737" w:type="dxa"/>
            <w:vAlign w:val="center"/>
          </w:tcPr>
          <w:p w:rsidR="00514E52" w:rsidRDefault="0069353D">
            <w:pPr>
              <w:rPr>
                <w:rFonts w:ascii="Arial" w:eastAsia="Arial" w:hAnsi="Arial" w:cs="Arial"/>
                <w:sz w:val="24"/>
                <w:szCs w:val="24"/>
              </w:rPr>
            </w:pPr>
            <w:r>
              <w:rPr>
                <w:rFonts w:ascii="Arial" w:eastAsia="Arial" w:hAnsi="Arial" w:cs="Arial"/>
                <w:sz w:val="24"/>
                <w:szCs w:val="24"/>
              </w:rPr>
              <w:t>Dhule</w:t>
            </w:r>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0.23</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0.76</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0.14</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0.02</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0.1003</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0.0782</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0.3019</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0.4369</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r>
      <w:tr w:rsidR="00514E52">
        <w:trPr>
          <w:trHeight w:val="253"/>
        </w:trPr>
        <w:tc>
          <w:tcPr>
            <w:tcW w:w="1737"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Nandurbar</w:t>
            </w:r>
            <w:proofErr w:type="spellEnd"/>
          </w:p>
        </w:tc>
        <w:tc>
          <w:tcPr>
            <w:tcW w:w="73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0.76</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0.84</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0.00</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0.2545</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0.2793</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r>
      <w:tr w:rsidR="00514E52">
        <w:trPr>
          <w:trHeight w:val="253"/>
        </w:trPr>
        <w:tc>
          <w:tcPr>
            <w:tcW w:w="2468" w:type="dxa"/>
            <w:gridSpan w:val="2"/>
            <w:vAlign w:val="center"/>
          </w:tcPr>
          <w:p w:rsidR="00514E52" w:rsidRDefault="0069353D">
            <w:pPr>
              <w:rPr>
                <w:rFonts w:ascii="Arial" w:eastAsia="Arial" w:hAnsi="Arial" w:cs="Arial"/>
                <w:sz w:val="24"/>
                <w:szCs w:val="24"/>
              </w:rPr>
            </w:pPr>
            <w:r>
              <w:rPr>
                <w:rFonts w:ascii="Arial" w:eastAsia="Arial" w:hAnsi="Arial" w:cs="Arial"/>
                <w:sz w:val="24"/>
                <w:szCs w:val="24"/>
              </w:rPr>
              <w:t>Western Maharashtra</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0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0.2886</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0.2977</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0.4757</w:t>
            </w:r>
          </w:p>
        </w:tc>
        <w:tc>
          <w:tcPr>
            <w:tcW w:w="691"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0.4847</w:t>
            </w:r>
          </w:p>
        </w:tc>
        <w:tc>
          <w:tcPr>
            <w:tcW w:w="67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r>
    </w:tbl>
    <w:p w:rsidR="00514E52" w:rsidRDefault="00514E52">
      <w:pPr>
        <w:spacing w:line="360" w:lineRule="auto"/>
        <w:jc w:val="both"/>
        <w:rPr>
          <w:rFonts w:ascii="Arial" w:eastAsia="Arial" w:hAnsi="Arial" w:cs="Arial"/>
          <w:b/>
          <w:bCs/>
          <w:sz w:val="24"/>
          <w:szCs w:val="24"/>
        </w:rPr>
        <w:sectPr w:rsidR="00514E52">
          <w:pgSz w:w="16834" w:h="11909" w:orient="landscape"/>
          <w:pgMar w:top="567" w:right="567" w:bottom="567" w:left="567" w:header="709" w:footer="709" w:gutter="0"/>
          <w:cols w:space="720"/>
        </w:sectPr>
      </w:pPr>
    </w:p>
    <w:p w:rsidR="00514E52" w:rsidRDefault="0069353D">
      <w:r>
        <w:rPr>
          <w:noProof/>
        </w:rPr>
        <w:lastRenderedPageBreak/>
        <w:drawing>
          <wp:inline distT="0" distB="0" distL="0" distR="0">
            <wp:extent cx="5981700" cy="428639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81700" cy="4286396"/>
                    </a:xfrm>
                    <a:prstGeom prst="rect">
                      <a:avLst/>
                    </a:prstGeom>
                    <a:ln/>
                  </pic:spPr>
                </pic:pic>
              </a:graphicData>
            </a:graphic>
          </wp:inline>
        </w:drawing>
      </w:r>
    </w:p>
    <w:p w:rsidR="00514E52" w:rsidRDefault="0069353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w:t>
      </w:r>
      <w:r w:rsidR="00AD7544" w:rsidRPr="00AD7544">
        <w:rPr>
          <w:rFonts w:ascii="Times New Roman" w:eastAsia="Times New Roman" w:hAnsi="Times New Roman" w:cs="Times New Roman"/>
          <w:b/>
          <w:bCs/>
          <w:sz w:val="24"/>
          <w:szCs w:val="24"/>
        </w:rPr>
        <w:t xml:space="preserve">Radar chart showing the </w:t>
      </w:r>
      <w:r>
        <w:rPr>
          <w:rFonts w:ascii="Times New Roman" w:eastAsia="Times New Roman" w:hAnsi="Times New Roman" w:cs="Times New Roman"/>
          <w:b/>
          <w:bCs/>
          <w:sz w:val="24"/>
          <w:szCs w:val="24"/>
        </w:rPr>
        <w:t>District wise Ecological Security Indices</w:t>
      </w:r>
    </w:p>
    <w:p w:rsidR="00514E52" w:rsidRDefault="0069353D">
      <w:r>
        <w:rPr>
          <w:noProof/>
        </w:rPr>
        <w:drawing>
          <wp:inline distT="0" distB="0" distL="0" distR="0">
            <wp:extent cx="5981700" cy="4343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81700" cy="4343400"/>
                    </a:xfrm>
                    <a:prstGeom prst="rect">
                      <a:avLst/>
                    </a:prstGeom>
                    <a:ln/>
                  </pic:spPr>
                </pic:pic>
              </a:graphicData>
            </a:graphic>
          </wp:inline>
        </w:drawing>
      </w:r>
    </w:p>
    <w:p w:rsidR="00514E52" w:rsidRDefault="0069353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AD7544">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AD7544" w:rsidRPr="00AD7544">
        <w:rPr>
          <w:rFonts w:ascii="Times New Roman" w:eastAsia="Times New Roman" w:hAnsi="Times New Roman" w:cs="Times New Roman"/>
          <w:b/>
          <w:bCs/>
          <w:sz w:val="24"/>
          <w:szCs w:val="24"/>
        </w:rPr>
        <w:t xml:space="preserve">Radar chart showing the </w:t>
      </w:r>
      <w:r>
        <w:rPr>
          <w:rFonts w:ascii="Times New Roman" w:eastAsia="Times New Roman" w:hAnsi="Times New Roman" w:cs="Times New Roman"/>
          <w:b/>
          <w:bCs/>
          <w:sz w:val="24"/>
          <w:szCs w:val="24"/>
        </w:rPr>
        <w:t>District wise Economic Efficiency Indices</w:t>
      </w:r>
    </w:p>
    <w:p w:rsidR="00514E52" w:rsidRDefault="0069353D">
      <w:pPr>
        <w:rPr>
          <w:rFonts w:ascii="Times New Roman" w:eastAsia="Times New Roman" w:hAnsi="Times New Roman" w:cs="Times New Roman"/>
          <w:b/>
          <w:bCs/>
          <w:sz w:val="24"/>
          <w:szCs w:val="24"/>
        </w:rPr>
      </w:pPr>
      <w:r>
        <w:rPr>
          <w:noProof/>
        </w:rPr>
        <w:lastRenderedPageBreak/>
        <w:drawing>
          <wp:inline distT="0" distB="0" distL="0" distR="0">
            <wp:extent cx="6031523" cy="430823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031523" cy="4308230"/>
                    </a:xfrm>
                    <a:prstGeom prst="rect">
                      <a:avLst/>
                    </a:prstGeom>
                    <a:ln/>
                  </pic:spPr>
                </pic:pic>
              </a:graphicData>
            </a:graphic>
          </wp:inline>
        </w:drawing>
      </w:r>
    </w:p>
    <w:p w:rsidR="00514E52" w:rsidRDefault="0069353D">
      <w:pPr>
        <w:jc w:val="center"/>
        <w:rPr>
          <w:rFonts w:ascii="Times New Roman" w:eastAsia="Times New Roman" w:hAnsi="Times New Roman" w:cs="Times New Roman"/>
          <w:b/>
          <w:bCs/>
          <w:sz w:val="24"/>
          <w:szCs w:val="24"/>
        </w:rPr>
      </w:pPr>
      <w:bookmarkStart w:id="0" w:name="_17ayr2d055py" w:colFirst="0" w:colLast="0"/>
      <w:bookmarkEnd w:id="0"/>
      <w:r>
        <w:rPr>
          <w:rFonts w:ascii="Times New Roman" w:eastAsia="Times New Roman" w:hAnsi="Times New Roman" w:cs="Times New Roman"/>
          <w:b/>
          <w:bCs/>
          <w:sz w:val="24"/>
          <w:szCs w:val="24"/>
        </w:rPr>
        <w:t xml:space="preserve">Figure </w:t>
      </w:r>
      <w:r w:rsidR="00AD754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r w:rsidR="00AD7544" w:rsidRPr="00AD7544">
        <w:rPr>
          <w:rFonts w:ascii="Times New Roman" w:eastAsia="Times New Roman" w:hAnsi="Times New Roman" w:cs="Times New Roman"/>
          <w:b/>
          <w:bCs/>
          <w:sz w:val="24"/>
          <w:szCs w:val="24"/>
        </w:rPr>
        <w:t xml:space="preserve">Radar chart showing the </w:t>
      </w:r>
      <w:r>
        <w:rPr>
          <w:rFonts w:ascii="Times New Roman" w:eastAsia="Times New Roman" w:hAnsi="Times New Roman" w:cs="Times New Roman"/>
          <w:b/>
          <w:bCs/>
          <w:sz w:val="24"/>
          <w:szCs w:val="24"/>
        </w:rPr>
        <w:t>District wise Social Equity Indices</w:t>
      </w:r>
    </w:p>
    <w:p w:rsidR="00514E52" w:rsidRDefault="0069353D">
      <w:r>
        <w:rPr>
          <w:noProof/>
        </w:rPr>
        <w:drawing>
          <wp:inline distT="0" distB="0" distL="0" distR="0">
            <wp:extent cx="6000798" cy="443894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00798" cy="4438944"/>
                    </a:xfrm>
                    <a:prstGeom prst="rect">
                      <a:avLst/>
                    </a:prstGeom>
                    <a:ln/>
                  </pic:spPr>
                </pic:pic>
              </a:graphicData>
            </a:graphic>
          </wp:inline>
        </w:drawing>
      </w:r>
    </w:p>
    <w:p w:rsidR="00514E52" w:rsidRDefault="0069353D">
      <w:pPr>
        <w:jc w:val="center"/>
        <w:rPr>
          <w:rFonts w:ascii="Times New Roman" w:eastAsia="Times New Roman" w:hAnsi="Times New Roman" w:cs="Times New Roman"/>
          <w:b/>
          <w:bCs/>
          <w:sz w:val="24"/>
          <w:szCs w:val="24"/>
        </w:rPr>
        <w:sectPr w:rsidR="00514E52">
          <w:pgSz w:w="11909" w:h="16834"/>
          <w:pgMar w:top="561" w:right="851" w:bottom="561" w:left="1701" w:header="709" w:footer="709" w:gutter="0"/>
          <w:cols w:space="720"/>
        </w:sectPr>
      </w:pPr>
      <w:r>
        <w:rPr>
          <w:rFonts w:ascii="Times New Roman" w:eastAsia="Times New Roman" w:hAnsi="Times New Roman" w:cs="Times New Roman"/>
          <w:b/>
          <w:bCs/>
          <w:sz w:val="24"/>
          <w:szCs w:val="24"/>
        </w:rPr>
        <w:t xml:space="preserve">Figure </w:t>
      </w:r>
      <w:r w:rsidR="00AD7544">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sidR="00AD7544">
        <w:rPr>
          <w:rFonts w:ascii="Times New Roman" w:eastAsia="Times New Roman" w:hAnsi="Times New Roman" w:cs="Times New Roman"/>
          <w:b/>
          <w:bCs/>
          <w:sz w:val="24"/>
          <w:szCs w:val="24"/>
        </w:rPr>
        <w:t xml:space="preserve">Radar chart showing the </w:t>
      </w:r>
      <w:r>
        <w:rPr>
          <w:rFonts w:ascii="Times New Roman" w:eastAsia="Times New Roman" w:hAnsi="Times New Roman" w:cs="Times New Roman"/>
          <w:b/>
          <w:bCs/>
          <w:sz w:val="24"/>
          <w:szCs w:val="24"/>
        </w:rPr>
        <w:t>District wise Sustainable Livelihood Security Indices</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b/>
          <w:bCs/>
          <w:sz w:val="24"/>
          <w:szCs w:val="24"/>
        </w:rPr>
        <w:lastRenderedPageBreak/>
        <w:t>3.3 Social Equity Index</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Farmers are the core of agriculture, and their social well-being—encompassing health, education, and gender equality—is essential for sustainable rural development. To assess this, district-wise Social Equity Indices (SEI) were calculated.</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Pune consistently ranked first in 1961, 1981, and 2021, though its SEI slightly declined from 0.6919 to 0.6667 due to a worsening sex ratio. Strong health and education facilities kept it in the lead.</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Ahmednagar, </w:t>
      </w:r>
      <w:proofErr w:type="spellStart"/>
      <w:r>
        <w:rPr>
          <w:rFonts w:ascii="Arial" w:eastAsia="Arial" w:hAnsi="Arial" w:cs="Arial"/>
          <w:sz w:val="24"/>
          <w:szCs w:val="24"/>
        </w:rPr>
        <w:t>Sangli</w:t>
      </w:r>
      <w:proofErr w:type="spellEnd"/>
      <w:r>
        <w:rPr>
          <w:rFonts w:ascii="Arial" w:eastAsia="Arial" w:hAnsi="Arial" w:cs="Arial"/>
          <w:sz w:val="24"/>
          <w:szCs w:val="24"/>
        </w:rPr>
        <w:t xml:space="preserve">, Kolhapur, Nashik,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showed steady progress, with notable gains in Kolhapur (from 0.1621, rank 6 in 1961 to 0.5880, rank 3 in 2021) and Nashik (from 0.1145, rank 7 to 0.5800, rank 4).</w:t>
      </w:r>
    </w:p>
    <w:p w:rsidR="00514E52" w:rsidRDefault="0069353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Solapur improved from 0.0546 (1961) to 0.5088 (2001) but declined slightly to 0.4422 (2021), lowering its rank from fifth to sixth. </w:t>
      </w:r>
      <w:proofErr w:type="spellStart"/>
      <w:r>
        <w:rPr>
          <w:rFonts w:ascii="Arial" w:eastAsia="Arial" w:hAnsi="Arial" w:cs="Arial"/>
          <w:sz w:val="24"/>
          <w:szCs w:val="24"/>
        </w:rPr>
        <w:t>Satara</w:t>
      </w:r>
      <w:proofErr w:type="spellEnd"/>
      <w:r>
        <w:rPr>
          <w:rFonts w:ascii="Arial" w:eastAsia="Arial" w:hAnsi="Arial" w:cs="Arial"/>
          <w:sz w:val="24"/>
          <w:szCs w:val="24"/>
        </w:rPr>
        <w:t xml:space="preserve"> and Jalgaon displayed fluctuations—</w:t>
      </w:r>
      <w:proofErr w:type="spellStart"/>
      <w:r>
        <w:rPr>
          <w:rFonts w:ascii="Arial" w:eastAsia="Arial" w:hAnsi="Arial" w:cs="Arial"/>
          <w:sz w:val="24"/>
          <w:szCs w:val="24"/>
        </w:rPr>
        <w:t>Satara</w:t>
      </w:r>
      <w:proofErr w:type="spellEnd"/>
      <w:r>
        <w:rPr>
          <w:rFonts w:ascii="Arial" w:eastAsia="Arial" w:hAnsi="Arial" w:cs="Arial"/>
          <w:sz w:val="24"/>
          <w:szCs w:val="24"/>
        </w:rPr>
        <w:t xml:space="preserve"> peaked in 2001 (0.6790), while Jalgaon fell from third to ninth by 2021 despite a minor SEI decrease.</w:t>
      </w:r>
    </w:p>
    <w:p w:rsidR="00514E52" w:rsidRDefault="0069353D">
      <w:p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Nandurbar</w:t>
      </w:r>
      <w:proofErr w:type="spellEnd"/>
      <w:r>
        <w:rPr>
          <w:rFonts w:ascii="Arial" w:eastAsia="Arial" w:hAnsi="Arial" w:cs="Arial"/>
          <w:sz w:val="24"/>
          <w:szCs w:val="24"/>
        </w:rPr>
        <w:t xml:space="preserve"> ranked lowest in 2001 (0.2545) and 2021 (0.2793), while Dhule showed modest improvement after its lowest SEI in 1981 (0.0782).</w:t>
      </w:r>
    </w:p>
    <w:p w:rsidR="00514E52" w:rsidRDefault="0069353D">
      <w:pPr>
        <w:shd w:val="clear" w:color="auto" w:fill="FFFFFF"/>
        <w:spacing w:after="0" w:line="360" w:lineRule="auto"/>
        <w:jc w:val="both"/>
        <w:rPr>
          <w:rFonts w:ascii="Arial" w:eastAsia="Arial" w:hAnsi="Arial" w:cs="Arial"/>
          <w:b/>
          <w:bCs/>
          <w:sz w:val="24"/>
          <w:szCs w:val="24"/>
        </w:rPr>
      </w:pPr>
      <w:r>
        <w:rPr>
          <w:rFonts w:ascii="Arial" w:eastAsia="Arial" w:hAnsi="Arial" w:cs="Arial"/>
          <w:sz w:val="24"/>
          <w:szCs w:val="24"/>
        </w:rPr>
        <w:t>Regionally, western Maharashtra’s SEI rose consistently from 0.2886 (1961) to 0.4847 (2021), reflecting gradual advancement in social equity and rural well-being.</w:t>
      </w:r>
    </w:p>
    <w:p w:rsidR="00514E52" w:rsidRDefault="0069353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t>3.4 Sustainable Livelihood Security Index</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The Sustainable Livelihood Security Index (SLSI), derived from the Ecological Security Index (ESI), Economic Efficiency Index (EEI), and Social Equity Index (SEI), was used to assess agricultural sustainability across western Maharashtra.</w:t>
      </w:r>
    </w:p>
    <w:p w:rsidR="00514E52" w:rsidRDefault="0069353D">
      <w:pPr>
        <w:spacing w:after="0" w:line="360" w:lineRule="auto"/>
        <w:jc w:val="both"/>
        <w:rPr>
          <w:rFonts w:ascii="Arial" w:eastAsia="Arial" w:hAnsi="Arial" w:cs="Arial"/>
          <w:sz w:val="24"/>
          <w:szCs w:val="24"/>
        </w:rPr>
      </w:pPr>
      <w:proofErr w:type="spellStart"/>
      <w:r>
        <w:rPr>
          <w:rFonts w:ascii="Arial" w:eastAsia="Arial" w:hAnsi="Arial" w:cs="Arial"/>
          <w:sz w:val="24"/>
          <w:szCs w:val="24"/>
        </w:rPr>
        <w:t>Satara</w:t>
      </w:r>
      <w:proofErr w:type="spellEnd"/>
      <w:r>
        <w:rPr>
          <w:rFonts w:ascii="Arial" w:eastAsia="Arial" w:hAnsi="Arial" w:cs="Arial"/>
          <w:sz w:val="24"/>
          <w:szCs w:val="24"/>
        </w:rPr>
        <w:t xml:space="preserve"> led in 1961 (0.5588), 1981 (0.6161), and 2001 (0.5984)—the highest value among all districts and periods—but declined by 2021 (0.5223, rank 4), indicating reduced sustainability (</w:t>
      </w:r>
      <w:proofErr w:type="spellStart"/>
      <w:r>
        <w:rPr>
          <w:rFonts w:ascii="Arial" w:eastAsia="Arial" w:hAnsi="Arial" w:cs="Arial"/>
          <w:sz w:val="24"/>
          <w:szCs w:val="24"/>
        </w:rPr>
        <w:t>Deshmukh&amp;Patil</w:t>
      </w:r>
      <w:proofErr w:type="spellEnd"/>
      <w:r>
        <w:rPr>
          <w:rFonts w:ascii="Arial" w:eastAsia="Arial" w:hAnsi="Arial" w:cs="Arial"/>
          <w:sz w:val="24"/>
          <w:szCs w:val="24"/>
        </w:rPr>
        <w:t>, 2020).</w:t>
      </w:r>
    </w:p>
    <w:p w:rsidR="00514E52" w:rsidRDefault="0069353D">
      <w:pPr>
        <w:spacing w:after="0" w:line="360" w:lineRule="auto"/>
        <w:jc w:val="both"/>
        <w:rPr>
          <w:rFonts w:ascii="Arial" w:eastAsia="Arial" w:hAnsi="Arial" w:cs="Arial"/>
          <w:sz w:val="24"/>
          <w:szCs w:val="24"/>
        </w:rPr>
      </w:pPr>
      <w:r>
        <w:rPr>
          <w:rFonts w:ascii="Arial Unicode MS" w:eastAsia="Arial Unicode MS" w:hAnsi="Arial Unicode MS" w:cs="Arial Unicode MS"/>
          <w:sz w:val="24"/>
          <w:szCs w:val="24"/>
        </w:rPr>
        <w:t>Most other districts recorded higher SLSI values in 2021. Pune, ranking first in 2021 (0.5519), showed strong economic and social performance despite weak ecological conditions. Ahmednagar displayed marginal improvement (0.4226 → 0.4370) but dropped from third to eighth place due to slower progress.</w:t>
      </w:r>
    </w:p>
    <w:p w:rsidR="00514E52" w:rsidRDefault="0069353D">
      <w:pPr>
        <w:spacing w:after="0" w:line="360" w:lineRule="auto"/>
        <w:rPr>
          <w:rFonts w:ascii="Arial" w:eastAsia="Arial" w:hAnsi="Arial" w:cs="Arial"/>
          <w:sz w:val="24"/>
          <w:szCs w:val="24"/>
        </w:rPr>
      </w:pPr>
      <w:r>
        <w:rPr>
          <w:rFonts w:ascii="Arial" w:eastAsia="Arial" w:hAnsi="Arial" w:cs="Arial"/>
          <w:b/>
          <w:bCs/>
          <w:sz w:val="24"/>
          <w:szCs w:val="24"/>
        </w:rPr>
        <w:t>Table 5</w:t>
      </w:r>
      <w:r w:rsidR="00AD7544">
        <w:rPr>
          <w:rFonts w:ascii="Arial" w:eastAsia="Arial" w:hAnsi="Arial" w:cs="Arial"/>
          <w:b/>
          <w:bCs/>
          <w:sz w:val="24"/>
          <w:szCs w:val="24"/>
        </w:rPr>
        <w:t xml:space="preserve">. </w:t>
      </w:r>
      <w:r>
        <w:rPr>
          <w:rFonts w:ascii="Arial" w:eastAsia="Arial" w:hAnsi="Arial" w:cs="Arial"/>
          <w:b/>
          <w:bCs/>
          <w:sz w:val="24"/>
          <w:szCs w:val="24"/>
        </w:rPr>
        <w:t>District-wise sustainable livelihood security indices</w:t>
      </w:r>
    </w:p>
    <w:tbl>
      <w:tblPr>
        <w:tblStyle w:val="a3"/>
        <w:tblW w:w="9384"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1"/>
        <w:gridCol w:w="1144"/>
        <w:gridCol w:w="636"/>
        <w:gridCol w:w="1144"/>
        <w:gridCol w:w="745"/>
        <w:gridCol w:w="1144"/>
        <w:gridCol w:w="698"/>
        <w:gridCol w:w="1144"/>
        <w:gridCol w:w="648"/>
      </w:tblGrid>
      <w:tr w:rsidR="00514E52">
        <w:trPr>
          <w:trHeight w:val="287"/>
        </w:trPr>
        <w:tc>
          <w:tcPr>
            <w:tcW w:w="2082"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District</w:t>
            </w:r>
          </w:p>
        </w:tc>
        <w:tc>
          <w:tcPr>
            <w:tcW w:w="1144"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SLSI (1961)</w:t>
            </w:r>
          </w:p>
        </w:tc>
        <w:tc>
          <w:tcPr>
            <w:tcW w:w="636"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1144"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SLSI (1981)</w:t>
            </w:r>
          </w:p>
        </w:tc>
        <w:tc>
          <w:tcPr>
            <w:tcW w:w="745"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1144"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SLSI (2001)</w:t>
            </w:r>
          </w:p>
        </w:tc>
        <w:tc>
          <w:tcPr>
            <w:tcW w:w="698"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c>
          <w:tcPr>
            <w:tcW w:w="1144"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SLSI (2021)</w:t>
            </w:r>
          </w:p>
        </w:tc>
        <w:tc>
          <w:tcPr>
            <w:tcW w:w="648" w:type="dxa"/>
            <w:vAlign w:val="center"/>
          </w:tcPr>
          <w:p w:rsidR="00514E52" w:rsidRDefault="0069353D">
            <w:pPr>
              <w:jc w:val="center"/>
              <w:rPr>
                <w:rFonts w:ascii="Arial" w:eastAsia="Arial" w:hAnsi="Arial" w:cs="Arial"/>
                <w:b/>
                <w:bCs/>
                <w:sz w:val="24"/>
                <w:szCs w:val="24"/>
              </w:rPr>
            </w:pPr>
            <w:r>
              <w:rPr>
                <w:rFonts w:ascii="Arial" w:eastAsia="Arial" w:hAnsi="Arial" w:cs="Arial"/>
                <w:b/>
                <w:bCs/>
                <w:sz w:val="24"/>
                <w:szCs w:val="24"/>
              </w:rPr>
              <w:t>Rank</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Ahmednagar</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0.4226</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0.3996</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0.3891</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0.4370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lastRenderedPageBreak/>
              <w:t>Pune</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0.5442</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0.4820</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0.4566</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0.5519</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Solapur</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0.2411</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0.3111</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0.4414</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0.4301</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r>
      <w:tr w:rsidR="00514E52">
        <w:trPr>
          <w:trHeight w:val="287"/>
        </w:trPr>
        <w:tc>
          <w:tcPr>
            <w:tcW w:w="2082"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Satara</w:t>
            </w:r>
            <w:proofErr w:type="spellEnd"/>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0.5588</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0.6160</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0.5984</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0.5253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r>
      <w:tr w:rsidR="00514E52">
        <w:trPr>
          <w:trHeight w:val="287"/>
        </w:trPr>
        <w:tc>
          <w:tcPr>
            <w:tcW w:w="2082"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0.2731</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0.3166</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8</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0.4871</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0.5105</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Kolhapur</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0.3217</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0.3999</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0.5747</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0.5340</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Nashik</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0.2884</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0.4121</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3</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0.4488</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0.5262</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2</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Jalgaon</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0.3243</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5</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0.3709</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0.4147</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0.4414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Dhule</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0.3815</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4</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0.3461</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7</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0.2717</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0.4224</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10</w:t>
            </w:r>
          </w:p>
        </w:tc>
      </w:tr>
      <w:tr w:rsidR="00514E52">
        <w:trPr>
          <w:trHeight w:val="287"/>
        </w:trPr>
        <w:tc>
          <w:tcPr>
            <w:tcW w:w="2082" w:type="dxa"/>
            <w:vAlign w:val="center"/>
          </w:tcPr>
          <w:p w:rsidR="00514E52" w:rsidRDefault="0069353D">
            <w:pPr>
              <w:rPr>
                <w:rFonts w:ascii="Arial" w:eastAsia="Arial" w:hAnsi="Arial" w:cs="Arial"/>
                <w:sz w:val="24"/>
                <w:szCs w:val="24"/>
              </w:rPr>
            </w:pPr>
            <w:proofErr w:type="spellStart"/>
            <w:r>
              <w:rPr>
                <w:rFonts w:ascii="Arial" w:eastAsia="Arial" w:hAnsi="Arial" w:cs="Arial"/>
                <w:sz w:val="24"/>
                <w:szCs w:val="24"/>
              </w:rPr>
              <w:t>Nandurbar</w:t>
            </w:r>
            <w:proofErr w:type="spellEnd"/>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0.3367</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9</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0.4545</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6</w:t>
            </w:r>
          </w:p>
        </w:tc>
      </w:tr>
      <w:tr w:rsidR="00514E52">
        <w:trPr>
          <w:trHeight w:val="287"/>
        </w:trPr>
        <w:tc>
          <w:tcPr>
            <w:tcW w:w="2082" w:type="dxa"/>
            <w:vAlign w:val="center"/>
          </w:tcPr>
          <w:p w:rsidR="00514E52" w:rsidRDefault="0069353D">
            <w:pPr>
              <w:rPr>
                <w:rFonts w:ascii="Arial" w:eastAsia="Arial" w:hAnsi="Arial" w:cs="Arial"/>
                <w:sz w:val="24"/>
                <w:szCs w:val="24"/>
              </w:rPr>
            </w:pPr>
            <w:r>
              <w:rPr>
                <w:rFonts w:ascii="Arial" w:eastAsia="Arial" w:hAnsi="Arial" w:cs="Arial"/>
                <w:sz w:val="24"/>
                <w:szCs w:val="24"/>
              </w:rPr>
              <w:t>Western Maharashtra</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0.3729</w:t>
            </w:r>
          </w:p>
        </w:tc>
        <w:tc>
          <w:tcPr>
            <w:tcW w:w="636"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0.4060</w:t>
            </w:r>
          </w:p>
        </w:tc>
        <w:tc>
          <w:tcPr>
            <w:tcW w:w="745"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0.4419</w:t>
            </w:r>
          </w:p>
        </w:tc>
        <w:tc>
          <w:tcPr>
            <w:tcW w:w="69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c>
          <w:tcPr>
            <w:tcW w:w="1144"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0.4833</w:t>
            </w:r>
          </w:p>
        </w:tc>
        <w:tc>
          <w:tcPr>
            <w:tcW w:w="648" w:type="dxa"/>
            <w:vAlign w:val="center"/>
          </w:tcPr>
          <w:p w:rsidR="00514E52" w:rsidRDefault="0069353D">
            <w:pPr>
              <w:jc w:val="center"/>
              <w:rPr>
                <w:rFonts w:ascii="Arial" w:eastAsia="Arial" w:hAnsi="Arial" w:cs="Arial"/>
                <w:sz w:val="24"/>
                <w:szCs w:val="24"/>
              </w:rPr>
            </w:pPr>
            <w:r>
              <w:rPr>
                <w:rFonts w:ascii="Arial" w:eastAsia="Arial" w:hAnsi="Arial" w:cs="Arial"/>
                <w:sz w:val="24"/>
                <w:szCs w:val="24"/>
              </w:rPr>
              <w:t>-</w:t>
            </w:r>
          </w:p>
        </w:tc>
      </w:tr>
    </w:tbl>
    <w:p w:rsidR="00514E52" w:rsidRDefault="00514E52">
      <w:pPr>
        <w:rPr>
          <w:rFonts w:ascii="Arial" w:eastAsia="Arial" w:hAnsi="Arial" w:cs="Arial"/>
          <w:sz w:val="24"/>
          <w:szCs w:val="24"/>
        </w:rPr>
      </w:pP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 xml:space="preserve">Nashik, </w:t>
      </w:r>
      <w:proofErr w:type="spellStart"/>
      <w:r>
        <w:rPr>
          <w:rFonts w:ascii="Arial" w:eastAsia="Arial" w:hAnsi="Arial" w:cs="Arial"/>
          <w:sz w:val="24"/>
          <w:szCs w:val="24"/>
        </w:rPr>
        <w:t>Sangli</w:t>
      </w:r>
      <w:proofErr w:type="spellEnd"/>
      <w:r>
        <w:rPr>
          <w:rFonts w:ascii="Arial" w:eastAsia="Arial" w:hAnsi="Arial" w:cs="Arial"/>
          <w:sz w:val="24"/>
          <w:szCs w:val="24"/>
        </w:rPr>
        <w:t xml:space="preserve">,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showed steady improvement; Nashik rose from rank 7 (0.2884, 1961) to rank 2 (0.5340, 2021). While Nashik and </w:t>
      </w:r>
      <w:proofErr w:type="spellStart"/>
      <w:r>
        <w:rPr>
          <w:rFonts w:ascii="Arial" w:eastAsia="Arial" w:hAnsi="Arial" w:cs="Arial"/>
          <w:sz w:val="24"/>
          <w:szCs w:val="24"/>
        </w:rPr>
        <w:t>Sangli</w:t>
      </w:r>
      <w:proofErr w:type="spellEnd"/>
      <w:r>
        <w:rPr>
          <w:rFonts w:ascii="Arial" w:eastAsia="Arial" w:hAnsi="Arial" w:cs="Arial"/>
          <w:sz w:val="24"/>
          <w:szCs w:val="24"/>
        </w:rPr>
        <w:t xml:space="preserve"> faced ecological challenges,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suffered from social inequalities—though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remained ecologically strong but economically weak.</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Dhule was least sustainable in 2001 (0.2717) and 2021 (0.4224) due to low economic efficiency and persistent inequality, despite moderate ecological security. Kolhapur and Solapur peaked in 2001 (0.5747 and 0.4414) but declined in 2021 because of reduced ecological and social performance.</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At the regional level, western Maharashtra’s agricultural sustainability improved consistently from 0.3729 (1961) to 0.4833 (2021). Strengthening ecological balance, economic efficiency, and social equity through district-specific strategies is essential for balanced and inclusive agricultural development (</w:t>
      </w:r>
      <w:proofErr w:type="spellStart"/>
      <w:r>
        <w:rPr>
          <w:rFonts w:ascii="Arial" w:eastAsia="Arial" w:hAnsi="Arial" w:cs="Arial"/>
          <w:sz w:val="24"/>
          <w:szCs w:val="24"/>
        </w:rPr>
        <w:t>Pani</w:t>
      </w:r>
      <w:proofErr w:type="spellEnd"/>
      <w:r>
        <w:rPr>
          <w:rFonts w:ascii="Arial" w:eastAsia="Arial" w:hAnsi="Arial" w:cs="Arial"/>
          <w:sz w:val="24"/>
          <w:szCs w:val="24"/>
        </w:rPr>
        <w:t>&amp; Mishra, 2022; Das et al., 2024; Saritha et al., 2024).</w:t>
      </w:r>
    </w:p>
    <w:p w:rsidR="00514E52" w:rsidRDefault="00514E52">
      <w:pPr>
        <w:spacing w:after="0" w:line="360" w:lineRule="auto"/>
        <w:jc w:val="both"/>
        <w:rPr>
          <w:rFonts w:ascii="Arial" w:eastAsia="Arial" w:hAnsi="Arial" w:cs="Arial"/>
          <w:sz w:val="24"/>
          <w:szCs w:val="24"/>
        </w:rPr>
      </w:pPr>
    </w:p>
    <w:p w:rsidR="00514E52" w:rsidRDefault="0069353D">
      <w:pPr>
        <w:spacing w:after="0" w:line="360" w:lineRule="auto"/>
        <w:jc w:val="both"/>
        <w:rPr>
          <w:rFonts w:ascii="Arial" w:eastAsia="Arial" w:hAnsi="Arial" w:cs="Arial"/>
          <w:b/>
          <w:bCs/>
        </w:rPr>
      </w:pPr>
      <w:r>
        <w:rPr>
          <w:rFonts w:ascii="Arial" w:eastAsia="Arial" w:hAnsi="Arial" w:cs="Arial"/>
          <w:b/>
          <w:bCs/>
        </w:rPr>
        <w:t>4. CONCLUSIONS</w:t>
      </w:r>
    </w:p>
    <w:p w:rsidR="00514E52" w:rsidRDefault="0069353D">
      <w:pPr>
        <w:spacing w:after="0" w:line="360" w:lineRule="auto"/>
        <w:jc w:val="both"/>
        <w:rPr>
          <w:rFonts w:ascii="Arial" w:eastAsia="Arial" w:hAnsi="Arial" w:cs="Arial"/>
          <w:b/>
          <w:bCs/>
          <w:sz w:val="24"/>
          <w:szCs w:val="24"/>
        </w:rPr>
      </w:pPr>
      <w:r>
        <w:rPr>
          <w:rFonts w:ascii="Arial" w:eastAsia="Arial" w:hAnsi="Arial" w:cs="Arial"/>
          <w:sz w:val="24"/>
          <w:szCs w:val="24"/>
        </w:rPr>
        <w:t>The Sustainable Livelihood Security Index (SLSI) assessment shows that agricultural sustainability in Western Maharashtra improved gradually from 0.3729 in 1961 to 0.4833 in 2021. District-wise analysis reveals spatial disparities—</w:t>
      </w:r>
      <w:proofErr w:type="spellStart"/>
      <w:r>
        <w:rPr>
          <w:rFonts w:ascii="Arial" w:eastAsia="Arial" w:hAnsi="Arial" w:cs="Arial"/>
          <w:sz w:val="24"/>
          <w:szCs w:val="24"/>
        </w:rPr>
        <w:t>Satara</w:t>
      </w:r>
      <w:proofErr w:type="spellEnd"/>
      <w:r>
        <w:rPr>
          <w:rFonts w:ascii="Arial" w:eastAsia="Arial" w:hAnsi="Arial" w:cs="Arial"/>
          <w:sz w:val="24"/>
          <w:szCs w:val="24"/>
        </w:rPr>
        <w:t xml:space="preserve">, once the most sustainable, declined over time, while Pune, Kolhapur, Nashik, and </w:t>
      </w:r>
      <w:proofErr w:type="spellStart"/>
      <w:r>
        <w:rPr>
          <w:rFonts w:ascii="Arial" w:eastAsia="Arial" w:hAnsi="Arial" w:cs="Arial"/>
          <w:sz w:val="24"/>
          <w:szCs w:val="24"/>
        </w:rPr>
        <w:t>Sangli</w:t>
      </w:r>
      <w:proofErr w:type="spellEnd"/>
      <w:r>
        <w:rPr>
          <w:rFonts w:ascii="Arial" w:eastAsia="Arial" w:hAnsi="Arial" w:cs="Arial"/>
          <w:sz w:val="24"/>
          <w:szCs w:val="24"/>
        </w:rPr>
        <w:t xml:space="preserve"> showed notable progress due to stronger economic and social performance. However, ecological stress from urbanization remains a concern, especially in Pune and Nashik.</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 xml:space="preserve">Dhule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continued to lag due to weak economic and social conditions despite ecological advantages. Overall, although regional sustainability improved, growth remains uneven. Strengthening ecological conservation, equitable resource use, and livelihood diversification is vital for balanced and resilient agricultural development across Western Maharashtra.</w:t>
      </w:r>
    </w:p>
    <w:p w:rsidR="00514E52" w:rsidRDefault="0069353D">
      <w:pPr>
        <w:spacing w:after="0" w:line="360" w:lineRule="auto"/>
        <w:jc w:val="both"/>
        <w:rPr>
          <w:rFonts w:ascii="Arial" w:eastAsia="Arial" w:hAnsi="Arial" w:cs="Arial"/>
          <w:b/>
          <w:bCs/>
          <w:sz w:val="24"/>
          <w:szCs w:val="24"/>
        </w:rPr>
      </w:pPr>
      <w:r>
        <w:rPr>
          <w:rFonts w:ascii="Arial" w:eastAsia="Arial" w:hAnsi="Arial" w:cs="Arial"/>
          <w:b/>
          <w:bCs/>
          <w:sz w:val="24"/>
          <w:szCs w:val="24"/>
        </w:rPr>
        <w:lastRenderedPageBreak/>
        <w:t>5. Recommendation</w:t>
      </w:r>
    </w:p>
    <w:p w:rsidR="00514E52" w:rsidRDefault="0069353D">
      <w:pPr>
        <w:spacing w:after="0" w:line="360" w:lineRule="auto"/>
        <w:jc w:val="both"/>
        <w:rPr>
          <w:rFonts w:ascii="Arial" w:eastAsia="Arial" w:hAnsi="Arial" w:cs="Arial"/>
          <w:sz w:val="24"/>
          <w:szCs w:val="24"/>
        </w:rPr>
      </w:pPr>
      <w:r>
        <w:rPr>
          <w:rFonts w:ascii="Arial" w:eastAsia="Arial" w:hAnsi="Arial" w:cs="Arial"/>
          <w:sz w:val="24"/>
          <w:szCs w:val="24"/>
        </w:rPr>
        <w:t>The sustainable livelihood security in underperforming districts can be improved through technological advancements, improved infrastructure, and financial support, highlighting the need for district-specific, systematic, and proactive approach for balanced development in Western Maharashtra.</w:t>
      </w:r>
    </w:p>
    <w:p w:rsidR="00514E52" w:rsidRPr="00AD7544" w:rsidRDefault="0069353D">
      <w:pPr>
        <w:rPr>
          <w:b/>
          <w:highlight w:val="yellow"/>
        </w:rPr>
      </w:pPr>
      <w:bookmarkStart w:id="1" w:name="_81cv6ftaercz" w:colFirst="0" w:colLast="0"/>
      <w:bookmarkEnd w:id="1"/>
      <w:r w:rsidRPr="00AD7544">
        <w:rPr>
          <w:b/>
          <w:highlight w:val="yellow"/>
        </w:rPr>
        <w:t>Disclaimer (Artificial intelligence)</w:t>
      </w:r>
    </w:p>
    <w:p w:rsidR="00514E52" w:rsidRDefault="0069353D">
      <w:pPr>
        <w:rPr>
          <w:highlight w:val="yellow"/>
        </w:rPr>
      </w:pPr>
      <w:r>
        <w:rPr>
          <w:highlight w:val="yellow"/>
        </w:rPr>
        <w:t xml:space="preserve">Option 1: </w:t>
      </w:r>
    </w:p>
    <w:p w:rsidR="00514E52" w:rsidRDefault="0069353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514E52" w:rsidRDefault="0069353D">
      <w:pPr>
        <w:rPr>
          <w:highlight w:val="yellow"/>
        </w:rPr>
      </w:pPr>
      <w:r>
        <w:rPr>
          <w:highlight w:val="yellow"/>
        </w:rPr>
        <w:t xml:space="preserve">Option 2: </w:t>
      </w:r>
    </w:p>
    <w:p w:rsidR="00514E52" w:rsidRDefault="0069353D">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514E52" w:rsidRDefault="0069353D">
      <w:pPr>
        <w:rPr>
          <w:highlight w:val="yellow"/>
        </w:rPr>
      </w:pPr>
      <w:r>
        <w:rPr>
          <w:highlight w:val="yellow"/>
        </w:rPr>
        <w:t>Details of the AI usage are given below:</w:t>
      </w:r>
    </w:p>
    <w:p w:rsidR="00514E52" w:rsidRDefault="0069353D">
      <w:pPr>
        <w:rPr>
          <w:highlight w:val="yellow"/>
        </w:rPr>
      </w:pPr>
      <w:r>
        <w:rPr>
          <w:highlight w:val="yellow"/>
        </w:rPr>
        <w:t>1.</w:t>
      </w:r>
    </w:p>
    <w:p w:rsidR="00514E52" w:rsidRDefault="0069353D">
      <w:pPr>
        <w:rPr>
          <w:highlight w:val="yellow"/>
        </w:rPr>
      </w:pPr>
      <w:r>
        <w:rPr>
          <w:highlight w:val="yellow"/>
        </w:rPr>
        <w:t>2.</w:t>
      </w:r>
    </w:p>
    <w:p w:rsidR="00514E52" w:rsidRDefault="0069353D">
      <w:r>
        <w:rPr>
          <w:highlight w:val="yellow"/>
        </w:rPr>
        <w:t>3.</w:t>
      </w:r>
    </w:p>
    <w:p w:rsidR="00514E52" w:rsidRDefault="00514E52"/>
    <w:p w:rsidR="00514E52" w:rsidRDefault="00514E52">
      <w:pPr>
        <w:rPr>
          <w:rFonts w:ascii="Arial" w:eastAsia="Arial" w:hAnsi="Arial" w:cs="Arial"/>
          <w:b/>
          <w:bCs/>
        </w:rPr>
      </w:pPr>
    </w:p>
    <w:p w:rsidR="00514E52" w:rsidRDefault="0069353D">
      <w:pPr>
        <w:rPr>
          <w:rFonts w:ascii="Arial" w:eastAsia="Arial" w:hAnsi="Arial" w:cs="Arial"/>
          <w:b/>
          <w:bCs/>
        </w:rPr>
      </w:pPr>
      <w:r>
        <w:rPr>
          <w:rFonts w:ascii="Arial" w:eastAsia="Arial" w:hAnsi="Arial" w:cs="Arial"/>
          <w:b/>
          <w:bCs/>
        </w:rPr>
        <w:t>REFERENCES</w:t>
      </w:r>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proofErr w:type="spellStart"/>
      <w:r w:rsidRPr="0022156B">
        <w:rPr>
          <w:rFonts w:ascii="Arial" w:eastAsia="Arial" w:hAnsi="Arial" w:cs="Arial"/>
          <w:color w:val="1C2B33"/>
          <w:sz w:val="23"/>
          <w:szCs w:val="23"/>
        </w:rPr>
        <w:t>Beeraladinni</w:t>
      </w:r>
      <w:proofErr w:type="spellEnd"/>
      <w:r w:rsidRPr="0022156B">
        <w:rPr>
          <w:rFonts w:ascii="Arial" w:eastAsia="Arial" w:hAnsi="Arial" w:cs="Arial"/>
          <w:color w:val="1C2B33"/>
          <w:sz w:val="23"/>
          <w:szCs w:val="23"/>
        </w:rPr>
        <w:t xml:space="preserve">, D., &amp; Patil, B. L. (2023). Agricultural sustainability in Karnataka: Application of Sustainable Livelihood Security Index. The Indian Journal of Agricultural Sciences, 93(3), 308–313. </w:t>
      </w:r>
      <w:hyperlink r:id="rId17">
        <w:r w:rsidRPr="0022156B">
          <w:rPr>
            <w:rFonts w:ascii="Arial" w:eastAsia="Arial" w:hAnsi="Arial" w:cs="Arial"/>
            <w:color w:val="0000FF"/>
            <w:sz w:val="23"/>
            <w:szCs w:val="23"/>
            <w:u w:val="single"/>
          </w:rPr>
          <w:t>https://doi.org/10.56093/ijas.v93i3.102878</w:t>
        </w:r>
      </w:hyperlink>
    </w:p>
    <w:p w:rsidR="00514E52" w:rsidRPr="0022156B" w:rsidRDefault="0069353D" w:rsidP="0022156B">
      <w:pPr>
        <w:pStyle w:val="ListParagraph"/>
        <w:numPr>
          <w:ilvl w:val="0"/>
          <w:numId w:val="1"/>
        </w:numPr>
        <w:jc w:val="both"/>
        <w:rPr>
          <w:rFonts w:ascii="Arial" w:eastAsia="Arial" w:hAnsi="Arial" w:cs="Arial"/>
          <w:color w:val="1C2B33"/>
          <w:sz w:val="23"/>
          <w:szCs w:val="23"/>
        </w:rPr>
      </w:pPr>
      <w:r w:rsidRPr="0022156B">
        <w:rPr>
          <w:rFonts w:ascii="Arial" w:eastAsia="Arial" w:hAnsi="Arial" w:cs="Arial"/>
          <w:color w:val="1C2B33"/>
          <w:sz w:val="23"/>
          <w:szCs w:val="23"/>
        </w:rPr>
        <w:t xml:space="preserve">Chandana, T. S., </w:t>
      </w:r>
      <w:proofErr w:type="spellStart"/>
      <w:r w:rsidRPr="0022156B">
        <w:rPr>
          <w:rFonts w:ascii="Arial" w:eastAsia="Arial" w:hAnsi="Arial" w:cs="Arial"/>
          <w:color w:val="1C2B33"/>
          <w:sz w:val="23"/>
          <w:szCs w:val="23"/>
        </w:rPr>
        <w:t>Praveena</w:t>
      </w:r>
      <w:proofErr w:type="spellEnd"/>
      <w:r w:rsidRPr="0022156B">
        <w:rPr>
          <w:rFonts w:ascii="Arial" w:eastAsia="Arial" w:hAnsi="Arial" w:cs="Arial"/>
          <w:color w:val="1C2B33"/>
          <w:sz w:val="23"/>
          <w:szCs w:val="23"/>
        </w:rPr>
        <w:t xml:space="preserve">, P. L. R. J., Lakshmi, T., Subramanyam, D., &amp; Reddy, B. R. (2023). Sustainable livelihood security of integrated farming systems practicing farmers through different enterprise combinations in Andhra Pradesh. Indian Journal of Extension Education, 59(1), 101–106. </w:t>
      </w:r>
      <w:hyperlink r:id="rId18">
        <w:r w:rsidRPr="0022156B">
          <w:rPr>
            <w:rFonts w:ascii="Arial" w:eastAsia="Arial" w:hAnsi="Arial" w:cs="Arial"/>
            <w:color w:val="0000FF"/>
            <w:sz w:val="23"/>
            <w:szCs w:val="23"/>
            <w:u w:val="single"/>
          </w:rPr>
          <w:t>https://doi.org/10.48165/IJEE.2023.59121</w:t>
        </w:r>
      </w:hyperlink>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r w:rsidRPr="0022156B">
        <w:rPr>
          <w:rFonts w:ascii="Arial" w:eastAsia="Arial" w:hAnsi="Arial" w:cs="Arial"/>
          <w:color w:val="1C2B33"/>
          <w:sz w:val="23"/>
          <w:szCs w:val="23"/>
        </w:rPr>
        <w:t xml:space="preserve">Das, S., Sharma, K., &amp; Das, D. (2024). Agricultural livelihood sustainability assessment among the indigenous communities of </w:t>
      </w:r>
      <w:proofErr w:type="spellStart"/>
      <w:r w:rsidRPr="0022156B">
        <w:rPr>
          <w:rFonts w:ascii="Arial" w:eastAsia="Arial" w:hAnsi="Arial" w:cs="Arial"/>
          <w:color w:val="1C2B33"/>
          <w:sz w:val="23"/>
          <w:szCs w:val="23"/>
        </w:rPr>
        <w:t>Sundarban</w:t>
      </w:r>
      <w:proofErr w:type="spellEnd"/>
      <w:r w:rsidRPr="0022156B">
        <w:rPr>
          <w:rFonts w:ascii="Arial" w:eastAsia="Arial" w:hAnsi="Arial" w:cs="Arial"/>
          <w:color w:val="1C2B33"/>
          <w:sz w:val="23"/>
          <w:szCs w:val="23"/>
        </w:rPr>
        <w:t xml:space="preserve"> biosphere reserve in India: A cross-sectional mixed methods approach. Environment, Development and Sustainability. </w:t>
      </w:r>
      <w:hyperlink r:id="rId19">
        <w:r w:rsidRPr="0022156B">
          <w:rPr>
            <w:rFonts w:ascii="Arial" w:eastAsia="Arial" w:hAnsi="Arial" w:cs="Arial"/>
            <w:color w:val="0000FF"/>
            <w:sz w:val="23"/>
            <w:szCs w:val="23"/>
            <w:u w:val="single"/>
          </w:rPr>
          <w:t>https://doi.org/10.1007/s10668-024-05008-3</w:t>
        </w:r>
      </w:hyperlink>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r w:rsidRPr="0022156B">
        <w:rPr>
          <w:rFonts w:ascii="Arial" w:eastAsia="Arial" w:hAnsi="Arial" w:cs="Arial"/>
          <w:color w:val="1C2B33"/>
          <w:sz w:val="23"/>
          <w:szCs w:val="23"/>
        </w:rPr>
        <w:t xml:space="preserve">Deshmukh, M., &amp; Patil, D. (2020). Economic analysis of agricultural sustainability in </w:t>
      </w:r>
      <w:proofErr w:type="spellStart"/>
      <w:r w:rsidRPr="0022156B">
        <w:rPr>
          <w:rFonts w:ascii="Arial" w:eastAsia="Arial" w:hAnsi="Arial" w:cs="Arial"/>
          <w:color w:val="1C2B33"/>
          <w:sz w:val="23"/>
          <w:szCs w:val="23"/>
        </w:rPr>
        <w:t>Satara</w:t>
      </w:r>
      <w:proofErr w:type="spellEnd"/>
      <w:r w:rsidRPr="0022156B">
        <w:rPr>
          <w:rFonts w:ascii="Arial" w:eastAsia="Arial" w:hAnsi="Arial" w:cs="Arial"/>
          <w:color w:val="1C2B33"/>
          <w:sz w:val="23"/>
          <w:szCs w:val="23"/>
        </w:rPr>
        <w:t xml:space="preserve"> district of Maharashtra. Agricultural Situation in India, 77(3), 11–21. </w:t>
      </w:r>
      <w:hyperlink r:id="rId20">
        <w:r w:rsidRPr="0022156B">
          <w:rPr>
            <w:rFonts w:ascii="Arial" w:eastAsia="Arial" w:hAnsi="Arial" w:cs="Arial"/>
            <w:color w:val="0000FF"/>
            <w:sz w:val="23"/>
            <w:szCs w:val="23"/>
            <w:u w:val="single"/>
          </w:rPr>
          <w:t>https://eands.dacnet.nic.in/PDF/June%202020.pdf</w:t>
        </w:r>
      </w:hyperlink>
    </w:p>
    <w:p w:rsidR="00514E52" w:rsidRPr="0022156B" w:rsidRDefault="0069353D" w:rsidP="0022156B">
      <w:pPr>
        <w:pStyle w:val="ListParagraph"/>
        <w:numPr>
          <w:ilvl w:val="0"/>
          <w:numId w:val="1"/>
        </w:numPr>
        <w:jc w:val="both"/>
        <w:rPr>
          <w:rFonts w:ascii="Arial" w:eastAsia="Arial" w:hAnsi="Arial" w:cs="Arial"/>
          <w:color w:val="0000FF"/>
          <w:sz w:val="23"/>
          <w:szCs w:val="23"/>
          <w:u w:val="single"/>
        </w:rPr>
      </w:pPr>
      <w:r w:rsidRPr="0022156B">
        <w:rPr>
          <w:rFonts w:ascii="Arial" w:eastAsia="Arial" w:hAnsi="Arial" w:cs="Arial"/>
          <w:color w:val="1C2B33"/>
          <w:sz w:val="23"/>
          <w:szCs w:val="23"/>
        </w:rPr>
        <w:t xml:space="preserve">Deshmukh, M. S., </w:t>
      </w:r>
      <w:proofErr w:type="spellStart"/>
      <w:r w:rsidRPr="0022156B">
        <w:rPr>
          <w:rFonts w:ascii="Arial" w:eastAsia="Arial" w:hAnsi="Arial" w:cs="Arial"/>
          <w:color w:val="1C2B33"/>
          <w:sz w:val="23"/>
          <w:szCs w:val="23"/>
        </w:rPr>
        <w:t>Ghagare</w:t>
      </w:r>
      <w:proofErr w:type="spellEnd"/>
      <w:r w:rsidRPr="0022156B">
        <w:rPr>
          <w:rFonts w:ascii="Arial" w:eastAsia="Arial" w:hAnsi="Arial" w:cs="Arial"/>
          <w:color w:val="1C2B33"/>
          <w:sz w:val="23"/>
          <w:szCs w:val="23"/>
        </w:rPr>
        <w:t>, T. N., &amp;</w:t>
      </w:r>
      <w:proofErr w:type="spellStart"/>
      <w:r w:rsidRPr="0022156B">
        <w:rPr>
          <w:rFonts w:ascii="Arial" w:eastAsia="Arial" w:hAnsi="Arial" w:cs="Arial"/>
          <w:color w:val="1C2B33"/>
          <w:sz w:val="23"/>
          <w:szCs w:val="23"/>
        </w:rPr>
        <w:t>Nanaware</w:t>
      </w:r>
      <w:proofErr w:type="spellEnd"/>
      <w:r w:rsidRPr="0022156B">
        <w:rPr>
          <w:rFonts w:ascii="Arial" w:eastAsia="Arial" w:hAnsi="Arial" w:cs="Arial"/>
          <w:color w:val="1C2B33"/>
          <w:sz w:val="23"/>
          <w:szCs w:val="23"/>
        </w:rPr>
        <w:t xml:space="preserve">, D. R. (2023). Measuring regional dimensions of sustainable livelihood security index in Maharashtra. Research Square. </w:t>
      </w:r>
      <w:hyperlink r:id="rId21">
        <w:r w:rsidRPr="0022156B">
          <w:rPr>
            <w:rFonts w:ascii="Arial" w:eastAsia="Arial" w:hAnsi="Arial" w:cs="Arial"/>
            <w:color w:val="0000FF"/>
            <w:sz w:val="23"/>
            <w:szCs w:val="23"/>
            <w:u w:val="single"/>
          </w:rPr>
          <w:t>https://doi.org/10.21203/rs.3.rs-3046032/v1</w:t>
        </w:r>
      </w:hyperlink>
    </w:p>
    <w:p w:rsidR="00514E52" w:rsidRPr="0022156B" w:rsidRDefault="0069353D" w:rsidP="0022156B">
      <w:pPr>
        <w:pStyle w:val="ListParagraph"/>
        <w:numPr>
          <w:ilvl w:val="0"/>
          <w:numId w:val="1"/>
        </w:numPr>
        <w:jc w:val="both"/>
        <w:rPr>
          <w:rFonts w:ascii="Arial" w:eastAsia="Arial" w:hAnsi="Arial" w:cs="Arial"/>
          <w:color w:val="1C2B33"/>
          <w:sz w:val="23"/>
          <w:szCs w:val="23"/>
        </w:rPr>
      </w:pPr>
      <w:r w:rsidRPr="0022156B">
        <w:rPr>
          <w:rFonts w:ascii="Arial" w:eastAsia="Arial" w:hAnsi="Arial" w:cs="Arial"/>
          <w:color w:val="1C2B33"/>
          <w:sz w:val="23"/>
          <w:szCs w:val="23"/>
        </w:rPr>
        <w:lastRenderedPageBreak/>
        <w:t xml:space="preserve">Jain, A., </w:t>
      </w:r>
      <w:proofErr w:type="spellStart"/>
      <w:r w:rsidRPr="0022156B">
        <w:rPr>
          <w:rFonts w:ascii="Arial" w:eastAsia="Arial" w:hAnsi="Arial" w:cs="Arial"/>
          <w:color w:val="1C2B33"/>
          <w:sz w:val="23"/>
          <w:szCs w:val="23"/>
        </w:rPr>
        <w:t>Sheekha</w:t>
      </w:r>
      <w:proofErr w:type="spellEnd"/>
      <w:r w:rsidRPr="0022156B">
        <w:rPr>
          <w:rFonts w:ascii="Arial" w:eastAsia="Arial" w:hAnsi="Arial" w:cs="Arial"/>
          <w:color w:val="1C2B33"/>
          <w:sz w:val="23"/>
          <w:szCs w:val="23"/>
        </w:rPr>
        <w:t xml:space="preserve">, N. M., &amp; Mandal, S. T. (2022). Agricultural sustainability in the North Eastern Region of India: A sustainable livelihood security index (SLSI) approach. Ecology, Economy and Society – The INSEE Journal, 5(2), 21–42. </w:t>
      </w:r>
      <w:hyperlink r:id="rId22">
        <w:r w:rsidRPr="0022156B">
          <w:rPr>
            <w:rFonts w:ascii="Arial" w:eastAsia="Arial" w:hAnsi="Arial" w:cs="Arial"/>
            <w:color w:val="0000FF"/>
            <w:sz w:val="23"/>
            <w:szCs w:val="23"/>
            <w:u w:val="single"/>
          </w:rPr>
          <w:t>https://doi.org/10.37773/ees.v5i2.486</w:t>
        </w:r>
      </w:hyperlink>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r w:rsidRPr="0022156B">
        <w:rPr>
          <w:rFonts w:ascii="Arial" w:eastAsia="Arial" w:hAnsi="Arial" w:cs="Arial"/>
          <w:color w:val="333333"/>
          <w:sz w:val="23"/>
          <w:szCs w:val="23"/>
          <w:highlight w:val="white"/>
        </w:rPr>
        <w:t xml:space="preserve">Kumar Singh, A., &amp; </w:t>
      </w:r>
      <w:proofErr w:type="spellStart"/>
      <w:r w:rsidRPr="0022156B">
        <w:rPr>
          <w:rFonts w:ascii="Arial" w:eastAsia="Arial" w:hAnsi="Arial" w:cs="Arial"/>
          <w:color w:val="333333"/>
          <w:sz w:val="23"/>
          <w:szCs w:val="23"/>
          <w:highlight w:val="white"/>
        </w:rPr>
        <w:t>Issac</w:t>
      </w:r>
      <w:proofErr w:type="spellEnd"/>
      <w:r w:rsidRPr="0022156B">
        <w:rPr>
          <w:rFonts w:ascii="Arial" w:eastAsia="Arial" w:hAnsi="Arial" w:cs="Arial"/>
          <w:color w:val="333333"/>
          <w:sz w:val="23"/>
          <w:szCs w:val="23"/>
          <w:highlight w:val="white"/>
        </w:rPr>
        <w:t>, J. (2018). Impact of Climatic and Non-climatic Factors on Sustainable Livelihood Security in Gujarat State of India: A Statistical Exploration. </w:t>
      </w:r>
      <w:r w:rsidRPr="0022156B">
        <w:rPr>
          <w:rFonts w:ascii="Arial" w:eastAsia="Arial" w:hAnsi="Arial" w:cs="Arial"/>
          <w:i/>
          <w:iCs/>
          <w:color w:val="333333"/>
          <w:sz w:val="23"/>
          <w:szCs w:val="23"/>
          <w:highlight w:val="white"/>
        </w:rPr>
        <w:t>Agriculture and Food Sciences Research</w:t>
      </w:r>
      <w:r w:rsidRPr="0022156B">
        <w:rPr>
          <w:rFonts w:ascii="Arial" w:eastAsia="Arial" w:hAnsi="Arial" w:cs="Arial"/>
          <w:color w:val="333333"/>
          <w:sz w:val="23"/>
          <w:szCs w:val="23"/>
          <w:highlight w:val="white"/>
        </w:rPr>
        <w:t>, </w:t>
      </w:r>
      <w:r w:rsidRPr="0022156B">
        <w:rPr>
          <w:rFonts w:ascii="Arial" w:eastAsia="Arial" w:hAnsi="Arial" w:cs="Arial"/>
          <w:i/>
          <w:iCs/>
          <w:color w:val="333333"/>
          <w:sz w:val="23"/>
          <w:szCs w:val="23"/>
          <w:highlight w:val="white"/>
        </w:rPr>
        <w:t>5</w:t>
      </w:r>
      <w:r w:rsidRPr="0022156B">
        <w:rPr>
          <w:rFonts w:ascii="Arial" w:eastAsia="Arial" w:hAnsi="Arial" w:cs="Arial"/>
          <w:color w:val="333333"/>
          <w:sz w:val="23"/>
          <w:szCs w:val="23"/>
          <w:highlight w:val="white"/>
        </w:rPr>
        <w:t>(1), 30–46. </w:t>
      </w:r>
      <w:hyperlink r:id="rId23">
        <w:r w:rsidRPr="0022156B">
          <w:rPr>
            <w:rFonts w:ascii="Arial" w:eastAsia="Arial" w:hAnsi="Arial" w:cs="Arial"/>
            <w:color w:val="1155CC"/>
            <w:sz w:val="23"/>
            <w:szCs w:val="23"/>
            <w:highlight w:val="white"/>
            <w:u w:val="single"/>
          </w:rPr>
          <w:t>https://doi.org/10.20448/journal.512.2018.51.30.46</w:t>
        </w:r>
      </w:hyperlink>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r w:rsidRPr="0022156B">
        <w:rPr>
          <w:rFonts w:ascii="Arial" w:eastAsia="Arial" w:hAnsi="Arial" w:cs="Arial"/>
          <w:color w:val="1C2B33"/>
          <w:sz w:val="23"/>
          <w:szCs w:val="23"/>
        </w:rPr>
        <w:t xml:space="preserve">Mane, S. P., &amp; Gaikwad, S. B. (2019). Agriculture productivity calculate based on M.G. Kendall’s method in </w:t>
      </w:r>
      <w:proofErr w:type="spellStart"/>
      <w:r w:rsidRPr="0022156B">
        <w:rPr>
          <w:rFonts w:ascii="Arial" w:eastAsia="Arial" w:hAnsi="Arial" w:cs="Arial"/>
          <w:color w:val="1C2B33"/>
          <w:sz w:val="23"/>
          <w:szCs w:val="23"/>
        </w:rPr>
        <w:t>MalshirasTahsil</w:t>
      </w:r>
      <w:proofErr w:type="spellEnd"/>
      <w:r w:rsidRPr="0022156B">
        <w:rPr>
          <w:rFonts w:ascii="Arial" w:eastAsia="Arial" w:hAnsi="Arial" w:cs="Arial"/>
          <w:color w:val="1C2B33"/>
          <w:sz w:val="23"/>
          <w:szCs w:val="23"/>
        </w:rPr>
        <w:t xml:space="preserve">. Research Journey: International E-Research Journal, 114(A), 145–151. </w:t>
      </w:r>
      <w:hyperlink r:id="rId24">
        <w:r w:rsidRPr="0022156B">
          <w:rPr>
            <w:rFonts w:ascii="Arial" w:eastAsia="Arial" w:hAnsi="Arial" w:cs="Arial"/>
            <w:color w:val="0000FF"/>
            <w:sz w:val="23"/>
            <w:szCs w:val="23"/>
            <w:u w:val="single"/>
          </w:rPr>
          <w:t>https://www.researchgate.net/publication/331040000_</w:t>
        </w:r>
      </w:hyperlink>
      <w:r w:rsidRPr="0022156B">
        <w:rPr>
          <w:rFonts w:ascii="Arial" w:eastAsia="Arial" w:hAnsi="Arial" w:cs="Arial"/>
          <w:color w:val="1C2B33"/>
          <w:sz w:val="23"/>
          <w:szCs w:val="23"/>
          <w:highlight w:val="white"/>
        </w:rPr>
        <w:t xml:space="preserve"> </w:t>
      </w:r>
    </w:p>
    <w:p w:rsidR="00514E52" w:rsidRPr="0022156B" w:rsidRDefault="0069353D" w:rsidP="0022156B">
      <w:pPr>
        <w:pStyle w:val="ListParagraph"/>
        <w:numPr>
          <w:ilvl w:val="0"/>
          <w:numId w:val="1"/>
        </w:numPr>
        <w:jc w:val="both"/>
        <w:rPr>
          <w:rFonts w:ascii="Arial" w:eastAsia="Arial" w:hAnsi="Arial" w:cs="Arial"/>
          <w:color w:val="1C2B33"/>
          <w:sz w:val="23"/>
          <w:szCs w:val="23"/>
          <w:highlight w:val="white"/>
        </w:rPr>
      </w:pPr>
      <w:proofErr w:type="spellStart"/>
      <w:r w:rsidRPr="0022156B">
        <w:rPr>
          <w:rFonts w:ascii="Arial" w:eastAsia="Arial" w:hAnsi="Arial" w:cs="Arial"/>
          <w:color w:val="1C2B33"/>
          <w:sz w:val="23"/>
          <w:szCs w:val="23"/>
        </w:rPr>
        <w:t>Pani</w:t>
      </w:r>
      <w:proofErr w:type="spellEnd"/>
      <w:r w:rsidRPr="0022156B">
        <w:rPr>
          <w:rFonts w:ascii="Arial" w:eastAsia="Arial" w:hAnsi="Arial" w:cs="Arial"/>
          <w:color w:val="1C2B33"/>
          <w:sz w:val="23"/>
          <w:szCs w:val="23"/>
        </w:rPr>
        <w:t xml:space="preserve">, B. S., &amp; Mishra, D. (2022). Sustainable livelihood security in Odisha, India: A district level analysis. Regional Sustainability, 3, 110–121. </w:t>
      </w:r>
      <w:hyperlink r:id="rId25">
        <w:r w:rsidRPr="0022156B">
          <w:rPr>
            <w:rFonts w:ascii="Arial" w:eastAsia="Arial" w:hAnsi="Arial" w:cs="Arial"/>
            <w:color w:val="0000FF"/>
            <w:sz w:val="23"/>
            <w:szCs w:val="23"/>
            <w:u w:val="single"/>
          </w:rPr>
          <w:t>https://doi.org/10.1016/j.regsus.2022.07.003</w:t>
        </w:r>
      </w:hyperlink>
    </w:p>
    <w:p w:rsidR="00514E52" w:rsidRPr="0022156B" w:rsidRDefault="0069353D" w:rsidP="0022156B">
      <w:pPr>
        <w:pStyle w:val="ListParagraph"/>
        <w:numPr>
          <w:ilvl w:val="0"/>
          <w:numId w:val="1"/>
        </w:numPr>
        <w:jc w:val="both"/>
        <w:rPr>
          <w:rFonts w:ascii="Arial" w:eastAsia="Arial" w:hAnsi="Arial" w:cs="Arial"/>
        </w:rPr>
      </w:pPr>
      <w:r w:rsidRPr="0022156B">
        <w:rPr>
          <w:rFonts w:ascii="Arial" w:eastAsia="Arial" w:hAnsi="Arial" w:cs="Arial"/>
          <w:color w:val="1C2B33"/>
          <w:sz w:val="23"/>
          <w:szCs w:val="23"/>
        </w:rPr>
        <w:t xml:space="preserve">Patil, D. R., Deshmukh, M. S., &amp; </w:t>
      </w:r>
      <w:proofErr w:type="spellStart"/>
      <w:r w:rsidRPr="0022156B">
        <w:rPr>
          <w:rFonts w:ascii="Arial" w:eastAsia="Arial" w:hAnsi="Arial" w:cs="Arial"/>
          <w:color w:val="1C2B33"/>
          <w:sz w:val="23"/>
          <w:szCs w:val="23"/>
        </w:rPr>
        <w:t>Gebre</w:t>
      </w:r>
      <w:proofErr w:type="spellEnd"/>
      <w:r w:rsidRPr="0022156B">
        <w:rPr>
          <w:rFonts w:ascii="Arial" w:eastAsia="Arial" w:hAnsi="Arial" w:cs="Arial"/>
          <w:color w:val="1C2B33"/>
          <w:sz w:val="23"/>
          <w:szCs w:val="23"/>
        </w:rPr>
        <w:t xml:space="preserve">, A. A. (2024). Assessment of sustainable agricultural development: A comparative study of Kolhapur and Solapur districts in Maharashtra. In M. </w:t>
      </w:r>
      <w:proofErr w:type="spellStart"/>
      <w:r w:rsidRPr="0022156B">
        <w:rPr>
          <w:rFonts w:ascii="Arial" w:eastAsia="Arial" w:hAnsi="Arial" w:cs="Arial"/>
          <w:color w:val="1C2B33"/>
          <w:sz w:val="23"/>
          <w:szCs w:val="23"/>
        </w:rPr>
        <w:t>Nemichandrappa</w:t>
      </w:r>
      <w:proofErr w:type="spellEnd"/>
      <w:r w:rsidRPr="0022156B">
        <w:rPr>
          <w:rFonts w:ascii="Arial" w:eastAsia="Arial" w:hAnsi="Arial" w:cs="Arial"/>
          <w:color w:val="1C2B33"/>
          <w:sz w:val="23"/>
          <w:szCs w:val="23"/>
        </w:rPr>
        <w:t xml:space="preserve">&amp; R. R. </w:t>
      </w:r>
      <w:proofErr w:type="spellStart"/>
      <w:r w:rsidRPr="0022156B">
        <w:rPr>
          <w:rFonts w:ascii="Arial" w:eastAsia="Arial" w:hAnsi="Arial" w:cs="Arial"/>
          <w:color w:val="1C2B33"/>
          <w:sz w:val="23"/>
          <w:szCs w:val="23"/>
        </w:rPr>
        <w:t>Halidoddi</w:t>
      </w:r>
      <w:proofErr w:type="spellEnd"/>
      <w:r w:rsidRPr="0022156B">
        <w:rPr>
          <w:rFonts w:ascii="Arial" w:eastAsia="Arial" w:hAnsi="Arial" w:cs="Arial"/>
          <w:color w:val="1C2B33"/>
          <w:sz w:val="23"/>
          <w:szCs w:val="23"/>
        </w:rPr>
        <w:t xml:space="preserve"> (Eds.), Advanced innovative technologies in agricultural engineering for sustainable agriculture (Volume - 10) (pp. 75–92). </w:t>
      </w:r>
      <w:proofErr w:type="spellStart"/>
      <w:r w:rsidRPr="0022156B">
        <w:rPr>
          <w:rFonts w:ascii="Arial" w:eastAsia="Arial" w:hAnsi="Arial" w:cs="Arial"/>
          <w:color w:val="1C2B33"/>
          <w:sz w:val="23"/>
          <w:szCs w:val="23"/>
        </w:rPr>
        <w:t>AkiNik</w:t>
      </w:r>
      <w:proofErr w:type="spellEnd"/>
      <w:r w:rsidRPr="0022156B">
        <w:rPr>
          <w:rFonts w:ascii="Arial" w:eastAsia="Arial" w:hAnsi="Arial" w:cs="Arial"/>
          <w:color w:val="1C2B33"/>
          <w:sz w:val="23"/>
          <w:szCs w:val="23"/>
        </w:rPr>
        <w:t xml:space="preserve"> Publications. </w:t>
      </w:r>
      <w:hyperlink r:id="rId26">
        <w:r w:rsidRPr="0022156B">
          <w:rPr>
            <w:rFonts w:ascii="Arial" w:eastAsia="Arial" w:hAnsi="Arial" w:cs="Arial"/>
            <w:color w:val="0000FF"/>
            <w:sz w:val="23"/>
            <w:szCs w:val="23"/>
            <w:u w:val="single"/>
          </w:rPr>
          <w:t>https://doi.org/10.22271/ed.book.2624</w:t>
        </w:r>
      </w:hyperlink>
    </w:p>
    <w:p w:rsidR="00514E52" w:rsidRPr="0022156B" w:rsidRDefault="0069353D" w:rsidP="0022156B">
      <w:pPr>
        <w:pStyle w:val="ListParagraph"/>
        <w:numPr>
          <w:ilvl w:val="0"/>
          <w:numId w:val="1"/>
        </w:numPr>
        <w:jc w:val="both"/>
        <w:rPr>
          <w:rFonts w:ascii="Arial" w:eastAsia="Arial" w:hAnsi="Arial" w:cs="Arial"/>
          <w:color w:val="1C2B33"/>
          <w:sz w:val="23"/>
          <w:szCs w:val="23"/>
        </w:rPr>
      </w:pPr>
      <w:r w:rsidRPr="0022156B">
        <w:rPr>
          <w:rFonts w:ascii="Arial" w:eastAsia="Arial" w:hAnsi="Arial" w:cs="Arial"/>
          <w:color w:val="1C2B33"/>
          <w:sz w:val="23"/>
          <w:szCs w:val="23"/>
        </w:rPr>
        <w:t xml:space="preserve">Saritha, K., Baba, M. A., Devi, D. A. R., &amp; </w:t>
      </w:r>
      <w:proofErr w:type="spellStart"/>
      <w:r w:rsidRPr="0022156B">
        <w:rPr>
          <w:rFonts w:ascii="Arial" w:eastAsia="Arial" w:hAnsi="Arial" w:cs="Arial"/>
          <w:color w:val="1C2B33"/>
          <w:sz w:val="23"/>
          <w:szCs w:val="23"/>
        </w:rPr>
        <w:t>Babu</w:t>
      </w:r>
      <w:proofErr w:type="spellEnd"/>
      <w:r w:rsidRPr="0022156B">
        <w:rPr>
          <w:rFonts w:ascii="Arial" w:eastAsia="Arial" w:hAnsi="Arial" w:cs="Arial"/>
          <w:color w:val="1C2B33"/>
          <w:sz w:val="23"/>
          <w:szCs w:val="23"/>
        </w:rPr>
        <w:t xml:space="preserve">, K. M. (2023). A probe into shifts in cropping pattern in Telangana State, India: A Markov chain approach. International Journal of Environment and Climate Change, 13(11), 1658–1661. </w:t>
      </w:r>
      <w:hyperlink r:id="rId27">
        <w:r w:rsidRPr="0022156B">
          <w:rPr>
            <w:rFonts w:ascii="Arial" w:eastAsia="Arial" w:hAnsi="Arial" w:cs="Arial"/>
            <w:color w:val="0000FF"/>
            <w:sz w:val="23"/>
            <w:szCs w:val="23"/>
            <w:u w:val="single"/>
          </w:rPr>
          <w:t>https://doi.org/10.9734/ijecc/2023/v13i113320</w:t>
        </w:r>
      </w:hyperlink>
    </w:p>
    <w:p w:rsidR="00514E52" w:rsidRPr="0022156B" w:rsidRDefault="0069353D" w:rsidP="0022156B">
      <w:pPr>
        <w:pStyle w:val="ListParagraph"/>
        <w:numPr>
          <w:ilvl w:val="0"/>
          <w:numId w:val="1"/>
        </w:numPr>
        <w:jc w:val="both"/>
        <w:rPr>
          <w:rFonts w:ascii="Arial" w:eastAsia="Arial" w:hAnsi="Arial" w:cs="Arial"/>
          <w:color w:val="222222"/>
          <w:sz w:val="23"/>
          <w:szCs w:val="23"/>
        </w:rPr>
      </w:pPr>
      <w:proofErr w:type="spellStart"/>
      <w:r w:rsidRPr="0022156B">
        <w:rPr>
          <w:rFonts w:ascii="Arial" w:eastAsia="Arial" w:hAnsi="Arial" w:cs="Arial"/>
          <w:color w:val="333333"/>
          <w:sz w:val="23"/>
          <w:szCs w:val="23"/>
          <w:highlight w:val="white"/>
        </w:rPr>
        <w:t>Srinatha</w:t>
      </w:r>
      <w:proofErr w:type="spellEnd"/>
      <w:r w:rsidRPr="0022156B">
        <w:rPr>
          <w:rFonts w:ascii="Arial" w:eastAsia="Arial" w:hAnsi="Arial" w:cs="Arial"/>
          <w:color w:val="333333"/>
          <w:sz w:val="23"/>
          <w:szCs w:val="23"/>
          <w:highlight w:val="white"/>
        </w:rPr>
        <w:t xml:space="preserve">, T. N., Pramod Kumar, Arun, D., </w:t>
      </w:r>
      <w:proofErr w:type="spellStart"/>
      <w:r w:rsidRPr="0022156B">
        <w:rPr>
          <w:rFonts w:ascii="Arial" w:eastAsia="Arial" w:hAnsi="Arial" w:cs="Arial"/>
          <w:color w:val="333333"/>
          <w:sz w:val="23"/>
          <w:szCs w:val="23"/>
          <w:highlight w:val="white"/>
        </w:rPr>
        <w:t>Debasmita</w:t>
      </w:r>
      <w:proofErr w:type="spellEnd"/>
      <w:r w:rsidRPr="0022156B">
        <w:rPr>
          <w:rFonts w:ascii="Arial" w:eastAsia="Arial" w:hAnsi="Arial" w:cs="Arial"/>
          <w:color w:val="333333"/>
          <w:sz w:val="23"/>
          <w:szCs w:val="23"/>
          <w:highlight w:val="white"/>
        </w:rPr>
        <w:t xml:space="preserve"> Baruah, </w:t>
      </w:r>
      <w:proofErr w:type="spellStart"/>
      <w:r w:rsidRPr="0022156B">
        <w:rPr>
          <w:rFonts w:ascii="Arial" w:eastAsia="Arial" w:hAnsi="Arial" w:cs="Arial"/>
          <w:color w:val="333333"/>
          <w:sz w:val="23"/>
          <w:szCs w:val="23"/>
          <w:highlight w:val="white"/>
        </w:rPr>
        <w:t>Praveenkumar</w:t>
      </w:r>
      <w:proofErr w:type="spellEnd"/>
      <w:r w:rsidRPr="0022156B">
        <w:rPr>
          <w:rFonts w:ascii="Arial" w:eastAsia="Arial" w:hAnsi="Arial" w:cs="Arial"/>
          <w:color w:val="333333"/>
          <w:sz w:val="23"/>
          <w:szCs w:val="23"/>
          <w:highlight w:val="white"/>
        </w:rPr>
        <w:t xml:space="preserve"> A., Pooja Rajendra </w:t>
      </w:r>
      <w:proofErr w:type="spellStart"/>
      <w:r w:rsidRPr="0022156B">
        <w:rPr>
          <w:rFonts w:ascii="Arial" w:eastAsia="Arial" w:hAnsi="Arial" w:cs="Arial"/>
          <w:color w:val="333333"/>
          <w:sz w:val="23"/>
          <w:szCs w:val="23"/>
          <w:highlight w:val="white"/>
        </w:rPr>
        <w:t>Dhange</w:t>
      </w:r>
      <w:proofErr w:type="spellEnd"/>
      <w:r w:rsidRPr="0022156B">
        <w:rPr>
          <w:rFonts w:ascii="Arial" w:eastAsia="Arial" w:hAnsi="Arial" w:cs="Arial"/>
          <w:color w:val="333333"/>
          <w:sz w:val="23"/>
          <w:szCs w:val="23"/>
          <w:highlight w:val="white"/>
        </w:rPr>
        <w:t xml:space="preserve"> &amp; </w:t>
      </w:r>
      <w:proofErr w:type="spellStart"/>
      <w:r w:rsidRPr="0022156B">
        <w:rPr>
          <w:rFonts w:ascii="Arial" w:eastAsia="Arial" w:hAnsi="Arial" w:cs="Arial"/>
          <w:color w:val="333333"/>
          <w:sz w:val="23"/>
          <w:szCs w:val="23"/>
          <w:highlight w:val="white"/>
        </w:rPr>
        <w:t>Anbukkani</w:t>
      </w:r>
      <w:proofErr w:type="spellEnd"/>
      <w:r w:rsidRPr="0022156B">
        <w:rPr>
          <w:rFonts w:ascii="Arial" w:eastAsia="Arial" w:hAnsi="Arial" w:cs="Arial"/>
          <w:color w:val="333333"/>
          <w:sz w:val="23"/>
          <w:szCs w:val="23"/>
          <w:highlight w:val="white"/>
        </w:rPr>
        <w:t xml:space="preserve"> Perumal. (2024). Sustainable Livelihood Security Vis-à-Vis Agricultural Sustainability in India: A Case Study of Karnataka, India. </w:t>
      </w:r>
      <w:r w:rsidRPr="0022156B">
        <w:rPr>
          <w:rFonts w:ascii="Arial" w:eastAsia="Arial" w:hAnsi="Arial" w:cs="Arial"/>
          <w:i/>
          <w:iCs/>
          <w:color w:val="333333"/>
          <w:sz w:val="23"/>
          <w:szCs w:val="23"/>
          <w:highlight w:val="white"/>
        </w:rPr>
        <w:t>Archives of Current Research International</w:t>
      </w:r>
      <w:r w:rsidRPr="0022156B">
        <w:rPr>
          <w:rFonts w:ascii="Arial" w:eastAsia="Arial" w:hAnsi="Arial" w:cs="Arial"/>
          <w:color w:val="333333"/>
          <w:sz w:val="23"/>
          <w:szCs w:val="23"/>
          <w:highlight w:val="white"/>
        </w:rPr>
        <w:t>, </w:t>
      </w:r>
      <w:r w:rsidRPr="0022156B">
        <w:rPr>
          <w:rFonts w:ascii="Arial" w:eastAsia="Arial" w:hAnsi="Arial" w:cs="Arial"/>
          <w:i/>
          <w:iCs/>
          <w:color w:val="333333"/>
          <w:sz w:val="23"/>
          <w:szCs w:val="23"/>
          <w:highlight w:val="white"/>
        </w:rPr>
        <w:t>24</w:t>
      </w:r>
      <w:r w:rsidRPr="0022156B">
        <w:rPr>
          <w:rFonts w:ascii="Arial" w:eastAsia="Arial" w:hAnsi="Arial" w:cs="Arial"/>
          <w:color w:val="333333"/>
          <w:sz w:val="23"/>
          <w:szCs w:val="23"/>
          <w:highlight w:val="white"/>
        </w:rPr>
        <w:t>(6), 456–466. </w:t>
      </w:r>
      <w:hyperlink r:id="rId28">
        <w:r w:rsidRPr="0022156B">
          <w:rPr>
            <w:rFonts w:ascii="Arial" w:eastAsia="Arial" w:hAnsi="Arial" w:cs="Arial"/>
            <w:color w:val="1155CC"/>
            <w:sz w:val="23"/>
            <w:szCs w:val="23"/>
            <w:highlight w:val="white"/>
            <w:u w:val="single"/>
          </w:rPr>
          <w:t>https://doi.org/10.9734/acri/2024/v24i6803</w:t>
        </w:r>
      </w:hyperlink>
    </w:p>
    <w:p w:rsidR="00514E52" w:rsidRPr="00AD7544" w:rsidRDefault="0069353D" w:rsidP="0022156B">
      <w:pPr>
        <w:pStyle w:val="ListParagraph"/>
        <w:numPr>
          <w:ilvl w:val="0"/>
          <w:numId w:val="1"/>
        </w:numPr>
        <w:jc w:val="both"/>
        <w:rPr>
          <w:rFonts w:ascii="Arial" w:eastAsia="Arial" w:hAnsi="Arial" w:cs="Arial"/>
          <w:color w:val="1C2B33"/>
          <w:sz w:val="23"/>
          <w:szCs w:val="23"/>
        </w:rPr>
      </w:pPr>
      <w:r w:rsidRPr="0022156B">
        <w:rPr>
          <w:rFonts w:ascii="Arial" w:eastAsia="Arial" w:hAnsi="Arial" w:cs="Arial"/>
          <w:color w:val="333333"/>
          <w:sz w:val="23"/>
          <w:szCs w:val="23"/>
          <w:highlight w:val="white"/>
        </w:rPr>
        <w:t xml:space="preserve">Sunitha, G., Vani, N., Aparna, B., &amp; Ramana </w:t>
      </w:r>
      <w:proofErr w:type="spellStart"/>
      <w:r w:rsidRPr="0022156B">
        <w:rPr>
          <w:rFonts w:ascii="Arial" w:eastAsia="Arial" w:hAnsi="Arial" w:cs="Arial"/>
          <w:color w:val="333333"/>
          <w:sz w:val="23"/>
          <w:szCs w:val="23"/>
          <w:highlight w:val="white"/>
        </w:rPr>
        <w:t>Murty</w:t>
      </w:r>
      <w:proofErr w:type="spellEnd"/>
      <w:r w:rsidRPr="0022156B">
        <w:rPr>
          <w:rFonts w:ascii="Arial" w:eastAsia="Arial" w:hAnsi="Arial" w:cs="Arial"/>
          <w:color w:val="333333"/>
          <w:sz w:val="23"/>
          <w:szCs w:val="23"/>
          <w:highlight w:val="white"/>
        </w:rPr>
        <w:t>, B. (2022). Ranking of Districts of Andhra Pradesh According to Sustainable Livelihood Security Indices Values. </w:t>
      </w:r>
      <w:r w:rsidRPr="0022156B">
        <w:rPr>
          <w:rFonts w:ascii="Arial" w:eastAsia="Arial" w:hAnsi="Arial" w:cs="Arial"/>
          <w:i/>
          <w:iCs/>
          <w:color w:val="333333"/>
          <w:sz w:val="23"/>
          <w:szCs w:val="23"/>
          <w:highlight w:val="white"/>
        </w:rPr>
        <w:t>Current Journal of Applied Science and Technology</w:t>
      </w:r>
      <w:r w:rsidRPr="0022156B">
        <w:rPr>
          <w:rFonts w:ascii="Arial" w:eastAsia="Arial" w:hAnsi="Arial" w:cs="Arial"/>
          <w:color w:val="333333"/>
          <w:sz w:val="23"/>
          <w:szCs w:val="23"/>
          <w:highlight w:val="white"/>
        </w:rPr>
        <w:t>, </w:t>
      </w:r>
      <w:r w:rsidRPr="0022156B">
        <w:rPr>
          <w:rFonts w:ascii="Arial" w:eastAsia="Arial" w:hAnsi="Arial" w:cs="Arial"/>
          <w:i/>
          <w:iCs/>
          <w:color w:val="333333"/>
          <w:sz w:val="23"/>
          <w:szCs w:val="23"/>
          <w:highlight w:val="white"/>
        </w:rPr>
        <w:t>41</w:t>
      </w:r>
      <w:r w:rsidRPr="0022156B">
        <w:rPr>
          <w:rFonts w:ascii="Arial" w:eastAsia="Arial" w:hAnsi="Arial" w:cs="Arial"/>
          <w:color w:val="333333"/>
          <w:sz w:val="23"/>
          <w:szCs w:val="23"/>
          <w:highlight w:val="white"/>
        </w:rPr>
        <w:t>(7), 61–66. </w:t>
      </w:r>
      <w:hyperlink r:id="rId29">
        <w:r w:rsidRPr="0022156B">
          <w:rPr>
            <w:rFonts w:ascii="Arial" w:eastAsia="Arial" w:hAnsi="Arial" w:cs="Arial"/>
            <w:color w:val="1155CC"/>
            <w:sz w:val="23"/>
            <w:szCs w:val="23"/>
            <w:highlight w:val="white"/>
            <w:u w:val="single"/>
          </w:rPr>
          <w:t>https://doi.org/10.9734/cjast/2022/v41i731679</w:t>
        </w:r>
      </w:hyperlink>
    </w:p>
    <w:p w:rsidR="00AD7544" w:rsidRDefault="00AD7544" w:rsidP="0022156B">
      <w:pPr>
        <w:pStyle w:val="ListParagraph"/>
        <w:numPr>
          <w:ilvl w:val="0"/>
          <w:numId w:val="1"/>
        </w:numPr>
        <w:jc w:val="both"/>
        <w:rPr>
          <w:rFonts w:ascii="Arial" w:eastAsia="Arial" w:hAnsi="Arial" w:cs="Arial"/>
          <w:color w:val="1C2B33"/>
          <w:sz w:val="23"/>
          <w:szCs w:val="23"/>
        </w:rPr>
      </w:pPr>
      <w:proofErr w:type="spellStart"/>
      <w:r w:rsidRPr="00AD7544">
        <w:rPr>
          <w:rFonts w:ascii="Arial" w:eastAsia="Arial" w:hAnsi="Arial" w:cs="Arial"/>
          <w:color w:val="1C2B33"/>
          <w:sz w:val="23"/>
          <w:szCs w:val="23"/>
        </w:rPr>
        <w:t>Umesha</w:t>
      </w:r>
      <w:proofErr w:type="spellEnd"/>
      <w:r w:rsidRPr="00AD7544">
        <w:rPr>
          <w:rFonts w:ascii="Arial" w:eastAsia="Arial" w:hAnsi="Arial" w:cs="Arial"/>
          <w:color w:val="1C2B33"/>
          <w:sz w:val="23"/>
          <w:szCs w:val="23"/>
        </w:rPr>
        <w:t xml:space="preserve">, S., </w:t>
      </w:r>
      <w:proofErr w:type="spellStart"/>
      <w:r w:rsidRPr="00AD7544">
        <w:rPr>
          <w:rFonts w:ascii="Arial" w:eastAsia="Arial" w:hAnsi="Arial" w:cs="Arial"/>
          <w:color w:val="1C2B33"/>
          <w:sz w:val="23"/>
          <w:szCs w:val="23"/>
        </w:rPr>
        <w:t>Manukumar</w:t>
      </w:r>
      <w:proofErr w:type="spellEnd"/>
      <w:r w:rsidRPr="00AD7544">
        <w:rPr>
          <w:rFonts w:ascii="Arial" w:eastAsia="Arial" w:hAnsi="Arial" w:cs="Arial"/>
          <w:color w:val="1C2B33"/>
          <w:sz w:val="23"/>
          <w:szCs w:val="23"/>
        </w:rPr>
        <w:t>, H. M., &amp; Chandrasekhar, B. (2018). Sustainable agriculture and food security. In Biotechnology for sustainable agriculture (pp. 67-92). Woodhead Publishing.</w:t>
      </w:r>
      <w:r w:rsidRPr="00AD7544">
        <w:t xml:space="preserve"> </w:t>
      </w:r>
      <w:hyperlink r:id="rId30" w:history="1">
        <w:r w:rsidRPr="00E6479B">
          <w:rPr>
            <w:rStyle w:val="Hyperlink"/>
            <w:rFonts w:ascii="Arial" w:eastAsia="Arial" w:hAnsi="Arial" w:cs="Arial"/>
            <w:sz w:val="23"/>
            <w:szCs w:val="23"/>
          </w:rPr>
          <w:t>https://doi.org/10.1016/B978-0-12-812160-3.00003-9</w:t>
        </w:r>
      </w:hyperlink>
      <w:r>
        <w:rPr>
          <w:rFonts w:ascii="Arial" w:eastAsia="Arial" w:hAnsi="Arial" w:cs="Arial"/>
          <w:color w:val="1C2B33"/>
          <w:sz w:val="23"/>
          <w:szCs w:val="23"/>
        </w:rPr>
        <w:t xml:space="preserve"> </w:t>
      </w:r>
    </w:p>
    <w:p w:rsidR="00AD7544" w:rsidRPr="0022156B" w:rsidRDefault="00AD7544" w:rsidP="0022156B">
      <w:pPr>
        <w:pStyle w:val="ListParagraph"/>
        <w:numPr>
          <w:ilvl w:val="0"/>
          <w:numId w:val="1"/>
        </w:numPr>
        <w:jc w:val="both"/>
        <w:rPr>
          <w:rFonts w:ascii="Arial" w:eastAsia="Arial" w:hAnsi="Arial" w:cs="Arial"/>
          <w:color w:val="1C2B33"/>
          <w:sz w:val="23"/>
          <w:szCs w:val="23"/>
        </w:rPr>
      </w:pPr>
      <w:bookmarkStart w:id="2" w:name="_GoBack"/>
      <w:proofErr w:type="spellStart"/>
      <w:r w:rsidRPr="00AD7544">
        <w:rPr>
          <w:rFonts w:ascii="Arial" w:eastAsia="Arial" w:hAnsi="Arial" w:cs="Arial"/>
          <w:color w:val="1C2B33"/>
          <w:sz w:val="23"/>
          <w:szCs w:val="23"/>
        </w:rPr>
        <w:t>Kremsa</w:t>
      </w:r>
      <w:bookmarkEnd w:id="2"/>
      <w:proofErr w:type="spellEnd"/>
      <w:r w:rsidRPr="00AD7544">
        <w:rPr>
          <w:rFonts w:ascii="Arial" w:eastAsia="Arial" w:hAnsi="Arial" w:cs="Arial"/>
          <w:color w:val="1C2B33"/>
          <w:sz w:val="23"/>
          <w:szCs w:val="23"/>
        </w:rPr>
        <w:t>, V. Š. (2021). Sustainable management of agricultural resources (agricultural crops and animals). In Sustainable resource management (pp. 99-145). Elsevier.</w:t>
      </w:r>
      <w:r w:rsidRPr="00AD7544">
        <w:t xml:space="preserve"> </w:t>
      </w:r>
      <w:hyperlink r:id="rId31" w:history="1">
        <w:r w:rsidRPr="00E6479B">
          <w:rPr>
            <w:rStyle w:val="Hyperlink"/>
            <w:rFonts w:ascii="Arial" w:eastAsia="Arial" w:hAnsi="Arial" w:cs="Arial"/>
            <w:sz w:val="23"/>
            <w:szCs w:val="23"/>
          </w:rPr>
          <w:t>https://doi.org/10.1016/B978-0-12-824342-8.00010-9</w:t>
        </w:r>
      </w:hyperlink>
      <w:r>
        <w:rPr>
          <w:rFonts w:ascii="Arial" w:eastAsia="Arial" w:hAnsi="Arial" w:cs="Arial"/>
          <w:color w:val="1C2B33"/>
          <w:sz w:val="23"/>
          <w:szCs w:val="23"/>
        </w:rPr>
        <w:t xml:space="preserve"> </w:t>
      </w:r>
    </w:p>
    <w:sectPr w:rsidR="00AD7544" w:rsidRPr="0022156B">
      <w:pgSz w:w="11909" w:h="16834"/>
      <w:pgMar w:top="1440" w:right="992"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D82" w:rsidRDefault="004C3D82">
      <w:pPr>
        <w:spacing w:after="0" w:line="240" w:lineRule="auto"/>
      </w:pPr>
      <w:r>
        <w:separator/>
      </w:r>
    </w:p>
  </w:endnote>
  <w:endnote w:type="continuationSeparator" w:id="0">
    <w:p w:rsidR="004C3D82" w:rsidRDefault="004C3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7C58D572-3DFB-4F2F-AF0B-A1959948BF26}"/>
    <w:embedBold r:id="rId2" w:fontKey="{8B73BFA9-FD69-4848-82B8-CB3E3031816D}"/>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1F828C2-5085-4603-96CF-77A51CD9FB46}"/>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4" w:subsetted="1" w:fontKey="{FD70D5BA-10B8-4C37-A763-30AA96717A95}"/>
    <w:embedBold r:id="rId5" w:subsetted="1" w:fontKey="{7630A7D2-27FD-4B76-AE29-BF4469F207A2}"/>
  </w:font>
  <w:font w:name="Cambria">
    <w:panose1 w:val="02040503050406030204"/>
    <w:charset w:val="00"/>
    <w:family w:val="roman"/>
    <w:pitch w:val="variable"/>
    <w:sig w:usb0="E00006FF" w:usb1="420024FF" w:usb2="02000000" w:usb3="00000000" w:csb0="0000019F" w:csb1="00000000"/>
    <w:embedRegular r:id="rId6" w:fontKey="{AB58588D-CDD4-447B-ACB6-A33B78139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514E5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514E5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514E5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D82" w:rsidRDefault="004C3D82">
      <w:pPr>
        <w:spacing w:after="0" w:line="240" w:lineRule="auto"/>
      </w:pPr>
      <w:r>
        <w:separator/>
      </w:r>
    </w:p>
  </w:footnote>
  <w:footnote w:type="continuationSeparator" w:id="0">
    <w:p w:rsidR="004C3D82" w:rsidRDefault="004C3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4C3D82">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39.05pt;height:120.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4C3D82">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39.05pt;height:120.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E52" w:rsidRDefault="004C3D82">
    <w:pPr>
      <w:pBdr>
        <w:top w:val="nil"/>
        <w:left w:val="nil"/>
        <w:bottom w:val="nil"/>
        <w:right w:val="nil"/>
        <w:between w:val="nil"/>
      </w:pBdr>
      <w:tabs>
        <w:tab w:val="center" w:pos="4513"/>
        <w:tab w:val="right" w:pos="9026"/>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39.05pt;height:120.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1319"/>
    <w:multiLevelType w:val="hybridMultilevel"/>
    <w:tmpl w:val="A74C7B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52"/>
    <w:rsid w:val="0022156B"/>
    <w:rsid w:val="004C3D82"/>
    <w:rsid w:val="00514E52"/>
    <w:rsid w:val="005E4BCC"/>
    <w:rsid w:val="0069353D"/>
    <w:rsid w:val="00AD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386F0"/>
  <w15:docId w15:val="{A88FFA15-0C08-4A14-A779-333FA08D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0">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1">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2">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3">
    <w:basedOn w:val="TableNormal0"/>
    <w:pPr>
      <w:spacing w:after="0" w:line="240" w:lineRule="auto"/>
    </w:pPr>
    <w:tblPr>
      <w:tblStyleRowBandSize w:val="1"/>
      <w:tblStyleColBandSize w:val="1"/>
      <w:tblCellMar>
        <w:top w:w="0" w:type="dxa"/>
        <w:left w:w="11" w:type="dxa"/>
        <w:bottom w:w="0" w:type="dxa"/>
        <w:right w:w="11" w:type="dxa"/>
      </w:tblCellMar>
    </w:tblPr>
  </w:style>
  <w:style w:type="paragraph" w:styleId="ListParagraph">
    <w:name w:val="List Paragraph"/>
    <w:basedOn w:val="Normal"/>
    <w:uiPriority w:val="34"/>
    <w:qFormat/>
    <w:rsid w:val="0022156B"/>
    <w:pPr>
      <w:ind w:left="720"/>
      <w:contextualSpacing/>
    </w:pPr>
  </w:style>
  <w:style w:type="character" w:styleId="Hyperlink">
    <w:name w:val="Hyperlink"/>
    <w:basedOn w:val="DefaultParagraphFont"/>
    <w:uiPriority w:val="99"/>
    <w:unhideWhenUsed/>
    <w:rsid w:val="00AD7544"/>
    <w:rPr>
      <w:color w:val="0000FF" w:themeColor="hyperlink"/>
      <w:u w:val="single"/>
    </w:rPr>
  </w:style>
  <w:style w:type="character" w:styleId="UnresolvedMention">
    <w:name w:val="Unresolved Mention"/>
    <w:basedOn w:val="DefaultParagraphFont"/>
    <w:uiPriority w:val="99"/>
    <w:semiHidden/>
    <w:unhideWhenUsed/>
    <w:rsid w:val="00AD7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48165/IJEE.2023.59121" TargetMode="External"/><Relationship Id="rId26" Type="http://schemas.openxmlformats.org/officeDocument/2006/relationships/hyperlink" Target="https://doi.org/10.22271/ed.book.2624" TargetMode="External"/><Relationship Id="rId3" Type="http://schemas.openxmlformats.org/officeDocument/2006/relationships/settings" Target="settings.xml"/><Relationship Id="rId21" Type="http://schemas.openxmlformats.org/officeDocument/2006/relationships/hyperlink" Target="https://doi.org/10.21203/rs.3.rs-3046032/v1"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56093/ijas.v93i3.102878" TargetMode="External"/><Relationship Id="rId25" Type="http://schemas.openxmlformats.org/officeDocument/2006/relationships/hyperlink" Target="https://doi.org/10.1016/j.regsus.2022.07.00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ands.dacnet.nic.in/PDF/June%202020.pdf" TargetMode="External"/><Relationship Id="rId29" Type="http://schemas.openxmlformats.org/officeDocument/2006/relationships/hyperlink" Target="https://doi.org/10.9734/cjast/2022/v41i7316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researchgate.net/publication/331040000_Agriculture_Productivity_Calculate_Based_on_MG_Kendall's_Method_in_Malshiras_Tahsi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20448/journal.512.2018.51.30.46" TargetMode="External"/><Relationship Id="rId28" Type="http://schemas.openxmlformats.org/officeDocument/2006/relationships/hyperlink" Target="https://doi.org/10.9734/acri/2024/v24i6803" TargetMode="External"/><Relationship Id="rId10" Type="http://schemas.openxmlformats.org/officeDocument/2006/relationships/footer" Target="footer2.xml"/><Relationship Id="rId19" Type="http://schemas.openxmlformats.org/officeDocument/2006/relationships/hyperlink" Target="https://doi.org/10.1007/s10668-024-05008-3" TargetMode="External"/><Relationship Id="rId31" Type="http://schemas.openxmlformats.org/officeDocument/2006/relationships/hyperlink" Target="https://doi.org/10.1016/B978-0-12-824342-8.00010-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7773/ees.v5i2.486" TargetMode="External"/><Relationship Id="rId27" Type="http://schemas.openxmlformats.org/officeDocument/2006/relationships/hyperlink" Target="https://doi.org/10.9734/ijecc/2023/v13i113320" TargetMode="External"/><Relationship Id="rId30" Type="http://schemas.openxmlformats.org/officeDocument/2006/relationships/hyperlink" Target="https://doi.org/10.1016/B978-0-12-812160-3.00003-9"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3644</Words>
  <Characters>20776</Characters>
  <Application>Microsoft Office Word</Application>
  <DocSecurity>0</DocSecurity>
  <Lines>173</Lines>
  <Paragraphs>48</Paragraphs>
  <ScaleCrop>false</ScaleCrop>
  <Company/>
  <LinksUpToDate>false</LinksUpToDate>
  <CharactersWithSpaces>24372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cp:revision>
  <dcterms:created xsi:type="dcterms:W3CDTF">2025-12-24T06:34:00Z</dcterms:created>
  <dcterms:modified xsi:type="dcterms:W3CDTF">2025-12-29T08:59:00Z</dcterms:modified>
</cp:coreProperties>
</file>