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31A4" w14:textId="77777777" w:rsidR="006E2C94" w:rsidRDefault="006E2C94" w:rsidP="00683605">
      <w:pPr>
        <w:spacing w:line="360" w:lineRule="auto"/>
        <w:jc w:val="center"/>
        <w:rPr>
          <w:rFonts w:ascii="Arial" w:hAnsi="Arial" w:cs="Arial"/>
          <w:b/>
          <w:bCs/>
          <w:color w:val="000000" w:themeColor="text1"/>
          <w:w w:val="105"/>
        </w:rPr>
      </w:pPr>
      <w:r w:rsidRPr="006E2C94">
        <w:rPr>
          <w:rFonts w:ascii="Arial" w:hAnsi="Arial" w:cs="Arial"/>
          <w:b/>
          <w:bCs/>
          <w:color w:val="000000" w:themeColor="text1"/>
          <w:w w:val="105"/>
        </w:rPr>
        <w:t>Original Research Article</w:t>
      </w:r>
    </w:p>
    <w:p w14:paraId="2521448B" w14:textId="77777777" w:rsidR="006E2C94" w:rsidRDefault="006E2C94" w:rsidP="000E4C36">
      <w:pPr>
        <w:spacing w:line="360" w:lineRule="auto"/>
        <w:jc w:val="right"/>
        <w:rPr>
          <w:rFonts w:ascii="Arial" w:hAnsi="Arial" w:cs="Arial"/>
          <w:b/>
          <w:bCs/>
          <w:color w:val="000000" w:themeColor="text1"/>
          <w:w w:val="105"/>
        </w:rPr>
      </w:pPr>
    </w:p>
    <w:p w14:paraId="208C743A" w14:textId="73FBFCE1" w:rsidR="00E9179C" w:rsidRPr="000E4C36" w:rsidRDefault="00251FDA" w:rsidP="000E4C36">
      <w:pPr>
        <w:spacing w:line="360" w:lineRule="auto"/>
        <w:jc w:val="right"/>
        <w:rPr>
          <w:rFonts w:ascii="Arial" w:hAnsi="Arial" w:cs="Arial"/>
          <w:b/>
          <w:bCs/>
          <w:color w:val="000000" w:themeColor="text1"/>
          <w:w w:val="105"/>
        </w:rPr>
      </w:pPr>
      <w:r w:rsidRPr="000E4C36">
        <w:rPr>
          <w:rFonts w:ascii="Arial" w:hAnsi="Arial" w:cs="Arial"/>
          <w:b/>
          <w:bCs/>
          <w:color w:val="000000" w:themeColor="text1"/>
          <w:w w:val="105"/>
        </w:rPr>
        <w:t>Comparative Assessment of Temperature-Dependent Radial Growth and Spore Production</w:t>
      </w:r>
      <w:r w:rsidR="00437B74" w:rsidRPr="000E4C36">
        <w:rPr>
          <w:rFonts w:ascii="Arial" w:hAnsi="Arial" w:cs="Arial"/>
          <w:b/>
          <w:bCs/>
          <w:color w:val="000000" w:themeColor="text1"/>
          <w:w w:val="105"/>
        </w:rPr>
        <w:t xml:space="preserve"> of Entomopathogenic fungi </w:t>
      </w:r>
      <w:r w:rsidRPr="000E4C36">
        <w:rPr>
          <w:rFonts w:ascii="Arial" w:hAnsi="Arial" w:cs="Arial"/>
          <w:b/>
          <w:bCs/>
          <w:color w:val="000000" w:themeColor="text1"/>
          <w:w w:val="105"/>
        </w:rPr>
        <w:t xml:space="preserve">under </w:t>
      </w:r>
      <w:r w:rsidRPr="000E4C36">
        <w:rPr>
          <w:rFonts w:ascii="Arial" w:hAnsi="Arial" w:cs="Arial"/>
          <w:b/>
          <w:bCs/>
          <w:i/>
          <w:iCs/>
          <w:color w:val="000000" w:themeColor="text1"/>
          <w:w w:val="105"/>
        </w:rPr>
        <w:t>In Vitro</w:t>
      </w:r>
      <w:r w:rsidRPr="000E4C36">
        <w:rPr>
          <w:rFonts w:ascii="Arial" w:hAnsi="Arial" w:cs="Arial"/>
          <w:b/>
          <w:bCs/>
          <w:color w:val="000000" w:themeColor="text1"/>
          <w:w w:val="105"/>
        </w:rPr>
        <w:t xml:space="preserve"> Conditions</w:t>
      </w:r>
    </w:p>
    <w:p w14:paraId="136883E0" w14:textId="77777777" w:rsidR="00940BE7" w:rsidRDefault="00940BE7" w:rsidP="008D1E2E">
      <w:pPr>
        <w:spacing w:line="360" w:lineRule="auto"/>
        <w:jc w:val="both"/>
        <w:rPr>
          <w:rFonts w:ascii="Arial" w:hAnsi="Arial" w:cs="Arial"/>
          <w:b/>
          <w:bCs/>
          <w:color w:val="000000" w:themeColor="text1"/>
        </w:rPr>
      </w:pPr>
    </w:p>
    <w:p w14:paraId="21E53BB4" w14:textId="3CE40A36" w:rsidR="001E7187" w:rsidRPr="000E4C36" w:rsidRDefault="000E4C36" w:rsidP="008D1E2E">
      <w:pPr>
        <w:spacing w:line="360" w:lineRule="auto"/>
        <w:jc w:val="both"/>
        <w:rPr>
          <w:rFonts w:ascii="Arial" w:hAnsi="Arial" w:cs="Arial"/>
          <w:b/>
          <w:bCs/>
          <w:color w:val="000000" w:themeColor="text1"/>
        </w:rPr>
      </w:pPr>
      <w:r w:rsidRPr="000E4C36">
        <w:rPr>
          <w:rFonts w:ascii="Arial" w:hAnsi="Arial" w:cs="Arial"/>
          <w:b/>
          <w:bCs/>
          <w:color w:val="000000" w:themeColor="text1"/>
        </w:rPr>
        <w:t>ABSTRACT</w:t>
      </w:r>
    </w:p>
    <w:p w14:paraId="713FB39D" w14:textId="0660B44E" w:rsidR="00371CE0" w:rsidRPr="008D1E2E" w:rsidRDefault="00371CE0" w:rsidP="008D1E2E">
      <w:pPr>
        <w:spacing w:line="360" w:lineRule="auto"/>
        <w:ind w:firstLine="720"/>
        <w:jc w:val="both"/>
        <w:rPr>
          <w:rFonts w:ascii="Arial" w:hAnsi="Arial" w:cs="Arial"/>
          <w:color w:val="000000" w:themeColor="text1"/>
          <w:sz w:val="24"/>
          <w:szCs w:val="24"/>
        </w:rPr>
      </w:pPr>
      <w:r w:rsidRPr="000E4C36">
        <w:rPr>
          <w:rFonts w:ascii="Arial" w:hAnsi="Arial" w:cs="Arial"/>
          <w:color w:val="000000" w:themeColor="text1"/>
          <w:sz w:val="20"/>
          <w:szCs w:val="20"/>
        </w:rPr>
        <w:t>Temperature strongly influences the growth and reproductive potential of entomopathogenic fungi used in biological pest control. This study examined the effects of four temperatures (22, 26, 30, and 34 °C) on radial growth and</w:t>
      </w:r>
      <w:r w:rsidR="00437B74" w:rsidRPr="000E4C36">
        <w:rPr>
          <w:rFonts w:ascii="Arial" w:hAnsi="Arial" w:cs="Arial"/>
          <w:color w:val="000000" w:themeColor="text1"/>
          <w:sz w:val="20"/>
          <w:szCs w:val="20"/>
        </w:rPr>
        <w:t xml:space="preserve"> spore production </w:t>
      </w:r>
      <w:r w:rsidRPr="000E4C36">
        <w:rPr>
          <w:rFonts w:ascii="Arial" w:hAnsi="Arial" w:cs="Arial"/>
          <w:color w:val="000000" w:themeColor="text1"/>
          <w:sz w:val="20"/>
          <w:szCs w:val="20"/>
        </w:rPr>
        <w:t xml:space="preserve">of two </w:t>
      </w:r>
      <w:r w:rsidRPr="000E4C36">
        <w:rPr>
          <w:rFonts w:ascii="Arial" w:hAnsi="Arial" w:cs="Arial"/>
          <w:i/>
          <w:iCs/>
          <w:color w:val="000000" w:themeColor="text1"/>
          <w:sz w:val="20"/>
          <w:szCs w:val="20"/>
        </w:rPr>
        <w:t>Beauveria bassiana</w:t>
      </w:r>
      <w:r w:rsidRPr="000E4C36">
        <w:rPr>
          <w:rFonts w:ascii="Arial" w:hAnsi="Arial" w:cs="Arial"/>
          <w:color w:val="000000" w:themeColor="text1"/>
          <w:sz w:val="20"/>
          <w:szCs w:val="20"/>
        </w:rPr>
        <w:t xml:space="preserve"> isolates and two </w:t>
      </w:r>
      <w:r w:rsidRPr="000E4C36">
        <w:rPr>
          <w:rFonts w:ascii="Arial" w:hAnsi="Arial" w:cs="Arial"/>
          <w:i/>
          <w:iCs/>
          <w:color w:val="000000" w:themeColor="text1"/>
          <w:sz w:val="20"/>
          <w:szCs w:val="20"/>
        </w:rPr>
        <w:t>Metarhizium anisopliae</w:t>
      </w:r>
      <w:r w:rsidRPr="000E4C36">
        <w:rPr>
          <w:rFonts w:ascii="Arial" w:hAnsi="Arial" w:cs="Arial"/>
          <w:color w:val="000000" w:themeColor="text1"/>
          <w:sz w:val="20"/>
          <w:szCs w:val="20"/>
        </w:rPr>
        <w:t xml:space="preserve"> isolates under </w:t>
      </w:r>
      <w:r w:rsidRPr="000E4C36">
        <w:rPr>
          <w:rFonts w:ascii="Arial" w:hAnsi="Arial" w:cs="Arial"/>
          <w:i/>
          <w:iCs/>
          <w:color w:val="000000" w:themeColor="text1"/>
          <w:sz w:val="20"/>
          <w:szCs w:val="20"/>
        </w:rPr>
        <w:t>in vitro</w:t>
      </w:r>
      <w:r w:rsidRPr="000E4C36">
        <w:rPr>
          <w:rFonts w:ascii="Arial" w:hAnsi="Arial" w:cs="Arial"/>
          <w:color w:val="000000" w:themeColor="text1"/>
          <w:sz w:val="20"/>
          <w:szCs w:val="20"/>
        </w:rPr>
        <w:t xml:space="preserve"> conditions. Fungal cultures were grown on PDA</w:t>
      </w:r>
      <w:r w:rsidR="00437B74" w:rsidRPr="000E4C36">
        <w:rPr>
          <w:rFonts w:ascii="Arial" w:hAnsi="Arial" w:cs="Arial"/>
          <w:color w:val="000000" w:themeColor="text1"/>
          <w:sz w:val="20"/>
          <w:szCs w:val="20"/>
        </w:rPr>
        <w:t xml:space="preserve"> media</w:t>
      </w:r>
      <w:r w:rsidRPr="000E4C36">
        <w:rPr>
          <w:rFonts w:ascii="Arial" w:hAnsi="Arial" w:cs="Arial"/>
          <w:color w:val="000000" w:themeColor="text1"/>
          <w:sz w:val="20"/>
          <w:szCs w:val="20"/>
        </w:rPr>
        <w:t>, and radial growth was measured at 3, 7, and 14 days, while spore production was quantified on day 15.</w:t>
      </w:r>
      <w:r w:rsidR="00437B74" w:rsidRPr="000E4C36">
        <w:rPr>
          <w:rFonts w:ascii="Arial" w:hAnsi="Arial" w:cs="Arial"/>
          <w:color w:val="000000" w:themeColor="text1"/>
          <w:sz w:val="20"/>
          <w:szCs w:val="20"/>
        </w:rPr>
        <w:t xml:space="preserve"> The experimental findings revealed that t</w:t>
      </w:r>
      <w:r w:rsidRPr="000E4C36">
        <w:rPr>
          <w:rFonts w:ascii="Arial" w:hAnsi="Arial" w:cs="Arial"/>
          <w:color w:val="000000" w:themeColor="text1"/>
          <w:sz w:val="20"/>
          <w:szCs w:val="20"/>
        </w:rPr>
        <w:t xml:space="preserve">emperature significantly affected both parameters, with 26 °C supporting the highest mycelial expansion and spore yield, followed by 22 °C. Higher temperatures (30–34 °C) caused substantial reductions due to thermal stress. Among isolates, </w:t>
      </w:r>
      <w:r w:rsidRPr="000E4C36">
        <w:rPr>
          <w:rFonts w:ascii="Arial" w:hAnsi="Arial" w:cs="Arial"/>
          <w:i/>
          <w:iCs/>
          <w:color w:val="000000" w:themeColor="text1"/>
          <w:sz w:val="20"/>
          <w:szCs w:val="20"/>
        </w:rPr>
        <w:t>B. bassiana</w:t>
      </w:r>
      <w:r w:rsidRPr="000E4C36">
        <w:rPr>
          <w:rFonts w:ascii="Arial" w:hAnsi="Arial" w:cs="Arial"/>
          <w:color w:val="000000" w:themeColor="text1"/>
          <w:sz w:val="20"/>
          <w:szCs w:val="20"/>
        </w:rPr>
        <w:t xml:space="preserve"> local showed superior performance, while </w:t>
      </w:r>
      <w:r w:rsidRPr="000E4C36">
        <w:rPr>
          <w:rFonts w:ascii="Arial" w:hAnsi="Arial" w:cs="Arial"/>
          <w:i/>
          <w:iCs/>
          <w:color w:val="000000" w:themeColor="text1"/>
          <w:sz w:val="20"/>
          <w:szCs w:val="20"/>
        </w:rPr>
        <w:t>M. anisopliae</w:t>
      </w:r>
      <w:r w:rsidRPr="000E4C36">
        <w:rPr>
          <w:rFonts w:ascii="Arial" w:hAnsi="Arial" w:cs="Arial"/>
          <w:color w:val="000000" w:themeColor="text1"/>
          <w:sz w:val="20"/>
          <w:szCs w:val="20"/>
        </w:rPr>
        <w:t xml:space="preserve"> MTCC-984 was least responsive. Overall, the findings show that moderate temperatures optimize fungal growth and conidiation, with </w:t>
      </w:r>
      <w:r w:rsidRPr="000E4C36">
        <w:rPr>
          <w:rFonts w:ascii="Arial" w:hAnsi="Arial" w:cs="Arial"/>
          <w:i/>
          <w:iCs/>
          <w:color w:val="000000" w:themeColor="text1"/>
          <w:sz w:val="20"/>
          <w:szCs w:val="20"/>
        </w:rPr>
        <w:t>B. bassiana</w:t>
      </w:r>
      <w:r w:rsidRPr="000E4C36">
        <w:rPr>
          <w:rFonts w:ascii="Arial" w:hAnsi="Arial" w:cs="Arial"/>
          <w:color w:val="000000" w:themeColor="text1"/>
          <w:sz w:val="20"/>
          <w:szCs w:val="20"/>
        </w:rPr>
        <w:t xml:space="preserve"> demonstrating greater thermal tolerance.</w:t>
      </w:r>
    </w:p>
    <w:p w14:paraId="7E8DA1C6" w14:textId="31BB51B6" w:rsidR="00371CE0" w:rsidRPr="000E4C36" w:rsidRDefault="00371CE0" w:rsidP="008D1E2E">
      <w:pPr>
        <w:spacing w:line="360" w:lineRule="auto"/>
        <w:jc w:val="both"/>
        <w:rPr>
          <w:rFonts w:ascii="Arial" w:hAnsi="Arial" w:cs="Arial"/>
          <w:i/>
          <w:iCs/>
          <w:color w:val="000000" w:themeColor="text1"/>
          <w:sz w:val="20"/>
          <w:szCs w:val="20"/>
        </w:rPr>
      </w:pPr>
      <w:r w:rsidRPr="000E4C36">
        <w:rPr>
          <w:rFonts w:ascii="Arial" w:hAnsi="Arial" w:cs="Arial"/>
          <w:b/>
          <w:bCs/>
          <w:color w:val="000000" w:themeColor="text1"/>
        </w:rPr>
        <w:t>Keywords</w:t>
      </w:r>
      <w:r w:rsidRPr="008D1E2E">
        <w:rPr>
          <w:rFonts w:ascii="Arial" w:hAnsi="Arial" w:cs="Arial"/>
          <w:b/>
          <w:bCs/>
          <w:color w:val="000000" w:themeColor="text1"/>
          <w:sz w:val="24"/>
          <w:szCs w:val="24"/>
        </w:rPr>
        <w:t>:</w:t>
      </w:r>
      <w:r w:rsidRPr="008D1E2E">
        <w:rPr>
          <w:rFonts w:ascii="Arial" w:hAnsi="Arial" w:cs="Arial"/>
          <w:sz w:val="24"/>
          <w:szCs w:val="24"/>
        </w:rPr>
        <w:t xml:space="preserve"> </w:t>
      </w:r>
      <w:r w:rsidRPr="000E4C36">
        <w:rPr>
          <w:rFonts w:ascii="Arial" w:hAnsi="Arial" w:cs="Arial"/>
          <w:i/>
          <w:iCs/>
          <w:color w:val="000000" w:themeColor="text1"/>
          <w:sz w:val="20"/>
          <w:szCs w:val="20"/>
        </w:rPr>
        <w:t>Temperature,</w:t>
      </w:r>
      <w:r w:rsidRPr="000E4C36">
        <w:rPr>
          <w:rFonts w:ascii="Arial" w:hAnsi="Arial" w:cs="Arial"/>
          <w:i/>
          <w:iCs/>
          <w:sz w:val="20"/>
          <w:szCs w:val="20"/>
        </w:rPr>
        <w:t xml:space="preserve"> </w:t>
      </w:r>
      <w:r w:rsidRPr="000E4C36">
        <w:rPr>
          <w:rFonts w:ascii="Arial" w:hAnsi="Arial" w:cs="Arial"/>
          <w:i/>
          <w:iCs/>
          <w:color w:val="000000" w:themeColor="text1"/>
          <w:sz w:val="20"/>
          <w:szCs w:val="20"/>
        </w:rPr>
        <w:t>Entomopathogenic fungi,</w:t>
      </w:r>
      <w:r w:rsidRPr="000E4C36">
        <w:rPr>
          <w:rFonts w:ascii="Arial" w:hAnsi="Arial" w:cs="Arial"/>
          <w:i/>
          <w:iCs/>
          <w:sz w:val="20"/>
          <w:szCs w:val="20"/>
        </w:rPr>
        <w:t xml:space="preserve"> </w:t>
      </w:r>
      <w:r w:rsidRPr="000E4C36">
        <w:rPr>
          <w:rFonts w:ascii="Arial" w:hAnsi="Arial" w:cs="Arial"/>
          <w:i/>
          <w:iCs/>
          <w:color w:val="000000" w:themeColor="text1"/>
          <w:sz w:val="20"/>
          <w:szCs w:val="20"/>
        </w:rPr>
        <w:t>Beauveria bassiana,</w:t>
      </w:r>
      <w:r w:rsidRPr="000E4C36">
        <w:rPr>
          <w:rFonts w:ascii="Arial" w:hAnsi="Arial" w:cs="Arial"/>
          <w:i/>
          <w:iCs/>
          <w:sz w:val="20"/>
          <w:szCs w:val="20"/>
        </w:rPr>
        <w:t xml:space="preserve"> </w:t>
      </w:r>
      <w:r w:rsidRPr="000E4C36">
        <w:rPr>
          <w:rFonts w:ascii="Arial" w:hAnsi="Arial" w:cs="Arial"/>
          <w:i/>
          <w:iCs/>
          <w:color w:val="000000" w:themeColor="text1"/>
          <w:sz w:val="20"/>
          <w:szCs w:val="20"/>
        </w:rPr>
        <w:t>Metarhizium anisopliae,</w:t>
      </w:r>
      <w:r w:rsidRPr="000E4C36">
        <w:rPr>
          <w:rFonts w:ascii="Arial" w:hAnsi="Arial" w:cs="Arial"/>
          <w:i/>
          <w:iCs/>
          <w:sz w:val="20"/>
          <w:szCs w:val="20"/>
        </w:rPr>
        <w:t xml:space="preserve"> </w:t>
      </w:r>
      <w:r w:rsidRPr="000E4C36">
        <w:rPr>
          <w:rFonts w:ascii="Arial" w:hAnsi="Arial" w:cs="Arial"/>
          <w:i/>
          <w:iCs/>
          <w:color w:val="000000" w:themeColor="text1"/>
          <w:sz w:val="20"/>
          <w:szCs w:val="20"/>
        </w:rPr>
        <w:t>Radial growth and Spore production</w:t>
      </w:r>
    </w:p>
    <w:p w14:paraId="294708E0" w14:textId="1BDD421F" w:rsidR="001E7187" w:rsidRPr="000E4C36" w:rsidRDefault="000E4C36" w:rsidP="00F2643D">
      <w:pPr>
        <w:pStyle w:val="ListParagraph"/>
        <w:numPr>
          <w:ilvl w:val="0"/>
          <w:numId w:val="3"/>
        </w:numPr>
        <w:spacing w:line="360" w:lineRule="auto"/>
        <w:ind w:left="270" w:hanging="270"/>
        <w:jc w:val="both"/>
        <w:rPr>
          <w:rFonts w:ascii="Arial" w:hAnsi="Arial" w:cs="Arial"/>
          <w:b/>
          <w:bCs/>
          <w:color w:val="000000" w:themeColor="text1"/>
        </w:rPr>
      </w:pPr>
      <w:r w:rsidRPr="000E4C36">
        <w:rPr>
          <w:rFonts w:ascii="Arial" w:hAnsi="Arial" w:cs="Arial"/>
          <w:b/>
          <w:bCs/>
          <w:color w:val="000000" w:themeColor="text1"/>
        </w:rPr>
        <w:t>INTRODUCTION</w:t>
      </w:r>
    </w:p>
    <w:p w14:paraId="44C4A21A" w14:textId="641238F5" w:rsidR="00F720C1" w:rsidRPr="000E4C36" w:rsidRDefault="00F720C1" w:rsidP="008D1E2E">
      <w:pPr>
        <w:spacing w:line="360" w:lineRule="auto"/>
        <w:ind w:firstLine="720"/>
        <w:jc w:val="both"/>
        <w:rPr>
          <w:rFonts w:ascii="Arial" w:hAnsi="Arial" w:cs="Arial"/>
          <w:color w:val="000000" w:themeColor="text1"/>
          <w:sz w:val="20"/>
          <w:szCs w:val="20"/>
        </w:rPr>
      </w:pPr>
      <w:r w:rsidRPr="000E4C36">
        <w:rPr>
          <w:rFonts w:ascii="Arial" w:hAnsi="Arial" w:cs="Arial"/>
          <w:color w:val="000000" w:themeColor="text1"/>
          <w:sz w:val="20"/>
          <w:szCs w:val="20"/>
        </w:rPr>
        <w:t>Entomopathogenic fungi (EPFs) play a key role in biological plant protection by naturally suppressing insect pest populations, offering an eco-friendly alternative to chemical pesticides (Ou et al., 2019). Chemical control of insect pests faces several challenges, including the development of resistance, pest resurgence, secondary outbreaks, and adverse impacts on human and environmental health (Inglis et al., 2001). Due to these harmful effects, there is growing interest in biological control agents as alternatives or complementary measures. Integrated pest management (IPM) thus represents an effective and sustainable approach, with considerable efforts underway to promote its development and application (Honda</w:t>
      </w:r>
      <w:r w:rsidR="00BA4583" w:rsidRPr="000E4C36">
        <w:rPr>
          <w:rFonts w:ascii="Arial" w:hAnsi="Arial" w:cs="Arial"/>
          <w:color w:val="000000" w:themeColor="text1"/>
          <w:sz w:val="20"/>
          <w:szCs w:val="20"/>
        </w:rPr>
        <w:t xml:space="preserve">, </w:t>
      </w:r>
      <w:r w:rsidRPr="000E4C36">
        <w:rPr>
          <w:rFonts w:ascii="Arial" w:hAnsi="Arial" w:cs="Arial"/>
          <w:color w:val="000000" w:themeColor="text1"/>
          <w:sz w:val="20"/>
          <w:szCs w:val="20"/>
        </w:rPr>
        <w:t xml:space="preserve">2000; </w:t>
      </w:r>
      <w:r w:rsidR="002B7356" w:rsidRPr="000E4C36">
        <w:rPr>
          <w:rFonts w:ascii="Arial" w:hAnsi="Arial" w:cs="Arial"/>
          <w:color w:val="000000" w:themeColor="text1"/>
          <w:sz w:val="20"/>
          <w:szCs w:val="20"/>
        </w:rPr>
        <w:t>Faria and Wraight</w:t>
      </w:r>
      <w:r w:rsidRPr="000E4C36">
        <w:rPr>
          <w:rFonts w:ascii="Arial" w:hAnsi="Arial" w:cs="Arial"/>
          <w:color w:val="000000" w:themeColor="text1"/>
          <w:sz w:val="20"/>
          <w:szCs w:val="20"/>
        </w:rPr>
        <w:t>, 2001). In contrast to conventional pesticides, EPFs offer distinct advantages, including host specificity, environmental sustainability, and compatibility with IPM frameworks (Russo et al., 2012). </w:t>
      </w:r>
      <w:r w:rsidRPr="000E4C36">
        <w:rPr>
          <w:rFonts w:ascii="Arial" w:hAnsi="Arial" w:cs="Arial"/>
          <w:i/>
          <w:iCs/>
          <w:color w:val="000000" w:themeColor="text1"/>
          <w:sz w:val="20"/>
          <w:szCs w:val="20"/>
        </w:rPr>
        <w:t>Beauveria bassiana</w:t>
      </w:r>
      <w:r w:rsidRPr="000E4C36">
        <w:rPr>
          <w:rFonts w:ascii="Arial" w:hAnsi="Arial" w:cs="Arial"/>
          <w:color w:val="000000" w:themeColor="text1"/>
          <w:sz w:val="20"/>
          <w:szCs w:val="20"/>
        </w:rPr>
        <w:t> and </w:t>
      </w:r>
      <w:r w:rsidRPr="000E4C36">
        <w:rPr>
          <w:rFonts w:ascii="Arial" w:hAnsi="Arial" w:cs="Arial"/>
          <w:i/>
          <w:iCs/>
          <w:color w:val="000000" w:themeColor="text1"/>
          <w:sz w:val="20"/>
          <w:szCs w:val="20"/>
        </w:rPr>
        <w:t>Metarhizium anisopliae</w:t>
      </w:r>
      <w:r w:rsidRPr="000E4C36">
        <w:rPr>
          <w:rFonts w:ascii="Arial" w:hAnsi="Arial" w:cs="Arial"/>
          <w:color w:val="000000" w:themeColor="text1"/>
          <w:sz w:val="20"/>
          <w:szCs w:val="20"/>
        </w:rPr>
        <w:t> are well-established entomopathogens with broad host ranges and diverse infection mechanisms (</w:t>
      </w:r>
      <w:proofErr w:type="spellStart"/>
      <w:r w:rsidRPr="000E4C36">
        <w:rPr>
          <w:rFonts w:ascii="Arial" w:hAnsi="Arial" w:cs="Arial"/>
          <w:color w:val="000000" w:themeColor="text1"/>
          <w:sz w:val="20"/>
          <w:szCs w:val="20"/>
        </w:rPr>
        <w:t>Migiro</w:t>
      </w:r>
      <w:proofErr w:type="spellEnd"/>
      <w:r w:rsidRPr="000E4C36">
        <w:rPr>
          <w:rFonts w:ascii="Arial" w:hAnsi="Arial" w:cs="Arial"/>
          <w:color w:val="000000" w:themeColor="text1"/>
          <w:sz w:val="20"/>
          <w:szCs w:val="20"/>
        </w:rPr>
        <w:t xml:space="preserve"> et al., 2010; Akmal et al., 2013). The pathogenic efficacy of these EPFs depends on complex interactions of biotic and abiotic factors, with temperature playing a critical role in regulating fungal growth and disease progression in insect hosts (Roberts</w:t>
      </w:r>
      <w:r w:rsidR="0001721F" w:rsidRPr="000E4C36">
        <w:rPr>
          <w:rFonts w:ascii="Arial" w:hAnsi="Arial" w:cs="Arial"/>
          <w:color w:val="000000" w:themeColor="text1"/>
          <w:sz w:val="20"/>
          <w:szCs w:val="20"/>
        </w:rPr>
        <w:t xml:space="preserve"> and </w:t>
      </w:r>
      <w:r w:rsidRPr="000E4C36">
        <w:rPr>
          <w:rFonts w:ascii="Arial" w:hAnsi="Arial" w:cs="Arial"/>
          <w:color w:val="000000" w:themeColor="text1"/>
          <w:sz w:val="20"/>
          <w:szCs w:val="20"/>
        </w:rPr>
        <w:t xml:space="preserve">Campbell, 1977; Benz, 1987). Temperature strongly influences EPF effectiveness in biological pest control, as thermal stress affects the entire host infection process (Paixão et al., 2019). Elevated temperatures substantially impact </w:t>
      </w:r>
      <w:r w:rsidRPr="000E4C36">
        <w:rPr>
          <w:rFonts w:ascii="Arial" w:hAnsi="Arial" w:cs="Arial"/>
          <w:color w:val="000000" w:themeColor="text1"/>
          <w:sz w:val="20"/>
          <w:szCs w:val="20"/>
        </w:rPr>
        <w:lastRenderedPageBreak/>
        <w:t xml:space="preserve">sporulation, while extreme heat can completely inhibit spore development (Piatkowski &amp; </w:t>
      </w:r>
      <w:proofErr w:type="spellStart"/>
      <w:r w:rsidRPr="000E4C36">
        <w:rPr>
          <w:rFonts w:ascii="Arial" w:hAnsi="Arial" w:cs="Arial"/>
          <w:color w:val="000000" w:themeColor="text1"/>
          <w:sz w:val="20"/>
          <w:szCs w:val="20"/>
        </w:rPr>
        <w:t>Krzyżewska</w:t>
      </w:r>
      <w:proofErr w:type="spellEnd"/>
      <w:r w:rsidRPr="000E4C36">
        <w:rPr>
          <w:rFonts w:ascii="Arial" w:hAnsi="Arial" w:cs="Arial"/>
          <w:color w:val="000000" w:themeColor="text1"/>
          <w:sz w:val="20"/>
          <w:szCs w:val="20"/>
        </w:rPr>
        <w:t xml:space="preserve">, 2007; Mwamburi et al., 2015). Radial growth dynamics serve as key indicators of fungal colony </w:t>
      </w:r>
      <w:proofErr w:type="spellStart"/>
      <w:r w:rsidRPr="000E4C36">
        <w:rPr>
          <w:rFonts w:ascii="Arial" w:hAnsi="Arial" w:cs="Arial"/>
          <w:color w:val="000000" w:themeColor="text1"/>
          <w:sz w:val="20"/>
          <w:szCs w:val="20"/>
        </w:rPr>
        <w:t>vigor</w:t>
      </w:r>
      <w:proofErr w:type="spellEnd"/>
      <w:r w:rsidRPr="000E4C36">
        <w:rPr>
          <w:rFonts w:ascii="Arial" w:hAnsi="Arial" w:cs="Arial"/>
          <w:color w:val="000000" w:themeColor="text1"/>
          <w:sz w:val="20"/>
          <w:szCs w:val="20"/>
        </w:rPr>
        <w:t xml:space="preserve"> and proliferation potential (Parveen</w:t>
      </w:r>
      <w:r w:rsidR="0001721F" w:rsidRPr="000E4C36">
        <w:rPr>
          <w:rFonts w:ascii="Arial" w:hAnsi="Arial" w:cs="Arial"/>
          <w:color w:val="000000" w:themeColor="text1"/>
          <w:sz w:val="20"/>
          <w:szCs w:val="20"/>
        </w:rPr>
        <w:t xml:space="preserve"> and </w:t>
      </w:r>
      <w:r w:rsidRPr="000E4C36">
        <w:rPr>
          <w:rFonts w:ascii="Arial" w:hAnsi="Arial" w:cs="Arial"/>
          <w:color w:val="000000" w:themeColor="text1"/>
          <w:sz w:val="20"/>
          <w:szCs w:val="20"/>
        </w:rPr>
        <w:t xml:space="preserve">Jeyarani, 2023; De Ligne et al., 2019). The expanding use of insect pathogens in pest management underscores the need to identify fungal strains adapted to local temperature conditions (Ferron et al., 1991). Therefore, the present study investigated the influence of temperature on the development of different fungal isolates, including their radial growth and spore production across various temperature regimes. </w:t>
      </w:r>
    </w:p>
    <w:p w14:paraId="07B108A4" w14:textId="1C63F110" w:rsidR="00664239" w:rsidRPr="000E4C36" w:rsidRDefault="000E4C36" w:rsidP="00F2643D">
      <w:pPr>
        <w:pStyle w:val="ListParagraph"/>
        <w:numPr>
          <w:ilvl w:val="0"/>
          <w:numId w:val="3"/>
        </w:numPr>
        <w:tabs>
          <w:tab w:val="left" w:pos="5670"/>
        </w:tabs>
        <w:spacing w:line="360" w:lineRule="auto"/>
        <w:ind w:left="270"/>
        <w:jc w:val="both"/>
        <w:rPr>
          <w:rFonts w:ascii="Arial" w:hAnsi="Arial" w:cs="Arial"/>
          <w:b/>
          <w:bCs/>
        </w:rPr>
      </w:pPr>
      <w:r w:rsidRPr="000E4C36">
        <w:rPr>
          <w:rFonts w:ascii="Arial" w:hAnsi="Arial" w:cs="Arial"/>
          <w:b/>
          <w:bCs/>
        </w:rPr>
        <w:t>MATERIAL</w:t>
      </w:r>
      <w:r>
        <w:rPr>
          <w:rFonts w:ascii="Arial" w:hAnsi="Arial" w:cs="Arial"/>
          <w:b/>
          <w:bCs/>
        </w:rPr>
        <w:t xml:space="preserve"> </w:t>
      </w:r>
      <w:r w:rsidRPr="000E4C36">
        <w:rPr>
          <w:rFonts w:ascii="Arial" w:hAnsi="Arial" w:cs="Arial"/>
          <w:b/>
          <w:bCs/>
        </w:rPr>
        <w:t>AND METHODS</w:t>
      </w:r>
    </w:p>
    <w:p w14:paraId="3450C0F4" w14:textId="77777777" w:rsidR="0030394A" w:rsidRPr="008D1E2E" w:rsidRDefault="00F720C1" w:rsidP="008D1E2E">
      <w:pPr>
        <w:spacing w:line="360" w:lineRule="auto"/>
        <w:jc w:val="both"/>
        <w:rPr>
          <w:rFonts w:ascii="Arial" w:hAnsi="Arial" w:cs="Arial"/>
          <w:sz w:val="24"/>
          <w:szCs w:val="24"/>
        </w:rPr>
      </w:pPr>
      <w:r w:rsidRPr="008D1E2E">
        <w:rPr>
          <w:rFonts w:ascii="Arial" w:hAnsi="Arial" w:cs="Arial"/>
          <w:sz w:val="24"/>
          <w:szCs w:val="24"/>
        </w:rPr>
        <w:tab/>
      </w:r>
      <w:r w:rsidR="0030394A" w:rsidRPr="00120F01">
        <w:rPr>
          <w:rFonts w:ascii="Arial" w:hAnsi="Arial" w:cs="Arial"/>
          <w:sz w:val="20"/>
          <w:szCs w:val="20"/>
        </w:rPr>
        <w:t xml:space="preserve">The present investigation was carried out at the Biocontrol Research and Production </w:t>
      </w:r>
      <w:proofErr w:type="spellStart"/>
      <w:r w:rsidR="0030394A" w:rsidRPr="00120F01">
        <w:rPr>
          <w:rFonts w:ascii="Arial" w:hAnsi="Arial" w:cs="Arial"/>
          <w:sz w:val="20"/>
          <w:szCs w:val="20"/>
        </w:rPr>
        <w:t>Center</w:t>
      </w:r>
      <w:proofErr w:type="spellEnd"/>
      <w:r w:rsidR="0030394A" w:rsidRPr="00120F01">
        <w:rPr>
          <w:rFonts w:ascii="Arial" w:hAnsi="Arial" w:cs="Arial"/>
          <w:sz w:val="20"/>
          <w:szCs w:val="20"/>
        </w:rPr>
        <w:t xml:space="preserve"> (BRPC), Department of Entomology, College of Agriculture, JNKVV, Jabalpur, during the period 2023–2025.</w:t>
      </w:r>
    </w:p>
    <w:p w14:paraId="00B18DA3" w14:textId="4E61F620" w:rsidR="000B4AFE" w:rsidRPr="00A97719" w:rsidRDefault="00A97719" w:rsidP="008D1E2E">
      <w:pPr>
        <w:spacing w:line="360" w:lineRule="auto"/>
        <w:jc w:val="both"/>
        <w:rPr>
          <w:rFonts w:ascii="Arial" w:eastAsiaTheme="minorEastAsia" w:hAnsi="Arial" w:cs="Arial"/>
          <w:b/>
          <w:bCs/>
        </w:rPr>
      </w:pPr>
      <w:r w:rsidRPr="00A97719">
        <w:rPr>
          <w:rFonts w:ascii="Arial" w:eastAsiaTheme="minorEastAsia" w:hAnsi="Arial" w:cs="Arial"/>
          <w:b/>
          <w:bCs/>
        </w:rPr>
        <w:t xml:space="preserve">2.1 </w:t>
      </w:r>
      <w:r w:rsidR="000B4AFE" w:rsidRPr="00A97719">
        <w:rPr>
          <w:rFonts w:ascii="Arial" w:eastAsiaTheme="minorEastAsia" w:hAnsi="Arial" w:cs="Arial"/>
          <w:b/>
          <w:bCs/>
        </w:rPr>
        <w:t>Collection of Fungal Strains</w:t>
      </w:r>
    </w:p>
    <w:p w14:paraId="4CA5ED1A" w14:textId="77777777" w:rsidR="0030394A" w:rsidRPr="00A97719" w:rsidRDefault="0030394A" w:rsidP="00441676">
      <w:pPr>
        <w:spacing w:line="360" w:lineRule="auto"/>
        <w:ind w:firstLine="720"/>
        <w:jc w:val="both"/>
        <w:rPr>
          <w:rFonts w:ascii="Arial" w:eastAsiaTheme="minorEastAsia" w:hAnsi="Arial" w:cs="Arial"/>
          <w:sz w:val="20"/>
          <w:szCs w:val="20"/>
        </w:rPr>
      </w:pPr>
      <w:r w:rsidRPr="00A97719">
        <w:rPr>
          <w:rFonts w:ascii="Arial" w:eastAsiaTheme="minorEastAsia" w:hAnsi="Arial" w:cs="Arial"/>
          <w:sz w:val="20"/>
          <w:szCs w:val="20"/>
        </w:rPr>
        <w:t xml:space="preserve">In this study, four fungal strains were utilized. Two strains of </w:t>
      </w:r>
      <w:r w:rsidRPr="00A97719">
        <w:rPr>
          <w:rFonts w:ascii="Arial" w:eastAsiaTheme="minorEastAsia" w:hAnsi="Arial" w:cs="Arial"/>
          <w:i/>
          <w:iCs/>
          <w:sz w:val="20"/>
          <w:szCs w:val="20"/>
        </w:rPr>
        <w:t>Beauveria bassiana</w:t>
      </w:r>
      <w:r w:rsidRPr="00A97719">
        <w:rPr>
          <w:rFonts w:ascii="Arial" w:eastAsiaTheme="minorEastAsia" w:hAnsi="Arial" w:cs="Arial"/>
          <w:sz w:val="20"/>
          <w:szCs w:val="20"/>
        </w:rPr>
        <w:t xml:space="preserve"> were included: one isolated from an insect cadaver (</w:t>
      </w:r>
      <w:r w:rsidRPr="00A97719">
        <w:rPr>
          <w:rFonts w:ascii="Arial" w:eastAsiaTheme="minorEastAsia" w:hAnsi="Arial" w:cs="Arial"/>
          <w:i/>
          <w:iCs/>
          <w:sz w:val="20"/>
          <w:szCs w:val="20"/>
        </w:rPr>
        <w:t>B. bassiana</w:t>
      </w:r>
      <w:r w:rsidRPr="00A97719">
        <w:rPr>
          <w:rFonts w:ascii="Arial" w:eastAsiaTheme="minorEastAsia" w:hAnsi="Arial" w:cs="Arial"/>
          <w:sz w:val="20"/>
          <w:szCs w:val="20"/>
        </w:rPr>
        <w:t xml:space="preserve"> local) and the other obtained from the Microbial Type Culture Collection and Gene Bank (MTCC-892), designated as F1 and F2, respectively. The remaining two strains belonged to </w:t>
      </w:r>
      <w:r w:rsidRPr="00A97719">
        <w:rPr>
          <w:rFonts w:ascii="Arial" w:eastAsiaTheme="minorEastAsia" w:hAnsi="Arial" w:cs="Arial"/>
          <w:i/>
          <w:iCs/>
          <w:sz w:val="20"/>
          <w:szCs w:val="20"/>
        </w:rPr>
        <w:t>Metarhizium anisopliae</w:t>
      </w:r>
      <w:r w:rsidRPr="00A97719">
        <w:rPr>
          <w:rFonts w:ascii="Arial" w:eastAsiaTheme="minorEastAsia" w:hAnsi="Arial" w:cs="Arial"/>
          <w:sz w:val="20"/>
          <w:szCs w:val="20"/>
        </w:rPr>
        <w:t>: one isolated from an insect cadaver (</w:t>
      </w:r>
      <w:r w:rsidRPr="00A97719">
        <w:rPr>
          <w:rFonts w:ascii="Arial" w:eastAsiaTheme="minorEastAsia" w:hAnsi="Arial" w:cs="Arial"/>
          <w:i/>
          <w:iCs/>
          <w:sz w:val="20"/>
          <w:szCs w:val="20"/>
        </w:rPr>
        <w:t>M. anisopliae</w:t>
      </w:r>
      <w:r w:rsidRPr="00A97719">
        <w:rPr>
          <w:rFonts w:ascii="Arial" w:eastAsiaTheme="minorEastAsia" w:hAnsi="Arial" w:cs="Arial"/>
          <w:sz w:val="20"/>
          <w:szCs w:val="20"/>
        </w:rPr>
        <w:t xml:space="preserve"> local) collected from the research fields of Jabalpur, and the other sourced from MTCC (MTCC-984), designated as F3 and F4, respectively. The fungal strains were inoculated on potato dextrose agar (PDA) medium and incubated at 25 ± 2 °C for 14 days to obtain the inoculum (</w:t>
      </w:r>
      <w:proofErr w:type="spellStart"/>
      <w:r w:rsidRPr="00A97719">
        <w:rPr>
          <w:rFonts w:ascii="Arial" w:eastAsiaTheme="minorEastAsia" w:hAnsi="Arial" w:cs="Arial"/>
          <w:sz w:val="20"/>
          <w:szCs w:val="20"/>
        </w:rPr>
        <w:t>Soundarapandian</w:t>
      </w:r>
      <w:proofErr w:type="spellEnd"/>
      <w:r w:rsidRPr="00A97719">
        <w:rPr>
          <w:rFonts w:ascii="Arial" w:eastAsiaTheme="minorEastAsia" w:hAnsi="Arial" w:cs="Arial"/>
          <w:sz w:val="20"/>
          <w:szCs w:val="20"/>
        </w:rPr>
        <w:t xml:space="preserve"> and Chandra, 2007; Pham et al., 2009).</w:t>
      </w:r>
    </w:p>
    <w:p w14:paraId="29DED104" w14:textId="143B39AF" w:rsidR="008B38AB" w:rsidRPr="00120F01" w:rsidRDefault="00A97719" w:rsidP="008D1E2E">
      <w:pPr>
        <w:spacing w:line="360" w:lineRule="auto"/>
        <w:jc w:val="both"/>
        <w:rPr>
          <w:rFonts w:ascii="Arial" w:eastAsiaTheme="minorEastAsia" w:hAnsi="Arial" w:cs="Arial"/>
          <w:b/>
          <w:bCs/>
          <w:i/>
          <w:iCs/>
        </w:rPr>
      </w:pPr>
      <w:r w:rsidRPr="00120F01">
        <w:rPr>
          <w:rFonts w:ascii="Arial" w:eastAsiaTheme="minorEastAsia" w:hAnsi="Arial" w:cs="Arial"/>
          <w:b/>
          <w:bCs/>
        </w:rPr>
        <w:t xml:space="preserve">2.2 </w:t>
      </w:r>
      <w:r w:rsidR="008B38AB" w:rsidRPr="00120F01">
        <w:rPr>
          <w:rFonts w:ascii="Arial" w:eastAsiaTheme="minorEastAsia" w:hAnsi="Arial" w:cs="Arial"/>
          <w:b/>
          <w:bCs/>
        </w:rPr>
        <w:t>Radial growth</w:t>
      </w:r>
      <w:r w:rsidR="00F720C1" w:rsidRPr="00120F01">
        <w:rPr>
          <w:rFonts w:ascii="Arial" w:eastAsiaTheme="minorEastAsia" w:hAnsi="Arial" w:cs="Arial"/>
          <w:b/>
          <w:bCs/>
        </w:rPr>
        <w:t xml:space="preserve"> measurement </w:t>
      </w:r>
    </w:p>
    <w:p w14:paraId="1CB14003" w14:textId="77777777" w:rsidR="0030394A" w:rsidRPr="00A97719" w:rsidRDefault="0030394A" w:rsidP="008D1E2E">
      <w:pPr>
        <w:spacing w:after="0" w:line="360" w:lineRule="auto"/>
        <w:ind w:firstLine="720"/>
        <w:jc w:val="both"/>
        <w:rPr>
          <w:rFonts w:ascii="Arial" w:eastAsiaTheme="minorEastAsia" w:hAnsi="Arial" w:cs="Arial"/>
          <w:sz w:val="20"/>
          <w:szCs w:val="20"/>
        </w:rPr>
      </w:pPr>
      <w:r w:rsidRPr="00A97719">
        <w:rPr>
          <w:rFonts w:ascii="Arial" w:eastAsiaTheme="minorEastAsia" w:hAnsi="Arial" w:cs="Arial"/>
          <w:sz w:val="20"/>
          <w:szCs w:val="20"/>
        </w:rPr>
        <w:t xml:space="preserve">Fungal cultures of </w:t>
      </w:r>
      <w:r w:rsidRPr="00A97719">
        <w:rPr>
          <w:rFonts w:ascii="Arial" w:eastAsiaTheme="minorEastAsia" w:hAnsi="Arial" w:cs="Arial"/>
          <w:i/>
          <w:iCs/>
          <w:sz w:val="20"/>
          <w:szCs w:val="20"/>
        </w:rPr>
        <w:t>Beauveria bassiana</w:t>
      </w:r>
      <w:r w:rsidRPr="00A97719">
        <w:rPr>
          <w:rFonts w:ascii="Arial" w:eastAsiaTheme="minorEastAsia" w:hAnsi="Arial" w:cs="Arial"/>
          <w:sz w:val="20"/>
          <w:szCs w:val="20"/>
        </w:rPr>
        <w:t xml:space="preserve"> and </w:t>
      </w:r>
      <w:r w:rsidRPr="00A97719">
        <w:rPr>
          <w:rFonts w:ascii="Arial" w:eastAsiaTheme="minorEastAsia" w:hAnsi="Arial" w:cs="Arial"/>
          <w:i/>
          <w:iCs/>
          <w:sz w:val="20"/>
          <w:szCs w:val="20"/>
        </w:rPr>
        <w:t>Metarhizium anisopliae</w:t>
      </w:r>
      <w:r w:rsidRPr="00A97719">
        <w:rPr>
          <w:rFonts w:ascii="Arial" w:eastAsiaTheme="minorEastAsia" w:hAnsi="Arial" w:cs="Arial"/>
          <w:sz w:val="20"/>
          <w:szCs w:val="20"/>
        </w:rPr>
        <w:t xml:space="preserve"> were transferred to the </w:t>
      </w:r>
      <w:proofErr w:type="spellStart"/>
      <w:r w:rsidRPr="00A97719">
        <w:rPr>
          <w:rFonts w:ascii="Arial" w:eastAsiaTheme="minorEastAsia" w:hAnsi="Arial" w:cs="Arial"/>
          <w:sz w:val="20"/>
          <w:szCs w:val="20"/>
        </w:rPr>
        <w:t>center</w:t>
      </w:r>
      <w:proofErr w:type="spellEnd"/>
      <w:r w:rsidRPr="00A97719">
        <w:rPr>
          <w:rFonts w:ascii="Arial" w:eastAsiaTheme="minorEastAsia" w:hAnsi="Arial" w:cs="Arial"/>
          <w:sz w:val="20"/>
          <w:szCs w:val="20"/>
        </w:rPr>
        <w:t xml:space="preserve"> of PDA plates using a 10-mm </w:t>
      </w:r>
      <w:proofErr w:type="spellStart"/>
      <w:r w:rsidRPr="00A97719">
        <w:rPr>
          <w:rFonts w:ascii="Arial" w:eastAsiaTheme="minorEastAsia" w:hAnsi="Arial" w:cs="Arial"/>
          <w:sz w:val="20"/>
          <w:szCs w:val="20"/>
        </w:rPr>
        <w:t>cork</w:t>
      </w:r>
      <w:proofErr w:type="spellEnd"/>
      <w:r w:rsidRPr="00A97719">
        <w:rPr>
          <w:rFonts w:ascii="Arial" w:eastAsiaTheme="minorEastAsia" w:hAnsi="Arial" w:cs="Arial"/>
          <w:sz w:val="20"/>
          <w:szCs w:val="20"/>
        </w:rPr>
        <w:t xml:space="preserve"> borer. The plates were incubated at four temperature regimes (22 ± 2 °C, 26 ± 2 °C, 30 ± 2 °C, and 34 ± 2 °C), following the procedure suggested by </w:t>
      </w:r>
      <w:proofErr w:type="spellStart"/>
      <w:r w:rsidRPr="00A97719">
        <w:rPr>
          <w:rFonts w:ascii="Arial" w:eastAsiaTheme="minorEastAsia" w:hAnsi="Arial" w:cs="Arial"/>
          <w:sz w:val="20"/>
          <w:szCs w:val="20"/>
        </w:rPr>
        <w:t>Thaochan</w:t>
      </w:r>
      <w:proofErr w:type="spellEnd"/>
      <w:r w:rsidRPr="00A97719">
        <w:rPr>
          <w:rFonts w:ascii="Arial" w:eastAsiaTheme="minorEastAsia" w:hAnsi="Arial" w:cs="Arial"/>
          <w:sz w:val="20"/>
          <w:szCs w:val="20"/>
        </w:rPr>
        <w:t xml:space="preserve"> et al. (2008). Radial colony growth was assessed on the 3rd, 7th, and 14th days after inoculation (DAI). Measurements were taken along two perpendicular diameters (mm), as described by Fahey et al. (2001). Radial growth (RG) for each sampling period was calculated using the following formula:</w:t>
      </w:r>
    </w:p>
    <w:p w14:paraId="01AF9C65" w14:textId="27705D1F" w:rsidR="0042041F" w:rsidRPr="00A97719" w:rsidRDefault="0042041F" w:rsidP="008D1E2E">
      <w:pPr>
        <w:spacing w:after="0" w:line="360" w:lineRule="auto"/>
        <w:jc w:val="both"/>
        <w:rPr>
          <w:rFonts w:ascii="Arial" w:eastAsia="Times New Roman" w:hAnsi="Arial" w:cs="Arial"/>
          <w:color w:val="222222"/>
          <w:sz w:val="20"/>
          <w:szCs w:val="20"/>
          <w:lang w:val="en-US" w:bidi="hi-IN"/>
        </w:rPr>
      </w:pPr>
      <w:r w:rsidRPr="00A97719">
        <w:rPr>
          <w:rFonts w:ascii="Arial" w:eastAsia="Times New Roman" w:hAnsi="Arial" w:cs="Arial"/>
          <w:color w:val="222222"/>
          <w:sz w:val="20"/>
          <w:szCs w:val="20"/>
          <w:lang w:val="en-US" w:bidi="hi-IN"/>
        </w:rPr>
        <w:t>RG = (R</w:t>
      </w:r>
      <w:r w:rsidRPr="00A97719">
        <w:rPr>
          <w:rFonts w:ascii="Arial" w:eastAsia="Times New Roman" w:hAnsi="Arial" w:cs="Arial"/>
          <w:color w:val="222222"/>
          <w:sz w:val="20"/>
          <w:szCs w:val="20"/>
          <w:vertAlign w:val="subscript"/>
          <w:lang w:val="en-US" w:bidi="hi-IN"/>
        </w:rPr>
        <w:t>x</w:t>
      </w:r>
      <w:r w:rsidRPr="00A97719">
        <w:rPr>
          <w:rFonts w:ascii="Arial" w:eastAsia="Times New Roman" w:hAnsi="Arial" w:cs="Arial"/>
          <w:color w:val="222222"/>
          <w:sz w:val="20"/>
          <w:szCs w:val="20"/>
          <w:lang w:val="en-US" w:bidi="hi-IN"/>
        </w:rPr>
        <w:t> − R</w:t>
      </w:r>
      <w:r w:rsidRPr="00A97719">
        <w:rPr>
          <w:rFonts w:ascii="Arial" w:eastAsia="Times New Roman" w:hAnsi="Arial" w:cs="Arial"/>
          <w:color w:val="222222"/>
          <w:sz w:val="20"/>
          <w:szCs w:val="20"/>
          <w:vertAlign w:val="subscript"/>
          <w:lang w:val="en-US" w:bidi="hi-IN"/>
        </w:rPr>
        <w:t>0</w:t>
      </w:r>
      <w:r w:rsidRPr="00A97719">
        <w:rPr>
          <w:rFonts w:ascii="Arial" w:eastAsia="Times New Roman" w:hAnsi="Arial" w:cs="Arial"/>
          <w:color w:val="222222"/>
          <w:sz w:val="20"/>
          <w:szCs w:val="20"/>
          <w:lang w:val="en-US" w:bidi="hi-IN"/>
        </w:rPr>
        <w:t>)</w:t>
      </w:r>
    </w:p>
    <w:p w14:paraId="5F9F259F" w14:textId="77777777" w:rsidR="0042041F" w:rsidRPr="00A97719" w:rsidRDefault="0042041F" w:rsidP="008D1E2E">
      <w:pPr>
        <w:spacing w:line="360" w:lineRule="auto"/>
        <w:jc w:val="both"/>
        <w:rPr>
          <w:rFonts w:ascii="Arial" w:eastAsia="Times New Roman" w:hAnsi="Arial" w:cs="Arial"/>
          <w:color w:val="222222"/>
          <w:sz w:val="20"/>
          <w:szCs w:val="20"/>
          <w:shd w:val="clear" w:color="auto" w:fill="FFFFFF"/>
          <w:lang w:val="en-US" w:bidi="hi-IN"/>
        </w:rPr>
      </w:pPr>
      <w:r w:rsidRPr="00A97719">
        <w:rPr>
          <w:rFonts w:ascii="Arial" w:eastAsia="Times New Roman" w:hAnsi="Arial" w:cs="Arial"/>
          <w:color w:val="222222"/>
          <w:sz w:val="20"/>
          <w:szCs w:val="20"/>
          <w:shd w:val="clear" w:color="auto" w:fill="FFFFFF"/>
          <w:lang w:val="en-US" w:bidi="hi-IN"/>
        </w:rPr>
        <w:t xml:space="preserve">Where,  </w:t>
      </w:r>
    </w:p>
    <w:p w14:paraId="7773342D" w14:textId="77777777" w:rsidR="0042041F" w:rsidRPr="00A97719" w:rsidRDefault="0042041F" w:rsidP="008D1E2E">
      <w:pPr>
        <w:spacing w:line="360" w:lineRule="auto"/>
        <w:jc w:val="both"/>
        <w:rPr>
          <w:rFonts w:ascii="Arial" w:eastAsia="Times New Roman" w:hAnsi="Arial" w:cs="Arial"/>
          <w:color w:val="222222"/>
          <w:sz w:val="20"/>
          <w:szCs w:val="20"/>
          <w:shd w:val="clear" w:color="auto" w:fill="FFFFFF"/>
          <w:lang w:val="en-US" w:bidi="hi-IN"/>
        </w:rPr>
      </w:pPr>
      <w:r w:rsidRPr="00A97719">
        <w:rPr>
          <w:rFonts w:ascii="Arial" w:eastAsia="Times New Roman" w:hAnsi="Arial" w:cs="Arial"/>
          <w:color w:val="222222"/>
          <w:sz w:val="20"/>
          <w:szCs w:val="20"/>
          <w:shd w:val="clear" w:color="auto" w:fill="FFFFFF"/>
          <w:lang w:val="en-US" w:bidi="hi-IN"/>
        </w:rPr>
        <w:t>R</w:t>
      </w:r>
      <w:r w:rsidRPr="00A97719">
        <w:rPr>
          <w:rFonts w:ascii="Arial" w:eastAsia="Times New Roman" w:hAnsi="Arial" w:cs="Arial"/>
          <w:color w:val="222222"/>
          <w:sz w:val="20"/>
          <w:szCs w:val="20"/>
          <w:shd w:val="clear" w:color="auto" w:fill="FFFFFF"/>
          <w:vertAlign w:val="subscript"/>
          <w:lang w:val="en-US" w:bidi="hi-IN"/>
        </w:rPr>
        <w:t>x</w:t>
      </w:r>
      <w:r w:rsidRPr="00A97719">
        <w:rPr>
          <w:rFonts w:ascii="Arial" w:eastAsia="Times New Roman" w:hAnsi="Arial" w:cs="Arial"/>
          <w:color w:val="222222"/>
          <w:sz w:val="20"/>
          <w:szCs w:val="20"/>
          <w:shd w:val="clear" w:color="auto" w:fill="FFFFFF"/>
          <w:lang w:val="en-US" w:bidi="hi-IN"/>
        </w:rPr>
        <w:t xml:space="preserve"> = Colony radius after the initial fungal colony radial measurement; </w:t>
      </w:r>
    </w:p>
    <w:p w14:paraId="19A5A660" w14:textId="77777777" w:rsidR="0042041F" w:rsidRPr="008D1E2E" w:rsidRDefault="0042041F" w:rsidP="008D1E2E">
      <w:pPr>
        <w:spacing w:line="360" w:lineRule="auto"/>
        <w:jc w:val="both"/>
        <w:rPr>
          <w:rFonts w:ascii="Arial" w:hAnsi="Arial" w:cs="Arial"/>
          <w:sz w:val="24"/>
          <w:szCs w:val="24"/>
        </w:rPr>
      </w:pPr>
      <w:r w:rsidRPr="00A97719">
        <w:rPr>
          <w:rFonts w:ascii="Arial" w:eastAsia="Times New Roman" w:hAnsi="Arial" w:cs="Arial"/>
          <w:color w:val="222222"/>
          <w:sz w:val="20"/>
          <w:szCs w:val="20"/>
          <w:shd w:val="clear" w:color="auto" w:fill="FFFFFF"/>
          <w:lang w:val="en-US" w:bidi="hi-IN"/>
        </w:rPr>
        <w:t>R</w:t>
      </w:r>
      <w:r w:rsidRPr="00A97719">
        <w:rPr>
          <w:rFonts w:ascii="Arial" w:eastAsia="Times New Roman" w:hAnsi="Arial" w:cs="Arial"/>
          <w:color w:val="222222"/>
          <w:sz w:val="20"/>
          <w:szCs w:val="20"/>
          <w:shd w:val="clear" w:color="auto" w:fill="FFFFFF"/>
          <w:vertAlign w:val="subscript"/>
          <w:lang w:val="en-US" w:bidi="hi-IN"/>
        </w:rPr>
        <w:t>0</w:t>
      </w:r>
      <w:r w:rsidRPr="00A97719">
        <w:rPr>
          <w:rFonts w:ascii="Arial" w:eastAsia="Times New Roman" w:hAnsi="Arial" w:cs="Arial"/>
          <w:color w:val="222222"/>
          <w:sz w:val="20"/>
          <w:szCs w:val="20"/>
          <w:shd w:val="clear" w:color="auto" w:fill="FFFFFF"/>
          <w:lang w:val="en-US" w:bidi="hi-IN"/>
        </w:rPr>
        <w:t> = Initial fungal colony radius after inoculation</w:t>
      </w:r>
    </w:p>
    <w:p w14:paraId="16367BA3" w14:textId="433278A5" w:rsidR="0030394A" w:rsidRPr="0030394A" w:rsidRDefault="00A97719" w:rsidP="008D1E2E">
      <w:pPr>
        <w:spacing w:after="0" w:line="360" w:lineRule="auto"/>
        <w:jc w:val="both"/>
        <w:rPr>
          <w:rFonts w:ascii="Arial" w:eastAsiaTheme="minorEastAsia" w:hAnsi="Arial" w:cs="Arial"/>
          <w:b/>
          <w:bCs/>
          <w:sz w:val="24"/>
          <w:szCs w:val="24"/>
          <w:lang w:val="en-US"/>
        </w:rPr>
      </w:pPr>
      <w:r w:rsidRPr="00A97719">
        <w:rPr>
          <w:rFonts w:ascii="Arial" w:eastAsiaTheme="minorEastAsia" w:hAnsi="Arial" w:cs="Arial"/>
          <w:b/>
          <w:bCs/>
          <w:lang w:val="en-US"/>
        </w:rPr>
        <w:t xml:space="preserve">2.3 </w:t>
      </w:r>
      <w:r w:rsidR="0030394A" w:rsidRPr="00A97719">
        <w:rPr>
          <w:rFonts w:ascii="Arial" w:eastAsiaTheme="minorEastAsia" w:hAnsi="Arial" w:cs="Arial"/>
          <w:b/>
          <w:bCs/>
          <w:lang w:val="en-US"/>
        </w:rPr>
        <w:t>Spore Production Quantification</w:t>
      </w:r>
    </w:p>
    <w:p w14:paraId="4331DE01" w14:textId="77777777" w:rsidR="0030394A" w:rsidRPr="00A97719" w:rsidRDefault="0030394A" w:rsidP="008D1E2E">
      <w:pPr>
        <w:spacing w:after="0" w:line="360" w:lineRule="auto"/>
        <w:ind w:firstLine="720"/>
        <w:jc w:val="both"/>
        <w:rPr>
          <w:rFonts w:ascii="Arial" w:eastAsiaTheme="minorEastAsia" w:hAnsi="Arial" w:cs="Arial"/>
          <w:sz w:val="20"/>
          <w:szCs w:val="20"/>
          <w:lang w:val="en-US"/>
        </w:rPr>
      </w:pPr>
      <w:r w:rsidRPr="00A97719">
        <w:rPr>
          <w:rFonts w:ascii="Arial" w:eastAsiaTheme="minorEastAsia" w:hAnsi="Arial" w:cs="Arial"/>
          <w:sz w:val="20"/>
          <w:szCs w:val="20"/>
          <w:lang w:val="en-US"/>
        </w:rPr>
        <w:t xml:space="preserve">After 15 days of incubation, 0.1 g of mycelium was harvested from each Petri plate and transferred to 9 mL of sterile distilled water containing 0.01% Tween-80. Spore counts were determined after preparing a 10⁶ serial dilution suspension using a double-ruled Neubauer </w:t>
      </w:r>
      <w:proofErr w:type="spellStart"/>
      <w:r w:rsidRPr="00A97719">
        <w:rPr>
          <w:rFonts w:ascii="Arial" w:eastAsiaTheme="minorEastAsia" w:hAnsi="Arial" w:cs="Arial"/>
          <w:sz w:val="20"/>
          <w:szCs w:val="20"/>
          <w:lang w:val="en-US"/>
        </w:rPr>
        <w:t>haemocytometer</w:t>
      </w:r>
      <w:proofErr w:type="spellEnd"/>
      <w:r w:rsidRPr="00A97719">
        <w:rPr>
          <w:rFonts w:ascii="Arial" w:eastAsiaTheme="minorEastAsia" w:hAnsi="Arial" w:cs="Arial"/>
          <w:sz w:val="20"/>
          <w:szCs w:val="20"/>
          <w:lang w:val="en-US"/>
        </w:rPr>
        <w:t xml:space="preserve"> under </w:t>
      </w:r>
      <w:r w:rsidRPr="00A97719">
        <w:rPr>
          <w:rFonts w:ascii="Arial" w:eastAsiaTheme="minorEastAsia" w:hAnsi="Arial" w:cs="Arial"/>
          <w:sz w:val="20"/>
          <w:szCs w:val="20"/>
          <w:lang w:val="en-US"/>
        </w:rPr>
        <w:lastRenderedPageBreak/>
        <w:t xml:space="preserve">a light microscope at 400× magnification, following the methodology suggested by </w:t>
      </w:r>
      <w:proofErr w:type="spellStart"/>
      <w:r w:rsidRPr="00A97719">
        <w:rPr>
          <w:rFonts w:ascii="Arial" w:eastAsiaTheme="minorEastAsia" w:hAnsi="Arial" w:cs="Arial"/>
          <w:sz w:val="20"/>
          <w:szCs w:val="20"/>
          <w:lang w:val="en-US"/>
        </w:rPr>
        <w:t>Soundarapandian</w:t>
      </w:r>
      <w:proofErr w:type="spellEnd"/>
      <w:r w:rsidRPr="00A97719">
        <w:rPr>
          <w:rFonts w:ascii="Arial" w:eastAsiaTheme="minorEastAsia" w:hAnsi="Arial" w:cs="Arial"/>
          <w:sz w:val="20"/>
          <w:szCs w:val="20"/>
          <w:lang w:val="en-US"/>
        </w:rPr>
        <w:t xml:space="preserve"> and Chandra (2007).</w:t>
      </w:r>
    </w:p>
    <w:p w14:paraId="49E55EEB" w14:textId="12A1386D" w:rsidR="0042041F" w:rsidRPr="00A97719" w:rsidRDefault="002E54AD" w:rsidP="008D1E2E">
      <w:pPr>
        <w:spacing w:after="0" w:line="360" w:lineRule="auto"/>
        <w:jc w:val="both"/>
        <w:rPr>
          <w:rFonts w:ascii="Arial" w:eastAsiaTheme="minorEastAsia" w:hAnsi="Arial" w:cs="Arial"/>
          <w:sz w:val="20"/>
          <w:szCs w:val="20"/>
        </w:rPr>
      </w:pPr>
      <w:bookmarkStart w:id="0" w:name="_Hlk216130891"/>
      <w:r w:rsidRPr="00A97719">
        <w:rPr>
          <w:rFonts w:ascii="Arial" w:eastAsiaTheme="minorEastAsia" w:hAnsi="Arial" w:cs="Arial"/>
          <w:sz w:val="20"/>
          <w:szCs w:val="20"/>
        </w:rPr>
        <w:t>Spore count =Average number of cells per square × dilution factor</w:t>
      </w:r>
      <w:r w:rsidR="005B0820" w:rsidRPr="00A97719">
        <w:rPr>
          <w:rFonts w:ascii="Arial" w:eastAsiaTheme="minorEastAsia" w:hAnsi="Arial" w:cs="Arial"/>
          <w:sz w:val="20"/>
          <w:szCs w:val="20"/>
        </w:rPr>
        <w:t xml:space="preserve"> </w:t>
      </w:r>
    </w:p>
    <w:p w14:paraId="6F831D64" w14:textId="30EA1C46" w:rsidR="00E90CCE" w:rsidRPr="00A97719" w:rsidRDefault="00E90CCE" w:rsidP="008D1E2E">
      <w:pPr>
        <w:spacing w:after="0" w:line="360" w:lineRule="auto"/>
        <w:ind w:firstLine="720"/>
        <w:jc w:val="both"/>
        <w:rPr>
          <w:rFonts w:ascii="Arial" w:eastAsiaTheme="minorEastAsia" w:hAnsi="Arial" w:cs="Arial"/>
          <w:sz w:val="20"/>
          <w:szCs w:val="20"/>
        </w:rPr>
      </w:pPr>
      <w:r w:rsidRPr="00A97719">
        <w:rPr>
          <w:rFonts w:ascii="Arial" w:eastAsiaTheme="minorEastAsia" w:hAnsi="Arial" w:cs="Arial"/>
          <w:sz w:val="20"/>
          <w:szCs w:val="20"/>
        </w:rPr>
        <w:t>Th</w:t>
      </w:r>
      <w:r w:rsidR="008D6CA1" w:rsidRPr="00A97719">
        <w:rPr>
          <w:rFonts w:ascii="Arial" w:eastAsiaTheme="minorEastAsia" w:hAnsi="Arial" w:cs="Arial"/>
          <w:sz w:val="20"/>
          <w:szCs w:val="20"/>
        </w:rPr>
        <w:t xml:space="preserve">is </w:t>
      </w:r>
      <w:r w:rsidRPr="00A97719">
        <w:rPr>
          <w:rFonts w:ascii="Arial" w:eastAsiaTheme="minorEastAsia" w:hAnsi="Arial" w:cs="Arial"/>
          <w:sz w:val="20"/>
          <w:szCs w:val="20"/>
        </w:rPr>
        <w:t>experiment was conducted with four temperature treatments (22 ± 2°, 26 ± 2°, 30 ± 2° and 34 ± 2°C) and four fungal strain sub-treatments (</w:t>
      </w:r>
      <w:r w:rsidRPr="00A97719">
        <w:rPr>
          <w:rFonts w:ascii="Arial" w:eastAsiaTheme="minorEastAsia" w:hAnsi="Arial" w:cs="Arial"/>
          <w:i/>
          <w:iCs/>
          <w:sz w:val="20"/>
          <w:szCs w:val="20"/>
        </w:rPr>
        <w:t>B. bassiana</w:t>
      </w:r>
      <w:r w:rsidRPr="00A97719">
        <w:rPr>
          <w:rFonts w:ascii="Arial" w:eastAsiaTheme="minorEastAsia" w:hAnsi="Arial" w:cs="Arial"/>
          <w:sz w:val="20"/>
          <w:szCs w:val="20"/>
        </w:rPr>
        <w:t xml:space="preserve"> local, </w:t>
      </w:r>
      <w:r w:rsidR="008D6CA1" w:rsidRPr="00A97719">
        <w:rPr>
          <w:rFonts w:ascii="Arial" w:eastAsiaTheme="minorEastAsia" w:hAnsi="Arial" w:cs="Arial"/>
          <w:i/>
          <w:iCs/>
          <w:sz w:val="20"/>
          <w:szCs w:val="20"/>
        </w:rPr>
        <w:t>B. bassiana</w:t>
      </w:r>
      <w:r w:rsidR="008D6CA1" w:rsidRPr="00A97719">
        <w:rPr>
          <w:rFonts w:ascii="Arial" w:eastAsiaTheme="minorEastAsia" w:hAnsi="Arial" w:cs="Arial"/>
          <w:sz w:val="20"/>
          <w:szCs w:val="20"/>
        </w:rPr>
        <w:t xml:space="preserve"> </w:t>
      </w:r>
      <w:r w:rsidRPr="00A97719">
        <w:rPr>
          <w:rFonts w:ascii="Arial" w:eastAsiaTheme="minorEastAsia" w:hAnsi="Arial" w:cs="Arial"/>
          <w:sz w:val="20"/>
          <w:szCs w:val="20"/>
        </w:rPr>
        <w:t>MTCC-892,</w:t>
      </w:r>
      <w:r w:rsidRPr="00A97719">
        <w:rPr>
          <w:rFonts w:ascii="Arial" w:eastAsiaTheme="minorEastAsia" w:hAnsi="Arial" w:cs="Arial"/>
          <w:i/>
          <w:iCs/>
          <w:sz w:val="20"/>
          <w:szCs w:val="20"/>
        </w:rPr>
        <w:t xml:space="preserve"> M. anisopliae</w:t>
      </w:r>
      <w:r w:rsidRPr="00A97719">
        <w:rPr>
          <w:rFonts w:ascii="Arial" w:eastAsiaTheme="minorEastAsia" w:hAnsi="Arial" w:cs="Arial"/>
          <w:sz w:val="20"/>
          <w:szCs w:val="20"/>
        </w:rPr>
        <w:t xml:space="preserve"> local and </w:t>
      </w:r>
      <w:bookmarkStart w:id="1" w:name="_Hlk215181552"/>
      <w:r w:rsidR="008D6CA1" w:rsidRPr="00A97719">
        <w:rPr>
          <w:rFonts w:ascii="Arial" w:eastAsiaTheme="minorEastAsia" w:hAnsi="Arial" w:cs="Arial"/>
          <w:i/>
          <w:iCs/>
          <w:sz w:val="20"/>
          <w:szCs w:val="20"/>
        </w:rPr>
        <w:t>M. anisopliae</w:t>
      </w:r>
      <w:r w:rsidR="008D6CA1" w:rsidRPr="00A97719">
        <w:rPr>
          <w:rFonts w:ascii="Arial" w:eastAsiaTheme="minorEastAsia" w:hAnsi="Arial" w:cs="Arial"/>
          <w:sz w:val="20"/>
          <w:szCs w:val="20"/>
        </w:rPr>
        <w:t xml:space="preserve"> </w:t>
      </w:r>
      <w:r w:rsidRPr="00A97719">
        <w:rPr>
          <w:rFonts w:ascii="Arial" w:eastAsiaTheme="minorEastAsia" w:hAnsi="Arial" w:cs="Arial"/>
          <w:sz w:val="20"/>
          <w:szCs w:val="20"/>
        </w:rPr>
        <w:t>MTCC-984</w:t>
      </w:r>
      <w:bookmarkEnd w:id="1"/>
      <w:r w:rsidRPr="00A97719">
        <w:rPr>
          <w:rFonts w:ascii="Arial" w:eastAsiaTheme="minorEastAsia" w:hAnsi="Arial" w:cs="Arial"/>
          <w:sz w:val="20"/>
          <w:szCs w:val="20"/>
        </w:rPr>
        <w:t>) each replicated four times with a sample size of 20 Petri plates per replication.</w:t>
      </w:r>
    </w:p>
    <w:p w14:paraId="5C1813B4" w14:textId="17A9D603" w:rsidR="00C7012C" w:rsidRPr="00A97719" w:rsidRDefault="00A97719" w:rsidP="008D1E2E">
      <w:pPr>
        <w:spacing w:line="360" w:lineRule="auto"/>
        <w:jc w:val="both"/>
        <w:rPr>
          <w:rFonts w:ascii="Arial" w:eastAsiaTheme="minorEastAsia" w:hAnsi="Arial" w:cs="Arial"/>
          <w:b/>
          <w:bCs/>
          <w:lang w:val="en-US"/>
        </w:rPr>
      </w:pPr>
      <w:r w:rsidRPr="00A97719">
        <w:rPr>
          <w:rFonts w:ascii="Arial" w:eastAsiaTheme="minorEastAsia" w:hAnsi="Arial" w:cs="Arial"/>
          <w:b/>
          <w:bCs/>
          <w:lang w:val="en-US"/>
        </w:rPr>
        <w:t xml:space="preserve">2.4 </w:t>
      </w:r>
      <w:r w:rsidR="00C7012C" w:rsidRPr="00A97719">
        <w:rPr>
          <w:rFonts w:ascii="Arial" w:eastAsiaTheme="minorEastAsia" w:hAnsi="Arial" w:cs="Arial"/>
          <w:b/>
          <w:bCs/>
          <w:lang w:val="en-US"/>
        </w:rPr>
        <w:t>Statistical Analysis</w:t>
      </w:r>
    </w:p>
    <w:p w14:paraId="22B8C851" w14:textId="77777777" w:rsidR="00C7012C" w:rsidRPr="00120F01" w:rsidRDefault="00C7012C" w:rsidP="008D1E2E">
      <w:pPr>
        <w:spacing w:line="360" w:lineRule="auto"/>
        <w:ind w:firstLine="720"/>
        <w:jc w:val="both"/>
        <w:rPr>
          <w:rFonts w:ascii="Arial" w:eastAsiaTheme="minorEastAsia" w:hAnsi="Arial" w:cs="Arial"/>
          <w:sz w:val="20"/>
          <w:szCs w:val="20"/>
          <w:lang w:val="en-US"/>
        </w:rPr>
      </w:pPr>
      <w:r w:rsidRPr="00120F01">
        <w:rPr>
          <w:rFonts w:ascii="Arial" w:eastAsiaTheme="minorEastAsia" w:hAnsi="Arial" w:cs="Arial"/>
          <w:sz w:val="20"/>
          <w:szCs w:val="20"/>
          <w:lang w:val="en-US"/>
        </w:rPr>
        <w:t>The data were analyzed using a two-factor factorial completely randomized design (F-CRD) to assess the main effects of treatments and their interactions using OPSTAT online software. The level of significance was set at 5%, and Duncan’s Multiple Range Test (DMRT) was employed to determine differences among treatment means. For analytical purposes, temperature was considered as Factor A, while fungal isolates were considered as Factor B.</w:t>
      </w:r>
    </w:p>
    <w:p w14:paraId="24A520BD" w14:textId="768F9659" w:rsidR="00460365" w:rsidRPr="00A97719" w:rsidRDefault="00A97719" w:rsidP="00F2643D">
      <w:pPr>
        <w:pStyle w:val="ListParagraph"/>
        <w:numPr>
          <w:ilvl w:val="0"/>
          <w:numId w:val="3"/>
        </w:numPr>
        <w:spacing w:line="360" w:lineRule="auto"/>
        <w:ind w:left="270"/>
        <w:jc w:val="both"/>
        <w:rPr>
          <w:rFonts w:ascii="Arial" w:eastAsiaTheme="minorEastAsia" w:hAnsi="Arial" w:cs="Arial"/>
          <w:b/>
          <w:bCs/>
        </w:rPr>
      </w:pPr>
      <w:r w:rsidRPr="00A97719">
        <w:rPr>
          <w:rFonts w:ascii="Arial" w:eastAsiaTheme="minorEastAsia" w:hAnsi="Arial" w:cs="Arial"/>
          <w:b/>
          <w:bCs/>
        </w:rPr>
        <w:t>RESULTS AND DISCUSSION</w:t>
      </w:r>
    </w:p>
    <w:p w14:paraId="47D1F42E" w14:textId="064A2244" w:rsidR="00E90CCE" w:rsidRPr="00A97719" w:rsidRDefault="00A97719" w:rsidP="008D1E2E">
      <w:pPr>
        <w:spacing w:line="360" w:lineRule="auto"/>
        <w:jc w:val="both"/>
        <w:rPr>
          <w:rFonts w:ascii="Arial" w:hAnsi="Arial" w:cs="Arial"/>
        </w:rPr>
      </w:pPr>
      <w:r w:rsidRPr="00A97719">
        <w:rPr>
          <w:rFonts w:ascii="Arial" w:hAnsi="Arial" w:cs="Arial"/>
          <w:b/>
          <w:bCs/>
        </w:rPr>
        <w:t xml:space="preserve">3.1 </w:t>
      </w:r>
      <w:r w:rsidR="00E90CCE" w:rsidRPr="00A97719">
        <w:rPr>
          <w:rFonts w:ascii="Arial" w:hAnsi="Arial" w:cs="Arial"/>
          <w:b/>
          <w:bCs/>
        </w:rPr>
        <w:t>Fungal radial growth</w:t>
      </w:r>
    </w:p>
    <w:p w14:paraId="33E987B4" w14:textId="4C4DD5F5" w:rsidR="00E90CCE" w:rsidRPr="00A97719" w:rsidRDefault="00A97719" w:rsidP="008D1E2E">
      <w:pPr>
        <w:spacing w:line="360" w:lineRule="auto"/>
        <w:jc w:val="both"/>
        <w:rPr>
          <w:rFonts w:ascii="Arial" w:hAnsi="Arial" w:cs="Arial"/>
          <w:b/>
          <w:bCs/>
        </w:rPr>
      </w:pPr>
      <w:r>
        <w:rPr>
          <w:rFonts w:ascii="Arial" w:hAnsi="Arial" w:cs="Arial"/>
          <w:b/>
          <w:bCs/>
        </w:rPr>
        <w:t xml:space="preserve">3.1.1 </w:t>
      </w:r>
      <w:r w:rsidR="00E90CCE" w:rsidRPr="00A97719">
        <w:rPr>
          <w:rFonts w:ascii="Arial" w:hAnsi="Arial" w:cs="Arial"/>
          <w:b/>
          <w:bCs/>
        </w:rPr>
        <w:t>Temperatures</w:t>
      </w:r>
    </w:p>
    <w:p w14:paraId="6034B305" w14:textId="77777777" w:rsidR="00C7012C" w:rsidRPr="00120F01" w:rsidRDefault="00C7012C" w:rsidP="00441676">
      <w:pPr>
        <w:spacing w:line="360" w:lineRule="auto"/>
        <w:ind w:firstLine="720"/>
        <w:jc w:val="both"/>
        <w:rPr>
          <w:rFonts w:ascii="Arial" w:hAnsi="Arial" w:cs="Arial"/>
          <w:sz w:val="20"/>
          <w:szCs w:val="20"/>
        </w:rPr>
      </w:pPr>
      <w:r w:rsidRPr="00120F01">
        <w:rPr>
          <w:rFonts w:ascii="Arial" w:hAnsi="Arial" w:cs="Arial"/>
          <w:sz w:val="20"/>
          <w:szCs w:val="20"/>
        </w:rPr>
        <w:t>The fungal radial growth data presented in Table 1 and Figure 1 show that the tested fungal isolates were significantly affected by temperatures ranging from 22 to 34 °C. Fungal radial growth increased consistently from the 3rd to the 14th day after inoculation (DAI). Maximum radial growth was observed at 26 °C (21.45 mm, 68.25 mm, and 83.65 mm on the respective days), followed by 22 °C (19.60 mm, 73.33 mm, and 81.34 mm), indicating optimal conditions for mycelial expansion at both temperatures. In contrast, elevated temperatures showed a consistent reduction in radial growth. At 30 °C, mean radial growth values were 9.43 mm, 39.43 mm, and 65.60 mm on the respective observation days, while the lowest growth was recorded at 34 °C (7.11 mm, 26.05 mm, and 45.39 mm). This declining trend in fungal radial growth confirms that higher temperatures impose physiological stress, thereby limiting fungal development. Fungal radial growth was maximum at 26 °C and minimum at 34 °C on the 3rd and 14th DAI, whereas on the 7th DAI, the maximum and minimum growth occurred at 22 °C and 34 °C, respectively.</w:t>
      </w:r>
    </w:p>
    <w:p w14:paraId="1006A95F" w14:textId="6BBDDF0E" w:rsidR="00E90CCE" w:rsidRPr="00A97719" w:rsidRDefault="00A97719" w:rsidP="008D1E2E">
      <w:pPr>
        <w:spacing w:line="360" w:lineRule="auto"/>
        <w:jc w:val="both"/>
        <w:rPr>
          <w:rFonts w:ascii="Arial" w:hAnsi="Arial" w:cs="Arial"/>
          <w:b/>
          <w:bCs/>
        </w:rPr>
      </w:pPr>
      <w:r>
        <w:rPr>
          <w:rFonts w:ascii="Arial" w:hAnsi="Arial" w:cs="Arial"/>
          <w:b/>
          <w:bCs/>
        </w:rPr>
        <w:t xml:space="preserve">3.1.2 </w:t>
      </w:r>
      <w:r w:rsidR="00E90CCE" w:rsidRPr="00A97719">
        <w:rPr>
          <w:rFonts w:ascii="Arial" w:hAnsi="Arial" w:cs="Arial"/>
          <w:b/>
          <w:bCs/>
        </w:rPr>
        <w:t xml:space="preserve">Fungal isolates </w:t>
      </w:r>
    </w:p>
    <w:p w14:paraId="2BBB6310" w14:textId="3D89EE03" w:rsidR="00932DA4" w:rsidRPr="00120F01" w:rsidRDefault="00C7012C" w:rsidP="008D1E2E">
      <w:pPr>
        <w:spacing w:line="360" w:lineRule="auto"/>
        <w:ind w:firstLine="720"/>
        <w:jc w:val="both"/>
        <w:rPr>
          <w:rFonts w:ascii="Arial" w:hAnsi="Arial" w:cs="Arial"/>
          <w:sz w:val="20"/>
          <w:szCs w:val="20"/>
        </w:rPr>
      </w:pPr>
      <w:r w:rsidRPr="00120F01">
        <w:rPr>
          <w:rFonts w:ascii="Arial" w:hAnsi="Arial" w:cs="Arial"/>
          <w:sz w:val="20"/>
          <w:szCs w:val="20"/>
        </w:rPr>
        <w:t>Among the isolates, F1 (</w:t>
      </w:r>
      <w:r w:rsidRPr="00120F01">
        <w:rPr>
          <w:rFonts w:ascii="Arial" w:hAnsi="Arial" w:cs="Arial"/>
          <w:i/>
          <w:iCs/>
          <w:sz w:val="20"/>
          <w:szCs w:val="20"/>
        </w:rPr>
        <w:t>Beauveria bassiana</w:t>
      </w:r>
      <w:r w:rsidRPr="00120F01">
        <w:rPr>
          <w:rFonts w:ascii="Arial" w:hAnsi="Arial" w:cs="Arial"/>
          <w:sz w:val="20"/>
          <w:szCs w:val="20"/>
        </w:rPr>
        <w:t xml:space="preserve"> local) exhibited consistently higher radial growth (19.69–89.80 mm across temperatures and observation days), whereas F4 (</w:t>
      </w:r>
      <w:r w:rsidRPr="00120F01">
        <w:rPr>
          <w:rFonts w:ascii="Arial" w:hAnsi="Arial" w:cs="Arial"/>
          <w:i/>
          <w:iCs/>
          <w:sz w:val="20"/>
          <w:szCs w:val="20"/>
        </w:rPr>
        <w:t>Metarhizium anisopliae</w:t>
      </w:r>
      <w:r w:rsidRPr="00120F01">
        <w:rPr>
          <w:rFonts w:ascii="Arial" w:hAnsi="Arial" w:cs="Arial"/>
          <w:sz w:val="20"/>
          <w:szCs w:val="20"/>
        </w:rPr>
        <w:t xml:space="preserve"> MTCC-984) produced comparatively lower radial growth (5.10–77.20 mm). These differences indicate variability in thermal tolerance among the fungal isolates (Table 1).</w:t>
      </w:r>
    </w:p>
    <w:p w14:paraId="53759F1F" w14:textId="0DF88B66" w:rsidR="00E90CCE" w:rsidRPr="00A97719" w:rsidRDefault="00A97719" w:rsidP="008D1E2E">
      <w:pPr>
        <w:spacing w:line="360" w:lineRule="auto"/>
        <w:jc w:val="both"/>
        <w:rPr>
          <w:rFonts w:ascii="Arial" w:hAnsi="Arial" w:cs="Arial"/>
          <w:b/>
          <w:bCs/>
        </w:rPr>
      </w:pPr>
      <w:r>
        <w:rPr>
          <w:rFonts w:ascii="Arial" w:hAnsi="Arial" w:cs="Arial"/>
          <w:b/>
          <w:bCs/>
        </w:rPr>
        <w:t xml:space="preserve">3.1.3 </w:t>
      </w:r>
      <w:r w:rsidR="00E90CCE" w:rsidRPr="00A97719">
        <w:rPr>
          <w:rFonts w:ascii="Arial" w:hAnsi="Arial" w:cs="Arial"/>
          <w:b/>
          <w:bCs/>
        </w:rPr>
        <w:t>Temperatures</w:t>
      </w:r>
      <w:r w:rsidR="0059338E" w:rsidRPr="00A97719">
        <w:rPr>
          <w:rFonts w:ascii="Arial" w:hAnsi="Arial" w:cs="Arial"/>
          <w:b/>
          <w:bCs/>
        </w:rPr>
        <w:t xml:space="preserve"> and </w:t>
      </w:r>
      <w:r w:rsidR="00E90CCE" w:rsidRPr="00A97719">
        <w:rPr>
          <w:rFonts w:ascii="Arial" w:hAnsi="Arial" w:cs="Arial"/>
          <w:b/>
          <w:bCs/>
        </w:rPr>
        <w:t>Fungal isolates</w:t>
      </w:r>
      <w:r w:rsidR="0059338E" w:rsidRPr="00A97719">
        <w:rPr>
          <w:rFonts w:ascii="Arial" w:hAnsi="Arial" w:cs="Arial"/>
          <w:b/>
          <w:bCs/>
        </w:rPr>
        <w:t xml:space="preserve"> interaction </w:t>
      </w:r>
    </w:p>
    <w:p w14:paraId="687F3400" w14:textId="77777777" w:rsidR="00C7012C" w:rsidRPr="00A97719" w:rsidRDefault="00C7012C" w:rsidP="008D1E2E">
      <w:pPr>
        <w:spacing w:line="360" w:lineRule="auto"/>
        <w:ind w:firstLine="720"/>
        <w:jc w:val="both"/>
        <w:rPr>
          <w:rFonts w:ascii="Arial" w:hAnsi="Arial" w:cs="Arial"/>
          <w:sz w:val="20"/>
          <w:szCs w:val="20"/>
        </w:rPr>
      </w:pPr>
      <w:r w:rsidRPr="00A97719">
        <w:rPr>
          <w:rFonts w:ascii="Arial" w:hAnsi="Arial" w:cs="Arial"/>
          <w:sz w:val="20"/>
          <w:szCs w:val="20"/>
        </w:rPr>
        <w:t xml:space="preserve">The interaction effect between temperature and fungal isolates was significant, as the response of each isolate varied with temperature over time (3rd, 7th, and 14th DAI). At the optimal temperature </w:t>
      </w:r>
      <w:r w:rsidRPr="00A97719">
        <w:rPr>
          <w:rFonts w:ascii="Arial" w:hAnsi="Arial" w:cs="Arial"/>
          <w:sz w:val="20"/>
          <w:szCs w:val="20"/>
        </w:rPr>
        <w:lastRenderedPageBreak/>
        <w:t>of 26 °C, isolate F2 consistently showed the highest radial growth (33.53 mm and 85.25 mm at the 3rd and 14th DAI, respectively), which was statistically at par with F1 (31.65 mm and 83.04 mm, respectively) at 26 °C and with F2 (32.92 mm and 80.57 mm, respectively) at 22 °C on the 3rd and 14th DAI, respectively. However, on the 3rd DAI, all isolates showed a marked reduction in growth at higher temperatures, with the minimum growth recorded in F4 (5.10 mm) at 34 °C. Similarly, at the 14th DAI, the minimum radial growth was observed in F4 (18.75 mm) at 34 °C, which was statistically at par with F3 (22.24 mm) at 34 °C (Table 1).</w:t>
      </w:r>
    </w:p>
    <w:p w14:paraId="14A829FA" w14:textId="77777777" w:rsidR="00C7012C" w:rsidRPr="00A97719" w:rsidRDefault="00C7012C" w:rsidP="008D1E2E">
      <w:pPr>
        <w:spacing w:line="360" w:lineRule="auto"/>
        <w:ind w:firstLine="720"/>
        <w:jc w:val="both"/>
        <w:rPr>
          <w:rFonts w:ascii="Arial" w:hAnsi="Arial" w:cs="Arial"/>
          <w:sz w:val="20"/>
          <w:szCs w:val="20"/>
          <w:lang w:val="en-US"/>
        </w:rPr>
      </w:pPr>
      <w:r w:rsidRPr="00A97719">
        <w:rPr>
          <w:rFonts w:ascii="Arial" w:hAnsi="Arial" w:cs="Arial"/>
          <w:sz w:val="20"/>
          <w:szCs w:val="20"/>
          <w:lang w:val="en-US"/>
        </w:rPr>
        <w:t>The interaction effect of temperature and fungal isolates was also significant. At 26 °C, isolate F1 recorded the highest radial growth (89.80 mm), whereas the lowest growth was observed in F4 (36.20 mm) at 34 °C on the 14th day after inoculation (DAI).</w:t>
      </w:r>
    </w:p>
    <w:p w14:paraId="53208FB0" w14:textId="4954D00C" w:rsidR="00A97719" w:rsidRDefault="00C7012C" w:rsidP="00A97719">
      <w:pPr>
        <w:spacing w:line="360" w:lineRule="auto"/>
        <w:ind w:firstLine="720"/>
        <w:jc w:val="both"/>
        <w:rPr>
          <w:rFonts w:ascii="Arial" w:hAnsi="Arial" w:cs="Arial"/>
          <w:sz w:val="20"/>
          <w:szCs w:val="20"/>
        </w:rPr>
      </w:pPr>
      <w:r w:rsidRPr="00A97719">
        <w:rPr>
          <w:rFonts w:ascii="Arial" w:hAnsi="Arial" w:cs="Arial"/>
          <w:sz w:val="20"/>
          <w:szCs w:val="20"/>
          <w:lang w:val="en-US"/>
        </w:rPr>
        <w:t xml:space="preserve">The present findings indicate that maximum fungal radial (mycelial) growth occurred at 26 °C. These results are consistent with those of earlier studies. Nussenbaum et al. (2013) reported an optimum temperature of 27 °C for radial growth. </w:t>
      </w:r>
      <w:r w:rsidRPr="00683605">
        <w:rPr>
          <w:rFonts w:ascii="Arial" w:hAnsi="Arial" w:cs="Arial"/>
          <w:sz w:val="20"/>
          <w:szCs w:val="20"/>
          <w:lang w:val="nl-BE"/>
        </w:rPr>
        <w:t xml:space="preserve">Similarly, Ouedraogo et al. (1997), Ekesi et al. (1999), Dimbi et al. </w:t>
      </w:r>
      <w:r w:rsidRPr="00A97719">
        <w:rPr>
          <w:rFonts w:ascii="Arial" w:hAnsi="Arial" w:cs="Arial"/>
          <w:sz w:val="20"/>
          <w:szCs w:val="20"/>
          <w:lang w:val="en-US"/>
        </w:rPr>
        <w:t xml:space="preserve">(2004), </w:t>
      </w:r>
      <w:proofErr w:type="spellStart"/>
      <w:r w:rsidRPr="00A97719">
        <w:rPr>
          <w:rFonts w:ascii="Arial" w:hAnsi="Arial" w:cs="Arial"/>
          <w:sz w:val="20"/>
          <w:szCs w:val="20"/>
          <w:lang w:val="en-US"/>
        </w:rPr>
        <w:t>Bugeme</w:t>
      </w:r>
      <w:proofErr w:type="spellEnd"/>
      <w:r w:rsidRPr="00A97719">
        <w:rPr>
          <w:rFonts w:ascii="Arial" w:hAnsi="Arial" w:cs="Arial"/>
          <w:sz w:val="20"/>
          <w:szCs w:val="20"/>
          <w:lang w:val="en-US"/>
        </w:rPr>
        <w:t xml:space="preserve"> et al. (2008), and </w:t>
      </w:r>
      <w:r w:rsidR="008418CA" w:rsidRPr="003557B8">
        <w:rPr>
          <w:rFonts w:ascii="Arial" w:hAnsi="Arial" w:cs="Arial"/>
          <w:color w:val="000000" w:themeColor="text1"/>
          <w:sz w:val="20"/>
          <w:szCs w:val="20"/>
        </w:rPr>
        <w:t>Ahmad</w:t>
      </w:r>
      <w:r w:rsidR="008418CA" w:rsidRPr="00A97719">
        <w:rPr>
          <w:rFonts w:ascii="Arial" w:hAnsi="Arial" w:cs="Arial"/>
          <w:sz w:val="20"/>
          <w:szCs w:val="20"/>
          <w:lang w:val="en-US"/>
        </w:rPr>
        <w:t xml:space="preserve"> </w:t>
      </w:r>
      <w:r w:rsidR="008418CA">
        <w:rPr>
          <w:rFonts w:ascii="Arial" w:hAnsi="Arial" w:cs="Arial"/>
          <w:sz w:val="20"/>
          <w:szCs w:val="20"/>
          <w:lang w:val="en-US"/>
        </w:rPr>
        <w:t xml:space="preserve">et al. </w:t>
      </w:r>
      <w:r w:rsidRPr="00A97719">
        <w:rPr>
          <w:rFonts w:ascii="Arial" w:hAnsi="Arial" w:cs="Arial"/>
          <w:sz w:val="20"/>
          <w:szCs w:val="20"/>
          <w:lang w:val="en-US"/>
        </w:rPr>
        <w:t xml:space="preserve">(2016) observed peak radial growth at 25 °C for both </w:t>
      </w:r>
      <w:r w:rsidRPr="00A97719">
        <w:rPr>
          <w:rFonts w:ascii="Arial" w:hAnsi="Arial" w:cs="Arial"/>
          <w:i/>
          <w:iCs/>
          <w:sz w:val="20"/>
          <w:szCs w:val="20"/>
          <w:lang w:val="en-US"/>
        </w:rPr>
        <w:t>Beauveria bassiana</w:t>
      </w:r>
      <w:r w:rsidRPr="00A97719">
        <w:rPr>
          <w:rFonts w:ascii="Arial" w:hAnsi="Arial" w:cs="Arial"/>
          <w:sz w:val="20"/>
          <w:szCs w:val="20"/>
          <w:lang w:val="en-US"/>
        </w:rPr>
        <w:t xml:space="preserve"> and </w:t>
      </w:r>
      <w:r w:rsidRPr="00A97719">
        <w:rPr>
          <w:rFonts w:ascii="Arial" w:hAnsi="Arial" w:cs="Arial"/>
          <w:i/>
          <w:iCs/>
          <w:sz w:val="20"/>
          <w:szCs w:val="20"/>
          <w:lang w:val="en-US"/>
        </w:rPr>
        <w:t>Metarhizium anisopliae</w:t>
      </w:r>
      <w:r w:rsidRPr="00A97719">
        <w:rPr>
          <w:rFonts w:ascii="Arial" w:hAnsi="Arial" w:cs="Arial"/>
          <w:sz w:val="20"/>
          <w:szCs w:val="20"/>
          <w:lang w:val="en-US"/>
        </w:rPr>
        <w:t xml:space="preserve">. Taylor and Khan (2010), </w:t>
      </w:r>
      <w:proofErr w:type="spellStart"/>
      <w:r w:rsidRPr="00A97719">
        <w:rPr>
          <w:rFonts w:ascii="Arial" w:hAnsi="Arial" w:cs="Arial"/>
          <w:sz w:val="20"/>
          <w:szCs w:val="20"/>
          <w:lang w:val="en-US"/>
        </w:rPr>
        <w:t>Omuse</w:t>
      </w:r>
      <w:proofErr w:type="spellEnd"/>
      <w:r w:rsidRPr="00A97719">
        <w:rPr>
          <w:rFonts w:ascii="Arial" w:hAnsi="Arial" w:cs="Arial"/>
          <w:sz w:val="20"/>
          <w:szCs w:val="20"/>
          <w:lang w:val="en-US"/>
        </w:rPr>
        <w:t xml:space="preserve"> et al. (2022), and Sani et al. (2023) reported that </w:t>
      </w:r>
      <w:r w:rsidRPr="00A97719">
        <w:rPr>
          <w:rFonts w:ascii="Arial" w:hAnsi="Arial" w:cs="Arial"/>
          <w:i/>
          <w:iCs/>
          <w:sz w:val="20"/>
          <w:szCs w:val="20"/>
          <w:lang w:val="en-US"/>
        </w:rPr>
        <w:t>M. anisopliae</w:t>
      </w:r>
      <w:r w:rsidRPr="00A97719">
        <w:rPr>
          <w:rFonts w:ascii="Arial" w:hAnsi="Arial" w:cs="Arial"/>
          <w:sz w:val="20"/>
          <w:szCs w:val="20"/>
          <w:lang w:val="en-US"/>
        </w:rPr>
        <w:t xml:space="preserve"> attained maximum growth within the temperature range of 25–30 °C, while Yeo et al. (2003) recorded optimal growth at 20–</w:t>
      </w:r>
      <w:r w:rsidRPr="00A97719">
        <w:rPr>
          <w:rFonts w:ascii="Arial" w:hAnsi="Arial" w:cs="Arial"/>
          <w:sz w:val="20"/>
          <w:szCs w:val="20"/>
        </w:rPr>
        <w:t xml:space="preserve"> The present findings revealed that all isolates of </w:t>
      </w:r>
      <w:r w:rsidRPr="00A97719">
        <w:rPr>
          <w:rFonts w:ascii="Arial" w:hAnsi="Arial" w:cs="Arial"/>
          <w:i/>
          <w:iCs/>
          <w:sz w:val="20"/>
          <w:szCs w:val="20"/>
        </w:rPr>
        <w:t>Beauveria bassiana</w:t>
      </w:r>
      <w:r w:rsidRPr="00A97719">
        <w:rPr>
          <w:rFonts w:ascii="Arial" w:hAnsi="Arial" w:cs="Arial"/>
          <w:sz w:val="20"/>
          <w:szCs w:val="20"/>
        </w:rPr>
        <w:t xml:space="preserve"> and </w:t>
      </w:r>
      <w:r w:rsidRPr="00A97719">
        <w:rPr>
          <w:rFonts w:ascii="Arial" w:hAnsi="Arial" w:cs="Arial"/>
          <w:i/>
          <w:iCs/>
          <w:sz w:val="20"/>
          <w:szCs w:val="20"/>
        </w:rPr>
        <w:t>Metarhizium anisopliae</w:t>
      </w:r>
      <w:r w:rsidRPr="00A97719">
        <w:rPr>
          <w:rFonts w:ascii="Arial" w:hAnsi="Arial" w:cs="Arial"/>
          <w:sz w:val="20"/>
          <w:szCs w:val="20"/>
        </w:rPr>
        <w:t xml:space="preserve"> exhibited marked reductions in radial growth at higher temperatures (34 °C). Elevated temperatures substantially suppressed fungal development. These results are consistent with earlier studies. </w:t>
      </w:r>
      <w:r w:rsidRPr="00683605">
        <w:rPr>
          <w:rFonts w:ascii="Arial" w:hAnsi="Arial" w:cs="Arial"/>
          <w:sz w:val="20"/>
          <w:szCs w:val="20"/>
          <w:lang w:val="nl-BE"/>
        </w:rPr>
        <w:t xml:space="preserve">Ekesi et al. (1999), Milner et al. (2002), Dimbi et al. (2004), Bugeme et al. </w:t>
      </w:r>
      <w:r w:rsidRPr="00A97719">
        <w:rPr>
          <w:rFonts w:ascii="Arial" w:hAnsi="Arial" w:cs="Arial"/>
          <w:sz w:val="20"/>
          <w:szCs w:val="20"/>
        </w:rPr>
        <w:t xml:space="preserve">(2008), and Nussenbaum et al. (2013) reported reduced or negligible mycelial growth in both fungal species at 35 °C. Similarly, </w:t>
      </w:r>
      <w:r w:rsidR="00D534FC" w:rsidRPr="003557B8">
        <w:rPr>
          <w:rFonts w:ascii="Arial" w:hAnsi="Arial" w:cs="Arial"/>
          <w:color w:val="000000" w:themeColor="text1"/>
          <w:sz w:val="20"/>
          <w:szCs w:val="20"/>
          <w:lang w:val="en-US"/>
        </w:rPr>
        <w:t>Shimazu</w:t>
      </w:r>
      <w:r w:rsidR="00D534FC">
        <w:rPr>
          <w:rFonts w:ascii="Arial" w:hAnsi="Arial" w:cs="Arial"/>
          <w:sz w:val="20"/>
          <w:szCs w:val="20"/>
        </w:rPr>
        <w:t xml:space="preserve"> </w:t>
      </w:r>
      <w:r w:rsidRPr="00A97719">
        <w:rPr>
          <w:rFonts w:ascii="Arial" w:hAnsi="Arial" w:cs="Arial"/>
          <w:sz w:val="20"/>
          <w:szCs w:val="20"/>
        </w:rPr>
        <w:t xml:space="preserve">(2004) and </w:t>
      </w:r>
      <w:r w:rsidR="008418CA" w:rsidRPr="003557B8">
        <w:rPr>
          <w:rFonts w:ascii="Arial" w:hAnsi="Arial" w:cs="Arial"/>
          <w:color w:val="000000" w:themeColor="text1"/>
          <w:sz w:val="20"/>
          <w:szCs w:val="20"/>
        </w:rPr>
        <w:t>Ahmad</w:t>
      </w:r>
      <w:r w:rsidR="008418CA">
        <w:rPr>
          <w:rFonts w:ascii="Arial" w:hAnsi="Arial" w:cs="Arial"/>
          <w:sz w:val="20"/>
          <w:szCs w:val="20"/>
        </w:rPr>
        <w:t xml:space="preserve"> et al. </w:t>
      </w:r>
      <w:r w:rsidRPr="00A97719">
        <w:rPr>
          <w:rFonts w:ascii="Arial" w:hAnsi="Arial" w:cs="Arial"/>
          <w:sz w:val="20"/>
          <w:szCs w:val="20"/>
        </w:rPr>
        <w:t xml:space="preserve">(2016) observed that temperatures above 30 °C significantly reduced radial growth in </w:t>
      </w:r>
      <w:r w:rsidRPr="00A97719">
        <w:rPr>
          <w:rFonts w:ascii="Arial" w:hAnsi="Arial" w:cs="Arial"/>
          <w:i/>
          <w:iCs/>
          <w:sz w:val="20"/>
          <w:szCs w:val="20"/>
        </w:rPr>
        <w:t>B. bassiana</w:t>
      </w:r>
      <w:r w:rsidRPr="00A97719">
        <w:rPr>
          <w:rFonts w:ascii="Arial" w:hAnsi="Arial" w:cs="Arial"/>
          <w:sz w:val="20"/>
          <w:szCs w:val="20"/>
        </w:rPr>
        <w:t xml:space="preserve"> isolates. Ouedraogo et al. (1997) documented pronounced declines in radial growth of </w:t>
      </w:r>
      <w:r w:rsidRPr="00A97719">
        <w:rPr>
          <w:rFonts w:ascii="Arial" w:hAnsi="Arial" w:cs="Arial"/>
          <w:i/>
          <w:iCs/>
          <w:sz w:val="20"/>
          <w:szCs w:val="20"/>
        </w:rPr>
        <w:t>M. anisopliae</w:t>
      </w:r>
      <w:r w:rsidRPr="00A97719">
        <w:rPr>
          <w:rFonts w:ascii="Arial" w:hAnsi="Arial" w:cs="Arial"/>
          <w:sz w:val="20"/>
          <w:szCs w:val="20"/>
        </w:rPr>
        <w:t xml:space="preserve"> and </w:t>
      </w:r>
      <w:r w:rsidRPr="00A97719">
        <w:rPr>
          <w:rFonts w:ascii="Arial" w:hAnsi="Arial" w:cs="Arial"/>
          <w:i/>
          <w:iCs/>
          <w:sz w:val="20"/>
          <w:szCs w:val="20"/>
        </w:rPr>
        <w:t xml:space="preserve">M. </w:t>
      </w:r>
      <w:proofErr w:type="spellStart"/>
      <w:r w:rsidRPr="00A97719">
        <w:rPr>
          <w:rFonts w:ascii="Arial" w:hAnsi="Arial" w:cs="Arial"/>
          <w:i/>
          <w:iCs/>
          <w:sz w:val="20"/>
          <w:szCs w:val="20"/>
        </w:rPr>
        <w:t>flavoviride</w:t>
      </w:r>
      <w:proofErr w:type="spellEnd"/>
      <w:r w:rsidRPr="00A97719">
        <w:rPr>
          <w:rFonts w:ascii="Arial" w:hAnsi="Arial" w:cs="Arial"/>
          <w:sz w:val="20"/>
          <w:szCs w:val="20"/>
        </w:rPr>
        <w:t xml:space="preserve"> at temperatures above 28 °C, while </w:t>
      </w:r>
      <w:proofErr w:type="spellStart"/>
      <w:r w:rsidRPr="00A97719">
        <w:rPr>
          <w:rFonts w:ascii="Arial" w:hAnsi="Arial" w:cs="Arial"/>
          <w:sz w:val="20"/>
          <w:szCs w:val="20"/>
        </w:rPr>
        <w:t>Omuse</w:t>
      </w:r>
      <w:proofErr w:type="spellEnd"/>
      <w:r w:rsidRPr="00A97719">
        <w:rPr>
          <w:rFonts w:ascii="Arial" w:hAnsi="Arial" w:cs="Arial"/>
          <w:sz w:val="20"/>
          <w:szCs w:val="20"/>
        </w:rPr>
        <w:t xml:space="preserve"> et al. (2022) reported rapid declines in fungal growth near upper thermal thresholds of 35–42 °C.</w:t>
      </w:r>
    </w:p>
    <w:p w14:paraId="492929CB" w14:textId="77777777" w:rsidR="00A97719" w:rsidRDefault="00A97719" w:rsidP="00A97719">
      <w:pPr>
        <w:spacing w:line="360" w:lineRule="auto"/>
        <w:jc w:val="both"/>
        <w:rPr>
          <w:sz w:val="24"/>
          <w:szCs w:val="24"/>
        </w:rPr>
      </w:pPr>
    </w:p>
    <w:p w14:paraId="6AB7E3E0" w14:textId="23352716" w:rsidR="00CC1A56" w:rsidRPr="00A97719" w:rsidRDefault="00A97719" w:rsidP="00A97719">
      <w:pPr>
        <w:spacing w:line="360" w:lineRule="auto"/>
        <w:jc w:val="both"/>
        <w:rPr>
          <w:rFonts w:ascii="Arial" w:hAnsi="Arial" w:cs="Arial"/>
          <w:b/>
          <w:bCs/>
          <w:sz w:val="16"/>
          <w:szCs w:val="16"/>
        </w:rPr>
        <w:sectPr w:rsidR="00CC1A56" w:rsidRPr="00A97719" w:rsidSect="00940B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A97719">
        <w:rPr>
          <w:rFonts w:ascii="Arial" w:hAnsi="Arial" w:cs="Arial"/>
          <w:b/>
          <w:bCs/>
          <w:noProof/>
          <w:sz w:val="20"/>
          <w:szCs w:val="20"/>
        </w:rPr>
        <w:lastRenderedPageBreak/>
        <w:drawing>
          <wp:anchor distT="0" distB="0" distL="114300" distR="114300" simplePos="0" relativeHeight="251658240" behindDoc="1" locked="0" layoutInCell="1" allowOverlap="1" wp14:anchorId="0530384E" wp14:editId="5A4D1058">
            <wp:simplePos x="0" y="0"/>
            <wp:positionH relativeFrom="column">
              <wp:posOffset>-241300</wp:posOffset>
            </wp:positionH>
            <wp:positionV relativeFrom="paragraph">
              <wp:posOffset>0</wp:posOffset>
            </wp:positionV>
            <wp:extent cx="5731510" cy="2709407"/>
            <wp:effectExtent l="0" t="0" r="2540" b="0"/>
            <wp:wrapTight wrapText="bothSides">
              <wp:wrapPolygon edited="0">
                <wp:start x="0" y="0"/>
                <wp:lineTo x="0" y="21418"/>
                <wp:lineTo x="21538" y="21418"/>
                <wp:lineTo x="21538" y="0"/>
                <wp:lineTo x="0" y="0"/>
              </wp:wrapPolygon>
            </wp:wrapTight>
            <wp:docPr id="2950977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709407"/>
                    </a:xfrm>
                    <a:prstGeom prst="rect">
                      <a:avLst/>
                    </a:prstGeom>
                  </pic:spPr>
                </pic:pic>
              </a:graphicData>
            </a:graphic>
          </wp:anchor>
        </w:drawing>
      </w:r>
      <w:r w:rsidR="00CC1A56" w:rsidRPr="00A97719">
        <w:rPr>
          <w:rFonts w:ascii="Arial" w:hAnsi="Arial" w:cs="Arial"/>
          <w:b/>
          <w:bCs/>
          <w:sz w:val="20"/>
          <w:szCs w:val="20"/>
        </w:rPr>
        <w:t>Fig</w:t>
      </w:r>
      <w:r w:rsidR="000E2560" w:rsidRPr="00A97719">
        <w:rPr>
          <w:rFonts w:ascii="Arial" w:hAnsi="Arial" w:cs="Arial"/>
          <w:b/>
          <w:bCs/>
          <w:sz w:val="20"/>
          <w:szCs w:val="20"/>
        </w:rPr>
        <w:t xml:space="preserve">ure </w:t>
      </w:r>
      <w:r w:rsidR="00CC1A56" w:rsidRPr="00A97719">
        <w:rPr>
          <w:rFonts w:ascii="Arial" w:hAnsi="Arial" w:cs="Arial"/>
          <w:b/>
          <w:bCs/>
          <w:sz w:val="20"/>
          <w:szCs w:val="20"/>
        </w:rPr>
        <w:t>1</w:t>
      </w:r>
      <w:r w:rsidR="000E2560" w:rsidRPr="00A97719">
        <w:rPr>
          <w:rFonts w:ascii="Arial" w:hAnsi="Arial" w:cs="Arial"/>
          <w:b/>
          <w:bCs/>
          <w:sz w:val="20"/>
          <w:szCs w:val="20"/>
        </w:rPr>
        <w:t xml:space="preserve">. </w:t>
      </w:r>
      <w:r w:rsidR="00CC1A56" w:rsidRPr="00A97719">
        <w:rPr>
          <w:rFonts w:ascii="Arial" w:hAnsi="Arial" w:cs="Arial"/>
          <w:b/>
          <w:bCs/>
          <w:sz w:val="20"/>
          <w:szCs w:val="20"/>
        </w:rPr>
        <w:t xml:space="preserve"> Fungal</w:t>
      </w:r>
      <w:r w:rsidR="00CC1A56" w:rsidRPr="00A97719">
        <w:rPr>
          <w:rFonts w:ascii="Arial" w:hAnsi="Arial" w:cs="Arial"/>
          <w:b/>
          <w:bCs/>
          <w:spacing w:val="17"/>
          <w:sz w:val="20"/>
          <w:szCs w:val="20"/>
        </w:rPr>
        <w:t xml:space="preserve"> </w:t>
      </w:r>
      <w:r w:rsidR="00CC1A56" w:rsidRPr="00A97719">
        <w:rPr>
          <w:rFonts w:ascii="Arial" w:hAnsi="Arial" w:cs="Arial"/>
          <w:b/>
          <w:bCs/>
          <w:sz w:val="20"/>
          <w:szCs w:val="20"/>
        </w:rPr>
        <w:t>radial growth</w:t>
      </w:r>
      <w:r w:rsidR="00F35DEE" w:rsidRPr="00A97719">
        <w:rPr>
          <w:rFonts w:ascii="Arial" w:hAnsi="Arial" w:cs="Arial"/>
          <w:b/>
          <w:bCs/>
          <w:spacing w:val="9"/>
          <w:sz w:val="20"/>
          <w:szCs w:val="20"/>
        </w:rPr>
        <w:t xml:space="preserve"> of different strains </w:t>
      </w:r>
      <w:r w:rsidR="00CC1A56" w:rsidRPr="00A97719">
        <w:rPr>
          <w:rFonts w:ascii="Arial" w:hAnsi="Arial" w:cs="Arial"/>
          <w:b/>
          <w:bCs/>
          <w:sz w:val="20"/>
          <w:szCs w:val="20"/>
        </w:rPr>
        <w:t>at</w:t>
      </w:r>
      <w:r w:rsidR="00CC1A56" w:rsidRPr="00A97719">
        <w:rPr>
          <w:rFonts w:ascii="Arial" w:hAnsi="Arial" w:cs="Arial"/>
          <w:b/>
          <w:bCs/>
          <w:spacing w:val="8"/>
          <w:sz w:val="20"/>
          <w:szCs w:val="20"/>
        </w:rPr>
        <w:t xml:space="preserve"> </w:t>
      </w:r>
      <w:r w:rsidR="00CC1A56" w:rsidRPr="00A97719">
        <w:rPr>
          <w:rFonts w:ascii="Arial" w:hAnsi="Arial" w:cs="Arial"/>
          <w:b/>
          <w:bCs/>
          <w:sz w:val="20"/>
          <w:szCs w:val="20"/>
        </w:rPr>
        <w:t>3</w:t>
      </w:r>
      <w:r w:rsidR="00CC1A56" w:rsidRPr="00A97719">
        <w:rPr>
          <w:rFonts w:ascii="Arial" w:hAnsi="Arial" w:cs="Arial"/>
          <w:b/>
          <w:bCs/>
          <w:sz w:val="20"/>
          <w:szCs w:val="20"/>
          <w:vertAlign w:val="superscript"/>
        </w:rPr>
        <w:t>rd</w:t>
      </w:r>
      <w:r w:rsidR="00CC1A56" w:rsidRPr="00A97719">
        <w:rPr>
          <w:rFonts w:ascii="Arial" w:hAnsi="Arial" w:cs="Arial"/>
          <w:b/>
          <w:bCs/>
          <w:sz w:val="20"/>
          <w:szCs w:val="20"/>
        </w:rPr>
        <w:t>,</w:t>
      </w:r>
      <w:r w:rsidR="00CC1A56" w:rsidRPr="00A97719">
        <w:rPr>
          <w:rFonts w:ascii="Arial" w:hAnsi="Arial" w:cs="Arial"/>
          <w:b/>
          <w:bCs/>
          <w:spacing w:val="16"/>
          <w:sz w:val="20"/>
          <w:szCs w:val="20"/>
        </w:rPr>
        <w:t xml:space="preserve"> </w:t>
      </w:r>
      <w:r w:rsidR="00CC1A56" w:rsidRPr="00A97719">
        <w:rPr>
          <w:rFonts w:ascii="Arial" w:hAnsi="Arial" w:cs="Arial"/>
          <w:b/>
          <w:bCs/>
          <w:sz w:val="20"/>
          <w:szCs w:val="20"/>
        </w:rPr>
        <w:t>7</w:t>
      </w:r>
      <w:r w:rsidR="00CC1A56" w:rsidRPr="00A97719">
        <w:rPr>
          <w:rFonts w:ascii="Arial" w:hAnsi="Arial" w:cs="Arial"/>
          <w:b/>
          <w:bCs/>
          <w:sz w:val="20"/>
          <w:szCs w:val="20"/>
          <w:vertAlign w:val="superscript"/>
        </w:rPr>
        <w:t>th</w:t>
      </w:r>
      <w:r w:rsidR="00CC1A56" w:rsidRPr="00A97719">
        <w:rPr>
          <w:rFonts w:ascii="Arial" w:hAnsi="Arial" w:cs="Arial"/>
          <w:b/>
          <w:bCs/>
          <w:spacing w:val="14"/>
          <w:sz w:val="20"/>
          <w:szCs w:val="20"/>
        </w:rPr>
        <w:t xml:space="preserve"> </w:t>
      </w:r>
      <w:r w:rsidR="00CC1A56" w:rsidRPr="00A97719">
        <w:rPr>
          <w:rFonts w:ascii="Arial" w:hAnsi="Arial" w:cs="Arial"/>
          <w:b/>
          <w:bCs/>
          <w:sz w:val="20"/>
          <w:szCs w:val="20"/>
        </w:rPr>
        <w:t>and</w:t>
      </w:r>
      <w:r w:rsidR="00CC1A56" w:rsidRPr="00A97719">
        <w:rPr>
          <w:rFonts w:ascii="Arial" w:hAnsi="Arial" w:cs="Arial"/>
          <w:b/>
          <w:bCs/>
          <w:spacing w:val="7"/>
          <w:sz w:val="20"/>
          <w:szCs w:val="20"/>
        </w:rPr>
        <w:t xml:space="preserve"> </w:t>
      </w:r>
      <w:r w:rsidR="00CC1A56" w:rsidRPr="00A97719">
        <w:rPr>
          <w:rFonts w:ascii="Arial" w:hAnsi="Arial" w:cs="Arial"/>
          <w:b/>
          <w:bCs/>
          <w:sz w:val="20"/>
          <w:szCs w:val="20"/>
        </w:rPr>
        <w:t>14</w:t>
      </w:r>
      <w:r w:rsidR="00CC1A56" w:rsidRPr="00A97719">
        <w:rPr>
          <w:rFonts w:ascii="Arial" w:hAnsi="Arial" w:cs="Arial"/>
          <w:b/>
          <w:bCs/>
          <w:sz w:val="20"/>
          <w:szCs w:val="20"/>
          <w:vertAlign w:val="superscript"/>
        </w:rPr>
        <w:t>th</w:t>
      </w:r>
      <w:r w:rsidR="00CC1A56" w:rsidRPr="00A97719">
        <w:rPr>
          <w:rFonts w:ascii="Arial" w:hAnsi="Arial" w:cs="Arial"/>
          <w:b/>
          <w:bCs/>
          <w:spacing w:val="15"/>
          <w:sz w:val="20"/>
          <w:szCs w:val="20"/>
        </w:rPr>
        <w:t xml:space="preserve"> </w:t>
      </w:r>
      <w:r w:rsidR="00CC1A56" w:rsidRPr="00A97719">
        <w:rPr>
          <w:rFonts w:ascii="Arial" w:hAnsi="Arial" w:cs="Arial"/>
          <w:b/>
          <w:bCs/>
          <w:sz w:val="20"/>
          <w:szCs w:val="20"/>
        </w:rPr>
        <w:t>after</w:t>
      </w:r>
      <w:r w:rsidR="00CC1A56" w:rsidRPr="00A97719">
        <w:rPr>
          <w:rFonts w:ascii="Arial" w:hAnsi="Arial" w:cs="Arial"/>
          <w:b/>
          <w:bCs/>
          <w:spacing w:val="20"/>
          <w:sz w:val="20"/>
          <w:szCs w:val="20"/>
        </w:rPr>
        <w:t xml:space="preserve"> </w:t>
      </w:r>
      <w:r w:rsidR="00CC1A56" w:rsidRPr="00A97719">
        <w:rPr>
          <w:rFonts w:ascii="Arial" w:hAnsi="Arial" w:cs="Arial"/>
          <w:b/>
          <w:bCs/>
          <w:sz w:val="20"/>
          <w:szCs w:val="20"/>
        </w:rPr>
        <w:t>inoculation</w:t>
      </w:r>
      <w:r w:rsidR="00CC1A56" w:rsidRPr="00A97719">
        <w:rPr>
          <w:rFonts w:ascii="Arial" w:hAnsi="Arial" w:cs="Arial"/>
          <w:b/>
          <w:bCs/>
          <w:spacing w:val="10"/>
          <w:sz w:val="20"/>
          <w:szCs w:val="20"/>
        </w:rPr>
        <w:t xml:space="preserve"> </w:t>
      </w:r>
      <w:r w:rsidR="00CC1A56" w:rsidRPr="00A97719">
        <w:rPr>
          <w:rFonts w:ascii="Arial" w:hAnsi="Arial" w:cs="Arial"/>
          <w:b/>
          <w:bCs/>
          <w:sz w:val="20"/>
          <w:szCs w:val="20"/>
        </w:rPr>
        <w:t>(DAI)</w:t>
      </w:r>
      <w:r w:rsidR="00CC1A56" w:rsidRPr="00A97719">
        <w:rPr>
          <w:rFonts w:ascii="Arial" w:hAnsi="Arial" w:cs="Arial"/>
          <w:b/>
          <w:bCs/>
          <w:spacing w:val="10"/>
          <w:sz w:val="20"/>
          <w:szCs w:val="20"/>
        </w:rPr>
        <w:t xml:space="preserve"> </w:t>
      </w:r>
      <w:r w:rsidR="00CC1A56" w:rsidRPr="00A97719">
        <w:rPr>
          <w:rFonts w:ascii="Arial" w:hAnsi="Arial" w:cs="Arial"/>
          <w:b/>
          <w:bCs/>
          <w:sz w:val="20"/>
          <w:szCs w:val="20"/>
        </w:rPr>
        <w:t>in</w:t>
      </w:r>
      <w:r w:rsidR="00CC1A56" w:rsidRPr="00A97719">
        <w:rPr>
          <w:rFonts w:ascii="Arial" w:hAnsi="Arial" w:cs="Arial"/>
          <w:b/>
          <w:bCs/>
          <w:spacing w:val="-2"/>
          <w:sz w:val="20"/>
          <w:szCs w:val="20"/>
        </w:rPr>
        <w:t xml:space="preserve"> </w:t>
      </w:r>
      <w:r w:rsidR="00CC1A56" w:rsidRPr="00A97719">
        <w:rPr>
          <w:rFonts w:ascii="Arial" w:hAnsi="Arial" w:cs="Arial"/>
          <w:b/>
          <w:bCs/>
          <w:sz w:val="20"/>
          <w:szCs w:val="20"/>
        </w:rPr>
        <w:t>varying</w:t>
      </w:r>
      <w:r w:rsidR="00CC1A56" w:rsidRPr="00A97719">
        <w:rPr>
          <w:rFonts w:ascii="Arial" w:hAnsi="Arial" w:cs="Arial"/>
          <w:b/>
          <w:bCs/>
          <w:spacing w:val="9"/>
          <w:sz w:val="20"/>
          <w:szCs w:val="20"/>
        </w:rPr>
        <w:t xml:space="preserve"> </w:t>
      </w:r>
      <w:r w:rsidR="00CC1A56" w:rsidRPr="00A97719">
        <w:rPr>
          <w:rFonts w:ascii="Arial" w:hAnsi="Arial" w:cs="Arial"/>
          <w:b/>
          <w:bCs/>
          <w:spacing w:val="-2"/>
          <w:sz w:val="20"/>
          <w:szCs w:val="20"/>
        </w:rPr>
        <w:t>temperature</w:t>
      </w:r>
    </w:p>
    <w:p w14:paraId="29447978" w14:textId="1C0A7F5C" w:rsidR="00CC1A56" w:rsidRPr="00A97719" w:rsidRDefault="00CC1A56" w:rsidP="00CC1A56">
      <w:pPr>
        <w:pStyle w:val="BodyText"/>
        <w:spacing w:before="236"/>
        <w:ind w:right="491"/>
        <w:jc w:val="center"/>
        <w:rPr>
          <w:sz w:val="22"/>
          <w:szCs w:val="22"/>
        </w:rPr>
      </w:pPr>
      <w:r w:rsidRPr="00A97719">
        <w:rPr>
          <w:sz w:val="22"/>
          <w:szCs w:val="22"/>
        </w:rPr>
        <w:lastRenderedPageBreak/>
        <w:t>Table</w:t>
      </w:r>
      <w:r w:rsidRPr="00A97719">
        <w:rPr>
          <w:spacing w:val="16"/>
          <w:sz w:val="22"/>
          <w:szCs w:val="22"/>
        </w:rPr>
        <w:t xml:space="preserve"> </w:t>
      </w:r>
      <w:r w:rsidRPr="00A97719">
        <w:rPr>
          <w:sz w:val="22"/>
          <w:szCs w:val="22"/>
        </w:rPr>
        <w:t>1.</w:t>
      </w:r>
      <w:r w:rsidRPr="00A97719">
        <w:rPr>
          <w:spacing w:val="8"/>
          <w:sz w:val="22"/>
          <w:szCs w:val="22"/>
        </w:rPr>
        <w:t xml:space="preserve"> </w:t>
      </w:r>
      <w:r w:rsidRPr="00A97719">
        <w:rPr>
          <w:sz w:val="22"/>
          <w:szCs w:val="22"/>
        </w:rPr>
        <w:t>Temperature</w:t>
      </w:r>
      <w:r w:rsidRPr="00A97719">
        <w:rPr>
          <w:spacing w:val="18"/>
          <w:sz w:val="22"/>
          <w:szCs w:val="22"/>
        </w:rPr>
        <w:t xml:space="preserve"> </w:t>
      </w:r>
      <w:r w:rsidRPr="00A97719">
        <w:rPr>
          <w:sz w:val="22"/>
          <w:szCs w:val="22"/>
        </w:rPr>
        <w:t>effect</w:t>
      </w:r>
      <w:r w:rsidRPr="00A97719">
        <w:rPr>
          <w:spacing w:val="19"/>
          <w:sz w:val="22"/>
          <w:szCs w:val="22"/>
        </w:rPr>
        <w:t xml:space="preserve"> </w:t>
      </w:r>
      <w:r w:rsidRPr="00A97719">
        <w:rPr>
          <w:sz w:val="22"/>
          <w:szCs w:val="22"/>
        </w:rPr>
        <w:t>on</w:t>
      </w:r>
      <w:r w:rsidRPr="00A97719">
        <w:rPr>
          <w:spacing w:val="17"/>
          <w:sz w:val="22"/>
          <w:szCs w:val="22"/>
        </w:rPr>
        <w:t xml:space="preserve"> </w:t>
      </w:r>
      <w:r w:rsidRPr="00A97719">
        <w:rPr>
          <w:sz w:val="22"/>
          <w:szCs w:val="22"/>
        </w:rPr>
        <w:t>fungal</w:t>
      </w:r>
      <w:r w:rsidRPr="00A97719">
        <w:rPr>
          <w:spacing w:val="9"/>
          <w:sz w:val="22"/>
          <w:szCs w:val="22"/>
        </w:rPr>
        <w:t xml:space="preserve"> </w:t>
      </w:r>
      <w:r w:rsidRPr="00A97719">
        <w:rPr>
          <w:sz w:val="22"/>
          <w:szCs w:val="22"/>
        </w:rPr>
        <w:t>radial</w:t>
      </w:r>
      <w:r w:rsidRPr="00A97719">
        <w:rPr>
          <w:spacing w:val="19"/>
          <w:sz w:val="22"/>
          <w:szCs w:val="22"/>
        </w:rPr>
        <w:t xml:space="preserve"> </w:t>
      </w:r>
      <w:r w:rsidRPr="00A97719">
        <w:rPr>
          <w:sz w:val="22"/>
          <w:szCs w:val="22"/>
        </w:rPr>
        <w:t>growth</w:t>
      </w:r>
      <w:r w:rsidRPr="00A97719">
        <w:rPr>
          <w:spacing w:val="18"/>
          <w:sz w:val="22"/>
          <w:szCs w:val="22"/>
        </w:rPr>
        <w:t xml:space="preserve"> </w:t>
      </w:r>
      <w:r w:rsidRPr="00A97719">
        <w:rPr>
          <w:sz w:val="22"/>
          <w:szCs w:val="22"/>
        </w:rPr>
        <w:t>at</w:t>
      </w:r>
      <w:r w:rsidRPr="00A97719">
        <w:rPr>
          <w:spacing w:val="19"/>
          <w:sz w:val="22"/>
          <w:szCs w:val="22"/>
        </w:rPr>
        <w:t xml:space="preserve"> 3</w:t>
      </w:r>
      <w:r w:rsidRPr="00A97719">
        <w:rPr>
          <w:spacing w:val="19"/>
          <w:sz w:val="22"/>
          <w:szCs w:val="22"/>
          <w:vertAlign w:val="superscript"/>
        </w:rPr>
        <w:t>rd</w:t>
      </w:r>
      <w:r w:rsidRPr="00A97719">
        <w:rPr>
          <w:spacing w:val="19"/>
          <w:sz w:val="22"/>
          <w:szCs w:val="22"/>
        </w:rPr>
        <w:t>, 7</w:t>
      </w:r>
      <w:r w:rsidRPr="00A97719">
        <w:rPr>
          <w:spacing w:val="19"/>
          <w:sz w:val="22"/>
          <w:szCs w:val="22"/>
          <w:vertAlign w:val="superscript"/>
        </w:rPr>
        <w:t>th</w:t>
      </w:r>
      <w:r w:rsidRPr="00A97719">
        <w:rPr>
          <w:spacing w:val="19"/>
          <w:sz w:val="22"/>
          <w:szCs w:val="22"/>
        </w:rPr>
        <w:t xml:space="preserve"> </w:t>
      </w:r>
      <w:r w:rsidRPr="00A97719">
        <w:rPr>
          <w:sz w:val="22"/>
          <w:szCs w:val="22"/>
        </w:rPr>
        <w:t>and</w:t>
      </w:r>
      <w:r w:rsidRPr="00A97719">
        <w:rPr>
          <w:spacing w:val="9"/>
          <w:sz w:val="22"/>
          <w:szCs w:val="22"/>
        </w:rPr>
        <w:t xml:space="preserve"> 14</w:t>
      </w:r>
      <w:r w:rsidRPr="00A97719">
        <w:rPr>
          <w:spacing w:val="9"/>
          <w:sz w:val="22"/>
          <w:szCs w:val="22"/>
          <w:vertAlign w:val="superscript"/>
        </w:rPr>
        <w:t>th</w:t>
      </w:r>
      <w:r w:rsidRPr="00A97719">
        <w:rPr>
          <w:spacing w:val="9"/>
          <w:sz w:val="22"/>
          <w:szCs w:val="22"/>
        </w:rPr>
        <w:t xml:space="preserve"> </w:t>
      </w:r>
      <w:r w:rsidRPr="00A97719">
        <w:rPr>
          <w:sz w:val="22"/>
          <w:szCs w:val="22"/>
        </w:rPr>
        <w:t>days</w:t>
      </w:r>
      <w:r w:rsidRPr="00A97719">
        <w:rPr>
          <w:spacing w:val="8"/>
          <w:sz w:val="22"/>
          <w:szCs w:val="22"/>
        </w:rPr>
        <w:t xml:space="preserve"> </w:t>
      </w:r>
      <w:r w:rsidRPr="00A97719">
        <w:rPr>
          <w:sz w:val="22"/>
          <w:szCs w:val="22"/>
        </w:rPr>
        <w:t>after</w:t>
      </w:r>
      <w:r w:rsidRPr="00A97719">
        <w:rPr>
          <w:spacing w:val="11"/>
          <w:sz w:val="22"/>
          <w:szCs w:val="22"/>
        </w:rPr>
        <w:t xml:space="preserve"> </w:t>
      </w:r>
      <w:r w:rsidRPr="00A97719">
        <w:rPr>
          <w:sz w:val="22"/>
          <w:szCs w:val="22"/>
        </w:rPr>
        <w:t>inoculation</w:t>
      </w:r>
      <w:r w:rsidRPr="00A97719">
        <w:rPr>
          <w:spacing w:val="11"/>
          <w:sz w:val="22"/>
          <w:szCs w:val="22"/>
        </w:rPr>
        <w:t xml:space="preserve"> </w:t>
      </w:r>
      <w:r w:rsidRPr="00A97719">
        <w:rPr>
          <w:spacing w:val="-2"/>
          <w:sz w:val="22"/>
          <w:szCs w:val="22"/>
        </w:rPr>
        <w:t>(DAI)</w:t>
      </w:r>
    </w:p>
    <w:p w14:paraId="42F4B6E0" w14:textId="77777777" w:rsidR="00CC1A56" w:rsidRPr="00471E82" w:rsidRDefault="00CC1A56" w:rsidP="00CC1A56">
      <w:pPr>
        <w:pStyle w:val="BodyText"/>
        <w:spacing w:before="1"/>
        <w:rPr>
          <w:sz w:val="24"/>
          <w:szCs w:val="24"/>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84"/>
        <w:gridCol w:w="731"/>
        <w:gridCol w:w="657"/>
        <w:gridCol w:w="719"/>
        <w:gridCol w:w="887"/>
        <w:gridCol w:w="552"/>
        <w:gridCol w:w="695"/>
        <w:gridCol w:w="621"/>
        <w:gridCol w:w="695"/>
        <w:gridCol w:w="887"/>
        <w:gridCol w:w="550"/>
        <w:gridCol w:w="657"/>
        <w:gridCol w:w="695"/>
        <w:gridCol w:w="687"/>
        <w:gridCol w:w="879"/>
        <w:gridCol w:w="562"/>
      </w:tblGrid>
      <w:tr w:rsidR="00CC1A56" w:rsidRPr="00A97719" w14:paraId="13CB22D9" w14:textId="77777777" w:rsidTr="00F2643D">
        <w:trPr>
          <w:trHeight w:val="20"/>
        </w:trPr>
        <w:tc>
          <w:tcPr>
            <w:tcW w:w="0" w:type="auto"/>
            <w:vMerge w:val="restart"/>
            <w:vAlign w:val="center"/>
          </w:tcPr>
          <w:p w14:paraId="411897C0" w14:textId="77777777" w:rsidR="00CC1A56" w:rsidRPr="00A97719" w:rsidRDefault="00CC1A56" w:rsidP="004677B3">
            <w:pPr>
              <w:pStyle w:val="TableParagraph"/>
              <w:spacing w:before="222" w:line="276" w:lineRule="auto"/>
              <w:ind w:left="405" w:hanging="389"/>
              <w:rPr>
                <w:rFonts w:ascii="Arial" w:hAnsi="Arial" w:cs="Arial"/>
                <w:b/>
                <w:sz w:val="20"/>
                <w:szCs w:val="20"/>
              </w:rPr>
            </w:pPr>
            <w:r w:rsidRPr="00A97719">
              <w:rPr>
                <w:rFonts w:ascii="Arial" w:hAnsi="Arial" w:cs="Arial"/>
                <w:b/>
                <w:spacing w:val="-2"/>
                <w:sz w:val="20"/>
                <w:szCs w:val="20"/>
              </w:rPr>
              <w:t xml:space="preserve">Temperatures </w:t>
            </w:r>
            <w:r w:rsidRPr="00A97719">
              <w:rPr>
                <w:rFonts w:ascii="Arial" w:hAnsi="Arial" w:cs="Arial"/>
                <w:b/>
                <w:w w:val="105"/>
                <w:sz w:val="20"/>
                <w:szCs w:val="20"/>
              </w:rPr>
              <w:t>(˚C)</w:t>
            </w:r>
            <w:r w:rsidRPr="00A97719">
              <w:rPr>
                <w:rFonts w:ascii="Arial" w:hAnsi="Arial" w:cs="Arial"/>
                <w:b/>
                <w:spacing w:val="-6"/>
                <w:w w:val="105"/>
                <w:sz w:val="20"/>
                <w:szCs w:val="20"/>
              </w:rPr>
              <w:t xml:space="preserve"> </w:t>
            </w:r>
            <w:r w:rsidRPr="00A97719">
              <w:rPr>
                <w:rFonts w:ascii="Arial" w:hAnsi="Arial" w:cs="Arial"/>
                <w:b/>
                <w:w w:val="105"/>
                <w:sz w:val="20"/>
                <w:szCs w:val="20"/>
              </w:rPr>
              <w:t>(A)</w:t>
            </w:r>
          </w:p>
        </w:tc>
        <w:tc>
          <w:tcPr>
            <w:tcW w:w="0" w:type="auto"/>
            <w:gridSpan w:val="15"/>
            <w:vAlign w:val="center"/>
          </w:tcPr>
          <w:p w14:paraId="67827B90" w14:textId="5CFABF7E" w:rsidR="00CC1A56" w:rsidRPr="00A97719" w:rsidRDefault="00CC1A56" w:rsidP="004677B3">
            <w:pPr>
              <w:pStyle w:val="TableParagraph"/>
              <w:spacing w:before="6" w:line="276" w:lineRule="auto"/>
              <w:ind w:left="3"/>
              <w:rPr>
                <w:rFonts w:ascii="Arial" w:hAnsi="Arial" w:cs="Arial"/>
                <w:b/>
                <w:sz w:val="20"/>
                <w:szCs w:val="20"/>
              </w:rPr>
            </w:pPr>
            <w:r w:rsidRPr="00A97719">
              <w:rPr>
                <w:rFonts w:ascii="Arial" w:hAnsi="Arial" w:cs="Arial"/>
                <w:b/>
                <w:sz w:val="20"/>
                <w:szCs w:val="20"/>
              </w:rPr>
              <w:t>Fungal</w:t>
            </w:r>
            <w:r w:rsidRPr="00A97719">
              <w:rPr>
                <w:rFonts w:ascii="Arial" w:hAnsi="Arial" w:cs="Arial"/>
                <w:b/>
                <w:spacing w:val="15"/>
                <w:sz w:val="20"/>
                <w:szCs w:val="20"/>
              </w:rPr>
              <w:t xml:space="preserve"> </w:t>
            </w:r>
            <w:r w:rsidRPr="00A97719">
              <w:rPr>
                <w:rFonts w:ascii="Arial" w:hAnsi="Arial" w:cs="Arial"/>
                <w:b/>
                <w:sz w:val="20"/>
                <w:szCs w:val="20"/>
              </w:rPr>
              <w:t>radial</w:t>
            </w:r>
            <w:r w:rsidRPr="00A97719">
              <w:rPr>
                <w:rFonts w:ascii="Arial" w:hAnsi="Arial" w:cs="Arial"/>
                <w:b/>
                <w:spacing w:val="15"/>
                <w:sz w:val="20"/>
                <w:szCs w:val="20"/>
              </w:rPr>
              <w:t xml:space="preserve"> </w:t>
            </w:r>
            <w:r w:rsidRPr="00A97719">
              <w:rPr>
                <w:rFonts w:ascii="Arial" w:hAnsi="Arial" w:cs="Arial"/>
                <w:b/>
                <w:sz w:val="20"/>
                <w:szCs w:val="20"/>
              </w:rPr>
              <w:t>growth</w:t>
            </w:r>
            <w:r w:rsidR="00167698" w:rsidRPr="00A97719">
              <w:rPr>
                <w:rFonts w:ascii="Arial" w:hAnsi="Arial" w:cs="Arial"/>
                <w:b/>
                <w:sz w:val="20"/>
                <w:szCs w:val="20"/>
              </w:rPr>
              <w:t xml:space="preserve"> of different strains </w:t>
            </w:r>
            <w:r w:rsidRPr="00A97719">
              <w:rPr>
                <w:rFonts w:ascii="Arial" w:hAnsi="Arial" w:cs="Arial"/>
                <w:b/>
                <w:sz w:val="20"/>
                <w:szCs w:val="20"/>
              </w:rPr>
              <w:t>(mm)</w:t>
            </w:r>
            <w:r w:rsidRPr="00A97719">
              <w:rPr>
                <w:rFonts w:ascii="Arial" w:hAnsi="Arial" w:cs="Arial"/>
                <w:b/>
                <w:spacing w:val="15"/>
                <w:sz w:val="20"/>
                <w:szCs w:val="20"/>
              </w:rPr>
              <w:t xml:space="preserve"> </w:t>
            </w:r>
            <w:r w:rsidRPr="00A97719">
              <w:rPr>
                <w:rFonts w:ascii="Arial" w:hAnsi="Arial" w:cs="Arial"/>
                <w:b/>
                <w:spacing w:val="-5"/>
                <w:sz w:val="20"/>
                <w:szCs w:val="20"/>
              </w:rPr>
              <w:t>at different DAI</w:t>
            </w:r>
            <w:r w:rsidR="00167698" w:rsidRPr="00A97719">
              <w:rPr>
                <w:rFonts w:ascii="Arial" w:hAnsi="Arial" w:cs="Arial"/>
                <w:b/>
                <w:spacing w:val="-5"/>
                <w:sz w:val="20"/>
                <w:szCs w:val="20"/>
              </w:rPr>
              <w:t xml:space="preserve"> (</w:t>
            </w:r>
            <w:proofErr w:type="gramStart"/>
            <w:r w:rsidR="00167698" w:rsidRPr="00A97719">
              <w:rPr>
                <w:rFonts w:ascii="Arial" w:hAnsi="Arial" w:cs="Arial"/>
                <w:b/>
                <w:spacing w:val="-5"/>
                <w:sz w:val="20"/>
                <w:szCs w:val="20"/>
              </w:rPr>
              <w:t xml:space="preserve">B) </w:t>
            </w:r>
            <w:r w:rsidRPr="00A97719">
              <w:rPr>
                <w:rFonts w:ascii="Arial" w:hAnsi="Arial" w:cs="Arial"/>
                <w:b/>
                <w:spacing w:val="-5"/>
                <w:sz w:val="20"/>
                <w:szCs w:val="20"/>
              </w:rPr>
              <w:t xml:space="preserve"> *</w:t>
            </w:r>
            <w:proofErr w:type="gramEnd"/>
          </w:p>
        </w:tc>
      </w:tr>
      <w:tr w:rsidR="00EC6819" w:rsidRPr="00A97719" w14:paraId="7DF2DCE3" w14:textId="77777777" w:rsidTr="00F2643D">
        <w:trPr>
          <w:trHeight w:val="20"/>
        </w:trPr>
        <w:tc>
          <w:tcPr>
            <w:tcW w:w="0" w:type="auto"/>
            <w:vMerge/>
            <w:tcBorders>
              <w:top w:val="nil"/>
            </w:tcBorders>
            <w:vAlign w:val="center"/>
          </w:tcPr>
          <w:p w14:paraId="7304A902" w14:textId="77777777" w:rsidR="00CC1A56" w:rsidRPr="00A97719" w:rsidRDefault="00CC1A56" w:rsidP="004677B3">
            <w:pPr>
              <w:spacing w:line="276" w:lineRule="auto"/>
              <w:jc w:val="center"/>
              <w:rPr>
                <w:rFonts w:ascii="Arial" w:hAnsi="Arial" w:cs="Arial"/>
                <w:sz w:val="20"/>
                <w:szCs w:val="20"/>
              </w:rPr>
            </w:pPr>
          </w:p>
        </w:tc>
        <w:tc>
          <w:tcPr>
            <w:tcW w:w="0" w:type="auto"/>
            <w:gridSpan w:val="5"/>
            <w:vAlign w:val="center"/>
          </w:tcPr>
          <w:p w14:paraId="14D4AB30" w14:textId="57BD3B34" w:rsidR="00CC1A56" w:rsidRPr="00A97719" w:rsidRDefault="00CC1A56" w:rsidP="004677B3">
            <w:pPr>
              <w:pStyle w:val="TableParagraph"/>
              <w:spacing w:before="0" w:line="276" w:lineRule="auto"/>
              <w:ind w:left="11"/>
              <w:rPr>
                <w:rFonts w:ascii="Arial" w:hAnsi="Arial" w:cs="Arial"/>
                <w:b/>
                <w:sz w:val="20"/>
                <w:szCs w:val="20"/>
              </w:rPr>
            </w:pPr>
            <w:r w:rsidRPr="00A97719">
              <w:rPr>
                <w:rFonts w:ascii="Arial" w:hAnsi="Arial" w:cs="Arial"/>
                <w:b/>
                <w:sz w:val="20"/>
                <w:szCs w:val="20"/>
              </w:rPr>
              <w:t>3</w:t>
            </w:r>
            <w:r w:rsidRPr="00A97719">
              <w:rPr>
                <w:rFonts w:ascii="Arial" w:hAnsi="Arial" w:cs="Arial"/>
                <w:b/>
                <w:sz w:val="20"/>
                <w:szCs w:val="20"/>
                <w:vertAlign w:val="superscript"/>
              </w:rPr>
              <w:t>rd</w:t>
            </w:r>
          </w:p>
        </w:tc>
        <w:tc>
          <w:tcPr>
            <w:tcW w:w="0" w:type="auto"/>
            <w:gridSpan w:val="5"/>
            <w:vAlign w:val="center"/>
          </w:tcPr>
          <w:p w14:paraId="3DB814D9" w14:textId="1195209F" w:rsidR="00CC1A56" w:rsidRPr="00A97719" w:rsidRDefault="00CC1A56" w:rsidP="004677B3">
            <w:pPr>
              <w:pStyle w:val="TableParagraph"/>
              <w:spacing w:before="0" w:line="276" w:lineRule="auto"/>
              <w:ind w:left="17"/>
              <w:rPr>
                <w:rFonts w:ascii="Arial" w:hAnsi="Arial" w:cs="Arial"/>
                <w:b/>
                <w:sz w:val="20"/>
                <w:szCs w:val="20"/>
              </w:rPr>
            </w:pPr>
            <w:r w:rsidRPr="00A97719">
              <w:rPr>
                <w:rFonts w:ascii="Arial" w:hAnsi="Arial" w:cs="Arial"/>
                <w:b/>
                <w:sz w:val="20"/>
                <w:szCs w:val="20"/>
              </w:rPr>
              <w:t>7</w:t>
            </w:r>
            <w:r w:rsidRPr="00A97719">
              <w:rPr>
                <w:rFonts w:ascii="Arial" w:hAnsi="Arial" w:cs="Arial"/>
                <w:b/>
                <w:sz w:val="20"/>
                <w:szCs w:val="20"/>
                <w:vertAlign w:val="superscript"/>
              </w:rPr>
              <w:t>th</w:t>
            </w:r>
          </w:p>
        </w:tc>
        <w:tc>
          <w:tcPr>
            <w:tcW w:w="0" w:type="auto"/>
            <w:gridSpan w:val="5"/>
            <w:vAlign w:val="center"/>
          </w:tcPr>
          <w:p w14:paraId="5A049C73" w14:textId="2111285D" w:rsidR="00CC1A56" w:rsidRPr="00A97719" w:rsidRDefault="00CC1A56" w:rsidP="004677B3">
            <w:pPr>
              <w:pStyle w:val="TableParagraph"/>
              <w:spacing w:before="0" w:line="276" w:lineRule="auto"/>
              <w:ind w:left="5"/>
              <w:rPr>
                <w:rFonts w:ascii="Arial" w:hAnsi="Arial" w:cs="Arial"/>
                <w:b/>
                <w:sz w:val="20"/>
                <w:szCs w:val="20"/>
              </w:rPr>
            </w:pPr>
            <w:r w:rsidRPr="00A97719">
              <w:rPr>
                <w:rFonts w:ascii="Arial" w:hAnsi="Arial" w:cs="Arial"/>
                <w:b/>
                <w:sz w:val="20"/>
                <w:szCs w:val="20"/>
              </w:rPr>
              <w:t>14</w:t>
            </w:r>
            <w:r w:rsidRPr="00A97719">
              <w:rPr>
                <w:rFonts w:ascii="Arial" w:hAnsi="Arial" w:cs="Arial"/>
                <w:b/>
                <w:sz w:val="20"/>
                <w:szCs w:val="20"/>
                <w:vertAlign w:val="superscript"/>
              </w:rPr>
              <w:t>th</w:t>
            </w:r>
          </w:p>
        </w:tc>
      </w:tr>
      <w:tr w:rsidR="00EC6819" w:rsidRPr="00A97719" w14:paraId="6F692BA0" w14:textId="77777777" w:rsidTr="00F2643D">
        <w:trPr>
          <w:trHeight w:val="20"/>
        </w:trPr>
        <w:tc>
          <w:tcPr>
            <w:tcW w:w="0" w:type="auto"/>
            <w:vMerge/>
            <w:tcBorders>
              <w:top w:val="nil"/>
            </w:tcBorders>
            <w:vAlign w:val="center"/>
          </w:tcPr>
          <w:p w14:paraId="6910ECFE" w14:textId="77777777" w:rsidR="00CC1A56" w:rsidRPr="00A97719" w:rsidRDefault="00CC1A56" w:rsidP="004677B3">
            <w:pPr>
              <w:spacing w:line="276" w:lineRule="auto"/>
              <w:jc w:val="center"/>
              <w:rPr>
                <w:rFonts w:ascii="Arial" w:hAnsi="Arial" w:cs="Arial"/>
                <w:sz w:val="20"/>
                <w:szCs w:val="20"/>
              </w:rPr>
            </w:pPr>
          </w:p>
        </w:tc>
        <w:tc>
          <w:tcPr>
            <w:tcW w:w="0" w:type="auto"/>
            <w:vAlign w:val="center"/>
          </w:tcPr>
          <w:p w14:paraId="4960C848" w14:textId="77777777" w:rsidR="00CC1A56" w:rsidRPr="00A97719" w:rsidRDefault="00CC1A56" w:rsidP="004677B3">
            <w:pPr>
              <w:pStyle w:val="TableParagraph"/>
              <w:spacing w:before="6" w:line="276" w:lineRule="auto"/>
              <w:ind w:left="8"/>
              <w:rPr>
                <w:rFonts w:ascii="Arial" w:hAnsi="Arial" w:cs="Arial"/>
                <w:b/>
                <w:sz w:val="20"/>
                <w:szCs w:val="20"/>
              </w:rPr>
            </w:pPr>
            <w:r w:rsidRPr="00A97719">
              <w:rPr>
                <w:rFonts w:ascii="Arial" w:hAnsi="Arial" w:cs="Arial"/>
                <w:b/>
                <w:spacing w:val="-5"/>
                <w:w w:val="105"/>
                <w:sz w:val="20"/>
                <w:szCs w:val="20"/>
              </w:rPr>
              <w:t>F1</w:t>
            </w:r>
          </w:p>
        </w:tc>
        <w:tc>
          <w:tcPr>
            <w:tcW w:w="0" w:type="auto"/>
            <w:vAlign w:val="center"/>
          </w:tcPr>
          <w:p w14:paraId="20F03D3D" w14:textId="77777777" w:rsidR="00CC1A56" w:rsidRPr="00A97719" w:rsidRDefault="00CC1A56" w:rsidP="004677B3">
            <w:pPr>
              <w:pStyle w:val="TableParagraph"/>
              <w:spacing w:before="6" w:line="276" w:lineRule="auto"/>
              <w:ind w:right="22"/>
              <w:rPr>
                <w:rFonts w:ascii="Arial" w:hAnsi="Arial" w:cs="Arial"/>
                <w:b/>
                <w:sz w:val="20"/>
                <w:szCs w:val="20"/>
              </w:rPr>
            </w:pPr>
            <w:r w:rsidRPr="00A97719">
              <w:rPr>
                <w:rFonts w:ascii="Arial" w:hAnsi="Arial" w:cs="Arial"/>
                <w:b/>
                <w:spacing w:val="-5"/>
                <w:w w:val="105"/>
                <w:sz w:val="20"/>
                <w:szCs w:val="20"/>
              </w:rPr>
              <w:t>F2</w:t>
            </w:r>
          </w:p>
        </w:tc>
        <w:tc>
          <w:tcPr>
            <w:tcW w:w="0" w:type="auto"/>
            <w:vAlign w:val="center"/>
          </w:tcPr>
          <w:p w14:paraId="3B6A00C9" w14:textId="77777777" w:rsidR="00CC1A56" w:rsidRPr="00A97719" w:rsidRDefault="00CC1A56" w:rsidP="004677B3">
            <w:pPr>
              <w:pStyle w:val="TableParagraph"/>
              <w:spacing w:before="6" w:line="276" w:lineRule="auto"/>
              <w:ind w:left="16"/>
              <w:rPr>
                <w:rFonts w:ascii="Arial" w:hAnsi="Arial" w:cs="Arial"/>
                <w:b/>
                <w:sz w:val="20"/>
                <w:szCs w:val="20"/>
              </w:rPr>
            </w:pPr>
            <w:r w:rsidRPr="00A97719">
              <w:rPr>
                <w:rFonts w:ascii="Arial" w:hAnsi="Arial" w:cs="Arial"/>
                <w:b/>
                <w:spacing w:val="-5"/>
                <w:w w:val="105"/>
                <w:sz w:val="20"/>
                <w:szCs w:val="20"/>
              </w:rPr>
              <w:t>F3</w:t>
            </w:r>
          </w:p>
        </w:tc>
        <w:tc>
          <w:tcPr>
            <w:tcW w:w="0" w:type="auto"/>
            <w:vAlign w:val="center"/>
          </w:tcPr>
          <w:p w14:paraId="6CACFEA0" w14:textId="77777777" w:rsidR="00CC1A56" w:rsidRPr="00A97719" w:rsidRDefault="00CC1A56" w:rsidP="004677B3">
            <w:pPr>
              <w:pStyle w:val="TableParagraph"/>
              <w:spacing w:before="6" w:line="276" w:lineRule="auto"/>
              <w:ind w:left="2"/>
              <w:rPr>
                <w:rFonts w:ascii="Arial" w:hAnsi="Arial" w:cs="Arial"/>
                <w:b/>
                <w:sz w:val="20"/>
                <w:szCs w:val="20"/>
              </w:rPr>
            </w:pPr>
            <w:r w:rsidRPr="00A97719">
              <w:rPr>
                <w:rFonts w:ascii="Arial" w:hAnsi="Arial" w:cs="Arial"/>
                <w:b/>
                <w:spacing w:val="-5"/>
                <w:w w:val="105"/>
                <w:sz w:val="20"/>
                <w:szCs w:val="20"/>
              </w:rPr>
              <w:t>F4</w:t>
            </w:r>
          </w:p>
        </w:tc>
        <w:tc>
          <w:tcPr>
            <w:tcW w:w="0" w:type="auto"/>
            <w:vAlign w:val="center"/>
          </w:tcPr>
          <w:p w14:paraId="43B137A3" w14:textId="2A463EE5" w:rsidR="00CC1A56" w:rsidRPr="00A97719" w:rsidRDefault="00CC1A56" w:rsidP="004677B3">
            <w:pPr>
              <w:pStyle w:val="TableParagraph"/>
              <w:spacing w:before="6" w:line="276" w:lineRule="auto"/>
              <w:rPr>
                <w:rFonts w:ascii="Arial" w:hAnsi="Arial" w:cs="Arial"/>
                <w:b/>
                <w:sz w:val="20"/>
                <w:szCs w:val="20"/>
              </w:rPr>
            </w:pPr>
            <w:r w:rsidRPr="00A97719">
              <w:rPr>
                <w:rFonts w:ascii="Arial" w:hAnsi="Arial" w:cs="Arial"/>
                <w:b/>
                <w:sz w:val="20"/>
                <w:szCs w:val="20"/>
              </w:rPr>
              <w:t>Mean</w:t>
            </w:r>
          </w:p>
        </w:tc>
        <w:tc>
          <w:tcPr>
            <w:tcW w:w="0" w:type="auto"/>
            <w:vAlign w:val="center"/>
          </w:tcPr>
          <w:p w14:paraId="00B03745" w14:textId="77777777" w:rsidR="00CC1A56" w:rsidRPr="00A97719" w:rsidRDefault="00CC1A56" w:rsidP="004677B3">
            <w:pPr>
              <w:pStyle w:val="TableParagraph"/>
              <w:spacing w:before="6" w:line="276" w:lineRule="auto"/>
              <w:ind w:left="13"/>
              <w:rPr>
                <w:rFonts w:ascii="Arial" w:hAnsi="Arial" w:cs="Arial"/>
                <w:b/>
                <w:sz w:val="20"/>
                <w:szCs w:val="20"/>
              </w:rPr>
            </w:pPr>
            <w:r w:rsidRPr="00A97719">
              <w:rPr>
                <w:rFonts w:ascii="Arial" w:hAnsi="Arial" w:cs="Arial"/>
                <w:b/>
                <w:spacing w:val="-5"/>
                <w:w w:val="105"/>
                <w:sz w:val="20"/>
                <w:szCs w:val="20"/>
              </w:rPr>
              <w:t>F1</w:t>
            </w:r>
          </w:p>
        </w:tc>
        <w:tc>
          <w:tcPr>
            <w:tcW w:w="0" w:type="auto"/>
            <w:vAlign w:val="center"/>
          </w:tcPr>
          <w:p w14:paraId="0344F762" w14:textId="77777777" w:rsidR="00CC1A56" w:rsidRPr="00A97719" w:rsidRDefault="00CC1A56" w:rsidP="004677B3">
            <w:pPr>
              <w:pStyle w:val="TableParagraph"/>
              <w:spacing w:before="6" w:line="276" w:lineRule="auto"/>
              <w:ind w:left="6"/>
              <w:rPr>
                <w:rFonts w:ascii="Arial" w:hAnsi="Arial" w:cs="Arial"/>
                <w:b/>
                <w:sz w:val="20"/>
                <w:szCs w:val="20"/>
              </w:rPr>
            </w:pPr>
            <w:r w:rsidRPr="00A97719">
              <w:rPr>
                <w:rFonts w:ascii="Arial" w:hAnsi="Arial" w:cs="Arial"/>
                <w:b/>
                <w:spacing w:val="-5"/>
                <w:w w:val="105"/>
                <w:sz w:val="20"/>
                <w:szCs w:val="20"/>
              </w:rPr>
              <w:t>F2</w:t>
            </w:r>
          </w:p>
        </w:tc>
        <w:tc>
          <w:tcPr>
            <w:tcW w:w="0" w:type="auto"/>
            <w:vAlign w:val="center"/>
          </w:tcPr>
          <w:p w14:paraId="07D32F9E" w14:textId="77777777" w:rsidR="00CC1A56" w:rsidRPr="00A97719" w:rsidRDefault="00CC1A56" w:rsidP="004677B3">
            <w:pPr>
              <w:pStyle w:val="TableParagraph"/>
              <w:spacing w:before="6" w:line="276" w:lineRule="auto"/>
              <w:ind w:left="15"/>
              <w:rPr>
                <w:rFonts w:ascii="Arial" w:hAnsi="Arial" w:cs="Arial"/>
                <w:b/>
                <w:sz w:val="20"/>
                <w:szCs w:val="20"/>
              </w:rPr>
            </w:pPr>
            <w:r w:rsidRPr="00A97719">
              <w:rPr>
                <w:rFonts w:ascii="Arial" w:hAnsi="Arial" w:cs="Arial"/>
                <w:b/>
                <w:spacing w:val="-5"/>
                <w:w w:val="105"/>
                <w:sz w:val="20"/>
                <w:szCs w:val="20"/>
              </w:rPr>
              <w:t>F3</w:t>
            </w:r>
          </w:p>
        </w:tc>
        <w:tc>
          <w:tcPr>
            <w:tcW w:w="0" w:type="auto"/>
            <w:vAlign w:val="center"/>
          </w:tcPr>
          <w:p w14:paraId="4BD6642D" w14:textId="77777777" w:rsidR="00CC1A56" w:rsidRPr="00A97719" w:rsidRDefault="00CC1A56" w:rsidP="004677B3">
            <w:pPr>
              <w:pStyle w:val="TableParagraph"/>
              <w:spacing w:before="6" w:line="276" w:lineRule="auto"/>
              <w:ind w:left="10"/>
              <w:rPr>
                <w:rFonts w:ascii="Arial" w:hAnsi="Arial" w:cs="Arial"/>
                <w:b/>
                <w:sz w:val="20"/>
                <w:szCs w:val="20"/>
              </w:rPr>
            </w:pPr>
            <w:r w:rsidRPr="00A97719">
              <w:rPr>
                <w:rFonts w:ascii="Arial" w:hAnsi="Arial" w:cs="Arial"/>
                <w:b/>
                <w:spacing w:val="-5"/>
                <w:w w:val="105"/>
                <w:sz w:val="20"/>
                <w:szCs w:val="20"/>
              </w:rPr>
              <w:t>F4</w:t>
            </w:r>
          </w:p>
        </w:tc>
        <w:tc>
          <w:tcPr>
            <w:tcW w:w="0" w:type="auto"/>
            <w:vAlign w:val="center"/>
          </w:tcPr>
          <w:p w14:paraId="7ACDDE25" w14:textId="63E79920" w:rsidR="00CC1A56" w:rsidRPr="00A97719" w:rsidRDefault="00CC1A56" w:rsidP="004677B3">
            <w:pPr>
              <w:pStyle w:val="TableParagraph"/>
              <w:spacing w:before="6" w:line="276" w:lineRule="auto"/>
              <w:ind w:left="28" w:right="-29"/>
              <w:rPr>
                <w:rFonts w:ascii="Arial" w:hAnsi="Arial" w:cs="Arial"/>
                <w:b/>
                <w:sz w:val="20"/>
                <w:szCs w:val="20"/>
              </w:rPr>
            </w:pPr>
            <w:r w:rsidRPr="00A97719">
              <w:rPr>
                <w:rFonts w:ascii="Arial" w:hAnsi="Arial" w:cs="Arial"/>
                <w:b/>
                <w:sz w:val="20"/>
                <w:szCs w:val="20"/>
              </w:rPr>
              <w:t>Mean</w:t>
            </w:r>
          </w:p>
        </w:tc>
        <w:tc>
          <w:tcPr>
            <w:tcW w:w="0" w:type="auto"/>
            <w:vAlign w:val="center"/>
          </w:tcPr>
          <w:p w14:paraId="46D02355" w14:textId="77777777" w:rsidR="00CC1A56" w:rsidRPr="00A97719" w:rsidRDefault="00CC1A56" w:rsidP="004677B3">
            <w:pPr>
              <w:pStyle w:val="TableParagraph"/>
              <w:spacing w:before="6" w:line="276" w:lineRule="auto"/>
              <w:ind w:left="21" w:right="21"/>
              <w:rPr>
                <w:rFonts w:ascii="Arial" w:hAnsi="Arial" w:cs="Arial"/>
                <w:b/>
                <w:sz w:val="20"/>
                <w:szCs w:val="20"/>
              </w:rPr>
            </w:pPr>
            <w:r w:rsidRPr="00A97719">
              <w:rPr>
                <w:rFonts w:ascii="Arial" w:hAnsi="Arial" w:cs="Arial"/>
                <w:b/>
                <w:spacing w:val="-5"/>
                <w:w w:val="105"/>
                <w:sz w:val="20"/>
                <w:szCs w:val="20"/>
              </w:rPr>
              <w:t>F1</w:t>
            </w:r>
          </w:p>
        </w:tc>
        <w:tc>
          <w:tcPr>
            <w:tcW w:w="0" w:type="auto"/>
            <w:vAlign w:val="center"/>
          </w:tcPr>
          <w:p w14:paraId="39E85151" w14:textId="77777777" w:rsidR="00CC1A56" w:rsidRPr="00A97719" w:rsidRDefault="00CC1A56" w:rsidP="004677B3">
            <w:pPr>
              <w:pStyle w:val="TableParagraph"/>
              <w:spacing w:before="6" w:line="276" w:lineRule="auto"/>
              <w:ind w:left="22"/>
              <w:rPr>
                <w:rFonts w:ascii="Arial" w:hAnsi="Arial" w:cs="Arial"/>
                <w:b/>
                <w:sz w:val="20"/>
                <w:szCs w:val="20"/>
              </w:rPr>
            </w:pPr>
            <w:r w:rsidRPr="00A97719">
              <w:rPr>
                <w:rFonts w:ascii="Arial" w:hAnsi="Arial" w:cs="Arial"/>
                <w:b/>
                <w:spacing w:val="-5"/>
                <w:w w:val="105"/>
                <w:sz w:val="20"/>
                <w:szCs w:val="20"/>
              </w:rPr>
              <w:t>F2</w:t>
            </w:r>
          </w:p>
        </w:tc>
        <w:tc>
          <w:tcPr>
            <w:tcW w:w="0" w:type="auto"/>
            <w:vAlign w:val="center"/>
          </w:tcPr>
          <w:p w14:paraId="2084574F" w14:textId="77777777" w:rsidR="00CC1A56" w:rsidRPr="00A97719" w:rsidRDefault="00CC1A56" w:rsidP="004677B3">
            <w:pPr>
              <w:pStyle w:val="TableParagraph"/>
              <w:spacing w:before="6" w:line="276" w:lineRule="auto"/>
              <w:ind w:left="32"/>
              <w:rPr>
                <w:rFonts w:ascii="Arial" w:hAnsi="Arial" w:cs="Arial"/>
                <w:b/>
                <w:sz w:val="20"/>
                <w:szCs w:val="20"/>
              </w:rPr>
            </w:pPr>
            <w:r w:rsidRPr="00A97719">
              <w:rPr>
                <w:rFonts w:ascii="Arial" w:hAnsi="Arial" w:cs="Arial"/>
                <w:b/>
                <w:spacing w:val="-5"/>
                <w:w w:val="105"/>
                <w:sz w:val="20"/>
                <w:szCs w:val="20"/>
              </w:rPr>
              <w:t>F3</w:t>
            </w:r>
          </w:p>
        </w:tc>
        <w:tc>
          <w:tcPr>
            <w:tcW w:w="0" w:type="auto"/>
            <w:vAlign w:val="center"/>
          </w:tcPr>
          <w:p w14:paraId="10164519" w14:textId="77777777" w:rsidR="00CC1A56" w:rsidRPr="00A97719" w:rsidRDefault="00CC1A56" w:rsidP="004677B3">
            <w:pPr>
              <w:pStyle w:val="TableParagraph"/>
              <w:spacing w:before="6" w:line="276" w:lineRule="auto"/>
              <w:ind w:left="33"/>
              <w:rPr>
                <w:rFonts w:ascii="Arial" w:hAnsi="Arial" w:cs="Arial"/>
                <w:b/>
                <w:sz w:val="20"/>
                <w:szCs w:val="20"/>
              </w:rPr>
            </w:pPr>
            <w:r w:rsidRPr="00A97719">
              <w:rPr>
                <w:rFonts w:ascii="Arial" w:hAnsi="Arial" w:cs="Arial"/>
                <w:b/>
                <w:spacing w:val="-5"/>
                <w:w w:val="105"/>
                <w:sz w:val="20"/>
                <w:szCs w:val="20"/>
              </w:rPr>
              <w:t>F4</w:t>
            </w:r>
          </w:p>
        </w:tc>
        <w:tc>
          <w:tcPr>
            <w:tcW w:w="0" w:type="auto"/>
            <w:vAlign w:val="center"/>
          </w:tcPr>
          <w:p w14:paraId="416589ED" w14:textId="46EA5AD5" w:rsidR="00CC1A56" w:rsidRPr="00A97719" w:rsidRDefault="00CC1A56" w:rsidP="004677B3">
            <w:pPr>
              <w:pStyle w:val="TableParagraph"/>
              <w:spacing w:before="6" w:line="276" w:lineRule="auto"/>
              <w:ind w:left="40" w:right="-29"/>
              <w:rPr>
                <w:rFonts w:ascii="Arial" w:hAnsi="Arial" w:cs="Arial"/>
                <w:b/>
                <w:sz w:val="20"/>
                <w:szCs w:val="20"/>
              </w:rPr>
            </w:pPr>
            <w:r w:rsidRPr="00A97719">
              <w:rPr>
                <w:rFonts w:ascii="Arial" w:hAnsi="Arial" w:cs="Arial"/>
                <w:b/>
                <w:sz w:val="20"/>
                <w:szCs w:val="20"/>
              </w:rPr>
              <w:t>Mean</w:t>
            </w:r>
          </w:p>
        </w:tc>
      </w:tr>
      <w:tr w:rsidR="00EC6819" w:rsidRPr="00A97719" w14:paraId="1793E7F7" w14:textId="77777777" w:rsidTr="00F2643D">
        <w:trPr>
          <w:trHeight w:val="20"/>
        </w:trPr>
        <w:tc>
          <w:tcPr>
            <w:tcW w:w="0" w:type="auto"/>
            <w:tcBorders>
              <w:bottom w:val="nil"/>
            </w:tcBorders>
            <w:vAlign w:val="center"/>
          </w:tcPr>
          <w:p w14:paraId="30BB93DC" w14:textId="77777777" w:rsidR="00CC1A56" w:rsidRPr="00A97719" w:rsidRDefault="00CC1A56" w:rsidP="004677B3">
            <w:pPr>
              <w:pStyle w:val="TableParagraph"/>
              <w:spacing w:before="64" w:line="276" w:lineRule="auto"/>
              <w:ind w:left="35" w:right="14"/>
              <w:rPr>
                <w:rFonts w:ascii="Arial" w:hAnsi="Arial" w:cs="Arial"/>
                <w:b/>
                <w:sz w:val="20"/>
                <w:szCs w:val="20"/>
              </w:rPr>
            </w:pPr>
            <w:r w:rsidRPr="00A97719">
              <w:rPr>
                <w:rFonts w:ascii="Arial" w:hAnsi="Arial" w:cs="Arial"/>
                <w:b/>
                <w:spacing w:val="-5"/>
                <w:w w:val="105"/>
                <w:sz w:val="20"/>
                <w:szCs w:val="20"/>
              </w:rPr>
              <w:t>22</w:t>
            </w:r>
          </w:p>
        </w:tc>
        <w:tc>
          <w:tcPr>
            <w:tcW w:w="0" w:type="auto"/>
            <w:tcBorders>
              <w:bottom w:val="nil"/>
            </w:tcBorders>
            <w:vAlign w:val="center"/>
          </w:tcPr>
          <w:p w14:paraId="272426C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19.69</w:t>
            </w:r>
          </w:p>
        </w:tc>
        <w:tc>
          <w:tcPr>
            <w:tcW w:w="0" w:type="auto"/>
            <w:tcBorders>
              <w:bottom w:val="nil"/>
            </w:tcBorders>
            <w:vAlign w:val="center"/>
          </w:tcPr>
          <w:p w14:paraId="30F0818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32.92</w:t>
            </w:r>
          </w:p>
        </w:tc>
        <w:tc>
          <w:tcPr>
            <w:tcW w:w="0" w:type="auto"/>
            <w:tcBorders>
              <w:bottom w:val="nil"/>
            </w:tcBorders>
            <w:vAlign w:val="center"/>
          </w:tcPr>
          <w:p w14:paraId="15A6CF3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15.31</w:t>
            </w:r>
          </w:p>
        </w:tc>
        <w:tc>
          <w:tcPr>
            <w:tcW w:w="0" w:type="auto"/>
            <w:tcBorders>
              <w:bottom w:val="nil"/>
            </w:tcBorders>
            <w:vAlign w:val="center"/>
          </w:tcPr>
          <w:p w14:paraId="3B687EB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10.48</w:t>
            </w:r>
          </w:p>
        </w:tc>
        <w:tc>
          <w:tcPr>
            <w:tcW w:w="0" w:type="auto"/>
            <w:tcBorders>
              <w:bottom w:val="nil"/>
            </w:tcBorders>
            <w:vAlign w:val="center"/>
          </w:tcPr>
          <w:p w14:paraId="32D3325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19.60</w:t>
            </w:r>
          </w:p>
        </w:tc>
        <w:tc>
          <w:tcPr>
            <w:tcW w:w="0" w:type="auto"/>
            <w:tcBorders>
              <w:bottom w:val="nil"/>
            </w:tcBorders>
            <w:vAlign w:val="center"/>
          </w:tcPr>
          <w:p w14:paraId="6B3EFBF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83.04</w:t>
            </w:r>
          </w:p>
        </w:tc>
        <w:tc>
          <w:tcPr>
            <w:tcW w:w="0" w:type="auto"/>
            <w:tcBorders>
              <w:bottom w:val="nil"/>
            </w:tcBorders>
            <w:vAlign w:val="center"/>
          </w:tcPr>
          <w:p w14:paraId="6A55DE3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80.57</w:t>
            </w:r>
          </w:p>
        </w:tc>
        <w:tc>
          <w:tcPr>
            <w:tcW w:w="0" w:type="auto"/>
            <w:tcBorders>
              <w:bottom w:val="nil"/>
            </w:tcBorders>
            <w:vAlign w:val="center"/>
          </w:tcPr>
          <w:p w14:paraId="7B3AE4E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68.75</w:t>
            </w:r>
          </w:p>
        </w:tc>
        <w:tc>
          <w:tcPr>
            <w:tcW w:w="0" w:type="auto"/>
            <w:tcBorders>
              <w:bottom w:val="nil"/>
            </w:tcBorders>
            <w:vAlign w:val="center"/>
          </w:tcPr>
          <w:p w14:paraId="1D6D6F7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60.94</w:t>
            </w:r>
          </w:p>
        </w:tc>
        <w:tc>
          <w:tcPr>
            <w:tcW w:w="0" w:type="auto"/>
            <w:tcBorders>
              <w:bottom w:val="nil"/>
            </w:tcBorders>
            <w:vAlign w:val="center"/>
          </w:tcPr>
          <w:p w14:paraId="0A598BB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73.33</w:t>
            </w:r>
          </w:p>
        </w:tc>
        <w:tc>
          <w:tcPr>
            <w:tcW w:w="0" w:type="auto"/>
            <w:tcBorders>
              <w:bottom w:val="nil"/>
            </w:tcBorders>
            <w:vAlign w:val="center"/>
          </w:tcPr>
          <w:p w14:paraId="28508A8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89.22</w:t>
            </w:r>
          </w:p>
        </w:tc>
        <w:tc>
          <w:tcPr>
            <w:tcW w:w="0" w:type="auto"/>
            <w:tcBorders>
              <w:bottom w:val="nil"/>
            </w:tcBorders>
            <w:vAlign w:val="center"/>
          </w:tcPr>
          <w:p w14:paraId="34DFEBC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83.20</w:t>
            </w:r>
          </w:p>
        </w:tc>
        <w:tc>
          <w:tcPr>
            <w:tcW w:w="0" w:type="auto"/>
            <w:tcBorders>
              <w:bottom w:val="nil"/>
            </w:tcBorders>
            <w:vAlign w:val="center"/>
          </w:tcPr>
          <w:p w14:paraId="0D64559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79.45</w:t>
            </w:r>
          </w:p>
        </w:tc>
        <w:tc>
          <w:tcPr>
            <w:tcW w:w="0" w:type="auto"/>
            <w:tcBorders>
              <w:bottom w:val="nil"/>
            </w:tcBorders>
            <w:vAlign w:val="center"/>
          </w:tcPr>
          <w:p w14:paraId="5D34026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73.48</w:t>
            </w:r>
          </w:p>
        </w:tc>
        <w:tc>
          <w:tcPr>
            <w:tcW w:w="0" w:type="auto"/>
            <w:tcBorders>
              <w:bottom w:val="nil"/>
            </w:tcBorders>
            <w:vAlign w:val="center"/>
          </w:tcPr>
          <w:p w14:paraId="2F4C277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81.34</w:t>
            </w:r>
          </w:p>
        </w:tc>
      </w:tr>
      <w:tr w:rsidR="00EC6819" w:rsidRPr="00A97719" w14:paraId="032E37BD" w14:textId="77777777" w:rsidTr="00F2643D">
        <w:trPr>
          <w:trHeight w:val="20"/>
        </w:trPr>
        <w:tc>
          <w:tcPr>
            <w:tcW w:w="0" w:type="auto"/>
            <w:tcBorders>
              <w:top w:val="nil"/>
            </w:tcBorders>
            <w:vAlign w:val="center"/>
          </w:tcPr>
          <w:p w14:paraId="2036A462"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6B4CF92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4.52)</w:t>
            </w:r>
            <w:r w:rsidRPr="00A97719">
              <w:rPr>
                <w:rFonts w:ascii="Arial" w:hAnsi="Arial" w:cs="Arial"/>
                <w:spacing w:val="-2"/>
                <w:w w:val="105"/>
                <w:sz w:val="20"/>
                <w:szCs w:val="20"/>
                <w:vertAlign w:val="superscript"/>
              </w:rPr>
              <w:t>b</w:t>
            </w:r>
            <w:proofErr w:type="gramEnd"/>
          </w:p>
        </w:tc>
        <w:tc>
          <w:tcPr>
            <w:tcW w:w="0" w:type="auto"/>
            <w:tcBorders>
              <w:top w:val="nil"/>
            </w:tcBorders>
            <w:vAlign w:val="center"/>
          </w:tcPr>
          <w:p w14:paraId="0300085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5.79)</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334BE4A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4.03)</w:t>
            </w:r>
            <w:proofErr w:type="spellStart"/>
            <w:r w:rsidRPr="00A97719">
              <w:rPr>
                <w:rFonts w:ascii="Arial" w:hAnsi="Arial" w:cs="Arial"/>
                <w:spacing w:val="-2"/>
                <w:w w:val="105"/>
                <w:sz w:val="20"/>
                <w:szCs w:val="20"/>
                <w:vertAlign w:val="superscript"/>
              </w:rPr>
              <w:t>bc</w:t>
            </w:r>
            <w:proofErr w:type="spellEnd"/>
            <w:proofErr w:type="gramEnd"/>
          </w:p>
        </w:tc>
        <w:tc>
          <w:tcPr>
            <w:tcW w:w="0" w:type="auto"/>
            <w:tcBorders>
              <w:top w:val="nil"/>
            </w:tcBorders>
            <w:vAlign w:val="center"/>
          </w:tcPr>
          <w:p w14:paraId="0190346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3.39)</w:t>
            </w:r>
            <w:r w:rsidRPr="00A97719">
              <w:rPr>
                <w:rFonts w:ascii="Arial" w:hAnsi="Arial" w:cs="Arial"/>
                <w:spacing w:val="-2"/>
                <w:w w:val="105"/>
                <w:sz w:val="20"/>
                <w:szCs w:val="20"/>
                <w:vertAlign w:val="superscript"/>
              </w:rPr>
              <w:t>de</w:t>
            </w:r>
            <w:proofErr w:type="gramEnd"/>
          </w:p>
        </w:tc>
        <w:tc>
          <w:tcPr>
            <w:tcW w:w="0" w:type="auto"/>
            <w:tcBorders>
              <w:top w:val="nil"/>
            </w:tcBorders>
            <w:vAlign w:val="center"/>
          </w:tcPr>
          <w:p w14:paraId="14378B2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(4.43)</w:t>
            </w:r>
          </w:p>
        </w:tc>
        <w:tc>
          <w:tcPr>
            <w:tcW w:w="0" w:type="auto"/>
            <w:tcBorders>
              <w:top w:val="nil"/>
            </w:tcBorders>
            <w:vAlign w:val="center"/>
          </w:tcPr>
          <w:p w14:paraId="31E1CC9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9.16)</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3E73243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9.02)</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6240781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8.35)</w:t>
            </w:r>
            <w:proofErr w:type="spellStart"/>
            <w:r w:rsidRPr="00A97719">
              <w:rPr>
                <w:rFonts w:ascii="Arial" w:hAnsi="Arial" w:cs="Arial"/>
                <w:spacing w:val="-2"/>
                <w:w w:val="105"/>
                <w:sz w:val="20"/>
                <w:szCs w:val="20"/>
                <w:vertAlign w:val="superscript"/>
              </w:rPr>
              <w:t>bc</w:t>
            </w:r>
            <w:proofErr w:type="spellEnd"/>
            <w:proofErr w:type="gramEnd"/>
          </w:p>
        </w:tc>
        <w:tc>
          <w:tcPr>
            <w:tcW w:w="0" w:type="auto"/>
            <w:tcBorders>
              <w:top w:val="nil"/>
            </w:tcBorders>
            <w:vAlign w:val="center"/>
          </w:tcPr>
          <w:p w14:paraId="5E4C6F2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7.85)</w:t>
            </w:r>
            <w:r w:rsidRPr="00A97719">
              <w:rPr>
                <w:rFonts w:ascii="Arial" w:hAnsi="Arial" w:cs="Arial"/>
                <w:spacing w:val="-2"/>
                <w:w w:val="105"/>
                <w:sz w:val="20"/>
                <w:szCs w:val="20"/>
                <w:vertAlign w:val="superscript"/>
              </w:rPr>
              <w:t>c</w:t>
            </w:r>
            <w:proofErr w:type="gramEnd"/>
          </w:p>
        </w:tc>
        <w:tc>
          <w:tcPr>
            <w:tcW w:w="0" w:type="auto"/>
            <w:tcBorders>
              <w:top w:val="nil"/>
            </w:tcBorders>
            <w:vAlign w:val="center"/>
          </w:tcPr>
          <w:p w14:paraId="355253F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(8.60)</w:t>
            </w:r>
          </w:p>
        </w:tc>
        <w:tc>
          <w:tcPr>
            <w:tcW w:w="0" w:type="auto"/>
            <w:tcBorders>
              <w:top w:val="nil"/>
            </w:tcBorders>
            <w:vAlign w:val="center"/>
          </w:tcPr>
          <w:p w14:paraId="326AED5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(9.50</w:t>
            </w:r>
            <w:r w:rsidRPr="00A97719">
              <w:rPr>
                <w:rFonts w:ascii="Arial" w:hAnsi="Arial" w:cs="Arial"/>
                <w:spacing w:val="-2"/>
                <w:w w:val="105"/>
                <w:sz w:val="20"/>
                <w:szCs w:val="20"/>
                <w:vertAlign w:val="superscript"/>
              </w:rPr>
              <w:t>ab</w:t>
            </w:r>
          </w:p>
        </w:tc>
        <w:tc>
          <w:tcPr>
            <w:tcW w:w="0" w:type="auto"/>
            <w:tcBorders>
              <w:top w:val="nil"/>
            </w:tcBorders>
            <w:vAlign w:val="center"/>
          </w:tcPr>
          <w:p w14:paraId="4B1EE8B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9.17)</w:t>
            </w:r>
            <w:proofErr w:type="spellStart"/>
            <w:r w:rsidRPr="00A97719">
              <w:rPr>
                <w:rFonts w:ascii="Arial" w:hAnsi="Arial" w:cs="Arial"/>
                <w:spacing w:val="-2"/>
                <w:w w:val="105"/>
                <w:sz w:val="20"/>
                <w:szCs w:val="20"/>
                <w:vertAlign w:val="superscript"/>
              </w:rPr>
              <w:t>bc</w:t>
            </w:r>
            <w:proofErr w:type="spellEnd"/>
            <w:proofErr w:type="gramEnd"/>
          </w:p>
        </w:tc>
        <w:tc>
          <w:tcPr>
            <w:tcW w:w="0" w:type="auto"/>
            <w:tcBorders>
              <w:top w:val="nil"/>
            </w:tcBorders>
            <w:vAlign w:val="center"/>
          </w:tcPr>
          <w:p w14:paraId="7BD24F0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8.97)</w:t>
            </w:r>
            <w:r w:rsidRPr="00A97719">
              <w:rPr>
                <w:rFonts w:ascii="Arial" w:hAnsi="Arial" w:cs="Arial"/>
                <w:spacing w:val="-2"/>
                <w:w w:val="105"/>
                <w:sz w:val="20"/>
                <w:szCs w:val="20"/>
                <w:vertAlign w:val="superscript"/>
              </w:rPr>
              <w:t>cd</w:t>
            </w:r>
            <w:proofErr w:type="gramEnd"/>
          </w:p>
        </w:tc>
        <w:tc>
          <w:tcPr>
            <w:tcW w:w="0" w:type="auto"/>
            <w:tcBorders>
              <w:top w:val="nil"/>
            </w:tcBorders>
            <w:vAlign w:val="center"/>
          </w:tcPr>
          <w:p w14:paraId="4E2DBEB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8.63)</w:t>
            </w:r>
            <w:r w:rsidRPr="00A97719">
              <w:rPr>
                <w:rFonts w:ascii="Arial" w:hAnsi="Arial" w:cs="Arial"/>
                <w:spacing w:val="-2"/>
                <w:w w:val="105"/>
                <w:sz w:val="20"/>
                <w:szCs w:val="20"/>
                <w:vertAlign w:val="superscript"/>
              </w:rPr>
              <w:t>de</w:t>
            </w:r>
            <w:proofErr w:type="gramEnd"/>
          </w:p>
        </w:tc>
        <w:tc>
          <w:tcPr>
            <w:tcW w:w="0" w:type="auto"/>
            <w:tcBorders>
              <w:top w:val="nil"/>
            </w:tcBorders>
            <w:vAlign w:val="center"/>
          </w:tcPr>
          <w:p w14:paraId="4BFB4FB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(9.07)</w:t>
            </w:r>
          </w:p>
        </w:tc>
      </w:tr>
      <w:tr w:rsidR="00EC6819" w:rsidRPr="00A97719" w14:paraId="0B123832" w14:textId="77777777" w:rsidTr="00F2643D">
        <w:trPr>
          <w:trHeight w:val="20"/>
        </w:trPr>
        <w:tc>
          <w:tcPr>
            <w:tcW w:w="0" w:type="auto"/>
            <w:tcBorders>
              <w:bottom w:val="nil"/>
            </w:tcBorders>
            <w:vAlign w:val="center"/>
          </w:tcPr>
          <w:p w14:paraId="1F1D04BC" w14:textId="77777777" w:rsidR="00CC1A56" w:rsidRPr="00A97719" w:rsidRDefault="00CC1A56" w:rsidP="004677B3">
            <w:pPr>
              <w:pStyle w:val="TableParagraph"/>
              <w:spacing w:before="71" w:line="276" w:lineRule="auto"/>
              <w:ind w:left="35" w:right="14"/>
              <w:rPr>
                <w:rFonts w:ascii="Arial" w:hAnsi="Arial" w:cs="Arial"/>
                <w:b/>
                <w:sz w:val="20"/>
                <w:szCs w:val="20"/>
              </w:rPr>
            </w:pPr>
            <w:r w:rsidRPr="00A97719">
              <w:rPr>
                <w:rFonts w:ascii="Arial" w:hAnsi="Arial" w:cs="Arial"/>
                <w:b/>
                <w:spacing w:val="-5"/>
                <w:w w:val="105"/>
                <w:sz w:val="20"/>
                <w:szCs w:val="20"/>
              </w:rPr>
              <w:t>26</w:t>
            </w:r>
          </w:p>
        </w:tc>
        <w:tc>
          <w:tcPr>
            <w:tcW w:w="0" w:type="auto"/>
            <w:tcBorders>
              <w:bottom w:val="nil"/>
            </w:tcBorders>
            <w:vAlign w:val="center"/>
          </w:tcPr>
          <w:p w14:paraId="374B672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31.65</w:t>
            </w:r>
          </w:p>
        </w:tc>
        <w:tc>
          <w:tcPr>
            <w:tcW w:w="0" w:type="auto"/>
            <w:tcBorders>
              <w:bottom w:val="nil"/>
            </w:tcBorders>
            <w:vAlign w:val="center"/>
          </w:tcPr>
          <w:p w14:paraId="62C23A1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33.53</w:t>
            </w:r>
          </w:p>
        </w:tc>
        <w:tc>
          <w:tcPr>
            <w:tcW w:w="0" w:type="auto"/>
            <w:tcBorders>
              <w:bottom w:val="nil"/>
            </w:tcBorders>
            <w:vAlign w:val="center"/>
          </w:tcPr>
          <w:p w14:paraId="503C1B5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10.48</w:t>
            </w:r>
          </w:p>
        </w:tc>
        <w:tc>
          <w:tcPr>
            <w:tcW w:w="0" w:type="auto"/>
            <w:tcBorders>
              <w:bottom w:val="nil"/>
            </w:tcBorders>
            <w:vAlign w:val="center"/>
          </w:tcPr>
          <w:p w14:paraId="2CF0AF6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10.14</w:t>
            </w:r>
          </w:p>
        </w:tc>
        <w:tc>
          <w:tcPr>
            <w:tcW w:w="0" w:type="auto"/>
            <w:tcBorders>
              <w:bottom w:val="nil"/>
            </w:tcBorders>
            <w:vAlign w:val="center"/>
          </w:tcPr>
          <w:p w14:paraId="2886702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21.45</w:t>
            </w:r>
          </w:p>
        </w:tc>
        <w:tc>
          <w:tcPr>
            <w:tcW w:w="0" w:type="auto"/>
            <w:tcBorders>
              <w:bottom w:val="nil"/>
            </w:tcBorders>
            <w:vAlign w:val="center"/>
          </w:tcPr>
          <w:p w14:paraId="4889E25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75.52</w:t>
            </w:r>
          </w:p>
        </w:tc>
        <w:tc>
          <w:tcPr>
            <w:tcW w:w="0" w:type="auto"/>
            <w:tcBorders>
              <w:bottom w:val="nil"/>
            </w:tcBorders>
            <w:vAlign w:val="center"/>
          </w:tcPr>
          <w:p w14:paraId="6CBDBAD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85.25</w:t>
            </w:r>
          </w:p>
        </w:tc>
        <w:tc>
          <w:tcPr>
            <w:tcW w:w="0" w:type="auto"/>
            <w:tcBorders>
              <w:bottom w:val="nil"/>
            </w:tcBorders>
            <w:vAlign w:val="center"/>
          </w:tcPr>
          <w:p w14:paraId="45B6892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67.93</w:t>
            </w:r>
          </w:p>
        </w:tc>
        <w:tc>
          <w:tcPr>
            <w:tcW w:w="0" w:type="auto"/>
            <w:tcBorders>
              <w:bottom w:val="nil"/>
            </w:tcBorders>
            <w:vAlign w:val="center"/>
          </w:tcPr>
          <w:p w14:paraId="06B8612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44.29</w:t>
            </w:r>
          </w:p>
        </w:tc>
        <w:tc>
          <w:tcPr>
            <w:tcW w:w="0" w:type="auto"/>
            <w:tcBorders>
              <w:bottom w:val="nil"/>
            </w:tcBorders>
            <w:vAlign w:val="center"/>
          </w:tcPr>
          <w:p w14:paraId="6A72FF2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68.25</w:t>
            </w:r>
          </w:p>
        </w:tc>
        <w:tc>
          <w:tcPr>
            <w:tcW w:w="0" w:type="auto"/>
            <w:tcBorders>
              <w:bottom w:val="nil"/>
            </w:tcBorders>
            <w:vAlign w:val="center"/>
          </w:tcPr>
          <w:p w14:paraId="58B3AF5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89.80</w:t>
            </w:r>
          </w:p>
        </w:tc>
        <w:tc>
          <w:tcPr>
            <w:tcW w:w="0" w:type="auto"/>
            <w:tcBorders>
              <w:bottom w:val="nil"/>
            </w:tcBorders>
            <w:vAlign w:val="center"/>
          </w:tcPr>
          <w:p w14:paraId="005BA37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88.23</w:t>
            </w:r>
          </w:p>
        </w:tc>
        <w:tc>
          <w:tcPr>
            <w:tcW w:w="0" w:type="auto"/>
            <w:tcBorders>
              <w:bottom w:val="nil"/>
            </w:tcBorders>
            <w:vAlign w:val="center"/>
          </w:tcPr>
          <w:p w14:paraId="56999D9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79.37</w:t>
            </w:r>
          </w:p>
        </w:tc>
        <w:tc>
          <w:tcPr>
            <w:tcW w:w="0" w:type="auto"/>
            <w:tcBorders>
              <w:bottom w:val="nil"/>
            </w:tcBorders>
            <w:vAlign w:val="center"/>
          </w:tcPr>
          <w:p w14:paraId="5E3F492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77.20</w:t>
            </w:r>
          </w:p>
        </w:tc>
        <w:tc>
          <w:tcPr>
            <w:tcW w:w="0" w:type="auto"/>
            <w:tcBorders>
              <w:bottom w:val="nil"/>
            </w:tcBorders>
            <w:vAlign w:val="center"/>
          </w:tcPr>
          <w:p w14:paraId="3CE728B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83.65</w:t>
            </w:r>
          </w:p>
        </w:tc>
      </w:tr>
      <w:tr w:rsidR="00EC6819" w:rsidRPr="00A97719" w14:paraId="61155526" w14:textId="77777777" w:rsidTr="00F2643D">
        <w:trPr>
          <w:trHeight w:val="20"/>
        </w:trPr>
        <w:tc>
          <w:tcPr>
            <w:tcW w:w="0" w:type="auto"/>
            <w:tcBorders>
              <w:top w:val="nil"/>
            </w:tcBorders>
            <w:vAlign w:val="center"/>
          </w:tcPr>
          <w:p w14:paraId="55029AB9"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5FF68CC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5.70)</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108301B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5.85)</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0CE57A0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3.39)</w:t>
            </w:r>
            <w:r w:rsidRPr="00A97719">
              <w:rPr>
                <w:rFonts w:ascii="Arial" w:hAnsi="Arial" w:cs="Arial"/>
                <w:spacing w:val="-2"/>
                <w:w w:val="105"/>
                <w:sz w:val="20"/>
                <w:szCs w:val="20"/>
                <w:vertAlign w:val="superscript"/>
              </w:rPr>
              <w:t>de</w:t>
            </w:r>
            <w:proofErr w:type="gramEnd"/>
          </w:p>
        </w:tc>
        <w:tc>
          <w:tcPr>
            <w:tcW w:w="0" w:type="auto"/>
            <w:tcBorders>
              <w:top w:val="nil"/>
            </w:tcBorders>
            <w:vAlign w:val="center"/>
          </w:tcPr>
          <w:p w14:paraId="5A8779B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3.33)</w:t>
            </w:r>
            <w:r w:rsidRPr="00A97719">
              <w:rPr>
                <w:rFonts w:ascii="Arial" w:hAnsi="Arial" w:cs="Arial"/>
                <w:spacing w:val="-2"/>
                <w:w w:val="105"/>
                <w:sz w:val="20"/>
                <w:szCs w:val="20"/>
                <w:vertAlign w:val="superscript"/>
              </w:rPr>
              <w:t>def</w:t>
            </w:r>
            <w:proofErr w:type="gramEnd"/>
          </w:p>
        </w:tc>
        <w:tc>
          <w:tcPr>
            <w:tcW w:w="0" w:type="auto"/>
            <w:tcBorders>
              <w:top w:val="nil"/>
            </w:tcBorders>
            <w:vAlign w:val="center"/>
          </w:tcPr>
          <w:p w14:paraId="1A55688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(4.57)</w:t>
            </w:r>
          </w:p>
        </w:tc>
        <w:tc>
          <w:tcPr>
            <w:tcW w:w="0" w:type="auto"/>
            <w:tcBorders>
              <w:top w:val="nil"/>
            </w:tcBorders>
            <w:vAlign w:val="center"/>
          </w:tcPr>
          <w:p w14:paraId="5996DC7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8.74)</w:t>
            </w:r>
            <w:r w:rsidRPr="00A97719">
              <w:rPr>
                <w:rFonts w:ascii="Arial" w:hAnsi="Arial" w:cs="Arial"/>
                <w:spacing w:val="-2"/>
                <w:w w:val="105"/>
                <w:sz w:val="20"/>
                <w:szCs w:val="20"/>
                <w:vertAlign w:val="superscript"/>
              </w:rPr>
              <w:t>ab</w:t>
            </w:r>
            <w:proofErr w:type="gramEnd"/>
          </w:p>
        </w:tc>
        <w:tc>
          <w:tcPr>
            <w:tcW w:w="0" w:type="auto"/>
            <w:tcBorders>
              <w:top w:val="nil"/>
            </w:tcBorders>
            <w:vAlign w:val="center"/>
          </w:tcPr>
          <w:p w14:paraId="0B95165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9.28)</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71865E7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8.29)</w:t>
            </w:r>
            <w:proofErr w:type="spellStart"/>
            <w:r w:rsidRPr="00A97719">
              <w:rPr>
                <w:rFonts w:ascii="Arial" w:hAnsi="Arial" w:cs="Arial"/>
                <w:spacing w:val="-2"/>
                <w:w w:val="105"/>
                <w:sz w:val="20"/>
                <w:szCs w:val="20"/>
                <w:vertAlign w:val="superscript"/>
              </w:rPr>
              <w:t>bc</w:t>
            </w:r>
            <w:proofErr w:type="spellEnd"/>
            <w:proofErr w:type="gramEnd"/>
          </w:p>
        </w:tc>
        <w:tc>
          <w:tcPr>
            <w:tcW w:w="0" w:type="auto"/>
            <w:tcBorders>
              <w:top w:val="nil"/>
            </w:tcBorders>
            <w:vAlign w:val="center"/>
          </w:tcPr>
          <w:p w14:paraId="4AE3062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6.73)</w:t>
            </w:r>
            <w:r w:rsidRPr="00A97719">
              <w:rPr>
                <w:rFonts w:ascii="Arial" w:hAnsi="Arial" w:cs="Arial"/>
                <w:spacing w:val="-2"/>
                <w:w w:val="105"/>
                <w:sz w:val="20"/>
                <w:szCs w:val="20"/>
                <w:vertAlign w:val="superscript"/>
              </w:rPr>
              <w:t>d</w:t>
            </w:r>
            <w:proofErr w:type="gramEnd"/>
          </w:p>
        </w:tc>
        <w:tc>
          <w:tcPr>
            <w:tcW w:w="0" w:type="auto"/>
            <w:tcBorders>
              <w:top w:val="nil"/>
            </w:tcBorders>
            <w:vAlign w:val="center"/>
          </w:tcPr>
          <w:p w14:paraId="026FB0A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(8.26)</w:t>
            </w:r>
          </w:p>
        </w:tc>
        <w:tc>
          <w:tcPr>
            <w:tcW w:w="0" w:type="auto"/>
            <w:tcBorders>
              <w:top w:val="nil"/>
            </w:tcBorders>
            <w:vAlign w:val="center"/>
          </w:tcPr>
          <w:p w14:paraId="11D8D02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9.53)</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45B57D8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9.45)</w:t>
            </w:r>
            <w:r w:rsidRPr="00A97719">
              <w:rPr>
                <w:rFonts w:ascii="Arial" w:hAnsi="Arial" w:cs="Arial"/>
                <w:spacing w:val="-2"/>
                <w:w w:val="105"/>
                <w:sz w:val="20"/>
                <w:szCs w:val="20"/>
                <w:vertAlign w:val="superscript"/>
              </w:rPr>
              <w:t>ab</w:t>
            </w:r>
            <w:proofErr w:type="gramEnd"/>
          </w:p>
        </w:tc>
        <w:tc>
          <w:tcPr>
            <w:tcW w:w="0" w:type="auto"/>
            <w:tcBorders>
              <w:top w:val="nil"/>
            </w:tcBorders>
            <w:vAlign w:val="center"/>
          </w:tcPr>
          <w:p w14:paraId="5E9E427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8.96)</w:t>
            </w:r>
            <w:r w:rsidRPr="00A97719">
              <w:rPr>
                <w:rFonts w:ascii="Arial" w:hAnsi="Arial" w:cs="Arial"/>
                <w:spacing w:val="-2"/>
                <w:w w:val="105"/>
                <w:sz w:val="20"/>
                <w:szCs w:val="20"/>
                <w:vertAlign w:val="superscript"/>
              </w:rPr>
              <w:t>cd</w:t>
            </w:r>
            <w:proofErr w:type="gramEnd"/>
          </w:p>
        </w:tc>
        <w:tc>
          <w:tcPr>
            <w:tcW w:w="0" w:type="auto"/>
            <w:tcBorders>
              <w:top w:val="nil"/>
            </w:tcBorders>
            <w:vAlign w:val="center"/>
          </w:tcPr>
          <w:p w14:paraId="7869C56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8.84)</w:t>
            </w:r>
            <w:r w:rsidRPr="00A97719">
              <w:rPr>
                <w:rFonts w:ascii="Arial" w:hAnsi="Arial" w:cs="Arial"/>
                <w:spacing w:val="-2"/>
                <w:w w:val="105"/>
                <w:sz w:val="20"/>
                <w:szCs w:val="20"/>
                <w:vertAlign w:val="superscript"/>
              </w:rPr>
              <w:t>cd</w:t>
            </w:r>
            <w:proofErr w:type="gramEnd"/>
          </w:p>
        </w:tc>
        <w:tc>
          <w:tcPr>
            <w:tcW w:w="0" w:type="auto"/>
            <w:tcBorders>
              <w:top w:val="nil"/>
            </w:tcBorders>
            <w:vAlign w:val="center"/>
          </w:tcPr>
          <w:p w14:paraId="0CC79E6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(9.10)</w:t>
            </w:r>
          </w:p>
        </w:tc>
      </w:tr>
      <w:tr w:rsidR="00EC6819" w:rsidRPr="00A97719" w14:paraId="7A3815E5" w14:textId="77777777" w:rsidTr="00F2643D">
        <w:trPr>
          <w:trHeight w:val="20"/>
        </w:trPr>
        <w:tc>
          <w:tcPr>
            <w:tcW w:w="0" w:type="auto"/>
            <w:tcBorders>
              <w:bottom w:val="nil"/>
            </w:tcBorders>
            <w:vAlign w:val="center"/>
          </w:tcPr>
          <w:p w14:paraId="0A706A53" w14:textId="77777777" w:rsidR="00CC1A56" w:rsidRPr="00A97719" w:rsidRDefault="00CC1A56" w:rsidP="004677B3">
            <w:pPr>
              <w:pStyle w:val="TableParagraph"/>
              <w:spacing w:before="71" w:line="276" w:lineRule="auto"/>
              <w:ind w:left="35" w:right="14"/>
              <w:rPr>
                <w:rFonts w:ascii="Arial" w:hAnsi="Arial" w:cs="Arial"/>
                <w:b/>
                <w:sz w:val="20"/>
                <w:szCs w:val="20"/>
              </w:rPr>
            </w:pPr>
            <w:r w:rsidRPr="00A97719">
              <w:rPr>
                <w:rFonts w:ascii="Arial" w:hAnsi="Arial" w:cs="Arial"/>
                <w:b/>
                <w:spacing w:val="-5"/>
                <w:w w:val="105"/>
                <w:sz w:val="20"/>
                <w:szCs w:val="20"/>
              </w:rPr>
              <w:t>30</w:t>
            </w:r>
          </w:p>
        </w:tc>
        <w:tc>
          <w:tcPr>
            <w:tcW w:w="0" w:type="auto"/>
            <w:tcBorders>
              <w:bottom w:val="nil"/>
            </w:tcBorders>
            <w:vAlign w:val="center"/>
          </w:tcPr>
          <w:p w14:paraId="15ABABA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11.22</w:t>
            </w:r>
          </w:p>
        </w:tc>
        <w:tc>
          <w:tcPr>
            <w:tcW w:w="0" w:type="auto"/>
            <w:tcBorders>
              <w:bottom w:val="nil"/>
            </w:tcBorders>
            <w:vAlign w:val="center"/>
          </w:tcPr>
          <w:p w14:paraId="75E3D8D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10.93</w:t>
            </w:r>
          </w:p>
        </w:tc>
        <w:tc>
          <w:tcPr>
            <w:tcW w:w="0" w:type="auto"/>
            <w:tcBorders>
              <w:bottom w:val="nil"/>
            </w:tcBorders>
            <w:vAlign w:val="center"/>
          </w:tcPr>
          <w:p w14:paraId="41018C8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8.83</w:t>
            </w:r>
          </w:p>
        </w:tc>
        <w:tc>
          <w:tcPr>
            <w:tcW w:w="0" w:type="auto"/>
            <w:tcBorders>
              <w:bottom w:val="nil"/>
            </w:tcBorders>
            <w:vAlign w:val="center"/>
          </w:tcPr>
          <w:p w14:paraId="7379500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6.73</w:t>
            </w:r>
          </w:p>
        </w:tc>
        <w:tc>
          <w:tcPr>
            <w:tcW w:w="0" w:type="auto"/>
            <w:tcBorders>
              <w:bottom w:val="nil"/>
            </w:tcBorders>
            <w:vAlign w:val="center"/>
          </w:tcPr>
          <w:p w14:paraId="10007B8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9.43</w:t>
            </w:r>
          </w:p>
        </w:tc>
        <w:tc>
          <w:tcPr>
            <w:tcW w:w="0" w:type="auto"/>
            <w:tcBorders>
              <w:bottom w:val="nil"/>
            </w:tcBorders>
            <w:vAlign w:val="center"/>
          </w:tcPr>
          <w:p w14:paraId="7D8FD97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42.75</w:t>
            </w:r>
          </w:p>
        </w:tc>
        <w:tc>
          <w:tcPr>
            <w:tcW w:w="0" w:type="auto"/>
            <w:tcBorders>
              <w:bottom w:val="nil"/>
            </w:tcBorders>
            <w:vAlign w:val="center"/>
          </w:tcPr>
          <w:p w14:paraId="1296618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45.57</w:t>
            </w:r>
          </w:p>
        </w:tc>
        <w:tc>
          <w:tcPr>
            <w:tcW w:w="0" w:type="auto"/>
            <w:tcBorders>
              <w:bottom w:val="nil"/>
            </w:tcBorders>
            <w:vAlign w:val="center"/>
          </w:tcPr>
          <w:p w14:paraId="2E2853F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38.47</w:t>
            </w:r>
          </w:p>
        </w:tc>
        <w:tc>
          <w:tcPr>
            <w:tcW w:w="0" w:type="auto"/>
            <w:tcBorders>
              <w:bottom w:val="nil"/>
            </w:tcBorders>
            <w:vAlign w:val="center"/>
          </w:tcPr>
          <w:p w14:paraId="5C2A992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30.94</w:t>
            </w:r>
          </w:p>
        </w:tc>
        <w:tc>
          <w:tcPr>
            <w:tcW w:w="0" w:type="auto"/>
            <w:tcBorders>
              <w:bottom w:val="nil"/>
            </w:tcBorders>
            <w:vAlign w:val="center"/>
          </w:tcPr>
          <w:p w14:paraId="6942464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39.43</w:t>
            </w:r>
          </w:p>
        </w:tc>
        <w:tc>
          <w:tcPr>
            <w:tcW w:w="0" w:type="auto"/>
            <w:tcBorders>
              <w:bottom w:val="nil"/>
            </w:tcBorders>
            <w:vAlign w:val="center"/>
          </w:tcPr>
          <w:p w14:paraId="2E8E2AB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68.77</w:t>
            </w:r>
          </w:p>
        </w:tc>
        <w:tc>
          <w:tcPr>
            <w:tcW w:w="0" w:type="auto"/>
            <w:tcBorders>
              <w:bottom w:val="nil"/>
            </w:tcBorders>
            <w:vAlign w:val="center"/>
          </w:tcPr>
          <w:p w14:paraId="1F08A48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65.91</w:t>
            </w:r>
          </w:p>
        </w:tc>
        <w:tc>
          <w:tcPr>
            <w:tcW w:w="0" w:type="auto"/>
            <w:tcBorders>
              <w:bottom w:val="nil"/>
            </w:tcBorders>
            <w:vAlign w:val="center"/>
          </w:tcPr>
          <w:p w14:paraId="299D0C9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65.68</w:t>
            </w:r>
          </w:p>
        </w:tc>
        <w:tc>
          <w:tcPr>
            <w:tcW w:w="0" w:type="auto"/>
            <w:tcBorders>
              <w:bottom w:val="nil"/>
            </w:tcBorders>
            <w:vAlign w:val="center"/>
          </w:tcPr>
          <w:p w14:paraId="08F9ABA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62.03</w:t>
            </w:r>
          </w:p>
        </w:tc>
        <w:tc>
          <w:tcPr>
            <w:tcW w:w="0" w:type="auto"/>
            <w:tcBorders>
              <w:bottom w:val="nil"/>
            </w:tcBorders>
            <w:vAlign w:val="center"/>
          </w:tcPr>
          <w:p w14:paraId="6D3A8CC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65.60</w:t>
            </w:r>
          </w:p>
        </w:tc>
      </w:tr>
      <w:tr w:rsidR="00EC6819" w:rsidRPr="00A97719" w14:paraId="28EE9C7C" w14:textId="77777777" w:rsidTr="00F2643D">
        <w:trPr>
          <w:trHeight w:val="20"/>
        </w:trPr>
        <w:tc>
          <w:tcPr>
            <w:tcW w:w="0" w:type="auto"/>
            <w:tcBorders>
              <w:top w:val="nil"/>
            </w:tcBorders>
            <w:vAlign w:val="center"/>
          </w:tcPr>
          <w:p w14:paraId="54ACDD6A"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06B702A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3.49)</w:t>
            </w:r>
            <w:r w:rsidRPr="00A97719">
              <w:rPr>
                <w:rFonts w:ascii="Arial" w:hAnsi="Arial" w:cs="Arial"/>
                <w:spacing w:val="-2"/>
                <w:w w:val="105"/>
                <w:sz w:val="20"/>
                <w:szCs w:val="20"/>
                <w:vertAlign w:val="superscript"/>
              </w:rPr>
              <w:t>cd</w:t>
            </w:r>
            <w:proofErr w:type="gramEnd"/>
          </w:p>
        </w:tc>
        <w:tc>
          <w:tcPr>
            <w:tcW w:w="0" w:type="auto"/>
            <w:tcBorders>
              <w:top w:val="nil"/>
            </w:tcBorders>
            <w:vAlign w:val="center"/>
          </w:tcPr>
          <w:p w14:paraId="35ED7DA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3.45)</w:t>
            </w:r>
            <w:r w:rsidRPr="00A97719">
              <w:rPr>
                <w:rFonts w:ascii="Arial" w:hAnsi="Arial" w:cs="Arial"/>
                <w:spacing w:val="-2"/>
                <w:w w:val="105"/>
                <w:sz w:val="20"/>
                <w:szCs w:val="20"/>
                <w:vertAlign w:val="superscript"/>
              </w:rPr>
              <w:t>d</w:t>
            </w:r>
            <w:proofErr w:type="gramEnd"/>
          </w:p>
        </w:tc>
        <w:tc>
          <w:tcPr>
            <w:tcW w:w="0" w:type="auto"/>
            <w:tcBorders>
              <w:top w:val="nil"/>
            </w:tcBorders>
            <w:vAlign w:val="center"/>
          </w:tcPr>
          <w:p w14:paraId="72FA90B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sz w:val="20"/>
                <w:szCs w:val="20"/>
              </w:rPr>
              <w:t>(</w:t>
            </w:r>
            <w:proofErr w:type="gramStart"/>
            <w:r w:rsidRPr="00A97719">
              <w:rPr>
                <w:rFonts w:ascii="Arial" w:hAnsi="Arial" w:cs="Arial"/>
                <w:spacing w:val="-2"/>
                <w:sz w:val="20"/>
                <w:szCs w:val="20"/>
              </w:rPr>
              <w:t>3.13)</w:t>
            </w:r>
            <w:r w:rsidRPr="00A97719">
              <w:rPr>
                <w:rFonts w:ascii="Arial" w:hAnsi="Arial" w:cs="Arial"/>
                <w:spacing w:val="-2"/>
                <w:sz w:val="20"/>
                <w:szCs w:val="20"/>
                <w:vertAlign w:val="superscript"/>
              </w:rPr>
              <w:t>de</w:t>
            </w:r>
            <w:r w:rsidRPr="00A97719">
              <w:rPr>
                <w:rFonts w:ascii="Arial" w:hAnsi="Arial" w:cs="Arial"/>
                <w:spacing w:val="-10"/>
                <w:sz w:val="20"/>
                <w:szCs w:val="20"/>
                <w:vertAlign w:val="superscript"/>
              </w:rPr>
              <w:t>f</w:t>
            </w:r>
            <w:proofErr w:type="gramEnd"/>
          </w:p>
        </w:tc>
        <w:tc>
          <w:tcPr>
            <w:tcW w:w="0" w:type="auto"/>
            <w:tcBorders>
              <w:top w:val="nil"/>
            </w:tcBorders>
            <w:vAlign w:val="center"/>
          </w:tcPr>
          <w:p w14:paraId="118D970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2.77)</w:t>
            </w:r>
            <w:proofErr w:type="spellStart"/>
            <w:r w:rsidRPr="00A97719">
              <w:rPr>
                <w:rFonts w:ascii="Arial" w:hAnsi="Arial" w:cs="Arial"/>
                <w:spacing w:val="-2"/>
                <w:w w:val="105"/>
                <w:sz w:val="20"/>
                <w:szCs w:val="20"/>
                <w:vertAlign w:val="superscript"/>
              </w:rPr>
              <w:t>efg</w:t>
            </w:r>
            <w:proofErr w:type="spellEnd"/>
            <w:proofErr w:type="gramEnd"/>
          </w:p>
        </w:tc>
        <w:tc>
          <w:tcPr>
            <w:tcW w:w="0" w:type="auto"/>
            <w:tcBorders>
              <w:top w:val="nil"/>
            </w:tcBorders>
            <w:vAlign w:val="center"/>
          </w:tcPr>
          <w:p w14:paraId="7FE8321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(3.21)</w:t>
            </w:r>
          </w:p>
        </w:tc>
        <w:tc>
          <w:tcPr>
            <w:tcW w:w="0" w:type="auto"/>
            <w:tcBorders>
              <w:top w:val="nil"/>
            </w:tcBorders>
            <w:vAlign w:val="center"/>
          </w:tcPr>
          <w:p w14:paraId="09D5DBC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6.61)</w:t>
            </w:r>
            <w:r w:rsidRPr="00A97719">
              <w:rPr>
                <w:rFonts w:ascii="Arial" w:hAnsi="Arial" w:cs="Arial"/>
                <w:spacing w:val="-2"/>
                <w:w w:val="105"/>
                <w:sz w:val="20"/>
                <w:szCs w:val="20"/>
                <w:vertAlign w:val="superscript"/>
              </w:rPr>
              <w:t>d</w:t>
            </w:r>
            <w:proofErr w:type="gramEnd"/>
          </w:p>
        </w:tc>
        <w:tc>
          <w:tcPr>
            <w:tcW w:w="0" w:type="auto"/>
            <w:tcBorders>
              <w:top w:val="nil"/>
            </w:tcBorders>
            <w:vAlign w:val="center"/>
          </w:tcPr>
          <w:p w14:paraId="6C5CD88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6.81)</w:t>
            </w:r>
            <w:r w:rsidRPr="00A97719">
              <w:rPr>
                <w:rFonts w:ascii="Arial" w:hAnsi="Arial" w:cs="Arial"/>
                <w:spacing w:val="-2"/>
                <w:w w:val="105"/>
                <w:sz w:val="20"/>
                <w:szCs w:val="20"/>
                <w:vertAlign w:val="superscript"/>
              </w:rPr>
              <w:t>d</w:t>
            </w:r>
            <w:proofErr w:type="gramEnd"/>
          </w:p>
        </w:tc>
        <w:tc>
          <w:tcPr>
            <w:tcW w:w="0" w:type="auto"/>
            <w:tcBorders>
              <w:top w:val="nil"/>
            </w:tcBorders>
            <w:vAlign w:val="center"/>
          </w:tcPr>
          <w:p w14:paraId="40EB833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6.28)</w:t>
            </w:r>
            <w:r w:rsidRPr="00A97719">
              <w:rPr>
                <w:rFonts w:ascii="Arial" w:hAnsi="Arial" w:cs="Arial"/>
                <w:spacing w:val="-2"/>
                <w:w w:val="105"/>
                <w:sz w:val="20"/>
                <w:szCs w:val="20"/>
                <w:vertAlign w:val="superscript"/>
              </w:rPr>
              <w:t>de</w:t>
            </w:r>
            <w:proofErr w:type="gramEnd"/>
          </w:p>
        </w:tc>
        <w:tc>
          <w:tcPr>
            <w:tcW w:w="0" w:type="auto"/>
            <w:tcBorders>
              <w:top w:val="nil"/>
            </w:tcBorders>
            <w:vAlign w:val="center"/>
          </w:tcPr>
          <w:p w14:paraId="2615BC9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5.64)</w:t>
            </w:r>
            <w:r w:rsidRPr="00A97719">
              <w:rPr>
                <w:rFonts w:ascii="Arial" w:hAnsi="Arial" w:cs="Arial"/>
                <w:spacing w:val="-2"/>
                <w:w w:val="105"/>
                <w:sz w:val="20"/>
                <w:szCs w:val="20"/>
                <w:vertAlign w:val="superscript"/>
              </w:rPr>
              <w:t>f</w:t>
            </w:r>
            <w:proofErr w:type="gramEnd"/>
          </w:p>
        </w:tc>
        <w:tc>
          <w:tcPr>
            <w:tcW w:w="0" w:type="auto"/>
            <w:tcBorders>
              <w:top w:val="nil"/>
            </w:tcBorders>
            <w:vAlign w:val="center"/>
          </w:tcPr>
          <w:p w14:paraId="2AF1682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(6.34)</w:t>
            </w:r>
          </w:p>
        </w:tc>
        <w:tc>
          <w:tcPr>
            <w:tcW w:w="0" w:type="auto"/>
            <w:tcBorders>
              <w:top w:val="nil"/>
            </w:tcBorders>
            <w:vAlign w:val="center"/>
          </w:tcPr>
          <w:p w14:paraId="0A35F5A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8.35)</w:t>
            </w:r>
            <w:proofErr w:type="spellStart"/>
            <w:r w:rsidRPr="00A97719">
              <w:rPr>
                <w:rFonts w:ascii="Arial" w:hAnsi="Arial" w:cs="Arial"/>
                <w:spacing w:val="-2"/>
                <w:w w:val="105"/>
                <w:sz w:val="20"/>
                <w:szCs w:val="20"/>
                <w:vertAlign w:val="superscript"/>
              </w:rPr>
              <w:t>ef</w:t>
            </w:r>
            <w:proofErr w:type="spellEnd"/>
            <w:proofErr w:type="gramEnd"/>
          </w:p>
        </w:tc>
        <w:tc>
          <w:tcPr>
            <w:tcW w:w="0" w:type="auto"/>
            <w:tcBorders>
              <w:top w:val="nil"/>
            </w:tcBorders>
            <w:vAlign w:val="center"/>
          </w:tcPr>
          <w:p w14:paraId="531D5B0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8.12)</w:t>
            </w:r>
            <w:proofErr w:type="spellStart"/>
            <w:r w:rsidRPr="00A97719">
              <w:rPr>
                <w:rFonts w:ascii="Arial" w:hAnsi="Arial" w:cs="Arial"/>
                <w:spacing w:val="-2"/>
                <w:w w:val="105"/>
                <w:sz w:val="20"/>
                <w:szCs w:val="20"/>
                <w:vertAlign w:val="superscript"/>
              </w:rPr>
              <w:t>fg</w:t>
            </w:r>
            <w:proofErr w:type="spellEnd"/>
            <w:proofErr w:type="gramEnd"/>
          </w:p>
        </w:tc>
        <w:tc>
          <w:tcPr>
            <w:tcW w:w="0" w:type="auto"/>
            <w:tcBorders>
              <w:top w:val="nil"/>
            </w:tcBorders>
            <w:vAlign w:val="center"/>
          </w:tcPr>
          <w:p w14:paraId="2839520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8.16)</w:t>
            </w:r>
            <w:proofErr w:type="spellStart"/>
            <w:r w:rsidRPr="00A97719">
              <w:rPr>
                <w:rFonts w:ascii="Arial" w:hAnsi="Arial" w:cs="Arial"/>
                <w:spacing w:val="-2"/>
                <w:w w:val="105"/>
                <w:sz w:val="20"/>
                <w:szCs w:val="20"/>
                <w:vertAlign w:val="superscript"/>
              </w:rPr>
              <w:t>fg</w:t>
            </w:r>
            <w:proofErr w:type="spellEnd"/>
            <w:proofErr w:type="gramEnd"/>
          </w:p>
        </w:tc>
        <w:tc>
          <w:tcPr>
            <w:tcW w:w="0" w:type="auto"/>
            <w:tcBorders>
              <w:top w:val="nil"/>
            </w:tcBorders>
            <w:vAlign w:val="center"/>
          </w:tcPr>
          <w:p w14:paraId="3A0D1C3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7.94)</w:t>
            </w:r>
            <w:r w:rsidRPr="00A97719">
              <w:rPr>
                <w:rFonts w:ascii="Arial" w:hAnsi="Arial" w:cs="Arial"/>
                <w:spacing w:val="-2"/>
                <w:w w:val="105"/>
                <w:sz w:val="20"/>
                <w:szCs w:val="20"/>
                <w:vertAlign w:val="superscript"/>
              </w:rPr>
              <w:t>g</w:t>
            </w:r>
            <w:proofErr w:type="gramEnd"/>
          </w:p>
        </w:tc>
        <w:tc>
          <w:tcPr>
            <w:tcW w:w="0" w:type="auto"/>
            <w:tcBorders>
              <w:top w:val="nil"/>
            </w:tcBorders>
            <w:vAlign w:val="center"/>
          </w:tcPr>
          <w:p w14:paraId="23FFD72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(8.16)</w:t>
            </w:r>
          </w:p>
        </w:tc>
      </w:tr>
      <w:tr w:rsidR="00EC6819" w:rsidRPr="00A97719" w14:paraId="0ABF33F9" w14:textId="77777777" w:rsidTr="00F2643D">
        <w:trPr>
          <w:trHeight w:val="20"/>
        </w:trPr>
        <w:tc>
          <w:tcPr>
            <w:tcW w:w="0" w:type="auto"/>
            <w:tcBorders>
              <w:bottom w:val="nil"/>
            </w:tcBorders>
            <w:vAlign w:val="center"/>
          </w:tcPr>
          <w:p w14:paraId="64F6114B" w14:textId="77777777" w:rsidR="00CC1A56" w:rsidRPr="00A97719" w:rsidRDefault="00CC1A56" w:rsidP="004677B3">
            <w:pPr>
              <w:pStyle w:val="TableParagraph"/>
              <w:spacing w:before="71" w:line="276" w:lineRule="auto"/>
              <w:ind w:left="35" w:right="14"/>
              <w:rPr>
                <w:rFonts w:ascii="Arial" w:hAnsi="Arial" w:cs="Arial"/>
                <w:b/>
                <w:sz w:val="20"/>
                <w:szCs w:val="20"/>
              </w:rPr>
            </w:pPr>
            <w:r w:rsidRPr="00A97719">
              <w:rPr>
                <w:rFonts w:ascii="Arial" w:hAnsi="Arial" w:cs="Arial"/>
                <w:b/>
                <w:spacing w:val="-5"/>
                <w:w w:val="105"/>
                <w:sz w:val="20"/>
                <w:szCs w:val="20"/>
              </w:rPr>
              <w:t>34</w:t>
            </w:r>
          </w:p>
        </w:tc>
        <w:tc>
          <w:tcPr>
            <w:tcW w:w="0" w:type="auto"/>
            <w:tcBorders>
              <w:bottom w:val="nil"/>
            </w:tcBorders>
            <w:vAlign w:val="center"/>
          </w:tcPr>
          <w:p w14:paraId="4F0258B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10.26</w:t>
            </w:r>
          </w:p>
        </w:tc>
        <w:tc>
          <w:tcPr>
            <w:tcW w:w="0" w:type="auto"/>
            <w:tcBorders>
              <w:bottom w:val="nil"/>
            </w:tcBorders>
            <w:vAlign w:val="center"/>
          </w:tcPr>
          <w:p w14:paraId="28114E1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6.41</w:t>
            </w:r>
          </w:p>
        </w:tc>
        <w:tc>
          <w:tcPr>
            <w:tcW w:w="0" w:type="auto"/>
            <w:tcBorders>
              <w:bottom w:val="nil"/>
            </w:tcBorders>
            <w:vAlign w:val="center"/>
          </w:tcPr>
          <w:p w14:paraId="3AEE001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6.87</w:t>
            </w:r>
          </w:p>
        </w:tc>
        <w:tc>
          <w:tcPr>
            <w:tcW w:w="0" w:type="auto"/>
            <w:tcBorders>
              <w:bottom w:val="nil"/>
            </w:tcBorders>
            <w:vAlign w:val="center"/>
          </w:tcPr>
          <w:p w14:paraId="5785E7C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5.10</w:t>
            </w:r>
          </w:p>
        </w:tc>
        <w:tc>
          <w:tcPr>
            <w:tcW w:w="0" w:type="auto"/>
            <w:tcBorders>
              <w:bottom w:val="nil"/>
            </w:tcBorders>
            <w:vAlign w:val="center"/>
          </w:tcPr>
          <w:p w14:paraId="471A192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7.11</w:t>
            </w:r>
          </w:p>
        </w:tc>
        <w:tc>
          <w:tcPr>
            <w:tcW w:w="0" w:type="auto"/>
            <w:tcBorders>
              <w:bottom w:val="nil"/>
            </w:tcBorders>
            <w:vAlign w:val="center"/>
          </w:tcPr>
          <w:p w14:paraId="4F4304A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34.75</w:t>
            </w:r>
          </w:p>
        </w:tc>
        <w:tc>
          <w:tcPr>
            <w:tcW w:w="0" w:type="auto"/>
            <w:tcBorders>
              <w:bottom w:val="nil"/>
            </w:tcBorders>
            <w:vAlign w:val="center"/>
          </w:tcPr>
          <w:p w14:paraId="5915F8D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28.94</w:t>
            </w:r>
          </w:p>
        </w:tc>
        <w:tc>
          <w:tcPr>
            <w:tcW w:w="0" w:type="auto"/>
            <w:tcBorders>
              <w:bottom w:val="nil"/>
            </w:tcBorders>
            <w:vAlign w:val="center"/>
          </w:tcPr>
          <w:p w14:paraId="3AF94F1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22.24</w:t>
            </w:r>
          </w:p>
        </w:tc>
        <w:tc>
          <w:tcPr>
            <w:tcW w:w="0" w:type="auto"/>
            <w:tcBorders>
              <w:bottom w:val="nil"/>
            </w:tcBorders>
            <w:vAlign w:val="center"/>
          </w:tcPr>
          <w:p w14:paraId="095B00A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18.75</w:t>
            </w:r>
          </w:p>
        </w:tc>
        <w:tc>
          <w:tcPr>
            <w:tcW w:w="0" w:type="auto"/>
            <w:tcBorders>
              <w:bottom w:val="nil"/>
            </w:tcBorders>
            <w:vAlign w:val="center"/>
          </w:tcPr>
          <w:p w14:paraId="03354A2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26.05</w:t>
            </w:r>
          </w:p>
        </w:tc>
        <w:tc>
          <w:tcPr>
            <w:tcW w:w="0" w:type="auto"/>
            <w:tcBorders>
              <w:bottom w:val="nil"/>
            </w:tcBorders>
            <w:vAlign w:val="center"/>
          </w:tcPr>
          <w:p w14:paraId="2E6AB68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54.17</w:t>
            </w:r>
          </w:p>
        </w:tc>
        <w:tc>
          <w:tcPr>
            <w:tcW w:w="0" w:type="auto"/>
            <w:tcBorders>
              <w:bottom w:val="nil"/>
            </w:tcBorders>
            <w:vAlign w:val="center"/>
          </w:tcPr>
          <w:p w14:paraId="4EEA06C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49.70</w:t>
            </w:r>
          </w:p>
        </w:tc>
        <w:tc>
          <w:tcPr>
            <w:tcW w:w="0" w:type="auto"/>
            <w:tcBorders>
              <w:bottom w:val="nil"/>
            </w:tcBorders>
            <w:vAlign w:val="center"/>
          </w:tcPr>
          <w:p w14:paraId="0313030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41.48</w:t>
            </w:r>
          </w:p>
        </w:tc>
        <w:tc>
          <w:tcPr>
            <w:tcW w:w="0" w:type="auto"/>
            <w:tcBorders>
              <w:bottom w:val="nil"/>
            </w:tcBorders>
            <w:vAlign w:val="center"/>
          </w:tcPr>
          <w:p w14:paraId="0B68956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36.20</w:t>
            </w:r>
          </w:p>
        </w:tc>
        <w:tc>
          <w:tcPr>
            <w:tcW w:w="0" w:type="auto"/>
            <w:tcBorders>
              <w:bottom w:val="nil"/>
            </w:tcBorders>
            <w:vAlign w:val="center"/>
          </w:tcPr>
          <w:p w14:paraId="4638C3E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45.39</w:t>
            </w:r>
          </w:p>
        </w:tc>
      </w:tr>
      <w:tr w:rsidR="00EC6819" w:rsidRPr="00A97719" w14:paraId="67D30852" w14:textId="77777777" w:rsidTr="00F2643D">
        <w:trPr>
          <w:trHeight w:val="20"/>
        </w:trPr>
        <w:tc>
          <w:tcPr>
            <w:tcW w:w="0" w:type="auto"/>
            <w:tcBorders>
              <w:top w:val="nil"/>
            </w:tcBorders>
            <w:vAlign w:val="center"/>
          </w:tcPr>
          <w:p w14:paraId="64398636"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0DDEACA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3.32)</w:t>
            </w:r>
            <w:r w:rsidRPr="00A97719">
              <w:rPr>
                <w:rFonts w:ascii="Arial" w:hAnsi="Arial" w:cs="Arial"/>
                <w:spacing w:val="-2"/>
                <w:w w:val="105"/>
                <w:sz w:val="20"/>
                <w:szCs w:val="20"/>
                <w:vertAlign w:val="superscript"/>
              </w:rPr>
              <w:t>de</w:t>
            </w:r>
            <w:r w:rsidRPr="00A97719">
              <w:rPr>
                <w:rFonts w:ascii="Arial" w:hAnsi="Arial" w:cs="Arial"/>
                <w:sz w:val="20"/>
                <w:szCs w:val="20"/>
                <w:vertAlign w:val="superscript"/>
              </w:rPr>
              <w:t>f</w:t>
            </w:r>
            <w:proofErr w:type="gramEnd"/>
          </w:p>
        </w:tc>
        <w:tc>
          <w:tcPr>
            <w:tcW w:w="0" w:type="auto"/>
            <w:tcBorders>
              <w:top w:val="nil"/>
            </w:tcBorders>
            <w:vAlign w:val="center"/>
          </w:tcPr>
          <w:p w14:paraId="3292066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2.72)</w:t>
            </w:r>
            <w:proofErr w:type="spellStart"/>
            <w:r w:rsidRPr="00A97719">
              <w:rPr>
                <w:rFonts w:ascii="Arial" w:hAnsi="Arial" w:cs="Arial"/>
                <w:spacing w:val="-2"/>
                <w:w w:val="105"/>
                <w:sz w:val="20"/>
                <w:szCs w:val="20"/>
                <w:vertAlign w:val="superscript"/>
              </w:rPr>
              <w:t>fg</w:t>
            </w:r>
            <w:proofErr w:type="spellEnd"/>
            <w:proofErr w:type="gramEnd"/>
          </w:p>
        </w:tc>
        <w:tc>
          <w:tcPr>
            <w:tcW w:w="0" w:type="auto"/>
            <w:tcBorders>
              <w:top w:val="nil"/>
            </w:tcBorders>
            <w:vAlign w:val="center"/>
          </w:tcPr>
          <w:p w14:paraId="270CED7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2.80)</w:t>
            </w:r>
            <w:proofErr w:type="spellStart"/>
            <w:r w:rsidRPr="00A97719">
              <w:rPr>
                <w:rFonts w:ascii="Arial" w:hAnsi="Arial" w:cs="Arial"/>
                <w:spacing w:val="-2"/>
                <w:w w:val="105"/>
                <w:sz w:val="20"/>
                <w:szCs w:val="20"/>
                <w:vertAlign w:val="superscript"/>
              </w:rPr>
              <w:t>ef</w:t>
            </w:r>
            <w:r w:rsidRPr="00A97719">
              <w:rPr>
                <w:rFonts w:ascii="Arial" w:hAnsi="Arial" w:cs="Arial"/>
                <w:spacing w:val="-10"/>
                <w:sz w:val="20"/>
                <w:szCs w:val="20"/>
                <w:vertAlign w:val="superscript"/>
              </w:rPr>
              <w:t>g</w:t>
            </w:r>
            <w:proofErr w:type="spellEnd"/>
            <w:proofErr w:type="gramEnd"/>
          </w:p>
        </w:tc>
        <w:tc>
          <w:tcPr>
            <w:tcW w:w="0" w:type="auto"/>
            <w:tcBorders>
              <w:top w:val="nil"/>
            </w:tcBorders>
            <w:vAlign w:val="center"/>
          </w:tcPr>
          <w:p w14:paraId="35FFE49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2.47)</w:t>
            </w:r>
            <w:r w:rsidRPr="00A97719">
              <w:rPr>
                <w:rFonts w:ascii="Arial" w:hAnsi="Arial" w:cs="Arial"/>
                <w:spacing w:val="-2"/>
                <w:w w:val="105"/>
                <w:sz w:val="20"/>
                <w:szCs w:val="20"/>
                <w:vertAlign w:val="superscript"/>
              </w:rPr>
              <w:t>g</w:t>
            </w:r>
            <w:proofErr w:type="gramEnd"/>
          </w:p>
        </w:tc>
        <w:tc>
          <w:tcPr>
            <w:tcW w:w="0" w:type="auto"/>
            <w:tcBorders>
              <w:top w:val="nil"/>
            </w:tcBorders>
            <w:vAlign w:val="center"/>
          </w:tcPr>
          <w:p w14:paraId="34F0A12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(2.83)</w:t>
            </w:r>
          </w:p>
        </w:tc>
        <w:tc>
          <w:tcPr>
            <w:tcW w:w="0" w:type="auto"/>
            <w:tcBorders>
              <w:top w:val="nil"/>
            </w:tcBorders>
            <w:vAlign w:val="center"/>
          </w:tcPr>
          <w:p w14:paraId="0E637FD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5.93)</w:t>
            </w:r>
            <w:proofErr w:type="spellStart"/>
            <w:r w:rsidRPr="00A97719">
              <w:rPr>
                <w:rFonts w:ascii="Arial" w:hAnsi="Arial" w:cs="Arial"/>
                <w:spacing w:val="-2"/>
                <w:w w:val="105"/>
                <w:sz w:val="20"/>
                <w:szCs w:val="20"/>
                <w:vertAlign w:val="superscript"/>
              </w:rPr>
              <w:t>ef</w:t>
            </w:r>
            <w:proofErr w:type="spellEnd"/>
            <w:proofErr w:type="gramEnd"/>
          </w:p>
        </w:tc>
        <w:tc>
          <w:tcPr>
            <w:tcW w:w="0" w:type="auto"/>
            <w:tcBorders>
              <w:top w:val="nil"/>
            </w:tcBorders>
            <w:vAlign w:val="center"/>
          </w:tcPr>
          <w:p w14:paraId="1A2CC5D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5.47)</w:t>
            </w:r>
            <w:r w:rsidRPr="00A97719">
              <w:rPr>
                <w:rFonts w:ascii="Arial" w:hAnsi="Arial" w:cs="Arial"/>
                <w:spacing w:val="-2"/>
                <w:w w:val="105"/>
                <w:sz w:val="20"/>
                <w:szCs w:val="20"/>
                <w:vertAlign w:val="superscript"/>
              </w:rPr>
              <w:t>f</w:t>
            </w:r>
            <w:proofErr w:type="gramEnd"/>
          </w:p>
        </w:tc>
        <w:tc>
          <w:tcPr>
            <w:tcW w:w="0" w:type="auto"/>
            <w:tcBorders>
              <w:top w:val="nil"/>
            </w:tcBorders>
            <w:vAlign w:val="center"/>
          </w:tcPr>
          <w:p w14:paraId="42AF3F7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4.80)</w:t>
            </w:r>
            <w:r w:rsidRPr="00A97719">
              <w:rPr>
                <w:rFonts w:ascii="Arial" w:hAnsi="Arial" w:cs="Arial"/>
                <w:spacing w:val="-2"/>
                <w:w w:val="105"/>
                <w:sz w:val="20"/>
                <w:szCs w:val="20"/>
                <w:vertAlign w:val="superscript"/>
              </w:rPr>
              <w:t>g</w:t>
            </w:r>
            <w:proofErr w:type="gramEnd"/>
          </w:p>
        </w:tc>
        <w:tc>
          <w:tcPr>
            <w:tcW w:w="0" w:type="auto"/>
            <w:tcBorders>
              <w:top w:val="nil"/>
            </w:tcBorders>
            <w:vAlign w:val="center"/>
          </w:tcPr>
          <w:p w14:paraId="5822C16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4.44)</w:t>
            </w:r>
            <w:r w:rsidRPr="00A97719">
              <w:rPr>
                <w:rFonts w:ascii="Arial" w:hAnsi="Arial" w:cs="Arial"/>
                <w:spacing w:val="-2"/>
                <w:w w:val="105"/>
                <w:sz w:val="20"/>
                <w:szCs w:val="20"/>
                <w:vertAlign w:val="superscript"/>
              </w:rPr>
              <w:t>g</w:t>
            </w:r>
            <w:proofErr w:type="gramEnd"/>
          </w:p>
        </w:tc>
        <w:tc>
          <w:tcPr>
            <w:tcW w:w="0" w:type="auto"/>
            <w:tcBorders>
              <w:top w:val="nil"/>
            </w:tcBorders>
            <w:vAlign w:val="center"/>
          </w:tcPr>
          <w:p w14:paraId="48633C7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(5.16)</w:t>
            </w:r>
          </w:p>
        </w:tc>
        <w:tc>
          <w:tcPr>
            <w:tcW w:w="0" w:type="auto"/>
            <w:tcBorders>
              <w:top w:val="nil"/>
            </w:tcBorders>
            <w:vAlign w:val="center"/>
          </w:tcPr>
          <w:p w14:paraId="2213F1E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7.42)</w:t>
            </w:r>
            <w:r w:rsidRPr="00A97719">
              <w:rPr>
                <w:rFonts w:ascii="Arial" w:hAnsi="Arial" w:cs="Arial"/>
                <w:spacing w:val="-2"/>
                <w:w w:val="105"/>
                <w:sz w:val="20"/>
                <w:szCs w:val="20"/>
                <w:vertAlign w:val="superscript"/>
              </w:rPr>
              <w:t>h</w:t>
            </w:r>
            <w:proofErr w:type="gramEnd"/>
          </w:p>
        </w:tc>
        <w:tc>
          <w:tcPr>
            <w:tcW w:w="0" w:type="auto"/>
            <w:tcBorders>
              <w:top w:val="nil"/>
            </w:tcBorders>
            <w:vAlign w:val="center"/>
          </w:tcPr>
          <w:p w14:paraId="7234261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7.12)</w:t>
            </w:r>
            <w:r w:rsidRPr="00A97719">
              <w:rPr>
                <w:rFonts w:ascii="Arial" w:hAnsi="Arial" w:cs="Arial"/>
                <w:spacing w:val="-2"/>
                <w:w w:val="105"/>
                <w:sz w:val="20"/>
                <w:szCs w:val="20"/>
                <w:vertAlign w:val="superscript"/>
              </w:rPr>
              <w:t>h</w:t>
            </w:r>
            <w:proofErr w:type="gramEnd"/>
          </w:p>
        </w:tc>
        <w:tc>
          <w:tcPr>
            <w:tcW w:w="0" w:type="auto"/>
            <w:tcBorders>
              <w:top w:val="nil"/>
            </w:tcBorders>
            <w:vAlign w:val="center"/>
          </w:tcPr>
          <w:p w14:paraId="55A67E9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6.52)</w:t>
            </w:r>
            <w:proofErr w:type="spellStart"/>
            <w:r w:rsidRPr="00A97719">
              <w:rPr>
                <w:rFonts w:ascii="Arial" w:hAnsi="Arial" w:cs="Arial"/>
                <w:spacing w:val="-2"/>
                <w:w w:val="105"/>
                <w:sz w:val="20"/>
                <w:szCs w:val="20"/>
                <w:vertAlign w:val="superscript"/>
              </w:rPr>
              <w:t>i</w:t>
            </w:r>
            <w:proofErr w:type="spellEnd"/>
            <w:proofErr w:type="gramEnd"/>
          </w:p>
        </w:tc>
        <w:tc>
          <w:tcPr>
            <w:tcW w:w="0" w:type="auto"/>
            <w:tcBorders>
              <w:top w:val="nil"/>
            </w:tcBorders>
            <w:vAlign w:val="center"/>
          </w:tcPr>
          <w:p w14:paraId="6F53949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6.09)</w:t>
            </w:r>
            <w:r w:rsidRPr="00A97719">
              <w:rPr>
                <w:rFonts w:ascii="Arial" w:hAnsi="Arial" w:cs="Arial"/>
                <w:spacing w:val="-2"/>
                <w:w w:val="105"/>
                <w:sz w:val="20"/>
                <w:szCs w:val="20"/>
                <w:vertAlign w:val="superscript"/>
              </w:rPr>
              <w:t>j</w:t>
            </w:r>
            <w:proofErr w:type="gramEnd"/>
          </w:p>
        </w:tc>
        <w:tc>
          <w:tcPr>
            <w:tcW w:w="0" w:type="auto"/>
            <w:tcBorders>
              <w:top w:val="nil"/>
            </w:tcBorders>
            <w:vAlign w:val="center"/>
          </w:tcPr>
          <w:p w14:paraId="74792D7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(6.79)</w:t>
            </w:r>
          </w:p>
        </w:tc>
      </w:tr>
      <w:tr w:rsidR="00EC6819" w:rsidRPr="00A97719" w14:paraId="2D070469" w14:textId="77777777" w:rsidTr="00F2643D">
        <w:trPr>
          <w:trHeight w:val="20"/>
        </w:trPr>
        <w:tc>
          <w:tcPr>
            <w:tcW w:w="0" w:type="auto"/>
            <w:tcBorders>
              <w:bottom w:val="nil"/>
            </w:tcBorders>
            <w:vAlign w:val="center"/>
          </w:tcPr>
          <w:p w14:paraId="25F331FE" w14:textId="77777777" w:rsidR="00CC1A56" w:rsidRPr="00A97719" w:rsidRDefault="00CC1A56" w:rsidP="004677B3">
            <w:pPr>
              <w:pStyle w:val="TableParagraph"/>
              <w:spacing w:before="64" w:line="276" w:lineRule="auto"/>
              <w:ind w:left="35"/>
              <w:rPr>
                <w:rFonts w:ascii="Arial" w:hAnsi="Arial" w:cs="Arial"/>
                <w:b/>
                <w:sz w:val="20"/>
                <w:szCs w:val="20"/>
              </w:rPr>
            </w:pPr>
            <w:r w:rsidRPr="00A97719">
              <w:rPr>
                <w:rFonts w:ascii="Arial" w:hAnsi="Arial" w:cs="Arial"/>
                <w:b/>
                <w:w w:val="105"/>
                <w:sz w:val="20"/>
                <w:szCs w:val="20"/>
              </w:rPr>
              <w:t>Mean</w:t>
            </w:r>
            <w:r w:rsidRPr="00A97719">
              <w:rPr>
                <w:rFonts w:ascii="Arial" w:hAnsi="Arial" w:cs="Arial"/>
                <w:b/>
                <w:spacing w:val="-11"/>
                <w:w w:val="105"/>
                <w:sz w:val="20"/>
                <w:szCs w:val="20"/>
              </w:rPr>
              <w:t xml:space="preserve"> (</w:t>
            </w:r>
            <w:r w:rsidRPr="00A97719">
              <w:rPr>
                <w:rFonts w:ascii="Arial" w:hAnsi="Arial" w:cs="Arial"/>
                <w:b/>
                <w:spacing w:val="-10"/>
                <w:w w:val="105"/>
                <w:sz w:val="20"/>
                <w:szCs w:val="20"/>
              </w:rPr>
              <w:t>A)</w:t>
            </w:r>
          </w:p>
        </w:tc>
        <w:tc>
          <w:tcPr>
            <w:tcW w:w="0" w:type="auto"/>
            <w:tcBorders>
              <w:bottom w:val="nil"/>
            </w:tcBorders>
            <w:vAlign w:val="center"/>
          </w:tcPr>
          <w:p w14:paraId="7DD1AEF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18.20</w:t>
            </w:r>
          </w:p>
        </w:tc>
        <w:tc>
          <w:tcPr>
            <w:tcW w:w="0" w:type="auto"/>
            <w:tcBorders>
              <w:bottom w:val="nil"/>
            </w:tcBorders>
            <w:vAlign w:val="center"/>
          </w:tcPr>
          <w:p w14:paraId="7031534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20.95</w:t>
            </w:r>
          </w:p>
        </w:tc>
        <w:tc>
          <w:tcPr>
            <w:tcW w:w="0" w:type="auto"/>
            <w:tcBorders>
              <w:bottom w:val="nil"/>
            </w:tcBorders>
            <w:vAlign w:val="center"/>
          </w:tcPr>
          <w:p w14:paraId="2F55A5A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10.37</w:t>
            </w:r>
          </w:p>
        </w:tc>
        <w:tc>
          <w:tcPr>
            <w:tcW w:w="0" w:type="auto"/>
            <w:tcBorders>
              <w:bottom w:val="nil"/>
            </w:tcBorders>
            <w:vAlign w:val="center"/>
          </w:tcPr>
          <w:p w14:paraId="03C0310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8.11</w:t>
            </w:r>
          </w:p>
        </w:tc>
        <w:tc>
          <w:tcPr>
            <w:tcW w:w="0" w:type="auto"/>
            <w:tcBorders>
              <w:bottom w:val="nil"/>
            </w:tcBorders>
            <w:vAlign w:val="center"/>
          </w:tcPr>
          <w:p w14:paraId="7F250EE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tcBorders>
              <w:bottom w:val="nil"/>
            </w:tcBorders>
            <w:vAlign w:val="center"/>
          </w:tcPr>
          <w:p w14:paraId="4BBA042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58.89</w:t>
            </w:r>
          </w:p>
        </w:tc>
        <w:tc>
          <w:tcPr>
            <w:tcW w:w="0" w:type="auto"/>
            <w:tcBorders>
              <w:bottom w:val="nil"/>
            </w:tcBorders>
            <w:vAlign w:val="center"/>
          </w:tcPr>
          <w:p w14:paraId="3A3DD0E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60.08</w:t>
            </w:r>
          </w:p>
        </w:tc>
        <w:tc>
          <w:tcPr>
            <w:tcW w:w="0" w:type="auto"/>
            <w:tcBorders>
              <w:bottom w:val="nil"/>
            </w:tcBorders>
            <w:vAlign w:val="center"/>
          </w:tcPr>
          <w:p w14:paraId="70837F4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49.35</w:t>
            </w:r>
          </w:p>
        </w:tc>
        <w:tc>
          <w:tcPr>
            <w:tcW w:w="0" w:type="auto"/>
            <w:tcBorders>
              <w:bottom w:val="nil"/>
            </w:tcBorders>
            <w:vAlign w:val="center"/>
          </w:tcPr>
          <w:p w14:paraId="7FB7FAA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38.73</w:t>
            </w:r>
          </w:p>
        </w:tc>
        <w:tc>
          <w:tcPr>
            <w:tcW w:w="0" w:type="auto"/>
            <w:vMerge w:val="restart"/>
            <w:vAlign w:val="center"/>
          </w:tcPr>
          <w:p w14:paraId="5017A35F"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bottom w:val="nil"/>
            </w:tcBorders>
            <w:vAlign w:val="center"/>
          </w:tcPr>
          <w:p w14:paraId="35E3511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75.48</w:t>
            </w:r>
          </w:p>
        </w:tc>
        <w:tc>
          <w:tcPr>
            <w:tcW w:w="0" w:type="auto"/>
            <w:tcBorders>
              <w:bottom w:val="nil"/>
            </w:tcBorders>
            <w:vAlign w:val="center"/>
          </w:tcPr>
          <w:p w14:paraId="6CAB00E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71.76</w:t>
            </w:r>
          </w:p>
        </w:tc>
        <w:tc>
          <w:tcPr>
            <w:tcW w:w="0" w:type="auto"/>
            <w:tcBorders>
              <w:bottom w:val="nil"/>
            </w:tcBorders>
            <w:vAlign w:val="center"/>
          </w:tcPr>
          <w:p w14:paraId="774E691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66.50</w:t>
            </w:r>
          </w:p>
        </w:tc>
        <w:tc>
          <w:tcPr>
            <w:tcW w:w="0" w:type="auto"/>
            <w:tcBorders>
              <w:bottom w:val="nil"/>
            </w:tcBorders>
            <w:vAlign w:val="center"/>
          </w:tcPr>
          <w:p w14:paraId="1621B89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62.23</w:t>
            </w:r>
          </w:p>
        </w:tc>
        <w:tc>
          <w:tcPr>
            <w:tcW w:w="0" w:type="auto"/>
            <w:tcBorders>
              <w:bottom w:val="nil"/>
            </w:tcBorders>
            <w:vAlign w:val="center"/>
          </w:tcPr>
          <w:p w14:paraId="26B29B9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r w:rsidR="00EC6819" w:rsidRPr="00A97719" w14:paraId="4240DED0" w14:textId="77777777" w:rsidTr="00F2643D">
        <w:trPr>
          <w:trHeight w:val="20"/>
        </w:trPr>
        <w:tc>
          <w:tcPr>
            <w:tcW w:w="0" w:type="auto"/>
            <w:tcBorders>
              <w:top w:val="nil"/>
            </w:tcBorders>
            <w:vAlign w:val="center"/>
          </w:tcPr>
          <w:p w14:paraId="0140F7DB"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3471398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(4.26)</w:t>
            </w:r>
          </w:p>
        </w:tc>
        <w:tc>
          <w:tcPr>
            <w:tcW w:w="0" w:type="auto"/>
            <w:tcBorders>
              <w:top w:val="nil"/>
            </w:tcBorders>
            <w:vAlign w:val="center"/>
          </w:tcPr>
          <w:p w14:paraId="76B8563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(4.45)</w:t>
            </w:r>
          </w:p>
        </w:tc>
        <w:tc>
          <w:tcPr>
            <w:tcW w:w="0" w:type="auto"/>
            <w:tcBorders>
              <w:top w:val="nil"/>
            </w:tcBorders>
            <w:vAlign w:val="center"/>
          </w:tcPr>
          <w:p w14:paraId="18CF87F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(3.34)</w:t>
            </w:r>
          </w:p>
        </w:tc>
        <w:tc>
          <w:tcPr>
            <w:tcW w:w="0" w:type="auto"/>
            <w:tcBorders>
              <w:top w:val="nil"/>
            </w:tcBorders>
            <w:vAlign w:val="center"/>
          </w:tcPr>
          <w:p w14:paraId="6C9F7E5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(2.99)</w:t>
            </w:r>
          </w:p>
        </w:tc>
        <w:tc>
          <w:tcPr>
            <w:tcW w:w="0" w:type="auto"/>
            <w:tcBorders>
              <w:top w:val="nil"/>
            </w:tcBorders>
            <w:vAlign w:val="center"/>
          </w:tcPr>
          <w:p w14:paraId="3DBDF218"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3AFD688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(7.61)</w:t>
            </w:r>
          </w:p>
        </w:tc>
        <w:tc>
          <w:tcPr>
            <w:tcW w:w="0" w:type="auto"/>
            <w:tcBorders>
              <w:top w:val="nil"/>
            </w:tcBorders>
            <w:vAlign w:val="center"/>
          </w:tcPr>
          <w:p w14:paraId="26A096E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(7.65)</w:t>
            </w:r>
          </w:p>
        </w:tc>
        <w:tc>
          <w:tcPr>
            <w:tcW w:w="0" w:type="auto"/>
            <w:tcBorders>
              <w:top w:val="nil"/>
            </w:tcBorders>
            <w:vAlign w:val="center"/>
          </w:tcPr>
          <w:p w14:paraId="79CAFAA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(6.23)</w:t>
            </w:r>
          </w:p>
        </w:tc>
        <w:tc>
          <w:tcPr>
            <w:tcW w:w="0" w:type="auto"/>
            <w:tcBorders>
              <w:top w:val="nil"/>
            </w:tcBorders>
            <w:vAlign w:val="center"/>
          </w:tcPr>
          <w:p w14:paraId="7AFEE2D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(6.16)</w:t>
            </w:r>
          </w:p>
        </w:tc>
        <w:tc>
          <w:tcPr>
            <w:tcW w:w="0" w:type="auto"/>
            <w:vMerge/>
            <w:tcBorders>
              <w:top w:val="nil"/>
            </w:tcBorders>
            <w:vAlign w:val="center"/>
          </w:tcPr>
          <w:p w14:paraId="1F51037C" w14:textId="77777777" w:rsidR="00CC1A56" w:rsidRPr="00A97719" w:rsidRDefault="00CC1A56" w:rsidP="004677B3">
            <w:pPr>
              <w:spacing w:after="0" w:line="276" w:lineRule="auto"/>
              <w:jc w:val="center"/>
              <w:rPr>
                <w:rFonts w:ascii="Arial" w:hAnsi="Arial" w:cs="Arial"/>
                <w:sz w:val="20"/>
                <w:szCs w:val="20"/>
              </w:rPr>
            </w:pPr>
          </w:p>
        </w:tc>
        <w:tc>
          <w:tcPr>
            <w:tcW w:w="0" w:type="auto"/>
            <w:tcBorders>
              <w:top w:val="nil"/>
            </w:tcBorders>
            <w:vAlign w:val="center"/>
          </w:tcPr>
          <w:p w14:paraId="01FF7A8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(8.70)</w:t>
            </w:r>
          </w:p>
        </w:tc>
        <w:tc>
          <w:tcPr>
            <w:tcW w:w="0" w:type="auto"/>
            <w:tcBorders>
              <w:top w:val="nil"/>
            </w:tcBorders>
            <w:vAlign w:val="center"/>
          </w:tcPr>
          <w:p w14:paraId="410B3AC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(8.48)</w:t>
            </w:r>
          </w:p>
        </w:tc>
        <w:tc>
          <w:tcPr>
            <w:tcW w:w="0" w:type="auto"/>
            <w:tcBorders>
              <w:top w:val="nil"/>
            </w:tcBorders>
            <w:vAlign w:val="center"/>
          </w:tcPr>
          <w:p w14:paraId="66DB63B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(8.15)</w:t>
            </w:r>
          </w:p>
        </w:tc>
        <w:tc>
          <w:tcPr>
            <w:tcW w:w="0" w:type="auto"/>
            <w:tcBorders>
              <w:top w:val="nil"/>
            </w:tcBorders>
            <w:vAlign w:val="center"/>
          </w:tcPr>
          <w:p w14:paraId="098DA93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(7.88)</w:t>
            </w:r>
          </w:p>
        </w:tc>
        <w:tc>
          <w:tcPr>
            <w:tcW w:w="0" w:type="auto"/>
            <w:tcBorders>
              <w:top w:val="nil"/>
            </w:tcBorders>
            <w:vAlign w:val="center"/>
          </w:tcPr>
          <w:p w14:paraId="1AA18A3C" w14:textId="77777777" w:rsidR="00CC1A56" w:rsidRPr="00A97719" w:rsidRDefault="00CC1A56" w:rsidP="004677B3">
            <w:pPr>
              <w:pStyle w:val="TableParagraph"/>
              <w:spacing w:before="0" w:line="276" w:lineRule="auto"/>
              <w:ind w:left="0"/>
              <w:rPr>
                <w:rFonts w:ascii="Arial" w:hAnsi="Arial" w:cs="Arial"/>
                <w:sz w:val="20"/>
                <w:szCs w:val="20"/>
              </w:rPr>
            </w:pPr>
          </w:p>
        </w:tc>
      </w:tr>
      <w:tr w:rsidR="00EC6819" w:rsidRPr="00A97719" w14:paraId="5691B308" w14:textId="77777777" w:rsidTr="00F2643D">
        <w:trPr>
          <w:trHeight w:val="20"/>
        </w:trPr>
        <w:tc>
          <w:tcPr>
            <w:tcW w:w="0" w:type="auto"/>
            <w:vAlign w:val="center"/>
          </w:tcPr>
          <w:p w14:paraId="4DB0A22F"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vAlign w:val="center"/>
          </w:tcPr>
          <w:p w14:paraId="0C4AD00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SEm±</w:t>
            </w:r>
          </w:p>
        </w:tc>
        <w:tc>
          <w:tcPr>
            <w:tcW w:w="0" w:type="auto"/>
            <w:vAlign w:val="center"/>
          </w:tcPr>
          <w:p w14:paraId="2D1A4B3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4C383A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3B9F346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w w:val="105"/>
                <w:sz w:val="20"/>
                <w:szCs w:val="20"/>
              </w:rPr>
              <w:t>CD</w:t>
            </w:r>
            <w:r w:rsidRPr="00A97719">
              <w:rPr>
                <w:rFonts w:ascii="Arial" w:hAnsi="Arial" w:cs="Arial"/>
                <w:spacing w:val="-6"/>
                <w:w w:val="105"/>
                <w:sz w:val="20"/>
                <w:szCs w:val="20"/>
              </w:rPr>
              <w:t xml:space="preserve"> </w:t>
            </w:r>
            <w:r w:rsidRPr="00A97719">
              <w:rPr>
                <w:rFonts w:ascii="Arial" w:hAnsi="Arial" w:cs="Arial"/>
                <w:w w:val="105"/>
                <w:sz w:val="20"/>
                <w:szCs w:val="20"/>
              </w:rPr>
              <w:t>at</w:t>
            </w:r>
            <w:r w:rsidRPr="00A97719">
              <w:rPr>
                <w:rFonts w:ascii="Arial" w:hAnsi="Arial" w:cs="Arial"/>
                <w:spacing w:val="-6"/>
                <w:w w:val="105"/>
                <w:sz w:val="20"/>
                <w:szCs w:val="20"/>
              </w:rPr>
              <w:t xml:space="preserve"> </w:t>
            </w:r>
            <w:r w:rsidRPr="00A97719">
              <w:rPr>
                <w:rFonts w:ascii="Arial" w:hAnsi="Arial" w:cs="Arial"/>
                <w:spacing w:val="-5"/>
                <w:w w:val="105"/>
                <w:sz w:val="20"/>
                <w:szCs w:val="20"/>
              </w:rPr>
              <w:t>5%</w:t>
            </w:r>
          </w:p>
        </w:tc>
        <w:tc>
          <w:tcPr>
            <w:tcW w:w="0" w:type="auto"/>
            <w:vAlign w:val="center"/>
          </w:tcPr>
          <w:p w14:paraId="65AA21D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AE2224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SEm±</w:t>
            </w:r>
          </w:p>
        </w:tc>
        <w:tc>
          <w:tcPr>
            <w:tcW w:w="0" w:type="auto"/>
            <w:vAlign w:val="center"/>
          </w:tcPr>
          <w:p w14:paraId="604AF05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35F20F1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238EF7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w w:val="105"/>
                <w:sz w:val="20"/>
                <w:szCs w:val="20"/>
              </w:rPr>
              <w:t>CD</w:t>
            </w:r>
            <w:r w:rsidRPr="00A97719">
              <w:rPr>
                <w:rFonts w:ascii="Arial" w:hAnsi="Arial" w:cs="Arial"/>
                <w:spacing w:val="-6"/>
                <w:w w:val="105"/>
                <w:sz w:val="20"/>
                <w:szCs w:val="20"/>
              </w:rPr>
              <w:t xml:space="preserve"> </w:t>
            </w:r>
            <w:r w:rsidRPr="00A97719">
              <w:rPr>
                <w:rFonts w:ascii="Arial" w:hAnsi="Arial" w:cs="Arial"/>
                <w:w w:val="105"/>
                <w:sz w:val="20"/>
                <w:szCs w:val="20"/>
              </w:rPr>
              <w:t>at</w:t>
            </w:r>
            <w:r w:rsidRPr="00A97719">
              <w:rPr>
                <w:rFonts w:ascii="Arial" w:hAnsi="Arial" w:cs="Arial"/>
                <w:spacing w:val="-6"/>
                <w:w w:val="105"/>
                <w:sz w:val="20"/>
                <w:szCs w:val="20"/>
              </w:rPr>
              <w:t xml:space="preserve"> </w:t>
            </w:r>
            <w:r w:rsidRPr="00A97719">
              <w:rPr>
                <w:rFonts w:ascii="Arial" w:hAnsi="Arial" w:cs="Arial"/>
                <w:spacing w:val="-5"/>
                <w:w w:val="105"/>
                <w:sz w:val="20"/>
                <w:szCs w:val="20"/>
              </w:rPr>
              <w:t>5%</w:t>
            </w:r>
          </w:p>
        </w:tc>
        <w:tc>
          <w:tcPr>
            <w:tcW w:w="0" w:type="auto"/>
            <w:vAlign w:val="center"/>
          </w:tcPr>
          <w:p w14:paraId="7D48995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52EFC3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SEm±</w:t>
            </w:r>
          </w:p>
        </w:tc>
        <w:tc>
          <w:tcPr>
            <w:tcW w:w="0" w:type="auto"/>
            <w:vAlign w:val="center"/>
          </w:tcPr>
          <w:p w14:paraId="568E959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370D598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16309F8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w w:val="105"/>
                <w:sz w:val="20"/>
                <w:szCs w:val="20"/>
              </w:rPr>
              <w:t>CD</w:t>
            </w:r>
            <w:r w:rsidRPr="00A97719">
              <w:rPr>
                <w:rFonts w:ascii="Arial" w:hAnsi="Arial" w:cs="Arial"/>
                <w:spacing w:val="-6"/>
                <w:w w:val="105"/>
                <w:sz w:val="20"/>
                <w:szCs w:val="20"/>
              </w:rPr>
              <w:t xml:space="preserve"> </w:t>
            </w:r>
            <w:r w:rsidRPr="00A97719">
              <w:rPr>
                <w:rFonts w:ascii="Arial" w:hAnsi="Arial" w:cs="Arial"/>
                <w:w w:val="105"/>
                <w:sz w:val="20"/>
                <w:szCs w:val="20"/>
              </w:rPr>
              <w:t>at</w:t>
            </w:r>
            <w:r w:rsidRPr="00A97719">
              <w:rPr>
                <w:rFonts w:ascii="Arial" w:hAnsi="Arial" w:cs="Arial"/>
                <w:spacing w:val="-6"/>
                <w:w w:val="105"/>
                <w:sz w:val="20"/>
                <w:szCs w:val="20"/>
              </w:rPr>
              <w:t xml:space="preserve"> </w:t>
            </w:r>
            <w:r w:rsidRPr="00A97719">
              <w:rPr>
                <w:rFonts w:ascii="Arial" w:hAnsi="Arial" w:cs="Arial"/>
                <w:spacing w:val="-9"/>
                <w:w w:val="105"/>
                <w:sz w:val="20"/>
                <w:szCs w:val="20"/>
              </w:rPr>
              <w:t>5%</w:t>
            </w:r>
          </w:p>
        </w:tc>
        <w:tc>
          <w:tcPr>
            <w:tcW w:w="0" w:type="auto"/>
            <w:vAlign w:val="center"/>
          </w:tcPr>
          <w:p w14:paraId="6264F82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r w:rsidR="00EC6819" w:rsidRPr="00A97719" w14:paraId="3EC471DC" w14:textId="77777777" w:rsidTr="00F2643D">
        <w:trPr>
          <w:trHeight w:val="20"/>
        </w:trPr>
        <w:tc>
          <w:tcPr>
            <w:tcW w:w="0" w:type="auto"/>
            <w:vAlign w:val="center"/>
          </w:tcPr>
          <w:p w14:paraId="2E8E2E32" w14:textId="77777777" w:rsidR="00CC1A56" w:rsidRPr="00A97719" w:rsidRDefault="00CC1A56" w:rsidP="004677B3">
            <w:pPr>
              <w:pStyle w:val="TableParagraph"/>
              <w:spacing w:line="276" w:lineRule="auto"/>
              <w:ind w:left="35" w:right="14"/>
              <w:rPr>
                <w:rFonts w:ascii="Arial" w:hAnsi="Arial" w:cs="Arial"/>
                <w:b/>
                <w:sz w:val="20"/>
                <w:szCs w:val="20"/>
              </w:rPr>
            </w:pPr>
            <w:r w:rsidRPr="00A97719">
              <w:rPr>
                <w:rFonts w:ascii="Arial" w:hAnsi="Arial" w:cs="Arial"/>
                <w:b/>
                <w:spacing w:val="-2"/>
                <w:w w:val="105"/>
                <w:sz w:val="20"/>
                <w:szCs w:val="20"/>
              </w:rPr>
              <w:t>Factor</w:t>
            </w:r>
            <w:r w:rsidRPr="00A97719">
              <w:rPr>
                <w:rFonts w:ascii="Arial" w:hAnsi="Arial" w:cs="Arial"/>
                <w:b/>
                <w:spacing w:val="-7"/>
                <w:w w:val="105"/>
                <w:sz w:val="20"/>
                <w:szCs w:val="20"/>
              </w:rPr>
              <w:t xml:space="preserve"> </w:t>
            </w:r>
            <w:r w:rsidRPr="00A97719">
              <w:rPr>
                <w:rFonts w:ascii="Arial" w:hAnsi="Arial" w:cs="Arial"/>
                <w:b/>
                <w:spacing w:val="-5"/>
                <w:w w:val="105"/>
                <w:sz w:val="20"/>
                <w:szCs w:val="20"/>
              </w:rPr>
              <w:t>(A)</w:t>
            </w:r>
          </w:p>
        </w:tc>
        <w:tc>
          <w:tcPr>
            <w:tcW w:w="0" w:type="auto"/>
            <w:vAlign w:val="center"/>
          </w:tcPr>
          <w:p w14:paraId="1F8F0A6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4D8F143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05086DE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F6D3FE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0.28</w:t>
            </w:r>
          </w:p>
        </w:tc>
        <w:tc>
          <w:tcPr>
            <w:tcW w:w="0" w:type="auto"/>
            <w:vAlign w:val="center"/>
          </w:tcPr>
          <w:p w14:paraId="0D38C2C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5961C6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7ACD2EE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C8E362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6C154C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0.28</w:t>
            </w:r>
          </w:p>
        </w:tc>
        <w:tc>
          <w:tcPr>
            <w:tcW w:w="0" w:type="auto"/>
            <w:vAlign w:val="center"/>
          </w:tcPr>
          <w:p w14:paraId="21DD6C5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6924BF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0.06</w:t>
            </w:r>
          </w:p>
        </w:tc>
        <w:tc>
          <w:tcPr>
            <w:tcW w:w="0" w:type="auto"/>
            <w:vAlign w:val="center"/>
          </w:tcPr>
          <w:p w14:paraId="75789D4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F361A7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9A1015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0.16</w:t>
            </w:r>
          </w:p>
        </w:tc>
        <w:tc>
          <w:tcPr>
            <w:tcW w:w="0" w:type="auto"/>
            <w:vAlign w:val="center"/>
          </w:tcPr>
          <w:p w14:paraId="40BD71D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r w:rsidR="00EC6819" w:rsidRPr="00A97719" w14:paraId="6361916C" w14:textId="77777777" w:rsidTr="00F2643D">
        <w:trPr>
          <w:trHeight w:val="20"/>
        </w:trPr>
        <w:tc>
          <w:tcPr>
            <w:tcW w:w="0" w:type="auto"/>
            <w:vAlign w:val="center"/>
          </w:tcPr>
          <w:p w14:paraId="1150E655" w14:textId="77777777" w:rsidR="00CC1A56" w:rsidRPr="00A97719" w:rsidRDefault="00CC1A56" w:rsidP="004677B3">
            <w:pPr>
              <w:pStyle w:val="TableParagraph"/>
              <w:spacing w:line="276" w:lineRule="auto"/>
              <w:ind w:left="35" w:right="14"/>
              <w:rPr>
                <w:rFonts w:ascii="Arial" w:hAnsi="Arial" w:cs="Arial"/>
                <w:b/>
                <w:sz w:val="20"/>
                <w:szCs w:val="20"/>
              </w:rPr>
            </w:pPr>
            <w:r w:rsidRPr="00A97719">
              <w:rPr>
                <w:rFonts w:ascii="Arial" w:hAnsi="Arial" w:cs="Arial"/>
                <w:b/>
                <w:spacing w:val="-2"/>
                <w:w w:val="105"/>
                <w:sz w:val="20"/>
                <w:szCs w:val="20"/>
              </w:rPr>
              <w:t>Factor</w:t>
            </w:r>
            <w:r w:rsidRPr="00A97719">
              <w:rPr>
                <w:rFonts w:ascii="Arial" w:hAnsi="Arial" w:cs="Arial"/>
                <w:b/>
                <w:spacing w:val="-7"/>
                <w:w w:val="105"/>
                <w:sz w:val="20"/>
                <w:szCs w:val="20"/>
              </w:rPr>
              <w:t xml:space="preserve"> </w:t>
            </w:r>
            <w:r w:rsidRPr="00A97719">
              <w:rPr>
                <w:rFonts w:ascii="Arial" w:hAnsi="Arial" w:cs="Arial"/>
                <w:b/>
                <w:spacing w:val="-5"/>
                <w:w w:val="105"/>
                <w:sz w:val="20"/>
                <w:szCs w:val="20"/>
              </w:rPr>
              <w:t>(B)</w:t>
            </w:r>
          </w:p>
        </w:tc>
        <w:tc>
          <w:tcPr>
            <w:tcW w:w="0" w:type="auto"/>
            <w:vAlign w:val="center"/>
          </w:tcPr>
          <w:p w14:paraId="67A1037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270E31F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69E91E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C4F992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0.28</w:t>
            </w:r>
          </w:p>
        </w:tc>
        <w:tc>
          <w:tcPr>
            <w:tcW w:w="0" w:type="auto"/>
            <w:vAlign w:val="center"/>
          </w:tcPr>
          <w:p w14:paraId="44B3C91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03608F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7402B98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793788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F83DE2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0.28</w:t>
            </w:r>
          </w:p>
        </w:tc>
        <w:tc>
          <w:tcPr>
            <w:tcW w:w="0" w:type="auto"/>
            <w:vAlign w:val="center"/>
          </w:tcPr>
          <w:p w14:paraId="60EF96A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274506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0.06</w:t>
            </w:r>
          </w:p>
        </w:tc>
        <w:tc>
          <w:tcPr>
            <w:tcW w:w="0" w:type="auto"/>
            <w:vAlign w:val="center"/>
          </w:tcPr>
          <w:p w14:paraId="233C517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C0CF20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77ACF2A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0.16</w:t>
            </w:r>
          </w:p>
        </w:tc>
        <w:tc>
          <w:tcPr>
            <w:tcW w:w="0" w:type="auto"/>
            <w:vAlign w:val="center"/>
          </w:tcPr>
          <w:p w14:paraId="40E66FF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r w:rsidR="00EC6819" w:rsidRPr="00A97719" w14:paraId="472F2D2B" w14:textId="77777777" w:rsidTr="00F2643D">
        <w:trPr>
          <w:trHeight w:val="20"/>
        </w:trPr>
        <w:tc>
          <w:tcPr>
            <w:tcW w:w="0" w:type="auto"/>
            <w:vAlign w:val="center"/>
          </w:tcPr>
          <w:p w14:paraId="3114B566" w14:textId="77777777" w:rsidR="00CC1A56" w:rsidRPr="00A97719" w:rsidRDefault="00CC1A56" w:rsidP="004677B3">
            <w:pPr>
              <w:pStyle w:val="TableParagraph"/>
              <w:spacing w:before="71" w:line="276" w:lineRule="auto"/>
              <w:ind w:left="35" w:right="28"/>
              <w:rPr>
                <w:rFonts w:ascii="Arial" w:hAnsi="Arial" w:cs="Arial"/>
                <w:b/>
                <w:sz w:val="20"/>
                <w:szCs w:val="20"/>
              </w:rPr>
            </w:pPr>
            <w:r w:rsidRPr="00A97719">
              <w:rPr>
                <w:rFonts w:ascii="Arial" w:hAnsi="Arial" w:cs="Arial"/>
                <w:b/>
                <w:sz w:val="20"/>
                <w:szCs w:val="20"/>
              </w:rPr>
              <w:t>Factor</w:t>
            </w:r>
            <w:r w:rsidRPr="00A97719">
              <w:rPr>
                <w:rFonts w:ascii="Arial" w:hAnsi="Arial" w:cs="Arial"/>
                <w:b/>
                <w:spacing w:val="13"/>
                <w:sz w:val="20"/>
                <w:szCs w:val="20"/>
              </w:rPr>
              <w:t xml:space="preserve"> </w:t>
            </w:r>
            <w:r w:rsidRPr="00A97719">
              <w:rPr>
                <w:rFonts w:ascii="Arial" w:hAnsi="Arial" w:cs="Arial"/>
                <w:b/>
                <w:spacing w:val="-2"/>
                <w:sz w:val="20"/>
                <w:szCs w:val="20"/>
              </w:rPr>
              <w:t>(AXB)</w:t>
            </w:r>
          </w:p>
        </w:tc>
        <w:tc>
          <w:tcPr>
            <w:tcW w:w="0" w:type="auto"/>
            <w:vAlign w:val="center"/>
          </w:tcPr>
          <w:p w14:paraId="027FE9B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0036CFC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1CDD02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FB71DE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0.55</w:t>
            </w:r>
          </w:p>
        </w:tc>
        <w:tc>
          <w:tcPr>
            <w:tcW w:w="0" w:type="auto"/>
            <w:vAlign w:val="center"/>
          </w:tcPr>
          <w:p w14:paraId="0F02601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92DF96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0.20</w:t>
            </w:r>
          </w:p>
        </w:tc>
        <w:tc>
          <w:tcPr>
            <w:tcW w:w="0" w:type="auto"/>
            <w:vAlign w:val="center"/>
          </w:tcPr>
          <w:p w14:paraId="23C6899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129A1CA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3D4A43F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0.57</w:t>
            </w:r>
          </w:p>
        </w:tc>
        <w:tc>
          <w:tcPr>
            <w:tcW w:w="0" w:type="auto"/>
            <w:vAlign w:val="center"/>
          </w:tcPr>
          <w:p w14:paraId="651DC93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2BC700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0.11</w:t>
            </w:r>
          </w:p>
        </w:tc>
        <w:tc>
          <w:tcPr>
            <w:tcW w:w="0" w:type="auto"/>
            <w:vAlign w:val="center"/>
          </w:tcPr>
          <w:p w14:paraId="5222E03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1EFF5FE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60E681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0.32</w:t>
            </w:r>
          </w:p>
        </w:tc>
        <w:tc>
          <w:tcPr>
            <w:tcW w:w="0" w:type="auto"/>
            <w:vAlign w:val="center"/>
          </w:tcPr>
          <w:p w14:paraId="31BD533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bl>
    <w:p w14:paraId="77E49492" w14:textId="77777777" w:rsidR="00CC1A56" w:rsidRPr="00A97719" w:rsidRDefault="00CC1A56" w:rsidP="004677B3">
      <w:pPr>
        <w:spacing w:after="0" w:line="240" w:lineRule="auto"/>
        <w:jc w:val="both"/>
        <w:rPr>
          <w:rFonts w:ascii="Arial" w:hAnsi="Arial" w:cs="Arial"/>
          <w:w w:val="105"/>
          <w:sz w:val="20"/>
          <w:szCs w:val="20"/>
        </w:rPr>
      </w:pPr>
      <w:r w:rsidRPr="00A97719">
        <w:rPr>
          <w:rFonts w:ascii="Arial" w:hAnsi="Arial" w:cs="Arial"/>
          <w:w w:val="105"/>
          <w:sz w:val="20"/>
          <w:szCs w:val="20"/>
        </w:rPr>
        <w:t>The</w:t>
      </w:r>
      <w:r w:rsidRPr="00A97719">
        <w:rPr>
          <w:rFonts w:ascii="Arial" w:hAnsi="Arial" w:cs="Arial"/>
          <w:spacing w:val="-12"/>
          <w:w w:val="105"/>
          <w:sz w:val="20"/>
          <w:szCs w:val="20"/>
        </w:rPr>
        <w:t xml:space="preserve"> </w:t>
      </w:r>
      <w:r w:rsidRPr="00A97719">
        <w:rPr>
          <w:rFonts w:ascii="Arial" w:hAnsi="Arial" w:cs="Arial"/>
          <w:w w:val="105"/>
          <w:sz w:val="20"/>
          <w:szCs w:val="20"/>
        </w:rPr>
        <w:t>means</w:t>
      </w:r>
      <w:r w:rsidRPr="00A97719">
        <w:rPr>
          <w:rFonts w:ascii="Arial" w:hAnsi="Arial" w:cs="Arial"/>
          <w:spacing w:val="-6"/>
          <w:w w:val="105"/>
          <w:sz w:val="20"/>
          <w:szCs w:val="20"/>
        </w:rPr>
        <w:t xml:space="preserve"> </w:t>
      </w:r>
      <w:r w:rsidRPr="00A97719">
        <w:rPr>
          <w:rFonts w:ascii="Arial" w:hAnsi="Arial" w:cs="Arial"/>
          <w:w w:val="105"/>
          <w:sz w:val="20"/>
          <w:szCs w:val="20"/>
        </w:rPr>
        <w:t>followed</w:t>
      </w:r>
      <w:r w:rsidRPr="00A97719">
        <w:rPr>
          <w:rFonts w:ascii="Arial" w:hAnsi="Arial" w:cs="Arial"/>
          <w:spacing w:val="-4"/>
          <w:w w:val="105"/>
          <w:sz w:val="20"/>
          <w:szCs w:val="20"/>
        </w:rPr>
        <w:t xml:space="preserve"> </w:t>
      </w:r>
      <w:r w:rsidRPr="00A97719">
        <w:rPr>
          <w:rFonts w:ascii="Arial" w:hAnsi="Arial" w:cs="Arial"/>
          <w:w w:val="105"/>
          <w:sz w:val="20"/>
          <w:szCs w:val="20"/>
        </w:rPr>
        <w:t>by</w:t>
      </w:r>
      <w:r w:rsidRPr="00A97719">
        <w:rPr>
          <w:rFonts w:ascii="Arial" w:hAnsi="Arial" w:cs="Arial"/>
          <w:spacing w:val="-13"/>
          <w:w w:val="105"/>
          <w:sz w:val="20"/>
          <w:szCs w:val="20"/>
        </w:rPr>
        <w:t xml:space="preserve"> </w:t>
      </w:r>
      <w:r w:rsidRPr="00A97719">
        <w:rPr>
          <w:rFonts w:ascii="Arial" w:hAnsi="Arial" w:cs="Arial"/>
          <w:w w:val="105"/>
          <w:sz w:val="20"/>
          <w:szCs w:val="20"/>
        </w:rPr>
        <w:t>the</w:t>
      </w:r>
      <w:r w:rsidRPr="00A97719">
        <w:rPr>
          <w:rFonts w:ascii="Arial" w:hAnsi="Arial" w:cs="Arial"/>
          <w:spacing w:val="-12"/>
          <w:w w:val="105"/>
          <w:sz w:val="20"/>
          <w:szCs w:val="20"/>
        </w:rPr>
        <w:t xml:space="preserve"> </w:t>
      </w:r>
      <w:r w:rsidRPr="00A97719">
        <w:rPr>
          <w:rFonts w:ascii="Arial" w:hAnsi="Arial" w:cs="Arial"/>
          <w:w w:val="105"/>
          <w:sz w:val="20"/>
          <w:szCs w:val="20"/>
        </w:rPr>
        <w:t>same</w:t>
      </w:r>
      <w:r w:rsidRPr="00A97719">
        <w:rPr>
          <w:rFonts w:ascii="Arial" w:hAnsi="Arial" w:cs="Arial"/>
          <w:spacing w:val="-12"/>
          <w:w w:val="105"/>
          <w:sz w:val="20"/>
          <w:szCs w:val="20"/>
        </w:rPr>
        <w:t xml:space="preserve"> </w:t>
      </w:r>
      <w:r w:rsidRPr="00A97719">
        <w:rPr>
          <w:rFonts w:ascii="Arial" w:hAnsi="Arial" w:cs="Arial"/>
          <w:w w:val="105"/>
          <w:sz w:val="20"/>
          <w:szCs w:val="20"/>
        </w:rPr>
        <w:t>letters</w:t>
      </w:r>
      <w:r w:rsidRPr="00A97719">
        <w:rPr>
          <w:rFonts w:ascii="Arial" w:hAnsi="Arial" w:cs="Arial"/>
          <w:spacing w:val="-5"/>
          <w:w w:val="105"/>
          <w:sz w:val="20"/>
          <w:szCs w:val="20"/>
        </w:rPr>
        <w:t xml:space="preserve"> </w:t>
      </w:r>
      <w:r w:rsidRPr="00A97719">
        <w:rPr>
          <w:rFonts w:ascii="Arial" w:hAnsi="Arial" w:cs="Arial"/>
          <w:w w:val="105"/>
          <w:sz w:val="20"/>
          <w:szCs w:val="20"/>
        </w:rPr>
        <w:t>in</w:t>
      </w:r>
      <w:r w:rsidRPr="00A97719">
        <w:rPr>
          <w:rFonts w:ascii="Arial" w:hAnsi="Arial" w:cs="Arial"/>
          <w:spacing w:val="-6"/>
          <w:w w:val="105"/>
          <w:sz w:val="20"/>
          <w:szCs w:val="20"/>
        </w:rPr>
        <w:t xml:space="preserve"> </w:t>
      </w:r>
      <w:r w:rsidRPr="00A97719">
        <w:rPr>
          <w:rFonts w:ascii="Arial" w:hAnsi="Arial" w:cs="Arial"/>
          <w:w w:val="105"/>
          <w:sz w:val="20"/>
          <w:szCs w:val="20"/>
        </w:rPr>
        <w:t>a</w:t>
      </w:r>
      <w:r w:rsidRPr="00A97719">
        <w:rPr>
          <w:rFonts w:ascii="Arial" w:hAnsi="Arial" w:cs="Arial"/>
          <w:spacing w:val="-12"/>
          <w:w w:val="105"/>
          <w:sz w:val="20"/>
          <w:szCs w:val="20"/>
        </w:rPr>
        <w:t xml:space="preserve"> </w:t>
      </w:r>
      <w:r w:rsidRPr="00A97719">
        <w:rPr>
          <w:rFonts w:ascii="Arial" w:hAnsi="Arial" w:cs="Arial"/>
          <w:w w:val="105"/>
          <w:sz w:val="20"/>
          <w:szCs w:val="20"/>
        </w:rPr>
        <w:t>column</w:t>
      </w:r>
      <w:r w:rsidRPr="00A97719">
        <w:rPr>
          <w:rFonts w:ascii="Arial" w:hAnsi="Arial" w:cs="Arial"/>
          <w:spacing w:val="-5"/>
          <w:w w:val="105"/>
          <w:sz w:val="20"/>
          <w:szCs w:val="20"/>
        </w:rPr>
        <w:t xml:space="preserve"> </w:t>
      </w:r>
      <w:r w:rsidRPr="00A97719">
        <w:rPr>
          <w:rFonts w:ascii="Arial" w:hAnsi="Arial" w:cs="Arial"/>
          <w:w w:val="105"/>
          <w:sz w:val="20"/>
          <w:szCs w:val="20"/>
        </w:rPr>
        <w:t>are</w:t>
      </w:r>
      <w:r w:rsidRPr="00A97719">
        <w:rPr>
          <w:rFonts w:ascii="Arial" w:hAnsi="Arial" w:cs="Arial"/>
          <w:spacing w:val="-12"/>
          <w:w w:val="105"/>
          <w:sz w:val="20"/>
          <w:szCs w:val="20"/>
        </w:rPr>
        <w:t xml:space="preserve"> </w:t>
      </w:r>
      <w:r w:rsidRPr="00A97719">
        <w:rPr>
          <w:rFonts w:ascii="Arial" w:hAnsi="Arial" w:cs="Arial"/>
          <w:w w:val="105"/>
          <w:sz w:val="20"/>
          <w:szCs w:val="20"/>
        </w:rPr>
        <w:t>non-significant</w:t>
      </w:r>
      <w:r w:rsidRPr="00A97719">
        <w:rPr>
          <w:rFonts w:ascii="Arial" w:hAnsi="Arial" w:cs="Arial"/>
          <w:spacing w:val="-16"/>
          <w:w w:val="105"/>
          <w:sz w:val="20"/>
          <w:szCs w:val="20"/>
        </w:rPr>
        <w:t xml:space="preserve"> </w:t>
      </w:r>
      <w:r w:rsidRPr="00A97719">
        <w:rPr>
          <w:rFonts w:ascii="Arial" w:hAnsi="Arial" w:cs="Arial"/>
          <w:w w:val="105"/>
          <w:sz w:val="20"/>
          <w:szCs w:val="20"/>
        </w:rPr>
        <w:t>(P&lt;0.05,</w:t>
      </w:r>
      <w:r w:rsidRPr="00A97719">
        <w:rPr>
          <w:rFonts w:ascii="Arial" w:hAnsi="Arial" w:cs="Arial"/>
          <w:spacing w:val="-11"/>
          <w:w w:val="105"/>
          <w:sz w:val="20"/>
          <w:szCs w:val="20"/>
        </w:rPr>
        <w:t xml:space="preserve"> </w:t>
      </w:r>
      <w:r w:rsidRPr="00A97719">
        <w:rPr>
          <w:rFonts w:ascii="Arial" w:hAnsi="Arial" w:cs="Arial"/>
          <w:w w:val="105"/>
          <w:sz w:val="20"/>
          <w:szCs w:val="20"/>
        </w:rPr>
        <w:t>DMRT) The means followed by</w:t>
      </w:r>
      <w:r w:rsidRPr="00A97719">
        <w:rPr>
          <w:rFonts w:ascii="Arial" w:hAnsi="Arial" w:cs="Arial"/>
          <w:spacing w:val="-1"/>
          <w:w w:val="105"/>
          <w:sz w:val="20"/>
          <w:szCs w:val="20"/>
        </w:rPr>
        <w:t xml:space="preserve"> </w:t>
      </w:r>
      <w:r w:rsidRPr="00A97719">
        <w:rPr>
          <w:rFonts w:ascii="Arial" w:hAnsi="Arial" w:cs="Arial"/>
          <w:w w:val="105"/>
          <w:sz w:val="20"/>
          <w:szCs w:val="20"/>
        </w:rPr>
        <w:t>the same letters in a</w:t>
      </w:r>
      <w:r w:rsidRPr="00A97719">
        <w:rPr>
          <w:rFonts w:ascii="Arial" w:hAnsi="Arial" w:cs="Arial"/>
          <w:spacing w:val="-7"/>
          <w:w w:val="105"/>
          <w:sz w:val="20"/>
          <w:szCs w:val="20"/>
        </w:rPr>
        <w:t xml:space="preserve"> </w:t>
      </w:r>
      <w:r w:rsidRPr="00A97719">
        <w:rPr>
          <w:rFonts w:ascii="Arial" w:hAnsi="Arial" w:cs="Arial"/>
          <w:w w:val="105"/>
          <w:sz w:val="20"/>
          <w:szCs w:val="20"/>
        </w:rPr>
        <w:t xml:space="preserve">row are non-significant (P&lt;0.05, DMRT) </w:t>
      </w:r>
    </w:p>
    <w:p w14:paraId="1724AFF5" w14:textId="77777777" w:rsidR="00CC1A56" w:rsidRPr="00A97719" w:rsidRDefault="00CC1A56" w:rsidP="004677B3">
      <w:pPr>
        <w:spacing w:after="0" w:line="240" w:lineRule="auto"/>
        <w:jc w:val="both"/>
        <w:rPr>
          <w:rFonts w:ascii="Arial" w:hAnsi="Arial" w:cs="Arial"/>
          <w:w w:val="105"/>
          <w:sz w:val="20"/>
          <w:szCs w:val="20"/>
        </w:rPr>
      </w:pPr>
      <w:r w:rsidRPr="00A97719">
        <w:rPr>
          <w:rFonts w:ascii="Arial" w:hAnsi="Arial" w:cs="Arial"/>
          <w:w w:val="105"/>
          <w:sz w:val="20"/>
          <w:szCs w:val="20"/>
        </w:rPr>
        <w:t>*=</w:t>
      </w:r>
      <w:r w:rsidRPr="00A97719">
        <w:rPr>
          <w:rFonts w:ascii="Arial" w:hAnsi="Arial" w:cs="Arial"/>
          <w:spacing w:val="-17"/>
          <w:w w:val="105"/>
          <w:sz w:val="20"/>
          <w:szCs w:val="20"/>
        </w:rPr>
        <w:t xml:space="preserve"> </w:t>
      </w:r>
      <w:r w:rsidRPr="00A97719">
        <w:rPr>
          <w:rFonts w:ascii="Arial" w:hAnsi="Arial" w:cs="Arial"/>
          <w:w w:val="105"/>
          <w:sz w:val="20"/>
          <w:szCs w:val="20"/>
        </w:rPr>
        <w:t>Figures</w:t>
      </w:r>
      <w:r w:rsidRPr="00A97719">
        <w:rPr>
          <w:rFonts w:ascii="Arial" w:hAnsi="Arial" w:cs="Arial"/>
          <w:spacing w:val="-14"/>
          <w:w w:val="105"/>
          <w:sz w:val="20"/>
          <w:szCs w:val="20"/>
        </w:rPr>
        <w:t xml:space="preserve"> </w:t>
      </w:r>
      <w:r w:rsidRPr="00A97719">
        <w:rPr>
          <w:rFonts w:ascii="Arial" w:hAnsi="Arial" w:cs="Arial"/>
          <w:w w:val="105"/>
          <w:sz w:val="20"/>
          <w:szCs w:val="20"/>
        </w:rPr>
        <w:t>in</w:t>
      </w:r>
      <w:r w:rsidRPr="00A97719">
        <w:rPr>
          <w:rFonts w:ascii="Arial" w:hAnsi="Arial" w:cs="Arial"/>
          <w:spacing w:val="-14"/>
          <w:w w:val="105"/>
          <w:sz w:val="20"/>
          <w:szCs w:val="20"/>
        </w:rPr>
        <w:t xml:space="preserve"> </w:t>
      </w:r>
      <w:r w:rsidRPr="00A97719">
        <w:rPr>
          <w:rFonts w:ascii="Arial" w:hAnsi="Arial" w:cs="Arial"/>
          <w:w w:val="105"/>
          <w:sz w:val="20"/>
          <w:szCs w:val="20"/>
        </w:rPr>
        <w:t>parentheses</w:t>
      </w:r>
      <w:r w:rsidRPr="00A97719">
        <w:rPr>
          <w:rFonts w:ascii="Arial" w:hAnsi="Arial" w:cs="Arial"/>
          <w:spacing w:val="-1"/>
          <w:w w:val="105"/>
          <w:sz w:val="20"/>
          <w:szCs w:val="20"/>
        </w:rPr>
        <w:t xml:space="preserve"> </w:t>
      </w:r>
      <w:r w:rsidRPr="00A97719">
        <w:rPr>
          <w:rFonts w:ascii="Arial" w:hAnsi="Arial" w:cs="Arial"/>
          <w:w w:val="105"/>
          <w:sz w:val="20"/>
          <w:szCs w:val="20"/>
        </w:rPr>
        <w:t>are</w:t>
      </w:r>
      <w:r w:rsidRPr="00A97719">
        <w:rPr>
          <w:rFonts w:ascii="Arial" w:hAnsi="Arial" w:cs="Arial"/>
          <w:spacing w:val="-17"/>
          <w:w w:val="105"/>
          <w:sz w:val="20"/>
          <w:szCs w:val="20"/>
        </w:rPr>
        <w:t xml:space="preserve"> </w:t>
      </w:r>
      <w:r w:rsidRPr="00A97719">
        <w:rPr>
          <w:rFonts w:ascii="Arial" w:hAnsi="Arial" w:cs="Arial"/>
          <w:w w:val="105"/>
          <w:sz w:val="20"/>
          <w:szCs w:val="20"/>
        </w:rPr>
        <w:t>square</w:t>
      </w:r>
      <w:r w:rsidRPr="00A97719">
        <w:rPr>
          <w:rFonts w:ascii="Arial" w:hAnsi="Arial" w:cs="Arial"/>
          <w:spacing w:val="-13"/>
          <w:w w:val="105"/>
          <w:sz w:val="20"/>
          <w:szCs w:val="20"/>
        </w:rPr>
        <w:t xml:space="preserve"> </w:t>
      </w:r>
      <w:r w:rsidRPr="00A97719">
        <w:rPr>
          <w:rFonts w:ascii="Arial" w:hAnsi="Arial" w:cs="Arial"/>
          <w:w w:val="105"/>
          <w:sz w:val="20"/>
          <w:szCs w:val="20"/>
        </w:rPr>
        <w:t>root</w:t>
      </w:r>
      <w:r w:rsidRPr="00A97719">
        <w:rPr>
          <w:rFonts w:ascii="Arial" w:hAnsi="Arial" w:cs="Arial"/>
          <w:spacing w:val="-12"/>
          <w:w w:val="105"/>
          <w:sz w:val="20"/>
          <w:szCs w:val="20"/>
        </w:rPr>
        <w:t xml:space="preserve"> </w:t>
      </w:r>
      <w:r w:rsidRPr="00A97719">
        <w:rPr>
          <w:rFonts w:ascii="Arial" w:hAnsi="Arial" w:cs="Arial"/>
          <w:w w:val="105"/>
          <w:sz w:val="20"/>
          <w:szCs w:val="20"/>
        </w:rPr>
        <w:t>transformed</w:t>
      </w:r>
      <w:r w:rsidRPr="00A97719">
        <w:rPr>
          <w:rFonts w:ascii="Arial" w:hAnsi="Arial" w:cs="Arial"/>
          <w:spacing w:val="-5"/>
          <w:w w:val="105"/>
          <w:sz w:val="20"/>
          <w:szCs w:val="20"/>
        </w:rPr>
        <w:t xml:space="preserve"> </w:t>
      </w:r>
      <w:r w:rsidRPr="00A97719">
        <w:rPr>
          <w:rFonts w:ascii="Arial" w:hAnsi="Arial" w:cs="Arial"/>
          <w:spacing w:val="-2"/>
          <w:w w:val="105"/>
          <w:sz w:val="20"/>
          <w:szCs w:val="20"/>
        </w:rPr>
        <w:t>values</w:t>
      </w:r>
      <w:r w:rsidRPr="00A97719">
        <w:rPr>
          <w:rFonts w:ascii="Arial" w:hAnsi="Arial" w:cs="Arial"/>
          <w:w w:val="105"/>
          <w:sz w:val="20"/>
          <w:szCs w:val="20"/>
        </w:rPr>
        <w:t xml:space="preserve">, </w:t>
      </w:r>
      <w:r w:rsidRPr="00A97719">
        <w:rPr>
          <w:rFonts w:ascii="Arial" w:hAnsi="Arial" w:cs="Arial"/>
          <w:sz w:val="20"/>
          <w:szCs w:val="20"/>
        </w:rPr>
        <w:t>DAI=Day after inoculation</w:t>
      </w:r>
      <w:r w:rsidRPr="00A97719">
        <w:rPr>
          <w:rFonts w:ascii="Arial" w:hAnsi="Arial" w:cs="Arial"/>
          <w:w w:val="105"/>
          <w:sz w:val="20"/>
          <w:szCs w:val="20"/>
        </w:rPr>
        <w:t xml:space="preserve"> </w:t>
      </w:r>
    </w:p>
    <w:p w14:paraId="6BF524B5" w14:textId="02F5A14D" w:rsidR="00CC1A56" w:rsidRPr="00A97719" w:rsidRDefault="00CC1A56" w:rsidP="004677B3">
      <w:pPr>
        <w:spacing w:after="0" w:line="240" w:lineRule="auto"/>
        <w:jc w:val="both"/>
        <w:rPr>
          <w:rFonts w:ascii="Arial" w:hAnsi="Arial" w:cs="Arial"/>
          <w:color w:val="000000" w:themeColor="text1"/>
          <w:spacing w:val="-2"/>
          <w:sz w:val="20"/>
          <w:szCs w:val="20"/>
        </w:rPr>
        <w:sectPr w:rsidR="00CC1A56" w:rsidRPr="00A97719" w:rsidSect="00940BE7">
          <w:pgSz w:w="16838" w:h="11906" w:orient="landscape"/>
          <w:pgMar w:top="1440" w:right="1440" w:bottom="1440" w:left="1440" w:header="706" w:footer="706" w:gutter="0"/>
          <w:cols w:space="708"/>
          <w:docGrid w:linePitch="360"/>
        </w:sectPr>
      </w:pPr>
      <w:r w:rsidRPr="00A97719">
        <w:rPr>
          <w:rFonts w:ascii="Arial" w:hAnsi="Arial" w:cs="Arial"/>
          <w:sz w:val="20"/>
          <w:szCs w:val="20"/>
        </w:rPr>
        <w:t>F1=</w:t>
      </w:r>
      <w:r w:rsidRPr="00A97719">
        <w:rPr>
          <w:rFonts w:ascii="Arial" w:hAnsi="Arial" w:cs="Arial"/>
          <w:i/>
          <w:w w:val="105"/>
          <w:sz w:val="20"/>
          <w:szCs w:val="20"/>
        </w:rPr>
        <w:t xml:space="preserve"> B.</w:t>
      </w:r>
      <w:r w:rsidRPr="00A97719">
        <w:rPr>
          <w:rFonts w:ascii="Arial" w:hAnsi="Arial" w:cs="Arial"/>
          <w:i/>
          <w:spacing w:val="-14"/>
          <w:w w:val="105"/>
          <w:sz w:val="20"/>
          <w:szCs w:val="20"/>
        </w:rPr>
        <w:t xml:space="preserve"> </w:t>
      </w:r>
      <w:r w:rsidRPr="00A97719">
        <w:rPr>
          <w:rFonts w:ascii="Arial" w:hAnsi="Arial" w:cs="Arial"/>
          <w:i/>
          <w:w w:val="105"/>
          <w:sz w:val="20"/>
          <w:szCs w:val="20"/>
        </w:rPr>
        <w:t>bassiana</w:t>
      </w:r>
      <w:r w:rsidRPr="00A97719">
        <w:rPr>
          <w:rFonts w:ascii="Arial" w:hAnsi="Arial" w:cs="Arial"/>
          <w:i/>
          <w:spacing w:val="-13"/>
          <w:w w:val="105"/>
          <w:sz w:val="20"/>
          <w:szCs w:val="20"/>
        </w:rPr>
        <w:t xml:space="preserve"> </w:t>
      </w:r>
      <w:r w:rsidRPr="00A97719">
        <w:rPr>
          <w:rFonts w:ascii="Arial" w:hAnsi="Arial" w:cs="Arial"/>
          <w:spacing w:val="-2"/>
          <w:w w:val="105"/>
          <w:sz w:val="20"/>
          <w:szCs w:val="20"/>
        </w:rPr>
        <w:t>(local</w:t>
      </w:r>
      <w:r w:rsidR="00167698" w:rsidRPr="00A97719">
        <w:rPr>
          <w:rFonts w:ascii="Arial" w:hAnsi="Arial" w:cs="Arial"/>
          <w:spacing w:val="-2"/>
          <w:w w:val="105"/>
          <w:sz w:val="20"/>
          <w:szCs w:val="20"/>
        </w:rPr>
        <w:t xml:space="preserve"> strain</w:t>
      </w:r>
      <w:r w:rsidRPr="00A97719">
        <w:rPr>
          <w:rFonts w:ascii="Arial" w:hAnsi="Arial" w:cs="Arial"/>
          <w:spacing w:val="-2"/>
          <w:w w:val="105"/>
          <w:sz w:val="20"/>
          <w:szCs w:val="20"/>
        </w:rPr>
        <w:t>), F2=</w:t>
      </w:r>
      <w:r w:rsidRPr="00A97719">
        <w:rPr>
          <w:rFonts w:ascii="Arial" w:hAnsi="Arial" w:cs="Arial"/>
          <w:i/>
          <w:w w:val="105"/>
          <w:sz w:val="20"/>
          <w:szCs w:val="20"/>
        </w:rPr>
        <w:t>B.</w:t>
      </w:r>
      <w:r w:rsidRPr="00A97719">
        <w:rPr>
          <w:rFonts w:ascii="Arial" w:hAnsi="Arial" w:cs="Arial"/>
          <w:i/>
          <w:spacing w:val="-14"/>
          <w:w w:val="105"/>
          <w:sz w:val="20"/>
          <w:szCs w:val="20"/>
        </w:rPr>
        <w:t xml:space="preserve"> </w:t>
      </w:r>
      <w:r w:rsidRPr="00A97719">
        <w:rPr>
          <w:rFonts w:ascii="Arial" w:hAnsi="Arial" w:cs="Arial"/>
          <w:i/>
          <w:w w:val="105"/>
          <w:sz w:val="20"/>
          <w:szCs w:val="20"/>
        </w:rPr>
        <w:t>bassiana</w:t>
      </w:r>
      <w:r w:rsidRPr="00A97719">
        <w:rPr>
          <w:rFonts w:ascii="Arial" w:hAnsi="Arial" w:cs="Arial"/>
          <w:i/>
          <w:spacing w:val="-13"/>
          <w:w w:val="105"/>
          <w:sz w:val="20"/>
          <w:szCs w:val="20"/>
        </w:rPr>
        <w:t xml:space="preserve"> </w:t>
      </w:r>
      <w:r w:rsidRPr="00A97719">
        <w:rPr>
          <w:rFonts w:ascii="Arial" w:hAnsi="Arial" w:cs="Arial"/>
          <w:spacing w:val="-2"/>
          <w:w w:val="105"/>
          <w:sz w:val="20"/>
          <w:szCs w:val="20"/>
        </w:rPr>
        <w:t>(MTCC-892</w:t>
      </w:r>
      <w:r w:rsidR="00167698" w:rsidRPr="00A97719">
        <w:rPr>
          <w:rFonts w:ascii="Arial" w:hAnsi="Arial" w:cs="Arial"/>
          <w:spacing w:val="-2"/>
          <w:w w:val="105"/>
          <w:sz w:val="20"/>
          <w:szCs w:val="20"/>
        </w:rPr>
        <w:t xml:space="preserve"> strain</w:t>
      </w:r>
      <w:r w:rsidRPr="00A97719">
        <w:rPr>
          <w:rFonts w:ascii="Arial" w:hAnsi="Arial" w:cs="Arial"/>
          <w:spacing w:val="-2"/>
          <w:w w:val="105"/>
          <w:sz w:val="20"/>
          <w:szCs w:val="20"/>
        </w:rPr>
        <w:t xml:space="preserve">), </w:t>
      </w:r>
      <w:r w:rsidRPr="00A97719">
        <w:rPr>
          <w:rFonts w:ascii="Arial" w:hAnsi="Arial" w:cs="Arial"/>
          <w:sz w:val="20"/>
          <w:szCs w:val="20"/>
        </w:rPr>
        <w:t xml:space="preserve">F3 = </w:t>
      </w:r>
      <w:r w:rsidRPr="00A97719">
        <w:rPr>
          <w:rFonts w:ascii="Arial" w:hAnsi="Arial" w:cs="Arial"/>
          <w:i/>
          <w:sz w:val="20"/>
          <w:szCs w:val="20"/>
        </w:rPr>
        <w:t>M.</w:t>
      </w:r>
      <w:r w:rsidRPr="00A97719">
        <w:rPr>
          <w:rFonts w:ascii="Arial" w:hAnsi="Arial" w:cs="Arial"/>
          <w:i/>
          <w:spacing w:val="14"/>
          <w:sz w:val="20"/>
          <w:szCs w:val="20"/>
        </w:rPr>
        <w:t xml:space="preserve"> </w:t>
      </w:r>
      <w:r w:rsidRPr="00A97719">
        <w:rPr>
          <w:rFonts w:ascii="Arial" w:hAnsi="Arial" w:cs="Arial"/>
          <w:i/>
          <w:sz w:val="20"/>
          <w:szCs w:val="20"/>
        </w:rPr>
        <w:t>anisopliae</w:t>
      </w:r>
      <w:r w:rsidRPr="00A97719">
        <w:rPr>
          <w:rFonts w:ascii="Arial" w:hAnsi="Arial" w:cs="Arial"/>
          <w:i/>
          <w:spacing w:val="26"/>
          <w:sz w:val="20"/>
          <w:szCs w:val="20"/>
        </w:rPr>
        <w:t xml:space="preserve"> </w:t>
      </w:r>
      <w:r w:rsidRPr="00A97719">
        <w:rPr>
          <w:rFonts w:ascii="Arial" w:hAnsi="Arial" w:cs="Arial"/>
          <w:spacing w:val="-2"/>
          <w:sz w:val="20"/>
          <w:szCs w:val="20"/>
        </w:rPr>
        <w:t>(local</w:t>
      </w:r>
      <w:r w:rsidR="00167698" w:rsidRPr="00A97719">
        <w:rPr>
          <w:rFonts w:ascii="Arial" w:hAnsi="Arial" w:cs="Arial"/>
          <w:spacing w:val="-2"/>
          <w:sz w:val="20"/>
          <w:szCs w:val="20"/>
        </w:rPr>
        <w:t xml:space="preserve"> </w:t>
      </w:r>
      <w:r w:rsidR="00167698" w:rsidRPr="00A97719">
        <w:rPr>
          <w:rFonts w:ascii="Arial" w:hAnsi="Arial" w:cs="Arial"/>
          <w:spacing w:val="-2"/>
          <w:w w:val="105"/>
          <w:sz w:val="20"/>
          <w:szCs w:val="20"/>
        </w:rPr>
        <w:t>strain</w:t>
      </w:r>
      <w:r w:rsidRPr="00A97719">
        <w:rPr>
          <w:rFonts w:ascii="Arial" w:hAnsi="Arial" w:cs="Arial"/>
          <w:spacing w:val="-2"/>
          <w:sz w:val="20"/>
          <w:szCs w:val="20"/>
        </w:rPr>
        <w:t xml:space="preserve">), F4 = </w:t>
      </w:r>
      <w:r w:rsidRPr="00A97719">
        <w:rPr>
          <w:rFonts w:ascii="Arial" w:hAnsi="Arial" w:cs="Arial"/>
          <w:i/>
          <w:sz w:val="20"/>
          <w:szCs w:val="20"/>
        </w:rPr>
        <w:t>M.</w:t>
      </w:r>
      <w:r w:rsidRPr="00A97719">
        <w:rPr>
          <w:rFonts w:ascii="Arial" w:hAnsi="Arial" w:cs="Arial"/>
          <w:i/>
          <w:spacing w:val="14"/>
          <w:sz w:val="20"/>
          <w:szCs w:val="20"/>
        </w:rPr>
        <w:t xml:space="preserve"> </w:t>
      </w:r>
      <w:r w:rsidRPr="00A97719">
        <w:rPr>
          <w:rFonts w:ascii="Arial" w:hAnsi="Arial" w:cs="Arial"/>
          <w:i/>
          <w:sz w:val="20"/>
          <w:szCs w:val="20"/>
        </w:rPr>
        <w:t>anisopliae</w:t>
      </w:r>
      <w:r w:rsidRPr="00A97719">
        <w:rPr>
          <w:rFonts w:ascii="Arial" w:hAnsi="Arial" w:cs="Arial"/>
          <w:i/>
          <w:spacing w:val="26"/>
          <w:sz w:val="20"/>
          <w:szCs w:val="20"/>
        </w:rPr>
        <w:t xml:space="preserve"> </w:t>
      </w:r>
      <w:r w:rsidRPr="00A97719">
        <w:rPr>
          <w:rFonts w:ascii="Arial" w:hAnsi="Arial" w:cs="Arial"/>
          <w:spacing w:val="-2"/>
          <w:sz w:val="20"/>
          <w:szCs w:val="20"/>
        </w:rPr>
        <w:t>(MTCC-984</w:t>
      </w:r>
      <w:r w:rsidR="00167698" w:rsidRPr="00A97719">
        <w:rPr>
          <w:rFonts w:ascii="Arial" w:hAnsi="Arial" w:cs="Arial"/>
          <w:spacing w:val="-2"/>
          <w:w w:val="105"/>
          <w:sz w:val="20"/>
          <w:szCs w:val="20"/>
        </w:rPr>
        <w:t xml:space="preserve"> strain</w:t>
      </w:r>
      <w:r w:rsidRPr="00A97719">
        <w:rPr>
          <w:rFonts w:ascii="Arial" w:hAnsi="Arial" w:cs="Arial"/>
          <w:spacing w:val="-2"/>
          <w:sz w:val="20"/>
          <w:szCs w:val="20"/>
        </w:rPr>
        <w:t xml:space="preserve">), </w:t>
      </w:r>
      <w:r w:rsidRPr="00A97719">
        <w:rPr>
          <w:rFonts w:ascii="Arial" w:hAnsi="Arial" w:cs="Arial"/>
          <w:color w:val="000000" w:themeColor="text1"/>
          <w:spacing w:val="-2"/>
          <w:sz w:val="20"/>
          <w:szCs w:val="20"/>
        </w:rPr>
        <w:t xml:space="preserve">MTCC= Microbial Type Culture Collection and Gene Bank </w:t>
      </w:r>
    </w:p>
    <w:bookmarkEnd w:id="0"/>
    <w:p w14:paraId="48388800" w14:textId="24085B8F" w:rsidR="00712719" w:rsidRPr="00A97719" w:rsidRDefault="00A97719" w:rsidP="00E706AB">
      <w:pPr>
        <w:spacing w:line="360" w:lineRule="auto"/>
        <w:jc w:val="both"/>
        <w:rPr>
          <w:rFonts w:ascii="Arial" w:hAnsi="Arial" w:cs="Arial"/>
          <w:b/>
          <w:iCs/>
          <w:spacing w:val="-2"/>
        </w:rPr>
      </w:pPr>
      <w:r w:rsidRPr="00A97719">
        <w:rPr>
          <w:rFonts w:ascii="Arial" w:hAnsi="Arial" w:cs="Arial"/>
          <w:b/>
          <w:iCs/>
          <w:spacing w:val="-2"/>
        </w:rPr>
        <w:lastRenderedPageBreak/>
        <w:t xml:space="preserve">3.2 </w:t>
      </w:r>
      <w:r w:rsidR="00712719" w:rsidRPr="00A97719">
        <w:rPr>
          <w:rFonts w:ascii="Arial" w:hAnsi="Arial" w:cs="Arial"/>
          <w:b/>
          <w:iCs/>
          <w:spacing w:val="-2"/>
        </w:rPr>
        <w:t>Spore production</w:t>
      </w:r>
    </w:p>
    <w:p w14:paraId="48A014D0" w14:textId="77777777" w:rsidR="00C7012C" w:rsidRPr="00A97719" w:rsidRDefault="00C7012C" w:rsidP="00E706AB">
      <w:pPr>
        <w:spacing w:line="360" w:lineRule="auto"/>
        <w:ind w:firstLine="720"/>
        <w:jc w:val="both"/>
        <w:rPr>
          <w:rFonts w:ascii="Arial" w:hAnsi="Arial" w:cs="Arial"/>
          <w:sz w:val="20"/>
          <w:szCs w:val="20"/>
        </w:rPr>
      </w:pPr>
      <w:r w:rsidRPr="00A97719">
        <w:rPr>
          <w:rFonts w:ascii="Arial" w:hAnsi="Arial" w:cs="Arial"/>
          <w:sz w:val="20"/>
          <w:szCs w:val="20"/>
        </w:rPr>
        <w:t xml:space="preserve">The data presented in Table 2 show that temperature significantly affected spore production in </w:t>
      </w:r>
      <w:r w:rsidRPr="00A97719">
        <w:rPr>
          <w:rFonts w:ascii="Arial" w:hAnsi="Arial" w:cs="Arial"/>
          <w:i/>
          <w:iCs/>
          <w:sz w:val="20"/>
          <w:szCs w:val="20"/>
        </w:rPr>
        <w:t>Beauveria bassiana</w:t>
      </w:r>
      <w:r w:rsidRPr="00A97719">
        <w:rPr>
          <w:rFonts w:ascii="Arial" w:hAnsi="Arial" w:cs="Arial"/>
          <w:sz w:val="20"/>
          <w:szCs w:val="20"/>
        </w:rPr>
        <w:t xml:space="preserve"> and </w:t>
      </w:r>
      <w:r w:rsidRPr="00A97719">
        <w:rPr>
          <w:rFonts w:ascii="Arial" w:hAnsi="Arial" w:cs="Arial"/>
          <w:i/>
          <w:iCs/>
          <w:sz w:val="20"/>
          <w:szCs w:val="20"/>
        </w:rPr>
        <w:t>Metarhizium anisopliae</w:t>
      </w:r>
      <w:r w:rsidRPr="00A97719">
        <w:rPr>
          <w:rFonts w:ascii="Arial" w:hAnsi="Arial" w:cs="Arial"/>
          <w:sz w:val="20"/>
          <w:szCs w:val="20"/>
        </w:rPr>
        <w:t>. The highest sporulation was recorded at 26 °C (44.30 × 10⁶ spores ml</w:t>
      </w:r>
      <w:r w:rsidRPr="00A97719">
        <w:rPr>
          <w:rFonts w:ascii="Cambria Math" w:hAnsi="Cambria Math" w:cs="Cambria Math"/>
          <w:sz w:val="20"/>
          <w:szCs w:val="20"/>
        </w:rPr>
        <w:t>⁻</w:t>
      </w:r>
      <w:r w:rsidRPr="00A97719">
        <w:rPr>
          <w:rFonts w:ascii="Arial" w:hAnsi="Arial" w:cs="Arial"/>
          <w:sz w:val="20"/>
          <w:szCs w:val="20"/>
        </w:rPr>
        <w:t>¹), followed by 22 °C (38.07 × 10⁶ spores ml</w:t>
      </w:r>
      <w:r w:rsidRPr="00A97719">
        <w:rPr>
          <w:rFonts w:ascii="Cambria Math" w:hAnsi="Cambria Math" w:cs="Cambria Math"/>
          <w:sz w:val="20"/>
          <w:szCs w:val="20"/>
        </w:rPr>
        <w:t>⁻</w:t>
      </w:r>
      <w:r w:rsidRPr="00A97719">
        <w:rPr>
          <w:rFonts w:ascii="Arial" w:hAnsi="Arial" w:cs="Arial"/>
          <w:sz w:val="20"/>
          <w:szCs w:val="20"/>
        </w:rPr>
        <w:t>¹), while a sharp decline was observed at higher temperatures, with values of 28.09 × 10⁶ and 25.54 × 10⁶ spores ml</w:t>
      </w:r>
      <w:r w:rsidRPr="00A97719">
        <w:rPr>
          <w:rFonts w:ascii="Cambria Math" w:hAnsi="Cambria Math" w:cs="Cambria Math"/>
          <w:sz w:val="20"/>
          <w:szCs w:val="20"/>
        </w:rPr>
        <w:t>⁻</w:t>
      </w:r>
      <w:r w:rsidRPr="00A97719">
        <w:rPr>
          <w:rFonts w:ascii="Arial" w:hAnsi="Arial" w:cs="Arial"/>
          <w:sz w:val="20"/>
          <w:szCs w:val="20"/>
        </w:rPr>
        <w:t>¹ at 30 °C and 34 °C, respectively. Across isolates, F1 (</w:t>
      </w:r>
      <w:r w:rsidRPr="00A97719">
        <w:rPr>
          <w:rFonts w:ascii="Arial" w:hAnsi="Arial" w:cs="Arial"/>
          <w:i/>
          <w:iCs/>
          <w:sz w:val="20"/>
          <w:szCs w:val="20"/>
        </w:rPr>
        <w:t>B. bassiana</w:t>
      </w:r>
      <w:r w:rsidRPr="00A97719">
        <w:rPr>
          <w:rFonts w:ascii="Arial" w:hAnsi="Arial" w:cs="Arial"/>
          <w:sz w:val="20"/>
          <w:szCs w:val="20"/>
        </w:rPr>
        <w:t xml:space="preserve"> local) consistently exhibited the highest spore production (39.60 × 10⁶ spores ml</w:t>
      </w:r>
      <w:r w:rsidRPr="00A97719">
        <w:rPr>
          <w:rFonts w:ascii="Cambria Math" w:hAnsi="Cambria Math" w:cs="Cambria Math"/>
          <w:sz w:val="20"/>
          <w:szCs w:val="20"/>
        </w:rPr>
        <w:t>⁻</w:t>
      </w:r>
      <w:r w:rsidRPr="00A97719">
        <w:rPr>
          <w:rFonts w:ascii="Arial" w:hAnsi="Arial" w:cs="Arial"/>
          <w:sz w:val="20"/>
          <w:szCs w:val="20"/>
        </w:rPr>
        <w:t>¹), followed by F2 (</w:t>
      </w:r>
      <w:r w:rsidRPr="00A97719">
        <w:rPr>
          <w:rFonts w:ascii="Arial" w:hAnsi="Arial" w:cs="Arial"/>
          <w:i/>
          <w:iCs/>
          <w:sz w:val="20"/>
          <w:szCs w:val="20"/>
        </w:rPr>
        <w:t>B. bassiana</w:t>
      </w:r>
      <w:r w:rsidRPr="00A97719">
        <w:rPr>
          <w:rFonts w:ascii="Arial" w:hAnsi="Arial" w:cs="Arial"/>
          <w:sz w:val="20"/>
          <w:szCs w:val="20"/>
        </w:rPr>
        <w:t xml:space="preserve"> MTCC-892), whereas F4 (</w:t>
      </w:r>
      <w:r w:rsidRPr="00A97719">
        <w:rPr>
          <w:rFonts w:ascii="Arial" w:hAnsi="Arial" w:cs="Arial"/>
          <w:i/>
          <w:iCs/>
          <w:sz w:val="20"/>
          <w:szCs w:val="20"/>
        </w:rPr>
        <w:t>M. anisopliae</w:t>
      </w:r>
      <w:r w:rsidRPr="00A97719">
        <w:rPr>
          <w:rFonts w:ascii="Arial" w:hAnsi="Arial" w:cs="Arial"/>
          <w:sz w:val="20"/>
          <w:szCs w:val="20"/>
        </w:rPr>
        <w:t xml:space="preserve"> MTCC-984) recorded the lowest spore production (26.58 × 10⁶ spores ml</w:t>
      </w:r>
      <w:r w:rsidRPr="00A97719">
        <w:rPr>
          <w:rFonts w:ascii="Cambria Math" w:hAnsi="Cambria Math" w:cs="Cambria Math"/>
          <w:sz w:val="20"/>
          <w:szCs w:val="20"/>
        </w:rPr>
        <w:t>⁻</w:t>
      </w:r>
      <w:r w:rsidRPr="00A97719">
        <w:rPr>
          <w:rFonts w:ascii="Arial" w:hAnsi="Arial" w:cs="Arial"/>
          <w:sz w:val="20"/>
          <w:szCs w:val="20"/>
        </w:rPr>
        <w:t xml:space="preserve">¹). The significant temperature × isolate interaction indicates isolate-specific responses to temperature. Overall, 26 °C was identified as the most </w:t>
      </w:r>
      <w:proofErr w:type="spellStart"/>
      <w:r w:rsidRPr="00A97719">
        <w:rPr>
          <w:rFonts w:ascii="Arial" w:hAnsi="Arial" w:cs="Arial"/>
          <w:sz w:val="20"/>
          <w:szCs w:val="20"/>
        </w:rPr>
        <w:t>favorable</w:t>
      </w:r>
      <w:proofErr w:type="spellEnd"/>
      <w:r w:rsidRPr="00A97719">
        <w:rPr>
          <w:rFonts w:ascii="Arial" w:hAnsi="Arial" w:cs="Arial"/>
          <w:sz w:val="20"/>
          <w:szCs w:val="20"/>
        </w:rPr>
        <w:t xml:space="preserve"> temperature for spore production, with isolates F1 and F2 yielding the maximum.</w:t>
      </w:r>
    </w:p>
    <w:p w14:paraId="3F8A0742" w14:textId="168A1080" w:rsidR="00D31A02" w:rsidRPr="00A97719" w:rsidRDefault="00C7012C" w:rsidP="00A97719">
      <w:pPr>
        <w:spacing w:line="360" w:lineRule="auto"/>
        <w:ind w:firstLine="720"/>
        <w:jc w:val="both"/>
        <w:rPr>
          <w:rFonts w:ascii="Arial" w:hAnsi="Arial" w:cs="Arial"/>
          <w:sz w:val="20"/>
          <w:szCs w:val="20"/>
        </w:rPr>
      </w:pPr>
      <w:r w:rsidRPr="00A97719">
        <w:rPr>
          <w:rFonts w:ascii="Arial" w:hAnsi="Arial" w:cs="Arial"/>
          <w:sz w:val="20"/>
          <w:szCs w:val="20"/>
        </w:rPr>
        <w:t xml:space="preserve">The present findings are in agreement with those of </w:t>
      </w:r>
      <w:r w:rsidR="008418CA" w:rsidRPr="003557B8">
        <w:rPr>
          <w:rFonts w:ascii="Arial" w:hAnsi="Arial" w:cs="Arial"/>
          <w:color w:val="000000" w:themeColor="text1"/>
          <w:sz w:val="20"/>
          <w:szCs w:val="20"/>
        </w:rPr>
        <w:t>Ahmad</w:t>
      </w:r>
      <w:r w:rsidR="008418CA">
        <w:rPr>
          <w:rFonts w:ascii="Arial" w:hAnsi="Arial" w:cs="Arial"/>
          <w:sz w:val="20"/>
          <w:szCs w:val="20"/>
        </w:rPr>
        <w:t xml:space="preserve"> et al. </w:t>
      </w:r>
      <w:r w:rsidRPr="00A97719">
        <w:rPr>
          <w:rFonts w:ascii="Arial" w:hAnsi="Arial" w:cs="Arial"/>
          <w:sz w:val="20"/>
          <w:szCs w:val="20"/>
        </w:rPr>
        <w:t xml:space="preserve">(2016) and Moldovan et al. (2022), who reported maximum spore production in </w:t>
      </w:r>
      <w:r w:rsidRPr="00A97719">
        <w:rPr>
          <w:rFonts w:ascii="Arial" w:hAnsi="Arial" w:cs="Arial"/>
          <w:i/>
          <w:iCs/>
          <w:sz w:val="20"/>
          <w:szCs w:val="20"/>
        </w:rPr>
        <w:t>Beauveria bassiana</w:t>
      </w:r>
      <w:r w:rsidRPr="00A97719">
        <w:rPr>
          <w:rFonts w:ascii="Arial" w:hAnsi="Arial" w:cs="Arial"/>
          <w:sz w:val="20"/>
          <w:szCs w:val="20"/>
        </w:rPr>
        <w:t xml:space="preserve"> at 25 °C, with a decline at temperatures above 30 °C. Velozo et al. (2025) reported that optimal conidial yields were achieved at 25 °C for </w:t>
      </w:r>
      <w:r w:rsidRPr="00A97719">
        <w:rPr>
          <w:rFonts w:ascii="Arial" w:hAnsi="Arial" w:cs="Arial"/>
          <w:i/>
          <w:iCs/>
          <w:sz w:val="20"/>
          <w:szCs w:val="20"/>
        </w:rPr>
        <w:t>B. bassiana</w:t>
      </w:r>
      <w:r w:rsidRPr="00A97719">
        <w:rPr>
          <w:rFonts w:ascii="Arial" w:hAnsi="Arial" w:cs="Arial"/>
          <w:sz w:val="20"/>
          <w:szCs w:val="20"/>
        </w:rPr>
        <w:t xml:space="preserve"> and within the range of 25–30 °C for </w:t>
      </w:r>
      <w:r w:rsidRPr="00A97719">
        <w:rPr>
          <w:rFonts w:ascii="Arial" w:hAnsi="Arial" w:cs="Arial"/>
          <w:i/>
          <w:iCs/>
          <w:sz w:val="20"/>
          <w:szCs w:val="20"/>
        </w:rPr>
        <w:t>Metarhizium anisopliae</w:t>
      </w:r>
      <w:r w:rsidRPr="00A97719">
        <w:rPr>
          <w:rFonts w:ascii="Arial" w:hAnsi="Arial" w:cs="Arial"/>
          <w:sz w:val="20"/>
          <w:szCs w:val="20"/>
        </w:rPr>
        <w:t xml:space="preserve">, with no sporulation observed at 37 °C. Similarly, Sani et al. (2023) observed peak sporulation in </w:t>
      </w:r>
      <w:r w:rsidRPr="00A97719">
        <w:rPr>
          <w:rFonts w:ascii="Arial" w:hAnsi="Arial" w:cs="Arial"/>
          <w:i/>
          <w:iCs/>
          <w:sz w:val="20"/>
          <w:szCs w:val="20"/>
        </w:rPr>
        <w:t>M. anisopliae</w:t>
      </w:r>
      <w:r w:rsidRPr="00A97719">
        <w:rPr>
          <w:rFonts w:ascii="Arial" w:hAnsi="Arial" w:cs="Arial"/>
          <w:sz w:val="20"/>
          <w:szCs w:val="20"/>
        </w:rPr>
        <w:t xml:space="preserve"> isolates at 25 °C. Arthurs and Thomas (2001) found optimal conidial production in </w:t>
      </w:r>
      <w:r w:rsidRPr="00A97719">
        <w:rPr>
          <w:rFonts w:ascii="Arial" w:hAnsi="Arial" w:cs="Arial"/>
          <w:i/>
          <w:iCs/>
          <w:sz w:val="20"/>
          <w:szCs w:val="20"/>
        </w:rPr>
        <w:t>M. anisopliae</w:t>
      </w:r>
      <w:r w:rsidRPr="00A97719">
        <w:rPr>
          <w:rFonts w:ascii="Arial" w:hAnsi="Arial" w:cs="Arial"/>
          <w:sz w:val="20"/>
          <w:szCs w:val="20"/>
        </w:rPr>
        <w:t xml:space="preserve"> var. </w:t>
      </w:r>
      <w:proofErr w:type="spellStart"/>
      <w:r w:rsidRPr="00A97719">
        <w:rPr>
          <w:rFonts w:ascii="Arial" w:hAnsi="Arial" w:cs="Arial"/>
          <w:i/>
          <w:iCs/>
          <w:sz w:val="20"/>
          <w:szCs w:val="20"/>
        </w:rPr>
        <w:t>acridum</w:t>
      </w:r>
      <w:proofErr w:type="spellEnd"/>
      <w:r w:rsidRPr="00A97719">
        <w:rPr>
          <w:rFonts w:ascii="Arial" w:hAnsi="Arial" w:cs="Arial"/>
          <w:sz w:val="20"/>
          <w:szCs w:val="20"/>
        </w:rPr>
        <w:t xml:space="preserve"> within the temperature range of 20–30 °C, with significant inhibition occurring above 35 °C. Tefera and Pringle (2003) confirmed that </w:t>
      </w:r>
      <w:r w:rsidRPr="00A97719">
        <w:rPr>
          <w:rFonts w:ascii="Arial" w:hAnsi="Arial" w:cs="Arial"/>
          <w:i/>
          <w:iCs/>
          <w:sz w:val="20"/>
          <w:szCs w:val="20"/>
        </w:rPr>
        <w:t>B. bassiana</w:t>
      </w:r>
      <w:r w:rsidRPr="00A97719">
        <w:rPr>
          <w:rFonts w:ascii="Arial" w:hAnsi="Arial" w:cs="Arial"/>
          <w:sz w:val="20"/>
          <w:szCs w:val="20"/>
        </w:rPr>
        <w:t xml:space="preserve"> produced the highest spore yields at 20 °C, followed by 25 °C, while </w:t>
      </w:r>
      <w:r w:rsidRPr="00A97719">
        <w:rPr>
          <w:rFonts w:ascii="Arial" w:hAnsi="Arial" w:cs="Arial"/>
          <w:i/>
          <w:iCs/>
          <w:sz w:val="20"/>
          <w:szCs w:val="20"/>
        </w:rPr>
        <w:t>M. anisopliae</w:t>
      </w:r>
      <w:r w:rsidRPr="00A97719">
        <w:rPr>
          <w:rFonts w:ascii="Arial" w:hAnsi="Arial" w:cs="Arial"/>
          <w:sz w:val="20"/>
          <w:szCs w:val="20"/>
        </w:rPr>
        <w:t xml:space="preserve"> peaked at 25 °C; both species exhibited progressive declines in sporulation above 25 °C due to thermal stress, which aligns with the present observations. In contrast, Amritha De </w:t>
      </w:r>
      <w:proofErr w:type="spellStart"/>
      <w:r w:rsidRPr="00A97719">
        <w:rPr>
          <w:rFonts w:ascii="Arial" w:hAnsi="Arial" w:cs="Arial"/>
          <w:sz w:val="20"/>
          <w:szCs w:val="20"/>
        </w:rPr>
        <w:t>Croos</w:t>
      </w:r>
      <w:proofErr w:type="spellEnd"/>
      <w:r w:rsidRPr="00A97719">
        <w:rPr>
          <w:rFonts w:ascii="Arial" w:hAnsi="Arial" w:cs="Arial"/>
          <w:sz w:val="20"/>
          <w:szCs w:val="20"/>
        </w:rPr>
        <w:t xml:space="preserve"> and </w:t>
      </w:r>
      <w:proofErr w:type="spellStart"/>
      <w:r w:rsidRPr="00A97719">
        <w:rPr>
          <w:rFonts w:ascii="Arial" w:hAnsi="Arial" w:cs="Arial"/>
          <w:sz w:val="20"/>
          <w:szCs w:val="20"/>
        </w:rPr>
        <w:t>Bidochka</w:t>
      </w:r>
      <w:proofErr w:type="spellEnd"/>
      <w:r w:rsidRPr="00A97719">
        <w:rPr>
          <w:rFonts w:ascii="Arial" w:hAnsi="Arial" w:cs="Arial"/>
          <w:sz w:val="20"/>
          <w:szCs w:val="20"/>
        </w:rPr>
        <w:t xml:space="preserve"> (1999) reported an opposing trend, with peak sporulation at 8 °C, moderate yields at 15 °C, and minimal production at 22 °C.</w:t>
      </w:r>
    </w:p>
    <w:p w14:paraId="4BDE7D42" w14:textId="09D7FBFE" w:rsidR="000E2560" w:rsidRPr="00A97719" w:rsidRDefault="000E2560" w:rsidP="004677B3">
      <w:pPr>
        <w:spacing w:after="0" w:line="240" w:lineRule="auto"/>
        <w:rPr>
          <w:rFonts w:ascii="Arial" w:hAnsi="Arial" w:cs="Arial"/>
          <w:b/>
        </w:rPr>
      </w:pPr>
      <w:r w:rsidRPr="00A97719">
        <w:rPr>
          <w:rFonts w:ascii="Arial" w:hAnsi="Arial" w:cs="Arial"/>
          <w:b/>
        </w:rPr>
        <w:t>Table</w:t>
      </w:r>
      <w:r w:rsidRPr="00A97719">
        <w:rPr>
          <w:rFonts w:ascii="Arial" w:hAnsi="Arial" w:cs="Arial"/>
          <w:b/>
          <w:spacing w:val="5"/>
        </w:rPr>
        <w:t xml:space="preserve"> 2</w:t>
      </w:r>
      <w:r w:rsidRPr="00A97719">
        <w:rPr>
          <w:rFonts w:ascii="Arial" w:hAnsi="Arial" w:cs="Arial"/>
          <w:b/>
        </w:rPr>
        <w:t>.</w:t>
      </w:r>
      <w:r w:rsidRPr="00A97719">
        <w:rPr>
          <w:rFonts w:ascii="Arial" w:hAnsi="Arial" w:cs="Arial"/>
          <w:b/>
          <w:spacing w:val="6"/>
        </w:rPr>
        <w:t xml:space="preserve"> </w:t>
      </w:r>
      <w:r w:rsidRPr="00A97719">
        <w:rPr>
          <w:rFonts w:ascii="Arial" w:hAnsi="Arial" w:cs="Arial"/>
          <w:b/>
        </w:rPr>
        <w:t>Effect</w:t>
      </w:r>
      <w:r w:rsidRPr="00A97719">
        <w:rPr>
          <w:rFonts w:ascii="Arial" w:hAnsi="Arial" w:cs="Arial"/>
          <w:b/>
          <w:spacing w:val="10"/>
        </w:rPr>
        <w:t xml:space="preserve"> </w:t>
      </w:r>
      <w:r w:rsidRPr="00A97719">
        <w:rPr>
          <w:rFonts w:ascii="Arial" w:hAnsi="Arial" w:cs="Arial"/>
          <w:b/>
        </w:rPr>
        <w:t>of</w:t>
      </w:r>
      <w:r w:rsidRPr="00A97719">
        <w:rPr>
          <w:rFonts w:ascii="Arial" w:hAnsi="Arial" w:cs="Arial"/>
          <w:b/>
          <w:spacing w:val="8"/>
        </w:rPr>
        <w:t xml:space="preserve"> </w:t>
      </w:r>
      <w:r w:rsidRPr="00A97719">
        <w:rPr>
          <w:rFonts w:ascii="Arial" w:hAnsi="Arial" w:cs="Arial"/>
          <w:b/>
        </w:rPr>
        <w:t>temperature</w:t>
      </w:r>
      <w:r w:rsidRPr="00A97719">
        <w:rPr>
          <w:rFonts w:ascii="Arial" w:hAnsi="Arial" w:cs="Arial"/>
          <w:b/>
          <w:spacing w:val="18"/>
        </w:rPr>
        <w:t xml:space="preserve"> </w:t>
      </w:r>
      <w:r w:rsidRPr="00A97719">
        <w:rPr>
          <w:rFonts w:ascii="Arial" w:hAnsi="Arial" w:cs="Arial"/>
          <w:b/>
        </w:rPr>
        <w:t>on</w:t>
      </w:r>
      <w:r w:rsidRPr="00A97719">
        <w:rPr>
          <w:rFonts w:ascii="Arial" w:hAnsi="Arial" w:cs="Arial"/>
          <w:b/>
          <w:spacing w:val="17"/>
        </w:rPr>
        <w:t xml:space="preserve"> </w:t>
      </w:r>
      <w:r w:rsidRPr="00A97719">
        <w:rPr>
          <w:rFonts w:ascii="Arial" w:hAnsi="Arial" w:cs="Arial"/>
          <w:b/>
        </w:rPr>
        <w:t>spore</w:t>
      </w:r>
      <w:r w:rsidRPr="00A97719">
        <w:rPr>
          <w:rFonts w:ascii="Arial" w:hAnsi="Arial" w:cs="Arial"/>
          <w:b/>
          <w:spacing w:val="6"/>
        </w:rPr>
        <w:t xml:space="preserve"> </w:t>
      </w:r>
      <w:r w:rsidRPr="00A97719">
        <w:rPr>
          <w:rFonts w:ascii="Arial" w:hAnsi="Arial" w:cs="Arial"/>
          <w:b/>
        </w:rPr>
        <w:t>production</w:t>
      </w:r>
      <w:r w:rsidRPr="00A97719">
        <w:rPr>
          <w:rFonts w:ascii="Arial" w:hAnsi="Arial" w:cs="Arial"/>
          <w:b/>
          <w:spacing w:val="10"/>
        </w:rPr>
        <w:t xml:space="preserve"> </w:t>
      </w:r>
      <w:r w:rsidRPr="00A97719">
        <w:rPr>
          <w:rFonts w:ascii="Arial" w:hAnsi="Arial" w:cs="Arial"/>
          <w:b/>
        </w:rPr>
        <w:t>of</w:t>
      </w:r>
      <w:r w:rsidRPr="00A97719">
        <w:rPr>
          <w:rFonts w:ascii="Arial" w:hAnsi="Arial" w:cs="Arial"/>
          <w:b/>
          <w:spacing w:val="18"/>
        </w:rPr>
        <w:t xml:space="preserve"> </w:t>
      </w:r>
      <w:r w:rsidRPr="00A97719">
        <w:rPr>
          <w:rFonts w:ascii="Arial" w:hAnsi="Arial" w:cs="Arial"/>
          <w:b/>
          <w:i/>
        </w:rPr>
        <w:t>Beauveria</w:t>
      </w:r>
      <w:r w:rsidRPr="00A97719">
        <w:rPr>
          <w:rFonts w:ascii="Arial" w:hAnsi="Arial" w:cs="Arial"/>
          <w:b/>
          <w:i/>
          <w:spacing w:val="28"/>
        </w:rPr>
        <w:t xml:space="preserve"> </w:t>
      </w:r>
      <w:r w:rsidRPr="00A97719">
        <w:rPr>
          <w:rFonts w:ascii="Arial" w:hAnsi="Arial" w:cs="Arial"/>
          <w:b/>
          <w:i/>
        </w:rPr>
        <w:t>bassiana</w:t>
      </w:r>
      <w:r w:rsidRPr="00A97719">
        <w:rPr>
          <w:rFonts w:ascii="Arial" w:hAnsi="Arial" w:cs="Arial"/>
          <w:b/>
          <w:i/>
          <w:spacing w:val="27"/>
        </w:rPr>
        <w:t xml:space="preserve"> </w:t>
      </w:r>
      <w:r w:rsidRPr="00A97719">
        <w:rPr>
          <w:rFonts w:ascii="Arial" w:hAnsi="Arial" w:cs="Arial"/>
          <w:b/>
          <w:spacing w:val="-5"/>
        </w:rPr>
        <w:t>and</w:t>
      </w:r>
    </w:p>
    <w:p w14:paraId="31782924" w14:textId="77777777" w:rsidR="000E2560" w:rsidRPr="00A97719" w:rsidRDefault="000E2560" w:rsidP="004677B3">
      <w:pPr>
        <w:spacing w:after="0" w:line="240" w:lineRule="auto"/>
        <w:jc w:val="center"/>
        <w:rPr>
          <w:rFonts w:ascii="Arial" w:hAnsi="Arial" w:cs="Arial"/>
          <w:b/>
          <w:i/>
          <w:spacing w:val="-2"/>
        </w:rPr>
      </w:pPr>
      <w:r w:rsidRPr="00A97719">
        <w:rPr>
          <w:rFonts w:ascii="Arial" w:hAnsi="Arial" w:cs="Arial"/>
          <w:b/>
          <w:i/>
        </w:rPr>
        <w:t>Metarhizium</w:t>
      </w:r>
      <w:r w:rsidRPr="00A97719">
        <w:rPr>
          <w:rFonts w:ascii="Arial" w:hAnsi="Arial" w:cs="Arial"/>
          <w:b/>
          <w:i/>
          <w:spacing w:val="31"/>
        </w:rPr>
        <w:t xml:space="preserve"> </w:t>
      </w:r>
      <w:r w:rsidRPr="00A97719">
        <w:rPr>
          <w:rFonts w:ascii="Arial" w:hAnsi="Arial" w:cs="Arial"/>
          <w:b/>
          <w:i/>
          <w:spacing w:val="-2"/>
        </w:rPr>
        <w:t>anisopliae.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86"/>
        <w:gridCol w:w="1323"/>
        <w:gridCol w:w="1322"/>
        <w:gridCol w:w="1322"/>
        <w:gridCol w:w="1543"/>
        <w:gridCol w:w="951"/>
      </w:tblGrid>
      <w:tr w:rsidR="000E2560" w:rsidRPr="00A97719" w14:paraId="5C59FBF7" w14:textId="77777777" w:rsidTr="00A97719">
        <w:trPr>
          <w:trHeight w:val="401"/>
          <w:jc w:val="center"/>
        </w:trPr>
        <w:tc>
          <w:tcPr>
            <w:tcW w:w="0" w:type="auto"/>
            <w:vMerge w:val="restart"/>
          </w:tcPr>
          <w:p w14:paraId="69CF0D96"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z w:val="20"/>
                <w:szCs w:val="20"/>
              </w:rPr>
              <w:t>Temperatures (</w:t>
            </w:r>
            <w:bookmarkStart w:id="2" w:name="_Hlk216649593"/>
            <w:r w:rsidRPr="00A97719">
              <w:rPr>
                <w:rFonts w:ascii="Arial" w:hAnsi="Arial" w:cs="Arial"/>
                <w:b/>
                <w:sz w:val="20"/>
                <w:szCs w:val="20"/>
              </w:rPr>
              <w:t>˚C</w:t>
            </w:r>
            <w:bookmarkEnd w:id="2"/>
            <w:r w:rsidRPr="00A97719">
              <w:rPr>
                <w:rFonts w:ascii="Arial" w:hAnsi="Arial" w:cs="Arial"/>
                <w:b/>
                <w:sz w:val="20"/>
                <w:szCs w:val="20"/>
              </w:rPr>
              <w:t>)</w:t>
            </w:r>
            <w:r w:rsidRPr="00A97719">
              <w:rPr>
                <w:rFonts w:ascii="Arial" w:hAnsi="Arial" w:cs="Arial"/>
                <w:b/>
                <w:spacing w:val="35"/>
                <w:sz w:val="20"/>
                <w:szCs w:val="20"/>
              </w:rPr>
              <w:t xml:space="preserve"> </w:t>
            </w:r>
            <w:r w:rsidRPr="00A97719">
              <w:rPr>
                <w:rFonts w:ascii="Arial" w:hAnsi="Arial" w:cs="Arial"/>
                <w:b/>
                <w:spacing w:val="-5"/>
                <w:sz w:val="20"/>
                <w:szCs w:val="20"/>
              </w:rPr>
              <w:t>(A)</w:t>
            </w:r>
          </w:p>
        </w:tc>
        <w:tc>
          <w:tcPr>
            <w:tcW w:w="0" w:type="auto"/>
            <w:gridSpan w:val="5"/>
          </w:tcPr>
          <w:p w14:paraId="47492695" w14:textId="71B0BF02"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w w:val="105"/>
                <w:sz w:val="20"/>
                <w:szCs w:val="20"/>
              </w:rPr>
              <w:t>Number</w:t>
            </w:r>
            <w:r w:rsidRPr="00A97719">
              <w:rPr>
                <w:rFonts w:ascii="Arial" w:hAnsi="Arial" w:cs="Arial"/>
                <w:b/>
                <w:spacing w:val="-17"/>
                <w:w w:val="105"/>
                <w:sz w:val="20"/>
                <w:szCs w:val="20"/>
              </w:rPr>
              <w:t xml:space="preserve"> </w:t>
            </w:r>
            <w:r w:rsidRPr="00A97719">
              <w:rPr>
                <w:rFonts w:ascii="Arial" w:hAnsi="Arial" w:cs="Arial"/>
                <w:b/>
                <w:w w:val="105"/>
                <w:sz w:val="20"/>
                <w:szCs w:val="20"/>
              </w:rPr>
              <w:t>of</w:t>
            </w:r>
            <w:r w:rsidRPr="00A97719">
              <w:rPr>
                <w:rFonts w:ascii="Arial" w:hAnsi="Arial" w:cs="Arial"/>
                <w:b/>
                <w:spacing w:val="-17"/>
                <w:w w:val="105"/>
                <w:sz w:val="20"/>
                <w:szCs w:val="20"/>
              </w:rPr>
              <w:t xml:space="preserve"> </w:t>
            </w:r>
            <w:r w:rsidRPr="00A97719">
              <w:rPr>
                <w:rFonts w:ascii="Arial" w:hAnsi="Arial" w:cs="Arial"/>
                <w:b/>
                <w:w w:val="105"/>
                <w:sz w:val="20"/>
                <w:szCs w:val="20"/>
              </w:rPr>
              <w:t>viable</w:t>
            </w:r>
            <w:r w:rsidRPr="00A97719">
              <w:rPr>
                <w:rFonts w:ascii="Arial" w:hAnsi="Arial" w:cs="Arial"/>
                <w:b/>
                <w:spacing w:val="-17"/>
                <w:w w:val="105"/>
                <w:sz w:val="20"/>
                <w:szCs w:val="20"/>
              </w:rPr>
              <w:t xml:space="preserve"> </w:t>
            </w:r>
            <w:r w:rsidRPr="00A97719">
              <w:rPr>
                <w:rFonts w:ascii="Arial" w:hAnsi="Arial" w:cs="Arial"/>
                <w:b/>
                <w:w w:val="105"/>
                <w:sz w:val="20"/>
                <w:szCs w:val="20"/>
              </w:rPr>
              <w:t>spores</w:t>
            </w:r>
            <w:r w:rsidR="004F0521" w:rsidRPr="00A97719">
              <w:rPr>
                <w:rFonts w:ascii="Arial" w:hAnsi="Arial" w:cs="Arial"/>
                <w:b/>
                <w:w w:val="105"/>
                <w:sz w:val="20"/>
                <w:szCs w:val="20"/>
              </w:rPr>
              <w:t xml:space="preserve"> in different strains </w:t>
            </w:r>
            <w:r w:rsidRPr="00A97719">
              <w:rPr>
                <w:rFonts w:ascii="Arial" w:hAnsi="Arial" w:cs="Arial"/>
                <w:b/>
                <w:w w:val="105"/>
                <w:sz w:val="20"/>
                <w:szCs w:val="20"/>
              </w:rPr>
              <w:t>at</w:t>
            </w:r>
            <w:r w:rsidRPr="00A97719">
              <w:rPr>
                <w:rFonts w:ascii="Arial" w:hAnsi="Arial" w:cs="Arial"/>
                <w:b/>
                <w:spacing w:val="-12"/>
                <w:w w:val="105"/>
                <w:sz w:val="20"/>
                <w:szCs w:val="20"/>
              </w:rPr>
              <w:t xml:space="preserve"> </w:t>
            </w:r>
            <w:r w:rsidRPr="00A97719">
              <w:rPr>
                <w:rFonts w:ascii="Arial" w:hAnsi="Arial" w:cs="Arial"/>
                <w:b/>
                <w:w w:val="105"/>
                <w:sz w:val="20"/>
                <w:szCs w:val="20"/>
              </w:rPr>
              <w:t>1×10</w:t>
            </w:r>
            <w:r w:rsidRPr="00A97719">
              <w:rPr>
                <w:rFonts w:ascii="Arial" w:hAnsi="Arial" w:cs="Arial"/>
                <w:b/>
                <w:w w:val="105"/>
                <w:position w:val="8"/>
                <w:sz w:val="20"/>
                <w:szCs w:val="20"/>
              </w:rPr>
              <w:t>6</w:t>
            </w:r>
            <w:r w:rsidRPr="00A97719">
              <w:rPr>
                <w:rFonts w:ascii="Arial" w:hAnsi="Arial" w:cs="Arial"/>
                <w:b/>
                <w:spacing w:val="-11"/>
                <w:w w:val="105"/>
                <w:position w:val="8"/>
                <w:sz w:val="20"/>
                <w:szCs w:val="20"/>
              </w:rPr>
              <w:t xml:space="preserve"> </w:t>
            </w:r>
            <w:r w:rsidRPr="00A97719">
              <w:rPr>
                <w:rFonts w:ascii="Arial" w:hAnsi="Arial" w:cs="Arial"/>
                <w:b/>
                <w:w w:val="105"/>
                <w:sz w:val="20"/>
                <w:szCs w:val="20"/>
              </w:rPr>
              <w:t>per</w:t>
            </w:r>
            <w:r w:rsidRPr="00A97719">
              <w:rPr>
                <w:rFonts w:ascii="Arial" w:hAnsi="Arial" w:cs="Arial"/>
                <w:b/>
                <w:spacing w:val="-10"/>
                <w:w w:val="105"/>
                <w:sz w:val="20"/>
                <w:szCs w:val="20"/>
              </w:rPr>
              <w:t xml:space="preserve"> </w:t>
            </w:r>
            <w:r w:rsidRPr="00A97719">
              <w:rPr>
                <w:rFonts w:ascii="Arial" w:hAnsi="Arial" w:cs="Arial"/>
                <w:b/>
                <w:w w:val="105"/>
                <w:sz w:val="20"/>
                <w:szCs w:val="20"/>
              </w:rPr>
              <w:t>1</w:t>
            </w:r>
            <w:r w:rsidRPr="00A97719">
              <w:rPr>
                <w:rFonts w:ascii="Arial" w:hAnsi="Arial" w:cs="Arial"/>
                <w:b/>
                <w:spacing w:val="-8"/>
                <w:w w:val="105"/>
                <w:sz w:val="20"/>
                <w:szCs w:val="20"/>
              </w:rPr>
              <w:t xml:space="preserve"> </w:t>
            </w:r>
            <w:r w:rsidRPr="00A97719">
              <w:rPr>
                <w:rFonts w:ascii="Arial" w:hAnsi="Arial" w:cs="Arial"/>
                <w:b/>
                <w:w w:val="105"/>
                <w:sz w:val="20"/>
                <w:szCs w:val="20"/>
              </w:rPr>
              <w:t>ml</w:t>
            </w:r>
            <w:r w:rsidRPr="00A97719">
              <w:rPr>
                <w:rFonts w:ascii="Arial" w:hAnsi="Arial" w:cs="Arial"/>
                <w:b/>
                <w:spacing w:val="-18"/>
                <w:w w:val="105"/>
                <w:sz w:val="20"/>
                <w:szCs w:val="20"/>
              </w:rPr>
              <w:t xml:space="preserve"> </w:t>
            </w:r>
            <w:r w:rsidRPr="00A97719">
              <w:rPr>
                <w:rFonts w:ascii="Arial" w:hAnsi="Arial" w:cs="Arial"/>
                <w:b/>
                <w:w w:val="105"/>
                <w:sz w:val="20"/>
                <w:szCs w:val="20"/>
              </w:rPr>
              <w:t>(B)</w:t>
            </w:r>
            <w:r w:rsidRPr="00A97719">
              <w:rPr>
                <w:rFonts w:ascii="Arial" w:hAnsi="Arial" w:cs="Arial"/>
                <w:b/>
                <w:spacing w:val="-17"/>
                <w:w w:val="105"/>
                <w:sz w:val="20"/>
                <w:szCs w:val="20"/>
              </w:rPr>
              <w:t xml:space="preserve"> </w:t>
            </w:r>
            <w:r w:rsidRPr="00A97719">
              <w:rPr>
                <w:rFonts w:ascii="Arial" w:hAnsi="Arial" w:cs="Arial"/>
                <w:b/>
                <w:spacing w:val="-10"/>
                <w:w w:val="105"/>
                <w:sz w:val="20"/>
                <w:szCs w:val="20"/>
              </w:rPr>
              <w:t>*</w:t>
            </w:r>
          </w:p>
        </w:tc>
      </w:tr>
      <w:tr w:rsidR="004F0521" w:rsidRPr="00A97719" w14:paraId="5A9A6EDE" w14:textId="77777777" w:rsidTr="00A97719">
        <w:trPr>
          <w:trHeight w:val="50"/>
          <w:jc w:val="center"/>
        </w:trPr>
        <w:tc>
          <w:tcPr>
            <w:tcW w:w="0" w:type="auto"/>
            <w:vMerge/>
            <w:tcBorders>
              <w:top w:val="nil"/>
            </w:tcBorders>
          </w:tcPr>
          <w:p w14:paraId="03242AC5" w14:textId="77777777" w:rsidR="000E2560" w:rsidRPr="00A97719" w:rsidRDefault="000E2560" w:rsidP="00DB7DDD">
            <w:pPr>
              <w:jc w:val="center"/>
              <w:rPr>
                <w:rFonts w:ascii="Arial" w:hAnsi="Arial" w:cs="Arial"/>
                <w:sz w:val="20"/>
                <w:szCs w:val="20"/>
              </w:rPr>
            </w:pPr>
          </w:p>
        </w:tc>
        <w:tc>
          <w:tcPr>
            <w:tcW w:w="0" w:type="auto"/>
          </w:tcPr>
          <w:p w14:paraId="1D897A98"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F1</w:t>
            </w:r>
          </w:p>
        </w:tc>
        <w:tc>
          <w:tcPr>
            <w:tcW w:w="0" w:type="auto"/>
          </w:tcPr>
          <w:p w14:paraId="3E30E772"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F2</w:t>
            </w:r>
          </w:p>
        </w:tc>
        <w:tc>
          <w:tcPr>
            <w:tcW w:w="0" w:type="auto"/>
          </w:tcPr>
          <w:p w14:paraId="752BE32B"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F3</w:t>
            </w:r>
          </w:p>
        </w:tc>
        <w:tc>
          <w:tcPr>
            <w:tcW w:w="0" w:type="auto"/>
          </w:tcPr>
          <w:p w14:paraId="2FB6D1E6"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F4</w:t>
            </w:r>
          </w:p>
        </w:tc>
        <w:tc>
          <w:tcPr>
            <w:tcW w:w="0" w:type="auto"/>
          </w:tcPr>
          <w:p w14:paraId="139F1FFA"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w w:val="105"/>
                <w:sz w:val="20"/>
                <w:szCs w:val="20"/>
              </w:rPr>
              <w:t>Mean</w:t>
            </w:r>
          </w:p>
        </w:tc>
      </w:tr>
      <w:tr w:rsidR="004F0521" w:rsidRPr="00A97719" w14:paraId="46AF408D" w14:textId="77777777" w:rsidTr="00A97719">
        <w:trPr>
          <w:trHeight w:val="197"/>
          <w:jc w:val="center"/>
        </w:trPr>
        <w:tc>
          <w:tcPr>
            <w:tcW w:w="0" w:type="auto"/>
          </w:tcPr>
          <w:p w14:paraId="719C2B90"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22</w:t>
            </w:r>
          </w:p>
        </w:tc>
        <w:tc>
          <w:tcPr>
            <w:tcW w:w="0" w:type="auto"/>
          </w:tcPr>
          <w:p w14:paraId="0F402941"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46.16</w:t>
            </w:r>
          </w:p>
          <w:p w14:paraId="2B7B527E"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6.86)</w:t>
            </w:r>
            <w:proofErr w:type="spellStart"/>
            <w:r w:rsidRPr="00A97719">
              <w:rPr>
                <w:rFonts w:ascii="Arial" w:hAnsi="Arial" w:cs="Arial"/>
                <w:spacing w:val="-2"/>
                <w:w w:val="105"/>
                <w:sz w:val="20"/>
                <w:szCs w:val="20"/>
                <w:vertAlign w:val="superscript"/>
              </w:rPr>
              <w:t>abc</w:t>
            </w:r>
            <w:proofErr w:type="spellEnd"/>
            <w:proofErr w:type="gramEnd"/>
          </w:p>
        </w:tc>
        <w:tc>
          <w:tcPr>
            <w:tcW w:w="0" w:type="auto"/>
          </w:tcPr>
          <w:p w14:paraId="3518883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38.41</w:t>
            </w:r>
          </w:p>
          <w:p w14:paraId="092F452F"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6.28)</w:t>
            </w:r>
            <w:proofErr w:type="spellStart"/>
            <w:r w:rsidRPr="00A97719">
              <w:rPr>
                <w:rFonts w:ascii="Arial" w:hAnsi="Arial" w:cs="Arial"/>
                <w:spacing w:val="-2"/>
                <w:w w:val="105"/>
                <w:sz w:val="20"/>
                <w:szCs w:val="20"/>
                <w:vertAlign w:val="superscript"/>
              </w:rPr>
              <w:t>bcd</w:t>
            </w:r>
            <w:proofErr w:type="spellEnd"/>
            <w:proofErr w:type="gramEnd"/>
          </w:p>
        </w:tc>
        <w:tc>
          <w:tcPr>
            <w:tcW w:w="0" w:type="auto"/>
          </w:tcPr>
          <w:p w14:paraId="757DD85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39.25</w:t>
            </w:r>
          </w:p>
          <w:p w14:paraId="77E076C3"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6.30)</w:t>
            </w:r>
            <w:proofErr w:type="spellStart"/>
            <w:r w:rsidRPr="00A97719">
              <w:rPr>
                <w:rFonts w:ascii="Arial" w:hAnsi="Arial" w:cs="Arial"/>
                <w:spacing w:val="-2"/>
                <w:w w:val="105"/>
                <w:sz w:val="20"/>
                <w:szCs w:val="20"/>
                <w:vertAlign w:val="superscript"/>
              </w:rPr>
              <w:t>bcd</w:t>
            </w:r>
            <w:proofErr w:type="spellEnd"/>
            <w:proofErr w:type="gramEnd"/>
          </w:p>
        </w:tc>
        <w:tc>
          <w:tcPr>
            <w:tcW w:w="0" w:type="auto"/>
          </w:tcPr>
          <w:p w14:paraId="793900D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28.44</w:t>
            </w:r>
          </w:p>
          <w:p w14:paraId="1AE2F907"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5.42)</w:t>
            </w:r>
            <w:r w:rsidRPr="00A97719">
              <w:rPr>
                <w:rFonts w:ascii="Arial" w:hAnsi="Arial" w:cs="Arial"/>
                <w:spacing w:val="-2"/>
                <w:w w:val="105"/>
                <w:sz w:val="20"/>
                <w:szCs w:val="20"/>
                <w:vertAlign w:val="superscript"/>
              </w:rPr>
              <w:t>de</w:t>
            </w:r>
            <w:proofErr w:type="gramEnd"/>
          </w:p>
        </w:tc>
        <w:tc>
          <w:tcPr>
            <w:tcW w:w="0" w:type="auto"/>
          </w:tcPr>
          <w:p w14:paraId="107833D3"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38.07</w:t>
            </w:r>
          </w:p>
          <w:p w14:paraId="6E68D48E"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(6.21)</w:t>
            </w:r>
          </w:p>
        </w:tc>
      </w:tr>
      <w:tr w:rsidR="004F0521" w:rsidRPr="00A97719" w14:paraId="719A36DF" w14:textId="77777777" w:rsidTr="00A97719">
        <w:trPr>
          <w:trHeight w:val="359"/>
          <w:jc w:val="center"/>
        </w:trPr>
        <w:tc>
          <w:tcPr>
            <w:tcW w:w="0" w:type="auto"/>
          </w:tcPr>
          <w:p w14:paraId="4C4C2987"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26</w:t>
            </w:r>
          </w:p>
        </w:tc>
        <w:tc>
          <w:tcPr>
            <w:tcW w:w="0" w:type="auto"/>
          </w:tcPr>
          <w:p w14:paraId="20E204C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54.44</w:t>
            </w:r>
          </w:p>
          <w:p w14:paraId="19DCF20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7.44)</w:t>
            </w:r>
            <w:r w:rsidRPr="00A97719">
              <w:rPr>
                <w:rFonts w:ascii="Arial" w:hAnsi="Arial" w:cs="Arial"/>
                <w:spacing w:val="-2"/>
                <w:w w:val="105"/>
                <w:sz w:val="20"/>
                <w:szCs w:val="20"/>
                <w:vertAlign w:val="superscript"/>
              </w:rPr>
              <w:t>a</w:t>
            </w:r>
            <w:proofErr w:type="gramEnd"/>
          </w:p>
        </w:tc>
        <w:tc>
          <w:tcPr>
            <w:tcW w:w="0" w:type="auto"/>
          </w:tcPr>
          <w:p w14:paraId="4C3D9377"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51.86</w:t>
            </w:r>
          </w:p>
          <w:p w14:paraId="714F1A6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7.27)</w:t>
            </w:r>
            <w:r w:rsidRPr="00A97719">
              <w:rPr>
                <w:rFonts w:ascii="Arial" w:hAnsi="Arial" w:cs="Arial"/>
                <w:spacing w:val="-2"/>
                <w:w w:val="105"/>
                <w:sz w:val="20"/>
                <w:szCs w:val="20"/>
                <w:vertAlign w:val="superscript"/>
              </w:rPr>
              <w:t>ab</w:t>
            </w:r>
            <w:proofErr w:type="gramEnd"/>
          </w:p>
        </w:tc>
        <w:tc>
          <w:tcPr>
            <w:tcW w:w="0" w:type="auto"/>
          </w:tcPr>
          <w:p w14:paraId="02B53AB7"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38.69</w:t>
            </w:r>
          </w:p>
          <w:p w14:paraId="7D9A28A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6.30)</w:t>
            </w:r>
            <w:proofErr w:type="spellStart"/>
            <w:r w:rsidRPr="00A97719">
              <w:rPr>
                <w:rFonts w:ascii="Arial" w:hAnsi="Arial" w:cs="Arial"/>
                <w:spacing w:val="-2"/>
                <w:w w:val="105"/>
                <w:sz w:val="20"/>
                <w:szCs w:val="20"/>
                <w:vertAlign w:val="superscript"/>
              </w:rPr>
              <w:t>bcd</w:t>
            </w:r>
            <w:proofErr w:type="spellEnd"/>
            <w:proofErr w:type="gramEnd"/>
          </w:p>
        </w:tc>
        <w:tc>
          <w:tcPr>
            <w:tcW w:w="0" w:type="auto"/>
          </w:tcPr>
          <w:p w14:paraId="1E16E5B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32.22</w:t>
            </w:r>
          </w:p>
          <w:p w14:paraId="6F7773DF"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5.74)</w:t>
            </w:r>
            <w:proofErr w:type="spellStart"/>
            <w:r w:rsidRPr="00A97719">
              <w:rPr>
                <w:rFonts w:ascii="Arial" w:hAnsi="Arial" w:cs="Arial"/>
                <w:spacing w:val="-2"/>
                <w:w w:val="105"/>
                <w:sz w:val="20"/>
                <w:szCs w:val="20"/>
                <w:vertAlign w:val="superscript"/>
              </w:rPr>
              <w:t>cde</w:t>
            </w:r>
            <w:proofErr w:type="spellEnd"/>
            <w:proofErr w:type="gramEnd"/>
          </w:p>
        </w:tc>
        <w:tc>
          <w:tcPr>
            <w:tcW w:w="0" w:type="auto"/>
          </w:tcPr>
          <w:p w14:paraId="54A51C6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44.30</w:t>
            </w:r>
          </w:p>
          <w:p w14:paraId="5D3FBF4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(6.69)</w:t>
            </w:r>
          </w:p>
        </w:tc>
      </w:tr>
      <w:tr w:rsidR="004F0521" w:rsidRPr="00A97719" w14:paraId="01A1F89D" w14:textId="77777777" w:rsidTr="00A97719">
        <w:trPr>
          <w:trHeight w:val="251"/>
          <w:jc w:val="center"/>
        </w:trPr>
        <w:tc>
          <w:tcPr>
            <w:tcW w:w="0" w:type="auto"/>
          </w:tcPr>
          <w:p w14:paraId="443803AB"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30</w:t>
            </w:r>
          </w:p>
        </w:tc>
        <w:tc>
          <w:tcPr>
            <w:tcW w:w="0" w:type="auto"/>
          </w:tcPr>
          <w:p w14:paraId="33F19E4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28.74</w:t>
            </w:r>
          </w:p>
          <w:p w14:paraId="5752A80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5.45)</w:t>
            </w:r>
            <w:r w:rsidRPr="00A97719">
              <w:rPr>
                <w:rFonts w:ascii="Arial" w:hAnsi="Arial" w:cs="Arial"/>
                <w:spacing w:val="-2"/>
                <w:w w:val="105"/>
                <w:sz w:val="20"/>
                <w:szCs w:val="20"/>
                <w:vertAlign w:val="superscript"/>
              </w:rPr>
              <w:t>de</w:t>
            </w:r>
            <w:proofErr w:type="gramEnd"/>
          </w:p>
        </w:tc>
        <w:tc>
          <w:tcPr>
            <w:tcW w:w="0" w:type="auto"/>
          </w:tcPr>
          <w:p w14:paraId="19049C9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26.72</w:t>
            </w:r>
          </w:p>
          <w:p w14:paraId="60F7047F"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5.26)</w:t>
            </w:r>
            <w:r w:rsidRPr="00A97719">
              <w:rPr>
                <w:rFonts w:ascii="Arial" w:hAnsi="Arial" w:cs="Arial"/>
                <w:spacing w:val="-2"/>
                <w:w w:val="105"/>
                <w:sz w:val="20"/>
                <w:szCs w:val="20"/>
                <w:vertAlign w:val="superscript"/>
              </w:rPr>
              <w:t>de</w:t>
            </w:r>
            <w:proofErr w:type="gramEnd"/>
          </w:p>
        </w:tc>
        <w:tc>
          <w:tcPr>
            <w:tcW w:w="0" w:type="auto"/>
          </w:tcPr>
          <w:p w14:paraId="7F74613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32.69</w:t>
            </w:r>
          </w:p>
          <w:p w14:paraId="2EC2561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5.80)</w:t>
            </w:r>
            <w:proofErr w:type="spellStart"/>
            <w:r w:rsidRPr="00A97719">
              <w:rPr>
                <w:rFonts w:ascii="Arial" w:hAnsi="Arial" w:cs="Arial"/>
                <w:spacing w:val="-2"/>
                <w:w w:val="105"/>
                <w:sz w:val="20"/>
                <w:szCs w:val="20"/>
                <w:vertAlign w:val="superscript"/>
              </w:rPr>
              <w:t>cde</w:t>
            </w:r>
            <w:proofErr w:type="spellEnd"/>
            <w:proofErr w:type="gramEnd"/>
          </w:p>
        </w:tc>
        <w:tc>
          <w:tcPr>
            <w:tcW w:w="0" w:type="auto"/>
          </w:tcPr>
          <w:p w14:paraId="706DABC2"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24.22</w:t>
            </w:r>
          </w:p>
          <w:p w14:paraId="3A6337E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5.02)</w:t>
            </w:r>
            <w:r w:rsidRPr="00A97719">
              <w:rPr>
                <w:rFonts w:ascii="Arial" w:hAnsi="Arial" w:cs="Arial"/>
                <w:spacing w:val="-2"/>
                <w:w w:val="105"/>
                <w:sz w:val="20"/>
                <w:szCs w:val="20"/>
                <w:vertAlign w:val="superscript"/>
              </w:rPr>
              <w:t>e</w:t>
            </w:r>
            <w:proofErr w:type="gramEnd"/>
          </w:p>
        </w:tc>
        <w:tc>
          <w:tcPr>
            <w:tcW w:w="0" w:type="auto"/>
          </w:tcPr>
          <w:p w14:paraId="0B64474D"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28.09</w:t>
            </w:r>
          </w:p>
          <w:p w14:paraId="2110192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(5.39)</w:t>
            </w:r>
          </w:p>
        </w:tc>
      </w:tr>
      <w:tr w:rsidR="004F0521" w:rsidRPr="00A97719" w14:paraId="6E8352D0" w14:textId="77777777" w:rsidTr="00A97719">
        <w:trPr>
          <w:trHeight w:val="233"/>
          <w:jc w:val="center"/>
        </w:trPr>
        <w:tc>
          <w:tcPr>
            <w:tcW w:w="0" w:type="auto"/>
          </w:tcPr>
          <w:p w14:paraId="3DCB53C9"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34</w:t>
            </w:r>
          </w:p>
        </w:tc>
        <w:tc>
          <w:tcPr>
            <w:tcW w:w="0" w:type="auto"/>
          </w:tcPr>
          <w:p w14:paraId="3C5A1B11"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29.05</w:t>
            </w:r>
          </w:p>
          <w:p w14:paraId="67CD205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5.48)</w:t>
            </w:r>
            <w:proofErr w:type="spellStart"/>
            <w:r w:rsidRPr="00A97719">
              <w:rPr>
                <w:rFonts w:ascii="Arial" w:hAnsi="Arial" w:cs="Arial"/>
                <w:spacing w:val="-2"/>
                <w:w w:val="105"/>
                <w:sz w:val="20"/>
                <w:szCs w:val="20"/>
                <w:vertAlign w:val="superscript"/>
              </w:rPr>
              <w:t>bcd</w:t>
            </w:r>
            <w:proofErr w:type="spellEnd"/>
            <w:proofErr w:type="gramEnd"/>
          </w:p>
        </w:tc>
        <w:tc>
          <w:tcPr>
            <w:tcW w:w="0" w:type="auto"/>
          </w:tcPr>
          <w:p w14:paraId="435E4FD2"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27.77</w:t>
            </w:r>
          </w:p>
          <w:p w14:paraId="1428F732"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5.36)</w:t>
            </w:r>
            <w:r w:rsidRPr="00A97719">
              <w:rPr>
                <w:rFonts w:ascii="Arial" w:hAnsi="Arial" w:cs="Arial"/>
                <w:spacing w:val="-2"/>
                <w:w w:val="105"/>
                <w:sz w:val="20"/>
                <w:szCs w:val="20"/>
                <w:vertAlign w:val="superscript"/>
              </w:rPr>
              <w:t>de</w:t>
            </w:r>
            <w:proofErr w:type="gramEnd"/>
          </w:p>
        </w:tc>
        <w:tc>
          <w:tcPr>
            <w:tcW w:w="0" w:type="auto"/>
          </w:tcPr>
          <w:p w14:paraId="029FECB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23.91</w:t>
            </w:r>
          </w:p>
          <w:p w14:paraId="4C49011F"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4.99)</w:t>
            </w:r>
            <w:r w:rsidRPr="00A97719">
              <w:rPr>
                <w:rFonts w:ascii="Arial" w:hAnsi="Arial" w:cs="Arial"/>
                <w:spacing w:val="-2"/>
                <w:w w:val="105"/>
                <w:sz w:val="20"/>
                <w:szCs w:val="20"/>
                <w:vertAlign w:val="superscript"/>
              </w:rPr>
              <w:t>e</w:t>
            </w:r>
            <w:proofErr w:type="gramEnd"/>
          </w:p>
        </w:tc>
        <w:tc>
          <w:tcPr>
            <w:tcW w:w="0" w:type="auto"/>
          </w:tcPr>
          <w:p w14:paraId="27BCD78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21.44</w:t>
            </w:r>
          </w:p>
          <w:p w14:paraId="12A56203"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4.73)</w:t>
            </w:r>
            <w:r w:rsidRPr="00A97719">
              <w:rPr>
                <w:rFonts w:ascii="Arial" w:hAnsi="Arial" w:cs="Arial"/>
                <w:spacing w:val="-2"/>
                <w:w w:val="105"/>
                <w:sz w:val="20"/>
                <w:szCs w:val="20"/>
                <w:vertAlign w:val="superscript"/>
              </w:rPr>
              <w:t>e</w:t>
            </w:r>
            <w:proofErr w:type="gramEnd"/>
          </w:p>
        </w:tc>
        <w:tc>
          <w:tcPr>
            <w:tcW w:w="0" w:type="auto"/>
          </w:tcPr>
          <w:p w14:paraId="6DADCC4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25.54</w:t>
            </w:r>
          </w:p>
          <w:p w14:paraId="3F81B82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(5.14)</w:t>
            </w:r>
          </w:p>
        </w:tc>
      </w:tr>
      <w:tr w:rsidR="004F0521" w:rsidRPr="00A97719" w14:paraId="4EBB08B7" w14:textId="77777777" w:rsidTr="00A97719">
        <w:trPr>
          <w:trHeight w:val="107"/>
          <w:jc w:val="center"/>
        </w:trPr>
        <w:tc>
          <w:tcPr>
            <w:tcW w:w="0" w:type="auto"/>
          </w:tcPr>
          <w:p w14:paraId="3F0CE5CE"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z w:val="20"/>
                <w:szCs w:val="20"/>
              </w:rPr>
              <w:t>Mean</w:t>
            </w:r>
          </w:p>
        </w:tc>
        <w:tc>
          <w:tcPr>
            <w:tcW w:w="0" w:type="auto"/>
          </w:tcPr>
          <w:p w14:paraId="6CD8ED92"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39.60</w:t>
            </w:r>
          </w:p>
          <w:p w14:paraId="591EDCCB"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(6.31)</w:t>
            </w:r>
          </w:p>
        </w:tc>
        <w:tc>
          <w:tcPr>
            <w:tcW w:w="0" w:type="auto"/>
          </w:tcPr>
          <w:p w14:paraId="1009412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36.19</w:t>
            </w:r>
          </w:p>
          <w:p w14:paraId="4E15FE44"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(6.04)</w:t>
            </w:r>
          </w:p>
        </w:tc>
        <w:tc>
          <w:tcPr>
            <w:tcW w:w="0" w:type="auto"/>
          </w:tcPr>
          <w:p w14:paraId="3CC842E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33.64</w:t>
            </w:r>
          </w:p>
          <w:p w14:paraId="69BB8DB4"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(5.85)</w:t>
            </w:r>
          </w:p>
        </w:tc>
        <w:tc>
          <w:tcPr>
            <w:tcW w:w="0" w:type="auto"/>
          </w:tcPr>
          <w:p w14:paraId="5B3820E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26.58</w:t>
            </w:r>
          </w:p>
          <w:p w14:paraId="1353616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(5.23)</w:t>
            </w:r>
          </w:p>
        </w:tc>
        <w:tc>
          <w:tcPr>
            <w:tcW w:w="0" w:type="auto"/>
          </w:tcPr>
          <w:p w14:paraId="00CCE00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r w:rsidR="004F0521" w:rsidRPr="00A97719" w14:paraId="795F19C8" w14:textId="77777777" w:rsidTr="00A97719">
        <w:trPr>
          <w:trHeight w:val="50"/>
          <w:jc w:val="center"/>
        </w:trPr>
        <w:tc>
          <w:tcPr>
            <w:tcW w:w="0" w:type="auto"/>
          </w:tcPr>
          <w:p w14:paraId="784A39B5" w14:textId="77777777" w:rsidR="000E2560" w:rsidRPr="00A97719" w:rsidRDefault="000E2560" w:rsidP="00DB7DDD">
            <w:pPr>
              <w:pStyle w:val="TableParagraph"/>
              <w:spacing w:before="0"/>
              <w:ind w:left="0"/>
              <w:rPr>
                <w:rFonts w:ascii="Arial" w:hAnsi="Arial" w:cs="Arial"/>
                <w:sz w:val="20"/>
                <w:szCs w:val="20"/>
              </w:rPr>
            </w:pPr>
          </w:p>
        </w:tc>
        <w:tc>
          <w:tcPr>
            <w:tcW w:w="0" w:type="auto"/>
          </w:tcPr>
          <w:p w14:paraId="5294C944"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SEm±</w:t>
            </w:r>
          </w:p>
        </w:tc>
        <w:tc>
          <w:tcPr>
            <w:tcW w:w="0" w:type="auto"/>
          </w:tcPr>
          <w:p w14:paraId="30FA20ED"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06CDFB2B"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272956A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w w:val="105"/>
                <w:sz w:val="20"/>
                <w:szCs w:val="20"/>
              </w:rPr>
              <w:t>CD</w:t>
            </w:r>
            <w:r w:rsidRPr="00A97719">
              <w:rPr>
                <w:rFonts w:ascii="Arial" w:hAnsi="Arial" w:cs="Arial"/>
                <w:spacing w:val="-6"/>
                <w:w w:val="105"/>
                <w:sz w:val="20"/>
                <w:szCs w:val="20"/>
              </w:rPr>
              <w:t xml:space="preserve"> </w:t>
            </w:r>
            <w:r w:rsidRPr="00A97719">
              <w:rPr>
                <w:rFonts w:ascii="Arial" w:hAnsi="Arial" w:cs="Arial"/>
                <w:w w:val="105"/>
                <w:sz w:val="20"/>
                <w:szCs w:val="20"/>
              </w:rPr>
              <w:t>at</w:t>
            </w:r>
            <w:r w:rsidRPr="00A97719">
              <w:rPr>
                <w:rFonts w:ascii="Arial" w:hAnsi="Arial" w:cs="Arial"/>
                <w:spacing w:val="-5"/>
                <w:w w:val="105"/>
                <w:sz w:val="20"/>
                <w:szCs w:val="20"/>
              </w:rPr>
              <w:t xml:space="preserve"> 5%</w:t>
            </w:r>
          </w:p>
        </w:tc>
        <w:tc>
          <w:tcPr>
            <w:tcW w:w="0" w:type="auto"/>
          </w:tcPr>
          <w:p w14:paraId="77EDD05B"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r w:rsidR="004F0521" w:rsidRPr="00A97719" w14:paraId="4F646339" w14:textId="77777777" w:rsidTr="00A97719">
        <w:trPr>
          <w:trHeight w:val="188"/>
          <w:jc w:val="center"/>
        </w:trPr>
        <w:tc>
          <w:tcPr>
            <w:tcW w:w="0" w:type="auto"/>
          </w:tcPr>
          <w:p w14:paraId="506D0F0F"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2"/>
                <w:w w:val="105"/>
                <w:sz w:val="20"/>
                <w:szCs w:val="20"/>
              </w:rPr>
              <w:t>Factor(A)</w:t>
            </w:r>
          </w:p>
        </w:tc>
        <w:tc>
          <w:tcPr>
            <w:tcW w:w="0" w:type="auto"/>
          </w:tcPr>
          <w:p w14:paraId="02E7809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0.08</w:t>
            </w:r>
          </w:p>
        </w:tc>
        <w:tc>
          <w:tcPr>
            <w:tcW w:w="0" w:type="auto"/>
          </w:tcPr>
          <w:p w14:paraId="063D58B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7A81CE0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60CA006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0.24</w:t>
            </w:r>
          </w:p>
        </w:tc>
        <w:tc>
          <w:tcPr>
            <w:tcW w:w="0" w:type="auto"/>
          </w:tcPr>
          <w:p w14:paraId="407E7BE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r w:rsidR="004F0521" w:rsidRPr="00A97719" w14:paraId="59D3A677" w14:textId="77777777" w:rsidTr="00A97719">
        <w:trPr>
          <w:trHeight w:val="260"/>
          <w:jc w:val="center"/>
        </w:trPr>
        <w:tc>
          <w:tcPr>
            <w:tcW w:w="0" w:type="auto"/>
          </w:tcPr>
          <w:p w14:paraId="593F69C8"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2"/>
                <w:w w:val="105"/>
                <w:sz w:val="20"/>
                <w:szCs w:val="20"/>
              </w:rPr>
              <w:t>Factor(B)</w:t>
            </w:r>
          </w:p>
        </w:tc>
        <w:tc>
          <w:tcPr>
            <w:tcW w:w="0" w:type="auto"/>
          </w:tcPr>
          <w:p w14:paraId="70CA02F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0.08</w:t>
            </w:r>
          </w:p>
        </w:tc>
        <w:tc>
          <w:tcPr>
            <w:tcW w:w="0" w:type="auto"/>
          </w:tcPr>
          <w:p w14:paraId="10E0610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0AF6EBF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3DC617F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0.24</w:t>
            </w:r>
          </w:p>
        </w:tc>
        <w:tc>
          <w:tcPr>
            <w:tcW w:w="0" w:type="auto"/>
          </w:tcPr>
          <w:p w14:paraId="739297B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r w:rsidR="004F0521" w:rsidRPr="00A97719" w14:paraId="325C6B5C" w14:textId="77777777" w:rsidTr="00A97719">
        <w:trPr>
          <w:trHeight w:val="80"/>
          <w:jc w:val="center"/>
        </w:trPr>
        <w:tc>
          <w:tcPr>
            <w:tcW w:w="0" w:type="auto"/>
          </w:tcPr>
          <w:p w14:paraId="27A612A7"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w w:val="105"/>
                <w:sz w:val="20"/>
                <w:szCs w:val="20"/>
              </w:rPr>
              <w:t>Factor</w:t>
            </w:r>
            <w:r w:rsidRPr="00A97719">
              <w:rPr>
                <w:rFonts w:ascii="Arial" w:hAnsi="Arial" w:cs="Arial"/>
                <w:b/>
                <w:spacing w:val="-13"/>
                <w:w w:val="105"/>
                <w:sz w:val="20"/>
                <w:szCs w:val="20"/>
              </w:rPr>
              <w:t xml:space="preserve"> </w:t>
            </w:r>
            <w:r w:rsidRPr="00A97719">
              <w:rPr>
                <w:rFonts w:ascii="Arial" w:hAnsi="Arial" w:cs="Arial"/>
                <w:b/>
                <w:w w:val="105"/>
                <w:sz w:val="20"/>
                <w:szCs w:val="20"/>
              </w:rPr>
              <w:t>(A</w:t>
            </w:r>
            <w:r w:rsidRPr="00A97719">
              <w:rPr>
                <w:rFonts w:ascii="Arial" w:hAnsi="Arial" w:cs="Arial"/>
                <w:b/>
                <w:spacing w:val="-17"/>
                <w:w w:val="105"/>
                <w:sz w:val="20"/>
                <w:szCs w:val="20"/>
              </w:rPr>
              <w:t xml:space="preserve"> </w:t>
            </w:r>
            <w:r w:rsidRPr="00A97719">
              <w:rPr>
                <w:rFonts w:ascii="Arial" w:hAnsi="Arial" w:cs="Arial"/>
                <w:b/>
                <w:w w:val="105"/>
                <w:sz w:val="20"/>
                <w:szCs w:val="20"/>
              </w:rPr>
              <w:t>X</w:t>
            </w:r>
            <w:r w:rsidRPr="00A97719">
              <w:rPr>
                <w:rFonts w:ascii="Arial" w:hAnsi="Arial" w:cs="Arial"/>
                <w:b/>
                <w:spacing w:val="-9"/>
                <w:w w:val="105"/>
                <w:sz w:val="20"/>
                <w:szCs w:val="20"/>
              </w:rPr>
              <w:t xml:space="preserve"> </w:t>
            </w:r>
            <w:r w:rsidRPr="00A97719">
              <w:rPr>
                <w:rFonts w:ascii="Arial" w:hAnsi="Arial" w:cs="Arial"/>
                <w:b/>
                <w:spacing w:val="-5"/>
                <w:w w:val="105"/>
                <w:sz w:val="20"/>
                <w:szCs w:val="20"/>
              </w:rPr>
              <w:t>B)</w:t>
            </w:r>
          </w:p>
        </w:tc>
        <w:tc>
          <w:tcPr>
            <w:tcW w:w="0" w:type="auto"/>
          </w:tcPr>
          <w:p w14:paraId="292647F7"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0.17</w:t>
            </w:r>
          </w:p>
        </w:tc>
        <w:tc>
          <w:tcPr>
            <w:tcW w:w="0" w:type="auto"/>
          </w:tcPr>
          <w:p w14:paraId="3CA3AA8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6DD1775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17DC72AB"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0.47</w:t>
            </w:r>
          </w:p>
        </w:tc>
        <w:tc>
          <w:tcPr>
            <w:tcW w:w="0" w:type="auto"/>
          </w:tcPr>
          <w:p w14:paraId="7F27BBC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bl>
    <w:p w14:paraId="0CA3B8D7" w14:textId="77777777" w:rsidR="00D31A02" w:rsidRPr="00A97719" w:rsidRDefault="000E2560" w:rsidP="00A97719">
      <w:pPr>
        <w:spacing w:after="0" w:line="240" w:lineRule="auto"/>
        <w:jc w:val="both"/>
        <w:rPr>
          <w:rFonts w:ascii="Arial" w:hAnsi="Arial" w:cs="Arial"/>
          <w:sz w:val="20"/>
          <w:szCs w:val="20"/>
          <w:lang w:bidi="hi-IN"/>
        </w:rPr>
      </w:pPr>
      <w:r w:rsidRPr="00A97719">
        <w:rPr>
          <w:rFonts w:ascii="Arial" w:hAnsi="Arial" w:cs="Arial"/>
          <w:w w:val="105"/>
          <w:sz w:val="20"/>
          <w:szCs w:val="20"/>
        </w:rPr>
        <w:t>The</w:t>
      </w:r>
      <w:r w:rsidRPr="00A97719">
        <w:rPr>
          <w:rFonts w:ascii="Arial" w:hAnsi="Arial" w:cs="Arial"/>
          <w:spacing w:val="-15"/>
          <w:w w:val="105"/>
          <w:sz w:val="20"/>
          <w:szCs w:val="20"/>
        </w:rPr>
        <w:t xml:space="preserve"> </w:t>
      </w:r>
      <w:r w:rsidRPr="00A97719">
        <w:rPr>
          <w:rFonts w:ascii="Arial" w:hAnsi="Arial" w:cs="Arial"/>
          <w:w w:val="105"/>
          <w:sz w:val="20"/>
          <w:szCs w:val="20"/>
        </w:rPr>
        <w:t>means</w:t>
      </w:r>
      <w:r w:rsidRPr="00A97719">
        <w:rPr>
          <w:rFonts w:ascii="Arial" w:hAnsi="Arial" w:cs="Arial"/>
          <w:spacing w:val="-7"/>
          <w:w w:val="105"/>
          <w:sz w:val="20"/>
          <w:szCs w:val="20"/>
        </w:rPr>
        <w:t xml:space="preserve"> </w:t>
      </w:r>
      <w:r w:rsidRPr="00A97719">
        <w:rPr>
          <w:rFonts w:ascii="Arial" w:hAnsi="Arial" w:cs="Arial"/>
          <w:w w:val="105"/>
          <w:sz w:val="20"/>
          <w:szCs w:val="20"/>
        </w:rPr>
        <w:t>followed</w:t>
      </w:r>
      <w:r w:rsidRPr="00A97719">
        <w:rPr>
          <w:rFonts w:ascii="Arial" w:hAnsi="Arial" w:cs="Arial"/>
          <w:spacing w:val="-4"/>
          <w:w w:val="105"/>
          <w:sz w:val="20"/>
          <w:szCs w:val="20"/>
        </w:rPr>
        <w:t xml:space="preserve"> </w:t>
      </w:r>
      <w:r w:rsidRPr="00A97719">
        <w:rPr>
          <w:rFonts w:ascii="Arial" w:hAnsi="Arial" w:cs="Arial"/>
          <w:w w:val="105"/>
          <w:sz w:val="20"/>
          <w:szCs w:val="20"/>
        </w:rPr>
        <w:t>by</w:t>
      </w:r>
      <w:r w:rsidRPr="00A97719">
        <w:rPr>
          <w:rFonts w:ascii="Arial" w:hAnsi="Arial" w:cs="Arial"/>
          <w:spacing w:val="-14"/>
          <w:w w:val="105"/>
          <w:sz w:val="20"/>
          <w:szCs w:val="20"/>
        </w:rPr>
        <w:t xml:space="preserve"> </w:t>
      </w:r>
      <w:r w:rsidRPr="00A97719">
        <w:rPr>
          <w:rFonts w:ascii="Arial" w:hAnsi="Arial" w:cs="Arial"/>
          <w:w w:val="105"/>
          <w:sz w:val="20"/>
          <w:szCs w:val="20"/>
        </w:rPr>
        <w:t>the</w:t>
      </w:r>
      <w:r w:rsidRPr="00A97719">
        <w:rPr>
          <w:rFonts w:ascii="Arial" w:hAnsi="Arial" w:cs="Arial"/>
          <w:spacing w:val="-13"/>
          <w:w w:val="105"/>
          <w:sz w:val="20"/>
          <w:szCs w:val="20"/>
        </w:rPr>
        <w:t xml:space="preserve"> </w:t>
      </w:r>
      <w:r w:rsidRPr="00A97719">
        <w:rPr>
          <w:rFonts w:ascii="Arial" w:hAnsi="Arial" w:cs="Arial"/>
          <w:w w:val="105"/>
          <w:sz w:val="20"/>
          <w:szCs w:val="20"/>
        </w:rPr>
        <w:t>same</w:t>
      </w:r>
      <w:r w:rsidRPr="00A97719">
        <w:rPr>
          <w:rFonts w:ascii="Arial" w:hAnsi="Arial" w:cs="Arial"/>
          <w:spacing w:val="-12"/>
          <w:w w:val="105"/>
          <w:sz w:val="20"/>
          <w:szCs w:val="20"/>
        </w:rPr>
        <w:t xml:space="preserve"> </w:t>
      </w:r>
      <w:r w:rsidRPr="00A97719">
        <w:rPr>
          <w:rFonts w:ascii="Arial" w:hAnsi="Arial" w:cs="Arial"/>
          <w:w w:val="105"/>
          <w:sz w:val="20"/>
          <w:szCs w:val="20"/>
        </w:rPr>
        <w:t>letters</w:t>
      </w:r>
      <w:r w:rsidRPr="00A97719">
        <w:rPr>
          <w:rFonts w:ascii="Arial" w:hAnsi="Arial" w:cs="Arial"/>
          <w:spacing w:val="-7"/>
          <w:w w:val="105"/>
          <w:sz w:val="20"/>
          <w:szCs w:val="20"/>
        </w:rPr>
        <w:t xml:space="preserve"> </w:t>
      </w:r>
      <w:r w:rsidRPr="00A97719">
        <w:rPr>
          <w:rFonts w:ascii="Arial" w:hAnsi="Arial" w:cs="Arial"/>
          <w:w w:val="105"/>
          <w:sz w:val="20"/>
          <w:szCs w:val="20"/>
        </w:rPr>
        <w:t>in</w:t>
      </w:r>
      <w:r w:rsidRPr="00A97719">
        <w:rPr>
          <w:rFonts w:ascii="Arial" w:hAnsi="Arial" w:cs="Arial"/>
          <w:spacing w:val="-7"/>
          <w:w w:val="105"/>
          <w:sz w:val="20"/>
          <w:szCs w:val="20"/>
        </w:rPr>
        <w:t xml:space="preserve"> </w:t>
      </w:r>
      <w:r w:rsidRPr="00A97719">
        <w:rPr>
          <w:rFonts w:ascii="Arial" w:hAnsi="Arial" w:cs="Arial"/>
          <w:w w:val="105"/>
          <w:sz w:val="20"/>
          <w:szCs w:val="20"/>
        </w:rPr>
        <w:t>a</w:t>
      </w:r>
      <w:r w:rsidRPr="00A97719">
        <w:rPr>
          <w:rFonts w:ascii="Arial" w:hAnsi="Arial" w:cs="Arial"/>
          <w:spacing w:val="-17"/>
          <w:w w:val="105"/>
          <w:sz w:val="20"/>
          <w:szCs w:val="20"/>
        </w:rPr>
        <w:t xml:space="preserve"> </w:t>
      </w:r>
      <w:r w:rsidRPr="00A97719">
        <w:rPr>
          <w:rFonts w:ascii="Arial" w:hAnsi="Arial" w:cs="Arial"/>
          <w:w w:val="105"/>
          <w:sz w:val="20"/>
          <w:szCs w:val="20"/>
        </w:rPr>
        <w:t>column</w:t>
      </w:r>
      <w:r w:rsidRPr="00A97719">
        <w:rPr>
          <w:rFonts w:ascii="Arial" w:hAnsi="Arial" w:cs="Arial"/>
          <w:spacing w:val="-5"/>
          <w:w w:val="105"/>
          <w:sz w:val="20"/>
          <w:szCs w:val="20"/>
        </w:rPr>
        <w:t xml:space="preserve"> </w:t>
      </w:r>
      <w:r w:rsidRPr="00A97719">
        <w:rPr>
          <w:rFonts w:ascii="Arial" w:hAnsi="Arial" w:cs="Arial"/>
          <w:w w:val="105"/>
          <w:sz w:val="20"/>
          <w:szCs w:val="20"/>
        </w:rPr>
        <w:t>are</w:t>
      </w:r>
      <w:r w:rsidRPr="00A97719">
        <w:rPr>
          <w:rFonts w:ascii="Arial" w:hAnsi="Arial" w:cs="Arial"/>
          <w:spacing w:val="-7"/>
          <w:w w:val="105"/>
          <w:sz w:val="20"/>
          <w:szCs w:val="20"/>
        </w:rPr>
        <w:t xml:space="preserve"> </w:t>
      </w:r>
      <w:r w:rsidRPr="00A97719">
        <w:rPr>
          <w:rFonts w:ascii="Arial" w:hAnsi="Arial" w:cs="Arial"/>
          <w:w w:val="105"/>
          <w:sz w:val="20"/>
          <w:szCs w:val="20"/>
        </w:rPr>
        <w:t>non-significant</w:t>
      </w:r>
      <w:r w:rsidRPr="00A97719">
        <w:rPr>
          <w:rFonts w:ascii="Arial" w:hAnsi="Arial" w:cs="Arial"/>
          <w:spacing w:val="-17"/>
          <w:w w:val="105"/>
          <w:sz w:val="20"/>
          <w:szCs w:val="20"/>
        </w:rPr>
        <w:t xml:space="preserve"> </w:t>
      </w:r>
      <w:r w:rsidRPr="00A97719">
        <w:rPr>
          <w:rFonts w:ascii="Arial" w:hAnsi="Arial" w:cs="Arial"/>
          <w:w w:val="105"/>
          <w:sz w:val="20"/>
          <w:szCs w:val="20"/>
        </w:rPr>
        <w:t>(P&lt;0.05,</w:t>
      </w:r>
      <w:r w:rsidRPr="00A97719">
        <w:rPr>
          <w:rFonts w:ascii="Arial" w:hAnsi="Arial" w:cs="Arial"/>
          <w:spacing w:val="-10"/>
          <w:w w:val="105"/>
          <w:sz w:val="20"/>
          <w:szCs w:val="20"/>
        </w:rPr>
        <w:t xml:space="preserve"> </w:t>
      </w:r>
      <w:r w:rsidRPr="00A97719">
        <w:rPr>
          <w:rFonts w:ascii="Arial" w:hAnsi="Arial" w:cs="Arial"/>
          <w:w w:val="105"/>
          <w:sz w:val="20"/>
          <w:szCs w:val="20"/>
        </w:rPr>
        <w:t>DMRT)</w:t>
      </w:r>
      <w:r w:rsidRPr="00A97719">
        <w:rPr>
          <w:rFonts w:ascii="Arial" w:hAnsi="Arial" w:cs="Arial"/>
          <w:w w:val="105"/>
          <w:sz w:val="20"/>
          <w:szCs w:val="20"/>
          <w:cs/>
          <w:lang w:bidi="hi-IN"/>
        </w:rPr>
        <w:t xml:space="preserve">, </w:t>
      </w:r>
      <w:r w:rsidRPr="00A97719">
        <w:rPr>
          <w:rFonts w:ascii="Arial" w:hAnsi="Arial" w:cs="Arial"/>
          <w:w w:val="105"/>
          <w:sz w:val="20"/>
          <w:szCs w:val="20"/>
        </w:rPr>
        <w:t>The</w:t>
      </w:r>
      <w:r w:rsidRPr="00A97719">
        <w:rPr>
          <w:rFonts w:ascii="Arial" w:hAnsi="Arial" w:cs="Arial"/>
          <w:w w:val="105"/>
          <w:sz w:val="20"/>
          <w:szCs w:val="20"/>
          <w:lang w:bidi="hi-IN"/>
        </w:rPr>
        <w:t xml:space="preserve"> </w:t>
      </w:r>
      <w:r w:rsidRPr="00A97719">
        <w:rPr>
          <w:rFonts w:ascii="Arial" w:hAnsi="Arial" w:cs="Arial"/>
          <w:w w:val="105"/>
          <w:sz w:val="20"/>
          <w:szCs w:val="20"/>
        </w:rPr>
        <w:t>means followed by the same letters in a</w:t>
      </w:r>
      <w:r w:rsidRPr="00A97719">
        <w:rPr>
          <w:rFonts w:ascii="Arial" w:hAnsi="Arial" w:cs="Arial"/>
          <w:spacing w:val="-7"/>
          <w:w w:val="105"/>
          <w:sz w:val="20"/>
          <w:szCs w:val="20"/>
        </w:rPr>
        <w:t xml:space="preserve"> </w:t>
      </w:r>
      <w:r w:rsidRPr="00A97719">
        <w:rPr>
          <w:rFonts w:ascii="Arial" w:hAnsi="Arial" w:cs="Arial"/>
          <w:w w:val="105"/>
          <w:sz w:val="20"/>
          <w:szCs w:val="20"/>
        </w:rPr>
        <w:t>row are non-significant (P&lt;0.05, DMRT)</w:t>
      </w:r>
      <w:r w:rsidRPr="00A97719">
        <w:rPr>
          <w:rFonts w:ascii="Arial" w:hAnsi="Arial" w:cs="Arial"/>
          <w:sz w:val="20"/>
          <w:szCs w:val="20"/>
          <w:cs/>
          <w:lang w:bidi="hi-IN"/>
        </w:rPr>
        <w:t>,</w:t>
      </w:r>
    </w:p>
    <w:p w14:paraId="02274A8A" w14:textId="018CABB4" w:rsidR="000E2560" w:rsidRPr="00A97719" w:rsidRDefault="000E2560" w:rsidP="00A97719">
      <w:pPr>
        <w:spacing w:after="0" w:line="240" w:lineRule="auto"/>
        <w:jc w:val="both"/>
        <w:rPr>
          <w:rFonts w:ascii="Arial" w:hAnsi="Arial" w:cs="Arial"/>
          <w:sz w:val="20"/>
          <w:szCs w:val="20"/>
          <w:lang w:bidi="hi-IN"/>
        </w:rPr>
      </w:pPr>
      <w:r w:rsidRPr="00A97719">
        <w:rPr>
          <w:rFonts w:ascii="Arial" w:hAnsi="Arial" w:cs="Arial"/>
          <w:w w:val="105"/>
          <w:sz w:val="20"/>
          <w:szCs w:val="20"/>
        </w:rPr>
        <w:t>*=</w:t>
      </w:r>
      <w:r w:rsidRPr="00A97719">
        <w:rPr>
          <w:rFonts w:ascii="Arial" w:hAnsi="Arial" w:cs="Arial"/>
          <w:spacing w:val="-17"/>
          <w:w w:val="105"/>
          <w:sz w:val="20"/>
          <w:szCs w:val="20"/>
        </w:rPr>
        <w:t xml:space="preserve"> </w:t>
      </w:r>
      <w:r w:rsidRPr="00A97719">
        <w:rPr>
          <w:rFonts w:ascii="Arial" w:hAnsi="Arial" w:cs="Arial"/>
          <w:w w:val="105"/>
          <w:sz w:val="20"/>
          <w:szCs w:val="20"/>
        </w:rPr>
        <w:t>Figures</w:t>
      </w:r>
      <w:r w:rsidRPr="00A97719">
        <w:rPr>
          <w:rFonts w:ascii="Arial" w:hAnsi="Arial" w:cs="Arial"/>
          <w:spacing w:val="-14"/>
          <w:w w:val="105"/>
          <w:sz w:val="20"/>
          <w:szCs w:val="20"/>
        </w:rPr>
        <w:t xml:space="preserve"> </w:t>
      </w:r>
      <w:r w:rsidRPr="00A97719">
        <w:rPr>
          <w:rFonts w:ascii="Arial" w:hAnsi="Arial" w:cs="Arial"/>
          <w:w w:val="105"/>
          <w:sz w:val="20"/>
          <w:szCs w:val="20"/>
        </w:rPr>
        <w:t>in</w:t>
      </w:r>
      <w:r w:rsidRPr="00A97719">
        <w:rPr>
          <w:rFonts w:ascii="Arial" w:hAnsi="Arial" w:cs="Arial"/>
          <w:spacing w:val="-14"/>
          <w:w w:val="105"/>
          <w:sz w:val="20"/>
          <w:szCs w:val="20"/>
        </w:rPr>
        <w:t xml:space="preserve"> </w:t>
      </w:r>
      <w:r w:rsidRPr="00A97719">
        <w:rPr>
          <w:rFonts w:ascii="Arial" w:hAnsi="Arial" w:cs="Arial"/>
          <w:w w:val="105"/>
          <w:sz w:val="20"/>
          <w:szCs w:val="20"/>
        </w:rPr>
        <w:t>parentheses</w:t>
      </w:r>
      <w:r w:rsidRPr="00A97719">
        <w:rPr>
          <w:rFonts w:ascii="Arial" w:hAnsi="Arial" w:cs="Arial"/>
          <w:spacing w:val="-1"/>
          <w:w w:val="105"/>
          <w:sz w:val="20"/>
          <w:szCs w:val="20"/>
        </w:rPr>
        <w:t xml:space="preserve"> </w:t>
      </w:r>
      <w:r w:rsidRPr="00A97719">
        <w:rPr>
          <w:rFonts w:ascii="Arial" w:hAnsi="Arial" w:cs="Arial"/>
          <w:w w:val="105"/>
          <w:sz w:val="20"/>
          <w:szCs w:val="20"/>
        </w:rPr>
        <w:t>are</w:t>
      </w:r>
      <w:r w:rsidRPr="00A97719">
        <w:rPr>
          <w:rFonts w:ascii="Arial" w:hAnsi="Arial" w:cs="Arial"/>
          <w:spacing w:val="-17"/>
          <w:w w:val="105"/>
          <w:sz w:val="20"/>
          <w:szCs w:val="20"/>
        </w:rPr>
        <w:t xml:space="preserve"> </w:t>
      </w:r>
      <w:r w:rsidRPr="00A97719">
        <w:rPr>
          <w:rFonts w:ascii="Arial" w:hAnsi="Arial" w:cs="Arial"/>
          <w:w w:val="105"/>
          <w:sz w:val="20"/>
          <w:szCs w:val="20"/>
        </w:rPr>
        <w:t>square</w:t>
      </w:r>
      <w:r w:rsidRPr="00A97719">
        <w:rPr>
          <w:rFonts w:ascii="Arial" w:hAnsi="Arial" w:cs="Arial"/>
          <w:spacing w:val="-13"/>
          <w:w w:val="105"/>
          <w:sz w:val="20"/>
          <w:szCs w:val="20"/>
        </w:rPr>
        <w:t xml:space="preserve"> </w:t>
      </w:r>
      <w:r w:rsidRPr="00A97719">
        <w:rPr>
          <w:rFonts w:ascii="Arial" w:hAnsi="Arial" w:cs="Arial"/>
          <w:w w:val="105"/>
          <w:sz w:val="20"/>
          <w:szCs w:val="20"/>
        </w:rPr>
        <w:t>root</w:t>
      </w:r>
      <w:r w:rsidRPr="00A97719">
        <w:rPr>
          <w:rFonts w:ascii="Arial" w:hAnsi="Arial" w:cs="Arial"/>
          <w:spacing w:val="-12"/>
          <w:w w:val="105"/>
          <w:sz w:val="20"/>
          <w:szCs w:val="20"/>
        </w:rPr>
        <w:t xml:space="preserve"> </w:t>
      </w:r>
      <w:r w:rsidRPr="00A97719">
        <w:rPr>
          <w:rFonts w:ascii="Arial" w:hAnsi="Arial" w:cs="Arial"/>
          <w:w w:val="105"/>
          <w:sz w:val="20"/>
          <w:szCs w:val="20"/>
        </w:rPr>
        <w:t>transformed</w:t>
      </w:r>
      <w:r w:rsidRPr="00A97719">
        <w:rPr>
          <w:rFonts w:ascii="Arial" w:hAnsi="Arial" w:cs="Arial"/>
          <w:spacing w:val="-5"/>
          <w:w w:val="105"/>
          <w:sz w:val="20"/>
          <w:szCs w:val="20"/>
        </w:rPr>
        <w:t xml:space="preserve"> </w:t>
      </w:r>
      <w:r w:rsidRPr="00A97719">
        <w:rPr>
          <w:rFonts w:ascii="Arial" w:hAnsi="Arial" w:cs="Arial"/>
          <w:spacing w:val="-2"/>
          <w:w w:val="105"/>
          <w:sz w:val="20"/>
          <w:szCs w:val="20"/>
        </w:rPr>
        <w:t>values</w:t>
      </w:r>
      <w:r w:rsidRPr="00A97719">
        <w:rPr>
          <w:rFonts w:ascii="Arial" w:hAnsi="Arial" w:cs="Arial"/>
          <w:sz w:val="20"/>
          <w:szCs w:val="20"/>
          <w:cs/>
          <w:lang w:bidi="hi-IN"/>
        </w:rPr>
        <w:t xml:space="preserve">, </w:t>
      </w:r>
    </w:p>
    <w:p w14:paraId="614F8E43" w14:textId="77777777" w:rsidR="004677B3" w:rsidRDefault="000E2560" w:rsidP="004677B3">
      <w:pPr>
        <w:spacing w:after="0" w:line="240" w:lineRule="auto"/>
        <w:jc w:val="both"/>
        <w:rPr>
          <w:rFonts w:ascii="Arial" w:hAnsi="Arial" w:cs="Arial"/>
          <w:color w:val="000000" w:themeColor="text1"/>
          <w:spacing w:val="-2"/>
          <w:sz w:val="20"/>
          <w:szCs w:val="20"/>
        </w:rPr>
      </w:pPr>
      <w:r w:rsidRPr="00A97719">
        <w:rPr>
          <w:rFonts w:ascii="Arial" w:hAnsi="Arial" w:cs="Arial"/>
          <w:sz w:val="20"/>
          <w:szCs w:val="20"/>
        </w:rPr>
        <w:t>F1</w:t>
      </w:r>
      <w:r w:rsidRPr="00A97719">
        <w:rPr>
          <w:rFonts w:ascii="Arial" w:hAnsi="Arial" w:cs="Arial"/>
          <w:sz w:val="20"/>
          <w:szCs w:val="20"/>
          <w:lang w:bidi="hi-IN"/>
        </w:rPr>
        <w:t>=</w:t>
      </w:r>
      <w:r w:rsidRPr="00A97719">
        <w:rPr>
          <w:rFonts w:ascii="Arial" w:hAnsi="Arial" w:cs="Arial"/>
          <w:i/>
          <w:w w:val="105"/>
          <w:sz w:val="20"/>
          <w:szCs w:val="20"/>
        </w:rPr>
        <w:t>B.</w:t>
      </w:r>
      <w:r w:rsidRPr="00A97719">
        <w:rPr>
          <w:rFonts w:ascii="Arial" w:hAnsi="Arial" w:cs="Arial"/>
          <w:i/>
          <w:spacing w:val="-14"/>
          <w:w w:val="105"/>
          <w:sz w:val="20"/>
          <w:szCs w:val="20"/>
        </w:rPr>
        <w:t xml:space="preserve"> </w:t>
      </w:r>
      <w:r w:rsidRPr="00A97719">
        <w:rPr>
          <w:rFonts w:ascii="Arial" w:hAnsi="Arial" w:cs="Arial"/>
          <w:i/>
          <w:w w:val="105"/>
          <w:sz w:val="20"/>
          <w:szCs w:val="20"/>
        </w:rPr>
        <w:t>bassiana</w:t>
      </w:r>
      <w:r w:rsidRPr="00A97719">
        <w:rPr>
          <w:rFonts w:ascii="Arial" w:hAnsi="Arial" w:cs="Arial"/>
          <w:i/>
          <w:spacing w:val="-13"/>
          <w:w w:val="105"/>
          <w:sz w:val="20"/>
          <w:szCs w:val="20"/>
        </w:rPr>
        <w:t xml:space="preserve"> </w:t>
      </w:r>
      <w:r w:rsidRPr="00A97719">
        <w:rPr>
          <w:rFonts w:ascii="Arial" w:hAnsi="Arial" w:cs="Arial"/>
          <w:spacing w:val="-2"/>
          <w:w w:val="105"/>
          <w:sz w:val="20"/>
          <w:szCs w:val="20"/>
        </w:rPr>
        <w:t xml:space="preserve">(local), F2= </w:t>
      </w:r>
      <w:r w:rsidRPr="00A97719">
        <w:rPr>
          <w:rFonts w:ascii="Arial" w:hAnsi="Arial" w:cs="Arial"/>
          <w:i/>
          <w:w w:val="105"/>
          <w:sz w:val="20"/>
          <w:szCs w:val="20"/>
        </w:rPr>
        <w:t>B.</w:t>
      </w:r>
      <w:r w:rsidRPr="00A97719">
        <w:rPr>
          <w:rFonts w:ascii="Arial" w:hAnsi="Arial" w:cs="Arial"/>
          <w:i/>
          <w:spacing w:val="-14"/>
          <w:w w:val="105"/>
          <w:sz w:val="20"/>
          <w:szCs w:val="20"/>
        </w:rPr>
        <w:t xml:space="preserve"> </w:t>
      </w:r>
      <w:r w:rsidRPr="00A97719">
        <w:rPr>
          <w:rFonts w:ascii="Arial" w:hAnsi="Arial" w:cs="Arial"/>
          <w:i/>
          <w:w w:val="105"/>
          <w:sz w:val="20"/>
          <w:szCs w:val="20"/>
        </w:rPr>
        <w:t>bassiana</w:t>
      </w:r>
      <w:r w:rsidRPr="00A97719">
        <w:rPr>
          <w:rFonts w:ascii="Arial" w:hAnsi="Arial" w:cs="Arial"/>
          <w:i/>
          <w:spacing w:val="-13"/>
          <w:w w:val="105"/>
          <w:sz w:val="20"/>
          <w:szCs w:val="20"/>
        </w:rPr>
        <w:t xml:space="preserve"> </w:t>
      </w:r>
      <w:r w:rsidRPr="00A97719">
        <w:rPr>
          <w:rFonts w:ascii="Arial" w:hAnsi="Arial" w:cs="Arial"/>
          <w:spacing w:val="-2"/>
          <w:w w:val="105"/>
          <w:sz w:val="20"/>
          <w:szCs w:val="20"/>
        </w:rPr>
        <w:t>(MTCC-892)</w:t>
      </w:r>
      <w:r w:rsidRPr="00A97719">
        <w:rPr>
          <w:rFonts w:ascii="Arial" w:hAnsi="Arial" w:cs="Arial"/>
          <w:spacing w:val="-2"/>
          <w:w w:val="105"/>
          <w:sz w:val="20"/>
          <w:szCs w:val="20"/>
          <w:cs/>
          <w:lang w:bidi="hi-IN"/>
        </w:rPr>
        <w:t xml:space="preserve">, </w:t>
      </w:r>
      <w:r w:rsidRPr="00A97719">
        <w:rPr>
          <w:rFonts w:ascii="Arial" w:hAnsi="Arial" w:cs="Arial"/>
          <w:sz w:val="20"/>
          <w:szCs w:val="20"/>
        </w:rPr>
        <w:t xml:space="preserve">F3= </w:t>
      </w:r>
      <w:r w:rsidRPr="00A97719">
        <w:rPr>
          <w:rFonts w:ascii="Arial" w:hAnsi="Arial" w:cs="Arial"/>
          <w:i/>
          <w:sz w:val="20"/>
          <w:szCs w:val="20"/>
        </w:rPr>
        <w:t>M.</w:t>
      </w:r>
      <w:r w:rsidRPr="00A97719">
        <w:rPr>
          <w:rFonts w:ascii="Arial" w:hAnsi="Arial" w:cs="Arial"/>
          <w:i/>
          <w:spacing w:val="14"/>
          <w:sz w:val="20"/>
          <w:szCs w:val="20"/>
        </w:rPr>
        <w:t xml:space="preserve"> </w:t>
      </w:r>
      <w:r w:rsidRPr="00A97719">
        <w:rPr>
          <w:rFonts w:ascii="Arial" w:hAnsi="Arial" w:cs="Arial"/>
          <w:i/>
          <w:sz w:val="20"/>
          <w:szCs w:val="20"/>
        </w:rPr>
        <w:t>anisopliae</w:t>
      </w:r>
      <w:r w:rsidRPr="00A97719">
        <w:rPr>
          <w:rFonts w:ascii="Arial" w:hAnsi="Arial" w:cs="Arial"/>
          <w:i/>
          <w:spacing w:val="26"/>
          <w:sz w:val="20"/>
          <w:szCs w:val="20"/>
        </w:rPr>
        <w:t xml:space="preserve"> </w:t>
      </w:r>
      <w:r w:rsidRPr="00A97719">
        <w:rPr>
          <w:rFonts w:ascii="Arial" w:hAnsi="Arial" w:cs="Arial"/>
          <w:spacing w:val="-2"/>
          <w:sz w:val="20"/>
          <w:szCs w:val="20"/>
        </w:rPr>
        <w:t xml:space="preserve">(local), F4 = </w:t>
      </w:r>
      <w:r w:rsidRPr="00A97719">
        <w:rPr>
          <w:rFonts w:ascii="Arial" w:hAnsi="Arial" w:cs="Arial"/>
          <w:i/>
          <w:sz w:val="20"/>
          <w:szCs w:val="20"/>
        </w:rPr>
        <w:t>M.</w:t>
      </w:r>
      <w:r w:rsidRPr="00A97719">
        <w:rPr>
          <w:rFonts w:ascii="Arial" w:hAnsi="Arial" w:cs="Arial"/>
          <w:i/>
          <w:spacing w:val="14"/>
          <w:sz w:val="20"/>
          <w:szCs w:val="20"/>
        </w:rPr>
        <w:t xml:space="preserve"> </w:t>
      </w:r>
      <w:r w:rsidRPr="00A97719">
        <w:rPr>
          <w:rFonts w:ascii="Arial" w:hAnsi="Arial" w:cs="Arial"/>
          <w:i/>
          <w:sz w:val="20"/>
          <w:szCs w:val="20"/>
        </w:rPr>
        <w:t>anisopliae</w:t>
      </w:r>
      <w:r w:rsidRPr="00A97719">
        <w:rPr>
          <w:rFonts w:ascii="Arial" w:hAnsi="Arial" w:cs="Arial"/>
          <w:i/>
          <w:spacing w:val="26"/>
          <w:sz w:val="20"/>
          <w:szCs w:val="20"/>
        </w:rPr>
        <w:t xml:space="preserve"> </w:t>
      </w:r>
      <w:r w:rsidRPr="00A97719">
        <w:rPr>
          <w:rFonts w:ascii="Arial" w:hAnsi="Arial" w:cs="Arial"/>
          <w:spacing w:val="-2"/>
          <w:sz w:val="20"/>
          <w:szCs w:val="20"/>
        </w:rPr>
        <w:t xml:space="preserve">(MTCC-984), </w:t>
      </w:r>
      <w:r w:rsidRPr="00A97719">
        <w:rPr>
          <w:rFonts w:ascii="Arial" w:hAnsi="Arial" w:cs="Arial"/>
          <w:color w:val="000000" w:themeColor="text1"/>
          <w:spacing w:val="-2"/>
          <w:sz w:val="20"/>
          <w:szCs w:val="20"/>
        </w:rPr>
        <w:t>MTCC= Microbial Type Culture Collection and Gene Bank</w:t>
      </w:r>
    </w:p>
    <w:p w14:paraId="43A7649B" w14:textId="0D67C725" w:rsidR="00712719" w:rsidRPr="004677B3" w:rsidRDefault="00712719" w:rsidP="004677B3">
      <w:pPr>
        <w:spacing w:after="0" w:line="240" w:lineRule="auto"/>
        <w:jc w:val="both"/>
        <w:rPr>
          <w:rFonts w:ascii="Arial" w:hAnsi="Arial" w:cs="Arial"/>
          <w:color w:val="000000" w:themeColor="text1"/>
          <w:spacing w:val="-2"/>
          <w:sz w:val="20"/>
          <w:szCs w:val="20"/>
        </w:rPr>
      </w:pPr>
      <w:r w:rsidRPr="00A97719">
        <w:rPr>
          <w:rFonts w:ascii="Arial" w:hAnsi="Arial" w:cs="Arial"/>
          <w:b/>
          <w:bCs/>
          <w:color w:val="000000" w:themeColor="text1"/>
          <w:spacing w:val="-2"/>
        </w:rPr>
        <w:lastRenderedPageBreak/>
        <w:t>Correlation between temperature and spore production</w:t>
      </w:r>
    </w:p>
    <w:p w14:paraId="20A0F467" w14:textId="309A5A6E" w:rsidR="00712719" w:rsidRPr="00A97719" w:rsidRDefault="00712719" w:rsidP="00CC2FF9">
      <w:pPr>
        <w:spacing w:line="360" w:lineRule="auto"/>
        <w:ind w:firstLine="720"/>
        <w:jc w:val="both"/>
        <w:rPr>
          <w:rFonts w:ascii="Arial" w:hAnsi="Arial" w:cs="Arial"/>
          <w:color w:val="000000" w:themeColor="text1"/>
          <w:sz w:val="20"/>
          <w:szCs w:val="20"/>
        </w:rPr>
      </w:pPr>
      <w:r w:rsidRPr="00A97719">
        <w:rPr>
          <w:rFonts w:ascii="Arial" w:hAnsi="Arial" w:cs="Arial"/>
          <w:color w:val="000000" w:themeColor="text1"/>
          <w:sz w:val="20"/>
          <w:szCs w:val="20"/>
        </w:rPr>
        <w:t>Figure</w:t>
      </w:r>
      <w:r w:rsidR="00024B26" w:rsidRPr="00A97719">
        <w:rPr>
          <w:rFonts w:ascii="Arial" w:hAnsi="Arial" w:cs="Arial"/>
          <w:color w:val="000000" w:themeColor="text1"/>
          <w:sz w:val="20"/>
          <w:szCs w:val="20"/>
        </w:rPr>
        <w:t xml:space="preserve"> 2 </w:t>
      </w:r>
      <w:r w:rsidRPr="00A97719">
        <w:rPr>
          <w:rFonts w:ascii="Arial" w:hAnsi="Arial" w:cs="Arial"/>
          <w:color w:val="000000" w:themeColor="text1"/>
          <w:sz w:val="20"/>
          <w:szCs w:val="20"/>
        </w:rPr>
        <w:t>shows that temperature was significantly negatively correlated with all tested fungal isolates, with correlation coefficients of -0.78, -0.63, -0.94, and -0.79, respectively.</w:t>
      </w:r>
    </w:p>
    <w:p w14:paraId="59CCD641" w14:textId="77777777" w:rsidR="00712719" w:rsidRPr="00A97719" w:rsidRDefault="00712719" w:rsidP="00E706AB">
      <w:pPr>
        <w:spacing w:line="360" w:lineRule="auto"/>
        <w:jc w:val="both"/>
        <w:rPr>
          <w:rFonts w:ascii="Arial" w:hAnsi="Arial" w:cs="Arial"/>
          <w:b/>
          <w:bCs/>
          <w:color w:val="000000" w:themeColor="text1"/>
          <w:sz w:val="20"/>
          <w:szCs w:val="20"/>
        </w:rPr>
      </w:pPr>
      <w:r w:rsidRPr="00A97719">
        <w:rPr>
          <w:rFonts w:ascii="Arial" w:hAnsi="Arial" w:cs="Arial"/>
          <w:b/>
          <w:bCs/>
          <w:color w:val="000000" w:themeColor="text1"/>
          <w:sz w:val="20"/>
          <w:szCs w:val="20"/>
        </w:rPr>
        <w:t>The Regression equations were:</w:t>
      </w:r>
    </w:p>
    <w:p w14:paraId="2244565B" w14:textId="77777777" w:rsidR="00712719" w:rsidRPr="00A97719" w:rsidRDefault="00712719" w:rsidP="00E706AB">
      <w:pPr>
        <w:spacing w:line="360" w:lineRule="auto"/>
        <w:ind w:right="18"/>
        <w:jc w:val="both"/>
        <w:rPr>
          <w:rFonts w:ascii="Arial" w:hAnsi="Arial" w:cs="Arial"/>
          <w:sz w:val="20"/>
          <w:szCs w:val="20"/>
        </w:rPr>
      </w:pPr>
      <w:r w:rsidRPr="00A97719">
        <w:rPr>
          <w:rFonts w:ascii="Arial" w:hAnsi="Arial" w:cs="Arial"/>
          <w:sz w:val="20"/>
          <w:szCs w:val="20"/>
        </w:rPr>
        <w:t>Ŷ= 93.530 -</w:t>
      </w:r>
      <w:r w:rsidRPr="00A97719">
        <w:rPr>
          <w:rFonts w:ascii="Arial" w:hAnsi="Arial" w:cs="Arial"/>
          <w:spacing w:val="-4"/>
          <w:sz w:val="20"/>
          <w:szCs w:val="20"/>
        </w:rPr>
        <w:t>1.926x (R</w:t>
      </w:r>
      <w:r w:rsidRPr="00A97719">
        <w:rPr>
          <w:rFonts w:ascii="Arial" w:hAnsi="Arial" w:cs="Arial"/>
          <w:spacing w:val="-4"/>
          <w:sz w:val="20"/>
          <w:szCs w:val="20"/>
          <w:vertAlign w:val="superscript"/>
        </w:rPr>
        <w:t xml:space="preserve">2 </w:t>
      </w:r>
      <w:r w:rsidRPr="00A97719">
        <w:rPr>
          <w:rFonts w:ascii="Arial" w:hAnsi="Arial" w:cs="Arial"/>
          <w:spacing w:val="-4"/>
          <w:sz w:val="20"/>
          <w:szCs w:val="20"/>
        </w:rPr>
        <w:t>= 0.60)</w:t>
      </w:r>
    </w:p>
    <w:p w14:paraId="32B19343" w14:textId="77777777" w:rsidR="00712719" w:rsidRPr="00A97719" w:rsidRDefault="00712719" w:rsidP="00E706AB">
      <w:pPr>
        <w:tabs>
          <w:tab w:val="left" w:pos="720"/>
          <w:tab w:val="left" w:pos="1440"/>
          <w:tab w:val="left" w:pos="2160"/>
          <w:tab w:val="left" w:pos="3091"/>
        </w:tabs>
        <w:spacing w:line="360" w:lineRule="auto"/>
        <w:jc w:val="both"/>
        <w:rPr>
          <w:rFonts w:ascii="Arial" w:hAnsi="Arial" w:cs="Arial"/>
          <w:spacing w:val="-2"/>
          <w:sz w:val="20"/>
          <w:szCs w:val="20"/>
        </w:rPr>
      </w:pPr>
      <w:r w:rsidRPr="00A97719">
        <w:rPr>
          <w:rFonts w:ascii="Arial" w:hAnsi="Arial" w:cs="Arial"/>
          <w:spacing w:val="-2"/>
          <w:sz w:val="20"/>
          <w:szCs w:val="20"/>
        </w:rPr>
        <w:t>Ŷ</w:t>
      </w:r>
      <w:r w:rsidRPr="00A97719">
        <w:rPr>
          <w:rFonts w:ascii="Arial" w:hAnsi="Arial" w:cs="Arial"/>
          <w:spacing w:val="-10"/>
          <w:sz w:val="20"/>
          <w:szCs w:val="20"/>
        </w:rPr>
        <w:t xml:space="preserve"> </w:t>
      </w:r>
      <w:r w:rsidRPr="00A97719">
        <w:rPr>
          <w:rFonts w:ascii="Arial" w:hAnsi="Arial" w:cs="Arial"/>
          <w:spacing w:val="-2"/>
          <w:sz w:val="20"/>
          <w:szCs w:val="20"/>
        </w:rPr>
        <w:t>=76.134-1.426x (</w:t>
      </w:r>
      <w:r w:rsidRPr="00A97719">
        <w:rPr>
          <w:rFonts w:ascii="Arial" w:hAnsi="Arial" w:cs="Arial"/>
          <w:spacing w:val="-4"/>
          <w:sz w:val="20"/>
          <w:szCs w:val="20"/>
        </w:rPr>
        <w:t>R</w:t>
      </w:r>
      <w:r w:rsidRPr="00A97719">
        <w:rPr>
          <w:rFonts w:ascii="Arial" w:hAnsi="Arial" w:cs="Arial"/>
          <w:spacing w:val="-4"/>
          <w:sz w:val="20"/>
          <w:szCs w:val="20"/>
          <w:vertAlign w:val="superscript"/>
        </w:rPr>
        <w:t>2</w:t>
      </w:r>
      <w:r w:rsidRPr="00A97719">
        <w:rPr>
          <w:rFonts w:ascii="Arial" w:hAnsi="Arial" w:cs="Arial"/>
          <w:spacing w:val="-4"/>
          <w:sz w:val="20"/>
          <w:szCs w:val="20"/>
        </w:rPr>
        <w:t xml:space="preserve"> = 0.40)</w:t>
      </w:r>
    </w:p>
    <w:p w14:paraId="616B3FA3" w14:textId="77777777" w:rsidR="00712719" w:rsidRPr="00A97719" w:rsidRDefault="00712719" w:rsidP="00E706AB">
      <w:pPr>
        <w:tabs>
          <w:tab w:val="left" w:pos="2166"/>
        </w:tabs>
        <w:spacing w:line="360" w:lineRule="auto"/>
        <w:jc w:val="both"/>
        <w:rPr>
          <w:rFonts w:ascii="Arial" w:hAnsi="Arial" w:cs="Arial"/>
          <w:spacing w:val="-2"/>
          <w:sz w:val="20"/>
          <w:szCs w:val="20"/>
        </w:rPr>
      </w:pPr>
      <w:r w:rsidRPr="00A97719">
        <w:rPr>
          <w:rFonts w:ascii="Arial" w:hAnsi="Arial" w:cs="Arial"/>
          <w:spacing w:val="-2"/>
          <w:sz w:val="20"/>
          <w:szCs w:val="20"/>
        </w:rPr>
        <w:t>Ŷ</w:t>
      </w:r>
      <w:r w:rsidRPr="00A97719">
        <w:rPr>
          <w:rFonts w:ascii="Arial" w:hAnsi="Arial" w:cs="Arial"/>
          <w:spacing w:val="-17"/>
          <w:sz w:val="20"/>
          <w:szCs w:val="20"/>
        </w:rPr>
        <w:t xml:space="preserve"> </w:t>
      </w:r>
      <w:r w:rsidRPr="00A97719">
        <w:rPr>
          <w:rFonts w:ascii="Arial" w:hAnsi="Arial" w:cs="Arial"/>
          <w:spacing w:val="-2"/>
          <w:sz w:val="20"/>
          <w:szCs w:val="20"/>
        </w:rPr>
        <w:t>=</w:t>
      </w:r>
      <w:r w:rsidRPr="00A97719">
        <w:rPr>
          <w:rFonts w:ascii="Arial" w:hAnsi="Arial" w:cs="Arial"/>
          <w:spacing w:val="-10"/>
          <w:sz w:val="20"/>
          <w:szCs w:val="20"/>
        </w:rPr>
        <w:t xml:space="preserve"> </w:t>
      </w:r>
      <w:r w:rsidRPr="00A97719">
        <w:rPr>
          <w:rFonts w:ascii="Arial" w:hAnsi="Arial" w:cs="Arial"/>
          <w:spacing w:val="-2"/>
          <w:sz w:val="20"/>
          <w:szCs w:val="20"/>
        </w:rPr>
        <w:t>70.035</w:t>
      </w:r>
      <w:r w:rsidRPr="00A97719">
        <w:rPr>
          <w:rFonts w:ascii="Arial" w:hAnsi="Arial" w:cs="Arial"/>
          <w:spacing w:val="-10"/>
          <w:sz w:val="20"/>
          <w:szCs w:val="20"/>
        </w:rPr>
        <w:t xml:space="preserve"> </w:t>
      </w:r>
      <w:r w:rsidRPr="00A97719">
        <w:rPr>
          <w:rFonts w:ascii="Arial" w:hAnsi="Arial" w:cs="Arial"/>
          <w:spacing w:val="-2"/>
          <w:sz w:val="20"/>
          <w:szCs w:val="20"/>
        </w:rPr>
        <w:t>-1.300x (</w:t>
      </w:r>
      <w:r w:rsidRPr="00A97719">
        <w:rPr>
          <w:rFonts w:ascii="Arial" w:hAnsi="Arial" w:cs="Arial"/>
          <w:spacing w:val="-4"/>
          <w:sz w:val="20"/>
          <w:szCs w:val="20"/>
        </w:rPr>
        <w:t>R</w:t>
      </w:r>
      <w:r w:rsidRPr="00A97719">
        <w:rPr>
          <w:rFonts w:ascii="Arial" w:hAnsi="Arial" w:cs="Arial"/>
          <w:spacing w:val="-4"/>
          <w:sz w:val="20"/>
          <w:szCs w:val="20"/>
          <w:vertAlign w:val="superscript"/>
        </w:rPr>
        <w:t xml:space="preserve">2 </w:t>
      </w:r>
      <w:r w:rsidRPr="00A97719">
        <w:rPr>
          <w:rFonts w:ascii="Arial" w:hAnsi="Arial" w:cs="Arial"/>
          <w:spacing w:val="-4"/>
          <w:sz w:val="20"/>
          <w:szCs w:val="20"/>
        </w:rPr>
        <w:t>= 0.89)</w:t>
      </w:r>
    </w:p>
    <w:p w14:paraId="3089D6D5" w14:textId="2C8BF6DE" w:rsidR="00712719" w:rsidRPr="00A97719" w:rsidRDefault="00712719" w:rsidP="00E706AB">
      <w:pPr>
        <w:tabs>
          <w:tab w:val="left" w:pos="2166"/>
        </w:tabs>
        <w:spacing w:line="360" w:lineRule="auto"/>
        <w:jc w:val="both"/>
        <w:rPr>
          <w:rFonts w:ascii="Arial" w:hAnsi="Arial" w:cs="Arial"/>
          <w:spacing w:val="-2"/>
          <w:sz w:val="20"/>
          <w:szCs w:val="20"/>
        </w:rPr>
      </w:pPr>
      <w:r w:rsidRPr="00A97719">
        <w:rPr>
          <w:rFonts w:ascii="Arial" w:hAnsi="Arial" w:cs="Arial"/>
          <w:sz w:val="20"/>
          <w:szCs w:val="20"/>
        </w:rPr>
        <w:t>Ŷ</w:t>
      </w:r>
      <w:r w:rsidRPr="00A97719">
        <w:rPr>
          <w:rFonts w:ascii="Arial" w:hAnsi="Arial" w:cs="Arial"/>
          <w:spacing w:val="-8"/>
          <w:sz w:val="20"/>
          <w:szCs w:val="20"/>
        </w:rPr>
        <w:t xml:space="preserve"> </w:t>
      </w:r>
      <w:r w:rsidRPr="00A97719">
        <w:rPr>
          <w:rFonts w:ascii="Arial" w:hAnsi="Arial" w:cs="Arial"/>
          <w:sz w:val="20"/>
          <w:szCs w:val="20"/>
        </w:rPr>
        <w:t>=</w:t>
      </w:r>
      <w:r w:rsidRPr="00A97719">
        <w:rPr>
          <w:rFonts w:ascii="Arial" w:hAnsi="Arial" w:cs="Arial"/>
          <w:spacing w:val="10"/>
          <w:sz w:val="20"/>
          <w:szCs w:val="20"/>
        </w:rPr>
        <w:t xml:space="preserve"> </w:t>
      </w:r>
      <w:r w:rsidRPr="00A97719">
        <w:rPr>
          <w:rFonts w:ascii="Arial" w:hAnsi="Arial" w:cs="Arial"/>
          <w:sz w:val="20"/>
          <w:szCs w:val="20"/>
        </w:rPr>
        <w:t>46.879-</w:t>
      </w:r>
      <w:r w:rsidRPr="00A97719">
        <w:rPr>
          <w:rFonts w:ascii="Arial" w:hAnsi="Arial" w:cs="Arial"/>
          <w:spacing w:val="-2"/>
          <w:sz w:val="20"/>
          <w:szCs w:val="20"/>
        </w:rPr>
        <w:t>0.725x (</w:t>
      </w:r>
      <w:r w:rsidRPr="00A97719">
        <w:rPr>
          <w:rFonts w:ascii="Arial" w:hAnsi="Arial" w:cs="Arial"/>
          <w:spacing w:val="-4"/>
          <w:sz w:val="20"/>
          <w:szCs w:val="20"/>
        </w:rPr>
        <w:t>R</w:t>
      </w:r>
      <w:r w:rsidRPr="00A97719">
        <w:rPr>
          <w:rFonts w:ascii="Arial" w:hAnsi="Arial" w:cs="Arial"/>
          <w:spacing w:val="-4"/>
          <w:sz w:val="20"/>
          <w:szCs w:val="20"/>
          <w:vertAlign w:val="superscript"/>
        </w:rPr>
        <w:t>2</w:t>
      </w:r>
      <w:r w:rsidRPr="00A97719">
        <w:rPr>
          <w:rFonts w:ascii="Arial" w:hAnsi="Arial" w:cs="Arial"/>
          <w:spacing w:val="-4"/>
          <w:sz w:val="20"/>
          <w:szCs w:val="20"/>
        </w:rPr>
        <w:t xml:space="preserve"> = 0.63)</w:t>
      </w:r>
    </w:p>
    <w:p w14:paraId="5CCD7196" w14:textId="32E71F13" w:rsidR="00C7012C" w:rsidRPr="00A97719" w:rsidRDefault="00712719" w:rsidP="00C7012C">
      <w:pPr>
        <w:tabs>
          <w:tab w:val="left" w:pos="720"/>
        </w:tabs>
        <w:spacing w:line="360" w:lineRule="auto"/>
        <w:jc w:val="both"/>
        <w:rPr>
          <w:rFonts w:ascii="Arial" w:hAnsi="Arial" w:cs="Arial"/>
          <w:spacing w:val="-2"/>
          <w:sz w:val="20"/>
          <w:szCs w:val="20"/>
          <w:lang w:val="en-US"/>
        </w:rPr>
      </w:pPr>
      <w:r w:rsidRPr="00A97719">
        <w:rPr>
          <w:rFonts w:ascii="Arial" w:hAnsi="Arial" w:cs="Arial"/>
          <w:spacing w:val="-2"/>
          <w:sz w:val="20"/>
          <w:szCs w:val="20"/>
        </w:rPr>
        <w:tab/>
      </w:r>
      <w:r w:rsidR="00C7012C" w:rsidRPr="00A97719">
        <w:rPr>
          <w:rFonts w:ascii="Arial" w:hAnsi="Arial" w:cs="Arial"/>
          <w:spacing w:val="-2"/>
          <w:sz w:val="20"/>
          <w:szCs w:val="20"/>
          <w:lang w:val="en-US"/>
        </w:rPr>
        <w:t>Regression analysis revealed a consistent decline in spore count across all four fungal isolates (F1–F4) with increasing temperature. Among the isolates, F1 exhibited the highest rate of reduction in spore production, with a per-unit</w:t>
      </w:r>
      <w:r w:rsidR="004768A2" w:rsidRPr="00A97719">
        <w:rPr>
          <w:rFonts w:ascii="Arial" w:hAnsi="Arial" w:cs="Arial"/>
          <w:spacing w:val="-2"/>
          <w:sz w:val="20"/>
          <w:szCs w:val="20"/>
          <w:lang w:val="en-US"/>
        </w:rPr>
        <w:t xml:space="preserve"> (</w:t>
      </w:r>
      <w:r w:rsidR="004768A2" w:rsidRPr="00A97719">
        <w:rPr>
          <w:rFonts w:ascii="Arial" w:hAnsi="Arial" w:cs="Arial"/>
          <w:sz w:val="20"/>
          <w:szCs w:val="20"/>
        </w:rPr>
        <w:t>10⁶ spores ml</w:t>
      </w:r>
      <w:r w:rsidR="004768A2" w:rsidRPr="00A97719">
        <w:rPr>
          <w:rFonts w:ascii="Cambria Math" w:hAnsi="Cambria Math" w:cs="Cambria Math"/>
          <w:sz w:val="20"/>
          <w:szCs w:val="20"/>
        </w:rPr>
        <w:t>⁻</w:t>
      </w:r>
      <w:r w:rsidR="004768A2" w:rsidRPr="00A97719">
        <w:rPr>
          <w:rFonts w:ascii="Arial" w:hAnsi="Arial" w:cs="Arial"/>
          <w:sz w:val="20"/>
          <w:szCs w:val="20"/>
        </w:rPr>
        <w:t xml:space="preserve">¹) </w:t>
      </w:r>
      <w:r w:rsidR="00C7012C" w:rsidRPr="00A97719">
        <w:rPr>
          <w:rFonts w:ascii="Arial" w:hAnsi="Arial" w:cs="Arial"/>
          <w:spacing w:val="-2"/>
          <w:sz w:val="20"/>
          <w:szCs w:val="20"/>
          <w:lang w:val="en-US"/>
        </w:rPr>
        <w:t>decrease of 1.926 spores, followed by F2 and F3, which showed reductions of 1.426 and 1.300 spores per unit increase, respectively. Although all isolates exhibited a negative trend, F4 demonstrated the lowest reduction rate, with a decline of only 0.725 spores per unit</w:t>
      </w:r>
      <w:r w:rsidR="00A442FE" w:rsidRPr="00A97719">
        <w:rPr>
          <w:rFonts w:ascii="Arial" w:hAnsi="Arial" w:cs="Arial"/>
          <w:spacing w:val="-2"/>
          <w:sz w:val="20"/>
          <w:szCs w:val="20"/>
          <w:lang w:val="en-US"/>
        </w:rPr>
        <w:t xml:space="preserve"> (</w:t>
      </w:r>
      <w:r w:rsidR="00A442FE" w:rsidRPr="00A97719">
        <w:rPr>
          <w:rFonts w:ascii="Arial" w:hAnsi="Arial" w:cs="Arial"/>
          <w:sz w:val="20"/>
          <w:szCs w:val="20"/>
        </w:rPr>
        <w:t>10⁶ spores ml</w:t>
      </w:r>
      <w:r w:rsidR="00A442FE" w:rsidRPr="00A97719">
        <w:rPr>
          <w:rFonts w:ascii="Cambria Math" w:hAnsi="Cambria Math" w:cs="Cambria Math"/>
          <w:sz w:val="20"/>
          <w:szCs w:val="20"/>
        </w:rPr>
        <w:t>⁻</w:t>
      </w:r>
      <w:r w:rsidR="00A442FE" w:rsidRPr="00A97719">
        <w:rPr>
          <w:rFonts w:ascii="Arial" w:hAnsi="Arial" w:cs="Arial"/>
          <w:sz w:val="20"/>
          <w:szCs w:val="20"/>
        </w:rPr>
        <w:t xml:space="preserve">¹), </w:t>
      </w:r>
      <w:r w:rsidR="00A442FE" w:rsidRPr="00A97719">
        <w:rPr>
          <w:rFonts w:ascii="Arial" w:hAnsi="Arial" w:cs="Arial"/>
          <w:spacing w:val="-2"/>
          <w:sz w:val="20"/>
          <w:szCs w:val="20"/>
          <w:lang w:val="en-US"/>
        </w:rPr>
        <w:t>increase</w:t>
      </w:r>
      <w:r w:rsidR="00C7012C" w:rsidRPr="00A97719">
        <w:rPr>
          <w:rFonts w:ascii="Arial" w:hAnsi="Arial" w:cs="Arial"/>
          <w:spacing w:val="-2"/>
          <w:sz w:val="20"/>
          <w:szCs w:val="20"/>
          <w:lang w:val="en-US"/>
        </w:rPr>
        <w:t xml:space="preserve"> (Figure 2).</w:t>
      </w:r>
    </w:p>
    <w:p w14:paraId="2803701D" w14:textId="508B6FA4" w:rsidR="000E2560" w:rsidRDefault="000E2560" w:rsidP="00C7012C">
      <w:pPr>
        <w:tabs>
          <w:tab w:val="left" w:pos="720"/>
        </w:tabs>
        <w:spacing w:line="360" w:lineRule="auto"/>
        <w:jc w:val="both"/>
        <w:rPr>
          <w:rFonts w:ascii="Arial" w:hAnsi="Arial" w:cs="Arial"/>
          <w:color w:val="000000" w:themeColor="text1"/>
          <w:spacing w:val="-2"/>
        </w:rPr>
      </w:pPr>
      <w:r>
        <w:rPr>
          <w:rFonts w:ascii="Arial" w:hAnsi="Arial" w:cs="Arial"/>
          <w:noProof/>
          <w:color w:val="000000" w:themeColor="text1"/>
          <w:spacing w:val="-2"/>
        </w:rPr>
        <w:drawing>
          <wp:inline distT="0" distB="0" distL="0" distR="0" wp14:anchorId="7F0752A0" wp14:editId="56F9C2C1">
            <wp:extent cx="5967394" cy="3352800"/>
            <wp:effectExtent l="0" t="0" r="0" b="0"/>
            <wp:docPr id="57023770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98014" cy="3370004"/>
                    </a:xfrm>
                    <a:prstGeom prst="rect">
                      <a:avLst/>
                    </a:prstGeom>
                    <a:noFill/>
                  </pic:spPr>
                </pic:pic>
              </a:graphicData>
            </a:graphic>
          </wp:inline>
        </w:drawing>
      </w:r>
    </w:p>
    <w:p w14:paraId="26F0CD79" w14:textId="6CB37973" w:rsidR="000E2560" w:rsidRPr="00A97719" w:rsidRDefault="000E2560" w:rsidP="000E2560">
      <w:pPr>
        <w:pStyle w:val="BodyText"/>
        <w:jc w:val="center"/>
        <w:rPr>
          <w:color w:val="000000" w:themeColor="text1"/>
          <w:sz w:val="20"/>
          <w:szCs w:val="20"/>
        </w:rPr>
      </w:pPr>
      <w:r w:rsidRPr="00A97719">
        <w:rPr>
          <w:color w:val="000000" w:themeColor="text1"/>
          <w:w w:val="105"/>
          <w:sz w:val="20"/>
          <w:szCs w:val="20"/>
        </w:rPr>
        <w:t>Fig</w:t>
      </w:r>
      <w:r w:rsidR="00024B26" w:rsidRPr="00A97719">
        <w:rPr>
          <w:color w:val="000000" w:themeColor="text1"/>
          <w:w w:val="105"/>
          <w:sz w:val="20"/>
          <w:szCs w:val="20"/>
        </w:rPr>
        <w:t xml:space="preserve">ure 2. </w:t>
      </w:r>
      <w:r w:rsidRPr="00A97719">
        <w:rPr>
          <w:color w:val="000000" w:themeColor="text1"/>
          <w:w w:val="105"/>
          <w:sz w:val="20"/>
          <w:szCs w:val="20"/>
        </w:rPr>
        <w:t>Spore</w:t>
      </w:r>
      <w:r w:rsidRPr="00A97719">
        <w:rPr>
          <w:color w:val="000000" w:themeColor="text1"/>
          <w:spacing w:val="-14"/>
          <w:w w:val="105"/>
          <w:sz w:val="20"/>
          <w:szCs w:val="20"/>
        </w:rPr>
        <w:t xml:space="preserve"> </w:t>
      </w:r>
      <w:r w:rsidRPr="00A97719">
        <w:rPr>
          <w:color w:val="000000" w:themeColor="text1"/>
          <w:w w:val="105"/>
          <w:sz w:val="20"/>
          <w:szCs w:val="20"/>
        </w:rPr>
        <w:t>count</w:t>
      </w:r>
      <w:r w:rsidR="004F0521" w:rsidRPr="00A97719">
        <w:rPr>
          <w:color w:val="000000" w:themeColor="text1"/>
          <w:spacing w:val="-5"/>
          <w:w w:val="105"/>
          <w:sz w:val="20"/>
          <w:szCs w:val="20"/>
        </w:rPr>
        <w:t xml:space="preserve"> of different strains </w:t>
      </w:r>
      <w:r w:rsidRPr="00A97719">
        <w:rPr>
          <w:color w:val="000000" w:themeColor="text1"/>
          <w:spacing w:val="-5"/>
          <w:w w:val="105"/>
          <w:sz w:val="20"/>
          <w:szCs w:val="20"/>
        </w:rPr>
        <w:t>on 15</w:t>
      </w:r>
      <w:r w:rsidRPr="00A97719">
        <w:rPr>
          <w:color w:val="000000" w:themeColor="text1"/>
          <w:spacing w:val="-5"/>
          <w:w w:val="105"/>
          <w:sz w:val="20"/>
          <w:szCs w:val="20"/>
          <w:vertAlign w:val="superscript"/>
        </w:rPr>
        <w:t>th</w:t>
      </w:r>
      <w:r w:rsidRPr="00A97719">
        <w:rPr>
          <w:color w:val="000000" w:themeColor="text1"/>
          <w:spacing w:val="-5"/>
          <w:w w:val="105"/>
          <w:sz w:val="20"/>
          <w:szCs w:val="20"/>
        </w:rPr>
        <w:t xml:space="preserve"> </w:t>
      </w:r>
      <w:r w:rsidRPr="00A97719">
        <w:rPr>
          <w:color w:val="000000" w:themeColor="text1"/>
          <w:w w:val="105"/>
          <w:sz w:val="20"/>
          <w:szCs w:val="20"/>
        </w:rPr>
        <w:t>days</w:t>
      </w:r>
      <w:r w:rsidRPr="00A97719">
        <w:rPr>
          <w:color w:val="000000" w:themeColor="text1"/>
          <w:spacing w:val="-14"/>
          <w:w w:val="105"/>
          <w:sz w:val="20"/>
          <w:szCs w:val="20"/>
        </w:rPr>
        <w:t xml:space="preserve"> </w:t>
      </w:r>
      <w:r w:rsidRPr="00A97719">
        <w:rPr>
          <w:color w:val="000000" w:themeColor="text1"/>
          <w:w w:val="105"/>
          <w:sz w:val="20"/>
          <w:szCs w:val="20"/>
        </w:rPr>
        <w:t>after</w:t>
      </w:r>
      <w:r w:rsidRPr="00A97719">
        <w:rPr>
          <w:color w:val="000000" w:themeColor="text1"/>
          <w:spacing w:val="-16"/>
          <w:w w:val="105"/>
          <w:sz w:val="20"/>
          <w:szCs w:val="20"/>
        </w:rPr>
        <w:t xml:space="preserve"> </w:t>
      </w:r>
      <w:r w:rsidRPr="00A97719">
        <w:rPr>
          <w:color w:val="000000" w:themeColor="text1"/>
          <w:w w:val="105"/>
          <w:sz w:val="20"/>
          <w:szCs w:val="20"/>
        </w:rPr>
        <w:t>inoculation</w:t>
      </w:r>
      <w:r w:rsidRPr="00A97719">
        <w:rPr>
          <w:color w:val="000000" w:themeColor="text1"/>
          <w:spacing w:val="-12"/>
          <w:w w:val="105"/>
          <w:sz w:val="20"/>
          <w:szCs w:val="20"/>
        </w:rPr>
        <w:t xml:space="preserve"> </w:t>
      </w:r>
      <w:r w:rsidRPr="00A97719">
        <w:rPr>
          <w:color w:val="000000" w:themeColor="text1"/>
          <w:w w:val="105"/>
          <w:sz w:val="20"/>
          <w:szCs w:val="20"/>
        </w:rPr>
        <w:t>at</w:t>
      </w:r>
      <w:r w:rsidRPr="00A97719">
        <w:rPr>
          <w:color w:val="000000" w:themeColor="text1"/>
          <w:spacing w:val="-16"/>
          <w:w w:val="105"/>
          <w:sz w:val="20"/>
          <w:szCs w:val="20"/>
        </w:rPr>
        <w:t xml:space="preserve"> </w:t>
      </w:r>
      <w:r w:rsidRPr="00A97719">
        <w:rPr>
          <w:color w:val="000000" w:themeColor="text1"/>
          <w:w w:val="105"/>
          <w:sz w:val="20"/>
          <w:szCs w:val="20"/>
        </w:rPr>
        <w:t>varying</w:t>
      </w:r>
      <w:r w:rsidRPr="00A97719">
        <w:rPr>
          <w:color w:val="000000" w:themeColor="text1"/>
          <w:spacing w:val="-13"/>
          <w:w w:val="105"/>
          <w:sz w:val="20"/>
          <w:szCs w:val="20"/>
        </w:rPr>
        <w:t xml:space="preserve"> </w:t>
      </w:r>
      <w:r w:rsidRPr="00A97719">
        <w:rPr>
          <w:color w:val="000000" w:themeColor="text1"/>
          <w:spacing w:val="-2"/>
          <w:w w:val="105"/>
          <w:sz w:val="20"/>
          <w:szCs w:val="20"/>
        </w:rPr>
        <w:t>temperature</w:t>
      </w:r>
    </w:p>
    <w:p w14:paraId="6F199D5F" w14:textId="77777777" w:rsidR="000E2560" w:rsidRPr="00E706AB" w:rsidRDefault="000E2560" w:rsidP="00E706AB">
      <w:pPr>
        <w:tabs>
          <w:tab w:val="left" w:pos="720"/>
        </w:tabs>
        <w:spacing w:line="360" w:lineRule="auto"/>
        <w:jc w:val="both"/>
        <w:rPr>
          <w:rFonts w:ascii="Arial" w:hAnsi="Arial" w:cs="Arial"/>
          <w:spacing w:val="-2"/>
          <w:sz w:val="24"/>
          <w:szCs w:val="24"/>
        </w:rPr>
      </w:pPr>
    </w:p>
    <w:p w14:paraId="242AA26E" w14:textId="6FC949CF" w:rsidR="00712719" w:rsidRPr="004677B3" w:rsidRDefault="00A97719" w:rsidP="00F2643D">
      <w:pPr>
        <w:pStyle w:val="ListParagraph"/>
        <w:numPr>
          <w:ilvl w:val="0"/>
          <w:numId w:val="3"/>
        </w:numPr>
        <w:tabs>
          <w:tab w:val="left" w:pos="360"/>
        </w:tabs>
        <w:spacing w:line="360" w:lineRule="auto"/>
        <w:ind w:left="900" w:hanging="990"/>
        <w:rPr>
          <w:rFonts w:ascii="Arial" w:hAnsi="Arial" w:cs="Arial"/>
          <w:b/>
          <w:bCs/>
          <w:spacing w:val="-2"/>
        </w:rPr>
      </w:pPr>
      <w:r w:rsidRPr="004677B3">
        <w:rPr>
          <w:rFonts w:ascii="Arial" w:hAnsi="Arial" w:cs="Arial"/>
          <w:b/>
          <w:bCs/>
          <w:spacing w:val="-2"/>
        </w:rPr>
        <w:t>CONCLUSION</w:t>
      </w:r>
    </w:p>
    <w:p w14:paraId="7E320B32" w14:textId="617B0C51" w:rsidR="00F544E4" w:rsidRDefault="00C7012C" w:rsidP="00F56CEE">
      <w:pPr>
        <w:spacing w:line="360" w:lineRule="auto"/>
        <w:ind w:firstLine="720"/>
        <w:jc w:val="both"/>
        <w:rPr>
          <w:rFonts w:ascii="Arial" w:hAnsi="Arial" w:cs="Arial"/>
          <w:spacing w:val="-2"/>
          <w:sz w:val="20"/>
          <w:szCs w:val="20"/>
        </w:rPr>
      </w:pPr>
      <w:r w:rsidRPr="00A97719">
        <w:rPr>
          <w:rFonts w:ascii="Arial" w:hAnsi="Arial" w:cs="Arial"/>
          <w:spacing w:val="-2"/>
          <w:sz w:val="20"/>
          <w:szCs w:val="20"/>
        </w:rPr>
        <w:t xml:space="preserve">Temperature had a pronounced effect on both radial growth and spore production of </w:t>
      </w:r>
      <w:r w:rsidRPr="00A97719">
        <w:rPr>
          <w:rFonts w:ascii="Arial" w:hAnsi="Arial" w:cs="Arial"/>
          <w:i/>
          <w:iCs/>
          <w:spacing w:val="-2"/>
          <w:sz w:val="20"/>
          <w:szCs w:val="20"/>
        </w:rPr>
        <w:t>Beauveria bassiana</w:t>
      </w:r>
      <w:r w:rsidRPr="00A97719">
        <w:rPr>
          <w:rFonts w:ascii="Arial" w:hAnsi="Arial" w:cs="Arial"/>
          <w:spacing w:val="-2"/>
          <w:sz w:val="20"/>
          <w:szCs w:val="20"/>
        </w:rPr>
        <w:t xml:space="preserve"> and </w:t>
      </w:r>
      <w:r w:rsidRPr="00A97719">
        <w:rPr>
          <w:rFonts w:ascii="Arial" w:hAnsi="Arial" w:cs="Arial"/>
          <w:i/>
          <w:iCs/>
          <w:spacing w:val="-2"/>
          <w:sz w:val="20"/>
          <w:szCs w:val="20"/>
        </w:rPr>
        <w:t>Metarhizium anisopliae</w:t>
      </w:r>
      <w:r w:rsidRPr="00A97719">
        <w:rPr>
          <w:rFonts w:ascii="Arial" w:hAnsi="Arial" w:cs="Arial"/>
          <w:spacing w:val="-2"/>
          <w:sz w:val="20"/>
          <w:szCs w:val="20"/>
        </w:rPr>
        <w:t xml:space="preserve"> under in vitro conditions. Moderate temperatures (26 °C) supported the highest mycelial growth and sporulation across all isolates, whereas higher temperatures (30–34 °C) </w:t>
      </w:r>
      <w:r w:rsidRPr="00A97719">
        <w:rPr>
          <w:rFonts w:ascii="Arial" w:hAnsi="Arial" w:cs="Arial"/>
          <w:spacing w:val="-2"/>
          <w:sz w:val="20"/>
          <w:szCs w:val="20"/>
        </w:rPr>
        <w:lastRenderedPageBreak/>
        <w:t xml:space="preserve">resulted in a marked decline in both parameters. Among the tested isolates, </w:t>
      </w:r>
      <w:r w:rsidRPr="00A97719">
        <w:rPr>
          <w:rFonts w:ascii="Arial" w:hAnsi="Arial" w:cs="Arial"/>
          <w:i/>
          <w:iCs/>
          <w:spacing w:val="-2"/>
          <w:sz w:val="20"/>
          <w:szCs w:val="20"/>
        </w:rPr>
        <w:t>B. bassiana</w:t>
      </w:r>
      <w:r w:rsidRPr="00A97719">
        <w:rPr>
          <w:rFonts w:ascii="Arial" w:hAnsi="Arial" w:cs="Arial"/>
          <w:spacing w:val="-2"/>
          <w:sz w:val="20"/>
          <w:szCs w:val="20"/>
        </w:rPr>
        <w:t xml:space="preserve"> strains consistently performed better than </w:t>
      </w:r>
      <w:r w:rsidRPr="00A97719">
        <w:rPr>
          <w:rFonts w:ascii="Arial" w:hAnsi="Arial" w:cs="Arial"/>
          <w:i/>
          <w:iCs/>
          <w:spacing w:val="-2"/>
          <w:sz w:val="20"/>
          <w:szCs w:val="20"/>
        </w:rPr>
        <w:t>M. anisopliae</w:t>
      </w:r>
      <w:r w:rsidRPr="00A97719">
        <w:rPr>
          <w:rFonts w:ascii="Arial" w:hAnsi="Arial" w:cs="Arial"/>
          <w:spacing w:val="-2"/>
          <w:sz w:val="20"/>
          <w:szCs w:val="20"/>
        </w:rPr>
        <w:t xml:space="preserve">, exhibiting greater radial growth, higher spore production, and better tolerance to temperature variations. The interaction effects between temperature and fungal isolates indicated isolate-specific responses to thermal conditions, with some isolates being more heat-sensitive than others. Overall, these findings emphasize that optimal temperature is crucial for maximizing the growth and reproductive potential of entomopathogenic fungi, with </w:t>
      </w:r>
      <w:r w:rsidRPr="00A97719">
        <w:rPr>
          <w:rFonts w:ascii="Arial" w:hAnsi="Arial" w:cs="Arial"/>
          <w:i/>
          <w:iCs/>
          <w:spacing w:val="-2"/>
          <w:sz w:val="20"/>
          <w:szCs w:val="20"/>
        </w:rPr>
        <w:t>B. bassiana</w:t>
      </w:r>
      <w:r w:rsidRPr="00A97719">
        <w:rPr>
          <w:rFonts w:ascii="Arial" w:hAnsi="Arial" w:cs="Arial"/>
          <w:spacing w:val="-2"/>
          <w:sz w:val="20"/>
          <w:szCs w:val="20"/>
        </w:rPr>
        <w:t xml:space="preserve"> isolates showing comparatively superior adaptability and </w:t>
      </w:r>
      <w:proofErr w:type="spellStart"/>
      <w:r w:rsidRPr="00A97719">
        <w:rPr>
          <w:rFonts w:ascii="Arial" w:hAnsi="Arial" w:cs="Arial"/>
          <w:spacing w:val="-2"/>
          <w:sz w:val="20"/>
          <w:szCs w:val="20"/>
        </w:rPr>
        <w:t>vigor</w:t>
      </w:r>
      <w:proofErr w:type="spellEnd"/>
      <w:r w:rsidRPr="00A97719">
        <w:rPr>
          <w:rFonts w:ascii="Arial" w:hAnsi="Arial" w:cs="Arial"/>
          <w:spacing w:val="-2"/>
          <w:sz w:val="20"/>
          <w:szCs w:val="20"/>
        </w:rPr>
        <w:t xml:space="preserve"> across the tested temperature range.</w:t>
      </w:r>
    </w:p>
    <w:p w14:paraId="004C6179" w14:textId="3A22BB5F" w:rsidR="00F544E4" w:rsidRPr="009C5487" w:rsidRDefault="00F544E4" w:rsidP="00F544E4">
      <w:pPr>
        <w:rPr>
          <w:rFonts w:ascii="Calibri" w:eastAsia="Calibri" w:hAnsi="Calibri" w:cs="Times New Roman"/>
          <w:kern w:val="2"/>
          <w:highlight w:val="yellow"/>
          <w:lang w:val="en-US"/>
        </w:rPr>
      </w:pPr>
      <w:bookmarkStart w:id="3" w:name="_Hlk197682619"/>
      <w:bookmarkStart w:id="4" w:name="_Hlk180402183"/>
      <w:bookmarkStart w:id="5" w:name="_Hlk183680988"/>
      <w:bookmarkStart w:id="6" w:name="_Hlk197351200"/>
      <w:bookmarkStart w:id="7" w:name="_Hlk213410455"/>
      <w:r w:rsidRPr="009C5487">
        <w:rPr>
          <w:rFonts w:ascii="Calibri" w:eastAsia="Calibri" w:hAnsi="Calibri" w:cs="Times New Roman"/>
          <w:kern w:val="2"/>
          <w:highlight w:val="yellow"/>
          <w:lang w:val="en-US"/>
        </w:rPr>
        <w:t>Disclaimer (Artificial intelligence)</w:t>
      </w:r>
    </w:p>
    <w:p w14:paraId="657C12CA" w14:textId="0763300F" w:rsidR="00F544E4" w:rsidRPr="00F56CEE" w:rsidRDefault="00F544E4" w:rsidP="00F544E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bookmarkStart w:id="8" w:name="_Hlk187485061"/>
      <w:bookmarkEnd w:id="3"/>
      <w:bookmarkEnd w:id="4"/>
      <w:bookmarkEnd w:id="5"/>
    </w:p>
    <w:bookmarkEnd w:id="6"/>
    <w:bookmarkEnd w:id="7"/>
    <w:bookmarkEnd w:id="8"/>
    <w:p w14:paraId="3A0EC0DC" w14:textId="77777777" w:rsidR="00F544E4" w:rsidRDefault="00F544E4" w:rsidP="00441676">
      <w:pPr>
        <w:spacing w:line="360" w:lineRule="auto"/>
        <w:ind w:firstLine="720"/>
        <w:jc w:val="both"/>
        <w:rPr>
          <w:rFonts w:ascii="Arial" w:hAnsi="Arial" w:cs="Arial"/>
          <w:spacing w:val="-2"/>
          <w:sz w:val="20"/>
          <w:szCs w:val="20"/>
        </w:rPr>
      </w:pPr>
    </w:p>
    <w:p w14:paraId="61BFC565" w14:textId="3392B9C3" w:rsidR="00477995" w:rsidRPr="00477995" w:rsidRDefault="004677B3" w:rsidP="00477995">
      <w:pPr>
        <w:spacing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REFERENCES</w:t>
      </w:r>
    </w:p>
    <w:p w14:paraId="15049999"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Ahmad, M. A., Ghazal, I., &amp; Rajab, L. H. (2016). Laboratory evaluation of the effect of temperature and several media on the radial growth, conidia production and germination of the fungus Beauveria bassiana (Bals.) Vuill. SSRG International Journal of Agriculture &amp; Environmental Science, 3(6), 35–41. </w:t>
      </w:r>
      <w:hyperlink r:id="rId16" w:history="1">
        <w:r w:rsidRPr="00B03590">
          <w:rPr>
            <w:rStyle w:val="Hyperlink"/>
            <w:rFonts w:ascii="Arial" w:hAnsi="Arial" w:cs="Arial"/>
            <w:sz w:val="20"/>
            <w:szCs w:val="20"/>
          </w:rPr>
          <w:t>https://doi.org/10.14445/23942568/IJAES-V3I6P108</w:t>
        </w:r>
      </w:hyperlink>
    </w:p>
    <w:p w14:paraId="6C853741" w14:textId="77777777" w:rsidR="00477995" w:rsidRPr="00E6098B" w:rsidRDefault="00477995" w:rsidP="00B03590">
      <w:pPr>
        <w:pStyle w:val="ListParagraph"/>
        <w:numPr>
          <w:ilvl w:val="0"/>
          <w:numId w:val="5"/>
        </w:numPr>
        <w:spacing w:line="360" w:lineRule="auto"/>
        <w:jc w:val="both"/>
      </w:pPr>
      <w:r w:rsidRPr="00B03590">
        <w:rPr>
          <w:rFonts w:ascii="Arial" w:hAnsi="Arial"/>
          <w:color w:val="000000" w:themeColor="text1"/>
          <w:sz w:val="20"/>
          <w:szCs w:val="18"/>
          <w:lang w:bidi="hi-IN"/>
        </w:rPr>
        <w:t>Akmal, M., Freed, S., Malik, M. N., &amp; Gul, H. T. (2013). Efficacy of Beauveria bassiana (</w:t>
      </w:r>
      <w:proofErr w:type="spellStart"/>
      <w:r w:rsidRPr="00B03590">
        <w:rPr>
          <w:rFonts w:ascii="Arial" w:hAnsi="Arial"/>
          <w:color w:val="000000" w:themeColor="text1"/>
          <w:sz w:val="20"/>
          <w:szCs w:val="18"/>
          <w:lang w:bidi="hi-IN"/>
        </w:rPr>
        <w:t>Deuteromycotina</w:t>
      </w:r>
      <w:proofErr w:type="spellEnd"/>
      <w:r w:rsidRPr="00B03590">
        <w:rPr>
          <w:rFonts w:ascii="Arial" w:hAnsi="Arial"/>
          <w:color w:val="000000" w:themeColor="text1"/>
          <w:sz w:val="20"/>
          <w:szCs w:val="18"/>
          <w:lang w:bidi="hi-IN"/>
        </w:rPr>
        <w:t xml:space="preserve">: </w:t>
      </w:r>
      <w:proofErr w:type="spellStart"/>
      <w:r w:rsidRPr="00B03590">
        <w:rPr>
          <w:rFonts w:ascii="Arial" w:hAnsi="Arial"/>
          <w:color w:val="000000" w:themeColor="text1"/>
          <w:sz w:val="20"/>
          <w:szCs w:val="18"/>
          <w:lang w:bidi="hi-IN"/>
        </w:rPr>
        <w:t>Hypomycetes</w:t>
      </w:r>
      <w:proofErr w:type="spellEnd"/>
      <w:r w:rsidRPr="00B03590">
        <w:rPr>
          <w:rFonts w:ascii="Arial" w:hAnsi="Arial"/>
          <w:color w:val="000000" w:themeColor="text1"/>
          <w:sz w:val="20"/>
          <w:szCs w:val="18"/>
          <w:lang w:bidi="hi-IN"/>
        </w:rPr>
        <w:t xml:space="preserve">) against different aphid species under laboratory conditions. Pakistan Journal of Zoology, 45(1), 71–78. </w:t>
      </w:r>
      <w:hyperlink r:id="rId17" w:history="1">
        <w:r w:rsidRPr="00B03590">
          <w:rPr>
            <w:rStyle w:val="Hyperlink"/>
            <w:rFonts w:ascii="Arial" w:hAnsi="Arial"/>
            <w:sz w:val="20"/>
            <w:szCs w:val="18"/>
            <w:lang w:bidi="hi-IN"/>
          </w:rPr>
          <w:t>https://zsp.com.pk/download-links-vol-45-1/</w:t>
        </w:r>
      </w:hyperlink>
    </w:p>
    <w:p w14:paraId="4DA5AD0D"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sz w:val="20"/>
          <w:szCs w:val="20"/>
        </w:rPr>
        <w:t xml:space="preserve">Amritha </w:t>
      </w:r>
      <w:r w:rsidRPr="00B03590">
        <w:rPr>
          <w:rFonts w:ascii="Arial" w:hAnsi="Arial" w:cs="Arial"/>
          <w:color w:val="000000" w:themeColor="text1"/>
          <w:sz w:val="20"/>
          <w:szCs w:val="20"/>
        </w:rPr>
        <w:t xml:space="preserve">De Croos, J. N., &amp; </w:t>
      </w:r>
      <w:proofErr w:type="spellStart"/>
      <w:r w:rsidRPr="00B03590">
        <w:rPr>
          <w:rFonts w:ascii="Arial" w:hAnsi="Arial" w:cs="Arial"/>
          <w:color w:val="000000" w:themeColor="text1"/>
          <w:sz w:val="20"/>
          <w:szCs w:val="20"/>
        </w:rPr>
        <w:t>Bidochka</w:t>
      </w:r>
      <w:proofErr w:type="spellEnd"/>
      <w:r w:rsidRPr="00B03590">
        <w:rPr>
          <w:rFonts w:ascii="Arial" w:hAnsi="Arial" w:cs="Arial"/>
          <w:color w:val="000000" w:themeColor="text1"/>
          <w:sz w:val="20"/>
          <w:szCs w:val="20"/>
        </w:rPr>
        <w:t xml:space="preserve">, M. J. (1999). Effects of low temperature on growth parameters in the entomopathogenic fungus Metarhizium anisopliae. Canadian Journal of Microbiology, 45(12), 1055–1061. </w:t>
      </w:r>
      <w:hyperlink r:id="rId18" w:history="1">
        <w:r w:rsidRPr="00B03590">
          <w:rPr>
            <w:rStyle w:val="Hyperlink"/>
            <w:rFonts w:ascii="Arial" w:hAnsi="Arial" w:cs="Arial"/>
            <w:sz w:val="20"/>
            <w:szCs w:val="20"/>
          </w:rPr>
          <w:t>https://doi.org/10.1139/w99-098</w:t>
        </w:r>
      </w:hyperlink>
    </w:p>
    <w:p w14:paraId="67ECB00D"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Arthurs, S., &amp; Thomas, M. B. (2001). Effects of temperature and relative humidity on sporulation of Metarhizium anisopliae var. </w:t>
      </w:r>
      <w:proofErr w:type="spellStart"/>
      <w:r w:rsidRPr="00B03590">
        <w:rPr>
          <w:rFonts w:ascii="Arial" w:hAnsi="Arial" w:cs="Arial"/>
          <w:color w:val="000000" w:themeColor="text1"/>
          <w:sz w:val="20"/>
          <w:szCs w:val="20"/>
        </w:rPr>
        <w:t>acridum</w:t>
      </w:r>
      <w:proofErr w:type="spellEnd"/>
      <w:r w:rsidRPr="00B03590">
        <w:rPr>
          <w:rFonts w:ascii="Arial" w:hAnsi="Arial" w:cs="Arial"/>
          <w:color w:val="000000" w:themeColor="text1"/>
          <w:sz w:val="20"/>
          <w:szCs w:val="20"/>
        </w:rPr>
        <w:t xml:space="preserve"> in </w:t>
      </w:r>
      <w:proofErr w:type="spellStart"/>
      <w:r w:rsidRPr="00B03590">
        <w:rPr>
          <w:rFonts w:ascii="Arial" w:hAnsi="Arial" w:cs="Arial"/>
          <w:color w:val="000000" w:themeColor="text1"/>
          <w:sz w:val="20"/>
          <w:szCs w:val="20"/>
        </w:rPr>
        <w:t>mycosed</w:t>
      </w:r>
      <w:proofErr w:type="spellEnd"/>
      <w:r w:rsidRPr="00B03590">
        <w:rPr>
          <w:rFonts w:ascii="Arial" w:hAnsi="Arial" w:cs="Arial"/>
          <w:color w:val="000000" w:themeColor="text1"/>
          <w:sz w:val="20"/>
          <w:szCs w:val="20"/>
        </w:rPr>
        <w:t xml:space="preserve"> cadavers of Schistocerca gregaria. Journal of Invertebrate Pathology, 78(2), 59–65. </w:t>
      </w:r>
      <w:hyperlink r:id="rId19" w:history="1">
        <w:r w:rsidRPr="00B03590">
          <w:rPr>
            <w:rStyle w:val="Hyperlink"/>
            <w:rFonts w:ascii="Arial" w:hAnsi="Arial" w:cs="Arial"/>
            <w:sz w:val="20"/>
            <w:szCs w:val="20"/>
          </w:rPr>
          <w:t>https://doi.org/10.1006/jipa.2001.5050</w:t>
        </w:r>
      </w:hyperlink>
    </w:p>
    <w:p w14:paraId="7E2AC4E0"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Benz, G. (1987). Environment. In J. R. Fuxa &amp; Y. Tanada (Eds.), Epizootiology of insect diseases (pp. 177–215). Wiley. </w:t>
      </w:r>
      <w:hyperlink r:id="rId20" w:history="1">
        <w:r w:rsidRPr="00B03590">
          <w:rPr>
            <w:rStyle w:val="Hyperlink"/>
            <w:rFonts w:ascii="Arial" w:hAnsi="Arial" w:cs="Arial"/>
            <w:sz w:val="20"/>
            <w:szCs w:val="20"/>
          </w:rPr>
          <w:t>https://www.wiley.com/en-us/Epizootiology+of+Insect+Diseases-p-9780471878124</w:t>
        </w:r>
      </w:hyperlink>
    </w:p>
    <w:p w14:paraId="49CFC3A1"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lang w:val="nl-BE"/>
        </w:rPr>
      </w:pPr>
      <w:proofErr w:type="spellStart"/>
      <w:r w:rsidRPr="00B03590">
        <w:rPr>
          <w:rFonts w:ascii="Arial" w:hAnsi="Arial" w:cs="Arial"/>
          <w:color w:val="000000" w:themeColor="text1"/>
          <w:sz w:val="20"/>
          <w:szCs w:val="20"/>
        </w:rPr>
        <w:t>Bugeme</w:t>
      </w:r>
      <w:proofErr w:type="spellEnd"/>
      <w:r w:rsidRPr="00B03590">
        <w:rPr>
          <w:rFonts w:ascii="Arial" w:hAnsi="Arial" w:cs="Arial"/>
          <w:color w:val="000000" w:themeColor="text1"/>
          <w:sz w:val="20"/>
          <w:szCs w:val="20"/>
        </w:rPr>
        <w:t xml:space="preserve">, D. M., </w:t>
      </w:r>
      <w:proofErr w:type="spellStart"/>
      <w:r w:rsidRPr="00B03590">
        <w:rPr>
          <w:rFonts w:ascii="Arial" w:hAnsi="Arial" w:cs="Arial"/>
          <w:color w:val="000000" w:themeColor="text1"/>
          <w:sz w:val="20"/>
          <w:szCs w:val="20"/>
        </w:rPr>
        <w:t>Maniania</w:t>
      </w:r>
      <w:proofErr w:type="spellEnd"/>
      <w:r w:rsidRPr="00B03590">
        <w:rPr>
          <w:rFonts w:ascii="Arial" w:hAnsi="Arial" w:cs="Arial"/>
          <w:color w:val="000000" w:themeColor="text1"/>
          <w:sz w:val="20"/>
          <w:szCs w:val="20"/>
        </w:rPr>
        <w:t xml:space="preserve">, N. K., Knapp, M., &amp; Boga, H. I. (2008). Effect of temperature on virulence of Beauveria bassiana and Metarhizium anisopliae isolates to </w:t>
      </w:r>
      <w:proofErr w:type="spellStart"/>
      <w:r w:rsidRPr="00B03590">
        <w:rPr>
          <w:rFonts w:ascii="Arial" w:hAnsi="Arial" w:cs="Arial"/>
          <w:color w:val="000000" w:themeColor="text1"/>
          <w:sz w:val="20"/>
          <w:szCs w:val="20"/>
        </w:rPr>
        <w:t>Tetranychus</w:t>
      </w:r>
      <w:proofErr w:type="spellEnd"/>
      <w:r w:rsidRPr="00B03590">
        <w:rPr>
          <w:rFonts w:ascii="Arial" w:hAnsi="Arial" w:cs="Arial"/>
          <w:color w:val="000000" w:themeColor="text1"/>
          <w:sz w:val="20"/>
          <w:szCs w:val="20"/>
        </w:rPr>
        <w:t xml:space="preserve"> </w:t>
      </w:r>
      <w:proofErr w:type="spellStart"/>
      <w:r w:rsidRPr="00B03590">
        <w:rPr>
          <w:rFonts w:ascii="Arial" w:hAnsi="Arial" w:cs="Arial"/>
          <w:color w:val="000000" w:themeColor="text1"/>
          <w:sz w:val="20"/>
          <w:szCs w:val="20"/>
        </w:rPr>
        <w:t>evansi</w:t>
      </w:r>
      <w:proofErr w:type="spellEnd"/>
      <w:r w:rsidRPr="00B03590">
        <w:rPr>
          <w:rFonts w:ascii="Arial" w:hAnsi="Arial" w:cs="Arial"/>
          <w:color w:val="000000" w:themeColor="text1"/>
          <w:sz w:val="20"/>
          <w:szCs w:val="20"/>
        </w:rPr>
        <w:t xml:space="preserve">. </w:t>
      </w:r>
      <w:r w:rsidRPr="00B03590">
        <w:rPr>
          <w:rFonts w:ascii="Arial" w:hAnsi="Arial" w:cs="Arial"/>
          <w:color w:val="000000" w:themeColor="text1"/>
          <w:sz w:val="20"/>
          <w:szCs w:val="20"/>
          <w:lang w:val="nl-BE"/>
        </w:rPr>
        <w:t xml:space="preserve">Experimental and Applied Acarology, 46(1), 275–285. </w:t>
      </w:r>
      <w:r>
        <w:fldChar w:fldCharType="begin"/>
      </w:r>
      <w:r w:rsidRPr="00B03590">
        <w:rPr>
          <w:lang w:val="nl-BE"/>
        </w:rPr>
        <w:instrText>HYPERLINK "https://doi.org/10.1007/s10493-008-9179-1"</w:instrText>
      </w:r>
      <w:r>
        <w:fldChar w:fldCharType="separate"/>
      </w:r>
      <w:r w:rsidRPr="00B03590">
        <w:rPr>
          <w:rStyle w:val="Hyperlink"/>
          <w:rFonts w:ascii="Arial" w:hAnsi="Arial" w:cs="Arial"/>
          <w:sz w:val="20"/>
          <w:szCs w:val="20"/>
          <w:lang w:val="nl-BE"/>
        </w:rPr>
        <w:t>https://doi.org/10.1007/s10493-008-9179-1</w:t>
      </w:r>
      <w:r>
        <w:fldChar w:fldCharType="end"/>
      </w:r>
    </w:p>
    <w:p w14:paraId="4290D3E0"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lang w:val="nl-BE"/>
        </w:rPr>
        <w:t xml:space="preserve">De Ligne, L., Vidal-Diez de Ulzurrun, G., Baetens, J. M., Van den Bulcke, J., Van Acker, J., &amp; De Baets, B. (2019). </w:t>
      </w:r>
      <w:r w:rsidRPr="00B03590">
        <w:rPr>
          <w:rFonts w:ascii="Arial" w:hAnsi="Arial" w:cs="Arial"/>
          <w:color w:val="000000" w:themeColor="text1"/>
          <w:sz w:val="20"/>
          <w:szCs w:val="20"/>
        </w:rPr>
        <w:t xml:space="preserve">Analysis of </w:t>
      </w:r>
      <w:proofErr w:type="spellStart"/>
      <w:r w:rsidRPr="00B03590">
        <w:rPr>
          <w:rFonts w:ascii="Arial" w:hAnsi="Arial" w:cs="Arial"/>
          <w:color w:val="000000" w:themeColor="text1"/>
          <w:sz w:val="20"/>
          <w:szCs w:val="20"/>
        </w:rPr>
        <w:t>spatio</w:t>
      </w:r>
      <w:proofErr w:type="spellEnd"/>
      <w:r w:rsidRPr="00B03590">
        <w:rPr>
          <w:rFonts w:ascii="Arial" w:hAnsi="Arial" w:cs="Arial"/>
          <w:color w:val="000000" w:themeColor="text1"/>
          <w:sz w:val="20"/>
          <w:szCs w:val="20"/>
        </w:rPr>
        <w:t xml:space="preserve">-temporal fungal growth dynamics under </w:t>
      </w:r>
      <w:r w:rsidRPr="00B03590">
        <w:rPr>
          <w:rFonts w:ascii="Arial" w:hAnsi="Arial" w:cs="Arial"/>
          <w:color w:val="000000" w:themeColor="text1"/>
          <w:sz w:val="20"/>
          <w:szCs w:val="20"/>
        </w:rPr>
        <w:lastRenderedPageBreak/>
        <w:t xml:space="preserve">different environmental conditions. IMA Fungus, 10(1), 7. </w:t>
      </w:r>
      <w:hyperlink r:id="rId21" w:history="1">
        <w:r w:rsidRPr="00B03590">
          <w:rPr>
            <w:rStyle w:val="Hyperlink"/>
            <w:rFonts w:ascii="Arial" w:hAnsi="Arial" w:cs="Arial"/>
            <w:sz w:val="20"/>
            <w:szCs w:val="20"/>
          </w:rPr>
          <w:t>https://doi.org/10.1186/s43008-019-0009-3</w:t>
        </w:r>
      </w:hyperlink>
    </w:p>
    <w:p w14:paraId="491D10CA"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proofErr w:type="spellStart"/>
      <w:r w:rsidRPr="00B03590">
        <w:rPr>
          <w:rFonts w:ascii="Arial" w:hAnsi="Arial" w:cs="Arial"/>
          <w:color w:val="000000" w:themeColor="text1"/>
          <w:sz w:val="20"/>
          <w:szCs w:val="20"/>
        </w:rPr>
        <w:t>Dimbi</w:t>
      </w:r>
      <w:proofErr w:type="spellEnd"/>
      <w:r w:rsidRPr="00B03590">
        <w:rPr>
          <w:rFonts w:ascii="Arial" w:hAnsi="Arial" w:cs="Arial"/>
          <w:color w:val="000000" w:themeColor="text1"/>
          <w:sz w:val="20"/>
          <w:szCs w:val="20"/>
        </w:rPr>
        <w:t xml:space="preserve">, S., </w:t>
      </w:r>
      <w:proofErr w:type="spellStart"/>
      <w:r w:rsidRPr="00B03590">
        <w:rPr>
          <w:rFonts w:ascii="Arial" w:hAnsi="Arial" w:cs="Arial"/>
          <w:color w:val="000000" w:themeColor="text1"/>
          <w:sz w:val="20"/>
          <w:szCs w:val="20"/>
        </w:rPr>
        <w:t>Maniania</w:t>
      </w:r>
      <w:proofErr w:type="spellEnd"/>
      <w:r w:rsidRPr="00B03590">
        <w:rPr>
          <w:rFonts w:ascii="Arial" w:hAnsi="Arial" w:cs="Arial"/>
          <w:color w:val="000000" w:themeColor="text1"/>
          <w:sz w:val="20"/>
          <w:szCs w:val="20"/>
        </w:rPr>
        <w:t xml:space="preserve">, N. K., Lux, S. A., &amp; </w:t>
      </w:r>
      <w:proofErr w:type="spellStart"/>
      <w:r w:rsidRPr="00B03590">
        <w:rPr>
          <w:rFonts w:ascii="Arial" w:hAnsi="Arial" w:cs="Arial"/>
          <w:color w:val="000000" w:themeColor="text1"/>
          <w:sz w:val="20"/>
          <w:szCs w:val="20"/>
        </w:rPr>
        <w:t>Mueke</w:t>
      </w:r>
      <w:proofErr w:type="spellEnd"/>
      <w:r w:rsidRPr="00B03590">
        <w:rPr>
          <w:rFonts w:ascii="Arial" w:hAnsi="Arial" w:cs="Arial"/>
          <w:color w:val="000000" w:themeColor="text1"/>
          <w:sz w:val="20"/>
          <w:szCs w:val="20"/>
        </w:rPr>
        <w:t xml:space="preserve">, J. M. (2004). Effect of constant temperatures on germination, radial growth and virulence of Metarhizium anisopliae to three species of African </w:t>
      </w:r>
      <w:proofErr w:type="spellStart"/>
      <w:r w:rsidRPr="00B03590">
        <w:rPr>
          <w:rFonts w:ascii="Arial" w:hAnsi="Arial" w:cs="Arial"/>
          <w:color w:val="000000" w:themeColor="text1"/>
          <w:sz w:val="20"/>
          <w:szCs w:val="20"/>
        </w:rPr>
        <w:t>tephritid</w:t>
      </w:r>
      <w:proofErr w:type="spellEnd"/>
      <w:r w:rsidRPr="00B03590">
        <w:rPr>
          <w:rFonts w:ascii="Arial" w:hAnsi="Arial" w:cs="Arial"/>
          <w:color w:val="000000" w:themeColor="text1"/>
          <w:sz w:val="20"/>
          <w:szCs w:val="20"/>
        </w:rPr>
        <w:t xml:space="preserve"> fruit flies. </w:t>
      </w:r>
      <w:proofErr w:type="spellStart"/>
      <w:r w:rsidRPr="00B03590">
        <w:rPr>
          <w:rFonts w:ascii="Arial" w:hAnsi="Arial" w:cs="Arial"/>
          <w:color w:val="000000" w:themeColor="text1"/>
          <w:sz w:val="20"/>
          <w:szCs w:val="20"/>
        </w:rPr>
        <w:t>BioControl</w:t>
      </w:r>
      <w:proofErr w:type="spellEnd"/>
      <w:r w:rsidRPr="00B03590">
        <w:rPr>
          <w:rFonts w:ascii="Arial" w:hAnsi="Arial" w:cs="Arial"/>
          <w:color w:val="000000" w:themeColor="text1"/>
          <w:sz w:val="20"/>
          <w:szCs w:val="20"/>
        </w:rPr>
        <w:t xml:space="preserve">, 49(1), 83–94. </w:t>
      </w:r>
      <w:hyperlink r:id="rId22" w:history="1">
        <w:r w:rsidRPr="00B03590">
          <w:rPr>
            <w:rStyle w:val="Hyperlink"/>
            <w:rFonts w:ascii="Arial" w:hAnsi="Arial" w:cs="Arial"/>
            <w:sz w:val="20"/>
            <w:szCs w:val="20"/>
          </w:rPr>
          <w:t>https://doi.org/10.1023/B:BICO.0000009397.84153.79</w:t>
        </w:r>
      </w:hyperlink>
    </w:p>
    <w:p w14:paraId="7B19FC1B"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proofErr w:type="spellStart"/>
      <w:r w:rsidRPr="00B03590">
        <w:rPr>
          <w:rFonts w:ascii="Arial" w:hAnsi="Arial" w:cs="Arial"/>
          <w:color w:val="000000" w:themeColor="text1"/>
          <w:sz w:val="20"/>
          <w:szCs w:val="20"/>
        </w:rPr>
        <w:t>Ekesi</w:t>
      </w:r>
      <w:proofErr w:type="spellEnd"/>
      <w:r w:rsidRPr="00B03590">
        <w:rPr>
          <w:rFonts w:ascii="Arial" w:hAnsi="Arial" w:cs="Arial"/>
          <w:color w:val="000000" w:themeColor="text1"/>
          <w:sz w:val="20"/>
          <w:szCs w:val="20"/>
        </w:rPr>
        <w:t xml:space="preserve">, S., </w:t>
      </w:r>
      <w:proofErr w:type="spellStart"/>
      <w:r w:rsidRPr="00B03590">
        <w:rPr>
          <w:rFonts w:ascii="Arial" w:hAnsi="Arial" w:cs="Arial"/>
          <w:color w:val="000000" w:themeColor="text1"/>
          <w:sz w:val="20"/>
          <w:szCs w:val="20"/>
        </w:rPr>
        <w:t>Maniania</w:t>
      </w:r>
      <w:proofErr w:type="spellEnd"/>
      <w:r w:rsidRPr="00B03590">
        <w:rPr>
          <w:rFonts w:ascii="Arial" w:hAnsi="Arial" w:cs="Arial"/>
          <w:color w:val="000000" w:themeColor="text1"/>
          <w:sz w:val="20"/>
          <w:szCs w:val="20"/>
        </w:rPr>
        <w:t xml:space="preserve">, N. K., &amp; Ampong-Nyarko, K. (1999). Effect of temperature on germination, radial growth and virulence of Metarhizium anisopliae and Beauveria bassiana on </w:t>
      </w:r>
      <w:proofErr w:type="spellStart"/>
      <w:r w:rsidRPr="00B03590">
        <w:rPr>
          <w:rFonts w:ascii="Arial" w:hAnsi="Arial" w:cs="Arial"/>
          <w:color w:val="000000" w:themeColor="text1"/>
          <w:sz w:val="20"/>
          <w:szCs w:val="20"/>
        </w:rPr>
        <w:t>Megalurothrips</w:t>
      </w:r>
      <w:proofErr w:type="spellEnd"/>
      <w:r w:rsidRPr="00B03590">
        <w:rPr>
          <w:rFonts w:ascii="Arial" w:hAnsi="Arial" w:cs="Arial"/>
          <w:color w:val="000000" w:themeColor="text1"/>
          <w:sz w:val="20"/>
          <w:szCs w:val="20"/>
        </w:rPr>
        <w:t xml:space="preserve"> </w:t>
      </w:r>
      <w:proofErr w:type="spellStart"/>
      <w:r w:rsidRPr="00B03590">
        <w:rPr>
          <w:rFonts w:ascii="Arial" w:hAnsi="Arial" w:cs="Arial"/>
          <w:color w:val="000000" w:themeColor="text1"/>
          <w:sz w:val="20"/>
          <w:szCs w:val="20"/>
        </w:rPr>
        <w:t>sjostedti</w:t>
      </w:r>
      <w:proofErr w:type="spellEnd"/>
      <w:r w:rsidRPr="00B03590">
        <w:rPr>
          <w:rFonts w:ascii="Arial" w:hAnsi="Arial" w:cs="Arial"/>
          <w:color w:val="000000" w:themeColor="text1"/>
          <w:sz w:val="20"/>
          <w:szCs w:val="20"/>
        </w:rPr>
        <w:t xml:space="preserve">. Biocontrol Science and Technology, 9(2), 177–185. </w:t>
      </w:r>
      <w:hyperlink r:id="rId23" w:history="1">
        <w:r w:rsidRPr="00B03590">
          <w:rPr>
            <w:rStyle w:val="Hyperlink"/>
            <w:rFonts w:ascii="Arial" w:hAnsi="Arial" w:cs="Arial"/>
            <w:sz w:val="20"/>
            <w:szCs w:val="20"/>
          </w:rPr>
          <w:t>https://doi.org/10.1080/09583159929767</w:t>
        </w:r>
      </w:hyperlink>
    </w:p>
    <w:p w14:paraId="2EE99923"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sz w:val="20"/>
          <w:szCs w:val="20"/>
        </w:rPr>
        <w:t xml:space="preserve">Fahey, J. W., </w:t>
      </w:r>
      <w:proofErr w:type="spellStart"/>
      <w:r w:rsidRPr="00B03590">
        <w:rPr>
          <w:rFonts w:ascii="Arial" w:hAnsi="Arial" w:cs="Arial"/>
          <w:sz w:val="20"/>
          <w:szCs w:val="20"/>
        </w:rPr>
        <w:t>Zalcmann</w:t>
      </w:r>
      <w:proofErr w:type="spellEnd"/>
      <w:r w:rsidRPr="00B03590">
        <w:rPr>
          <w:rFonts w:ascii="Arial" w:hAnsi="Arial" w:cs="Arial"/>
          <w:sz w:val="20"/>
          <w:szCs w:val="20"/>
        </w:rPr>
        <w:t xml:space="preserve">, A. T., &amp; Talalay, P. (2001). The chemical diversity and distribution of glucosinolates and isothiocyanates among plants. Phytochemistry, 56(1), 5–51. </w:t>
      </w:r>
      <w:hyperlink r:id="rId24" w:history="1">
        <w:r w:rsidRPr="00B03590">
          <w:rPr>
            <w:rStyle w:val="Hyperlink"/>
            <w:rFonts w:ascii="Arial" w:hAnsi="Arial" w:cs="Arial"/>
            <w:sz w:val="20"/>
            <w:szCs w:val="20"/>
          </w:rPr>
          <w:t>https://doi.org/10.1016/s0031-9422(00)00316-2</w:t>
        </w:r>
      </w:hyperlink>
    </w:p>
    <w:p w14:paraId="52A49AF9"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Faria, M., &amp; Wraight, S. P. (2001). Biological control of </w:t>
      </w:r>
      <w:proofErr w:type="spellStart"/>
      <w:r w:rsidRPr="00B03590">
        <w:rPr>
          <w:rFonts w:ascii="Arial" w:hAnsi="Arial" w:cs="Arial"/>
          <w:color w:val="000000" w:themeColor="text1"/>
          <w:sz w:val="20"/>
          <w:szCs w:val="20"/>
        </w:rPr>
        <w:t>Bemisia</w:t>
      </w:r>
      <w:proofErr w:type="spellEnd"/>
      <w:r w:rsidRPr="00B03590">
        <w:rPr>
          <w:rFonts w:ascii="Arial" w:hAnsi="Arial" w:cs="Arial"/>
          <w:color w:val="000000" w:themeColor="text1"/>
          <w:sz w:val="20"/>
          <w:szCs w:val="20"/>
        </w:rPr>
        <w:t xml:space="preserve"> </w:t>
      </w:r>
      <w:proofErr w:type="spellStart"/>
      <w:r w:rsidRPr="00B03590">
        <w:rPr>
          <w:rFonts w:ascii="Arial" w:hAnsi="Arial" w:cs="Arial"/>
          <w:color w:val="000000" w:themeColor="text1"/>
          <w:sz w:val="20"/>
          <w:szCs w:val="20"/>
        </w:rPr>
        <w:t>tabaci</w:t>
      </w:r>
      <w:proofErr w:type="spellEnd"/>
      <w:r w:rsidRPr="00B03590">
        <w:rPr>
          <w:rFonts w:ascii="Arial" w:hAnsi="Arial" w:cs="Arial"/>
          <w:color w:val="000000" w:themeColor="text1"/>
          <w:sz w:val="20"/>
          <w:szCs w:val="20"/>
        </w:rPr>
        <w:t xml:space="preserve"> with fungi. Crop Protection, 20(9), 767–778. </w:t>
      </w:r>
      <w:hyperlink r:id="rId25" w:history="1">
        <w:r w:rsidRPr="00B03590">
          <w:rPr>
            <w:rStyle w:val="Hyperlink"/>
            <w:rFonts w:ascii="Arial" w:hAnsi="Arial" w:cs="Arial"/>
            <w:sz w:val="20"/>
            <w:szCs w:val="20"/>
          </w:rPr>
          <w:t>https://doi.org/10.1016/S0261-2194(01)00110-7</w:t>
        </w:r>
      </w:hyperlink>
    </w:p>
    <w:p w14:paraId="0FDA1255"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Ferron, P., </w:t>
      </w:r>
      <w:proofErr w:type="spellStart"/>
      <w:r w:rsidRPr="00B03590">
        <w:rPr>
          <w:rFonts w:ascii="Arial" w:hAnsi="Arial" w:cs="Arial"/>
          <w:color w:val="000000" w:themeColor="text1"/>
          <w:sz w:val="20"/>
          <w:szCs w:val="20"/>
        </w:rPr>
        <w:t>Fargues</w:t>
      </w:r>
      <w:proofErr w:type="spellEnd"/>
      <w:r w:rsidRPr="00B03590">
        <w:rPr>
          <w:rFonts w:ascii="Arial" w:hAnsi="Arial" w:cs="Arial"/>
          <w:color w:val="000000" w:themeColor="text1"/>
          <w:sz w:val="20"/>
          <w:szCs w:val="20"/>
        </w:rPr>
        <w:t>, J., &amp; Riba, G. (1991). Fungi as microbial insecticides against pests. In D. K. Arora, L. Ajello, &amp; G. Mukerji (Eds.), </w:t>
      </w:r>
      <w:r w:rsidRPr="00B03590">
        <w:rPr>
          <w:rFonts w:ascii="Arial" w:hAnsi="Arial" w:cs="Arial"/>
          <w:i/>
          <w:iCs/>
          <w:color w:val="000000" w:themeColor="text1"/>
          <w:sz w:val="20"/>
          <w:szCs w:val="20"/>
        </w:rPr>
        <w:t>Handbook of applied mycology: Humans, animals and insects</w:t>
      </w:r>
      <w:r w:rsidRPr="00B03590">
        <w:rPr>
          <w:rFonts w:ascii="Arial" w:hAnsi="Arial" w:cs="Arial"/>
          <w:color w:val="000000" w:themeColor="text1"/>
          <w:sz w:val="20"/>
          <w:szCs w:val="20"/>
        </w:rPr>
        <w:t> (Vol. 2, pp. 665–706). Marcel Dekker, New York.</w:t>
      </w:r>
    </w:p>
    <w:p w14:paraId="3BFE127B"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Honda, Y. (2000). Current status of integrated pest control. </w:t>
      </w:r>
      <w:r w:rsidRPr="00B03590">
        <w:rPr>
          <w:rFonts w:ascii="Arial" w:hAnsi="Arial" w:cs="Arial"/>
          <w:i/>
          <w:iCs/>
          <w:color w:val="000000" w:themeColor="text1"/>
          <w:sz w:val="20"/>
          <w:szCs w:val="20"/>
        </w:rPr>
        <w:t>Plant Protection, 54</w:t>
      </w:r>
      <w:r w:rsidRPr="00B03590">
        <w:rPr>
          <w:rFonts w:ascii="Arial" w:hAnsi="Arial" w:cs="Arial"/>
          <w:color w:val="000000" w:themeColor="text1"/>
          <w:sz w:val="20"/>
          <w:szCs w:val="20"/>
        </w:rPr>
        <w:t xml:space="preserve">, 213–216. </w:t>
      </w:r>
    </w:p>
    <w:p w14:paraId="1D17DD17" w14:textId="77777777" w:rsidR="00477995" w:rsidRPr="00B03590" w:rsidRDefault="00477995" w:rsidP="00B03590">
      <w:pPr>
        <w:pStyle w:val="ListParagraph"/>
        <w:numPr>
          <w:ilvl w:val="0"/>
          <w:numId w:val="5"/>
        </w:numPr>
        <w:spacing w:line="360" w:lineRule="auto"/>
        <w:jc w:val="both"/>
        <w:rPr>
          <w:rFonts w:ascii="Arial" w:hAnsi="Arial"/>
          <w:color w:val="000000" w:themeColor="text1"/>
          <w:sz w:val="20"/>
          <w:szCs w:val="18"/>
          <w:lang w:bidi="hi-IN"/>
        </w:rPr>
      </w:pPr>
      <w:r w:rsidRPr="00B03590">
        <w:rPr>
          <w:rFonts w:ascii="Arial" w:hAnsi="Arial" w:cs="Arial"/>
          <w:color w:val="000000" w:themeColor="text1"/>
          <w:sz w:val="20"/>
          <w:szCs w:val="20"/>
        </w:rPr>
        <w:t xml:space="preserve">Inglis, G. D., Goettel, M. S., Butt, T. M., &amp; Strasser, H. (2001). Use of </w:t>
      </w:r>
      <w:proofErr w:type="spellStart"/>
      <w:r w:rsidRPr="00B03590">
        <w:rPr>
          <w:rFonts w:ascii="Arial" w:hAnsi="Arial" w:cs="Arial"/>
          <w:color w:val="000000" w:themeColor="text1"/>
          <w:sz w:val="20"/>
          <w:szCs w:val="20"/>
        </w:rPr>
        <w:t>hyphomycetous</w:t>
      </w:r>
      <w:proofErr w:type="spellEnd"/>
      <w:r w:rsidRPr="00B03590">
        <w:rPr>
          <w:rFonts w:ascii="Arial" w:hAnsi="Arial" w:cs="Arial"/>
          <w:color w:val="000000" w:themeColor="text1"/>
          <w:sz w:val="20"/>
          <w:szCs w:val="20"/>
        </w:rPr>
        <w:t xml:space="preserve"> fungi for managing insect pests. In T. M. Butt, C. Jackson, &amp; N. Magan (Eds.), Fungi as biocontrol agents: Progress, problems and potential (pp. 23–69). CABI Publishing. </w:t>
      </w:r>
      <w:hyperlink r:id="rId26" w:history="1">
        <w:r w:rsidRPr="00B03590">
          <w:rPr>
            <w:rStyle w:val="Hyperlink"/>
            <w:rFonts w:ascii="Arial" w:hAnsi="Arial" w:cs="Arial"/>
            <w:sz w:val="20"/>
            <w:szCs w:val="20"/>
          </w:rPr>
          <w:t>https://doi.org/10.1079/9780851993560.0023</w:t>
        </w:r>
      </w:hyperlink>
    </w:p>
    <w:p w14:paraId="37897E1E" w14:textId="77777777" w:rsidR="00477995" w:rsidRPr="00B03590" w:rsidRDefault="00477995" w:rsidP="00B03590">
      <w:pPr>
        <w:pStyle w:val="ListParagraph"/>
        <w:numPr>
          <w:ilvl w:val="0"/>
          <w:numId w:val="5"/>
        </w:numPr>
        <w:spacing w:line="360" w:lineRule="auto"/>
        <w:jc w:val="both"/>
        <w:rPr>
          <w:rFonts w:ascii="Arial" w:hAnsi="Arial"/>
          <w:color w:val="000000" w:themeColor="text1"/>
          <w:sz w:val="20"/>
          <w:szCs w:val="18"/>
          <w:lang w:bidi="hi-IN"/>
        </w:rPr>
      </w:pPr>
      <w:proofErr w:type="spellStart"/>
      <w:r w:rsidRPr="00B03590">
        <w:rPr>
          <w:rFonts w:ascii="Arial" w:hAnsi="Arial"/>
          <w:color w:val="000000" w:themeColor="text1"/>
          <w:sz w:val="20"/>
          <w:szCs w:val="18"/>
          <w:lang w:bidi="hi-IN"/>
        </w:rPr>
        <w:t>Migiro</w:t>
      </w:r>
      <w:proofErr w:type="spellEnd"/>
      <w:r w:rsidRPr="00B03590">
        <w:rPr>
          <w:rFonts w:ascii="Arial" w:hAnsi="Arial"/>
          <w:color w:val="000000" w:themeColor="text1"/>
          <w:sz w:val="20"/>
          <w:szCs w:val="18"/>
          <w:lang w:bidi="hi-IN"/>
        </w:rPr>
        <w:t xml:space="preserve">, L. N., </w:t>
      </w:r>
      <w:proofErr w:type="spellStart"/>
      <w:r w:rsidRPr="00B03590">
        <w:rPr>
          <w:rFonts w:ascii="Arial" w:hAnsi="Arial"/>
          <w:color w:val="000000" w:themeColor="text1"/>
          <w:sz w:val="20"/>
          <w:szCs w:val="18"/>
          <w:lang w:bidi="hi-IN"/>
        </w:rPr>
        <w:t>Maniania</w:t>
      </w:r>
      <w:proofErr w:type="spellEnd"/>
      <w:r w:rsidRPr="00B03590">
        <w:rPr>
          <w:rFonts w:ascii="Arial" w:hAnsi="Arial"/>
          <w:color w:val="000000" w:themeColor="text1"/>
          <w:sz w:val="20"/>
          <w:szCs w:val="18"/>
          <w:lang w:bidi="hi-IN"/>
        </w:rPr>
        <w:t xml:space="preserve">, N. K., Chabi-Olaye, A., &amp; Vandenberg, J. (2010). Pathogenicity of entomopathogenic fungi Metarhizium anisopliae and Beauveria bassiana (Hypocreales: </w:t>
      </w:r>
      <w:proofErr w:type="spellStart"/>
      <w:r w:rsidRPr="00B03590">
        <w:rPr>
          <w:rFonts w:ascii="Arial" w:hAnsi="Arial"/>
          <w:color w:val="000000" w:themeColor="text1"/>
          <w:sz w:val="20"/>
          <w:szCs w:val="18"/>
          <w:lang w:bidi="hi-IN"/>
        </w:rPr>
        <w:t>Clavicipitaceae</w:t>
      </w:r>
      <w:proofErr w:type="spellEnd"/>
      <w:r w:rsidRPr="00B03590">
        <w:rPr>
          <w:rFonts w:ascii="Arial" w:hAnsi="Arial"/>
          <w:color w:val="000000" w:themeColor="text1"/>
          <w:sz w:val="20"/>
          <w:szCs w:val="18"/>
          <w:lang w:bidi="hi-IN"/>
        </w:rPr>
        <w:t xml:space="preserve">) isolates to the adult pea </w:t>
      </w:r>
      <w:proofErr w:type="spellStart"/>
      <w:r w:rsidRPr="00B03590">
        <w:rPr>
          <w:rFonts w:ascii="Arial" w:hAnsi="Arial"/>
          <w:color w:val="000000" w:themeColor="text1"/>
          <w:sz w:val="20"/>
          <w:szCs w:val="18"/>
          <w:lang w:bidi="hi-IN"/>
        </w:rPr>
        <w:t>leafminer</w:t>
      </w:r>
      <w:proofErr w:type="spellEnd"/>
      <w:r w:rsidRPr="00B03590">
        <w:rPr>
          <w:rFonts w:ascii="Arial" w:hAnsi="Arial"/>
          <w:color w:val="000000" w:themeColor="text1"/>
          <w:sz w:val="20"/>
          <w:szCs w:val="18"/>
          <w:lang w:bidi="hi-IN"/>
        </w:rPr>
        <w:t xml:space="preserve"> (Diptera: Agromyzidae) and prospects of an autoinoculation device for infection in the field. Environmental Entomology, 39(2), 468–475. </w:t>
      </w:r>
      <w:hyperlink r:id="rId27" w:history="1">
        <w:r w:rsidRPr="00B03590">
          <w:rPr>
            <w:rStyle w:val="Hyperlink"/>
            <w:rFonts w:ascii="Arial" w:hAnsi="Arial"/>
            <w:sz w:val="20"/>
            <w:szCs w:val="18"/>
            <w:lang w:bidi="hi-IN"/>
          </w:rPr>
          <w:t>https://doi.org/10.1603/EN09359</w:t>
        </w:r>
      </w:hyperlink>
    </w:p>
    <w:p w14:paraId="30B818AB"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Milner, R. J., Samson, P. R., &amp; Bullard, G. K. (2002). FI-1045: A profile of a commercially useful isolate of Metarhizium anisopliae var. anisopliae. Biocontrol Science and Technology, 12(1), 43–58. </w:t>
      </w:r>
      <w:hyperlink r:id="rId28" w:history="1">
        <w:r w:rsidRPr="00B03590">
          <w:rPr>
            <w:rStyle w:val="Hyperlink"/>
            <w:rFonts w:ascii="Arial" w:hAnsi="Arial" w:cs="Arial"/>
            <w:sz w:val="20"/>
            <w:szCs w:val="20"/>
          </w:rPr>
          <w:t>https://doi.org/10.1080/09583150120110653</w:t>
        </w:r>
      </w:hyperlink>
    </w:p>
    <w:p w14:paraId="219734CF"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Moldovan, A., Munteanu-</w:t>
      </w:r>
      <w:proofErr w:type="spellStart"/>
      <w:r w:rsidRPr="00B03590">
        <w:rPr>
          <w:rFonts w:ascii="Arial" w:hAnsi="Arial" w:cs="Arial"/>
          <w:color w:val="000000" w:themeColor="text1"/>
          <w:sz w:val="20"/>
          <w:szCs w:val="20"/>
        </w:rPr>
        <w:t>Molotievskiy</w:t>
      </w:r>
      <w:proofErr w:type="spellEnd"/>
      <w:r w:rsidRPr="00B03590">
        <w:rPr>
          <w:rFonts w:ascii="Arial" w:hAnsi="Arial" w:cs="Arial"/>
          <w:color w:val="000000" w:themeColor="text1"/>
          <w:sz w:val="20"/>
          <w:szCs w:val="20"/>
        </w:rPr>
        <w:t xml:space="preserve">, N., &amp; Toderas, I. (2022). TEMPERATURE EFFECTS ON THE ENTOMOPATHOGENIC FUNGI BEAUVERIA BASSIANA STRAIN CNMN-FE-01: VEGETATIVE GROWTH, SPORULATION, GERMINATION RATE. Current Trends in Natural Sciences, 11(21), 332–338. </w:t>
      </w:r>
      <w:hyperlink r:id="rId29" w:history="1">
        <w:r w:rsidRPr="00B03590">
          <w:rPr>
            <w:rStyle w:val="Hyperlink"/>
            <w:rFonts w:ascii="Arial" w:hAnsi="Arial" w:cs="Arial"/>
            <w:sz w:val="20"/>
            <w:szCs w:val="20"/>
          </w:rPr>
          <w:t>https://doi.org/10.47068/ctns.2022.v11i21.036</w:t>
        </w:r>
      </w:hyperlink>
    </w:p>
    <w:p w14:paraId="40D1B720"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Mwamburi, L. A., Laing, M. D., &amp; Miller, R. M. (2015). Effect of surfactants and temperature on germination and vegetative growth of Beauveria bassiana. Brazilian </w:t>
      </w:r>
      <w:r w:rsidRPr="00B03590">
        <w:rPr>
          <w:rFonts w:ascii="Arial" w:hAnsi="Arial" w:cs="Arial"/>
          <w:color w:val="000000" w:themeColor="text1"/>
          <w:sz w:val="20"/>
          <w:szCs w:val="20"/>
        </w:rPr>
        <w:lastRenderedPageBreak/>
        <w:t xml:space="preserve">Journal of Microbiology, 46(1), 67–74. </w:t>
      </w:r>
      <w:hyperlink r:id="rId30" w:history="1">
        <w:r w:rsidRPr="00B03590">
          <w:rPr>
            <w:rStyle w:val="Hyperlink"/>
            <w:rFonts w:ascii="Arial" w:hAnsi="Arial" w:cs="Arial"/>
            <w:sz w:val="20"/>
            <w:szCs w:val="20"/>
          </w:rPr>
          <w:t>https://doi.org/10.1590/S1517-838246120131077</w:t>
        </w:r>
      </w:hyperlink>
    </w:p>
    <w:p w14:paraId="486B1CDE"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Nussenbaum, A. L., </w:t>
      </w:r>
      <w:proofErr w:type="spellStart"/>
      <w:r w:rsidRPr="00B03590">
        <w:rPr>
          <w:rFonts w:ascii="Arial" w:hAnsi="Arial" w:cs="Arial"/>
          <w:color w:val="000000" w:themeColor="text1"/>
          <w:sz w:val="20"/>
          <w:szCs w:val="20"/>
        </w:rPr>
        <w:t>Lewylle</w:t>
      </w:r>
      <w:proofErr w:type="spellEnd"/>
      <w:r w:rsidRPr="00B03590">
        <w:rPr>
          <w:rFonts w:ascii="Arial" w:hAnsi="Arial" w:cs="Arial"/>
          <w:color w:val="000000" w:themeColor="text1"/>
          <w:sz w:val="20"/>
          <w:szCs w:val="20"/>
        </w:rPr>
        <w:t xml:space="preserve">, M. A., &amp; Lecuona, R. E. (2013). Germination, radial growth and virulence to boll weevil of entomopathogenic fungi at different temperatures. World Applied Sciences Journal, 25(8), 1134–1140. </w:t>
      </w:r>
      <w:hyperlink r:id="rId31" w:history="1">
        <w:r w:rsidRPr="00B03590">
          <w:rPr>
            <w:rStyle w:val="Hyperlink"/>
            <w:rFonts w:ascii="Arial" w:hAnsi="Arial" w:cs="Arial"/>
            <w:sz w:val="20"/>
            <w:szCs w:val="20"/>
          </w:rPr>
          <w:t>https://doi.org/10.5829/idosi.wasj.2013.25.08.1237</w:t>
        </w:r>
      </w:hyperlink>
    </w:p>
    <w:p w14:paraId="503F4D1C"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proofErr w:type="spellStart"/>
      <w:r w:rsidRPr="00B03590">
        <w:rPr>
          <w:rFonts w:ascii="Arial" w:hAnsi="Arial" w:cs="Arial"/>
          <w:color w:val="000000" w:themeColor="text1"/>
          <w:sz w:val="20"/>
          <w:szCs w:val="20"/>
        </w:rPr>
        <w:t>Omuse</w:t>
      </w:r>
      <w:proofErr w:type="spellEnd"/>
      <w:r w:rsidRPr="00B03590">
        <w:rPr>
          <w:rFonts w:ascii="Arial" w:hAnsi="Arial" w:cs="Arial"/>
          <w:color w:val="000000" w:themeColor="text1"/>
          <w:sz w:val="20"/>
          <w:szCs w:val="20"/>
        </w:rPr>
        <w:t xml:space="preserve">, E. R., Niassy, S., </w:t>
      </w:r>
      <w:proofErr w:type="spellStart"/>
      <w:r w:rsidRPr="00B03590">
        <w:rPr>
          <w:rFonts w:ascii="Arial" w:hAnsi="Arial" w:cs="Arial"/>
          <w:color w:val="000000" w:themeColor="text1"/>
          <w:sz w:val="20"/>
          <w:szCs w:val="20"/>
        </w:rPr>
        <w:t>Wagacha</w:t>
      </w:r>
      <w:proofErr w:type="spellEnd"/>
      <w:r w:rsidRPr="00B03590">
        <w:rPr>
          <w:rFonts w:ascii="Arial" w:hAnsi="Arial" w:cs="Arial"/>
          <w:color w:val="000000" w:themeColor="text1"/>
          <w:sz w:val="20"/>
          <w:szCs w:val="20"/>
        </w:rPr>
        <w:t xml:space="preserve">, J. M., </w:t>
      </w:r>
      <w:proofErr w:type="spellStart"/>
      <w:r w:rsidRPr="00B03590">
        <w:rPr>
          <w:rFonts w:ascii="Arial" w:hAnsi="Arial" w:cs="Arial"/>
          <w:color w:val="000000" w:themeColor="text1"/>
          <w:sz w:val="20"/>
          <w:szCs w:val="20"/>
        </w:rPr>
        <w:t>Ong'amo</w:t>
      </w:r>
      <w:proofErr w:type="spellEnd"/>
      <w:r w:rsidRPr="00B03590">
        <w:rPr>
          <w:rFonts w:ascii="Arial" w:hAnsi="Arial" w:cs="Arial"/>
          <w:color w:val="000000" w:themeColor="text1"/>
          <w:sz w:val="20"/>
          <w:szCs w:val="20"/>
        </w:rPr>
        <w:t xml:space="preserve">, G. O., </w:t>
      </w:r>
      <w:proofErr w:type="spellStart"/>
      <w:r w:rsidRPr="00B03590">
        <w:rPr>
          <w:rFonts w:ascii="Arial" w:hAnsi="Arial" w:cs="Arial"/>
          <w:color w:val="000000" w:themeColor="text1"/>
          <w:sz w:val="20"/>
          <w:szCs w:val="20"/>
        </w:rPr>
        <w:t>Azrag</w:t>
      </w:r>
      <w:proofErr w:type="spellEnd"/>
      <w:r w:rsidRPr="00B03590">
        <w:rPr>
          <w:rFonts w:ascii="Arial" w:hAnsi="Arial" w:cs="Arial"/>
          <w:color w:val="000000" w:themeColor="text1"/>
          <w:sz w:val="20"/>
          <w:szCs w:val="20"/>
        </w:rPr>
        <w:t xml:space="preserve">, A. G., &amp; Dubois, T. (2022). Suitable models to describe the effect of temperature on conidial germination and mycelial growth of Metarhizium anisopliae and Beauveria bassiana. Biocontrol Science and Technology, 32(3), 281–298. </w:t>
      </w:r>
      <w:hyperlink r:id="rId32" w:history="1">
        <w:r w:rsidRPr="00B03590">
          <w:rPr>
            <w:rStyle w:val="Hyperlink"/>
            <w:rFonts w:ascii="Arial" w:hAnsi="Arial" w:cs="Arial"/>
            <w:sz w:val="20"/>
            <w:szCs w:val="20"/>
          </w:rPr>
          <w:t>https://doi.org/10.1080/09583157.2021.1993133</w:t>
        </w:r>
      </w:hyperlink>
    </w:p>
    <w:p w14:paraId="277E0A8F"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Ou, D., Zhang, L. H., Guo, C. F., Chen, X. S., Ali, S., &amp; Qiu, B. L. (2019). Identification of a new Cordyceps javanica fungus isolate and its toxicity evaluation against Asian citrus psyllid. </w:t>
      </w:r>
      <w:proofErr w:type="spellStart"/>
      <w:r w:rsidRPr="00B03590">
        <w:rPr>
          <w:rFonts w:ascii="Arial" w:hAnsi="Arial" w:cs="Arial"/>
          <w:color w:val="000000" w:themeColor="text1"/>
          <w:sz w:val="20"/>
          <w:szCs w:val="20"/>
        </w:rPr>
        <w:t>MicrobiologyOpen</w:t>
      </w:r>
      <w:proofErr w:type="spellEnd"/>
      <w:r w:rsidRPr="00B03590">
        <w:rPr>
          <w:rFonts w:ascii="Arial" w:hAnsi="Arial" w:cs="Arial"/>
          <w:color w:val="000000" w:themeColor="text1"/>
          <w:sz w:val="20"/>
          <w:szCs w:val="20"/>
        </w:rPr>
        <w:t xml:space="preserve">, 8(6), e00760 </w:t>
      </w:r>
      <w:hyperlink r:id="rId33" w:history="1">
        <w:r w:rsidRPr="00B03590">
          <w:rPr>
            <w:rStyle w:val="Hyperlink"/>
            <w:rFonts w:ascii="Arial" w:hAnsi="Arial" w:cs="Arial"/>
            <w:sz w:val="20"/>
            <w:szCs w:val="20"/>
          </w:rPr>
          <w:t>https://doi.org/10.1002/mbo3.760</w:t>
        </w:r>
      </w:hyperlink>
    </w:p>
    <w:p w14:paraId="2967CC31" w14:textId="77777777" w:rsidR="00477995" w:rsidRDefault="00477995" w:rsidP="00B03590">
      <w:pPr>
        <w:pStyle w:val="ListParagraph"/>
        <w:numPr>
          <w:ilvl w:val="0"/>
          <w:numId w:val="5"/>
        </w:numPr>
        <w:spacing w:after="0" w:line="360" w:lineRule="auto"/>
        <w:jc w:val="both"/>
      </w:pPr>
      <w:r w:rsidRPr="00B03590">
        <w:rPr>
          <w:rFonts w:ascii="Arial" w:hAnsi="Arial" w:cs="Arial"/>
          <w:color w:val="000000" w:themeColor="text1"/>
          <w:sz w:val="20"/>
          <w:szCs w:val="20"/>
        </w:rPr>
        <w:t xml:space="preserve">Ouedraogo, A., </w:t>
      </w:r>
      <w:proofErr w:type="spellStart"/>
      <w:r w:rsidRPr="00B03590">
        <w:rPr>
          <w:rFonts w:ascii="Arial" w:hAnsi="Arial" w:cs="Arial"/>
          <w:color w:val="000000" w:themeColor="text1"/>
          <w:sz w:val="20"/>
          <w:szCs w:val="20"/>
        </w:rPr>
        <w:t>Fargues</w:t>
      </w:r>
      <w:proofErr w:type="spellEnd"/>
      <w:r w:rsidRPr="00B03590">
        <w:rPr>
          <w:rFonts w:ascii="Arial" w:hAnsi="Arial" w:cs="Arial"/>
          <w:color w:val="000000" w:themeColor="text1"/>
          <w:sz w:val="20"/>
          <w:szCs w:val="20"/>
        </w:rPr>
        <w:t xml:space="preserve">, J., Goettel, M. S., &amp; </w:t>
      </w:r>
      <w:proofErr w:type="spellStart"/>
      <w:r w:rsidRPr="00B03590">
        <w:rPr>
          <w:rFonts w:ascii="Arial" w:hAnsi="Arial" w:cs="Arial"/>
          <w:color w:val="000000" w:themeColor="text1"/>
          <w:sz w:val="20"/>
          <w:szCs w:val="20"/>
        </w:rPr>
        <w:t>Lomer</w:t>
      </w:r>
      <w:proofErr w:type="spellEnd"/>
      <w:r w:rsidRPr="00B03590">
        <w:rPr>
          <w:rFonts w:ascii="Arial" w:hAnsi="Arial" w:cs="Arial"/>
          <w:color w:val="000000" w:themeColor="text1"/>
          <w:sz w:val="20"/>
          <w:szCs w:val="20"/>
        </w:rPr>
        <w:t xml:space="preserve">, C. J. (1997). Effect of temperature on vegetative growth among isolates of Metarhizium anisopliae and M. </w:t>
      </w:r>
      <w:proofErr w:type="spellStart"/>
      <w:r w:rsidRPr="00B03590">
        <w:rPr>
          <w:rFonts w:ascii="Arial" w:hAnsi="Arial" w:cs="Arial"/>
          <w:color w:val="000000" w:themeColor="text1"/>
          <w:sz w:val="20"/>
          <w:szCs w:val="20"/>
        </w:rPr>
        <w:t>flavoviride</w:t>
      </w:r>
      <w:proofErr w:type="spellEnd"/>
      <w:r w:rsidRPr="00B03590">
        <w:rPr>
          <w:rFonts w:ascii="Arial" w:hAnsi="Arial" w:cs="Arial"/>
          <w:color w:val="000000" w:themeColor="text1"/>
          <w:sz w:val="20"/>
          <w:szCs w:val="20"/>
        </w:rPr>
        <w:t xml:space="preserve">. </w:t>
      </w:r>
      <w:proofErr w:type="spellStart"/>
      <w:r w:rsidRPr="00B03590">
        <w:rPr>
          <w:rFonts w:ascii="Arial" w:hAnsi="Arial" w:cs="Arial"/>
          <w:color w:val="000000" w:themeColor="text1"/>
          <w:sz w:val="20"/>
          <w:szCs w:val="20"/>
        </w:rPr>
        <w:t>Mycopathologia</w:t>
      </w:r>
      <w:proofErr w:type="spellEnd"/>
      <w:r w:rsidRPr="00B03590">
        <w:rPr>
          <w:rFonts w:ascii="Arial" w:hAnsi="Arial" w:cs="Arial"/>
          <w:color w:val="000000" w:themeColor="text1"/>
          <w:sz w:val="20"/>
          <w:szCs w:val="20"/>
        </w:rPr>
        <w:t xml:space="preserve">, 137(1), 37–43. </w:t>
      </w:r>
      <w:hyperlink r:id="rId34" w:history="1">
        <w:r w:rsidRPr="00B03590">
          <w:rPr>
            <w:rStyle w:val="Hyperlink"/>
            <w:rFonts w:ascii="Arial" w:hAnsi="Arial" w:cs="Arial"/>
            <w:sz w:val="20"/>
            <w:szCs w:val="20"/>
          </w:rPr>
          <w:t>https://doi.org/10.1023/A:1006882621776</w:t>
        </w:r>
      </w:hyperlink>
    </w:p>
    <w:p w14:paraId="0E114F24" w14:textId="77777777" w:rsidR="00477995" w:rsidRDefault="00477995" w:rsidP="00B03590">
      <w:pPr>
        <w:pStyle w:val="ListParagraph"/>
        <w:numPr>
          <w:ilvl w:val="0"/>
          <w:numId w:val="5"/>
        </w:numPr>
        <w:spacing w:after="0" w:line="360" w:lineRule="auto"/>
        <w:jc w:val="both"/>
      </w:pPr>
      <w:r w:rsidRPr="00B03590">
        <w:rPr>
          <w:rFonts w:ascii="Arial" w:hAnsi="Arial" w:cs="Arial"/>
          <w:sz w:val="20"/>
          <w:szCs w:val="20"/>
        </w:rPr>
        <w:t xml:space="preserve">Paixão, F. R. S., Fernandes, É., &amp; Pedrini, N. (2019). Thermotolerance of fungal conidia. In Microbes for sustainable insect pest management: An eco-friendly approach (Vol. 1, pp. 185–196). Cham: Springer International Publishing. </w:t>
      </w:r>
      <w:hyperlink r:id="rId35" w:history="1">
        <w:r w:rsidRPr="00B03590">
          <w:rPr>
            <w:rStyle w:val="Hyperlink"/>
            <w:rFonts w:ascii="Arial" w:hAnsi="Arial" w:cs="Arial"/>
            <w:sz w:val="20"/>
            <w:szCs w:val="20"/>
          </w:rPr>
          <w:t>https://doi.org/10.1007/978-3-030-23045-6_6</w:t>
        </w:r>
      </w:hyperlink>
    </w:p>
    <w:p w14:paraId="5E3C5AA9" w14:textId="77777777" w:rsidR="00083C55" w:rsidRDefault="00083C55" w:rsidP="003557B8">
      <w:pPr>
        <w:spacing w:after="0" w:line="360" w:lineRule="auto"/>
        <w:ind w:left="720"/>
        <w:jc w:val="both"/>
      </w:pPr>
    </w:p>
    <w:p w14:paraId="4915DBAA" w14:textId="77777777" w:rsidR="00477995" w:rsidRDefault="00477995" w:rsidP="00B03590">
      <w:pPr>
        <w:pStyle w:val="ListParagraph"/>
        <w:numPr>
          <w:ilvl w:val="0"/>
          <w:numId w:val="5"/>
        </w:numPr>
        <w:spacing w:after="0" w:line="360" w:lineRule="auto"/>
        <w:jc w:val="both"/>
      </w:pPr>
      <w:r w:rsidRPr="00B03590">
        <w:rPr>
          <w:rFonts w:ascii="Arial" w:hAnsi="Arial" w:cs="Arial"/>
          <w:color w:val="000000" w:themeColor="text1"/>
          <w:sz w:val="20"/>
          <w:szCs w:val="20"/>
        </w:rPr>
        <w:t xml:space="preserve">Parveen, S. S., &amp; Jeyarani, S. (2023). Laboratory evaluation of temperature effects on germination, radial growth and sporulation of entomopathogenic fungi and on their pathogenicity to red spider mite, </w:t>
      </w:r>
      <w:proofErr w:type="spellStart"/>
      <w:r w:rsidRPr="00B03590">
        <w:rPr>
          <w:rFonts w:ascii="Arial" w:hAnsi="Arial" w:cs="Arial"/>
          <w:color w:val="000000" w:themeColor="text1"/>
          <w:sz w:val="20"/>
          <w:szCs w:val="20"/>
        </w:rPr>
        <w:t>Tetranychus</w:t>
      </w:r>
      <w:proofErr w:type="spellEnd"/>
      <w:r w:rsidRPr="00B03590">
        <w:rPr>
          <w:rFonts w:ascii="Arial" w:hAnsi="Arial" w:cs="Arial"/>
          <w:color w:val="000000" w:themeColor="text1"/>
          <w:sz w:val="20"/>
          <w:szCs w:val="20"/>
        </w:rPr>
        <w:t xml:space="preserve"> </w:t>
      </w:r>
      <w:proofErr w:type="spellStart"/>
      <w:r w:rsidRPr="00B03590">
        <w:rPr>
          <w:rFonts w:ascii="Arial" w:hAnsi="Arial" w:cs="Arial"/>
          <w:color w:val="000000" w:themeColor="text1"/>
          <w:sz w:val="20"/>
          <w:szCs w:val="20"/>
        </w:rPr>
        <w:t>urticae</w:t>
      </w:r>
      <w:proofErr w:type="spellEnd"/>
      <w:r w:rsidRPr="00B03590">
        <w:rPr>
          <w:rFonts w:ascii="Arial" w:hAnsi="Arial" w:cs="Arial"/>
          <w:color w:val="000000" w:themeColor="text1"/>
          <w:sz w:val="20"/>
          <w:szCs w:val="20"/>
        </w:rPr>
        <w:t xml:space="preserve"> Koch. Indian Journal of Agricultural Research, 57(3), 376–382. </w:t>
      </w:r>
      <w:hyperlink r:id="rId36" w:history="1">
        <w:r w:rsidRPr="00B03590">
          <w:rPr>
            <w:rStyle w:val="Hyperlink"/>
            <w:rFonts w:ascii="Arial" w:hAnsi="Arial" w:cs="Arial"/>
            <w:sz w:val="20"/>
            <w:szCs w:val="20"/>
          </w:rPr>
          <w:t>https://doi.org/10.18805/IJARe.A-6010</w:t>
        </w:r>
      </w:hyperlink>
    </w:p>
    <w:p w14:paraId="3089AE19" w14:textId="77777777" w:rsidR="00083C55" w:rsidRDefault="00083C55" w:rsidP="003557B8">
      <w:pPr>
        <w:spacing w:after="0" w:line="360" w:lineRule="auto"/>
        <w:ind w:left="720"/>
        <w:jc w:val="both"/>
      </w:pPr>
    </w:p>
    <w:p w14:paraId="6698DC73" w14:textId="77777777" w:rsidR="00477995" w:rsidRPr="00D534FC" w:rsidRDefault="00477995" w:rsidP="00B03590">
      <w:pPr>
        <w:pStyle w:val="ListParagraph"/>
        <w:numPr>
          <w:ilvl w:val="0"/>
          <w:numId w:val="5"/>
        </w:numPr>
        <w:spacing w:line="360" w:lineRule="auto"/>
        <w:jc w:val="both"/>
      </w:pPr>
      <w:r w:rsidRPr="00B03590">
        <w:rPr>
          <w:rFonts w:ascii="Arial" w:hAnsi="Arial" w:cs="Arial"/>
          <w:sz w:val="20"/>
          <w:szCs w:val="20"/>
        </w:rPr>
        <w:t xml:space="preserve">Pham, T. A., Kim, J. J., Kim, S. G., &amp; Kim, K. (2009). Production of blastospore of entomopathogenic Beauveria bassiana in a submerged batch culture. </w:t>
      </w:r>
      <w:proofErr w:type="spellStart"/>
      <w:r w:rsidRPr="00B03590">
        <w:rPr>
          <w:rFonts w:ascii="Arial" w:hAnsi="Arial" w:cs="Arial"/>
          <w:sz w:val="20"/>
          <w:szCs w:val="20"/>
        </w:rPr>
        <w:t>Mycobiology</w:t>
      </w:r>
      <w:proofErr w:type="spellEnd"/>
      <w:r w:rsidRPr="00B03590">
        <w:rPr>
          <w:rFonts w:ascii="Arial" w:hAnsi="Arial" w:cs="Arial"/>
          <w:sz w:val="20"/>
          <w:szCs w:val="20"/>
        </w:rPr>
        <w:t xml:space="preserve">, 37(3), 218–224. </w:t>
      </w:r>
      <w:hyperlink r:id="rId37" w:history="1">
        <w:r w:rsidRPr="00B03590">
          <w:rPr>
            <w:rStyle w:val="Hyperlink"/>
            <w:rFonts w:ascii="Arial" w:hAnsi="Arial" w:cs="Arial"/>
            <w:sz w:val="20"/>
            <w:szCs w:val="20"/>
          </w:rPr>
          <w:t>https://doi.org/10.4489/MYCO.2009.37.3.218</w:t>
        </w:r>
      </w:hyperlink>
    </w:p>
    <w:p w14:paraId="114E23DD" w14:textId="59300954" w:rsidR="00477995" w:rsidRDefault="00083C55" w:rsidP="00B03590">
      <w:pPr>
        <w:pStyle w:val="ListParagraph"/>
        <w:numPr>
          <w:ilvl w:val="0"/>
          <w:numId w:val="5"/>
        </w:numPr>
        <w:spacing w:line="360" w:lineRule="auto"/>
        <w:jc w:val="both"/>
      </w:pPr>
      <w:r w:rsidRPr="00B03590">
        <w:rPr>
          <w:rFonts w:ascii="Arial" w:hAnsi="Arial" w:cs="Arial"/>
          <w:color w:val="000000" w:themeColor="text1"/>
          <w:sz w:val="20"/>
          <w:szCs w:val="20"/>
        </w:rPr>
        <w:t>Piatkowski</w:t>
      </w:r>
      <w:r w:rsidR="00477995" w:rsidRPr="00B03590">
        <w:rPr>
          <w:rFonts w:ascii="Arial" w:hAnsi="Arial" w:cs="Arial"/>
          <w:color w:val="000000" w:themeColor="text1"/>
          <w:sz w:val="20"/>
          <w:szCs w:val="20"/>
        </w:rPr>
        <w:t xml:space="preserve">, J., &amp; </w:t>
      </w:r>
      <w:proofErr w:type="spellStart"/>
      <w:r w:rsidR="00477995" w:rsidRPr="00B03590">
        <w:rPr>
          <w:rFonts w:ascii="Arial" w:hAnsi="Arial" w:cs="Arial"/>
          <w:color w:val="000000" w:themeColor="text1"/>
          <w:sz w:val="20"/>
          <w:szCs w:val="20"/>
        </w:rPr>
        <w:t>Krzyżewska</w:t>
      </w:r>
      <w:proofErr w:type="spellEnd"/>
      <w:r w:rsidR="00477995" w:rsidRPr="00B03590">
        <w:rPr>
          <w:rFonts w:ascii="Arial" w:hAnsi="Arial" w:cs="Arial"/>
          <w:color w:val="000000" w:themeColor="text1"/>
          <w:sz w:val="20"/>
          <w:szCs w:val="20"/>
        </w:rPr>
        <w:t xml:space="preserve">, A. (2007). Influence of some physical factors on the growth and sporulation of entomopathogenic fungi. Acta </w:t>
      </w:r>
      <w:proofErr w:type="spellStart"/>
      <w:r w:rsidR="00477995" w:rsidRPr="00B03590">
        <w:rPr>
          <w:rFonts w:ascii="Arial" w:hAnsi="Arial" w:cs="Arial"/>
          <w:color w:val="000000" w:themeColor="text1"/>
          <w:sz w:val="20"/>
          <w:szCs w:val="20"/>
        </w:rPr>
        <w:t>Mycologica</w:t>
      </w:r>
      <w:proofErr w:type="spellEnd"/>
      <w:r w:rsidR="00477995" w:rsidRPr="00B03590">
        <w:rPr>
          <w:rFonts w:ascii="Arial" w:hAnsi="Arial" w:cs="Arial"/>
          <w:color w:val="000000" w:themeColor="text1"/>
          <w:sz w:val="20"/>
          <w:szCs w:val="20"/>
        </w:rPr>
        <w:t xml:space="preserve">, 42(2), 255–265. </w:t>
      </w:r>
      <w:hyperlink r:id="rId38" w:history="1">
        <w:r w:rsidR="00477995" w:rsidRPr="00B03590">
          <w:rPr>
            <w:rStyle w:val="Hyperlink"/>
            <w:rFonts w:ascii="Arial" w:hAnsi="Arial" w:cs="Arial"/>
            <w:sz w:val="20"/>
            <w:szCs w:val="20"/>
          </w:rPr>
          <w:t>https://doi.org/10.5586/am.2007.029</w:t>
        </w:r>
      </w:hyperlink>
    </w:p>
    <w:p w14:paraId="7DC280F7"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Roberts, D. W., &amp; Campbell, A. S. (1977). Stability of entomopathogenic fungi. In Environmental stability of microbial insecticides (Vol. 10, pp. 19-76). Entomological Society of America. </w:t>
      </w:r>
      <w:hyperlink r:id="rId39" w:history="1">
        <w:r w:rsidRPr="00B03590">
          <w:rPr>
            <w:rStyle w:val="Hyperlink"/>
            <w:rFonts w:ascii="Arial" w:hAnsi="Arial" w:cs="Arial"/>
            <w:sz w:val="20"/>
            <w:szCs w:val="20"/>
          </w:rPr>
          <w:t>https://doi.org/10.4182/IMXK9843</w:t>
        </w:r>
      </w:hyperlink>
    </w:p>
    <w:p w14:paraId="29DA7FF7"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Russo, A., Carrozza, G. P., Vettori, L., Felici, C., Cinelli, F., &amp; </w:t>
      </w:r>
      <w:proofErr w:type="spellStart"/>
      <w:r w:rsidRPr="00B03590">
        <w:rPr>
          <w:rFonts w:ascii="Arial" w:hAnsi="Arial" w:cs="Arial"/>
          <w:color w:val="000000" w:themeColor="text1"/>
          <w:sz w:val="20"/>
          <w:szCs w:val="20"/>
        </w:rPr>
        <w:t>Toffanin</w:t>
      </w:r>
      <w:proofErr w:type="spellEnd"/>
      <w:r w:rsidRPr="00B03590">
        <w:rPr>
          <w:rFonts w:ascii="Arial" w:hAnsi="Arial" w:cs="Arial"/>
          <w:color w:val="000000" w:themeColor="text1"/>
          <w:sz w:val="20"/>
          <w:szCs w:val="20"/>
        </w:rPr>
        <w:t xml:space="preserve">, A. (2012). Plant beneficial microbes and their application in plant biotechnology. In E. C. Agbo (Ed.), Innovations in biotechnology (pp. 57–72). </w:t>
      </w:r>
      <w:proofErr w:type="spellStart"/>
      <w:r w:rsidRPr="00B03590">
        <w:rPr>
          <w:rFonts w:ascii="Arial" w:hAnsi="Arial" w:cs="Arial"/>
          <w:color w:val="000000" w:themeColor="text1"/>
          <w:sz w:val="20"/>
          <w:szCs w:val="20"/>
        </w:rPr>
        <w:t>InTech</w:t>
      </w:r>
      <w:proofErr w:type="spellEnd"/>
      <w:r w:rsidRPr="00B03590">
        <w:rPr>
          <w:rFonts w:ascii="Arial" w:hAnsi="Arial" w:cs="Arial"/>
          <w:color w:val="000000" w:themeColor="text1"/>
          <w:sz w:val="20"/>
          <w:szCs w:val="20"/>
        </w:rPr>
        <w:t xml:space="preserve">. </w:t>
      </w:r>
      <w:hyperlink r:id="rId40" w:history="1">
        <w:r w:rsidRPr="00B03590">
          <w:rPr>
            <w:rStyle w:val="Hyperlink"/>
            <w:rFonts w:ascii="Arial" w:hAnsi="Arial" w:cs="Arial"/>
            <w:sz w:val="20"/>
            <w:szCs w:val="20"/>
          </w:rPr>
          <w:t>https://doi.org/10.5772/2450</w:t>
        </w:r>
      </w:hyperlink>
    </w:p>
    <w:p w14:paraId="3E6BE080"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lastRenderedPageBreak/>
        <w:t xml:space="preserve">Sani, I., Jamian, S., Ismail, S. I., Saad, N., Abdullah, S., Hata, E. M., &amp; </w:t>
      </w:r>
      <w:proofErr w:type="spellStart"/>
      <w:r w:rsidRPr="00B03590">
        <w:rPr>
          <w:rFonts w:ascii="Arial" w:hAnsi="Arial" w:cs="Arial"/>
          <w:color w:val="000000" w:themeColor="text1"/>
          <w:sz w:val="20"/>
          <w:szCs w:val="20"/>
        </w:rPr>
        <w:t>Jalinas</w:t>
      </w:r>
      <w:proofErr w:type="spellEnd"/>
      <w:r w:rsidRPr="00B03590">
        <w:rPr>
          <w:rFonts w:ascii="Arial" w:hAnsi="Arial" w:cs="Arial"/>
          <w:color w:val="000000" w:themeColor="text1"/>
          <w:sz w:val="20"/>
          <w:szCs w:val="20"/>
        </w:rPr>
        <w:t xml:space="preserve">, J. (2023). Effect of temperature on germination, radial growth, and sporulation of the new isolates of Metarhizium anisopliae and their virulence to whitefly, </w:t>
      </w:r>
      <w:proofErr w:type="spellStart"/>
      <w:r w:rsidRPr="00B03590">
        <w:rPr>
          <w:rFonts w:ascii="Arial" w:hAnsi="Arial" w:cs="Arial"/>
          <w:color w:val="000000" w:themeColor="text1"/>
          <w:sz w:val="20"/>
          <w:szCs w:val="20"/>
        </w:rPr>
        <w:t>Bemisia</w:t>
      </w:r>
      <w:proofErr w:type="spellEnd"/>
      <w:r w:rsidRPr="00B03590">
        <w:rPr>
          <w:rFonts w:ascii="Arial" w:hAnsi="Arial" w:cs="Arial"/>
          <w:color w:val="000000" w:themeColor="text1"/>
          <w:sz w:val="20"/>
          <w:szCs w:val="20"/>
        </w:rPr>
        <w:t xml:space="preserve"> </w:t>
      </w:r>
      <w:proofErr w:type="spellStart"/>
      <w:r w:rsidRPr="00B03590">
        <w:rPr>
          <w:rFonts w:ascii="Arial" w:hAnsi="Arial" w:cs="Arial"/>
          <w:color w:val="000000" w:themeColor="text1"/>
          <w:sz w:val="20"/>
          <w:szCs w:val="20"/>
        </w:rPr>
        <w:t>tabaci</w:t>
      </w:r>
      <w:proofErr w:type="spellEnd"/>
      <w:r w:rsidRPr="00B03590">
        <w:rPr>
          <w:rFonts w:ascii="Arial" w:hAnsi="Arial" w:cs="Arial"/>
          <w:color w:val="000000" w:themeColor="text1"/>
          <w:sz w:val="20"/>
          <w:szCs w:val="20"/>
        </w:rPr>
        <w:t xml:space="preserve"> (Hemiptera: Aleyrodidae). Sains </w:t>
      </w:r>
      <w:proofErr w:type="spellStart"/>
      <w:r w:rsidRPr="00B03590">
        <w:rPr>
          <w:rFonts w:ascii="Arial" w:hAnsi="Arial" w:cs="Arial"/>
          <w:color w:val="000000" w:themeColor="text1"/>
          <w:sz w:val="20"/>
          <w:szCs w:val="20"/>
        </w:rPr>
        <w:t>Malaysiana</w:t>
      </w:r>
      <w:proofErr w:type="spellEnd"/>
      <w:r w:rsidRPr="00B03590">
        <w:rPr>
          <w:rFonts w:ascii="Arial" w:hAnsi="Arial" w:cs="Arial"/>
          <w:color w:val="000000" w:themeColor="text1"/>
          <w:sz w:val="20"/>
          <w:szCs w:val="20"/>
        </w:rPr>
        <w:t xml:space="preserve">, 52(2), 467-476. </w:t>
      </w:r>
      <w:hyperlink r:id="rId41" w:history="1">
        <w:r w:rsidRPr="00B03590">
          <w:rPr>
            <w:rStyle w:val="Hyperlink"/>
            <w:rFonts w:ascii="Arial" w:hAnsi="Arial" w:cs="Arial"/>
            <w:sz w:val="20"/>
            <w:szCs w:val="20"/>
          </w:rPr>
          <w:t>https://doi.org/10.17576/jsm-2023-5202-11</w:t>
        </w:r>
      </w:hyperlink>
    </w:p>
    <w:p w14:paraId="4B906A10"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lang w:val="en-US"/>
        </w:rPr>
        <w:t xml:space="preserve">Shimazu, M. (2004). Effects of temperature on growth of Beauveria bassiana F-263, a strain highly virulent to the Japanese pine sawyer, Monochamus </w:t>
      </w:r>
      <w:proofErr w:type="spellStart"/>
      <w:r w:rsidRPr="00B03590">
        <w:rPr>
          <w:rFonts w:ascii="Arial" w:hAnsi="Arial" w:cs="Arial"/>
          <w:color w:val="000000" w:themeColor="text1"/>
          <w:sz w:val="20"/>
          <w:szCs w:val="20"/>
          <w:lang w:val="en-US"/>
        </w:rPr>
        <w:t>alternatus</w:t>
      </w:r>
      <w:proofErr w:type="spellEnd"/>
      <w:r w:rsidRPr="00B03590">
        <w:rPr>
          <w:rFonts w:ascii="Arial" w:hAnsi="Arial" w:cs="Arial"/>
          <w:color w:val="000000" w:themeColor="text1"/>
          <w:sz w:val="20"/>
          <w:szCs w:val="20"/>
          <w:lang w:val="en-US"/>
        </w:rPr>
        <w:t xml:space="preserve">, especially tolerance to high temperatures. Applied Entomology and Zoology, 39(3), 469–475. </w:t>
      </w:r>
      <w:hyperlink r:id="rId42" w:history="1">
        <w:r w:rsidRPr="00B03590">
          <w:rPr>
            <w:rStyle w:val="Hyperlink"/>
            <w:rFonts w:ascii="Arial" w:hAnsi="Arial" w:cs="Arial"/>
            <w:sz w:val="20"/>
            <w:szCs w:val="20"/>
            <w:lang w:val="en-US"/>
          </w:rPr>
          <w:t>https://doi.org/10.1303/aez.2004.469</w:t>
        </w:r>
      </w:hyperlink>
    </w:p>
    <w:p w14:paraId="7E41C04D"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proofErr w:type="spellStart"/>
      <w:r w:rsidRPr="00B03590">
        <w:rPr>
          <w:rFonts w:ascii="Arial" w:hAnsi="Arial" w:cs="Arial"/>
          <w:sz w:val="20"/>
          <w:szCs w:val="20"/>
        </w:rPr>
        <w:t>Soundarapandian</w:t>
      </w:r>
      <w:proofErr w:type="spellEnd"/>
      <w:r w:rsidRPr="00B03590">
        <w:rPr>
          <w:rFonts w:ascii="Arial" w:hAnsi="Arial" w:cs="Arial"/>
          <w:sz w:val="20"/>
          <w:szCs w:val="20"/>
        </w:rPr>
        <w:t xml:space="preserve">, P., &amp; Chandra, R. (2007). Mass Production of </w:t>
      </w:r>
      <w:proofErr w:type="spellStart"/>
      <w:r w:rsidRPr="00B03590">
        <w:rPr>
          <w:rFonts w:ascii="Arial" w:hAnsi="Arial" w:cs="Arial"/>
          <w:sz w:val="20"/>
          <w:szCs w:val="20"/>
        </w:rPr>
        <w:t>Endomopathogenic</w:t>
      </w:r>
      <w:proofErr w:type="spellEnd"/>
      <w:r w:rsidRPr="00B03590">
        <w:rPr>
          <w:rFonts w:ascii="Arial" w:hAnsi="Arial" w:cs="Arial"/>
          <w:sz w:val="20"/>
          <w:szCs w:val="20"/>
        </w:rPr>
        <w:t xml:space="preserve"> Fungus Metarhizium anisopliae (Deuteromycota; Hyphomycetes) in the Laboratory. Research Journal of Microbiology, 2(9), 690–695. </w:t>
      </w:r>
      <w:hyperlink r:id="rId43" w:history="1">
        <w:r w:rsidRPr="00B03590">
          <w:rPr>
            <w:rStyle w:val="Hyperlink"/>
            <w:rFonts w:ascii="Arial" w:hAnsi="Arial" w:cs="Arial"/>
            <w:sz w:val="20"/>
            <w:szCs w:val="20"/>
          </w:rPr>
          <w:t>https://scialert.net/abstract/?doi=jm.2007.690.695</w:t>
        </w:r>
      </w:hyperlink>
    </w:p>
    <w:p w14:paraId="3B7B37AB"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Taylor, B. M., &amp; Khan, A. (2010). Germination, radial growth and virulence of Metarhizium anisopliae and </w:t>
      </w:r>
      <w:proofErr w:type="spellStart"/>
      <w:r w:rsidRPr="00B03590">
        <w:rPr>
          <w:rFonts w:ascii="Arial" w:hAnsi="Arial" w:cs="Arial"/>
          <w:color w:val="000000" w:themeColor="text1"/>
          <w:sz w:val="20"/>
          <w:szCs w:val="20"/>
        </w:rPr>
        <w:t>Paecilomyces</w:t>
      </w:r>
      <w:proofErr w:type="spellEnd"/>
      <w:r w:rsidRPr="00B03590">
        <w:rPr>
          <w:rFonts w:ascii="Arial" w:hAnsi="Arial" w:cs="Arial"/>
          <w:color w:val="000000" w:themeColor="text1"/>
          <w:sz w:val="20"/>
          <w:szCs w:val="20"/>
        </w:rPr>
        <w:t xml:space="preserve"> </w:t>
      </w:r>
      <w:proofErr w:type="spellStart"/>
      <w:r w:rsidRPr="00B03590">
        <w:rPr>
          <w:rFonts w:ascii="Arial" w:hAnsi="Arial" w:cs="Arial"/>
          <w:color w:val="000000" w:themeColor="text1"/>
          <w:sz w:val="20"/>
          <w:szCs w:val="20"/>
        </w:rPr>
        <w:t>fumosoroseus</w:t>
      </w:r>
      <w:proofErr w:type="spellEnd"/>
      <w:r w:rsidRPr="00B03590">
        <w:rPr>
          <w:rFonts w:ascii="Arial" w:hAnsi="Arial" w:cs="Arial"/>
          <w:color w:val="000000" w:themeColor="text1"/>
          <w:sz w:val="20"/>
          <w:szCs w:val="20"/>
        </w:rPr>
        <w:t xml:space="preserve"> on </w:t>
      </w:r>
      <w:proofErr w:type="spellStart"/>
      <w:r w:rsidRPr="00B03590">
        <w:rPr>
          <w:rFonts w:ascii="Arial" w:hAnsi="Arial" w:cs="Arial"/>
          <w:color w:val="000000" w:themeColor="text1"/>
          <w:sz w:val="20"/>
          <w:szCs w:val="20"/>
        </w:rPr>
        <w:t>Bemisia</w:t>
      </w:r>
      <w:proofErr w:type="spellEnd"/>
      <w:r w:rsidRPr="00B03590">
        <w:rPr>
          <w:rFonts w:ascii="Arial" w:hAnsi="Arial" w:cs="Arial"/>
          <w:color w:val="000000" w:themeColor="text1"/>
          <w:sz w:val="20"/>
          <w:szCs w:val="20"/>
        </w:rPr>
        <w:t xml:space="preserve"> </w:t>
      </w:r>
      <w:proofErr w:type="spellStart"/>
      <w:r w:rsidRPr="00B03590">
        <w:rPr>
          <w:rFonts w:ascii="Arial" w:hAnsi="Arial" w:cs="Arial"/>
          <w:color w:val="000000" w:themeColor="text1"/>
          <w:sz w:val="20"/>
          <w:szCs w:val="20"/>
        </w:rPr>
        <w:t>tabaci</w:t>
      </w:r>
      <w:proofErr w:type="spellEnd"/>
      <w:r w:rsidRPr="00B03590">
        <w:rPr>
          <w:rFonts w:ascii="Arial" w:hAnsi="Arial" w:cs="Arial"/>
          <w:color w:val="000000" w:themeColor="text1"/>
          <w:sz w:val="20"/>
          <w:szCs w:val="20"/>
        </w:rPr>
        <w:t xml:space="preserve"> Gennadius (</w:t>
      </w:r>
      <w:proofErr w:type="spellStart"/>
      <w:r w:rsidRPr="00B03590">
        <w:rPr>
          <w:rFonts w:ascii="Arial" w:hAnsi="Arial" w:cs="Arial"/>
          <w:color w:val="000000" w:themeColor="text1"/>
          <w:sz w:val="20"/>
          <w:szCs w:val="20"/>
        </w:rPr>
        <w:t>Homoptera</w:t>
      </w:r>
      <w:proofErr w:type="spellEnd"/>
      <w:r w:rsidRPr="00B03590">
        <w:rPr>
          <w:rFonts w:ascii="Arial" w:hAnsi="Arial" w:cs="Arial"/>
          <w:color w:val="000000" w:themeColor="text1"/>
          <w:sz w:val="20"/>
          <w:szCs w:val="20"/>
        </w:rPr>
        <w:t xml:space="preserve">: Aleyrodidae). Pakistan Entomologist, 32(2), 148–154. </w:t>
      </w:r>
      <w:hyperlink r:id="rId44" w:history="1">
        <w:r w:rsidRPr="00B03590">
          <w:rPr>
            <w:rStyle w:val="Hyperlink"/>
            <w:rFonts w:ascii="Arial" w:hAnsi="Arial" w:cs="Arial"/>
            <w:sz w:val="20"/>
            <w:szCs w:val="20"/>
          </w:rPr>
          <w:t>https://www.cabdirect.org/cabdirect/abstract/20113215365</w:t>
        </w:r>
      </w:hyperlink>
    </w:p>
    <w:p w14:paraId="011371F8"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Tefera, T., &amp; Pringle, K. (2003). Germination, radial growth, and sporulation of Beauveria bassiana and Metarhizium anisopliae isolates and their virulence to Chilo </w:t>
      </w:r>
      <w:proofErr w:type="spellStart"/>
      <w:r w:rsidRPr="00B03590">
        <w:rPr>
          <w:rFonts w:ascii="Arial" w:hAnsi="Arial" w:cs="Arial"/>
          <w:color w:val="000000" w:themeColor="text1"/>
          <w:sz w:val="20"/>
          <w:szCs w:val="20"/>
        </w:rPr>
        <w:t>partellus</w:t>
      </w:r>
      <w:proofErr w:type="spellEnd"/>
      <w:r w:rsidRPr="00B03590">
        <w:rPr>
          <w:rFonts w:ascii="Arial" w:hAnsi="Arial" w:cs="Arial"/>
          <w:color w:val="000000" w:themeColor="text1"/>
          <w:sz w:val="20"/>
          <w:szCs w:val="20"/>
        </w:rPr>
        <w:t xml:space="preserve"> (Lepidoptera: </w:t>
      </w:r>
      <w:proofErr w:type="spellStart"/>
      <w:r w:rsidRPr="00B03590">
        <w:rPr>
          <w:rFonts w:ascii="Arial" w:hAnsi="Arial" w:cs="Arial"/>
          <w:color w:val="000000" w:themeColor="text1"/>
          <w:sz w:val="20"/>
          <w:szCs w:val="20"/>
        </w:rPr>
        <w:t>Pyralidae</w:t>
      </w:r>
      <w:proofErr w:type="spellEnd"/>
      <w:r w:rsidRPr="00B03590">
        <w:rPr>
          <w:rFonts w:ascii="Arial" w:hAnsi="Arial" w:cs="Arial"/>
          <w:color w:val="000000" w:themeColor="text1"/>
          <w:sz w:val="20"/>
          <w:szCs w:val="20"/>
        </w:rPr>
        <w:t xml:space="preserve">) at different temperatures. Biocontrol Science and Technology, 13(7), 699–704. </w:t>
      </w:r>
      <w:hyperlink r:id="rId45" w:history="1">
        <w:r w:rsidRPr="00B03590">
          <w:rPr>
            <w:rStyle w:val="Hyperlink"/>
            <w:rFonts w:ascii="Arial" w:hAnsi="Arial" w:cs="Arial"/>
            <w:sz w:val="20"/>
            <w:szCs w:val="20"/>
          </w:rPr>
          <w:t>https://doi.org/10.1080/0958315031000151756</w:t>
        </w:r>
      </w:hyperlink>
    </w:p>
    <w:p w14:paraId="6207D836" w14:textId="77777777"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Velozo, S. G. M., Carvalho, V. R., Teixeira, D. L., Passos, J. R. S., </w:t>
      </w:r>
      <w:proofErr w:type="spellStart"/>
      <w:r w:rsidRPr="00B03590">
        <w:rPr>
          <w:rFonts w:ascii="Arial" w:hAnsi="Arial" w:cs="Arial"/>
          <w:color w:val="000000" w:themeColor="text1"/>
          <w:sz w:val="20"/>
          <w:szCs w:val="20"/>
        </w:rPr>
        <w:t>Zanuncio</w:t>
      </w:r>
      <w:proofErr w:type="spellEnd"/>
      <w:r w:rsidRPr="00B03590">
        <w:rPr>
          <w:rFonts w:ascii="Arial" w:hAnsi="Arial" w:cs="Arial"/>
          <w:color w:val="000000" w:themeColor="text1"/>
          <w:sz w:val="20"/>
          <w:szCs w:val="20"/>
        </w:rPr>
        <w:t xml:space="preserve">, J. C., Stephan, D., &amp; Wilcken, C. F. (2025). Effect of temperature and substrate on conidia yield of entomopathogenic fungi using the JKI solid-state bioreactor system. Brazilian Journal of Biology, 85, e295209. </w:t>
      </w:r>
      <w:hyperlink r:id="rId46" w:history="1">
        <w:r w:rsidRPr="00B03590">
          <w:rPr>
            <w:rStyle w:val="Hyperlink"/>
            <w:rFonts w:ascii="Arial" w:hAnsi="Arial" w:cs="Arial"/>
            <w:sz w:val="20"/>
            <w:szCs w:val="20"/>
          </w:rPr>
          <w:t>https://doi.org/10.1590/1519-6984.295209</w:t>
        </w:r>
      </w:hyperlink>
    </w:p>
    <w:p w14:paraId="0ED5F85F" w14:textId="792A6E0F" w:rsidR="00477995" w:rsidRPr="00B03590" w:rsidRDefault="00477995" w:rsidP="00B03590">
      <w:pPr>
        <w:pStyle w:val="ListParagraph"/>
        <w:numPr>
          <w:ilvl w:val="0"/>
          <w:numId w:val="5"/>
        </w:numPr>
        <w:spacing w:line="360" w:lineRule="auto"/>
        <w:jc w:val="both"/>
        <w:rPr>
          <w:rFonts w:ascii="Arial" w:hAnsi="Arial" w:cs="Arial"/>
          <w:color w:val="000000" w:themeColor="text1"/>
          <w:sz w:val="20"/>
          <w:szCs w:val="20"/>
        </w:rPr>
      </w:pPr>
      <w:r w:rsidRPr="00B03590">
        <w:rPr>
          <w:rFonts w:ascii="Arial" w:hAnsi="Arial" w:cs="Arial"/>
          <w:color w:val="000000" w:themeColor="text1"/>
          <w:sz w:val="20"/>
          <w:szCs w:val="20"/>
        </w:rPr>
        <w:t xml:space="preserve">Yeo, H., Pell, J. K., Alderson, P. G., Clark, S. J., &amp; Pye, B. J. (2003). Laboratory evaluation of temperature effects on the germination and growth of entomopathogenic fungi and on their pathogenicity to two aphid species. Pest Management Science, 59(2), 156–165. </w:t>
      </w:r>
      <w:hyperlink r:id="rId47" w:history="1">
        <w:r w:rsidRPr="00B03590">
          <w:rPr>
            <w:rStyle w:val="Hyperlink"/>
            <w:rFonts w:ascii="Arial" w:hAnsi="Arial" w:cs="Arial"/>
            <w:sz w:val="20"/>
            <w:szCs w:val="20"/>
          </w:rPr>
          <w:t>https://doi.org/10.1002/ps.622</w:t>
        </w:r>
      </w:hyperlink>
      <w:r w:rsidRPr="00B03590">
        <w:rPr>
          <w:rFonts w:ascii="Arial" w:hAnsi="Arial" w:cs="Arial"/>
          <w:color w:val="000000" w:themeColor="text1"/>
          <w:sz w:val="20"/>
          <w:szCs w:val="20"/>
        </w:rPr>
        <w:t xml:space="preserve">. </w:t>
      </w:r>
    </w:p>
    <w:sectPr w:rsidR="00477995" w:rsidRPr="00B03590" w:rsidSect="00940BE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EC83" w14:textId="77777777" w:rsidR="004B0AE9" w:rsidRDefault="004B0AE9" w:rsidP="002E54AD">
      <w:pPr>
        <w:spacing w:after="0" w:line="240" w:lineRule="auto"/>
      </w:pPr>
      <w:r>
        <w:separator/>
      </w:r>
    </w:p>
  </w:endnote>
  <w:endnote w:type="continuationSeparator" w:id="0">
    <w:p w14:paraId="619FDBE2" w14:textId="77777777" w:rsidR="004B0AE9" w:rsidRDefault="004B0AE9" w:rsidP="002E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5E8B" w14:textId="77777777" w:rsidR="00940BE7" w:rsidRDefault="00940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8310" w14:textId="77777777" w:rsidR="00940BE7" w:rsidRDefault="00940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542E" w14:textId="77777777" w:rsidR="00940BE7" w:rsidRDefault="00940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F584" w14:textId="77777777" w:rsidR="004B0AE9" w:rsidRDefault="004B0AE9" w:rsidP="002E54AD">
      <w:pPr>
        <w:spacing w:after="0" w:line="240" w:lineRule="auto"/>
      </w:pPr>
      <w:r>
        <w:separator/>
      </w:r>
    </w:p>
  </w:footnote>
  <w:footnote w:type="continuationSeparator" w:id="0">
    <w:p w14:paraId="29615070" w14:textId="77777777" w:rsidR="004B0AE9" w:rsidRDefault="004B0AE9" w:rsidP="002E5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AB7A" w14:textId="1D09BE69" w:rsidR="00940BE7" w:rsidRDefault="00000000">
    <w:pPr>
      <w:pStyle w:val="Header"/>
    </w:pPr>
    <w:r>
      <w:rPr>
        <w:noProof/>
      </w:rPr>
      <w:pict w14:anchorId="3363F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653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C777" w14:textId="761E79DD" w:rsidR="00940BE7" w:rsidRDefault="00000000">
    <w:pPr>
      <w:pStyle w:val="Header"/>
    </w:pPr>
    <w:r>
      <w:rPr>
        <w:noProof/>
      </w:rPr>
      <w:pict w14:anchorId="25603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653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838C" w14:textId="10E35808" w:rsidR="00940BE7" w:rsidRDefault="00000000">
    <w:pPr>
      <w:pStyle w:val="Header"/>
    </w:pPr>
    <w:r>
      <w:rPr>
        <w:noProof/>
      </w:rPr>
      <w:pict w14:anchorId="56AEF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653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68C5"/>
    <w:multiLevelType w:val="hybridMultilevel"/>
    <w:tmpl w:val="2026A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7E4D37"/>
    <w:multiLevelType w:val="hybridMultilevel"/>
    <w:tmpl w:val="29EA7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44135"/>
    <w:multiLevelType w:val="hybridMultilevel"/>
    <w:tmpl w:val="95C88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A6560"/>
    <w:multiLevelType w:val="hybridMultilevel"/>
    <w:tmpl w:val="9EA2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E25597"/>
    <w:multiLevelType w:val="hybridMultilevel"/>
    <w:tmpl w:val="9C84D9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66221921">
    <w:abstractNumId w:val="3"/>
  </w:num>
  <w:num w:numId="2" w16cid:durableId="1870994477">
    <w:abstractNumId w:val="2"/>
  </w:num>
  <w:num w:numId="3" w16cid:durableId="1283342240">
    <w:abstractNumId w:val="1"/>
  </w:num>
  <w:num w:numId="4" w16cid:durableId="346365803">
    <w:abstractNumId w:val="0"/>
  </w:num>
  <w:num w:numId="5" w16cid:durableId="734009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DA"/>
    <w:rsid w:val="0001721F"/>
    <w:rsid w:val="00021365"/>
    <w:rsid w:val="00024B26"/>
    <w:rsid w:val="00031499"/>
    <w:rsid w:val="00045CBB"/>
    <w:rsid w:val="00047A68"/>
    <w:rsid w:val="00050C55"/>
    <w:rsid w:val="00075543"/>
    <w:rsid w:val="00083C55"/>
    <w:rsid w:val="000A0727"/>
    <w:rsid w:val="000B4AFE"/>
    <w:rsid w:val="000C47D8"/>
    <w:rsid w:val="000D57DC"/>
    <w:rsid w:val="000D727A"/>
    <w:rsid w:val="000E2560"/>
    <w:rsid w:val="000E4C36"/>
    <w:rsid w:val="000F2DBD"/>
    <w:rsid w:val="00103A00"/>
    <w:rsid w:val="00120F01"/>
    <w:rsid w:val="0016593E"/>
    <w:rsid w:val="00167698"/>
    <w:rsid w:val="00182283"/>
    <w:rsid w:val="001A3BB6"/>
    <w:rsid w:val="001B370F"/>
    <w:rsid w:val="001D293A"/>
    <w:rsid w:val="001E7187"/>
    <w:rsid w:val="00251FDA"/>
    <w:rsid w:val="00274217"/>
    <w:rsid w:val="00297379"/>
    <w:rsid w:val="002A0193"/>
    <w:rsid w:val="002B7356"/>
    <w:rsid w:val="002C3683"/>
    <w:rsid w:val="002E54AD"/>
    <w:rsid w:val="00302A3C"/>
    <w:rsid w:val="0030394A"/>
    <w:rsid w:val="003557B8"/>
    <w:rsid w:val="00355E00"/>
    <w:rsid w:val="00371CE0"/>
    <w:rsid w:val="00394BD6"/>
    <w:rsid w:val="003C1AD5"/>
    <w:rsid w:val="003F1A70"/>
    <w:rsid w:val="003F3979"/>
    <w:rsid w:val="0042041F"/>
    <w:rsid w:val="00437B74"/>
    <w:rsid w:val="00441676"/>
    <w:rsid w:val="00455AD1"/>
    <w:rsid w:val="00460365"/>
    <w:rsid w:val="004677B3"/>
    <w:rsid w:val="004768A2"/>
    <w:rsid w:val="00477995"/>
    <w:rsid w:val="004B08A0"/>
    <w:rsid w:val="004B0AE9"/>
    <w:rsid w:val="004E0A0C"/>
    <w:rsid w:val="004F0521"/>
    <w:rsid w:val="004F40D0"/>
    <w:rsid w:val="004F5B56"/>
    <w:rsid w:val="00534CE1"/>
    <w:rsid w:val="00546E0A"/>
    <w:rsid w:val="0059338E"/>
    <w:rsid w:val="005B0820"/>
    <w:rsid w:val="005B1CE2"/>
    <w:rsid w:val="005C06ED"/>
    <w:rsid w:val="005C1D9B"/>
    <w:rsid w:val="005D3AA4"/>
    <w:rsid w:val="005E0E89"/>
    <w:rsid w:val="00600037"/>
    <w:rsid w:val="0063276D"/>
    <w:rsid w:val="006451DF"/>
    <w:rsid w:val="00664239"/>
    <w:rsid w:val="00683605"/>
    <w:rsid w:val="006E2C94"/>
    <w:rsid w:val="0070550B"/>
    <w:rsid w:val="00712719"/>
    <w:rsid w:val="00714FB9"/>
    <w:rsid w:val="00726931"/>
    <w:rsid w:val="007376F4"/>
    <w:rsid w:val="00762428"/>
    <w:rsid w:val="0078497F"/>
    <w:rsid w:val="00794DD4"/>
    <w:rsid w:val="007A428E"/>
    <w:rsid w:val="007E3206"/>
    <w:rsid w:val="00823CAA"/>
    <w:rsid w:val="0082790E"/>
    <w:rsid w:val="00835900"/>
    <w:rsid w:val="008418CA"/>
    <w:rsid w:val="00881CE4"/>
    <w:rsid w:val="008B38AB"/>
    <w:rsid w:val="008C1015"/>
    <w:rsid w:val="008C18C5"/>
    <w:rsid w:val="008D1E2E"/>
    <w:rsid w:val="008D2C1B"/>
    <w:rsid w:val="008D6CA1"/>
    <w:rsid w:val="008E3FF9"/>
    <w:rsid w:val="008E542B"/>
    <w:rsid w:val="008F64AA"/>
    <w:rsid w:val="009201A6"/>
    <w:rsid w:val="00922962"/>
    <w:rsid w:val="00932DA4"/>
    <w:rsid w:val="0093752C"/>
    <w:rsid w:val="00940BE7"/>
    <w:rsid w:val="00944056"/>
    <w:rsid w:val="009602AA"/>
    <w:rsid w:val="009A04D5"/>
    <w:rsid w:val="009D3AB0"/>
    <w:rsid w:val="00A26F33"/>
    <w:rsid w:val="00A41BE5"/>
    <w:rsid w:val="00A442FE"/>
    <w:rsid w:val="00A8306E"/>
    <w:rsid w:val="00A90D05"/>
    <w:rsid w:val="00A97719"/>
    <w:rsid w:val="00A97BA0"/>
    <w:rsid w:val="00AD5705"/>
    <w:rsid w:val="00AF3D91"/>
    <w:rsid w:val="00B03590"/>
    <w:rsid w:val="00B22781"/>
    <w:rsid w:val="00B44F23"/>
    <w:rsid w:val="00B77CEA"/>
    <w:rsid w:val="00BA4583"/>
    <w:rsid w:val="00C15F52"/>
    <w:rsid w:val="00C342D1"/>
    <w:rsid w:val="00C54708"/>
    <w:rsid w:val="00C7012C"/>
    <w:rsid w:val="00C75CDA"/>
    <w:rsid w:val="00C935B2"/>
    <w:rsid w:val="00CC1A56"/>
    <w:rsid w:val="00CC2FF9"/>
    <w:rsid w:val="00CD4DCA"/>
    <w:rsid w:val="00D31A02"/>
    <w:rsid w:val="00D534FC"/>
    <w:rsid w:val="00D53FF1"/>
    <w:rsid w:val="00D81993"/>
    <w:rsid w:val="00D9084D"/>
    <w:rsid w:val="00DB3652"/>
    <w:rsid w:val="00DD67F3"/>
    <w:rsid w:val="00E44D1D"/>
    <w:rsid w:val="00E6098B"/>
    <w:rsid w:val="00E706AB"/>
    <w:rsid w:val="00E82048"/>
    <w:rsid w:val="00E90CCE"/>
    <w:rsid w:val="00E9179C"/>
    <w:rsid w:val="00EA4A2A"/>
    <w:rsid w:val="00EA51A3"/>
    <w:rsid w:val="00EB7A3E"/>
    <w:rsid w:val="00EC6819"/>
    <w:rsid w:val="00ED7713"/>
    <w:rsid w:val="00F101A7"/>
    <w:rsid w:val="00F236B2"/>
    <w:rsid w:val="00F2643D"/>
    <w:rsid w:val="00F35DEE"/>
    <w:rsid w:val="00F44BB6"/>
    <w:rsid w:val="00F544E4"/>
    <w:rsid w:val="00F56CEE"/>
    <w:rsid w:val="00F720C1"/>
    <w:rsid w:val="00F807FE"/>
    <w:rsid w:val="00F86F6C"/>
    <w:rsid w:val="00F92DD1"/>
    <w:rsid w:val="00FB3BA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15E68"/>
  <w15:chartTrackingRefBased/>
  <w15:docId w15:val="{ADCB3C97-3AA9-4189-8E35-5F2B2D62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F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1F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1F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1F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1F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1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F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1F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1F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1F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1F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1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FDA"/>
    <w:rPr>
      <w:rFonts w:eastAsiaTheme="majorEastAsia" w:cstheme="majorBidi"/>
      <w:color w:val="272727" w:themeColor="text1" w:themeTint="D8"/>
    </w:rPr>
  </w:style>
  <w:style w:type="paragraph" w:styleId="Title">
    <w:name w:val="Title"/>
    <w:basedOn w:val="Normal"/>
    <w:next w:val="Normal"/>
    <w:link w:val="TitleChar"/>
    <w:uiPriority w:val="10"/>
    <w:qFormat/>
    <w:rsid w:val="00251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FDA"/>
    <w:pPr>
      <w:spacing w:before="160"/>
      <w:jc w:val="center"/>
    </w:pPr>
    <w:rPr>
      <w:i/>
      <w:iCs/>
      <w:color w:val="404040" w:themeColor="text1" w:themeTint="BF"/>
    </w:rPr>
  </w:style>
  <w:style w:type="character" w:customStyle="1" w:styleId="QuoteChar">
    <w:name w:val="Quote Char"/>
    <w:basedOn w:val="DefaultParagraphFont"/>
    <w:link w:val="Quote"/>
    <w:uiPriority w:val="29"/>
    <w:rsid w:val="00251FDA"/>
    <w:rPr>
      <w:i/>
      <w:iCs/>
      <w:color w:val="404040" w:themeColor="text1" w:themeTint="BF"/>
    </w:rPr>
  </w:style>
  <w:style w:type="paragraph" w:styleId="ListParagraph">
    <w:name w:val="List Paragraph"/>
    <w:basedOn w:val="Normal"/>
    <w:uiPriority w:val="34"/>
    <w:qFormat/>
    <w:rsid w:val="00251FDA"/>
    <w:pPr>
      <w:ind w:left="720"/>
      <w:contextualSpacing/>
    </w:pPr>
  </w:style>
  <w:style w:type="character" w:styleId="IntenseEmphasis">
    <w:name w:val="Intense Emphasis"/>
    <w:basedOn w:val="DefaultParagraphFont"/>
    <w:uiPriority w:val="21"/>
    <w:qFormat/>
    <w:rsid w:val="00251FDA"/>
    <w:rPr>
      <w:i/>
      <w:iCs/>
      <w:color w:val="2F5496" w:themeColor="accent1" w:themeShade="BF"/>
    </w:rPr>
  </w:style>
  <w:style w:type="paragraph" w:styleId="IntenseQuote">
    <w:name w:val="Intense Quote"/>
    <w:basedOn w:val="Normal"/>
    <w:next w:val="Normal"/>
    <w:link w:val="IntenseQuoteChar"/>
    <w:uiPriority w:val="30"/>
    <w:qFormat/>
    <w:rsid w:val="00251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1FDA"/>
    <w:rPr>
      <w:i/>
      <w:iCs/>
      <w:color w:val="2F5496" w:themeColor="accent1" w:themeShade="BF"/>
    </w:rPr>
  </w:style>
  <w:style w:type="character" w:styleId="IntenseReference">
    <w:name w:val="Intense Reference"/>
    <w:basedOn w:val="DefaultParagraphFont"/>
    <w:uiPriority w:val="32"/>
    <w:qFormat/>
    <w:rsid w:val="00251FDA"/>
    <w:rPr>
      <w:b/>
      <w:bCs/>
      <w:smallCaps/>
      <w:color w:val="2F5496" w:themeColor="accent1" w:themeShade="BF"/>
      <w:spacing w:val="5"/>
    </w:rPr>
  </w:style>
  <w:style w:type="paragraph" w:styleId="Header">
    <w:name w:val="header"/>
    <w:basedOn w:val="Normal"/>
    <w:link w:val="HeaderChar"/>
    <w:uiPriority w:val="99"/>
    <w:unhideWhenUsed/>
    <w:rsid w:val="002E5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4AD"/>
  </w:style>
  <w:style w:type="paragraph" w:styleId="Footer">
    <w:name w:val="footer"/>
    <w:basedOn w:val="Normal"/>
    <w:link w:val="FooterChar"/>
    <w:uiPriority w:val="99"/>
    <w:unhideWhenUsed/>
    <w:rsid w:val="002E5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4AD"/>
  </w:style>
  <w:style w:type="paragraph" w:styleId="NormalWeb">
    <w:name w:val="Normal (Web)"/>
    <w:basedOn w:val="Normal"/>
    <w:uiPriority w:val="99"/>
    <w:semiHidden/>
    <w:unhideWhenUsed/>
    <w:rsid w:val="00E90CCE"/>
    <w:rPr>
      <w:rFonts w:ascii="Times New Roman" w:hAnsi="Times New Roman" w:cs="Times New Roman"/>
      <w:sz w:val="24"/>
      <w:szCs w:val="24"/>
    </w:rPr>
  </w:style>
  <w:style w:type="paragraph" w:styleId="BodyText">
    <w:name w:val="Body Text"/>
    <w:basedOn w:val="Normal"/>
    <w:link w:val="BodyTextChar"/>
    <w:uiPriority w:val="1"/>
    <w:qFormat/>
    <w:rsid w:val="00712719"/>
    <w:pPr>
      <w:widowControl w:val="0"/>
      <w:autoSpaceDE w:val="0"/>
      <w:autoSpaceDN w:val="0"/>
      <w:spacing w:after="0" w:line="240" w:lineRule="auto"/>
    </w:pPr>
    <w:rPr>
      <w:rFonts w:ascii="Arial" w:eastAsia="Arial" w:hAnsi="Arial" w:cs="Arial"/>
      <w:b/>
      <w:bCs/>
      <w:sz w:val="23"/>
      <w:szCs w:val="23"/>
      <w:lang w:val="en-US"/>
    </w:rPr>
  </w:style>
  <w:style w:type="character" w:customStyle="1" w:styleId="BodyTextChar">
    <w:name w:val="Body Text Char"/>
    <w:basedOn w:val="DefaultParagraphFont"/>
    <w:link w:val="BodyText"/>
    <w:uiPriority w:val="1"/>
    <w:rsid w:val="00712719"/>
    <w:rPr>
      <w:rFonts w:ascii="Arial" w:eastAsia="Arial" w:hAnsi="Arial" w:cs="Arial"/>
      <w:b/>
      <w:bCs/>
      <w:sz w:val="23"/>
      <w:szCs w:val="23"/>
      <w:lang w:val="en-US"/>
    </w:rPr>
  </w:style>
  <w:style w:type="paragraph" w:customStyle="1" w:styleId="TableParagraph">
    <w:name w:val="Table Paragraph"/>
    <w:basedOn w:val="Normal"/>
    <w:uiPriority w:val="1"/>
    <w:qFormat/>
    <w:rsid w:val="00712719"/>
    <w:pPr>
      <w:widowControl w:val="0"/>
      <w:autoSpaceDE w:val="0"/>
      <w:autoSpaceDN w:val="0"/>
      <w:spacing w:before="13" w:after="0" w:line="240" w:lineRule="auto"/>
      <w:ind w:left="30"/>
      <w:jc w:val="center"/>
    </w:pPr>
    <w:rPr>
      <w:rFonts w:ascii="Arial MT" w:eastAsia="Arial MT" w:hAnsi="Arial MT" w:cs="Arial MT"/>
      <w:lang w:val="en-US"/>
    </w:rPr>
  </w:style>
  <w:style w:type="character" w:styleId="Hyperlink">
    <w:name w:val="Hyperlink"/>
    <w:basedOn w:val="DefaultParagraphFont"/>
    <w:uiPriority w:val="99"/>
    <w:unhideWhenUsed/>
    <w:rsid w:val="00031499"/>
    <w:rPr>
      <w:color w:val="0563C1" w:themeColor="hyperlink"/>
      <w:u w:val="single"/>
    </w:rPr>
  </w:style>
  <w:style w:type="character" w:styleId="UnresolvedMention">
    <w:name w:val="Unresolved Mention"/>
    <w:basedOn w:val="DefaultParagraphFont"/>
    <w:uiPriority w:val="99"/>
    <w:semiHidden/>
    <w:unhideWhenUsed/>
    <w:rsid w:val="00031499"/>
    <w:rPr>
      <w:color w:val="605E5C"/>
      <w:shd w:val="clear" w:color="auto" w:fill="E1DFDD"/>
    </w:rPr>
  </w:style>
  <w:style w:type="character" w:styleId="LineNumber">
    <w:name w:val="line number"/>
    <w:basedOn w:val="DefaultParagraphFont"/>
    <w:uiPriority w:val="99"/>
    <w:semiHidden/>
    <w:unhideWhenUsed/>
    <w:rsid w:val="00F2643D"/>
  </w:style>
  <w:style w:type="character" w:styleId="FollowedHyperlink">
    <w:name w:val="FollowedHyperlink"/>
    <w:basedOn w:val="DefaultParagraphFont"/>
    <w:uiPriority w:val="99"/>
    <w:semiHidden/>
    <w:unhideWhenUsed/>
    <w:rsid w:val="00E609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39/w99-098" TargetMode="External"/><Relationship Id="rId26" Type="http://schemas.openxmlformats.org/officeDocument/2006/relationships/hyperlink" Target="https://doi.org/10.1079/9780851993560.0023" TargetMode="External"/><Relationship Id="rId39" Type="http://schemas.openxmlformats.org/officeDocument/2006/relationships/hyperlink" Target="https://doi.org/10.4182/IMXK9843" TargetMode="External"/><Relationship Id="rId21" Type="http://schemas.openxmlformats.org/officeDocument/2006/relationships/hyperlink" Target="https://doi.org/10.1186/s43008-019-0009-3" TargetMode="External"/><Relationship Id="rId34" Type="http://schemas.openxmlformats.org/officeDocument/2006/relationships/hyperlink" Target="https://doi.org/10.1023/A:1006882621776" TargetMode="External"/><Relationship Id="rId42" Type="http://schemas.openxmlformats.org/officeDocument/2006/relationships/hyperlink" Target="https://doi.org/10.1303/aez.2004.469" TargetMode="External"/><Relationship Id="rId47" Type="http://schemas.openxmlformats.org/officeDocument/2006/relationships/hyperlink" Target="https://doi.org/10.1002/ps.6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4445/23942568/IJAES-V3I6P108" TargetMode="External"/><Relationship Id="rId29" Type="http://schemas.openxmlformats.org/officeDocument/2006/relationships/hyperlink" Target="https://doi.org/10.47068/ctns.2022.v11i21.036" TargetMode="External"/><Relationship Id="rId11" Type="http://schemas.openxmlformats.org/officeDocument/2006/relationships/footer" Target="footer2.xml"/><Relationship Id="rId24" Type="http://schemas.openxmlformats.org/officeDocument/2006/relationships/hyperlink" Target="https://doi.org/10.1016/s0031-9422(00)00316-2" TargetMode="External"/><Relationship Id="rId32" Type="http://schemas.openxmlformats.org/officeDocument/2006/relationships/hyperlink" Target="https://doi.org/10.1080/09583157.2021.1993133" TargetMode="External"/><Relationship Id="rId37" Type="http://schemas.openxmlformats.org/officeDocument/2006/relationships/hyperlink" Target="https://doi.org/10.4489/MYCO.2009.37.3.218" TargetMode="External"/><Relationship Id="rId40" Type="http://schemas.openxmlformats.org/officeDocument/2006/relationships/hyperlink" Target="https://doi.org/10.5772/2450" TargetMode="External"/><Relationship Id="rId45" Type="http://schemas.openxmlformats.org/officeDocument/2006/relationships/hyperlink" Target="https://doi.org/10.1080/0958315031000151756"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80/09583159929767" TargetMode="External"/><Relationship Id="rId28" Type="http://schemas.openxmlformats.org/officeDocument/2006/relationships/hyperlink" Target="https://doi.org/10.1080/09583150120110653" TargetMode="External"/><Relationship Id="rId36" Type="http://schemas.openxmlformats.org/officeDocument/2006/relationships/hyperlink" Target="https://doi.org/10.18805/IJARe.A-6010"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06/jipa.2001.5050" TargetMode="External"/><Relationship Id="rId31" Type="http://schemas.openxmlformats.org/officeDocument/2006/relationships/hyperlink" Target="https://doi.org/10.5829/idosi.wasj.2013.25.08.1237" TargetMode="External"/><Relationship Id="rId44" Type="http://schemas.openxmlformats.org/officeDocument/2006/relationships/hyperlink" Target="https://www.cabdirect.org/cabdirect/abstract/2011321536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23/B:BICO.0000009397.84153.79" TargetMode="External"/><Relationship Id="rId27" Type="http://schemas.openxmlformats.org/officeDocument/2006/relationships/hyperlink" Target="https://doi.org/10.1603/EN09359" TargetMode="External"/><Relationship Id="rId30" Type="http://schemas.openxmlformats.org/officeDocument/2006/relationships/hyperlink" Target="https://doi.org/10.1590/S1517-838246120131077" TargetMode="External"/><Relationship Id="rId35" Type="http://schemas.openxmlformats.org/officeDocument/2006/relationships/hyperlink" Target="https://doi.org/10.1007/978-3-030-23045-6_6" TargetMode="External"/><Relationship Id="rId43" Type="http://schemas.openxmlformats.org/officeDocument/2006/relationships/hyperlink" Target="https://scialert.net/abstract/?doi=jm.2007.690.695"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zsp.com.pk/download-links-vol-45-1/" TargetMode="External"/><Relationship Id="rId25" Type="http://schemas.openxmlformats.org/officeDocument/2006/relationships/hyperlink" Target="https://doi.org/10.1016/S0261-2194(01)00110-7" TargetMode="External"/><Relationship Id="rId33" Type="http://schemas.openxmlformats.org/officeDocument/2006/relationships/hyperlink" Target="https://doi.org/10.1002/mbo3.760" TargetMode="External"/><Relationship Id="rId38" Type="http://schemas.openxmlformats.org/officeDocument/2006/relationships/hyperlink" Target="https://doi.org/10.5586/am.2007.029" TargetMode="External"/><Relationship Id="rId46" Type="http://schemas.openxmlformats.org/officeDocument/2006/relationships/hyperlink" Target="https://doi.org/10.1590/1519-6984.295209" TargetMode="External"/><Relationship Id="rId20" Type="http://schemas.openxmlformats.org/officeDocument/2006/relationships/hyperlink" Target="https://www.wiley.com/en-us/Epizootiology+of+Insect+Diseases-p-9780471878124" TargetMode="External"/><Relationship Id="rId41" Type="http://schemas.openxmlformats.org/officeDocument/2006/relationships/hyperlink" Target="https://doi.org/10.17576/jsm-2023-5202-1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12F4D-03A5-4481-B526-C6F17B5A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12</Pages>
  <Words>4444</Words>
  <Characters>25334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Subhashree patnaik</dc:creator>
  <cp:keywords/>
  <dc:description/>
  <cp:lastModifiedBy>Editor-90</cp:lastModifiedBy>
  <cp:revision>117</cp:revision>
  <dcterms:created xsi:type="dcterms:W3CDTF">2025-12-08T08:50:00Z</dcterms:created>
  <dcterms:modified xsi:type="dcterms:W3CDTF">2025-12-23T07:00:00Z</dcterms:modified>
</cp:coreProperties>
</file>