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9F1AB" w14:textId="77777777" w:rsidR="00930C36" w:rsidRDefault="00930C36">
      <w:pPr>
        <w:rPr>
          <w:rFonts w:ascii="Times New Roman" w:hAnsi="Times New Roman" w:cs="Times New Roman"/>
          <w:b/>
          <w:bCs/>
          <w:sz w:val="24"/>
          <w:szCs w:val="32"/>
        </w:rPr>
      </w:pPr>
      <w:bookmarkStart w:id="0" w:name="_GoBack"/>
      <w:bookmarkEnd w:id="0"/>
      <w:r w:rsidRPr="00930C36">
        <w:rPr>
          <w:rFonts w:ascii="Times New Roman" w:hAnsi="Times New Roman" w:cs="Times New Roman"/>
          <w:b/>
          <w:bCs/>
          <w:sz w:val="24"/>
          <w:szCs w:val="32"/>
        </w:rPr>
        <w:t>Original Research Article</w:t>
      </w:r>
    </w:p>
    <w:p w14:paraId="43525AA4" w14:textId="77777777" w:rsidR="00930C36" w:rsidRDefault="00930C36">
      <w:pPr>
        <w:rPr>
          <w:rFonts w:ascii="Times New Roman" w:hAnsi="Times New Roman" w:cs="Times New Roman"/>
          <w:b/>
          <w:bCs/>
          <w:sz w:val="24"/>
          <w:szCs w:val="32"/>
        </w:rPr>
      </w:pPr>
    </w:p>
    <w:p w14:paraId="31C4BA18" w14:textId="77777777" w:rsidR="007360A2" w:rsidRPr="007360A2" w:rsidRDefault="007360A2" w:rsidP="007360A2">
      <w:pPr>
        <w:rPr>
          <w:rFonts w:ascii="Times New Roman" w:eastAsia="MS Mincho" w:hAnsi="Times New Roman" w:cs="Times New Roman"/>
          <w:b/>
          <w:bCs/>
          <w:sz w:val="24"/>
        </w:rPr>
      </w:pPr>
      <w:r w:rsidRPr="007360A2">
        <w:rPr>
          <w:rFonts w:ascii="Times New Roman" w:hAnsi="Times New Roman"/>
          <w:b/>
          <w:bCs/>
          <w:sz w:val="24"/>
        </w:rPr>
        <w:t xml:space="preserve">Dose-Dependent Impact of </w:t>
      </w:r>
      <w:r w:rsidRPr="007360A2">
        <w:rPr>
          <w:rFonts w:ascii="Times New Roman" w:hAnsi="Times New Roman"/>
          <w:b/>
          <w:bCs/>
          <w:i/>
          <w:iCs/>
          <w:sz w:val="24"/>
        </w:rPr>
        <w:t>Bacillus thuringiensis</w:t>
      </w:r>
      <w:r w:rsidRPr="007360A2">
        <w:rPr>
          <w:rFonts w:ascii="Times New Roman" w:hAnsi="Times New Roman"/>
          <w:b/>
          <w:bCs/>
          <w:sz w:val="24"/>
        </w:rPr>
        <w:t xml:space="preserve"> on Silkworm (</w:t>
      </w:r>
      <w:r w:rsidRPr="007360A2">
        <w:rPr>
          <w:rFonts w:ascii="Times New Roman" w:hAnsi="Times New Roman"/>
          <w:b/>
          <w:bCs/>
          <w:i/>
          <w:iCs/>
          <w:sz w:val="24"/>
        </w:rPr>
        <w:t>Bombyx mori</w:t>
      </w:r>
      <w:r w:rsidRPr="007360A2">
        <w:rPr>
          <w:rFonts w:ascii="Times New Roman" w:hAnsi="Times New Roman"/>
          <w:b/>
          <w:bCs/>
          <w:sz w:val="24"/>
        </w:rPr>
        <w:t>) Survival and Pathogenicity</w:t>
      </w:r>
    </w:p>
    <w:p w14:paraId="632400BC" w14:textId="77777777" w:rsidR="007360A2" w:rsidRDefault="007360A2" w:rsidP="007360A2">
      <w:pPr>
        <w:rPr>
          <w:rFonts w:ascii="Times New Roman" w:hAnsi="Times New Roman" w:cs="Times New Roman"/>
          <w:b/>
          <w:bCs/>
          <w:sz w:val="24"/>
          <w:szCs w:val="32"/>
        </w:rPr>
      </w:pPr>
    </w:p>
    <w:p w14:paraId="24081C84" w14:textId="77777777" w:rsidR="00CB6060" w:rsidRDefault="00CB6060">
      <w:pPr>
        <w:rPr>
          <w:rFonts w:ascii="Times New Roman" w:hAnsi="Times New Roman" w:cs="Times New Roman"/>
          <w:b/>
          <w:bCs/>
          <w:sz w:val="24"/>
          <w:szCs w:val="32"/>
        </w:rPr>
      </w:pPr>
    </w:p>
    <w:p w14:paraId="1A90C53A" w14:textId="77777777" w:rsidR="00F25550" w:rsidRDefault="00F25550">
      <w:pPr>
        <w:rPr>
          <w:rFonts w:ascii="Times New Roman" w:hAnsi="Times New Roman" w:cs="Times New Roman"/>
        </w:rPr>
      </w:pPr>
    </w:p>
    <w:p w14:paraId="1161508B" w14:textId="77777777" w:rsidR="008F64E7" w:rsidRDefault="008F64E7">
      <w:pPr>
        <w:rPr>
          <w:rFonts w:ascii="Times New Roman" w:hAnsi="Times New Roman" w:cs="Times New Roman"/>
        </w:rPr>
      </w:pPr>
    </w:p>
    <w:p w14:paraId="7EA55A06" w14:textId="77777777" w:rsidR="007360A2" w:rsidRDefault="007360A2">
      <w:pPr>
        <w:rPr>
          <w:rFonts w:ascii="Times New Roman" w:hAnsi="Times New Roman" w:cs="Times New Roman"/>
          <w:b/>
          <w:bCs/>
          <w:sz w:val="24"/>
          <w:szCs w:val="32"/>
        </w:rPr>
      </w:pPr>
    </w:p>
    <w:p w14:paraId="3EEB02F5" w14:textId="0481B264" w:rsidR="00F25550" w:rsidRDefault="00F3504C">
      <w:pPr>
        <w:rPr>
          <w:rFonts w:ascii="Times New Roman" w:hAnsi="Times New Roman" w:cs="Times New Roman"/>
          <w:b/>
          <w:bCs/>
          <w:sz w:val="24"/>
          <w:szCs w:val="32"/>
        </w:rPr>
      </w:pPr>
      <w:r>
        <w:rPr>
          <w:rFonts w:ascii="Times New Roman" w:hAnsi="Times New Roman" w:cs="Times New Roman"/>
          <w:b/>
          <w:bCs/>
          <w:sz w:val="24"/>
          <w:szCs w:val="32"/>
        </w:rPr>
        <w:t>Abstract</w:t>
      </w:r>
    </w:p>
    <w:p w14:paraId="7936A377" w14:textId="0C604A2A" w:rsidR="002C4615" w:rsidRPr="00297EAE" w:rsidRDefault="00C02A0C" w:rsidP="002C4615">
      <w:pPr>
        <w:rPr>
          <w:rFonts w:ascii="Times New Roman" w:hAnsi="Times New Roman" w:cs="Times New Roman"/>
          <w:szCs w:val="21"/>
        </w:rPr>
      </w:pPr>
      <w:r>
        <w:rPr>
          <w:rFonts w:ascii="Times New Roman" w:hAnsi="Times New Roman" w:cs="Times New Roman"/>
        </w:rPr>
        <w:t xml:space="preserve">The environmental impact of microbial pesticides, including </w:t>
      </w:r>
      <w:r w:rsidRPr="00436E86">
        <w:rPr>
          <w:rFonts w:ascii="Times New Roman" w:hAnsi="Times New Roman" w:cs="Times New Roman"/>
          <w:i/>
          <w:iCs/>
        </w:rPr>
        <w:t>Bacillus thuringiensis</w:t>
      </w:r>
      <w:r>
        <w:rPr>
          <w:rFonts w:ascii="Times New Roman" w:hAnsi="Times New Roman" w:cs="Times New Roman"/>
        </w:rPr>
        <w:t xml:space="preserve">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is a growing concern. Although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is widely used for pest control due to its efficacy, understanding its potential toxicity to non-target organisms such as silkworms is essential for environmental safety. </w:t>
      </w:r>
      <w:r w:rsidRPr="008F64E7">
        <w:rPr>
          <w:rFonts w:ascii="Times New Roman" w:hAnsi="Times New Roman" w:cs="Times New Roman"/>
        </w:rPr>
        <w:t xml:space="preserve">The current study was conducted to determine how different </w:t>
      </w:r>
      <w:proofErr w:type="spellStart"/>
      <w:r w:rsidRPr="008F64E7">
        <w:rPr>
          <w:rFonts w:ascii="Times New Roman" w:hAnsi="Times New Roman" w:cs="Times New Roman"/>
          <w:i/>
          <w:iCs/>
        </w:rPr>
        <w:t>Bt</w:t>
      </w:r>
      <w:proofErr w:type="spellEnd"/>
      <w:r w:rsidRPr="008F64E7">
        <w:rPr>
          <w:rFonts w:ascii="Times New Roman" w:hAnsi="Times New Roman" w:cs="Times New Roman"/>
          <w:i/>
          <w:iCs/>
        </w:rPr>
        <w:t xml:space="preserve"> </w:t>
      </w:r>
      <w:r w:rsidRPr="008F64E7">
        <w:rPr>
          <w:rFonts w:ascii="Times New Roman" w:hAnsi="Times New Roman" w:cs="Times New Roman"/>
        </w:rPr>
        <w:t>doses affect larval mortality, growth, and development of silkworm (</w:t>
      </w:r>
      <w:r w:rsidRPr="008F64E7">
        <w:rPr>
          <w:rFonts w:ascii="Times New Roman" w:hAnsi="Times New Roman" w:cs="Times New Roman"/>
          <w:i/>
          <w:iCs/>
        </w:rPr>
        <w:t>Bombyx mori</w:t>
      </w:r>
      <w:r w:rsidRPr="008F64E7">
        <w:rPr>
          <w:rFonts w:ascii="Times New Roman" w:hAnsi="Times New Roman" w:cs="Times New Roman"/>
        </w:rPr>
        <w:t xml:space="preserve">) larvae. The study was conducted at </w:t>
      </w:r>
      <w:r w:rsidRPr="00D57DDA">
        <w:rPr>
          <w:rFonts w:ascii="Times New Roman" w:hAnsi="Times New Roman" w:cs="Times New Roman"/>
        </w:rPr>
        <w:t>Group of Pesticide environmental risk assessment and control</w:t>
      </w:r>
      <w:r>
        <w:rPr>
          <w:rFonts w:ascii="Times New Roman" w:hAnsi="Times New Roman" w:cs="Times New Roman"/>
        </w:rPr>
        <w:t xml:space="preserve">, </w:t>
      </w:r>
      <w:r w:rsidRPr="00D57DDA">
        <w:rPr>
          <w:rFonts w:ascii="Times New Roman" w:hAnsi="Times New Roman" w:cs="Times New Roman"/>
        </w:rPr>
        <w:t>Institute of Plant Protection, Chinese Academy of Agricultural Sciences</w:t>
      </w:r>
      <w:r>
        <w:rPr>
          <w:rFonts w:ascii="Times New Roman" w:hAnsi="Times New Roman" w:cs="Times New Roman"/>
        </w:rPr>
        <w:t xml:space="preserve"> (IPPCAAS), between 2019 and 2020. This study investigated the dose-dependent toxicity of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to silkworms following the NY/T 3152.3-2017 guidelines for microbial pesticide risk assessment. A dose-response experiment was conducted using five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concentrations (3.16 × 10⁴, 1 × 10⁵, 3.16 × 10⁵, 1 × 10⁶, and 3.16 × 10⁶ CFU/mL), along with blank and inactivated controls. Each treatment consisted of 20 silkworms with four replicates, and the experiment lasted 23 days. The effects of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on silkworm survival and development were evaluated using Probit analysis and one-way ANOVA. The result revealed that the 23-day LC₅₀ was 4.48 × 10⁵ CFU/mL (95% confidence interval: 2.77 × 10⁵- 6.06 × 10⁵ CFU/mL). At 1.00 × 10⁶ CFU/mL, cocoon weight was significantly higher than in the blank control, though no significant differences were observed among other groups. Cocoon shell weight was significantly higher at 3.16 × 10⁴ and 1 × 10⁶ CFU/mL compared to the control. Pathogenicity tests confirmed that the isolated and tested strains were identical, and infected silkworms exhibited typical </w:t>
      </w:r>
      <w:proofErr w:type="spellStart"/>
      <w:r w:rsidRPr="00436E86">
        <w:rPr>
          <w:rFonts w:ascii="Times New Roman" w:hAnsi="Times New Roman" w:cs="Times New Roman"/>
          <w:i/>
          <w:iCs/>
        </w:rPr>
        <w:t>Bt</w:t>
      </w:r>
      <w:proofErr w:type="spellEnd"/>
      <w:r>
        <w:rPr>
          <w:rFonts w:ascii="Times New Roman" w:hAnsi="Times New Roman" w:cs="Times New Roman"/>
        </w:rPr>
        <w:t>-induced symptoms, including body decay and side-lying behavior.</w:t>
      </w:r>
      <w:r w:rsidR="002C4615">
        <w:rPr>
          <w:rFonts w:ascii="Times New Roman" w:hAnsi="Times New Roman" w:cs="Times New Roman"/>
        </w:rPr>
        <w:t xml:space="preserve"> </w:t>
      </w:r>
      <w:r w:rsidR="002C4615" w:rsidRPr="000E344C">
        <w:rPr>
          <w:sz w:val="22"/>
          <w:szCs w:val="22"/>
        </w:rPr>
        <w:t>Overall, t</w:t>
      </w:r>
      <w:r w:rsidR="002C4615" w:rsidRPr="000E344C">
        <w:rPr>
          <w:rFonts w:ascii="Times New Roman" w:hAnsi="Times New Roman" w:cs="Times New Roman"/>
          <w:sz w:val="22"/>
          <w:szCs w:val="22"/>
        </w:rPr>
        <w:t xml:space="preserve">hese findings provide important data for environmental risk assessment, indicating that careful management of </w:t>
      </w:r>
      <w:proofErr w:type="spellStart"/>
      <w:r w:rsidR="002C4615" w:rsidRPr="000E344C">
        <w:rPr>
          <w:rFonts w:ascii="Times New Roman" w:hAnsi="Times New Roman" w:cs="Times New Roman"/>
          <w:i/>
          <w:iCs/>
          <w:sz w:val="22"/>
          <w:szCs w:val="22"/>
        </w:rPr>
        <w:t>Bt</w:t>
      </w:r>
      <w:proofErr w:type="spellEnd"/>
      <w:r w:rsidR="002C4615" w:rsidRPr="000E344C">
        <w:rPr>
          <w:rFonts w:ascii="Times New Roman" w:hAnsi="Times New Roman" w:cs="Times New Roman"/>
          <w:sz w:val="22"/>
          <w:szCs w:val="22"/>
        </w:rPr>
        <w:t xml:space="preserve"> concentrations is critical to minimize unintended harm to beneficial organisms within agricultural ecosystems.</w:t>
      </w:r>
    </w:p>
    <w:p w14:paraId="534C4F9B" w14:textId="402A0850" w:rsidR="00C02A0C" w:rsidRDefault="00C02A0C" w:rsidP="00C02A0C">
      <w:pPr>
        <w:rPr>
          <w:rFonts w:ascii="Times New Roman" w:hAnsi="Times New Roman" w:cs="Times New Roman"/>
        </w:rPr>
      </w:pPr>
    </w:p>
    <w:p w14:paraId="3196C32D" w14:textId="001E31CB" w:rsidR="00C02A0C" w:rsidRDefault="00C02A0C" w:rsidP="00C02A0C">
      <w:pPr>
        <w:rPr>
          <w:rFonts w:ascii="Times New Roman" w:hAnsi="Times New Roman" w:cs="Times New Roman"/>
        </w:rPr>
      </w:pPr>
      <w:r>
        <w:rPr>
          <w:rFonts w:ascii="Times New Roman" w:hAnsi="Times New Roman" w:cs="Times New Roman"/>
        </w:rPr>
        <w:t xml:space="preserve">Keywords: </w:t>
      </w:r>
      <w:r w:rsidRPr="00C02A0C">
        <w:rPr>
          <w:rFonts w:ascii="Times New Roman" w:hAnsi="Times New Roman" w:cs="Times New Roman"/>
          <w:i/>
          <w:iCs/>
        </w:rPr>
        <w:t>Bacillus thuringiensis (</w:t>
      </w:r>
      <w:proofErr w:type="spellStart"/>
      <w:r w:rsidRPr="00C02A0C">
        <w:rPr>
          <w:rFonts w:ascii="Times New Roman" w:hAnsi="Times New Roman" w:cs="Times New Roman"/>
          <w:i/>
          <w:iCs/>
        </w:rPr>
        <w:t>Bt</w:t>
      </w:r>
      <w:proofErr w:type="spellEnd"/>
      <w:r w:rsidRPr="00C02A0C">
        <w:rPr>
          <w:rFonts w:ascii="Times New Roman" w:hAnsi="Times New Roman" w:cs="Times New Roman"/>
          <w:i/>
          <w:iCs/>
        </w:rPr>
        <w:t>); Pathogenicity; Strains; Silkworm (Bombyx mori); LC₅₀ value; Dose-dependent response.</w:t>
      </w:r>
    </w:p>
    <w:p w14:paraId="61597BA1" w14:textId="77777777" w:rsidR="00F25550" w:rsidRDefault="00F25550">
      <w:pPr>
        <w:rPr>
          <w:rFonts w:ascii="Times New Roman" w:hAnsi="Times New Roman" w:cs="Times New Roman"/>
        </w:rPr>
      </w:pPr>
    </w:p>
    <w:p w14:paraId="40E8B10C" w14:textId="77777777" w:rsidR="00F25550" w:rsidRDefault="00F3504C">
      <w:pPr>
        <w:rPr>
          <w:rFonts w:ascii="Times New Roman" w:hAnsi="Times New Roman" w:cs="Times New Roman"/>
          <w:b/>
          <w:bCs/>
          <w:sz w:val="24"/>
          <w:szCs w:val="32"/>
        </w:rPr>
      </w:pPr>
      <w:r>
        <w:rPr>
          <w:rFonts w:ascii="Times New Roman" w:hAnsi="Times New Roman" w:cs="Times New Roman"/>
          <w:b/>
          <w:bCs/>
          <w:sz w:val="24"/>
          <w:szCs w:val="32"/>
        </w:rPr>
        <w:t>1. Introduction</w:t>
      </w:r>
    </w:p>
    <w:p w14:paraId="39DCDFDE" w14:textId="77777777" w:rsidR="00F25550" w:rsidRDefault="00F3504C">
      <w:pPr>
        <w:rPr>
          <w:rFonts w:ascii="Times New Roman" w:hAnsi="Times New Roman" w:cs="Times New Roman"/>
        </w:rPr>
      </w:pPr>
      <w:r w:rsidRPr="00473680">
        <w:rPr>
          <w:rFonts w:ascii="Times New Roman" w:hAnsi="Times New Roman" w:cs="Times New Roman"/>
          <w:i/>
          <w:iCs/>
        </w:rPr>
        <w:t>Bacillus thuringiensis</w:t>
      </w:r>
      <w:r>
        <w:rPr>
          <w:rFonts w:ascii="Times New Roman" w:hAnsi="Times New Roman" w:cs="Times New Roman"/>
        </w:rPr>
        <w:t xml:space="preserve">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is widely used as a microbial pesticide due to its effectiveness against specific insect pests (Kumar et al., 2021). However, its potential environmental impact has raised concerns. Although generally considered safe for non-target organisms, recent studies suggest possible ecological risks (Li et al., 2022; Sharma et al., 2019). For example, in </w:t>
      </w:r>
      <w:r w:rsidRPr="00473680">
        <w:rPr>
          <w:rFonts w:ascii="Times New Roman" w:hAnsi="Times New Roman" w:cs="Times New Roman"/>
          <w:i/>
          <w:iCs/>
        </w:rPr>
        <w:t>Drosophila melanogaster</w:t>
      </w:r>
      <w:r>
        <w:rPr>
          <w:rFonts w:ascii="Times New Roman" w:hAnsi="Times New Roman" w:cs="Times New Roman"/>
        </w:rPr>
        <w:t xml:space="preserve">,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var. </w:t>
      </w:r>
      <w:proofErr w:type="spellStart"/>
      <w:r w:rsidRPr="00473680">
        <w:rPr>
          <w:rFonts w:ascii="Times New Roman" w:hAnsi="Times New Roman" w:cs="Times New Roman"/>
          <w:i/>
          <w:iCs/>
        </w:rPr>
        <w:t>kurstaki</w:t>
      </w:r>
      <w:proofErr w:type="spellEnd"/>
      <w:r>
        <w:rPr>
          <w:rFonts w:ascii="Times New Roman" w:hAnsi="Times New Roman" w:cs="Times New Roman"/>
        </w:rPr>
        <w:t xml:space="preserve"> (</w:t>
      </w:r>
      <w:proofErr w:type="spellStart"/>
      <w:r w:rsidRPr="00473680">
        <w:rPr>
          <w:rFonts w:ascii="Times New Roman" w:hAnsi="Times New Roman" w:cs="Times New Roman"/>
          <w:i/>
          <w:iCs/>
        </w:rPr>
        <w:t>Btk</w:t>
      </w:r>
      <w:proofErr w:type="spellEnd"/>
      <w:r>
        <w:rPr>
          <w:rFonts w:ascii="Times New Roman" w:hAnsi="Times New Roman" w:cs="Times New Roman"/>
        </w:rPr>
        <w:t>) products can impair larval growth and induce enterocyte apoptosis, disrupting protein digestion (Nawrot-Esposito et al., 2020). In silkworms (</w:t>
      </w:r>
      <w:r w:rsidRPr="00473680">
        <w:rPr>
          <w:rFonts w:ascii="Times New Roman" w:hAnsi="Times New Roman" w:cs="Times New Roman"/>
          <w:i/>
          <w:iCs/>
        </w:rPr>
        <w:t>Bombyx mori</w:t>
      </w:r>
      <w:r>
        <w:rPr>
          <w:rFonts w:ascii="Times New Roman" w:hAnsi="Times New Roman" w:cs="Times New Roman"/>
        </w:rPr>
        <w:t xml:space="preserve">), non-lethal exposure to the Cry1F toxin affects growth, immune response, and intestinal microbiota (Xu et al., 2023). Furthermore, colony exposure to </w:t>
      </w:r>
      <w:r w:rsidRPr="00473680">
        <w:rPr>
          <w:rFonts w:ascii="Times New Roman" w:hAnsi="Times New Roman" w:cs="Times New Roman"/>
          <w:i/>
          <w:iCs/>
        </w:rPr>
        <w:t>Bacillus thuringiensis</w:t>
      </w:r>
      <w:r>
        <w:rPr>
          <w:rFonts w:ascii="Times New Roman" w:hAnsi="Times New Roman" w:cs="Times New Roman"/>
        </w:rPr>
        <w:t xml:space="preserve"> </w:t>
      </w:r>
      <w:r w:rsidRPr="00473680">
        <w:rPr>
          <w:rFonts w:ascii="Times New Roman" w:hAnsi="Times New Roman" w:cs="Times New Roman"/>
          <w:i/>
          <w:iCs/>
        </w:rPr>
        <w:t xml:space="preserve">ssp. </w:t>
      </w:r>
      <w:proofErr w:type="spellStart"/>
      <w:r w:rsidRPr="00473680">
        <w:rPr>
          <w:rFonts w:ascii="Times New Roman" w:hAnsi="Times New Roman" w:cs="Times New Roman"/>
          <w:i/>
          <w:iCs/>
        </w:rPr>
        <w:t>aizawai</w:t>
      </w:r>
      <w:proofErr w:type="spellEnd"/>
      <w:r>
        <w:rPr>
          <w:rFonts w:ascii="Times New Roman" w:hAnsi="Times New Roman" w:cs="Times New Roman"/>
        </w:rPr>
        <w:t xml:space="preserve"> under field-</w:t>
      </w:r>
      <w:r>
        <w:rPr>
          <w:rFonts w:ascii="Times New Roman" w:hAnsi="Times New Roman" w:cs="Times New Roman"/>
        </w:rPr>
        <w:lastRenderedPageBreak/>
        <w:t>realistic conditions negatively influenced brood development and caused gut microbiome dysbiosis (</w:t>
      </w:r>
      <w:proofErr w:type="spellStart"/>
      <w:r>
        <w:rPr>
          <w:rFonts w:ascii="Times New Roman" w:hAnsi="Times New Roman" w:cs="Times New Roman"/>
        </w:rPr>
        <w:t>Steinigeweg</w:t>
      </w:r>
      <w:proofErr w:type="spellEnd"/>
      <w:r>
        <w:rPr>
          <w:rFonts w:ascii="Times New Roman" w:hAnsi="Times New Roman" w:cs="Times New Roman"/>
        </w:rPr>
        <w:t xml:space="preserve"> et al., 2023).</w:t>
      </w:r>
    </w:p>
    <w:p w14:paraId="13458B16" w14:textId="291A2B28" w:rsidR="00724D8D" w:rsidRPr="00C80994" w:rsidRDefault="00724D8D" w:rsidP="002E3C54">
      <w:pPr>
        <w:rPr>
          <w:rFonts w:ascii="Times New Roman" w:hAnsi="Times New Roman" w:cs="Times New Roman"/>
          <w:sz w:val="20"/>
          <w:szCs w:val="20"/>
        </w:rPr>
      </w:pPr>
      <w:r w:rsidRPr="002D7444">
        <w:rPr>
          <w:rFonts w:ascii="Times New Roman" w:hAnsi="Times New Roman" w:cs="Times New Roman"/>
          <w:sz w:val="20"/>
          <w:szCs w:val="20"/>
        </w:rPr>
        <w:t>Silkworms (</w:t>
      </w:r>
      <w:r w:rsidRPr="002D7444">
        <w:rPr>
          <w:rFonts w:ascii="Times New Roman" w:hAnsi="Times New Roman" w:cs="Times New Roman"/>
          <w:i/>
          <w:iCs/>
          <w:sz w:val="20"/>
          <w:szCs w:val="20"/>
        </w:rPr>
        <w:t>Bombyx mori</w:t>
      </w:r>
      <w:r w:rsidRPr="002D7444">
        <w:rPr>
          <w:rFonts w:ascii="Times New Roman" w:hAnsi="Times New Roman" w:cs="Times New Roman"/>
          <w:sz w:val="20"/>
          <w:szCs w:val="20"/>
        </w:rPr>
        <w:t>) are widely considered as an ideal organism in practical, cost-effective toxicology model due to their mammal-like detoxification systems, well</w:t>
      </w:r>
      <w:r w:rsidRPr="002D7444">
        <w:rPr>
          <w:rFonts w:ascii="Times New Roman" w:hAnsi="Times New Roman" w:cs="Times New Roman"/>
          <w:sz w:val="20"/>
          <w:szCs w:val="20"/>
        </w:rPr>
        <w:noBreakHyphen/>
        <w:t>characterized genetics, and high sensitivity to diverse chemicals, while offering advantages such as rapid life cycle, easy rearing, and ethical suitability for preliminary screening and ecological risk assessment (</w:t>
      </w:r>
      <w:proofErr w:type="spellStart"/>
      <w:r w:rsidRPr="002D7444">
        <w:rPr>
          <w:rFonts w:ascii="Times New Roman" w:hAnsi="Times New Roman" w:cs="Times New Roman"/>
          <w:color w:val="222222"/>
          <w:sz w:val="20"/>
          <w:szCs w:val="20"/>
          <w:shd w:val="clear" w:color="auto" w:fill="FFFFFF"/>
        </w:rPr>
        <w:t>Panthee</w:t>
      </w:r>
      <w:proofErr w:type="spellEnd"/>
      <w:r w:rsidRPr="002D7444">
        <w:rPr>
          <w:rFonts w:ascii="Times New Roman" w:hAnsi="Times New Roman" w:cs="Times New Roman"/>
          <w:sz w:val="20"/>
          <w:szCs w:val="20"/>
        </w:rPr>
        <w:t xml:space="preserve"> et al., 2017; Abdelli et al., 2018). </w:t>
      </w:r>
      <w:r w:rsidR="00F53C3B" w:rsidRPr="00386607">
        <w:rPr>
          <w:rFonts w:ascii="Times New Roman" w:hAnsi="Times New Roman" w:cs="Times New Roman"/>
          <w:sz w:val="20"/>
          <w:szCs w:val="20"/>
        </w:rPr>
        <w:t xml:space="preserve">Moreover, </w:t>
      </w:r>
      <w:r w:rsidR="00F53C3B" w:rsidRPr="00386607">
        <w:rPr>
          <w:rFonts w:ascii="Times New Roman" w:hAnsi="Times New Roman" w:cs="Times New Roman"/>
        </w:rPr>
        <w:t>Silkworms</w:t>
      </w:r>
      <w:r w:rsidR="000C6349" w:rsidRPr="00386607">
        <w:rPr>
          <w:rFonts w:ascii="Times New Roman" w:hAnsi="Times New Roman" w:cs="Times New Roman"/>
        </w:rPr>
        <w:t xml:space="preserve"> are</w:t>
      </w:r>
      <w:r w:rsidR="00F53C3B" w:rsidRPr="00386607">
        <w:rPr>
          <w:rFonts w:ascii="Times New Roman" w:hAnsi="Times New Roman" w:cs="Times New Roman"/>
        </w:rPr>
        <w:t xml:space="preserve"> valued for their rich protein content, represent a promising source of nutrition for both humans and animals and have long been utilized in traditional medicine</w:t>
      </w:r>
      <w:r w:rsidR="000C6349" w:rsidRPr="00386607">
        <w:rPr>
          <w:rFonts w:ascii="Times New Roman" w:hAnsi="Times New Roman" w:cs="Times New Roman"/>
        </w:rPr>
        <w:t xml:space="preserve"> (Han et al., 2024)</w:t>
      </w:r>
      <w:r w:rsidR="00F53C3B" w:rsidRPr="00386607">
        <w:rPr>
          <w:rFonts w:ascii="Times New Roman" w:hAnsi="Times New Roman" w:cs="Times New Roman"/>
        </w:rPr>
        <w:t>.</w:t>
      </w:r>
      <w:r w:rsidRPr="002D7444">
        <w:rPr>
          <w:rFonts w:ascii="Times New Roman" w:hAnsi="Times New Roman" w:cs="Times New Roman"/>
          <w:sz w:val="20"/>
          <w:szCs w:val="20"/>
        </w:rPr>
        <w:t xml:space="preserve"> </w:t>
      </w:r>
    </w:p>
    <w:p w14:paraId="69851E90" w14:textId="4FA91A2F" w:rsidR="00F25550" w:rsidRDefault="00F3504C" w:rsidP="002E3C54">
      <w:pPr>
        <w:rPr>
          <w:rFonts w:ascii="Times New Roman" w:hAnsi="Times New Roman" w:cs="Times New Roman"/>
        </w:rPr>
      </w:pPr>
      <w:r>
        <w:rPr>
          <w:rFonts w:ascii="Times New Roman" w:hAnsi="Times New Roman" w:cs="Times New Roman"/>
        </w:rPr>
        <w:t xml:space="preserve">Studies have indicated potential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toxicity to soil microorganisms, plants, and food chains, with possible off-target effects on various invertebrates and even vertebrates (Belousova et al., 2021; Mandal et al., 2020). The safety assessment of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crops includes evaluations of invertebrates, mammals, and birds, along with comparative analyses with conventional crops (Ge et al., 2023). Notably,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has shown high toxicity to silkworms, with previous studies reporting significant mortality even at low concentrations (Zou et al., 2024). </w:t>
      </w:r>
    </w:p>
    <w:p w14:paraId="27C5AD52" w14:textId="29F7C641" w:rsidR="00C57D6D" w:rsidRDefault="00C57D6D" w:rsidP="00C57D6D">
      <w:pPr>
        <w:rPr>
          <w:rFonts w:ascii="Times New Roman" w:hAnsi="Times New Roman" w:cs="Times New Roman"/>
        </w:rPr>
      </w:pPr>
      <w:r w:rsidRPr="00C57D6D">
        <w:rPr>
          <w:rFonts w:ascii="Times New Roman" w:hAnsi="Times New Roman" w:cs="Times New Roman"/>
        </w:rPr>
        <w:t xml:space="preserve">Nevertheless, </w:t>
      </w:r>
      <w:proofErr w:type="spellStart"/>
      <w:r w:rsidRPr="00C57D6D">
        <w:rPr>
          <w:rFonts w:ascii="Times New Roman" w:hAnsi="Times New Roman" w:cs="Times New Roman"/>
          <w:i/>
          <w:iCs/>
        </w:rPr>
        <w:t>Bt</w:t>
      </w:r>
      <w:proofErr w:type="spellEnd"/>
      <w:r w:rsidRPr="00C57D6D">
        <w:rPr>
          <w:rFonts w:ascii="Times New Roman" w:hAnsi="Times New Roman" w:cs="Times New Roman"/>
        </w:rPr>
        <w:t xml:space="preserve"> has limitations, such as a narrow activity spectrum and sensitivity to environmental conditions. It remains the most widely used microbial insecticide (</w:t>
      </w:r>
      <w:proofErr w:type="spellStart"/>
      <w:r w:rsidRPr="00C57D6D">
        <w:rPr>
          <w:rFonts w:ascii="Times New Roman" w:hAnsi="Times New Roman" w:cs="Times New Roman"/>
        </w:rPr>
        <w:t>Ragasruthi</w:t>
      </w:r>
      <w:proofErr w:type="spellEnd"/>
      <w:r w:rsidRPr="00C57D6D">
        <w:rPr>
          <w:rFonts w:ascii="Times New Roman" w:hAnsi="Times New Roman" w:cs="Times New Roman"/>
        </w:rPr>
        <w:t xml:space="preserve"> et al.,</w:t>
      </w:r>
      <w:r>
        <w:rPr>
          <w:rFonts w:ascii="Times New Roman" w:hAnsi="Times New Roman" w:cs="Times New Roman"/>
        </w:rPr>
        <w:t xml:space="preserve"> </w:t>
      </w:r>
      <w:r w:rsidRPr="00C57D6D">
        <w:rPr>
          <w:rFonts w:ascii="Times New Roman" w:hAnsi="Times New Roman" w:cs="Times New Roman"/>
        </w:rPr>
        <w:t xml:space="preserve">2024; Girón-Calva et al., 2020). Efforts to enhance its efficacy include isolating novel strains, improving toxin stability, and developing genetically modified plants expressing </w:t>
      </w:r>
      <w:proofErr w:type="spellStart"/>
      <w:r w:rsidRPr="00C57D6D">
        <w:rPr>
          <w:rFonts w:ascii="Times New Roman" w:hAnsi="Times New Roman" w:cs="Times New Roman"/>
          <w:i/>
          <w:iCs/>
        </w:rPr>
        <w:t>Bt</w:t>
      </w:r>
      <w:proofErr w:type="spellEnd"/>
      <w:r w:rsidRPr="00C57D6D">
        <w:rPr>
          <w:rFonts w:ascii="Times New Roman" w:hAnsi="Times New Roman" w:cs="Times New Roman"/>
        </w:rPr>
        <w:t xml:space="preserve"> genes (Ortiz et al., 2023; Alves et al., 2023; Park et al., 2022; Jehangir &amp; Ali, 2023).</w:t>
      </w:r>
      <w:r>
        <w:rPr>
          <w:rFonts w:ascii="Times New Roman" w:hAnsi="Times New Roman" w:cs="Times New Roman"/>
        </w:rPr>
        <w:t xml:space="preserve"> Despite these concerns,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remains a promising alternative to chemical pesticides due to its eco-friendly properties. </w:t>
      </w:r>
      <w:r w:rsidRPr="004923D7">
        <w:rPr>
          <w:rFonts w:ascii="Times New Roman" w:hAnsi="Times New Roman" w:cs="Times New Roman"/>
        </w:rPr>
        <w:t>Given its complex ecological interactions, further investigation into its safety at various ecosystem levels is warranted.</w:t>
      </w:r>
    </w:p>
    <w:p w14:paraId="199DFF49" w14:textId="253EC61E" w:rsidR="00F25550" w:rsidRDefault="00F3504C" w:rsidP="002E3C54">
      <w:pPr>
        <w:rPr>
          <w:rFonts w:ascii="Times New Roman" w:hAnsi="Times New Roman" w:cs="Times New Roman"/>
        </w:rPr>
      </w:pPr>
      <w:r>
        <w:rPr>
          <w:rFonts w:ascii="Times New Roman" w:hAnsi="Times New Roman" w:cs="Times New Roman"/>
        </w:rPr>
        <w:t>These findings enhance our understanding of the ecological risks posed by insecticides to non-target organisms such as silkworms and provide crucial information for environmental risk assessments.</w:t>
      </w:r>
    </w:p>
    <w:p w14:paraId="5D575322" w14:textId="77777777" w:rsidR="00F25550" w:rsidRDefault="00F3504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Materials and Methods</w:t>
      </w:r>
    </w:p>
    <w:p w14:paraId="7A1D215B" w14:textId="77777777" w:rsidR="00F25550" w:rsidRDefault="00F3504C">
      <w:pPr>
        <w:rPr>
          <w:rFonts w:ascii="Times New Roman" w:hAnsi="Times New Roman" w:cs="Times New Roman"/>
        </w:rPr>
      </w:pPr>
      <w:r>
        <w:rPr>
          <w:rFonts w:ascii="Times New Roman" w:hAnsi="Times New Roman" w:cs="Times New Roman"/>
          <w:b/>
          <w:bCs/>
        </w:rPr>
        <w:t>2.1. Test Conditions and Concentration Design</w:t>
      </w:r>
    </w:p>
    <w:p w14:paraId="0D424704" w14:textId="77777777" w:rsidR="00481BD7" w:rsidRDefault="00F3504C" w:rsidP="00481BD7">
      <w:pPr>
        <w:rPr>
          <w:rFonts w:ascii="Times New Roman" w:hAnsi="Times New Roman" w:cs="Times New Roman"/>
        </w:rPr>
      </w:pPr>
      <w:r>
        <w:rPr>
          <w:rFonts w:ascii="Times New Roman" w:hAnsi="Times New Roman" w:cs="Times New Roman"/>
        </w:rPr>
        <w:t>Environmental conditions were monitored throughout the test period. Temperature ranged from 23.4 to 26.5°C, relative humidity from 75.8% to 84.3%, and the light cycle was 16h:8h (light:</w:t>
      </w:r>
      <w:r w:rsidR="004B3102">
        <w:rPr>
          <w:rFonts w:ascii="Times New Roman" w:hAnsi="Times New Roman" w:cs="Times New Roman"/>
        </w:rPr>
        <w:t xml:space="preserve"> </w:t>
      </w:r>
      <w:r>
        <w:rPr>
          <w:rFonts w:ascii="Times New Roman" w:hAnsi="Times New Roman" w:cs="Times New Roman"/>
        </w:rPr>
        <w:t>dark).</w:t>
      </w:r>
    </w:p>
    <w:p w14:paraId="66D09780" w14:textId="4451B2B9" w:rsidR="00F25550" w:rsidRDefault="00F3504C" w:rsidP="00481BD7">
      <w:pPr>
        <w:rPr>
          <w:rFonts w:ascii="Times New Roman" w:hAnsi="Times New Roman" w:cs="Times New Roman"/>
        </w:rPr>
      </w:pPr>
      <w:r>
        <w:rPr>
          <w:rFonts w:ascii="Times New Roman" w:hAnsi="Times New Roman" w:cs="Times New Roman"/>
        </w:rPr>
        <w:t>The experiment followed a dose</w:t>
      </w:r>
      <w:r w:rsidR="002C21F8">
        <w:rPr>
          <w:rFonts w:ascii="Times New Roman" w:hAnsi="Times New Roman" w:cs="Times New Roman"/>
        </w:rPr>
        <w:t>-</w:t>
      </w:r>
      <w:r>
        <w:rPr>
          <w:rFonts w:ascii="Times New Roman" w:hAnsi="Times New Roman" w:cs="Times New Roman"/>
        </w:rPr>
        <w:t>response design with five treatment concentrations (3.16 × 10⁴, 1.00 × 10⁵, 3.16 × 10⁵, 1.00 × 10⁶, and 3.16 × 10⁶ CFU/m</w:t>
      </w:r>
      <w:r w:rsidR="002E3C54">
        <w:rPr>
          <w:rFonts w:ascii="Times New Roman" w:hAnsi="Times New Roman" w:cs="Times New Roman"/>
        </w:rPr>
        <w:t>L</w:t>
      </w:r>
      <w:r>
        <w:rPr>
          <w:rFonts w:ascii="Times New Roman" w:hAnsi="Times New Roman" w:cs="Times New Roman"/>
        </w:rPr>
        <w:t>), a blank control (CK1), and an inactivated control (CK2). Each treatment was replicated four times, with 20 silkworms per replicate.</w:t>
      </w:r>
    </w:p>
    <w:p w14:paraId="6B510787" w14:textId="77777777" w:rsidR="00F25550" w:rsidRDefault="00F3504C">
      <w:pPr>
        <w:rPr>
          <w:rFonts w:ascii="Times New Roman" w:hAnsi="Times New Roman" w:cs="Times New Roman"/>
          <w:b/>
          <w:bCs/>
        </w:rPr>
      </w:pPr>
      <w:r>
        <w:rPr>
          <w:rFonts w:ascii="Times New Roman" w:hAnsi="Times New Roman" w:cs="Times New Roman"/>
          <w:b/>
          <w:bCs/>
        </w:rPr>
        <w:t>2.2. Preparation of Mother Liquor</w:t>
      </w:r>
    </w:p>
    <w:p w14:paraId="1E9AB3D1" w14:textId="63EDB80D" w:rsidR="00F25550" w:rsidRDefault="00F3504C">
      <w:pPr>
        <w:rPr>
          <w:rFonts w:ascii="Times New Roman" w:hAnsi="Times New Roman" w:cs="Times New Roman"/>
        </w:rPr>
      </w:pPr>
      <w:r>
        <w:rPr>
          <w:rFonts w:ascii="Times New Roman" w:hAnsi="Times New Roman" w:cs="Times New Roman"/>
        </w:rPr>
        <w:t>A total of 0.2286 g of the test substance was dissolved in sterile water in a 50 m</w:t>
      </w:r>
      <w:r w:rsidR="00BB1DF6">
        <w:rPr>
          <w:rFonts w:ascii="Times New Roman" w:hAnsi="Times New Roman" w:cs="Times New Roman"/>
        </w:rPr>
        <w:t>l</w:t>
      </w:r>
      <w:r>
        <w:rPr>
          <w:rFonts w:ascii="Times New Roman" w:hAnsi="Times New Roman" w:cs="Times New Roman"/>
        </w:rPr>
        <w:t xml:space="preserve"> beaker and diluted to 100 m</w:t>
      </w:r>
      <w:r w:rsidR="00BB1DF6">
        <w:rPr>
          <w:rFonts w:ascii="Times New Roman" w:hAnsi="Times New Roman" w:cs="Times New Roman"/>
        </w:rPr>
        <w:t>l</w:t>
      </w:r>
      <w:r>
        <w:rPr>
          <w:rFonts w:ascii="Times New Roman" w:hAnsi="Times New Roman" w:cs="Times New Roman"/>
        </w:rPr>
        <w:t xml:space="preserve"> in a volumetric flask. The solution was transferred to a 500 m</w:t>
      </w:r>
      <w:r w:rsidR="00BB1DF6">
        <w:rPr>
          <w:rFonts w:ascii="Times New Roman" w:hAnsi="Times New Roman" w:cs="Times New Roman"/>
        </w:rPr>
        <w:t>l</w:t>
      </w:r>
      <w:r>
        <w:rPr>
          <w:rFonts w:ascii="Times New Roman" w:hAnsi="Times New Roman" w:cs="Times New Roman"/>
        </w:rPr>
        <w:t xml:space="preserve"> flask containing glass beads and shaken at 185 rpm and 25°C for 40 minutes to obtain a stock solution of 1.00 × 10⁸ CFU/</w:t>
      </w:r>
      <w:proofErr w:type="spellStart"/>
      <w:r>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Serial dilutions were prepared by transferring 3.160 </w:t>
      </w:r>
      <w:r w:rsidR="00E25FDA">
        <w:rPr>
          <w:rFonts w:ascii="Times New Roman" w:hAnsi="Times New Roman" w:cs="Times New Roman"/>
        </w:rPr>
        <w:t>ml</w:t>
      </w:r>
      <w:r>
        <w:rPr>
          <w:rFonts w:ascii="Times New Roman" w:hAnsi="Times New Roman" w:cs="Times New Roman"/>
        </w:rPr>
        <w:t xml:space="preserve">, 1.000 </w:t>
      </w:r>
      <w:r w:rsidR="00E25FDA">
        <w:rPr>
          <w:rFonts w:ascii="Times New Roman" w:hAnsi="Times New Roman" w:cs="Times New Roman"/>
        </w:rPr>
        <w:t>ml</w:t>
      </w:r>
      <w:r>
        <w:rPr>
          <w:rFonts w:ascii="Times New Roman" w:hAnsi="Times New Roman" w:cs="Times New Roman"/>
        </w:rPr>
        <w:t xml:space="preserve">, and 0.316 </w:t>
      </w:r>
      <w:r w:rsidR="00E25FDA">
        <w:rPr>
          <w:rFonts w:ascii="Times New Roman" w:hAnsi="Times New Roman" w:cs="Times New Roman"/>
        </w:rPr>
        <w:t>ml</w:t>
      </w:r>
      <w:r>
        <w:rPr>
          <w:rFonts w:ascii="Times New Roman" w:hAnsi="Times New Roman" w:cs="Times New Roman"/>
        </w:rPr>
        <w:t xml:space="preserve"> into separate 100 </w:t>
      </w:r>
      <w:r w:rsidR="00E25FDA">
        <w:rPr>
          <w:rFonts w:ascii="Times New Roman" w:hAnsi="Times New Roman" w:cs="Times New Roman"/>
        </w:rPr>
        <w:t>ml</w:t>
      </w:r>
      <w:r>
        <w:rPr>
          <w:rFonts w:ascii="Times New Roman" w:hAnsi="Times New Roman" w:cs="Times New Roman"/>
        </w:rPr>
        <w:t xml:space="preserve"> volumetric flasks and adjusting the volume with sterile water to obtain concentrations of 3.16 × 10⁶, 1.00 × 10⁶, and 3.16 × 10⁵ CFU/</w:t>
      </w:r>
      <w:r w:rsidR="00E25FDA" w:rsidRPr="00E25FDA">
        <w:rPr>
          <w:rFonts w:ascii="Times New Roman" w:hAnsi="Times New Roman" w:cs="Times New Roman"/>
        </w:rPr>
        <w:t xml:space="preserve"> </w:t>
      </w:r>
      <w:proofErr w:type="spellStart"/>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Further dilutions yielded 1.00 × 10⁵ and 3.16 × 10⁴ CFU/</w:t>
      </w:r>
      <w:r w:rsidR="00E25FDA" w:rsidRPr="00E25FDA">
        <w:rPr>
          <w:rFonts w:ascii="Times New Roman" w:hAnsi="Times New Roman" w:cs="Times New Roman"/>
        </w:rPr>
        <w:t xml:space="preserve"> </w:t>
      </w:r>
      <w:proofErr w:type="spellStart"/>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For the inactivated control (CK2), 50 mL of the 3.16 × 10⁶ CFU/</w:t>
      </w:r>
      <w:r w:rsidR="00E25FDA" w:rsidRPr="00E25FDA">
        <w:rPr>
          <w:rFonts w:ascii="Times New Roman" w:hAnsi="Times New Roman" w:cs="Times New Roman"/>
        </w:rPr>
        <w:t xml:space="preserve"> </w:t>
      </w:r>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 xml:space="preserve"> solution was autoclaved at 121°C for 20 minutes.</w:t>
      </w:r>
    </w:p>
    <w:p w14:paraId="2FF11073" w14:textId="77777777" w:rsidR="00F25550" w:rsidRDefault="00F3504C">
      <w:pPr>
        <w:rPr>
          <w:rFonts w:ascii="Times New Roman" w:hAnsi="Times New Roman" w:cs="Times New Roman"/>
          <w:b/>
          <w:bCs/>
        </w:rPr>
      </w:pPr>
      <w:r>
        <w:rPr>
          <w:rFonts w:ascii="Times New Roman" w:hAnsi="Times New Roman" w:cs="Times New Roman"/>
          <w:b/>
          <w:bCs/>
        </w:rPr>
        <w:t xml:space="preserve">2.3. Isolation of </w:t>
      </w:r>
      <w:r w:rsidRPr="00E36770">
        <w:rPr>
          <w:rFonts w:ascii="Times New Roman" w:hAnsi="Times New Roman" w:cs="Times New Roman"/>
          <w:b/>
          <w:bCs/>
          <w:i/>
          <w:iCs/>
        </w:rPr>
        <w:t>Bacillus thuringiensis</w:t>
      </w:r>
    </w:p>
    <w:p w14:paraId="4E10D61B" w14:textId="09AF2A89" w:rsidR="00F25550" w:rsidRDefault="00F3504C">
      <w:pPr>
        <w:rPr>
          <w:rFonts w:ascii="Times New Roman" w:hAnsi="Times New Roman" w:cs="Times New Roman"/>
        </w:rPr>
      </w:pPr>
      <w:r>
        <w:rPr>
          <w:rFonts w:ascii="Times New Roman" w:hAnsi="Times New Roman" w:cs="Times New Roman"/>
        </w:rPr>
        <w:t xml:space="preserve">A 0.005 g sample of </w:t>
      </w:r>
      <w:proofErr w:type="spellStart"/>
      <w:r w:rsidRPr="00E36770">
        <w:rPr>
          <w:rFonts w:ascii="Times New Roman" w:hAnsi="Times New Roman" w:cs="Times New Roman"/>
          <w:i/>
          <w:iCs/>
        </w:rPr>
        <w:t>Bt</w:t>
      </w:r>
      <w:proofErr w:type="spellEnd"/>
      <w:r>
        <w:rPr>
          <w:rFonts w:ascii="Times New Roman" w:hAnsi="Times New Roman" w:cs="Times New Roman"/>
        </w:rPr>
        <w:t xml:space="preserve"> (437.5 billion CFU/g) was dissolved in a clean 10 </w:t>
      </w:r>
      <w:r w:rsidR="00E36770">
        <w:rPr>
          <w:rFonts w:ascii="Times New Roman" w:hAnsi="Times New Roman" w:cs="Times New Roman"/>
        </w:rPr>
        <w:t>ml</w:t>
      </w:r>
      <w:r>
        <w:rPr>
          <w:rFonts w:ascii="Times New Roman" w:hAnsi="Times New Roman" w:cs="Times New Roman"/>
        </w:rPr>
        <w:t xml:space="preserve"> volumetric flask, shaken thoroughly, and serially diluted to 10⁻⁴ using a tenfold dilution method. A 0.10 </w:t>
      </w:r>
      <w:r w:rsidR="00F153B9">
        <w:rPr>
          <w:rFonts w:ascii="Times New Roman" w:hAnsi="Times New Roman" w:cs="Times New Roman"/>
        </w:rPr>
        <w:t>ml</w:t>
      </w:r>
      <w:r>
        <w:rPr>
          <w:rFonts w:ascii="Times New Roman" w:hAnsi="Times New Roman" w:cs="Times New Roman"/>
        </w:rPr>
        <w:t xml:space="preserve"> aliquot of the 10⁻⁵ dilution was prepared and used as the test strain.</w:t>
      </w:r>
    </w:p>
    <w:p w14:paraId="76F2AAD6" w14:textId="77777777" w:rsidR="00F25550" w:rsidRDefault="00F3504C">
      <w:pPr>
        <w:rPr>
          <w:rFonts w:ascii="Times New Roman" w:hAnsi="Times New Roman" w:cs="Times New Roman"/>
          <w:b/>
          <w:bCs/>
        </w:rPr>
      </w:pPr>
      <w:r>
        <w:rPr>
          <w:rFonts w:ascii="Times New Roman" w:hAnsi="Times New Roman" w:cs="Times New Roman"/>
          <w:b/>
          <w:bCs/>
        </w:rPr>
        <w:lastRenderedPageBreak/>
        <w:t>2.4. Silkworm Infection</w:t>
      </w:r>
    </w:p>
    <w:p w14:paraId="5690DC8F" w14:textId="103035BA" w:rsidR="00F25550" w:rsidRDefault="00F3504C">
      <w:pPr>
        <w:rPr>
          <w:rFonts w:ascii="Times New Roman" w:hAnsi="Times New Roman" w:cs="Times New Roman"/>
        </w:rPr>
      </w:pPr>
      <w:r>
        <w:rPr>
          <w:rFonts w:ascii="Times New Roman" w:hAnsi="Times New Roman" w:cs="Times New Roman"/>
        </w:rPr>
        <w:t xml:space="preserve">Isolated strains cultured on LB medium plates were transferred to liquid LB medium and incubated in a shaker at 150 rpm and 30°C for 48 hours. The culture was centrifuged at 4000 rpm for 30 minutes, the supernatant was discarded, and the bacterial pellet was resuspended in sterile water. The resuspended solution was transferred to a 50 </w:t>
      </w:r>
      <w:r w:rsidR="00557F7B">
        <w:rPr>
          <w:rFonts w:ascii="Times New Roman" w:hAnsi="Times New Roman" w:cs="Times New Roman"/>
        </w:rPr>
        <w:t>ml</w:t>
      </w:r>
      <w:r>
        <w:rPr>
          <w:rFonts w:ascii="Times New Roman" w:hAnsi="Times New Roman" w:cs="Times New Roman"/>
        </w:rPr>
        <w:t xml:space="preserve"> volumetric flask, mixed with glass beads, and shaken at 185 rpm and 25°C for 40 minutes. A 1.0 m</w:t>
      </w:r>
      <w:r w:rsidR="00B820EC">
        <w:rPr>
          <w:rFonts w:ascii="Times New Roman" w:hAnsi="Times New Roman" w:cs="Times New Roman"/>
        </w:rPr>
        <w:t>l</w:t>
      </w:r>
      <w:r>
        <w:rPr>
          <w:rFonts w:ascii="Times New Roman" w:hAnsi="Times New Roman" w:cs="Times New Roman"/>
        </w:rPr>
        <w:t xml:space="preserve"> aliquot was diluted to 10⁻⁸, plated using dilutions from 10⁻⁶ to 10⁻⁸, and colonies were counted after 24 hours. For silkworm infection, 5 g of mulberry leaves were dipped in 50 m</w:t>
      </w:r>
      <w:r w:rsidR="00B820EC">
        <w:rPr>
          <w:rFonts w:ascii="Times New Roman" w:hAnsi="Times New Roman" w:cs="Times New Roman"/>
        </w:rPr>
        <w:t>l</w:t>
      </w:r>
      <w:r>
        <w:rPr>
          <w:rFonts w:ascii="Times New Roman" w:hAnsi="Times New Roman" w:cs="Times New Roman"/>
        </w:rPr>
        <w:t xml:space="preserve"> of the test solution to ensure even distribution. The leaves were air-dried, placed in 12 cm culture dishes, and inoculated with 20 second-instar silkworms per dish. Symptoms were observed after 24 hours, with four replicates per treatment.</w:t>
      </w:r>
    </w:p>
    <w:p w14:paraId="0E6A4DDE" w14:textId="77777777" w:rsidR="00F25550" w:rsidRDefault="00F3504C">
      <w:pPr>
        <w:rPr>
          <w:rFonts w:ascii="Times New Roman" w:hAnsi="Times New Roman" w:cs="Times New Roman"/>
          <w:b/>
          <w:bCs/>
        </w:rPr>
      </w:pPr>
      <w:r>
        <w:rPr>
          <w:rFonts w:ascii="Times New Roman" w:hAnsi="Times New Roman" w:cs="Times New Roman"/>
          <w:b/>
          <w:bCs/>
        </w:rPr>
        <w:t>2.5. Poisoning Procedure</w:t>
      </w:r>
    </w:p>
    <w:p w14:paraId="6FB377CD" w14:textId="77777777" w:rsidR="00481BD7" w:rsidRDefault="00F3504C" w:rsidP="00481BD7">
      <w:pPr>
        <w:rPr>
          <w:rFonts w:ascii="Times New Roman" w:hAnsi="Times New Roman" w:cs="Times New Roman"/>
        </w:rPr>
      </w:pPr>
      <w:r>
        <w:rPr>
          <w:rFonts w:ascii="Times New Roman" w:hAnsi="Times New Roman" w:cs="Times New Roman"/>
        </w:rPr>
        <w:t xml:space="preserve">The leaf-dipping method was used. Approximately 5 g of mulberry leaves were soaked in 50 </w:t>
      </w:r>
      <w:r w:rsidR="00A70064">
        <w:rPr>
          <w:rFonts w:ascii="Times New Roman" w:hAnsi="Times New Roman" w:cs="Times New Roman"/>
        </w:rPr>
        <w:t>ml</w:t>
      </w:r>
      <w:r>
        <w:rPr>
          <w:rFonts w:ascii="Times New Roman" w:hAnsi="Times New Roman" w:cs="Times New Roman"/>
        </w:rPr>
        <w:t xml:space="preserve"> of test solution to ensure even coverage. After shade-drying, the leaves were placed in 12 cm diameter culture dishes, each containing 20 second-instar silkworms. After 24 hours, the silkworms were transferred to clean culture dishes and fed fresh, non-toxic mulberry leaves. Upon reaching the fourth instar, they were moved to clean containers and fed until the mature stage. Silkworms were allowed to cocoon and pupate fully.</w:t>
      </w:r>
    </w:p>
    <w:p w14:paraId="0CE14A6E" w14:textId="38715AC1" w:rsidR="00F25550" w:rsidRDefault="00F3504C" w:rsidP="00481BD7">
      <w:pPr>
        <w:rPr>
          <w:rFonts w:ascii="Times New Roman" w:hAnsi="Times New Roman" w:cs="Times New Roman"/>
        </w:rPr>
      </w:pPr>
      <w:r>
        <w:rPr>
          <w:rFonts w:ascii="Times New Roman" w:hAnsi="Times New Roman" w:cs="Times New Roman"/>
        </w:rPr>
        <w:t>Throughout the experiment, poisoning symptoms and mortality were observed and recorded daily. Cocoon weight, cocoon shell weight, and pupal weight were measured on the 8</w:t>
      </w:r>
      <w:r w:rsidRPr="00260D0B">
        <w:rPr>
          <w:rFonts w:ascii="Times New Roman" w:hAnsi="Times New Roman" w:cs="Times New Roman"/>
          <w:vertAlign w:val="superscript"/>
        </w:rPr>
        <w:t>th</w:t>
      </w:r>
      <w:r>
        <w:rPr>
          <w:rFonts w:ascii="Times New Roman" w:hAnsi="Times New Roman" w:cs="Times New Roman"/>
        </w:rPr>
        <w:t xml:space="preserve"> day.</w:t>
      </w:r>
    </w:p>
    <w:p w14:paraId="39F1151C" w14:textId="77777777" w:rsidR="00F25550" w:rsidRDefault="00F3504C">
      <w:pPr>
        <w:rPr>
          <w:rFonts w:ascii="Times New Roman" w:hAnsi="Times New Roman" w:cs="Times New Roman"/>
          <w:b/>
          <w:bCs/>
        </w:rPr>
      </w:pPr>
      <w:r>
        <w:rPr>
          <w:rFonts w:ascii="Times New Roman" w:hAnsi="Times New Roman" w:cs="Times New Roman"/>
          <w:b/>
          <w:bCs/>
        </w:rPr>
        <w:t>2.6. Statistical Analysis</w:t>
      </w:r>
    </w:p>
    <w:p w14:paraId="70C3A105" w14:textId="01E892F7" w:rsidR="00F25550" w:rsidRDefault="00F3504C">
      <w:pPr>
        <w:rPr>
          <w:rFonts w:hAnsi="Cambria Math" w:cs="Times New Roman"/>
        </w:rPr>
      </w:pPr>
      <w:r>
        <w:rPr>
          <w:rFonts w:ascii="Times New Roman" w:hAnsi="Times New Roman" w:cs="Times New Roman"/>
        </w:rPr>
        <w:t>Mortality rates were adjusted using Formula (1). Probit analysis was performed on silkworm mortality data using SPSS 22.0 to calculate the LC</w:t>
      </w:r>
      <w:r w:rsidR="00481BD7" w:rsidRPr="00481BD7">
        <w:rPr>
          <w:rFonts w:ascii="Times New Roman" w:hAnsi="Times New Roman" w:cs="Times New Roman" w:hint="eastAsia"/>
          <w:vertAlign w:val="subscript"/>
        </w:rPr>
        <w:t>50</w:t>
      </w:r>
      <w:r>
        <w:rPr>
          <w:rFonts w:ascii="Times New Roman" w:hAnsi="Times New Roman" w:cs="Times New Roman"/>
        </w:rPr>
        <w:t xml:space="preserve"> and 95% confidence limits. Formulas (2), (3), and (4) were used to calculate cocooning rate, pupation rate, and cocoon shell rate for each treatment and control group. One-way ANOVA (LSD test) was applied to analyze differences in whole cocoon weight, cocoon shell weight, and pupal weight between concentration groups and the control</w:t>
      </w:r>
      <w:r>
        <w:rPr>
          <w:rFonts w:ascii="Times New Roman" w:hAnsi="Times New Roman" w:cs="Times New Roman" w:hint="eastAsia"/>
        </w:rPr>
        <w:t>.</w:t>
      </w:r>
    </w:p>
    <w:p w14:paraId="1C053275"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Mortality rate (%)</m:t>
          </m:r>
          <m:r>
            <m:rPr>
              <m:sty m:val="p"/>
            </m:rPr>
            <w:rPr>
              <w:rFonts w:ascii="Times New Roman" w:eastAsia="SimSun" w:hAnsi="Times New Roman" w:cs="Times New Roman"/>
              <w:color w:val="0F1115"/>
              <w:szCs w:val="21"/>
              <w:shd w:val="clear" w:color="auto" w:fill="FFFFFF"/>
            </w:rPr>
            <m:t xml:space="preserve"> =</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dead silkworms</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0E6D6CE0"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Cocooning rate (%)</m:t>
          </m:r>
          <m:r>
            <m:rPr>
              <m:sty m:val="p"/>
            </m:rPr>
            <w:rPr>
              <w:rFonts w:ascii="Times New Roman" w:eastAsia="SimSun" w:hAnsi="Times New Roman" w:cs="Times New Roman"/>
              <w:color w:val="0F1115"/>
              <w:szCs w:val="21"/>
              <w:shd w:val="clear" w:color="auto" w:fill="FFFFFF"/>
            </w:rPr>
            <m:t>=</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cocoons formed​</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16F693F6"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Pupation rate (%)</m:t>
          </m:r>
          <m:r>
            <m:rPr>
              <m:sty m:val="p"/>
            </m:rPr>
            <w:rPr>
              <w:rFonts w:ascii="Times New Roman" w:eastAsia="SimSun" w:hAnsi="Times New Roman" w:cs="Times New Roman"/>
              <w:color w:val="0F1115"/>
              <w:szCs w:val="21"/>
              <w:shd w:val="clear" w:color="auto" w:fill="FFFFFF"/>
            </w:rPr>
            <m:t xml:space="preserve"> =</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pupae formed</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0C96FBE4" w14:textId="3BE0B212" w:rsidR="00F25550" w:rsidRDefault="00F3504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Results</w:t>
      </w:r>
      <w:r w:rsidR="00753302">
        <w:rPr>
          <w:rFonts w:ascii="Times New Roman" w:hAnsi="Times New Roman" w:cs="Times New Roman"/>
          <w:b/>
          <w:bCs/>
          <w:sz w:val="24"/>
          <w:szCs w:val="32"/>
        </w:rPr>
        <w:t xml:space="preserve"> and Discussion</w:t>
      </w:r>
    </w:p>
    <w:p w14:paraId="174A2429"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 xml:space="preserve">Poisoning Symptoms, Mortality, and Toxicity of </w:t>
      </w:r>
      <w:r w:rsidRPr="00F67D50">
        <w:rPr>
          <w:rFonts w:ascii="Times New Roman" w:hAnsi="Times New Roman" w:cs="Times New Roman"/>
          <w:b/>
          <w:bCs/>
          <w:i/>
          <w:iCs/>
        </w:rPr>
        <w:t>Bacillus thuringiensis</w:t>
      </w:r>
      <w:r>
        <w:rPr>
          <w:rFonts w:ascii="Times New Roman" w:hAnsi="Times New Roman" w:cs="Times New Roman"/>
          <w:b/>
          <w:bCs/>
        </w:rPr>
        <w:t xml:space="preserve"> (</w:t>
      </w:r>
      <w:proofErr w:type="spellStart"/>
      <w:r w:rsidRPr="00F67D50">
        <w:rPr>
          <w:rFonts w:ascii="Times New Roman" w:hAnsi="Times New Roman" w:cs="Times New Roman"/>
          <w:b/>
          <w:bCs/>
          <w:i/>
          <w:iCs/>
        </w:rPr>
        <w:t>Bt</w:t>
      </w:r>
      <w:proofErr w:type="spellEnd"/>
      <w:r>
        <w:rPr>
          <w:rFonts w:ascii="Times New Roman" w:hAnsi="Times New Roman" w:cs="Times New Roman"/>
          <w:b/>
          <w:bCs/>
        </w:rPr>
        <w:t>)</w:t>
      </w:r>
    </w:p>
    <w:p w14:paraId="75EBF473" w14:textId="77777777" w:rsidR="00481BD7" w:rsidRDefault="00F3504C" w:rsidP="00481BD7">
      <w:pPr>
        <w:rPr>
          <w:rFonts w:ascii="Times New Roman" w:hAnsi="Times New Roman" w:cs="Times New Roman"/>
        </w:rPr>
      </w:pPr>
      <w:r>
        <w:rPr>
          <w:rFonts w:ascii="Times New Roman" w:hAnsi="Times New Roman" w:cs="Times New Roman"/>
        </w:rPr>
        <w:t xml:space="preserve">Silkworms exposed to </w:t>
      </w:r>
      <w:proofErr w:type="spellStart"/>
      <w:r w:rsidRPr="00F67D50">
        <w:rPr>
          <w:rFonts w:ascii="Times New Roman" w:hAnsi="Times New Roman" w:cs="Times New Roman"/>
          <w:i/>
          <w:iCs/>
        </w:rPr>
        <w:t>Bt</w:t>
      </w:r>
      <w:proofErr w:type="spellEnd"/>
      <w:r>
        <w:rPr>
          <w:rFonts w:ascii="Times New Roman" w:hAnsi="Times New Roman" w:cs="Times New Roman"/>
        </w:rPr>
        <w:t xml:space="preserve"> exhibited symptoms including side-lying, body blackening, shrinkage, soft and darkened abdomen, rotting, and foul odor. These symptoms were exclusively observed in </w:t>
      </w:r>
      <w:proofErr w:type="spellStart"/>
      <w:r w:rsidRPr="00B86628">
        <w:rPr>
          <w:rFonts w:ascii="Times New Roman" w:hAnsi="Times New Roman" w:cs="Times New Roman"/>
          <w:i/>
          <w:iCs/>
        </w:rPr>
        <w:t>Bt</w:t>
      </w:r>
      <w:proofErr w:type="spellEnd"/>
      <w:r>
        <w:rPr>
          <w:rFonts w:ascii="Times New Roman" w:hAnsi="Times New Roman" w:cs="Times New Roman"/>
        </w:rPr>
        <w:t>-treated groups, while the blank control</w:t>
      </w:r>
      <w:r w:rsidR="00B86628">
        <w:rPr>
          <w:rFonts w:ascii="Times New Roman" w:hAnsi="Times New Roman" w:cs="Times New Roman"/>
        </w:rPr>
        <w:t xml:space="preserve"> </w:t>
      </w:r>
      <w:r>
        <w:rPr>
          <w:rFonts w:ascii="Times New Roman" w:hAnsi="Times New Roman" w:cs="Times New Roman"/>
        </w:rPr>
        <w:t>(CK1) and inactivated control</w:t>
      </w:r>
      <w:r w:rsidR="00B86628">
        <w:rPr>
          <w:rFonts w:ascii="Times New Roman" w:hAnsi="Times New Roman" w:cs="Times New Roman"/>
        </w:rPr>
        <w:t xml:space="preserve"> </w:t>
      </w:r>
      <w:r>
        <w:rPr>
          <w:rFonts w:ascii="Times New Roman" w:hAnsi="Times New Roman" w:cs="Times New Roman"/>
        </w:rPr>
        <w:t>(CK2) remained unaffected throughout the experiment.</w:t>
      </w:r>
    </w:p>
    <w:p w14:paraId="0D84590E" w14:textId="77777777" w:rsidR="00481BD7" w:rsidRDefault="00F3504C" w:rsidP="00481BD7">
      <w:pPr>
        <w:rPr>
          <w:rFonts w:ascii="Times New Roman" w:hAnsi="Times New Roman" w:cs="Times New Roman"/>
        </w:rPr>
      </w:pPr>
      <w:r>
        <w:rPr>
          <w:rFonts w:ascii="Times New Roman" w:hAnsi="Times New Roman" w:cs="Times New Roman"/>
        </w:rPr>
        <w:t>The onset and severity of symptoms were closely linked to mortality. The highest concentration (3.16 × 10⁶ CFU/</w:t>
      </w:r>
      <w:r w:rsidR="00376CD2" w:rsidRPr="00376CD2">
        <w:rPr>
          <w:rFonts w:ascii="Times New Roman" w:hAnsi="Times New Roman" w:cs="Times New Roman"/>
        </w:rPr>
        <w:t xml:space="preserve"> </w:t>
      </w:r>
      <w:r w:rsidR="00376CD2">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T5) induced the most rapid and severe reaction, with over 90% of individuals showing lateral lying on day 1 and reaching 100% mortality by day 2. The sub-high concentration group (1.00 × 10⁶ CFU/</w:t>
      </w:r>
      <w:r w:rsidR="00376CD2">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T4) also showed rapid symptom progression, with over half of the silkworms affected on day 1 and a final mortality of 80%. In contrast, symptom development in the low and medium concentration groups (T1-T3) was slower, with body shrinkage, darkening, and incomplete cocooning observed mainly during the mid to late stages of the experiment.</w:t>
      </w:r>
    </w:p>
    <w:p w14:paraId="3239FBF8" w14:textId="47A12E91" w:rsidR="00F25550" w:rsidRDefault="00F3504C" w:rsidP="00481BD7">
      <w:pPr>
        <w:rPr>
          <w:rFonts w:ascii="Times New Roman" w:hAnsi="Times New Roman" w:cs="Times New Roman"/>
        </w:rPr>
      </w:pPr>
      <w:r>
        <w:rPr>
          <w:rFonts w:ascii="Times New Roman" w:hAnsi="Times New Roman" w:cs="Times New Roman"/>
        </w:rPr>
        <w:lastRenderedPageBreak/>
        <w:t xml:space="preserve">Mortality data confirmed a strong dose and time-dependent toxic effect (Table </w:t>
      </w:r>
      <w:r>
        <w:rPr>
          <w:rFonts w:ascii="Times New Roman" w:hAnsi="Times New Roman" w:cs="Times New Roman" w:hint="eastAsia"/>
        </w:rPr>
        <w:t>1</w:t>
      </w:r>
      <w:r>
        <w:rPr>
          <w:rFonts w:ascii="Times New Roman" w:hAnsi="Times New Roman" w:cs="Times New Roman"/>
        </w:rPr>
        <w:t>, Figure 1). The blank and inactivated control groups showed no mortality. The lowest mortality was recorded at the lowest concentration (3.16 × 10⁴ CFU/</w:t>
      </w:r>
      <w:r w:rsidR="00B805A8" w:rsidRPr="00B805A8">
        <w:rPr>
          <w:rFonts w:ascii="Times New Roman" w:hAnsi="Times New Roman" w:cs="Times New Roman"/>
        </w:rPr>
        <w:t xml:space="preserve"> </w:t>
      </w:r>
      <w:r w:rsidR="00B805A8">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xml:space="preserve">, T1), while the highest concentration (T5) caused 76% mortality on the first day, culminating in 100% mortality by day 2. The cumulative mortality over 23 days was significantly higher in the higher </w:t>
      </w:r>
      <w:proofErr w:type="spellStart"/>
      <w:r>
        <w:rPr>
          <w:rFonts w:ascii="Times New Roman" w:hAnsi="Times New Roman" w:cs="Times New Roman"/>
        </w:rPr>
        <w:t>Bt</w:t>
      </w:r>
      <w:proofErr w:type="spellEnd"/>
      <w:r>
        <w:rPr>
          <w:rFonts w:ascii="Times New Roman" w:hAnsi="Times New Roman" w:cs="Times New Roman"/>
        </w:rPr>
        <w:t xml:space="preserve"> concentration groups (Table </w:t>
      </w:r>
      <w:r>
        <w:rPr>
          <w:rFonts w:ascii="Times New Roman" w:hAnsi="Times New Roman" w:cs="Times New Roman" w:hint="eastAsia"/>
        </w:rPr>
        <w:t>2</w:t>
      </w:r>
      <w:r>
        <w:rPr>
          <w:rFonts w:ascii="Times New Roman" w:hAnsi="Times New Roman" w:cs="Times New Roman"/>
        </w:rPr>
        <w:t>, Figure 2).</w:t>
      </w:r>
    </w:p>
    <w:p w14:paraId="758424EB" w14:textId="620006B7" w:rsidR="00F25550" w:rsidRPr="00481BD7" w:rsidRDefault="00F3504C">
      <w:pPr>
        <w:rPr>
          <w:rFonts w:ascii="Times New Roman" w:hAnsi="Times New Roman" w:cs="Times New Roman"/>
          <w:szCs w:val="21"/>
        </w:rPr>
      </w:pPr>
      <w:r w:rsidRPr="00481BD7">
        <w:rPr>
          <w:rFonts w:ascii="Times New Roman" w:hAnsi="Times New Roman" w:cs="Times New Roman"/>
          <w:szCs w:val="21"/>
        </w:rPr>
        <w:t>Probit analysis of the 23-day cumulative mortality data determined the LC₅₀ to be 4.48 × 10⁵ CFU/</w:t>
      </w:r>
      <w:r w:rsidR="008C77DF" w:rsidRPr="00481BD7">
        <w:rPr>
          <w:rFonts w:ascii="Times New Roman" w:hAnsi="Times New Roman" w:cs="Times New Roman"/>
          <w:szCs w:val="21"/>
        </w:rPr>
        <w:t xml:space="preserve"> m</w:t>
      </w:r>
      <w:r w:rsidR="00F410EE" w:rsidRPr="00481BD7">
        <w:rPr>
          <w:rFonts w:ascii="Times New Roman" w:hAnsi="Times New Roman" w:cs="Times New Roman"/>
          <w:szCs w:val="21"/>
        </w:rPr>
        <w:t>L</w:t>
      </w:r>
      <w:r w:rsidRPr="00481BD7">
        <w:rPr>
          <w:rFonts w:ascii="Times New Roman" w:hAnsi="Times New Roman" w:cs="Times New Roman"/>
          <w:szCs w:val="21"/>
        </w:rPr>
        <w:t>, with a 95% confidence interval of 2.77 × 10⁵ to 6.06 × 10⁵ CFU/</w:t>
      </w:r>
      <w:r w:rsidR="008C77DF" w:rsidRPr="00481BD7">
        <w:rPr>
          <w:rFonts w:ascii="Times New Roman" w:hAnsi="Times New Roman" w:cs="Times New Roman"/>
          <w:szCs w:val="21"/>
        </w:rPr>
        <w:t xml:space="preserve"> </w:t>
      </w:r>
      <w:proofErr w:type="spellStart"/>
      <w:r w:rsidR="008C77DF" w:rsidRPr="00481BD7">
        <w:rPr>
          <w:rFonts w:ascii="Times New Roman" w:hAnsi="Times New Roman" w:cs="Times New Roman"/>
          <w:szCs w:val="21"/>
        </w:rPr>
        <w:t>m</w:t>
      </w:r>
      <w:r w:rsidR="00F410EE" w:rsidRPr="00481BD7">
        <w:rPr>
          <w:rFonts w:ascii="Times New Roman" w:hAnsi="Times New Roman" w:cs="Times New Roman"/>
          <w:szCs w:val="21"/>
        </w:rPr>
        <w:t>L</w:t>
      </w:r>
      <w:r w:rsidRPr="00481BD7">
        <w:rPr>
          <w:rFonts w:ascii="Times New Roman" w:hAnsi="Times New Roman" w:cs="Times New Roman"/>
          <w:szCs w:val="21"/>
        </w:rPr>
        <w:t>.</w:t>
      </w:r>
      <w:proofErr w:type="spellEnd"/>
      <w:r w:rsidRPr="00481BD7">
        <w:rPr>
          <w:rFonts w:ascii="Times New Roman" w:hAnsi="Times New Roman" w:cs="Times New Roman"/>
          <w:szCs w:val="21"/>
        </w:rPr>
        <w:t xml:space="preserve"> The toxicity regression equation was Y = -11.304 + 2.000X (R² = 0.808) (Table 4).</w:t>
      </w:r>
      <w:r w:rsidR="00414C4B" w:rsidRPr="00481BD7">
        <w:rPr>
          <w:rFonts w:ascii="Times New Roman" w:hAnsi="Times New Roman" w:cs="Times New Roman"/>
          <w:szCs w:val="21"/>
        </w:rPr>
        <w:t xml:space="preserve"> </w:t>
      </w:r>
    </w:p>
    <w:p w14:paraId="5A2942A1" w14:textId="77777777" w:rsidR="00414C4B" w:rsidRPr="00481BD7" w:rsidRDefault="00414C4B" w:rsidP="00414C4B">
      <w:pPr>
        <w:rPr>
          <w:rFonts w:ascii="Times New Roman" w:hAnsi="Times New Roman" w:cs="Times New Roman"/>
          <w:szCs w:val="21"/>
        </w:rPr>
      </w:pPr>
      <w:r w:rsidRPr="00481BD7">
        <w:rPr>
          <w:rFonts w:ascii="Times New Roman" w:hAnsi="Times New Roman" w:cs="Times New Roman"/>
          <w:szCs w:val="21"/>
        </w:rPr>
        <w:t>The 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of </w:t>
      </w:r>
      <w:proofErr w:type="spellStart"/>
      <w:r w:rsidRPr="00481BD7">
        <w:rPr>
          <w:rFonts w:ascii="Times New Roman" w:hAnsi="Times New Roman" w:cs="Times New Roman"/>
          <w:i/>
          <w:iCs/>
          <w:szCs w:val="21"/>
        </w:rPr>
        <w:t>Bt</w:t>
      </w:r>
      <w:proofErr w:type="spellEnd"/>
      <w:r w:rsidRPr="00481BD7">
        <w:rPr>
          <w:rFonts w:ascii="Times New Roman" w:hAnsi="Times New Roman" w:cs="Times New Roman"/>
          <w:szCs w:val="21"/>
        </w:rPr>
        <w:t xml:space="preserve"> against fifth-instar </w:t>
      </w:r>
      <w:r w:rsidRPr="00481BD7">
        <w:rPr>
          <w:rFonts w:ascii="Times New Roman" w:hAnsi="Times New Roman" w:cs="Times New Roman"/>
          <w:i/>
          <w:iCs/>
          <w:szCs w:val="21"/>
        </w:rPr>
        <w:t>Bombyx mori</w:t>
      </w:r>
      <w:r w:rsidRPr="00481BD7">
        <w:rPr>
          <w:rFonts w:ascii="Times New Roman" w:hAnsi="Times New Roman" w:cs="Times New Roman"/>
          <w:szCs w:val="21"/>
        </w:rPr>
        <w:t xml:space="preserve"> larvae at 96h is 0.08 × 10⁻³ mg/l, and prolonged exposure at this sublethal level significantly reduces larval and cocoon weights while damaging the midgut, with an even lower concentration producing the same lethal effect, highlighting heightened silkworm sensitivity to </w:t>
      </w:r>
      <w:proofErr w:type="spellStart"/>
      <w:r w:rsidRPr="00481BD7">
        <w:rPr>
          <w:rFonts w:ascii="Times New Roman" w:hAnsi="Times New Roman" w:cs="Times New Roman"/>
          <w:i/>
          <w:iCs/>
          <w:szCs w:val="21"/>
        </w:rPr>
        <w:t>Bt</w:t>
      </w:r>
      <w:proofErr w:type="spellEnd"/>
      <w:r w:rsidRPr="00481BD7">
        <w:rPr>
          <w:rFonts w:ascii="Times New Roman" w:hAnsi="Times New Roman" w:cs="Times New Roman"/>
          <w:szCs w:val="21"/>
        </w:rPr>
        <w:t xml:space="preserve"> (Zou et al., 2024).</w:t>
      </w:r>
    </w:p>
    <w:p w14:paraId="27148B1B" w14:textId="6C9501FE" w:rsidR="00414C4B" w:rsidRPr="00481BD7" w:rsidRDefault="00414C4B">
      <w:pPr>
        <w:rPr>
          <w:rFonts w:ascii="Times New Roman" w:hAnsi="Times New Roman" w:cs="Times New Roman"/>
          <w:szCs w:val="21"/>
        </w:rPr>
      </w:pPr>
      <w:r w:rsidRPr="00481BD7">
        <w:rPr>
          <w:rFonts w:ascii="Times New Roman" w:hAnsi="Times New Roman" w:cs="Times New Roman"/>
          <w:szCs w:val="21"/>
        </w:rPr>
        <w:t>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stands for the concentration or dose of a substance that causes death in 50% of a tested population under defined exposure conditions, and is a standard metric used to gauge acute toxicity and compare hazards across substances</w:t>
      </w:r>
      <w:r w:rsidR="0060183A" w:rsidRPr="00481BD7">
        <w:rPr>
          <w:rFonts w:ascii="Times New Roman" w:hAnsi="Times New Roman" w:cs="Times New Roman"/>
          <w:szCs w:val="21"/>
        </w:rPr>
        <w:t xml:space="preserve"> (Galvan et al., 2005). </w:t>
      </w:r>
      <w:r w:rsidRPr="00481BD7">
        <w:rPr>
          <w:rFonts w:ascii="Times New Roman" w:hAnsi="Times New Roman" w:cs="Times New Roman"/>
          <w:szCs w:val="21"/>
        </w:rPr>
        <w:t>In pesticides studies, like indoxacarb, imidacloprid, and thiamethoxam, reported the lower lethal concentration as 1.08 × 10</w:t>
      </w:r>
      <w:r w:rsidRPr="00481BD7">
        <w:rPr>
          <w:rFonts w:ascii="Times New Roman" w:hAnsi="Times New Roman" w:cs="Times New Roman"/>
          <w:szCs w:val="21"/>
          <w:vertAlign w:val="superscript"/>
        </w:rPr>
        <w:t>2</w:t>
      </w:r>
      <w:r w:rsidRPr="00481BD7">
        <w:rPr>
          <w:rFonts w:ascii="Times New Roman" w:hAnsi="Times New Roman" w:cs="Times New Roman"/>
          <w:szCs w:val="21"/>
        </w:rPr>
        <w:t>, 1.92, 0.66, and 1.66 mg/l, respectively</w:t>
      </w:r>
      <w:r w:rsidR="00481BD7">
        <w:rPr>
          <w:rFonts w:ascii="Times New Roman" w:hAnsi="Times New Roman" w:cs="Times New Roman" w:hint="eastAsia"/>
          <w:szCs w:val="21"/>
        </w:rPr>
        <w:t xml:space="preserve"> </w:t>
      </w:r>
      <w:r w:rsidR="0060183A" w:rsidRPr="00481BD7">
        <w:rPr>
          <w:rFonts w:ascii="Times New Roman" w:hAnsi="Times New Roman" w:cs="Times New Roman"/>
          <w:szCs w:val="21"/>
        </w:rPr>
        <w:t>(Galvan et al., 2005; Yang et al., 2023)</w:t>
      </w:r>
      <w:r w:rsidRPr="00481BD7">
        <w:rPr>
          <w:rFonts w:ascii="Times New Roman" w:hAnsi="Times New Roman" w:cs="Times New Roman"/>
          <w:szCs w:val="21"/>
        </w:rPr>
        <w:t>. Other studies have observed that the median lethal concentration (LC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of Cry1F for newly hatched </w:t>
      </w:r>
      <w:r w:rsidRPr="00481BD7">
        <w:rPr>
          <w:rFonts w:ascii="Times New Roman" w:hAnsi="Times New Roman" w:cs="Times New Roman"/>
          <w:i/>
          <w:iCs/>
          <w:szCs w:val="21"/>
        </w:rPr>
        <w:t>Bombyx mori</w:t>
      </w:r>
      <w:r w:rsidRPr="00481BD7">
        <w:rPr>
          <w:rFonts w:ascii="Times New Roman" w:hAnsi="Times New Roman" w:cs="Times New Roman"/>
          <w:szCs w:val="21"/>
        </w:rPr>
        <w:t xml:space="preserve"> larvae on artificial diet is 0.75 </w:t>
      </w:r>
      <w:proofErr w:type="spellStart"/>
      <w:r w:rsidRPr="00481BD7">
        <w:rPr>
          <w:rFonts w:ascii="Times New Roman" w:hAnsi="Times New Roman" w:cs="Times New Roman"/>
          <w:szCs w:val="21"/>
        </w:rPr>
        <w:t>μg</w:t>
      </w:r>
      <w:proofErr w:type="spellEnd"/>
      <w:r w:rsidRPr="00481BD7">
        <w:rPr>
          <w:rFonts w:ascii="Times New Roman" w:hAnsi="Times New Roman" w:cs="Times New Roman"/>
          <w:szCs w:val="21"/>
        </w:rPr>
        <w:t>/g, which is markedly lower than Cry1Ab’s LC</w:t>
      </w:r>
      <w:r w:rsidRPr="00481BD7">
        <w:rPr>
          <w:rFonts w:ascii="Times New Roman" w:hAnsi="Times New Roman" w:cs="Times New Roman"/>
          <w:i/>
          <w:iCs/>
          <w:szCs w:val="21"/>
          <w:vertAlign w:val="subscript"/>
        </w:rPr>
        <w:t>50</w:t>
      </w:r>
      <w:r w:rsidRPr="00481BD7">
        <w:rPr>
          <w:rFonts w:ascii="Times New Roman" w:hAnsi="Times New Roman" w:cs="Times New Roman"/>
          <w:szCs w:val="21"/>
        </w:rPr>
        <w:t xml:space="preserve"> of 3.06 </w:t>
      </w:r>
      <w:proofErr w:type="spellStart"/>
      <w:r w:rsidRPr="00481BD7">
        <w:rPr>
          <w:rFonts w:ascii="Times New Roman" w:hAnsi="Times New Roman" w:cs="Times New Roman"/>
          <w:szCs w:val="21"/>
        </w:rPr>
        <w:t>μg</w:t>
      </w:r>
      <w:proofErr w:type="spellEnd"/>
      <w:r w:rsidRPr="00481BD7">
        <w:rPr>
          <w:rFonts w:ascii="Times New Roman" w:hAnsi="Times New Roman" w:cs="Times New Roman"/>
          <w:szCs w:val="21"/>
        </w:rPr>
        <w:t>/g, indicating Cry1F is more toxic to silkworm larvae (Jiao et al., 2016).</w:t>
      </w:r>
    </w:p>
    <w:p w14:paraId="698944AE" w14:textId="3822A602" w:rsidR="00F25550" w:rsidRDefault="00A44AA1">
      <w:pPr>
        <w:rPr>
          <w:rFonts w:ascii="Times New Roman" w:hAnsi="Times New Roman" w:cs="Times New Roman"/>
          <w:szCs w:val="21"/>
        </w:rPr>
      </w:pPr>
      <w:r>
        <w:rPr>
          <w:rFonts w:ascii="Times New Roman" w:hAnsi="Times New Roman" w:cs="Times New Roman"/>
          <w:noProof/>
          <w:szCs w:val="21"/>
        </w:rPr>
        <w:t xml:space="preserve"> </w:t>
      </w:r>
      <w:r>
        <w:rPr>
          <w:rFonts w:ascii="Times New Roman" w:hAnsi="Times New Roman" w:cs="Times New Roman"/>
          <w:noProof/>
          <w:szCs w:val="21"/>
          <w:lang w:eastAsia="en-US"/>
        </w:rPr>
        <w:drawing>
          <wp:inline distT="0" distB="0" distL="114300" distR="114300" wp14:anchorId="56ED65E3" wp14:editId="6C6AAC39">
            <wp:extent cx="5090160" cy="2547620"/>
            <wp:effectExtent l="0" t="0" r="15240" b="508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7"/>
                    <a:srcRect b="3697"/>
                    <a:stretch>
                      <a:fillRect/>
                    </a:stretch>
                  </pic:blipFill>
                  <pic:spPr>
                    <a:xfrm>
                      <a:off x="0" y="0"/>
                      <a:ext cx="5090160" cy="2547620"/>
                    </a:xfrm>
                    <a:prstGeom prst="rect">
                      <a:avLst/>
                    </a:prstGeom>
                  </pic:spPr>
                </pic:pic>
              </a:graphicData>
            </a:graphic>
          </wp:inline>
        </w:drawing>
      </w:r>
    </w:p>
    <w:p w14:paraId="521CA40C" w14:textId="2BC575DE" w:rsidR="00F25550" w:rsidRDefault="00F3504C">
      <w:pPr>
        <w:ind w:firstLineChars="100" w:firstLine="211"/>
        <w:jc w:val="center"/>
        <w:rPr>
          <w:rFonts w:ascii="Times New Roman" w:hAnsi="Times New Roman" w:cs="Times New Roman"/>
          <w:b/>
          <w:bCs/>
          <w:i/>
          <w:iCs/>
        </w:rPr>
      </w:pPr>
      <w:r>
        <w:rPr>
          <w:rFonts w:ascii="Times New Roman" w:hAnsi="Times New Roman" w:cs="Times New Roman"/>
          <w:b/>
          <w:bCs/>
        </w:rPr>
        <w:t xml:space="preserve">Figure 1. Daily mortality rate of silkworms exposed to </w:t>
      </w:r>
      <w:proofErr w:type="spellStart"/>
      <w:r w:rsidRPr="00E65218">
        <w:rPr>
          <w:rFonts w:ascii="Times New Roman" w:hAnsi="Times New Roman" w:cs="Times New Roman"/>
          <w:b/>
          <w:bCs/>
          <w:i/>
          <w:iCs/>
        </w:rPr>
        <w:t>Bt</w:t>
      </w:r>
      <w:proofErr w:type="spellEnd"/>
    </w:p>
    <w:p w14:paraId="65C16DB5" w14:textId="77777777" w:rsidR="004E5175" w:rsidRDefault="004E5175">
      <w:pPr>
        <w:ind w:firstLineChars="100" w:firstLine="211"/>
        <w:jc w:val="center"/>
        <w:rPr>
          <w:rFonts w:ascii="Times New Roman" w:hAnsi="Times New Roman" w:cs="Times New Roman"/>
          <w:b/>
          <w:bCs/>
        </w:rPr>
      </w:pPr>
    </w:p>
    <w:p w14:paraId="2FCE3C39" w14:textId="3296D67C"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Table</w:t>
      </w:r>
      <w:r>
        <w:rPr>
          <w:rFonts w:ascii="Times New Roman" w:hAnsi="Times New Roman" w:cs="Times New Roman" w:hint="eastAsia"/>
          <w:b/>
          <w:bCs/>
        </w:rPr>
        <w:t xml:space="preserve"> 1</w:t>
      </w:r>
      <w:r>
        <w:rPr>
          <w:rFonts w:ascii="Times New Roman" w:hAnsi="Times New Roman" w:cs="Times New Roman"/>
          <w:b/>
          <w:bCs/>
        </w:rPr>
        <w:t>.</w:t>
      </w:r>
      <w:r w:rsidR="00481BD7">
        <w:rPr>
          <w:rFonts w:ascii="Times New Roman" w:hAnsi="Times New Roman" w:cs="Times New Roman" w:hint="eastAsia"/>
          <w:b/>
          <w:bCs/>
        </w:rPr>
        <w:t xml:space="preserve"> </w:t>
      </w:r>
      <w:r>
        <w:rPr>
          <w:rFonts w:ascii="Times New Roman" w:hAnsi="Times New Roman" w:cs="Times New Roman"/>
          <w:b/>
          <w:bCs/>
        </w:rPr>
        <w:t xml:space="preserve">Effect of different </w:t>
      </w:r>
      <w:r>
        <w:rPr>
          <w:rFonts w:ascii="Times New Roman" w:hAnsi="Times New Roman" w:cs="Times New Roman"/>
          <w:b/>
          <w:bCs/>
          <w:i/>
          <w:iCs/>
        </w:rPr>
        <w:t>Bacillus thuringiensis</w:t>
      </w:r>
      <w:r>
        <w:rPr>
          <w:rFonts w:ascii="Times New Roman" w:hAnsi="Times New Roman" w:cs="Times New Roman"/>
          <w:b/>
          <w:bCs/>
        </w:rPr>
        <w:t xml:space="preserve"> concentrations on </w:t>
      </w:r>
      <w:r w:rsidR="00BA5B56">
        <w:rPr>
          <w:rFonts w:ascii="Times New Roman" w:hAnsi="Times New Roman" w:cs="Times New Roman"/>
          <w:b/>
          <w:bCs/>
        </w:rPr>
        <w:t>S</w:t>
      </w:r>
      <w:r>
        <w:rPr>
          <w:rFonts w:ascii="Times New Roman" w:hAnsi="Times New Roman" w:cs="Times New Roman"/>
          <w:b/>
          <w:bCs/>
        </w:rPr>
        <w:t>ilkworm larvae mortality</w:t>
      </w:r>
    </w:p>
    <w:p w14:paraId="6E4413E3" w14:textId="77777777" w:rsidR="004E5175" w:rsidRDefault="004E5175" w:rsidP="00481BD7">
      <w:pPr>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3"/>
        <w:gridCol w:w="1918"/>
        <w:gridCol w:w="616"/>
        <w:gridCol w:w="616"/>
        <w:gridCol w:w="945"/>
        <w:gridCol w:w="724"/>
        <w:gridCol w:w="945"/>
        <w:gridCol w:w="724"/>
        <w:gridCol w:w="945"/>
      </w:tblGrid>
      <w:tr w:rsidR="00F25550" w14:paraId="7BF30E4B" w14:textId="77777777">
        <w:trPr>
          <w:trHeight w:val="423"/>
          <w:jc w:val="center"/>
        </w:trPr>
        <w:tc>
          <w:tcPr>
            <w:tcW w:w="525" w:type="pct"/>
            <w:vMerge w:val="restart"/>
            <w:tcBorders>
              <w:top w:val="single" w:sz="4" w:space="0" w:color="auto"/>
              <w:left w:val="nil"/>
              <w:bottom w:val="single" w:sz="4" w:space="0" w:color="auto"/>
              <w:right w:val="nil"/>
            </w:tcBorders>
            <w:tcMar>
              <w:top w:w="0" w:type="dxa"/>
              <w:left w:w="108" w:type="dxa"/>
              <w:bottom w:w="0" w:type="dxa"/>
              <w:right w:w="108" w:type="dxa"/>
            </w:tcMar>
            <w:vAlign w:val="center"/>
          </w:tcPr>
          <w:p w14:paraId="15E924B6" w14:textId="77777777"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Days (d)</w:t>
            </w:r>
          </w:p>
        </w:tc>
        <w:tc>
          <w:tcPr>
            <w:tcW w:w="1154" w:type="pct"/>
            <w:vMerge w:val="restart"/>
            <w:tcBorders>
              <w:top w:val="single" w:sz="4" w:space="0" w:color="auto"/>
              <w:left w:val="nil"/>
              <w:bottom w:val="single" w:sz="4" w:space="0" w:color="auto"/>
              <w:right w:val="nil"/>
            </w:tcBorders>
            <w:tcMar>
              <w:top w:w="0" w:type="dxa"/>
              <w:left w:w="108" w:type="dxa"/>
              <w:bottom w:w="0" w:type="dxa"/>
              <w:right w:w="108" w:type="dxa"/>
            </w:tcMar>
            <w:vAlign w:val="center"/>
          </w:tcPr>
          <w:p w14:paraId="2C3210F7" w14:textId="77777777"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Total silkworms (head)</w:t>
            </w:r>
          </w:p>
        </w:tc>
        <w:tc>
          <w:tcPr>
            <w:tcW w:w="3321" w:type="pct"/>
            <w:gridSpan w:val="7"/>
            <w:tcBorders>
              <w:left w:val="nil"/>
              <w:bottom w:val="single" w:sz="4" w:space="0" w:color="auto"/>
              <w:right w:val="nil"/>
            </w:tcBorders>
            <w:tcMar>
              <w:top w:w="0" w:type="dxa"/>
              <w:left w:w="108" w:type="dxa"/>
              <w:bottom w:w="0" w:type="dxa"/>
              <w:right w:w="108" w:type="dxa"/>
            </w:tcMar>
          </w:tcPr>
          <w:p w14:paraId="17C1AC13" w14:textId="1CDF411E"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Treatment (concentration CFU / m</w:t>
            </w:r>
            <w:r w:rsidR="002F584B" w:rsidRPr="0043482D">
              <w:rPr>
                <w:rStyle w:val="translated-span"/>
                <w:rFonts w:ascii="Times New Roman" w:eastAsia="STZhongsong" w:hAnsi="Times New Roman" w:cs="Times New Roman"/>
                <w:b/>
                <w:bCs/>
                <w:sz w:val="24"/>
              </w:rPr>
              <w:t>L</w:t>
            </w:r>
            <w:r w:rsidRPr="0043482D">
              <w:rPr>
                <w:rStyle w:val="translated-span"/>
                <w:rFonts w:ascii="Times New Roman" w:eastAsia="STZhongsong" w:hAnsi="Times New Roman" w:cs="Times New Roman"/>
                <w:b/>
                <w:bCs/>
                <w:sz w:val="24"/>
              </w:rPr>
              <w:t>)</w:t>
            </w:r>
          </w:p>
        </w:tc>
      </w:tr>
      <w:tr w:rsidR="00F25550" w14:paraId="133DF91A" w14:textId="77777777">
        <w:trPr>
          <w:trHeight w:val="423"/>
          <w:jc w:val="center"/>
        </w:trPr>
        <w:tc>
          <w:tcPr>
            <w:tcW w:w="525" w:type="pct"/>
            <w:vMerge/>
            <w:tcBorders>
              <w:top w:val="nil"/>
              <w:left w:val="nil"/>
              <w:bottom w:val="single" w:sz="4" w:space="0" w:color="auto"/>
              <w:right w:val="nil"/>
            </w:tcBorders>
            <w:vAlign w:val="center"/>
          </w:tcPr>
          <w:p w14:paraId="367858B2" w14:textId="77777777" w:rsidR="00F25550" w:rsidRPr="0043482D" w:rsidRDefault="00F25550">
            <w:pPr>
              <w:rPr>
                <w:rFonts w:ascii="Times New Roman" w:hAnsi="Times New Roman" w:cs="Times New Roman"/>
                <w:b/>
                <w:bCs/>
                <w:sz w:val="24"/>
              </w:rPr>
            </w:pPr>
          </w:p>
        </w:tc>
        <w:tc>
          <w:tcPr>
            <w:tcW w:w="1154" w:type="pct"/>
            <w:vMerge/>
            <w:tcBorders>
              <w:top w:val="nil"/>
              <w:left w:val="nil"/>
              <w:bottom w:val="single" w:sz="4" w:space="0" w:color="auto"/>
              <w:right w:val="nil"/>
            </w:tcBorders>
            <w:vAlign w:val="center"/>
          </w:tcPr>
          <w:p w14:paraId="41EF6B79" w14:textId="77777777" w:rsidR="00F25550" w:rsidRPr="0043482D" w:rsidRDefault="00F25550">
            <w:pPr>
              <w:rPr>
                <w:rFonts w:ascii="Times New Roman" w:hAnsi="Times New Roman" w:cs="Times New Roman"/>
                <w:b/>
                <w:bCs/>
                <w:sz w:val="24"/>
              </w:rPr>
            </w:pPr>
          </w:p>
        </w:tc>
        <w:tc>
          <w:tcPr>
            <w:tcW w:w="371" w:type="pct"/>
            <w:tcBorders>
              <w:top w:val="single" w:sz="4" w:space="0" w:color="auto"/>
              <w:left w:val="nil"/>
              <w:bottom w:val="single" w:sz="4" w:space="0" w:color="auto"/>
              <w:right w:val="nil"/>
            </w:tcBorders>
            <w:tcMar>
              <w:top w:w="0" w:type="dxa"/>
              <w:left w:w="108" w:type="dxa"/>
              <w:bottom w:w="0" w:type="dxa"/>
              <w:right w:w="108" w:type="dxa"/>
            </w:tcMar>
            <w:vAlign w:val="center"/>
          </w:tcPr>
          <w:p w14:paraId="18FACD63"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CK1</w:t>
            </w:r>
          </w:p>
        </w:tc>
        <w:tc>
          <w:tcPr>
            <w:tcW w:w="371" w:type="pct"/>
            <w:tcBorders>
              <w:top w:val="single" w:sz="4" w:space="0" w:color="auto"/>
              <w:left w:val="nil"/>
              <w:bottom w:val="single" w:sz="4" w:space="0" w:color="auto"/>
              <w:right w:val="nil"/>
            </w:tcBorders>
            <w:tcMar>
              <w:top w:w="0" w:type="dxa"/>
              <w:left w:w="108" w:type="dxa"/>
              <w:bottom w:w="0" w:type="dxa"/>
              <w:right w:w="108" w:type="dxa"/>
            </w:tcMar>
            <w:vAlign w:val="center"/>
          </w:tcPr>
          <w:p w14:paraId="68A60CEE"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CK2</w:t>
            </w:r>
          </w:p>
        </w:tc>
        <w:tc>
          <w:tcPr>
            <w:tcW w:w="569" w:type="pct"/>
            <w:tcBorders>
              <w:top w:val="single" w:sz="4" w:space="0" w:color="auto"/>
              <w:left w:val="nil"/>
              <w:bottom w:val="single" w:sz="4" w:space="0" w:color="auto"/>
              <w:right w:val="nil"/>
            </w:tcBorders>
            <w:tcMar>
              <w:top w:w="0" w:type="dxa"/>
              <w:left w:w="108" w:type="dxa"/>
              <w:bottom w:w="0" w:type="dxa"/>
              <w:right w:w="108" w:type="dxa"/>
            </w:tcMar>
            <w:vAlign w:val="center"/>
          </w:tcPr>
          <w:p w14:paraId="454AE89E"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T1</w:t>
            </w:r>
          </w:p>
          <w:p w14:paraId="65CACD4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4</w:t>
            </w:r>
          </w:p>
        </w:tc>
        <w:tc>
          <w:tcPr>
            <w:tcW w:w="436" w:type="pct"/>
            <w:tcBorders>
              <w:top w:val="single" w:sz="4" w:space="0" w:color="auto"/>
              <w:left w:val="nil"/>
              <w:bottom w:val="single" w:sz="4" w:space="0" w:color="auto"/>
              <w:right w:val="nil"/>
            </w:tcBorders>
            <w:tcMar>
              <w:top w:w="0" w:type="dxa"/>
              <w:left w:w="108" w:type="dxa"/>
              <w:bottom w:w="0" w:type="dxa"/>
              <w:right w:w="108" w:type="dxa"/>
            </w:tcMar>
            <w:vAlign w:val="center"/>
          </w:tcPr>
          <w:p w14:paraId="30326C32"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T2</w:t>
            </w:r>
          </w:p>
          <w:p w14:paraId="196D8B9D"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1 x 10</w:t>
            </w:r>
            <w:r w:rsidRPr="0043482D">
              <w:rPr>
                <w:rStyle w:val="translated-span"/>
                <w:rFonts w:ascii="Times New Roman" w:hAnsi="Times New Roman" w:cs="Times New Roman"/>
                <w:b/>
                <w:bCs/>
                <w:sz w:val="18"/>
                <w:szCs w:val="18"/>
                <w:vertAlign w:val="superscript"/>
              </w:rPr>
              <w:t>5</w:t>
            </w:r>
          </w:p>
        </w:tc>
        <w:tc>
          <w:tcPr>
            <w:tcW w:w="569" w:type="pct"/>
            <w:tcBorders>
              <w:top w:val="single" w:sz="4" w:space="0" w:color="auto"/>
              <w:left w:val="nil"/>
              <w:bottom w:val="single" w:sz="4" w:space="0" w:color="auto"/>
              <w:right w:val="nil"/>
            </w:tcBorders>
            <w:tcMar>
              <w:top w:w="0" w:type="dxa"/>
              <w:left w:w="108" w:type="dxa"/>
              <w:bottom w:w="0" w:type="dxa"/>
              <w:right w:w="108" w:type="dxa"/>
            </w:tcMar>
          </w:tcPr>
          <w:p w14:paraId="1A91CA86"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T3</w:t>
            </w:r>
          </w:p>
          <w:p w14:paraId="66132AE7"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5</w:t>
            </w:r>
          </w:p>
        </w:tc>
        <w:tc>
          <w:tcPr>
            <w:tcW w:w="436" w:type="pct"/>
            <w:tcBorders>
              <w:top w:val="single" w:sz="4" w:space="0" w:color="auto"/>
              <w:left w:val="nil"/>
              <w:bottom w:val="single" w:sz="4" w:space="0" w:color="auto"/>
              <w:right w:val="nil"/>
            </w:tcBorders>
            <w:tcMar>
              <w:top w:w="0" w:type="dxa"/>
              <w:left w:w="108" w:type="dxa"/>
              <w:bottom w:w="0" w:type="dxa"/>
              <w:right w:w="108" w:type="dxa"/>
            </w:tcMar>
          </w:tcPr>
          <w:p w14:paraId="0861D0E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T4</w:t>
            </w:r>
          </w:p>
          <w:p w14:paraId="2B985130"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1 x 10</w:t>
            </w:r>
            <w:r w:rsidRPr="0043482D">
              <w:rPr>
                <w:rStyle w:val="translated-span"/>
                <w:rFonts w:ascii="Times New Roman" w:hAnsi="Times New Roman" w:cs="Times New Roman"/>
                <w:b/>
                <w:bCs/>
                <w:sz w:val="18"/>
                <w:szCs w:val="18"/>
                <w:vertAlign w:val="superscript"/>
              </w:rPr>
              <w:t>6</w:t>
            </w:r>
          </w:p>
        </w:tc>
        <w:tc>
          <w:tcPr>
            <w:tcW w:w="569" w:type="pct"/>
            <w:tcBorders>
              <w:top w:val="single" w:sz="4" w:space="0" w:color="auto"/>
              <w:left w:val="nil"/>
              <w:bottom w:val="single" w:sz="4" w:space="0" w:color="auto"/>
              <w:right w:val="nil"/>
            </w:tcBorders>
            <w:tcMar>
              <w:top w:w="0" w:type="dxa"/>
              <w:left w:w="108" w:type="dxa"/>
              <w:bottom w:w="0" w:type="dxa"/>
              <w:right w:w="108" w:type="dxa"/>
            </w:tcMar>
          </w:tcPr>
          <w:p w14:paraId="0D6F706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T5</w:t>
            </w:r>
          </w:p>
          <w:p w14:paraId="07383B0C"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6</w:t>
            </w:r>
          </w:p>
        </w:tc>
      </w:tr>
      <w:tr w:rsidR="00F25550" w14:paraId="4E4A0473" w14:textId="77777777">
        <w:trPr>
          <w:trHeight w:val="423"/>
          <w:jc w:val="center"/>
        </w:trPr>
        <w:tc>
          <w:tcPr>
            <w:tcW w:w="525" w:type="pct"/>
            <w:tcBorders>
              <w:top w:val="single" w:sz="4" w:space="0" w:color="auto"/>
              <w:left w:val="nil"/>
              <w:bottom w:val="nil"/>
              <w:right w:val="nil"/>
            </w:tcBorders>
            <w:tcMar>
              <w:top w:w="0" w:type="dxa"/>
              <w:left w:w="108" w:type="dxa"/>
              <w:bottom w:w="0" w:type="dxa"/>
              <w:right w:w="108" w:type="dxa"/>
            </w:tcMar>
          </w:tcPr>
          <w:p w14:paraId="4B8A27B2"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1154" w:type="pct"/>
            <w:tcBorders>
              <w:top w:val="single" w:sz="4" w:space="0" w:color="auto"/>
              <w:left w:val="nil"/>
              <w:bottom w:val="nil"/>
              <w:right w:val="nil"/>
            </w:tcBorders>
            <w:tcMar>
              <w:top w:w="0" w:type="dxa"/>
              <w:left w:w="108" w:type="dxa"/>
              <w:bottom w:w="0" w:type="dxa"/>
              <w:right w:w="108" w:type="dxa"/>
            </w:tcMar>
          </w:tcPr>
          <w:p w14:paraId="0E21BBE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single" w:sz="4" w:space="0" w:color="auto"/>
              <w:left w:val="nil"/>
              <w:bottom w:val="nil"/>
              <w:right w:val="nil"/>
            </w:tcBorders>
            <w:tcMar>
              <w:top w:w="0" w:type="dxa"/>
              <w:left w:w="108" w:type="dxa"/>
              <w:bottom w:w="0" w:type="dxa"/>
              <w:right w:w="108" w:type="dxa"/>
            </w:tcMar>
            <w:vAlign w:val="center"/>
          </w:tcPr>
          <w:p w14:paraId="3F33018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single" w:sz="4" w:space="0" w:color="auto"/>
              <w:left w:val="nil"/>
              <w:bottom w:val="nil"/>
              <w:right w:val="nil"/>
            </w:tcBorders>
            <w:tcMar>
              <w:top w:w="0" w:type="dxa"/>
              <w:left w:w="108" w:type="dxa"/>
              <w:bottom w:w="0" w:type="dxa"/>
              <w:right w:w="108" w:type="dxa"/>
            </w:tcMar>
            <w:vAlign w:val="center"/>
          </w:tcPr>
          <w:p w14:paraId="22CFA6F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1345074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single" w:sz="4" w:space="0" w:color="auto"/>
              <w:left w:val="nil"/>
              <w:bottom w:val="nil"/>
              <w:right w:val="nil"/>
            </w:tcBorders>
            <w:tcMar>
              <w:top w:w="0" w:type="dxa"/>
              <w:left w:w="108" w:type="dxa"/>
              <w:bottom w:w="0" w:type="dxa"/>
              <w:right w:w="108" w:type="dxa"/>
            </w:tcMar>
            <w:vAlign w:val="center"/>
          </w:tcPr>
          <w:p w14:paraId="5A36104E"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671C596C" w14:textId="77777777" w:rsidR="00F25550" w:rsidRDefault="00F3504C">
            <w:pPr>
              <w:jc w:val="center"/>
              <w:rPr>
                <w:rFonts w:ascii="Times New Roman" w:hAnsi="Times New Roman" w:cs="Times New Roman"/>
                <w:sz w:val="24"/>
              </w:rPr>
            </w:pPr>
            <w:r>
              <w:rPr>
                <w:rFonts w:ascii="Times New Roman" w:hAnsi="Times New Roman" w:cs="Times New Roman"/>
                <w:sz w:val="24"/>
              </w:rPr>
              <w:t>12</w:t>
            </w:r>
          </w:p>
        </w:tc>
        <w:tc>
          <w:tcPr>
            <w:tcW w:w="436" w:type="pct"/>
            <w:tcBorders>
              <w:top w:val="single" w:sz="4" w:space="0" w:color="auto"/>
              <w:left w:val="nil"/>
              <w:bottom w:val="nil"/>
              <w:right w:val="nil"/>
            </w:tcBorders>
            <w:tcMar>
              <w:top w:w="0" w:type="dxa"/>
              <w:left w:w="108" w:type="dxa"/>
              <w:bottom w:w="0" w:type="dxa"/>
              <w:right w:w="108" w:type="dxa"/>
            </w:tcMar>
            <w:vAlign w:val="center"/>
          </w:tcPr>
          <w:p w14:paraId="459F8350" w14:textId="77777777" w:rsidR="00F25550" w:rsidRDefault="00F3504C">
            <w:pPr>
              <w:jc w:val="center"/>
              <w:rPr>
                <w:rFonts w:ascii="Times New Roman" w:hAnsi="Times New Roman" w:cs="Times New Roman"/>
                <w:sz w:val="24"/>
              </w:rPr>
            </w:pPr>
            <w:r>
              <w:rPr>
                <w:rFonts w:ascii="Times New Roman" w:hAnsi="Times New Roman" w:cs="Times New Roman"/>
                <w:sz w:val="24"/>
              </w:rPr>
              <w:t>43</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137D704D" w14:textId="77777777" w:rsidR="00F25550" w:rsidRDefault="00F3504C">
            <w:pPr>
              <w:jc w:val="center"/>
              <w:rPr>
                <w:rFonts w:ascii="Times New Roman" w:hAnsi="Times New Roman" w:cs="Times New Roman"/>
                <w:sz w:val="24"/>
              </w:rPr>
            </w:pPr>
            <w:r>
              <w:rPr>
                <w:rFonts w:ascii="Times New Roman" w:hAnsi="Times New Roman" w:cs="Times New Roman"/>
                <w:sz w:val="24"/>
              </w:rPr>
              <w:t>76</w:t>
            </w:r>
          </w:p>
        </w:tc>
      </w:tr>
      <w:tr w:rsidR="00F25550" w14:paraId="5FD66C4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8999EC0" w14:textId="77777777" w:rsidR="00F25550" w:rsidRDefault="00F3504C">
            <w:pPr>
              <w:jc w:val="center"/>
              <w:rPr>
                <w:rFonts w:ascii="Times New Roman" w:hAnsi="Times New Roman" w:cs="Times New Roman"/>
                <w:sz w:val="24"/>
              </w:rPr>
            </w:pPr>
            <w:r>
              <w:rPr>
                <w:rFonts w:ascii="Times New Roman" w:hAnsi="Times New Roman" w:cs="Times New Roman"/>
                <w:sz w:val="24"/>
              </w:rPr>
              <w:lastRenderedPageBreak/>
              <w:t>2</w:t>
            </w:r>
          </w:p>
        </w:tc>
        <w:tc>
          <w:tcPr>
            <w:tcW w:w="1154" w:type="pct"/>
            <w:tcBorders>
              <w:top w:val="nil"/>
              <w:left w:val="nil"/>
              <w:bottom w:val="nil"/>
              <w:right w:val="nil"/>
            </w:tcBorders>
            <w:tcMar>
              <w:top w:w="0" w:type="dxa"/>
              <w:left w:w="108" w:type="dxa"/>
              <w:bottom w:w="0" w:type="dxa"/>
              <w:right w:w="108" w:type="dxa"/>
            </w:tcMar>
          </w:tcPr>
          <w:p w14:paraId="086BDF9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D6DE51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6BFAB4D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BF978C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C9A17F7" w14:textId="77777777" w:rsidR="00F25550" w:rsidRDefault="00F3504C">
            <w:pPr>
              <w:jc w:val="center"/>
              <w:rPr>
                <w:rFonts w:ascii="Times New Roman" w:hAnsi="Times New Roman" w:cs="Times New Roman"/>
                <w:sz w:val="24"/>
              </w:rPr>
            </w:pPr>
            <w:r>
              <w:rPr>
                <w:rFonts w:ascii="Times New Roman" w:hAnsi="Times New Roman" w:cs="Times New Roman"/>
                <w:sz w:val="24"/>
              </w:rPr>
              <w:t>11</w:t>
            </w:r>
          </w:p>
        </w:tc>
        <w:tc>
          <w:tcPr>
            <w:tcW w:w="569" w:type="pct"/>
            <w:tcBorders>
              <w:top w:val="nil"/>
              <w:left w:val="nil"/>
              <w:bottom w:val="nil"/>
              <w:right w:val="nil"/>
            </w:tcBorders>
            <w:tcMar>
              <w:top w:w="0" w:type="dxa"/>
              <w:left w:w="108" w:type="dxa"/>
              <w:bottom w:w="0" w:type="dxa"/>
              <w:right w:w="108" w:type="dxa"/>
            </w:tcMar>
            <w:vAlign w:val="center"/>
          </w:tcPr>
          <w:p w14:paraId="3E96641A" w14:textId="77777777" w:rsidR="00F25550" w:rsidRDefault="00F3504C">
            <w:pPr>
              <w:jc w:val="center"/>
              <w:rPr>
                <w:rFonts w:ascii="Times New Roman" w:hAnsi="Times New Roman" w:cs="Times New Roman"/>
                <w:sz w:val="24"/>
              </w:rPr>
            </w:pPr>
            <w:r>
              <w:rPr>
                <w:rFonts w:ascii="Times New Roman" w:hAnsi="Times New Roman" w:cs="Times New Roman"/>
                <w:sz w:val="24"/>
              </w:rPr>
              <w:t>29</w:t>
            </w:r>
          </w:p>
        </w:tc>
        <w:tc>
          <w:tcPr>
            <w:tcW w:w="436" w:type="pct"/>
            <w:tcBorders>
              <w:top w:val="nil"/>
              <w:left w:val="nil"/>
              <w:bottom w:val="nil"/>
              <w:right w:val="nil"/>
            </w:tcBorders>
            <w:tcMar>
              <w:top w:w="0" w:type="dxa"/>
              <w:left w:w="108" w:type="dxa"/>
              <w:bottom w:w="0" w:type="dxa"/>
              <w:right w:w="108" w:type="dxa"/>
            </w:tcMar>
            <w:vAlign w:val="center"/>
          </w:tcPr>
          <w:p w14:paraId="2A8B1F93" w14:textId="77777777" w:rsidR="00F25550" w:rsidRDefault="00F3504C">
            <w:pPr>
              <w:jc w:val="center"/>
              <w:rPr>
                <w:rFonts w:ascii="Times New Roman" w:hAnsi="Times New Roman" w:cs="Times New Roman"/>
                <w:sz w:val="24"/>
              </w:rPr>
            </w:pPr>
            <w:r>
              <w:rPr>
                <w:rFonts w:ascii="Times New Roman" w:hAnsi="Times New Roman" w:cs="Times New Roman"/>
                <w:sz w:val="24"/>
              </w:rPr>
              <w:t>58</w:t>
            </w:r>
          </w:p>
        </w:tc>
        <w:tc>
          <w:tcPr>
            <w:tcW w:w="569" w:type="pct"/>
            <w:tcBorders>
              <w:top w:val="nil"/>
              <w:left w:val="nil"/>
              <w:bottom w:val="nil"/>
              <w:right w:val="nil"/>
            </w:tcBorders>
            <w:tcMar>
              <w:top w:w="0" w:type="dxa"/>
              <w:left w:w="108" w:type="dxa"/>
              <w:bottom w:w="0" w:type="dxa"/>
              <w:right w:w="108" w:type="dxa"/>
            </w:tcMar>
            <w:vAlign w:val="center"/>
          </w:tcPr>
          <w:p w14:paraId="364713F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2A51CC6"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40040548" w14:textId="77777777" w:rsidR="00F25550" w:rsidRDefault="00F3504C">
            <w:pPr>
              <w:jc w:val="center"/>
              <w:rPr>
                <w:rFonts w:ascii="Times New Roman" w:hAnsi="Times New Roman" w:cs="Times New Roman"/>
                <w:sz w:val="24"/>
              </w:rPr>
            </w:pPr>
            <w:r>
              <w:rPr>
                <w:rFonts w:ascii="Times New Roman" w:hAnsi="Times New Roman" w:cs="Times New Roman"/>
                <w:sz w:val="24"/>
              </w:rPr>
              <w:t>3</w:t>
            </w:r>
          </w:p>
        </w:tc>
        <w:tc>
          <w:tcPr>
            <w:tcW w:w="1154" w:type="pct"/>
            <w:tcBorders>
              <w:top w:val="nil"/>
              <w:left w:val="nil"/>
              <w:bottom w:val="nil"/>
              <w:right w:val="nil"/>
            </w:tcBorders>
            <w:tcMar>
              <w:top w:w="0" w:type="dxa"/>
              <w:left w:w="108" w:type="dxa"/>
              <w:bottom w:w="0" w:type="dxa"/>
              <w:right w:w="108" w:type="dxa"/>
            </w:tcMar>
          </w:tcPr>
          <w:p w14:paraId="754B64C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867483E"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5D4B53D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DDCD08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B3887F7"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2C4B5B2"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1F7B3287" w14:textId="77777777" w:rsidR="00F25550" w:rsidRDefault="00F3504C">
            <w:pPr>
              <w:jc w:val="center"/>
              <w:rPr>
                <w:rFonts w:ascii="Times New Roman" w:hAnsi="Times New Roman" w:cs="Times New Roman"/>
                <w:sz w:val="24"/>
              </w:rPr>
            </w:pPr>
            <w:r>
              <w:rPr>
                <w:rFonts w:ascii="Times New Roman" w:hAnsi="Times New Roman" w:cs="Times New Roman"/>
                <w:sz w:val="24"/>
              </w:rPr>
              <w:t>58</w:t>
            </w:r>
          </w:p>
        </w:tc>
        <w:tc>
          <w:tcPr>
            <w:tcW w:w="569" w:type="pct"/>
            <w:tcBorders>
              <w:top w:val="nil"/>
              <w:left w:val="nil"/>
              <w:bottom w:val="nil"/>
              <w:right w:val="nil"/>
            </w:tcBorders>
            <w:tcMar>
              <w:top w:w="0" w:type="dxa"/>
              <w:left w:w="108" w:type="dxa"/>
              <w:bottom w:w="0" w:type="dxa"/>
              <w:right w:w="108" w:type="dxa"/>
            </w:tcMar>
            <w:vAlign w:val="center"/>
          </w:tcPr>
          <w:p w14:paraId="544E15B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DAE4D0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34DB059"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1154" w:type="pct"/>
            <w:tcBorders>
              <w:top w:val="nil"/>
              <w:left w:val="nil"/>
              <w:bottom w:val="nil"/>
              <w:right w:val="nil"/>
            </w:tcBorders>
            <w:tcMar>
              <w:top w:w="0" w:type="dxa"/>
              <w:left w:w="108" w:type="dxa"/>
              <w:bottom w:w="0" w:type="dxa"/>
              <w:right w:w="108" w:type="dxa"/>
            </w:tcMar>
          </w:tcPr>
          <w:p w14:paraId="767306B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35D4B5A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3C48A8B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A7E7743"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0B210F1"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7A40D1F4"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23C366C4"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1A4A410D"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8898FB6"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2CD5C43" w14:textId="77777777" w:rsidR="00F25550" w:rsidRDefault="00F3504C">
            <w:pPr>
              <w:jc w:val="center"/>
              <w:rPr>
                <w:rFonts w:ascii="Times New Roman" w:hAnsi="Times New Roman" w:cs="Times New Roman"/>
                <w:sz w:val="24"/>
              </w:rPr>
            </w:pPr>
            <w:r>
              <w:rPr>
                <w:rFonts w:ascii="Times New Roman" w:hAnsi="Times New Roman" w:cs="Times New Roman"/>
                <w:sz w:val="24"/>
              </w:rPr>
              <w:t>5</w:t>
            </w:r>
          </w:p>
        </w:tc>
        <w:tc>
          <w:tcPr>
            <w:tcW w:w="1154" w:type="pct"/>
            <w:tcBorders>
              <w:top w:val="nil"/>
              <w:left w:val="nil"/>
              <w:bottom w:val="nil"/>
              <w:right w:val="nil"/>
            </w:tcBorders>
            <w:tcMar>
              <w:top w:w="0" w:type="dxa"/>
              <w:left w:w="108" w:type="dxa"/>
              <w:bottom w:w="0" w:type="dxa"/>
              <w:right w:w="108" w:type="dxa"/>
            </w:tcMar>
          </w:tcPr>
          <w:p w14:paraId="6B592697"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62A6E2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34D0E5C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D0ABBD5"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2FD4C65A"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0CA3AB9"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393B7E6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3A6C51C4"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60E729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05B2C36"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1154" w:type="pct"/>
            <w:tcBorders>
              <w:top w:val="nil"/>
              <w:left w:val="nil"/>
              <w:bottom w:val="nil"/>
              <w:right w:val="nil"/>
            </w:tcBorders>
            <w:tcMar>
              <w:top w:w="0" w:type="dxa"/>
              <w:left w:w="108" w:type="dxa"/>
              <w:bottom w:w="0" w:type="dxa"/>
              <w:right w:w="108" w:type="dxa"/>
            </w:tcMar>
          </w:tcPr>
          <w:p w14:paraId="44BBC71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2D1B56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228A51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1C52C65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2E8ECC3F"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373E56EB"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6D993A87"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A673FF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70A3BFE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34F3F70" w14:textId="77777777" w:rsidR="00F25550" w:rsidRDefault="00F3504C">
            <w:pPr>
              <w:jc w:val="center"/>
              <w:rPr>
                <w:rFonts w:ascii="Times New Roman" w:hAnsi="Times New Roman" w:cs="Times New Roman"/>
                <w:sz w:val="24"/>
              </w:rPr>
            </w:pPr>
            <w:r>
              <w:rPr>
                <w:rFonts w:ascii="Times New Roman" w:hAnsi="Times New Roman" w:cs="Times New Roman"/>
                <w:sz w:val="24"/>
              </w:rPr>
              <w:t>7</w:t>
            </w:r>
          </w:p>
        </w:tc>
        <w:tc>
          <w:tcPr>
            <w:tcW w:w="1154" w:type="pct"/>
            <w:tcBorders>
              <w:top w:val="nil"/>
              <w:left w:val="nil"/>
              <w:bottom w:val="nil"/>
              <w:right w:val="nil"/>
            </w:tcBorders>
            <w:tcMar>
              <w:top w:w="0" w:type="dxa"/>
              <w:left w:w="108" w:type="dxa"/>
              <w:bottom w:w="0" w:type="dxa"/>
              <w:right w:w="108" w:type="dxa"/>
            </w:tcMar>
          </w:tcPr>
          <w:p w14:paraId="124155B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F82703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A183FA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F4DE65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A89A1BE"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D0EDA9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DE43076"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462410C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3328674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55063AE4" w14:textId="77777777" w:rsidR="00F25550" w:rsidRDefault="00F3504C">
            <w:pPr>
              <w:jc w:val="center"/>
              <w:rPr>
                <w:rFonts w:ascii="Times New Roman" w:hAnsi="Times New Roman" w:cs="Times New Roman"/>
                <w:sz w:val="24"/>
              </w:rPr>
            </w:pPr>
            <w:r>
              <w:rPr>
                <w:rFonts w:ascii="Times New Roman" w:hAnsi="Times New Roman" w:cs="Times New Roman"/>
                <w:sz w:val="24"/>
              </w:rPr>
              <w:t>8</w:t>
            </w:r>
          </w:p>
        </w:tc>
        <w:tc>
          <w:tcPr>
            <w:tcW w:w="1154" w:type="pct"/>
            <w:tcBorders>
              <w:top w:val="nil"/>
              <w:left w:val="nil"/>
              <w:bottom w:val="nil"/>
              <w:right w:val="nil"/>
            </w:tcBorders>
            <w:tcMar>
              <w:top w:w="0" w:type="dxa"/>
              <w:left w:w="108" w:type="dxa"/>
              <w:bottom w:w="0" w:type="dxa"/>
              <w:right w:w="108" w:type="dxa"/>
            </w:tcMar>
          </w:tcPr>
          <w:p w14:paraId="6B0E105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1596FAA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5C1AD97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D15B3A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1499C61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6A513193"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7E7D0B5"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33E96B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6D4A8C5"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300E3016" w14:textId="77777777" w:rsidR="00F25550" w:rsidRDefault="00F3504C">
            <w:pPr>
              <w:jc w:val="center"/>
              <w:rPr>
                <w:rFonts w:ascii="Times New Roman" w:hAnsi="Times New Roman" w:cs="Times New Roman"/>
                <w:sz w:val="24"/>
              </w:rPr>
            </w:pPr>
            <w:r>
              <w:rPr>
                <w:rFonts w:ascii="Times New Roman" w:hAnsi="Times New Roman" w:cs="Times New Roman"/>
                <w:sz w:val="24"/>
              </w:rPr>
              <w:t>9</w:t>
            </w:r>
          </w:p>
        </w:tc>
        <w:tc>
          <w:tcPr>
            <w:tcW w:w="1154" w:type="pct"/>
            <w:tcBorders>
              <w:top w:val="nil"/>
              <w:left w:val="nil"/>
              <w:bottom w:val="nil"/>
              <w:right w:val="nil"/>
            </w:tcBorders>
            <w:tcMar>
              <w:top w:w="0" w:type="dxa"/>
              <w:left w:w="108" w:type="dxa"/>
              <w:bottom w:w="0" w:type="dxa"/>
              <w:right w:w="108" w:type="dxa"/>
            </w:tcMar>
          </w:tcPr>
          <w:p w14:paraId="2B577F0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6B2055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0684B35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BE1531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E3E946A"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1D0A3A3"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C228B3D"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544499F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16314427"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75B854E" w14:textId="77777777" w:rsidR="00F25550" w:rsidRDefault="00F3504C">
            <w:pPr>
              <w:jc w:val="center"/>
              <w:rPr>
                <w:rFonts w:ascii="Times New Roman" w:hAnsi="Times New Roman" w:cs="Times New Roman"/>
                <w:sz w:val="24"/>
              </w:rPr>
            </w:pPr>
            <w:r>
              <w:rPr>
                <w:rFonts w:ascii="Times New Roman" w:hAnsi="Times New Roman" w:cs="Times New Roman"/>
                <w:sz w:val="24"/>
              </w:rPr>
              <w:t>10</w:t>
            </w:r>
          </w:p>
        </w:tc>
        <w:tc>
          <w:tcPr>
            <w:tcW w:w="1154" w:type="pct"/>
            <w:tcBorders>
              <w:top w:val="nil"/>
              <w:left w:val="nil"/>
              <w:bottom w:val="nil"/>
              <w:right w:val="nil"/>
            </w:tcBorders>
            <w:tcMar>
              <w:top w:w="0" w:type="dxa"/>
              <w:left w:w="108" w:type="dxa"/>
              <w:bottom w:w="0" w:type="dxa"/>
              <w:right w:w="108" w:type="dxa"/>
            </w:tcMar>
          </w:tcPr>
          <w:p w14:paraId="5D15BED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6478FE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2268818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1E3E3ED6"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54FD57F4"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6241F08"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02C7454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31B8B62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AE4F8FA"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B103CF1" w14:textId="77777777" w:rsidR="00F25550" w:rsidRDefault="00F3504C">
            <w:pPr>
              <w:jc w:val="center"/>
              <w:rPr>
                <w:rFonts w:ascii="Times New Roman" w:hAnsi="Times New Roman" w:cs="Times New Roman"/>
                <w:sz w:val="24"/>
              </w:rPr>
            </w:pPr>
            <w:r>
              <w:rPr>
                <w:rFonts w:ascii="Times New Roman" w:hAnsi="Times New Roman" w:cs="Times New Roman"/>
                <w:sz w:val="24"/>
              </w:rPr>
              <w:t>11</w:t>
            </w:r>
          </w:p>
        </w:tc>
        <w:tc>
          <w:tcPr>
            <w:tcW w:w="1154" w:type="pct"/>
            <w:tcBorders>
              <w:top w:val="nil"/>
              <w:left w:val="nil"/>
              <w:bottom w:val="nil"/>
              <w:right w:val="nil"/>
            </w:tcBorders>
            <w:tcMar>
              <w:top w:w="0" w:type="dxa"/>
              <w:left w:w="108" w:type="dxa"/>
              <w:bottom w:w="0" w:type="dxa"/>
              <w:right w:w="108" w:type="dxa"/>
            </w:tcMar>
          </w:tcPr>
          <w:p w14:paraId="38FEF34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7C77283"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2980DA4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F4231E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981448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2F2EF88A"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38018586"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D6C32C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23610A3"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D304BE3" w14:textId="77777777" w:rsidR="00F25550" w:rsidRDefault="00F3504C">
            <w:pPr>
              <w:jc w:val="center"/>
              <w:rPr>
                <w:rFonts w:ascii="Times New Roman" w:hAnsi="Times New Roman" w:cs="Times New Roman"/>
                <w:sz w:val="24"/>
              </w:rPr>
            </w:pPr>
            <w:r>
              <w:rPr>
                <w:rFonts w:ascii="Times New Roman" w:hAnsi="Times New Roman" w:cs="Times New Roman"/>
                <w:sz w:val="24"/>
              </w:rPr>
              <w:t>12</w:t>
            </w:r>
          </w:p>
        </w:tc>
        <w:tc>
          <w:tcPr>
            <w:tcW w:w="1154" w:type="pct"/>
            <w:tcBorders>
              <w:top w:val="nil"/>
              <w:left w:val="nil"/>
              <w:bottom w:val="nil"/>
              <w:right w:val="nil"/>
            </w:tcBorders>
            <w:tcMar>
              <w:top w:w="0" w:type="dxa"/>
              <w:left w:w="108" w:type="dxa"/>
              <w:bottom w:w="0" w:type="dxa"/>
              <w:right w:w="108" w:type="dxa"/>
            </w:tcMar>
          </w:tcPr>
          <w:p w14:paraId="30DC1EB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0793A88E"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46B6010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F52B1F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2829964"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57435570"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D3187CC"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0337C59"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3B072A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F2920CB"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1154" w:type="pct"/>
            <w:tcBorders>
              <w:top w:val="nil"/>
              <w:left w:val="nil"/>
              <w:bottom w:val="nil"/>
              <w:right w:val="nil"/>
            </w:tcBorders>
            <w:tcMar>
              <w:top w:w="0" w:type="dxa"/>
              <w:left w:w="108" w:type="dxa"/>
              <w:bottom w:w="0" w:type="dxa"/>
              <w:right w:w="108" w:type="dxa"/>
            </w:tcMar>
          </w:tcPr>
          <w:p w14:paraId="67DC0354"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E78A9D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617C43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8D0482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96DD57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5A31E61"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DD15B83"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3B0762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9AB596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432C5ADF" w14:textId="77777777" w:rsidR="00F25550" w:rsidRDefault="00F3504C">
            <w:pPr>
              <w:jc w:val="center"/>
              <w:rPr>
                <w:rFonts w:ascii="Times New Roman" w:hAnsi="Times New Roman" w:cs="Times New Roman"/>
                <w:sz w:val="24"/>
              </w:rPr>
            </w:pPr>
            <w:r>
              <w:rPr>
                <w:rFonts w:ascii="Times New Roman" w:hAnsi="Times New Roman" w:cs="Times New Roman"/>
                <w:sz w:val="24"/>
              </w:rPr>
              <w:t>14</w:t>
            </w:r>
          </w:p>
        </w:tc>
        <w:tc>
          <w:tcPr>
            <w:tcW w:w="1154" w:type="pct"/>
            <w:tcBorders>
              <w:top w:val="nil"/>
              <w:left w:val="nil"/>
              <w:bottom w:val="nil"/>
              <w:right w:val="nil"/>
            </w:tcBorders>
            <w:tcMar>
              <w:top w:w="0" w:type="dxa"/>
              <w:left w:w="108" w:type="dxa"/>
              <w:bottom w:w="0" w:type="dxa"/>
              <w:right w:w="108" w:type="dxa"/>
            </w:tcMar>
          </w:tcPr>
          <w:p w14:paraId="17A6F8CD"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BA3978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4DF8113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0B88335"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18E4C25"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B0BCA48"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E5C17C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4E08261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15AF2C1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D911AE9"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1154" w:type="pct"/>
            <w:tcBorders>
              <w:top w:val="nil"/>
              <w:left w:val="nil"/>
              <w:bottom w:val="nil"/>
              <w:right w:val="nil"/>
            </w:tcBorders>
            <w:tcMar>
              <w:top w:w="0" w:type="dxa"/>
              <w:left w:w="108" w:type="dxa"/>
              <w:bottom w:w="0" w:type="dxa"/>
              <w:right w:w="108" w:type="dxa"/>
            </w:tcMar>
          </w:tcPr>
          <w:p w14:paraId="32C21E5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C136E5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07DAF7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0C04AB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BFFC945"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6ED90DAB"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7EE3C67"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99008D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3E4CB1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C3C4DD7"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1154" w:type="pct"/>
            <w:tcBorders>
              <w:top w:val="nil"/>
              <w:left w:val="nil"/>
              <w:bottom w:val="nil"/>
              <w:right w:val="nil"/>
            </w:tcBorders>
            <w:tcMar>
              <w:top w:w="0" w:type="dxa"/>
              <w:left w:w="108" w:type="dxa"/>
              <w:bottom w:w="0" w:type="dxa"/>
              <w:right w:w="108" w:type="dxa"/>
            </w:tcMar>
          </w:tcPr>
          <w:p w14:paraId="3083343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3477907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69EE786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7C8CF5D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6BFC8FD"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68E7F3B"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3B3D4CC"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4F77233"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32680990"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B4F4264" w14:textId="77777777" w:rsidR="00F25550" w:rsidRDefault="00F3504C">
            <w:pPr>
              <w:jc w:val="center"/>
              <w:rPr>
                <w:rFonts w:ascii="Times New Roman" w:hAnsi="Times New Roman" w:cs="Times New Roman"/>
                <w:sz w:val="24"/>
              </w:rPr>
            </w:pPr>
            <w:r>
              <w:rPr>
                <w:rFonts w:ascii="Times New Roman" w:hAnsi="Times New Roman" w:cs="Times New Roman"/>
                <w:sz w:val="24"/>
              </w:rPr>
              <w:t>17</w:t>
            </w:r>
          </w:p>
        </w:tc>
        <w:tc>
          <w:tcPr>
            <w:tcW w:w="1154" w:type="pct"/>
            <w:tcBorders>
              <w:top w:val="nil"/>
              <w:left w:val="nil"/>
              <w:bottom w:val="nil"/>
              <w:right w:val="nil"/>
            </w:tcBorders>
            <w:tcMar>
              <w:top w:w="0" w:type="dxa"/>
              <w:left w:w="108" w:type="dxa"/>
              <w:bottom w:w="0" w:type="dxa"/>
              <w:right w:w="108" w:type="dxa"/>
            </w:tcMar>
          </w:tcPr>
          <w:p w14:paraId="4AB2A96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431AB62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2CAE42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6C9FEB9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E1E9D1B"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077E0222"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0824865B"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7C4306C7"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411F50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5C43AA29" w14:textId="77777777" w:rsidR="00F25550" w:rsidRDefault="00F3504C">
            <w:pPr>
              <w:jc w:val="center"/>
              <w:rPr>
                <w:rFonts w:ascii="Times New Roman" w:hAnsi="Times New Roman" w:cs="Times New Roman"/>
                <w:sz w:val="24"/>
              </w:rPr>
            </w:pPr>
            <w:r>
              <w:rPr>
                <w:rFonts w:ascii="Times New Roman" w:hAnsi="Times New Roman" w:cs="Times New Roman"/>
                <w:sz w:val="24"/>
              </w:rPr>
              <w:t>18</w:t>
            </w:r>
          </w:p>
        </w:tc>
        <w:tc>
          <w:tcPr>
            <w:tcW w:w="1154" w:type="pct"/>
            <w:tcBorders>
              <w:top w:val="nil"/>
              <w:left w:val="nil"/>
              <w:bottom w:val="nil"/>
              <w:right w:val="nil"/>
            </w:tcBorders>
            <w:tcMar>
              <w:top w:w="0" w:type="dxa"/>
              <w:left w:w="108" w:type="dxa"/>
              <w:bottom w:w="0" w:type="dxa"/>
              <w:right w:w="108" w:type="dxa"/>
            </w:tcMar>
          </w:tcPr>
          <w:p w14:paraId="2AE3C05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E575E9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8D59B0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35A94E4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B2C176A"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258B046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13443B9"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D16F06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2720B3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FF25501" w14:textId="77777777" w:rsidR="00F25550" w:rsidRDefault="00F3504C">
            <w:pPr>
              <w:jc w:val="center"/>
              <w:rPr>
                <w:rFonts w:ascii="Times New Roman" w:hAnsi="Times New Roman" w:cs="Times New Roman"/>
                <w:sz w:val="24"/>
              </w:rPr>
            </w:pPr>
            <w:r>
              <w:rPr>
                <w:rFonts w:ascii="Times New Roman" w:hAnsi="Times New Roman" w:cs="Times New Roman"/>
                <w:sz w:val="24"/>
              </w:rPr>
              <w:t>19</w:t>
            </w:r>
          </w:p>
        </w:tc>
        <w:tc>
          <w:tcPr>
            <w:tcW w:w="1154" w:type="pct"/>
            <w:tcBorders>
              <w:top w:val="nil"/>
              <w:left w:val="nil"/>
              <w:bottom w:val="nil"/>
              <w:right w:val="nil"/>
            </w:tcBorders>
            <w:tcMar>
              <w:top w:w="0" w:type="dxa"/>
              <w:left w:w="108" w:type="dxa"/>
              <w:bottom w:w="0" w:type="dxa"/>
              <w:right w:w="108" w:type="dxa"/>
            </w:tcMar>
          </w:tcPr>
          <w:p w14:paraId="2EB3CF1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431BB8DC"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198FA92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3759708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D3F7EDA"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07F262CA"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8C4A0F1"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2A5F3B4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900F9E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C249FC3" w14:textId="77777777" w:rsidR="00F25550" w:rsidRDefault="00F3504C">
            <w:pPr>
              <w:jc w:val="center"/>
              <w:rPr>
                <w:rFonts w:ascii="Times New Roman" w:hAnsi="Times New Roman" w:cs="Times New Roman"/>
                <w:sz w:val="24"/>
              </w:rPr>
            </w:pPr>
            <w:r>
              <w:rPr>
                <w:rFonts w:ascii="Times New Roman" w:hAnsi="Times New Roman" w:cs="Times New Roman"/>
                <w:sz w:val="24"/>
              </w:rPr>
              <w:t>20</w:t>
            </w:r>
          </w:p>
        </w:tc>
        <w:tc>
          <w:tcPr>
            <w:tcW w:w="1154" w:type="pct"/>
            <w:tcBorders>
              <w:top w:val="nil"/>
              <w:left w:val="nil"/>
              <w:bottom w:val="nil"/>
              <w:right w:val="nil"/>
            </w:tcBorders>
            <w:tcMar>
              <w:top w:w="0" w:type="dxa"/>
              <w:left w:w="108" w:type="dxa"/>
              <w:bottom w:w="0" w:type="dxa"/>
              <w:right w:w="108" w:type="dxa"/>
            </w:tcMar>
          </w:tcPr>
          <w:p w14:paraId="7411B57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66B3D7E"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3B22EB8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5B1A0C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A730316"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394A2D52"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DB983D2"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0102F1C0"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020838C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658145F3" w14:textId="77777777" w:rsidR="00F25550" w:rsidRDefault="00F3504C">
            <w:pPr>
              <w:jc w:val="center"/>
              <w:rPr>
                <w:rFonts w:ascii="Times New Roman" w:hAnsi="Times New Roman" w:cs="Times New Roman"/>
                <w:sz w:val="24"/>
              </w:rPr>
            </w:pPr>
            <w:r>
              <w:rPr>
                <w:rFonts w:ascii="Times New Roman" w:hAnsi="Times New Roman" w:cs="Times New Roman"/>
                <w:sz w:val="24"/>
              </w:rPr>
              <w:t>21</w:t>
            </w:r>
          </w:p>
        </w:tc>
        <w:tc>
          <w:tcPr>
            <w:tcW w:w="1154" w:type="pct"/>
            <w:tcBorders>
              <w:top w:val="nil"/>
              <w:left w:val="nil"/>
              <w:bottom w:val="nil"/>
              <w:right w:val="nil"/>
            </w:tcBorders>
            <w:tcMar>
              <w:top w:w="0" w:type="dxa"/>
              <w:left w:w="108" w:type="dxa"/>
              <w:bottom w:w="0" w:type="dxa"/>
              <w:right w:w="108" w:type="dxa"/>
            </w:tcMar>
          </w:tcPr>
          <w:p w14:paraId="2B6577C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EB215B1"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40F70ACE"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569" w:type="pct"/>
            <w:tcBorders>
              <w:top w:val="nil"/>
              <w:left w:val="nil"/>
              <w:bottom w:val="nil"/>
              <w:right w:val="nil"/>
            </w:tcBorders>
            <w:tcMar>
              <w:top w:w="0" w:type="dxa"/>
              <w:left w:w="108" w:type="dxa"/>
              <w:bottom w:w="0" w:type="dxa"/>
              <w:right w:w="108" w:type="dxa"/>
            </w:tcMar>
            <w:vAlign w:val="center"/>
          </w:tcPr>
          <w:p w14:paraId="60666311" w14:textId="77777777" w:rsidR="00F25550" w:rsidRDefault="00F3504C">
            <w:pPr>
              <w:jc w:val="center"/>
              <w:rPr>
                <w:rFonts w:ascii="Times New Roman" w:hAnsi="Times New Roman" w:cs="Times New Roman"/>
                <w:sz w:val="24"/>
              </w:rPr>
            </w:pPr>
            <w:r>
              <w:rPr>
                <w:rFonts w:ascii="Times New Roman" w:hAnsi="Times New Roman" w:cs="Times New Roman"/>
                <w:sz w:val="24"/>
              </w:rPr>
              <w:t>3</w:t>
            </w:r>
          </w:p>
        </w:tc>
        <w:tc>
          <w:tcPr>
            <w:tcW w:w="436" w:type="pct"/>
            <w:tcBorders>
              <w:top w:val="nil"/>
              <w:left w:val="nil"/>
              <w:bottom w:val="nil"/>
              <w:right w:val="nil"/>
            </w:tcBorders>
            <w:tcMar>
              <w:top w:w="0" w:type="dxa"/>
              <w:left w:w="108" w:type="dxa"/>
              <w:bottom w:w="0" w:type="dxa"/>
              <w:right w:w="108" w:type="dxa"/>
            </w:tcMar>
            <w:vAlign w:val="center"/>
          </w:tcPr>
          <w:p w14:paraId="52F36209"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569" w:type="pct"/>
            <w:tcBorders>
              <w:top w:val="nil"/>
              <w:left w:val="nil"/>
              <w:bottom w:val="nil"/>
              <w:right w:val="nil"/>
            </w:tcBorders>
            <w:tcMar>
              <w:top w:w="0" w:type="dxa"/>
              <w:left w:w="108" w:type="dxa"/>
              <w:bottom w:w="0" w:type="dxa"/>
              <w:right w:w="108" w:type="dxa"/>
            </w:tcMar>
            <w:vAlign w:val="center"/>
          </w:tcPr>
          <w:p w14:paraId="5E04CB75"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8FE3FB0"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4CDE2A43"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7913369E"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0766450" w14:textId="77777777" w:rsidR="00F25550" w:rsidRDefault="00F3504C">
            <w:pPr>
              <w:jc w:val="center"/>
              <w:rPr>
                <w:rFonts w:ascii="Times New Roman" w:hAnsi="Times New Roman" w:cs="Times New Roman"/>
                <w:sz w:val="24"/>
              </w:rPr>
            </w:pPr>
            <w:r>
              <w:rPr>
                <w:rFonts w:ascii="Times New Roman" w:hAnsi="Times New Roman" w:cs="Times New Roman"/>
                <w:sz w:val="24"/>
              </w:rPr>
              <w:t>22</w:t>
            </w:r>
          </w:p>
        </w:tc>
        <w:tc>
          <w:tcPr>
            <w:tcW w:w="1154" w:type="pct"/>
            <w:tcBorders>
              <w:top w:val="nil"/>
              <w:left w:val="nil"/>
              <w:bottom w:val="nil"/>
              <w:right w:val="nil"/>
            </w:tcBorders>
            <w:tcMar>
              <w:top w:w="0" w:type="dxa"/>
              <w:left w:w="108" w:type="dxa"/>
              <w:bottom w:w="0" w:type="dxa"/>
              <w:right w:w="108" w:type="dxa"/>
            </w:tcMar>
          </w:tcPr>
          <w:p w14:paraId="28F311E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1001B3CA" w14:textId="77777777" w:rsidR="00F25550" w:rsidRDefault="00F3504C">
            <w:pPr>
              <w:jc w:val="center"/>
              <w:rPr>
                <w:rFonts w:ascii="Times New Roman" w:hAnsi="Times New Roman" w:cs="Times New Roman"/>
                <w:sz w:val="24"/>
              </w:rPr>
            </w:pPr>
            <w:r>
              <w:rPr>
                <w:rFonts w:ascii="Times New Roman" w:hAnsi="Times New Roman" w:cs="Times New Roman"/>
                <w:sz w:val="24"/>
              </w:rPr>
              <w:t>2</w:t>
            </w:r>
          </w:p>
        </w:tc>
        <w:tc>
          <w:tcPr>
            <w:tcW w:w="371" w:type="pct"/>
            <w:tcBorders>
              <w:top w:val="nil"/>
              <w:left w:val="nil"/>
              <w:bottom w:val="nil"/>
              <w:right w:val="nil"/>
            </w:tcBorders>
            <w:tcMar>
              <w:top w:w="0" w:type="dxa"/>
              <w:left w:w="108" w:type="dxa"/>
              <w:bottom w:w="0" w:type="dxa"/>
              <w:right w:w="108" w:type="dxa"/>
            </w:tcMar>
            <w:vAlign w:val="center"/>
          </w:tcPr>
          <w:p w14:paraId="2C5B1810"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569" w:type="pct"/>
            <w:tcBorders>
              <w:top w:val="nil"/>
              <w:left w:val="nil"/>
              <w:bottom w:val="nil"/>
              <w:right w:val="nil"/>
            </w:tcBorders>
            <w:tcMar>
              <w:top w:w="0" w:type="dxa"/>
              <w:left w:w="108" w:type="dxa"/>
              <w:bottom w:w="0" w:type="dxa"/>
              <w:right w:w="108" w:type="dxa"/>
            </w:tcMar>
            <w:vAlign w:val="center"/>
          </w:tcPr>
          <w:p w14:paraId="3DB6E2D2" w14:textId="77777777" w:rsidR="00F25550" w:rsidRDefault="00F3504C">
            <w:pPr>
              <w:jc w:val="center"/>
              <w:rPr>
                <w:rFonts w:ascii="Times New Roman" w:hAnsi="Times New Roman" w:cs="Times New Roman"/>
                <w:sz w:val="24"/>
              </w:rPr>
            </w:pPr>
            <w:r>
              <w:rPr>
                <w:rFonts w:ascii="Times New Roman" w:hAnsi="Times New Roman" w:cs="Times New Roman"/>
                <w:sz w:val="24"/>
              </w:rPr>
              <w:t>5</w:t>
            </w:r>
          </w:p>
        </w:tc>
        <w:tc>
          <w:tcPr>
            <w:tcW w:w="436" w:type="pct"/>
            <w:tcBorders>
              <w:top w:val="nil"/>
              <w:left w:val="nil"/>
              <w:bottom w:val="nil"/>
              <w:right w:val="nil"/>
            </w:tcBorders>
            <w:tcMar>
              <w:top w:w="0" w:type="dxa"/>
              <w:left w:w="108" w:type="dxa"/>
              <w:bottom w:w="0" w:type="dxa"/>
              <w:right w:w="108" w:type="dxa"/>
            </w:tcMar>
            <w:vAlign w:val="center"/>
          </w:tcPr>
          <w:p w14:paraId="2C28774B"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569" w:type="pct"/>
            <w:tcBorders>
              <w:top w:val="nil"/>
              <w:left w:val="nil"/>
              <w:bottom w:val="nil"/>
              <w:right w:val="nil"/>
            </w:tcBorders>
            <w:tcMar>
              <w:top w:w="0" w:type="dxa"/>
              <w:left w:w="108" w:type="dxa"/>
              <w:bottom w:w="0" w:type="dxa"/>
              <w:right w:w="108" w:type="dxa"/>
            </w:tcMar>
            <w:vAlign w:val="center"/>
          </w:tcPr>
          <w:p w14:paraId="27754C6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5A00717E"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5E0ECE7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13A1B68" w14:textId="77777777">
        <w:trPr>
          <w:trHeight w:val="423"/>
          <w:jc w:val="center"/>
        </w:trPr>
        <w:tc>
          <w:tcPr>
            <w:tcW w:w="525" w:type="pct"/>
            <w:tcBorders>
              <w:top w:val="nil"/>
              <w:left w:val="nil"/>
              <w:bottom w:val="single" w:sz="4" w:space="0" w:color="auto"/>
              <w:right w:val="nil"/>
            </w:tcBorders>
            <w:tcMar>
              <w:top w:w="0" w:type="dxa"/>
              <w:left w:w="108" w:type="dxa"/>
              <w:bottom w:w="0" w:type="dxa"/>
              <w:right w:w="108" w:type="dxa"/>
            </w:tcMar>
            <w:vAlign w:val="center"/>
          </w:tcPr>
          <w:p w14:paraId="71233C9D" w14:textId="77777777" w:rsidR="00F25550" w:rsidRDefault="00F3504C">
            <w:pPr>
              <w:jc w:val="center"/>
              <w:rPr>
                <w:rFonts w:ascii="Times New Roman" w:hAnsi="Times New Roman" w:cs="Times New Roman"/>
                <w:sz w:val="24"/>
              </w:rPr>
            </w:pPr>
            <w:r>
              <w:rPr>
                <w:rFonts w:ascii="Times New Roman" w:hAnsi="Times New Roman" w:cs="Times New Roman"/>
                <w:sz w:val="24"/>
              </w:rPr>
              <w:t>23</w:t>
            </w:r>
          </w:p>
        </w:tc>
        <w:tc>
          <w:tcPr>
            <w:tcW w:w="1154" w:type="pct"/>
            <w:tcBorders>
              <w:top w:val="nil"/>
              <w:left w:val="nil"/>
              <w:bottom w:val="single" w:sz="4" w:space="0" w:color="auto"/>
              <w:right w:val="nil"/>
            </w:tcBorders>
            <w:tcMar>
              <w:top w:w="0" w:type="dxa"/>
              <w:left w:w="108" w:type="dxa"/>
              <w:bottom w:w="0" w:type="dxa"/>
              <w:right w:w="108" w:type="dxa"/>
            </w:tcMar>
          </w:tcPr>
          <w:p w14:paraId="6FD93E8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single" w:sz="4" w:space="0" w:color="auto"/>
              <w:right w:val="nil"/>
            </w:tcBorders>
            <w:tcMar>
              <w:top w:w="0" w:type="dxa"/>
              <w:left w:w="108" w:type="dxa"/>
              <w:bottom w:w="0" w:type="dxa"/>
              <w:right w:w="108" w:type="dxa"/>
            </w:tcMar>
            <w:vAlign w:val="center"/>
          </w:tcPr>
          <w:p w14:paraId="7C41C099"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371" w:type="pct"/>
            <w:tcBorders>
              <w:top w:val="nil"/>
              <w:left w:val="nil"/>
              <w:bottom w:val="single" w:sz="4" w:space="0" w:color="auto"/>
              <w:right w:val="nil"/>
            </w:tcBorders>
            <w:tcMar>
              <w:top w:w="0" w:type="dxa"/>
              <w:left w:w="108" w:type="dxa"/>
              <w:bottom w:w="0" w:type="dxa"/>
              <w:right w:w="108" w:type="dxa"/>
            </w:tcMar>
            <w:vAlign w:val="center"/>
          </w:tcPr>
          <w:p w14:paraId="0186A6E5"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25BD55AB" w14:textId="77777777" w:rsidR="00F25550" w:rsidRDefault="00F3504C">
            <w:pPr>
              <w:jc w:val="center"/>
              <w:rPr>
                <w:rFonts w:ascii="Times New Roman" w:hAnsi="Times New Roman" w:cs="Times New Roman"/>
                <w:sz w:val="24"/>
              </w:rPr>
            </w:pPr>
            <w:r>
              <w:rPr>
                <w:rFonts w:ascii="Times New Roman" w:hAnsi="Times New Roman" w:cs="Times New Roman"/>
                <w:sz w:val="24"/>
              </w:rPr>
              <w:t>8</w:t>
            </w:r>
          </w:p>
        </w:tc>
        <w:tc>
          <w:tcPr>
            <w:tcW w:w="436" w:type="pct"/>
            <w:tcBorders>
              <w:top w:val="nil"/>
              <w:left w:val="nil"/>
              <w:bottom w:val="single" w:sz="4" w:space="0" w:color="auto"/>
              <w:right w:val="nil"/>
            </w:tcBorders>
            <w:tcMar>
              <w:top w:w="0" w:type="dxa"/>
              <w:left w:w="108" w:type="dxa"/>
              <w:bottom w:w="0" w:type="dxa"/>
              <w:right w:w="108" w:type="dxa"/>
            </w:tcMar>
            <w:vAlign w:val="center"/>
          </w:tcPr>
          <w:p w14:paraId="6B8C369E" w14:textId="77777777" w:rsidR="00F25550" w:rsidRDefault="00F3504C">
            <w:pPr>
              <w:jc w:val="center"/>
              <w:rPr>
                <w:rFonts w:ascii="Times New Roman" w:hAnsi="Times New Roman" w:cs="Times New Roman"/>
                <w:sz w:val="24"/>
              </w:rPr>
            </w:pPr>
            <w:r>
              <w:rPr>
                <w:rFonts w:ascii="Times New Roman" w:hAnsi="Times New Roman" w:cs="Times New Roman"/>
                <w:sz w:val="24"/>
              </w:rPr>
              <w:t>18</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7D184B43" w14:textId="77777777" w:rsidR="00F25550" w:rsidRDefault="00F3504C">
            <w:pPr>
              <w:jc w:val="center"/>
              <w:rPr>
                <w:rFonts w:ascii="Times New Roman" w:hAnsi="Times New Roman" w:cs="Times New Roman"/>
                <w:sz w:val="24"/>
              </w:rPr>
            </w:pPr>
            <w:r>
              <w:rPr>
                <w:rFonts w:ascii="Times New Roman" w:hAnsi="Times New Roman" w:cs="Times New Roman"/>
                <w:sz w:val="24"/>
              </w:rPr>
              <w:t>32</w:t>
            </w:r>
          </w:p>
        </w:tc>
        <w:tc>
          <w:tcPr>
            <w:tcW w:w="436" w:type="pct"/>
            <w:tcBorders>
              <w:top w:val="nil"/>
              <w:left w:val="nil"/>
              <w:bottom w:val="single" w:sz="4" w:space="0" w:color="auto"/>
              <w:right w:val="nil"/>
            </w:tcBorders>
            <w:tcMar>
              <w:top w:w="0" w:type="dxa"/>
              <w:left w:w="108" w:type="dxa"/>
              <w:bottom w:w="0" w:type="dxa"/>
              <w:right w:w="108" w:type="dxa"/>
            </w:tcMar>
            <w:vAlign w:val="center"/>
          </w:tcPr>
          <w:p w14:paraId="280C3550" w14:textId="77777777" w:rsidR="00F25550" w:rsidRDefault="00F3504C">
            <w:pPr>
              <w:jc w:val="center"/>
              <w:rPr>
                <w:rFonts w:ascii="Times New Roman" w:hAnsi="Times New Roman" w:cs="Times New Roman"/>
                <w:sz w:val="24"/>
              </w:rPr>
            </w:pPr>
            <w:r>
              <w:rPr>
                <w:rFonts w:ascii="Times New Roman" w:hAnsi="Times New Roman" w:cs="Times New Roman"/>
                <w:sz w:val="24"/>
              </w:rPr>
              <w:t>64</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77660E2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bl>
    <w:p w14:paraId="4D3A1675" w14:textId="77777777" w:rsidR="00F25550" w:rsidRPr="005B7C88" w:rsidRDefault="00F3504C">
      <w:pPr>
        <w:rPr>
          <w:rStyle w:val="translated-span"/>
          <w:rFonts w:ascii="Times New Roman" w:eastAsia="STZhongsong" w:hAnsi="Times New Roman" w:cs="Times New Roman"/>
          <w:sz w:val="18"/>
          <w:szCs w:val="18"/>
        </w:rPr>
      </w:pPr>
      <w:r w:rsidRPr="005B7C88">
        <w:rPr>
          <w:rStyle w:val="translated-span"/>
          <w:rFonts w:ascii="Times New Roman" w:eastAsia="STZhongsong" w:hAnsi="Times New Roman" w:cs="Times New Roman"/>
          <w:sz w:val="18"/>
          <w:szCs w:val="18"/>
        </w:rPr>
        <w:t>CK1: blank control group; CK2: inactivated control group.</w:t>
      </w:r>
    </w:p>
    <w:p w14:paraId="63FCDE9B" w14:textId="77777777" w:rsidR="004E5175" w:rsidRDefault="004E5175">
      <w:pPr>
        <w:ind w:firstLineChars="100" w:firstLine="211"/>
        <w:jc w:val="center"/>
        <w:rPr>
          <w:rFonts w:ascii="Times New Roman" w:hAnsi="Times New Roman" w:cs="Times New Roman"/>
          <w:b/>
          <w:bCs/>
        </w:rPr>
      </w:pPr>
    </w:p>
    <w:p w14:paraId="487C70C1" w14:textId="4AE63ADA" w:rsidR="00F25550" w:rsidRDefault="00F3504C">
      <w:pPr>
        <w:ind w:firstLineChars="100" w:firstLine="211"/>
        <w:jc w:val="center"/>
        <w:rPr>
          <w:rFonts w:ascii="Times New Roman" w:hAnsi="Times New Roman" w:cs="Times New Roman"/>
          <w:b/>
          <w:bCs/>
          <w:i/>
          <w:iCs/>
        </w:rPr>
      </w:pPr>
      <w:r>
        <w:rPr>
          <w:rFonts w:ascii="Times New Roman" w:hAnsi="Times New Roman" w:cs="Times New Roman"/>
          <w:b/>
          <w:bCs/>
        </w:rPr>
        <w:t xml:space="preserve">Table </w:t>
      </w:r>
      <w:r>
        <w:rPr>
          <w:rFonts w:ascii="Times New Roman" w:hAnsi="Times New Roman" w:cs="Times New Roman" w:hint="eastAsia"/>
          <w:b/>
          <w:bCs/>
        </w:rPr>
        <w:t>2</w:t>
      </w:r>
      <w:r>
        <w:rPr>
          <w:rFonts w:ascii="Times New Roman" w:hAnsi="Times New Roman" w:cs="Times New Roman"/>
          <w:b/>
          <w:bCs/>
        </w:rPr>
        <w:t xml:space="preserve">. Cumulative </w:t>
      </w:r>
      <w:r w:rsidR="00BA5B56">
        <w:rPr>
          <w:rFonts w:ascii="Times New Roman" w:hAnsi="Times New Roman" w:cs="Times New Roman"/>
          <w:b/>
          <w:bCs/>
        </w:rPr>
        <w:t>m</w:t>
      </w:r>
      <w:r>
        <w:rPr>
          <w:rFonts w:ascii="Times New Roman" w:hAnsi="Times New Roman" w:cs="Times New Roman"/>
          <w:b/>
          <w:bCs/>
        </w:rPr>
        <w:t xml:space="preserve">ortality of Silkworms in </w:t>
      </w:r>
      <w:r w:rsidR="00BA5B56">
        <w:rPr>
          <w:rFonts w:ascii="Times New Roman" w:hAnsi="Times New Roman" w:cs="Times New Roman"/>
          <w:b/>
          <w:bCs/>
        </w:rPr>
        <w:t>t</w:t>
      </w:r>
      <w:r>
        <w:rPr>
          <w:rFonts w:ascii="Times New Roman" w:hAnsi="Times New Roman" w:cs="Times New Roman"/>
          <w:b/>
          <w:bCs/>
        </w:rPr>
        <w:t xml:space="preserve">oxicity </w:t>
      </w:r>
      <w:r w:rsidR="00BA5B56">
        <w:rPr>
          <w:rFonts w:ascii="Times New Roman" w:hAnsi="Times New Roman" w:cs="Times New Roman"/>
          <w:b/>
          <w:bCs/>
        </w:rPr>
        <w:t>t</w:t>
      </w:r>
      <w:r>
        <w:rPr>
          <w:rFonts w:ascii="Times New Roman" w:hAnsi="Times New Roman" w:cs="Times New Roman"/>
          <w:b/>
          <w:bCs/>
        </w:rPr>
        <w:t xml:space="preserve">ests </w:t>
      </w:r>
      <w:r w:rsidR="00BA5B56">
        <w:rPr>
          <w:rFonts w:ascii="Times New Roman" w:hAnsi="Times New Roman" w:cs="Times New Roman"/>
          <w:b/>
          <w:bCs/>
        </w:rPr>
        <w:t>u</w:t>
      </w:r>
      <w:r>
        <w:rPr>
          <w:rFonts w:ascii="Times New Roman" w:hAnsi="Times New Roman" w:cs="Times New Roman"/>
          <w:b/>
          <w:bCs/>
        </w:rPr>
        <w:t xml:space="preserve">sing 100 </w:t>
      </w:r>
      <w:r w:rsidR="00620392">
        <w:rPr>
          <w:rFonts w:ascii="Times New Roman" w:hAnsi="Times New Roman" w:cs="Times New Roman"/>
          <w:b/>
          <w:bCs/>
        </w:rPr>
        <w:t>m</w:t>
      </w:r>
      <w:r>
        <w:rPr>
          <w:rFonts w:ascii="Times New Roman" w:hAnsi="Times New Roman" w:cs="Times New Roman"/>
          <w:b/>
          <w:bCs/>
        </w:rPr>
        <w:t xml:space="preserve">illion CFU/g </w:t>
      </w:r>
      <w:r>
        <w:rPr>
          <w:rFonts w:ascii="Times New Roman" w:hAnsi="Times New Roman" w:cs="Times New Roman"/>
          <w:b/>
          <w:bCs/>
          <w:i/>
          <w:iCs/>
        </w:rPr>
        <w:t>Bacillus thuringiensis </w:t>
      </w:r>
    </w:p>
    <w:p w14:paraId="42D1049D" w14:textId="77777777" w:rsidR="004E5175" w:rsidRDefault="004E5175">
      <w:pPr>
        <w:ind w:firstLineChars="100" w:firstLine="211"/>
        <w:jc w:val="center"/>
        <w:rPr>
          <w:rFonts w:ascii="Times New Roman" w:hAnsi="Times New Roman" w:cs="Times New Roman"/>
          <w:b/>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
        <w:gridCol w:w="1696"/>
        <w:gridCol w:w="1270"/>
        <w:gridCol w:w="936"/>
        <w:gridCol w:w="633"/>
        <w:gridCol w:w="936"/>
        <w:gridCol w:w="936"/>
        <w:gridCol w:w="936"/>
      </w:tblGrid>
      <w:tr w:rsidR="004E5175" w:rsidRPr="0043482D" w14:paraId="09BFD20B" w14:textId="77777777" w:rsidTr="004E5175">
        <w:trPr>
          <w:trHeight w:val="264"/>
          <w:jc w:val="center"/>
        </w:trPr>
        <w:tc>
          <w:tcPr>
            <w:tcW w:w="560" w:type="pct"/>
            <w:tcBorders>
              <w:top w:val="single" w:sz="4" w:space="0" w:color="auto"/>
              <w:left w:val="nil"/>
              <w:bottom w:val="single" w:sz="4" w:space="0" w:color="auto"/>
              <w:right w:val="nil"/>
            </w:tcBorders>
            <w:tcMar>
              <w:top w:w="0" w:type="dxa"/>
              <w:left w:w="108" w:type="dxa"/>
              <w:bottom w:w="0" w:type="dxa"/>
              <w:right w:w="108" w:type="dxa"/>
            </w:tcMar>
            <w:vAlign w:val="center"/>
          </w:tcPr>
          <w:p w14:paraId="68FE6551"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Handle</w:t>
            </w:r>
          </w:p>
        </w:tc>
        <w:tc>
          <w:tcPr>
            <w:tcW w:w="1043" w:type="pct"/>
            <w:tcBorders>
              <w:top w:val="single" w:sz="4" w:space="0" w:color="auto"/>
              <w:left w:val="nil"/>
              <w:bottom w:val="single" w:sz="4" w:space="0" w:color="auto"/>
              <w:right w:val="nil"/>
            </w:tcBorders>
            <w:tcMar>
              <w:top w:w="0" w:type="dxa"/>
              <w:left w:w="108" w:type="dxa"/>
              <w:bottom w:w="0" w:type="dxa"/>
              <w:right w:w="108" w:type="dxa"/>
            </w:tcMar>
            <w:vAlign w:val="center"/>
          </w:tcPr>
          <w:p w14:paraId="0281C007" w14:textId="7319B779" w:rsidR="004E5175" w:rsidRPr="0043482D" w:rsidRDefault="0043482D">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C</w:t>
            </w:r>
            <w:r w:rsidR="004E5175" w:rsidRPr="0043482D">
              <w:rPr>
                <w:rStyle w:val="translated-span"/>
                <w:rFonts w:ascii="Times New Roman" w:eastAsia="STZhongsong" w:hAnsi="Times New Roman" w:cs="Times New Roman"/>
                <w:b/>
                <w:bCs/>
                <w:sz w:val="24"/>
              </w:rPr>
              <w:t>oncentration</w:t>
            </w:r>
          </w:p>
          <w:p w14:paraId="46B079BA"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hAnsi="Times New Roman" w:cs="Times New Roman"/>
                <w:b/>
                <w:bCs/>
                <w:sz w:val="24"/>
              </w:rPr>
              <w:t>CFU/mL</w:t>
            </w:r>
          </w:p>
        </w:tc>
        <w:tc>
          <w:tcPr>
            <w:tcW w:w="733" w:type="pct"/>
            <w:tcBorders>
              <w:top w:val="single" w:sz="4" w:space="0" w:color="auto"/>
              <w:left w:val="nil"/>
              <w:bottom w:val="single" w:sz="4" w:space="0" w:color="auto"/>
              <w:right w:val="nil"/>
            </w:tcBorders>
            <w:tcMar>
              <w:top w:w="0" w:type="dxa"/>
              <w:left w:w="108" w:type="dxa"/>
              <w:bottom w:w="0" w:type="dxa"/>
              <w:right w:w="108" w:type="dxa"/>
            </w:tcMar>
            <w:vAlign w:val="center"/>
          </w:tcPr>
          <w:p w14:paraId="7B3A9C5A"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Total silkworms (head)</w:t>
            </w: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128D19FD"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1 (head)</w:t>
            </w:r>
          </w:p>
        </w:tc>
        <w:tc>
          <w:tcPr>
            <w:tcW w:w="533" w:type="pct"/>
            <w:tcBorders>
              <w:top w:val="single" w:sz="4" w:space="0" w:color="auto"/>
              <w:left w:val="nil"/>
              <w:bottom w:val="single" w:sz="4" w:space="0" w:color="auto"/>
              <w:right w:val="nil"/>
            </w:tcBorders>
          </w:tcPr>
          <w:p w14:paraId="54D2FBAE" w14:textId="77777777" w:rsidR="004E5175" w:rsidRPr="0043482D" w:rsidRDefault="004E5175">
            <w:pPr>
              <w:spacing w:line="360" w:lineRule="auto"/>
              <w:jc w:val="center"/>
              <w:rPr>
                <w:rStyle w:val="translated-span"/>
                <w:rFonts w:ascii="Times New Roman" w:eastAsia="STZhongsong" w:hAnsi="Times New Roman" w:cs="Times New Roman"/>
                <w:b/>
                <w:bCs/>
                <w:sz w:val="24"/>
              </w:rPr>
            </w:pP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4A2ACAF6" w14:textId="1741DD49"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2 (head)</w:t>
            </w: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66B92737"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3 (head)</w:t>
            </w:r>
          </w:p>
        </w:tc>
        <w:tc>
          <w:tcPr>
            <w:tcW w:w="532" w:type="pct"/>
            <w:tcBorders>
              <w:top w:val="single" w:sz="4" w:space="0" w:color="auto"/>
              <w:left w:val="nil"/>
              <w:bottom w:val="single" w:sz="4" w:space="0" w:color="auto"/>
              <w:right w:val="nil"/>
            </w:tcBorders>
            <w:tcMar>
              <w:top w:w="0" w:type="dxa"/>
              <w:left w:w="108" w:type="dxa"/>
              <w:bottom w:w="0" w:type="dxa"/>
              <w:right w:w="108" w:type="dxa"/>
            </w:tcMar>
            <w:vAlign w:val="center"/>
          </w:tcPr>
          <w:p w14:paraId="68225FBD"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4 (head)</w:t>
            </w:r>
          </w:p>
        </w:tc>
      </w:tr>
      <w:tr w:rsidR="004E5175" w14:paraId="2E75F4BA" w14:textId="77777777" w:rsidTr="004E5175">
        <w:trPr>
          <w:trHeight w:val="414"/>
          <w:jc w:val="center"/>
        </w:trPr>
        <w:tc>
          <w:tcPr>
            <w:tcW w:w="560" w:type="pct"/>
            <w:tcBorders>
              <w:top w:val="single" w:sz="4" w:space="0" w:color="auto"/>
              <w:left w:val="nil"/>
              <w:bottom w:val="nil"/>
              <w:right w:val="nil"/>
            </w:tcBorders>
            <w:tcMar>
              <w:top w:w="0" w:type="dxa"/>
              <w:left w:w="108" w:type="dxa"/>
              <w:bottom w:w="0" w:type="dxa"/>
              <w:right w:w="108" w:type="dxa"/>
            </w:tcMar>
            <w:vAlign w:val="center"/>
          </w:tcPr>
          <w:p w14:paraId="1EE9B78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lang w:val="en-GB"/>
              </w:rPr>
              <w:t>CK1</w:t>
            </w:r>
          </w:p>
        </w:tc>
        <w:tc>
          <w:tcPr>
            <w:tcW w:w="1043" w:type="pct"/>
            <w:tcBorders>
              <w:top w:val="single" w:sz="4" w:space="0" w:color="auto"/>
              <w:left w:val="nil"/>
              <w:bottom w:val="nil"/>
              <w:right w:val="nil"/>
            </w:tcBorders>
            <w:tcMar>
              <w:top w:w="0" w:type="dxa"/>
              <w:left w:w="108" w:type="dxa"/>
              <w:bottom w:w="0" w:type="dxa"/>
              <w:right w:w="108" w:type="dxa"/>
            </w:tcMar>
            <w:vAlign w:val="center"/>
          </w:tcPr>
          <w:p w14:paraId="073387F9" w14:textId="77777777" w:rsidR="004E5175" w:rsidRDefault="004E5175">
            <w:pPr>
              <w:spacing w:line="360" w:lineRule="auto"/>
              <w:jc w:val="center"/>
              <w:rPr>
                <w:rFonts w:ascii="Times New Roman" w:hAnsi="Times New Roman" w:cs="Times New Roman"/>
                <w:sz w:val="24"/>
              </w:rPr>
            </w:pPr>
            <w:r>
              <w:rPr>
                <w:rFonts w:ascii="Times New Roman" w:hAnsi="Times New Roman" w:cs="Times New Roman"/>
                <w:sz w:val="24"/>
              </w:rPr>
              <w:t>-</w:t>
            </w:r>
          </w:p>
        </w:tc>
        <w:tc>
          <w:tcPr>
            <w:tcW w:w="733" w:type="pct"/>
            <w:tcBorders>
              <w:top w:val="single" w:sz="4" w:space="0" w:color="auto"/>
              <w:left w:val="nil"/>
              <w:bottom w:val="nil"/>
              <w:right w:val="nil"/>
            </w:tcBorders>
            <w:tcMar>
              <w:top w:w="0" w:type="dxa"/>
              <w:left w:w="108" w:type="dxa"/>
              <w:bottom w:w="0" w:type="dxa"/>
              <w:right w:w="108" w:type="dxa"/>
            </w:tcMar>
            <w:vAlign w:val="center"/>
          </w:tcPr>
          <w:p w14:paraId="5EF41693"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single" w:sz="4" w:space="0" w:color="auto"/>
              <w:left w:val="nil"/>
              <w:bottom w:val="nil"/>
              <w:right w:val="nil"/>
            </w:tcBorders>
            <w:tcMar>
              <w:top w:w="0" w:type="dxa"/>
              <w:left w:w="108" w:type="dxa"/>
              <w:bottom w:w="0" w:type="dxa"/>
              <w:right w:w="108" w:type="dxa"/>
            </w:tcMar>
            <w:vAlign w:val="center"/>
          </w:tcPr>
          <w:p w14:paraId="5512EB4E"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c>
          <w:tcPr>
            <w:tcW w:w="533" w:type="pct"/>
            <w:tcBorders>
              <w:top w:val="single" w:sz="4" w:space="0" w:color="auto"/>
              <w:left w:val="nil"/>
              <w:bottom w:val="nil"/>
              <w:right w:val="nil"/>
            </w:tcBorders>
          </w:tcPr>
          <w:p w14:paraId="6392F6A8" w14:textId="77777777" w:rsidR="004E5175" w:rsidRDefault="004E5175">
            <w:pPr>
              <w:jc w:val="center"/>
              <w:rPr>
                <w:rFonts w:ascii="Times New Roman" w:hAnsi="Times New Roman" w:cs="Times New Roman"/>
                <w:sz w:val="24"/>
              </w:rPr>
            </w:pPr>
          </w:p>
        </w:tc>
        <w:tc>
          <w:tcPr>
            <w:tcW w:w="533" w:type="pct"/>
            <w:tcBorders>
              <w:top w:val="single" w:sz="4" w:space="0" w:color="auto"/>
              <w:left w:val="nil"/>
              <w:bottom w:val="nil"/>
              <w:right w:val="nil"/>
            </w:tcBorders>
            <w:tcMar>
              <w:top w:w="0" w:type="dxa"/>
              <w:left w:w="108" w:type="dxa"/>
              <w:bottom w:w="0" w:type="dxa"/>
              <w:right w:w="108" w:type="dxa"/>
            </w:tcMar>
            <w:vAlign w:val="center"/>
          </w:tcPr>
          <w:p w14:paraId="51D9EA60" w14:textId="3D0E2AF6"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single" w:sz="4" w:space="0" w:color="auto"/>
              <w:left w:val="nil"/>
              <w:bottom w:val="nil"/>
              <w:right w:val="nil"/>
            </w:tcBorders>
            <w:tcMar>
              <w:top w:w="0" w:type="dxa"/>
              <w:left w:w="108" w:type="dxa"/>
              <w:bottom w:w="0" w:type="dxa"/>
              <w:right w:w="108" w:type="dxa"/>
            </w:tcMar>
            <w:vAlign w:val="center"/>
          </w:tcPr>
          <w:p w14:paraId="300132F4"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2" w:type="pct"/>
            <w:tcBorders>
              <w:top w:val="single" w:sz="4" w:space="0" w:color="auto"/>
              <w:left w:val="nil"/>
              <w:bottom w:val="nil"/>
              <w:right w:val="nil"/>
            </w:tcBorders>
            <w:tcMar>
              <w:top w:w="0" w:type="dxa"/>
              <w:left w:w="108" w:type="dxa"/>
              <w:bottom w:w="0" w:type="dxa"/>
              <w:right w:w="108" w:type="dxa"/>
            </w:tcMar>
            <w:vAlign w:val="center"/>
          </w:tcPr>
          <w:p w14:paraId="390C7875" w14:textId="77777777" w:rsidR="004E5175" w:rsidRDefault="004E5175">
            <w:pPr>
              <w:jc w:val="center"/>
              <w:rPr>
                <w:rFonts w:ascii="Times New Roman" w:hAnsi="Times New Roman" w:cs="Times New Roman"/>
                <w:sz w:val="24"/>
              </w:rPr>
            </w:pPr>
            <w:r>
              <w:rPr>
                <w:rFonts w:ascii="Times New Roman" w:hAnsi="Times New Roman" w:cs="Times New Roman"/>
                <w:sz w:val="24"/>
              </w:rPr>
              <w:t>2</w:t>
            </w:r>
          </w:p>
        </w:tc>
      </w:tr>
      <w:tr w:rsidR="004E5175" w14:paraId="4FA4A8BE"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E3A3D56"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lang w:val="en-GB"/>
              </w:rPr>
              <w:t>CK2</w:t>
            </w:r>
          </w:p>
        </w:tc>
        <w:tc>
          <w:tcPr>
            <w:tcW w:w="1043" w:type="pct"/>
            <w:tcBorders>
              <w:top w:val="nil"/>
              <w:left w:val="nil"/>
              <w:bottom w:val="nil"/>
              <w:right w:val="nil"/>
            </w:tcBorders>
            <w:tcMar>
              <w:top w:w="0" w:type="dxa"/>
              <w:left w:w="108" w:type="dxa"/>
              <w:bottom w:w="0" w:type="dxa"/>
              <w:right w:w="108" w:type="dxa"/>
            </w:tcMar>
            <w:vAlign w:val="center"/>
          </w:tcPr>
          <w:p w14:paraId="1B500E2C" w14:textId="77777777" w:rsidR="004E5175" w:rsidRDefault="004E5175">
            <w:pPr>
              <w:spacing w:line="360" w:lineRule="auto"/>
              <w:jc w:val="center"/>
              <w:rPr>
                <w:rFonts w:ascii="Times New Roman" w:hAnsi="Times New Roman" w:cs="Times New Roman"/>
                <w:sz w:val="24"/>
              </w:rPr>
            </w:pPr>
            <w:r>
              <w:rPr>
                <w:rFonts w:ascii="Times New Roman" w:hAnsi="Times New Roman" w:cs="Times New Roman"/>
                <w:sz w:val="24"/>
              </w:rPr>
              <w:t>-</w:t>
            </w:r>
          </w:p>
        </w:tc>
        <w:tc>
          <w:tcPr>
            <w:tcW w:w="733" w:type="pct"/>
            <w:tcBorders>
              <w:top w:val="nil"/>
              <w:left w:val="nil"/>
              <w:bottom w:val="nil"/>
              <w:right w:val="nil"/>
            </w:tcBorders>
            <w:tcMar>
              <w:top w:w="0" w:type="dxa"/>
              <w:left w:w="108" w:type="dxa"/>
              <w:bottom w:w="0" w:type="dxa"/>
              <w:right w:w="108" w:type="dxa"/>
            </w:tcMar>
            <w:vAlign w:val="center"/>
          </w:tcPr>
          <w:p w14:paraId="693C6042"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4C45BF9C" w14:textId="77777777"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nil"/>
              <w:left w:val="nil"/>
              <w:bottom w:val="nil"/>
              <w:right w:val="nil"/>
            </w:tcBorders>
          </w:tcPr>
          <w:p w14:paraId="58674834"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2AD49246" w14:textId="180D7C53"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3" w:type="pct"/>
            <w:tcBorders>
              <w:top w:val="nil"/>
              <w:left w:val="nil"/>
              <w:bottom w:val="nil"/>
              <w:right w:val="nil"/>
            </w:tcBorders>
            <w:tcMar>
              <w:top w:w="0" w:type="dxa"/>
              <w:left w:w="108" w:type="dxa"/>
              <w:bottom w:w="0" w:type="dxa"/>
              <w:right w:w="108" w:type="dxa"/>
            </w:tcMar>
            <w:vAlign w:val="center"/>
          </w:tcPr>
          <w:p w14:paraId="37FC4FA9" w14:textId="77777777" w:rsidR="004E5175" w:rsidRDefault="004E5175">
            <w:pPr>
              <w:jc w:val="center"/>
              <w:rPr>
                <w:rFonts w:ascii="Times New Roman" w:hAnsi="Times New Roman" w:cs="Times New Roman"/>
                <w:sz w:val="24"/>
              </w:rPr>
            </w:pPr>
            <w:r>
              <w:rPr>
                <w:rFonts w:ascii="Times New Roman" w:hAnsi="Times New Roman" w:cs="Times New Roman"/>
                <w:sz w:val="24"/>
              </w:rPr>
              <w:t>4</w:t>
            </w:r>
          </w:p>
        </w:tc>
        <w:tc>
          <w:tcPr>
            <w:tcW w:w="532" w:type="pct"/>
            <w:tcBorders>
              <w:top w:val="nil"/>
              <w:left w:val="nil"/>
              <w:bottom w:val="nil"/>
              <w:right w:val="nil"/>
            </w:tcBorders>
            <w:tcMar>
              <w:top w:w="0" w:type="dxa"/>
              <w:left w:w="108" w:type="dxa"/>
              <w:bottom w:w="0" w:type="dxa"/>
              <w:right w:w="108" w:type="dxa"/>
            </w:tcMar>
            <w:vAlign w:val="center"/>
          </w:tcPr>
          <w:p w14:paraId="6588E421"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r>
      <w:tr w:rsidR="004E5175" w14:paraId="7B50FAB1"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AEA6A4B"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T1</w:t>
            </w:r>
          </w:p>
        </w:tc>
        <w:tc>
          <w:tcPr>
            <w:tcW w:w="1043" w:type="pct"/>
            <w:tcBorders>
              <w:top w:val="nil"/>
              <w:left w:val="nil"/>
              <w:bottom w:val="nil"/>
              <w:right w:val="nil"/>
            </w:tcBorders>
            <w:tcMar>
              <w:top w:w="0" w:type="dxa"/>
              <w:left w:w="108" w:type="dxa"/>
              <w:bottom w:w="0" w:type="dxa"/>
              <w:right w:w="108" w:type="dxa"/>
            </w:tcMar>
            <w:vAlign w:val="center"/>
          </w:tcPr>
          <w:p w14:paraId="0DFCC752"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4</w:t>
            </w:r>
          </w:p>
        </w:tc>
        <w:tc>
          <w:tcPr>
            <w:tcW w:w="733" w:type="pct"/>
            <w:tcBorders>
              <w:top w:val="nil"/>
              <w:left w:val="nil"/>
              <w:bottom w:val="nil"/>
              <w:right w:val="nil"/>
            </w:tcBorders>
            <w:tcMar>
              <w:top w:w="0" w:type="dxa"/>
              <w:left w:w="108" w:type="dxa"/>
              <w:bottom w:w="0" w:type="dxa"/>
              <w:right w:w="108" w:type="dxa"/>
            </w:tcMar>
            <w:vAlign w:val="center"/>
          </w:tcPr>
          <w:p w14:paraId="357742DF"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3B4D33B0" w14:textId="77777777" w:rsidR="004E5175" w:rsidRDefault="004E5175">
            <w:pPr>
              <w:jc w:val="center"/>
              <w:rPr>
                <w:rFonts w:ascii="Times New Roman" w:hAnsi="Times New Roman" w:cs="Times New Roman"/>
                <w:sz w:val="24"/>
              </w:rPr>
            </w:pPr>
            <w:r>
              <w:rPr>
                <w:rFonts w:ascii="Times New Roman" w:hAnsi="Times New Roman" w:cs="Times New Roman"/>
                <w:sz w:val="24"/>
              </w:rPr>
              <w:t>2</w:t>
            </w:r>
          </w:p>
        </w:tc>
        <w:tc>
          <w:tcPr>
            <w:tcW w:w="533" w:type="pct"/>
            <w:tcBorders>
              <w:top w:val="nil"/>
              <w:left w:val="nil"/>
              <w:bottom w:val="nil"/>
              <w:right w:val="nil"/>
            </w:tcBorders>
          </w:tcPr>
          <w:p w14:paraId="65597B6B"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1BC4B624" w14:textId="0D49DABF"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nil"/>
              <w:left w:val="nil"/>
              <w:bottom w:val="nil"/>
              <w:right w:val="nil"/>
            </w:tcBorders>
            <w:tcMar>
              <w:top w:w="0" w:type="dxa"/>
              <w:left w:w="108" w:type="dxa"/>
              <w:bottom w:w="0" w:type="dxa"/>
              <w:right w:w="108" w:type="dxa"/>
            </w:tcMar>
            <w:vAlign w:val="center"/>
          </w:tcPr>
          <w:p w14:paraId="648C3654"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2" w:type="pct"/>
            <w:tcBorders>
              <w:top w:val="nil"/>
              <w:left w:val="nil"/>
              <w:bottom w:val="nil"/>
              <w:right w:val="nil"/>
            </w:tcBorders>
            <w:tcMar>
              <w:top w:w="0" w:type="dxa"/>
              <w:left w:w="108" w:type="dxa"/>
              <w:bottom w:w="0" w:type="dxa"/>
              <w:right w:w="108" w:type="dxa"/>
            </w:tcMar>
            <w:vAlign w:val="center"/>
          </w:tcPr>
          <w:p w14:paraId="720D17A5" w14:textId="77777777" w:rsidR="004E5175" w:rsidRDefault="004E5175">
            <w:pPr>
              <w:jc w:val="center"/>
              <w:rPr>
                <w:rFonts w:ascii="Times New Roman" w:hAnsi="Times New Roman" w:cs="Times New Roman"/>
                <w:sz w:val="24"/>
              </w:rPr>
            </w:pPr>
            <w:r>
              <w:rPr>
                <w:rFonts w:ascii="Times New Roman" w:hAnsi="Times New Roman" w:cs="Times New Roman"/>
                <w:sz w:val="24"/>
              </w:rPr>
              <w:t>5</w:t>
            </w:r>
          </w:p>
        </w:tc>
      </w:tr>
      <w:tr w:rsidR="004E5175" w14:paraId="5F6C7D95"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6CAE4BEA"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lastRenderedPageBreak/>
              <w:t>T2</w:t>
            </w:r>
          </w:p>
        </w:tc>
        <w:tc>
          <w:tcPr>
            <w:tcW w:w="1043" w:type="pct"/>
            <w:tcBorders>
              <w:top w:val="nil"/>
              <w:left w:val="nil"/>
              <w:bottom w:val="nil"/>
              <w:right w:val="nil"/>
            </w:tcBorders>
            <w:tcMar>
              <w:top w:w="0" w:type="dxa"/>
              <w:left w:w="108" w:type="dxa"/>
              <w:bottom w:w="0" w:type="dxa"/>
              <w:right w:w="108" w:type="dxa"/>
            </w:tcMar>
            <w:vAlign w:val="center"/>
          </w:tcPr>
          <w:p w14:paraId="75A33455"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1 x 10</w:t>
            </w:r>
            <w:r>
              <w:rPr>
                <w:rStyle w:val="translated-span"/>
                <w:rFonts w:ascii="Times New Roman" w:hAnsi="Times New Roman" w:cs="Times New Roman"/>
                <w:sz w:val="24"/>
                <w:vertAlign w:val="superscript"/>
              </w:rPr>
              <w:t>5</w:t>
            </w:r>
          </w:p>
        </w:tc>
        <w:tc>
          <w:tcPr>
            <w:tcW w:w="733" w:type="pct"/>
            <w:tcBorders>
              <w:top w:val="nil"/>
              <w:left w:val="nil"/>
              <w:bottom w:val="nil"/>
              <w:right w:val="nil"/>
            </w:tcBorders>
            <w:tcMar>
              <w:top w:w="0" w:type="dxa"/>
              <w:left w:w="108" w:type="dxa"/>
              <w:bottom w:w="0" w:type="dxa"/>
              <w:right w:w="108" w:type="dxa"/>
            </w:tcMar>
            <w:vAlign w:val="center"/>
          </w:tcPr>
          <w:p w14:paraId="111BA97A"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6D4165E4"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c>
          <w:tcPr>
            <w:tcW w:w="533" w:type="pct"/>
            <w:tcBorders>
              <w:top w:val="nil"/>
              <w:left w:val="nil"/>
              <w:bottom w:val="nil"/>
              <w:right w:val="nil"/>
            </w:tcBorders>
          </w:tcPr>
          <w:p w14:paraId="2B6FE92C"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00EEBAFE" w14:textId="34E0B441" w:rsidR="004E5175" w:rsidRDefault="004E5175">
            <w:pPr>
              <w:jc w:val="center"/>
              <w:rPr>
                <w:rFonts w:ascii="Times New Roman" w:hAnsi="Times New Roman" w:cs="Times New Roman"/>
                <w:sz w:val="24"/>
              </w:rPr>
            </w:pPr>
            <w:r>
              <w:rPr>
                <w:rFonts w:ascii="Times New Roman" w:hAnsi="Times New Roman" w:cs="Times New Roman"/>
                <w:sz w:val="24"/>
              </w:rPr>
              <w:t>7</w:t>
            </w:r>
          </w:p>
        </w:tc>
        <w:tc>
          <w:tcPr>
            <w:tcW w:w="533" w:type="pct"/>
            <w:tcBorders>
              <w:top w:val="nil"/>
              <w:left w:val="nil"/>
              <w:bottom w:val="nil"/>
              <w:right w:val="nil"/>
            </w:tcBorders>
            <w:tcMar>
              <w:top w:w="0" w:type="dxa"/>
              <w:left w:w="108" w:type="dxa"/>
              <w:bottom w:w="0" w:type="dxa"/>
              <w:right w:w="108" w:type="dxa"/>
            </w:tcMar>
            <w:vAlign w:val="center"/>
          </w:tcPr>
          <w:p w14:paraId="618849C2" w14:textId="77777777" w:rsidR="004E5175" w:rsidRDefault="004E5175">
            <w:pPr>
              <w:jc w:val="center"/>
              <w:rPr>
                <w:rFonts w:ascii="Times New Roman" w:hAnsi="Times New Roman" w:cs="Times New Roman"/>
                <w:sz w:val="24"/>
              </w:rPr>
            </w:pPr>
            <w:r>
              <w:rPr>
                <w:rFonts w:ascii="Times New Roman" w:hAnsi="Times New Roman" w:cs="Times New Roman"/>
                <w:sz w:val="24"/>
              </w:rPr>
              <w:t>5</w:t>
            </w:r>
          </w:p>
        </w:tc>
        <w:tc>
          <w:tcPr>
            <w:tcW w:w="532" w:type="pct"/>
            <w:tcBorders>
              <w:top w:val="nil"/>
              <w:left w:val="nil"/>
              <w:bottom w:val="nil"/>
              <w:right w:val="nil"/>
            </w:tcBorders>
            <w:tcMar>
              <w:top w:w="0" w:type="dxa"/>
              <w:left w:w="108" w:type="dxa"/>
              <w:bottom w:w="0" w:type="dxa"/>
              <w:right w:w="108" w:type="dxa"/>
            </w:tcMar>
            <w:vAlign w:val="center"/>
          </w:tcPr>
          <w:p w14:paraId="44828D1D"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r>
      <w:tr w:rsidR="004E5175" w14:paraId="0702440B"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601A941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T3</w:t>
            </w:r>
          </w:p>
        </w:tc>
        <w:tc>
          <w:tcPr>
            <w:tcW w:w="1043" w:type="pct"/>
            <w:tcBorders>
              <w:top w:val="nil"/>
              <w:left w:val="nil"/>
              <w:bottom w:val="nil"/>
              <w:right w:val="nil"/>
            </w:tcBorders>
            <w:tcMar>
              <w:top w:w="0" w:type="dxa"/>
              <w:left w:w="108" w:type="dxa"/>
              <w:bottom w:w="0" w:type="dxa"/>
              <w:right w:w="108" w:type="dxa"/>
            </w:tcMar>
            <w:vAlign w:val="center"/>
          </w:tcPr>
          <w:p w14:paraId="76B13EAD"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5</w:t>
            </w:r>
          </w:p>
        </w:tc>
        <w:tc>
          <w:tcPr>
            <w:tcW w:w="733" w:type="pct"/>
            <w:tcBorders>
              <w:top w:val="nil"/>
              <w:left w:val="nil"/>
              <w:bottom w:val="nil"/>
              <w:right w:val="nil"/>
            </w:tcBorders>
            <w:tcMar>
              <w:top w:w="0" w:type="dxa"/>
              <w:left w:w="108" w:type="dxa"/>
              <w:bottom w:w="0" w:type="dxa"/>
              <w:right w:w="108" w:type="dxa"/>
            </w:tcMar>
            <w:vAlign w:val="center"/>
          </w:tcPr>
          <w:p w14:paraId="08BE75C0"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0DB806D1" w14:textId="77777777" w:rsidR="004E5175" w:rsidRDefault="004E5175">
            <w:pPr>
              <w:jc w:val="center"/>
              <w:rPr>
                <w:rFonts w:ascii="Times New Roman" w:hAnsi="Times New Roman" w:cs="Times New Roman"/>
                <w:sz w:val="24"/>
              </w:rPr>
            </w:pPr>
            <w:r>
              <w:rPr>
                <w:rFonts w:ascii="Times New Roman" w:hAnsi="Times New Roman" w:cs="Times New Roman"/>
                <w:sz w:val="24"/>
              </w:rPr>
              <w:t>8</w:t>
            </w:r>
          </w:p>
        </w:tc>
        <w:tc>
          <w:tcPr>
            <w:tcW w:w="533" w:type="pct"/>
            <w:tcBorders>
              <w:top w:val="nil"/>
              <w:left w:val="nil"/>
              <w:bottom w:val="nil"/>
              <w:right w:val="nil"/>
            </w:tcBorders>
          </w:tcPr>
          <w:p w14:paraId="61D4B1A1"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67EA3F03" w14:textId="7F51025D" w:rsidR="004E5175" w:rsidRDefault="004E5175">
            <w:pPr>
              <w:jc w:val="center"/>
              <w:rPr>
                <w:rFonts w:ascii="Times New Roman" w:hAnsi="Times New Roman" w:cs="Times New Roman"/>
                <w:sz w:val="24"/>
              </w:rPr>
            </w:pPr>
            <w:r>
              <w:rPr>
                <w:rFonts w:ascii="Times New Roman" w:hAnsi="Times New Roman" w:cs="Times New Roman"/>
                <w:sz w:val="24"/>
              </w:rPr>
              <w:t>8</w:t>
            </w:r>
          </w:p>
        </w:tc>
        <w:tc>
          <w:tcPr>
            <w:tcW w:w="533" w:type="pct"/>
            <w:tcBorders>
              <w:top w:val="nil"/>
              <w:left w:val="nil"/>
              <w:bottom w:val="nil"/>
              <w:right w:val="nil"/>
            </w:tcBorders>
            <w:tcMar>
              <w:top w:w="0" w:type="dxa"/>
              <w:left w:w="108" w:type="dxa"/>
              <w:bottom w:w="0" w:type="dxa"/>
              <w:right w:w="108" w:type="dxa"/>
            </w:tcMar>
            <w:vAlign w:val="center"/>
          </w:tcPr>
          <w:p w14:paraId="2080540C" w14:textId="77777777" w:rsidR="004E5175" w:rsidRDefault="004E5175">
            <w:pPr>
              <w:jc w:val="center"/>
              <w:rPr>
                <w:rFonts w:ascii="Times New Roman" w:hAnsi="Times New Roman" w:cs="Times New Roman"/>
                <w:sz w:val="24"/>
              </w:rPr>
            </w:pPr>
            <w:r>
              <w:rPr>
                <w:rFonts w:ascii="Times New Roman" w:hAnsi="Times New Roman" w:cs="Times New Roman"/>
                <w:sz w:val="24"/>
              </w:rPr>
              <w:t>6</w:t>
            </w:r>
          </w:p>
        </w:tc>
        <w:tc>
          <w:tcPr>
            <w:tcW w:w="532" w:type="pct"/>
            <w:tcBorders>
              <w:top w:val="nil"/>
              <w:left w:val="nil"/>
              <w:bottom w:val="nil"/>
              <w:right w:val="nil"/>
            </w:tcBorders>
            <w:tcMar>
              <w:top w:w="0" w:type="dxa"/>
              <w:left w:w="108" w:type="dxa"/>
              <w:bottom w:w="0" w:type="dxa"/>
              <w:right w:w="108" w:type="dxa"/>
            </w:tcMar>
            <w:vAlign w:val="center"/>
          </w:tcPr>
          <w:p w14:paraId="762510CB" w14:textId="77777777" w:rsidR="004E5175" w:rsidRDefault="004E5175">
            <w:pPr>
              <w:jc w:val="center"/>
              <w:rPr>
                <w:rFonts w:ascii="Times New Roman" w:hAnsi="Times New Roman" w:cs="Times New Roman"/>
                <w:sz w:val="24"/>
              </w:rPr>
            </w:pPr>
            <w:r>
              <w:rPr>
                <w:rFonts w:ascii="Times New Roman" w:hAnsi="Times New Roman" w:cs="Times New Roman"/>
                <w:sz w:val="24"/>
              </w:rPr>
              <w:t>10</w:t>
            </w:r>
          </w:p>
        </w:tc>
      </w:tr>
      <w:tr w:rsidR="004E5175" w14:paraId="27307C85"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CF91D0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T4</w:t>
            </w:r>
          </w:p>
        </w:tc>
        <w:tc>
          <w:tcPr>
            <w:tcW w:w="1043" w:type="pct"/>
            <w:tcBorders>
              <w:top w:val="nil"/>
              <w:left w:val="nil"/>
              <w:bottom w:val="nil"/>
              <w:right w:val="nil"/>
            </w:tcBorders>
            <w:tcMar>
              <w:top w:w="0" w:type="dxa"/>
              <w:left w:w="108" w:type="dxa"/>
              <w:bottom w:w="0" w:type="dxa"/>
              <w:right w:w="108" w:type="dxa"/>
            </w:tcMar>
            <w:vAlign w:val="center"/>
          </w:tcPr>
          <w:p w14:paraId="7BDC91BA"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1 x 10</w:t>
            </w:r>
            <w:r>
              <w:rPr>
                <w:rStyle w:val="translated-span"/>
                <w:rFonts w:ascii="Times New Roman" w:hAnsi="Times New Roman" w:cs="Times New Roman"/>
                <w:sz w:val="24"/>
                <w:vertAlign w:val="superscript"/>
              </w:rPr>
              <w:t>6</w:t>
            </w:r>
          </w:p>
        </w:tc>
        <w:tc>
          <w:tcPr>
            <w:tcW w:w="733" w:type="pct"/>
            <w:tcBorders>
              <w:top w:val="nil"/>
              <w:left w:val="nil"/>
              <w:bottom w:val="nil"/>
              <w:right w:val="nil"/>
            </w:tcBorders>
            <w:tcMar>
              <w:top w:w="0" w:type="dxa"/>
              <w:left w:w="108" w:type="dxa"/>
              <w:bottom w:w="0" w:type="dxa"/>
              <w:right w:w="108" w:type="dxa"/>
            </w:tcMar>
            <w:vAlign w:val="center"/>
          </w:tcPr>
          <w:p w14:paraId="57CF7F49"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4E52F0F4" w14:textId="77777777" w:rsidR="004E5175" w:rsidRDefault="004E5175">
            <w:pPr>
              <w:jc w:val="center"/>
              <w:rPr>
                <w:rFonts w:ascii="Times New Roman" w:hAnsi="Times New Roman" w:cs="Times New Roman"/>
                <w:sz w:val="24"/>
              </w:rPr>
            </w:pPr>
            <w:r>
              <w:rPr>
                <w:rFonts w:ascii="Times New Roman" w:hAnsi="Times New Roman" w:cs="Times New Roman"/>
                <w:sz w:val="24"/>
              </w:rPr>
              <w:t>16</w:t>
            </w:r>
          </w:p>
        </w:tc>
        <w:tc>
          <w:tcPr>
            <w:tcW w:w="533" w:type="pct"/>
            <w:tcBorders>
              <w:top w:val="nil"/>
              <w:left w:val="nil"/>
              <w:bottom w:val="nil"/>
              <w:right w:val="nil"/>
            </w:tcBorders>
          </w:tcPr>
          <w:p w14:paraId="5C21DE3C"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5EF2ADE2" w14:textId="37AF5377" w:rsidR="004E5175" w:rsidRDefault="004E5175">
            <w:pPr>
              <w:jc w:val="center"/>
              <w:rPr>
                <w:rFonts w:ascii="Times New Roman" w:hAnsi="Times New Roman" w:cs="Times New Roman"/>
                <w:sz w:val="24"/>
              </w:rPr>
            </w:pPr>
            <w:r>
              <w:rPr>
                <w:rFonts w:ascii="Times New Roman" w:hAnsi="Times New Roman" w:cs="Times New Roman"/>
                <w:sz w:val="24"/>
              </w:rPr>
              <w:t>15</w:t>
            </w:r>
          </w:p>
        </w:tc>
        <w:tc>
          <w:tcPr>
            <w:tcW w:w="533" w:type="pct"/>
            <w:tcBorders>
              <w:top w:val="nil"/>
              <w:left w:val="nil"/>
              <w:bottom w:val="nil"/>
              <w:right w:val="nil"/>
            </w:tcBorders>
            <w:tcMar>
              <w:top w:w="0" w:type="dxa"/>
              <w:left w:w="108" w:type="dxa"/>
              <w:bottom w:w="0" w:type="dxa"/>
              <w:right w:w="108" w:type="dxa"/>
            </w:tcMar>
            <w:vAlign w:val="center"/>
          </w:tcPr>
          <w:p w14:paraId="1F05B0DD" w14:textId="77777777" w:rsidR="004E5175" w:rsidRDefault="004E5175">
            <w:pPr>
              <w:jc w:val="center"/>
              <w:rPr>
                <w:rFonts w:ascii="Times New Roman" w:hAnsi="Times New Roman" w:cs="Times New Roman"/>
                <w:sz w:val="24"/>
              </w:rPr>
            </w:pPr>
            <w:r>
              <w:rPr>
                <w:rFonts w:ascii="Times New Roman" w:hAnsi="Times New Roman" w:cs="Times New Roman"/>
                <w:sz w:val="24"/>
              </w:rPr>
              <w:t>18</w:t>
            </w:r>
          </w:p>
        </w:tc>
        <w:tc>
          <w:tcPr>
            <w:tcW w:w="532" w:type="pct"/>
            <w:tcBorders>
              <w:top w:val="nil"/>
              <w:left w:val="nil"/>
              <w:bottom w:val="nil"/>
              <w:right w:val="nil"/>
            </w:tcBorders>
            <w:tcMar>
              <w:top w:w="0" w:type="dxa"/>
              <w:left w:w="108" w:type="dxa"/>
              <w:bottom w:w="0" w:type="dxa"/>
              <w:right w:w="108" w:type="dxa"/>
            </w:tcMar>
            <w:vAlign w:val="center"/>
          </w:tcPr>
          <w:p w14:paraId="385EC821" w14:textId="77777777" w:rsidR="004E5175" w:rsidRDefault="004E5175">
            <w:pPr>
              <w:jc w:val="center"/>
              <w:rPr>
                <w:rFonts w:ascii="Times New Roman" w:hAnsi="Times New Roman" w:cs="Times New Roman"/>
                <w:sz w:val="24"/>
              </w:rPr>
            </w:pPr>
            <w:r>
              <w:rPr>
                <w:rFonts w:ascii="Times New Roman" w:hAnsi="Times New Roman" w:cs="Times New Roman"/>
                <w:sz w:val="24"/>
              </w:rPr>
              <w:t>15</w:t>
            </w:r>
          </w:p>
        </w:tc>
      </w:tr>
      <w:tr w:rsidR="004E5175" w14:paraId="700A9D4C" w14:textId="77777777" w:rsidTr="004E5175">
        <w:trPr>
          <w:trHeight w:val="414"/>
          <w:jc w:val="center"/>
        </w:trPr>
        <w:tc>
          <w:tcPr>
            <w:tcW w:w="560" w:type="pct"/>
            <w:tcBorders>
              <w:top w:val="nil"/>
              <w:left w:val="nil"/>
              <w:bottom w:val="single" w:sz="4" w:space="0" w:color="auto"/>
              <w:right w:val="nil"/>
            </w:tcBorders>
            <w:tcMar>
              <w:top w:w="0" w:type="dxa"/>
              <w:left w:w="108" w:type="dxa"/>
              <w:bottom w:w="0" w:type="dxa"/>
              <w:right w:w="108" w:type="dxa"/>
            </w:tcMar>
            <w:vAlign w:val="center"/>
          </w:tcPr>
          <w:p w14:paraId="0A25CEB0"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T5</w:t>
            </w:r>
          </w:p>
        </w:tc>
        <w:tc>
          <w:tcPr>
            <w:tcW w:w="1043" w:type="pct"/>
            <w:tcBorders>
              <w:top w:val="nil"/>
              <w:left w:val="nil"/>
              <w:bottom w:val="single" w:sz="4" w:space="0" w:color="auto"/>
              <w:right w:val="nil"/>
            </w:tcBorders>
            <w:tcMar>
              <w:top w:w="0" w:type="dxa"/>
              <w:left w:w="108" w:type="dxa"/>
              <w:bottom w:w="0" w:type="dxa"/>
              <w:right w:w="108" w:type="dxa"/>
            </w:tcMar>
            <w:vAlign w:val="center"/>
          </w:tcPr>
          <w:p w14:paraId="6776FDA4"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6</w:t>
            </w:r>
          </w:p>
        </w:tc>
        <w:tc>
          <w:tcPr>
            <w:tcW w:w="733" w:type="pct"/>
            <w:tcBorders>
              <w:top w:val="nil"/>
              <w:left w:val="nil"/>
              <w:bottom w:val="single" w:sz="4" w:space="0" w:color="auto"/>
              <w:right w:val="nil"/>
            </w:tcBorders>
            <w:tcMar>
              <w:top w:w="0" w:type="dxa"/>
              <w:left w:w="108" w:type="dxa"/>
              <w:bottom w:w="0" w:type="dxa"/>
              <w:right w:w="108" w:type="dxa"/>
            </w:tcMar>
            <w:vAlign w:val="center"/>
          </w:tcPr>
          <w:p w14:paraId="5AED7643"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Mar>
              <w:top w:w="0" w:type="dxa"/>
              <w:left w:w="108" w:type="dxa"/>
              <w:bottom w:w="0" w:type="dxa"/>
              <w:right w:w="108" w:type="dxa"/>
            </w:tcMar>
            <w:vAlign w:val="center"/>
          </w:tcPr>
          <w:p w14:paraId="62DEC194"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Pr>
          <w:p w14:paraId="2CDA0117" w14:textId="77777777" w:rsidR="004E5175" w:rsidRDefault="004E5175">
            <w:pPr>
              <w:jc w:val="center"/>
              <w:rPr>
                <w:rFonts w:ascii="Times New Roman" w:hAnsi="Times New Roman" w:cs="Times New Roman"/>
                <w:sz w:val="24"/>
              </w:rPr>
            </w:pPr>
          </w:p>
        </w:tc>
        <w:tc>
          <w:tcPr>
            <w:tcW w:w="533" w:type="pct"/>
            <w:tcBorders>
              <w:top w:val="nil"/>
              <w:left w:val="nil"/>
              <w:bottom w:val="single" w:sz="4" w:space="0" w:color="auto"/>
              <w:right w:val="nil"/>
            </w:tcBorders>
            <w:tcMar>
              <w:top w:w="0" w:type="dxa"/>
              <w:left w:w="108" w:type="dxa"/>
              <w:bottom w:w="0" w:type="dxa"/>
              <w:right w:w="108" w:type="dxa"/>
            </w:tcMar>
            <w:vAlign w:val="center"/>
          </w:tcPr>
          <w:p w14:paraId="16B5316C" w14:textId="1A57941E"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Mar>
              <w:top w:w="0" w:type="dxa"/>
              <w:left w:w="108" w:type="dxa"/>
              <w:bottom w:w="0" w:type="dxa"/>
              <w:right w:w="108" w:type="dxa"/>
            </w:tcMar>
            <w:vAlign w:val="center"/>
          </w:tcPr>
          <w:p w14:paraId="4035A9DE"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2" w:type="pct"/>
            <w:tcBorders>
              <w:top w:val="nil"/>
              <w:left w:val="nil"/>
              <w:bottom w:val="single" w:sz="4" w:space="0" w:color="auto"/>
              <w:right w:val="nil"/>
            </w:tcBorders>
            <w:tcMar>
              <w:top w:w="0" w:type="dxa"/>
              <w:left w:w="108" w:type="dxa"/>
              <w:bottom w:w="0" w:type="dxa"/>
              <w:right w:w="108" w:type="dxa"/>
            </w:tcMar>
            <w:vAlign w:val="center"/>
          </w:tcPr>
          <w:p w14:paraId="65C274E0"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r>
    </w:tbl>
    <w:p w14:paraId="62416A56" w14:textId="77777777" w:rsidR="00F25550" w:rsidRDefault="00F3504C">
      <w:r>
        <w:t> </w:t>
      </w:r>
    </w:p>
    <w:p w14:paraId="02995DA8" w14:textId="150D2AF3" w:rsidR="00F25550" w:rsidRDefault="00143BCE" w:rsidP="00143BCE">
      <w:pPr>
        <w:jc w:val="center"/>
      </w:pPr>
      <w:r>
        <w:rPr>
          <w:noProof/>
          <w:lang w:eastAsia="en-US"/>
        </w:rPr>
        <w:drawing>
          <wp:inline distT="0" distB="0" distL="0" distR="0" wp14:anchorId="308504AA" wp14:editId="139EDD73">
            <wp:extent cx="4572000" cy="29428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55" t="24273" r="35839" b="28117"/>
                    <a:stretch/>
                  </pic:blipFill>
                  <pic:spPr bwMode="auto">
                    <a:xfrm>
                      <a:off x="0" y="0"/>
                      <a:ext cx="4604823" cy="2963989"/>
                    </a:xfrm>
                    <a:prstGeom prst="rect">
                      <a:avLst/>
                    </a:prstGeom>
                    <a:ln>
                      <a:noFill/>
                    </a:ln>
                    <a:extLst>
                      <a:ext uri="{53640926-AAD7-44D8-BBD7-CCE9431645EC}">
                        <a14:shadowObscured xmlns:a14="http://schemas.microsoft.com/office/drawing/2010/main"/>
                      </a:ext>
                    </a:extLst>
                  </pic:spPr>
                </pic:pic>
              </a:graphicData>
            </a:graphic>
          </wp:inline>
        </w:drawing>
      </w:r>
    </w:p>
    <w:p w14:paraId="50AAA589" w14:textId="77777777"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Figure 2. Cumulative mortality of silkworms over 23 days.</w:t>
      </w:r>
    </w:p>
    <w:p w14:paraId="403EFA2C" w14:textId="77777777" w:rsidR="00143BCE" w:rsidRDefault="00143BCE">
      <w:pPr>
        <w:ind w:firstLineChars="100" w:firstLine="211"/>
        <w:jc w:val="center"/>
        <w:rPr>
          <w:rFonts w:ascii="Times New Roman" w:hAnsi="Times New Roman" w:cs="Times New Roman"/>
          <w:b/>
          <w:bCs/>
        </w:rPr>
      </w:pPr>
    </w:p>
    <w:p w14:paraId="3D9D58C1" w14:textId="49444D71"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hint="eastAsia"/>
          <w:b/>
          <w:bCs/>
        </w:rPr>
        <w:t>3</w:t>
      </w:r>
      <w:r>
        <w:rPr>
          <w:rFonts w:ascii="Times New Roman" w:hAnsi="Times New Roman" w:cs="Times New Roman"/>
          <w:b/>
          <w:bCs/>
        </w:rPr>
        <w:t xml:space="preserve">. Toxicity </w:t>
      </w:r>
      <w:r w:rsidR="00BA5B56">
        <w:rPr>
          <w:rFonts w:ascii="Times New Roman" w:hAnsi="Times New Roman" w:cs="Times New Roman"/>
          <w:b/>
          <w:bCs/>
        </w:rPr>
        <w:t>a</w:t>
      </w:r>
      <w:r>
        <w:rPr>
          <w:rFonts w:ascii="Times New Roman" w:hAnsi="Times New Roman" w:cs="Times New Roman"/>
          <w:b/>
          <w:bCs/>
        </w:rPr>
        <w:t xml:space="preserve">ssessment of 100 </w:t>
      </w:r>
      <w:r w:rsidR="00143BCE">
        <w:rPr>
          <w:rFonts w:ascii="Times New Roman" w:hAnsi="Times New Roman" w:cs="Times New Roman"/>
          <w:b/>
          <w:bCs/>
        </w:rPr>
        <w:t>m</w:t>
      </w:r>
      <w:r>
        <w:rPr>
          <w:rFonts w:ascii="Times New Roman" w:hAnsi="Times New Roman" w:cs="Times New Roman"/>
          <w:b/>
          <w:bCs/>
        </w:rPr>
        <w:t xml:space="preserve">illion CFU/g </w:t>
      </w:r>
      <w:r>
        <w:rPr>
          <w:rFonts w:ascii="Times New Roman" w:hAnsi="Times New Roman" w:cs="Times New Roman"/>
          <w:b/>
          <w:bCs/>
          <w:i/>
          <w:iCs/>
        </w:rPr>
        <w:t>Bacillus thuringiensis</w:t>
      </w:r>
      <w:r>
        <w:rPr>
          <w:rFonts w:ascii="Times New Roman" w:hAnsi="Times New Roman" w:cs="Times New Roman"/>
          <w:b/>
          <w:bCs/>
        </w:rPr>
        <w:t> on Silkworms</w:t>
      </w:r>
    </w:p>
    <w:p w14:paraId="203F60D7" w14:textId="77777777" w:rsidR="004E5175" w:rsidRDefault="004E5175">
      <w:pPr>
        <w:ind w:firstLineChars="100" w:firstLine="211"/>
        <w:jc w:val="center"/>
        <w:rPr>
          <w:rFonts w:ascii="Times New Roman" w:hAnsi="Times New Roman" w:cs="Times New Roman"/>
          <w:b/>
          <w:bCs/>
        </w:rPr>
      </w:pPr>
    </w:p>
    <w:tbl>
      <w:tblPr>
        <w:tblW w:w="5000" w:type="pct"/>
        <w:jc w:val="center"/>
        <w:tblCellMar>
          <w:left w:w="0" w:type="dxa"/>
          <w:right w:w="0" w:type="dxa"/>
        </w:tblCellMar>
        <w:tblLook w:val="04A0" w:firstRow="1" w:lastRow="0" w:firstColumn="1" w:lastColumn="0" w:noHBand="0" w:noVBand="1"/>
      </w:tblPr>
      <w:tblGrid>
        <w:gridCol w:w="889"/>
        <w:gridCol w:w="2327"/>
        <w:gridCol w:w="1073"/>
        <w:gridCol w:w="1555"/>
        <w:gridCol w:w="2462"/>
      </w:tblGrid>
      <w:tr w:rsidR="00F25550" w:rsidRPr="00481BD7" w14:paraId="0583632C" w14:textId="77777777">
        <w:trPr>
          <w:trHeight w:val="299"/>
          <w:jc w:val="center"/>
        </w:trPr>
        <w:tc>
          <w:tcPr>
            <w:tcW w:w="535" w:type="pct"/>
            <w:tcBorders>
              <w:top w:val="single" w:sz="8" w:space="0" w:color="auto"/>
              <w:left w:val="nil"/>
              <w:bottom w:val="single" w:sz="8" w:space="0" w:color="auto"/>
              <w:right w:val="nil"/>
            </w:tcBorders>
            <w:tcMar>
              <w:top w:w="0" w:type="dxa"/>
              <w:left w:w="108" w:type="dxa"/>
              <w:bottom w:w="0" w:type="dxa"/>
              <w:right w:w="108" w:type="dxa"/>
            </w:tcMar>
            <w:vAlign w:val="center"/>
          </w:tcPr>
          <w:p w14:paraId="5862C8BE" w14:textId="78B43FE6" w:rsidR="00F25550" w:rsidRPr="00481BD7" w:rsidRDefault="0043482D">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T</w:t>
            </w:r>
            <w:r w:rsidR="00F3504C" w:rsidRPr="00481BD7">
              <w:rPr>
                <w:rStyle w:val="translated-span"/>
                <w:rFonts w:ascii="Times New Roman" w:eastAsia="STZhongsong" w:hAnsi="Times New Roman" w:cs="Times New Roman"/>
                <w:b/>
                <w:bCs/>
                <w:szCs w:val="21"/>
              </w:rPr>
              <w:t>ime</w:t>
            </w:r>
          </w:p>
          <w:p w14:paraId="60BBF8B0"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(d)</w:t>
            </w:r>
          </w:p>
        </w:tc>
        <w:tc>
          <w:tcPr>
            <w:tcW w:w="1401" w:type="pct"/>
            <w:tcBorders>
              <w:top w:val="single" w:sz="8" w:space="0" w:color="auto"/>
              <w:left w:val="nil"/>
              <w:bottom w:val="single" w:sz="8" w:space="0" w:color="auto"/>
              <w:right w:val="nil"/>
            </w:tcBorders>
            <w:tcMar>
              <w:top w:w="0" w:type="dxa"/>
              <w:left w:w="108" w:type="dxa"/>
              <w:bottom w:w="0" w:type="dxa"/>
              <w:right w:w="108" w:type="dxa"/>
            </w:tcMar>
            <w:vAlign w:val="center"/>
          </w:tcPr>
          <w:p w14:paraId="264065B6"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Regression curve equation of virulence</w:t>
            </w:r>
          </w:p>
          <w:p w14:paraId="0F8AAE91"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Y= a + </w:t>
            </w:r>
            <w:proofErr w:type="spellStart"/>
            <w:r w:rsidRPr="00481BD7">
              <w:rPr>
                <w:rStyle w:val="translated-span"/>
                <w:rFonts w:ascii="Times New Roman" w:hAnsi="Times New Roman" w:cs="Times New Roman"/>
                <w:b/>
                <w:bCs/>
                <w:szCs w:val="21"/>
              </w:rPr>
              <w:t>bX</w:t>
            </w:r>
            <w:proofErr w:type="spellEnd"/>
          </w:p>
        </w:tc>
        <w:tc>
          <w:tcPr>
            <w:tcW w:w="646" w:type="pct"/>
            <w:tcBorders>
              <w:top w:val="single" w:sz="8" w:space="0" w:color="auto"/>
              <w:left w:val="nil"/>
              <w:bottom w:val="single" w:sz="8" w:space="0" w:color="auto"/>
              <w:right w:val="nil"/>
            </w:tcBorders>
            <w:tcMar>
              <w:top w:w="0" w:type="dxa"/>
              <w:left w:w="108" w:type="dxa"/>
              <w:bottom w:w="0" w:type="dxa"/>
              <w:right w:w="108" w:type="dxa"/>
            </w:tcMar>
            <w:vAlign w:val="center"/>
          </w:tcPr>
          <w:p w14:paraId="5657B409"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R</w:t>
            </w:r>
            <w:r w:rsidRPr="00481BD7">
              <w:rPr>
                <w:rStyle w:val="translated-span"/>
                <w:rFonts w:ascii="Times New Roman" w:hAnsi="Times New Roman" w:cs="Times New Roman"/>
                <w:b/>
                <w:bCs/>
                <w:szCs w:val="21"/>
                <w:vertAlign w:val="superscript"/>
              </w:rPr>
              <w:t>2</w:t>
            </w:r>
          </w:p>
        </w:tc>
        <w:tc>
          <w:tcPr>
            <w:tcW w:w="936" w:type="pct"/>
            <w:tcBorders>
              <w:top w:val="single" w:sz="8" w:space="0" w:color="auto"/>
              <w:left w:val="nil"/>
              <w:bottom w:val="single" w:sz="8" w:space="0" w:color="auto"/>
              <w:right w:val="nil"/>
            </w:tcBorders>
            <w:tcMar>
              <w:top w:w="0" w:type="dxa"/>
              <w:left w:w="108" w:type="dxa"/>
              <w:bottom w:w="0" w:type="dxa"/>
              <w:right w:w="108" w:type="dxa"/>
            </w:tcMar>
            <w:vAlign w:val="center"/>
          </w:tcPr>
          <w:p w14:paraId="7DA2A26B"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LC</w:t>
            </w:r>
            <w:r w:rsidRPr="00481BD7">
              <w:rPr>
                <w:rFonts w:ascii="Times New Roman" w:hAnsi="Times New Roman" w:cs="Times New Roman"/>
                <w:b/>
                <w:bCs/>
                <w:szCs w:val="21"/>
                <w:vertAlign w:val="subscript"/>
              </w:rPr>
              <w:t>50</w:t>
            </w:r>
            <w:r w:rsidRPr="00481BD7">
              <w:rPr>
                <w:rFonts w:ascii="Times New Roman" w:hAnsi="Times New Roman" w:cs="Times New Roman"/>
                <w:b/>
                <w:bCs/>
                <w:i/>
                <w:iCs/>
                <w:szCs w:val="21"/>
              </w:rPr>
              <w:t xml:space="preserve"> </w:t>
            </w:r>
          </w:p>
          <w:p w14:paraId="633DEB50" w14:textId="6703DCCF"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(mg </w:t>
            </w:r>
            <w:proofErr w:type="spellStart"/>
            <w:r w:rsidRPr="00481BD7">
              <w:rPr>
                <w:rStyle w:val="translated-span"/>
                <w:rFonts w:ascii="Times New Roman" w:hAnsi="Times New Roman" w:cs="Times New Roman"/>
                <w:b/>
                <w:bCs/>
                <w:szCs w:val="21"/>
              </w:rPr>
              <w:t>a.i.</w:t>
            </w:r>
            <w:proofErr w:type="spellEnd"/>
            <w:r w:rsidRPr="00481BD7">
              <w:rPr>
                <w:rStyle w:val="translated-span"/>
                <w:rFonts w:ascii="Times New Roman" w:hAnsi="Times New Roman" w:cs="Times New Roman"/>
                <w:b/>
                <w:bCs/>
                <w:szCs w:val="21"/>
              </w:rPr>
              <w:t>/</w:t>
            </w:r>
            <w:r w:rsidR="008F7F6E" w:rsidRPr="00481BD7">
              <w:rPr>
                <w:rStyle w:val="translated-span"/>
                <w:rFonts w:ascii="Times New Roman" w:hAnsi="Times New Roman" w:cs="Times New Roman"/>
                <w:b/>
                <w:bCs/>
                <w:szCs w:val="21"/>
              </w:rPr>
              <w:t>L</w:t>
            </w:r>
            <w:r w:rsidRPr="00481BD7">
              <w:rPr>
                <w:rStyle w:val="translated-span"/>
                <w:rFonts w:ascii="Times New Roman" w:hAnsi="Times New Roman" w:cs="Times New Roman"/>
                <w:b/>
                <w:bCs/>
                <w:szCs w:val="21"/>
              </w:rPr>
              <w:t>)</w:t>
            </w:r>
          </w:p>
        </w:tc>
        <w:tc>
          <w:tcPr>
            <w:tcW w:w="1482" w:type="pct"/>
            <w:tcBorders>
              <w:top w:val="single" w:sz="8" w:space="0" w:color="auto"/>
              <w:left w:val="nil"/>
              <w:bottom w:val="single" w:sz="8" w:space="0" w:color="auto"/>
              <w:right w:val="nil"/>
            </w:tcBorders>
            <w:tcMar>
              <w:top w:w="0" w:type="dxa"/>
              <w:left w:w="108" w:type="dxa"/>
              <w:bottom w:w="0" w:type="dxa"/>
              <w:right w:w="108" w:type="dxa"/>
            </w:tcMar>
            <w:vAlign w:val="center"/>
          </w:tcPr>
          <w:p w14:paraId="5979536C" w14:textId="5C911EE2"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95% </w:t>
            </w:r>
            <w:r w:rsidR="0043482D" w:rsidRPr="00481BD7">
              <w:rPr>
                <w:rStyle w:val="translated-span"/>
                <w:rFonts w:ascii="Times New Roman" w:hAnsi="Times New Roman" w:cs="Times New Roman"/>
                <w:b/>
                <w:bCs/>
                <w:szCs w:val="21"/>
              </w:rPr>
              <w:t>C</w:t>
            </w:r>
            <w:r w:rsidRPr="00481BD7">
              <w:rPr>
                <w:rStyle w:val="translated-span"/>
                <w:rFonts w:ascii="Times New Roman" w:hAnsi="Times New Roman" w:cs="Times New Roman"/>
                <w:b/>
                <w:bCs/>
                <w:szCs w:val="21"/>
              </w:rPr>
              <w:t>onfidence limit</w:t>
            </w:r>
          </w:p>
          <w:p w14:paraId="1E823DA3" w14:textId="5F01AAFC"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(mg </w:t>
            </w:r>
            <w:proofErr w:type="spellStart"/>
            <w:r w:rsidRPr="00481BD7">
              <w:rPr>
                <w:rStyle w:val="translated-span"/>
                <w:rFonts w:ascii="Times New Roman" w:hAnsi="Times New Roman" w:cs="Times New Roman"/>
                <w:b/>
                <w:bCs/>
                <w:szCs w:val="21"/>
              </w:rPr>
              <w:t>a.i.</w:t>
            </w:r>
            <w:proofErr w:type="spellEnd"/>
            <w:r w:rsidRPr="00481BD7">
              <w:rPr>
                <w:rStyle w:val="translated-span"/>
                <w:rFonts w:ascii="Times New Roman" w:hAnsi="Times New Roman" w:cs="Times New Roman"/>
                <w:b/>
                <w:bCs/>
                <w:szCs w:val="21"/>
              </w:rPr>
              <w:t>/</w:t>
            </w:r>
            <w:r w:rsidR="008F7F6E" w:rsidRPr="00481BD7">
              <w:rPr>
                <w:rStyle w:val="translated-span"/>
                <w:rFonts w:ascii="Times New Roman" w:hAnsi="Times New Roman" w:cs="Times New Roman"/>
                <w:b/>
                <w:bCs/>
                <w:szCs w:val="21"/>
              </w:rPr>
              <w:t>L</w:t>
            </w:r>
            <w:r w:rsidRPr="00481BD7">
              <w:rPr>
                <w:rStyle w:val="translated-span"/>
                <w:rFonts w:ascii="Times New Roman" w:hAnsi="Times New Roman" w:cs="Times New Roman"/>
                <w:b/>
                <w:bCs/>
                <w:szCs w:val="21"/>
              </w:rPr>
              <w:t>)</w:t>
            </w:r>
          </w:p>
        </w:tc>
      </w:tr>
      <w:tr w:rsidR="00F25550" w:rsidRPr="00481BD7" w14:paraId="2E0C1EEB" w14:textId="77777777">
        <w:trPr>
          <w:trHeight w:val="468"/>
          <w:jc w:val="center"/>
        </w:trPr>
        <w:tc>
          <w:tcPr>
            <w:tcW w:w="535" w:type="pct"/>
            <w:tcBorders>
              <w:top w:val="nil"/>
              <w:left w:val="nil"/>
              <w:bottom w:val="single" w:sz="8" w:space="0" w:color="auto"/>
              <w:right w:val="nil"/>
            </w:tcBorders>
            <w:tcMar>
              <w:top w:w="0" w:type="dxa"/>
              <w:left w:w="108" w:type="dxa"/>
              <w:bottom w:w="0" w:type="dxa"/>
              <w:right w:w="108" w:type="dxa"/>
            </w:tcMar>
            <w:vAlign w:val="center"/>
          </w:tcPr>
          <w:p w14:paraId="1C803101"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23d</w:t>
            </w:r>
          </w:p>
        </w:tc>
        <w:tc>
          <w:tcPr>
            <w:tcW w:w="1401" w:type="pct"/>
            <w:tcBorders>
              <w:top w:val="nil"/>
              <w:left w:val="nil"/>
              <w:bottom w:val="single" w:sz="8" w:space="0" w:color="auto"/>
              <w:right w:val="nil"/>
            </w:tcBorders>
            <w:tcMar>
              <w:top w:w="0" w:type="dxa"/>
              <w:left w:w="108" w:type="dxa"/>
              <w:bottom w:w="0" w:type="dxa"/>
              <w:right w:w="108" w:type="dxa"/>
            </w:tcMar>
            <w:vAlign w:val="center"/>
          </w:tcPr>
          <w:p w14:paraId="7CE4B8AB" w14:textId="77777777" w:rsidR="00F25550" w:rsidRPr="00481BD7" w:rsidRDefault="00F3504C">
            <w:pPr>
              <w:spacing w:line="360" w:lineRule="auto"/>
              <w:jc w:val="center"/>
              <w:rPr>
                <w:rFonts w:ascii="Times New Roman" w:hAnsi="Times New Roman" w:cs="Times New Roman"/>
                <w:szCs w:val="21"/>
              </w:rPr>
            </w:pPr>
            <w:bookmarkStart w:id="1" w:name="OLE_LINK22"/>
            <w:bookmarkStart w:id="2" w:name="OLE_LINK12"/>
            <w:bookmarkEnd w:id="1"/>
            <w:bookmarkEnd w:id="2"/>
            <w:r w:rsidRPr="00481BD7">
              <w:rPr>
                <w:rStyle w:val="translated-span"/>
                <w:rFonts w:ascii="Times New Roman" w:hAnsi="Times New Roman" w:cs="Times New Roman"/>
                <w:szCs w:val="21"/>
              </w:rPr>
              <w:t>Y = -11.304 + 2.000X</w:t>
            </w:r>
          </w:p>
        </w:tc>
        <w:tc>
          <w:tcPr>
            <w:tcW w:w="646" w:type="pct"/>
            <w:tcBorders>
              <w:top w:val="nil"/>
              <w:left w:val="nil"/>
              <w:bottom w:val="single" w:sz="8" w:space="0" w:color="auto"/>
              <w:right w:val="nil"/>
            </w:tcBorders>
            <w:tcMar>
              <w:top w:w="0" w:type="dxa"/>
              <w:left w:w="108" w:type="dxa"/>
              <w:bottom w:w="0" w:type="dxa"/>
              <w:right w:w="108" w:type="dxa"/>
            </w:tcMar>
            <w:vAlign w:val="center"/>
          </w:tcPr>
          <w:p w14:paraId="6D8D78FF"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0.808</w:t>
            </w:r>
          </w:p>
        </w:tc>
        <w:tc>
          <w:tcPr>
            <w:tcW w:w="936" w:type="pct"/>
            <w:tcBorders>
              <w:top w:val="nil"/>
              <w:left w:val="nil"/>
              <w:bottom w:val="single" w:sz="8" w:space="0" w:color="auto"/>
              <w:right w:val="nil"/>
            </w:tcBorders>
            <w:tcMar>
              <w:top w:w="0" w:type="dxa"/>
              <w:left w:w="108" w:type="dxa"/>
              <w:bottom w:w="0" w:type="dxa"/>
              <w:right w:w="108" w:type="dxa"/>
            </w:tcMar>
            <w:vAlign w:val="center"/>
          </w:tcPr>
          <w:p w14:paraId="6767B8A8"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4.48 x 10</w:t>
            </w:r>
            <w:r w:rsidRPr="00481BD7">
              <w:rPr>
                <w:rStyle w:val="translated-span"/>
                <w:rFonts w:ascii="Times New Roman" w:hAnsi="Times New Roman" w:cs="Times New Roman"/>
                <w:szCs w:val="21"/>
                <w:vertAlign w:val="superscript"/>
              </w:rPr>
              <w:t>5</w:t>
            </w:r>
          </w:p>
        </w:tc>
        <w:tc>
          <w:tcPr>
            <w:tcW w:w="1482" w:type="pct"/>
            <w:tcBorders>
              <w:top w:val="nil"/>
              <w:left w:val="nil"/>
              <w:bottom w:val="single" w:sz="8" w:space="0" w:color="auto"/>
              <w:right w:val="nil"/>
            </w:tcBorders>
            <w:tcMar>
              <w:top w:w="0" w:type="dxa"/>
              <w:left w:w="108" w:type="dxa"/>
              <w:bottom w:w="0" w:type="dxa"/>
              <w:right w:w="108" w:type="dxa"/>
            </w:tcMar>
            <w:vAlign w:val="center"/>
          </w:tcPr>
          <w:p w14:paraId="11240623"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2.77×10</w:t>
            </w:r>
            <w:r w:rsidRPr="00481BD7">
              <w:rPr>
                <w:rStyle w:val="translated-span"/>
                <w:rFonts w:ascii="Times New Roman" w:hAnsi="Times New Roman" w:cs="Times New Roman"/>
                <w:szCs w:val="21"/>
                <w:vertAlign w:val="superscript"/>
              </w:rPr>
              <w:t>5</w:t>
            </w:r>
            <w:r w:rsidRPr="00481BD7">
              <w:rPr>
                <w:rStyle w:val="translated-span"/>
                <w:rFonts w:ascii="Times New Roman" w:hAnsi="Times New Roman" w:cs="Times New Roman"/>
                <w:szCs w:val="21"/>
              </w:rPr>
              <w:t>~6.06×10</w:t>
            </w:r>
            <w:r w:rsidRPr="00481BD7">
              <w:rPr>
                <w:rStyle w:val="translated-span"/>
                <w:rFonts w:ascii="Times New Roman" w:hAnsi="Times New Roman" w:cs="Times New Roman"/>
                <w:szCs w:val="21"/>
                <w:vertAlign w:val="superscript"/>
              </w:rPr>
              <w:t>5</w:t>
            </w:r>
          </w:p>
        </w:tc>
      </w:tr>
    </w:tbl>
    <w:p w14:paraId="220AEBAC" w14:textId="77777777" w:rsidR="00F25550" w:rsidRDefault="00F25550">
      <w:pPr>
        <w:ind w:firstLineChars="100" w:firstLine="211"/>
        <w:rPr>
          <w:rFonts w:ascii="Times New Roman" w:hAnsi="Times New Roman" w:cs="Times New Roman"/>
          <w:b/>
          <w:bCs/>
        </w:rPr>
      </w:pPr>
    </w:p>
    <w:p w14:paraId="17FFF835"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 xml:space="preserve">Effect of </w:t>
      </w:r>
      <w:r>
        <w:rPr>
          <w:rFonts w:ascii="Times New Roman" w:hAnsi="Times New Roman" w:cs="Times New Roman"/>
          <w:b/>
          <w:bCs/>
          <w:i/>
          <w:iCs/>
        </w:rPr>
        <w:t>Bacillus thuringiensis</w:t>
      </w:r>
      <w:r>
        <w:rPr>
          <w:rFonts w:ascii="Times New Roman" w:hAnsi="Times New Roman" w:cs="Times New Roman"/>
          <w:b/>
          <w:bCs/>
        </w:rPr>
        <w:t xml:space="preserve"> on Silkworm Pupation and Cocooning</w:t>
      </w:r>
    </w:p>
    <w:p w14:paraId="59A8FAE1" w14:textId="0D4E2A1C" w:rsidR="000C6349" w:rsidRDefault="00F3504C" w:rsidP="00F11F20">
      <w:pPr>
        <w:rPr>
          <w:rFonts w:ascii="Times New Roman" w:hAnsi="Times New Roman" w:cs="Times New Roman"/>
        </w:rPr>
      </w:pPr>
      <w:r>
        <w:rPr>
          <w:rFonts w:ascii="Times New Roman" w:hAnsi="Times New Roman" w:cs="Times New Roman"/>
        </w:rPr>
        <w:t xml:space="preserve">Control groups (CK1 and CK2) showed cocoon weights of 1.8467 ± 0.0364 g and 1.8204 ± 0.0148 g, cocoon shell weights of 0.4215 ± 0.0061 g and 0.4264 ± 0.0223 g, and pupal weights of 1.4006 ± 0.0386 g and 1.3698 ± 0.0212 g, with cocoon shell rates of 22.8% and 23.4%, respectively. No data were recorded for the highest concentration (T5). At 3.16 × 10⁴ CFU/mL, cocoon and pupal weights decreased, but the cocoon shell rate increased to 25.0%. At 3.16 × 10⁵ CFU/mL, cocoon weight and shell weight increased, with a stable shell rate of 23.9%. The highest cocoon weight (2.0469 ± 0.0355 g) and shell weight (0.4803 ± 0.0132 g) were observed at 1 × 10⁶ CFU/mL, with a shell rate of 23.5% (Table </w:t>
      </w:r>
      <w:r>
        <w:rPr>
          <w:rFonts w:ascii="Times New Roman" w:hAnsi="Times New Roman" w:cs="Times New Roman" w:hint="eastAsia"/>
        </w:rPr>
        <w:t>4</w:t>
      </w:r>
      <w:r>
        <w:rPr>
          <w:rFonts w:ascii="Times New Roman" w:hAnsi="Times New Roman" w:cs="Times New Roman"/>
        </w:rPr>
        <w:t>, Figure 3</w:t>
      </w:r>
      <w:r w:rsidRPr="003E7D4F">
        <w:rPr>
          <w:rFonts w:ascii="Times New Roman" w:hAnsi="Times New Roman" w:cs="Times New Roman"/>
        </w:rPr>
        <w:t>).</w:t>
      </w:r>
      <w:r w:rsidR="003E7D4F" w:rsidRPr="003E7D4F">
        <w:rPr>
          <w:rFonts w:ascii="Times New Roman" w:hAnsi="Times New Roman" w:cs="Times New Roman"/>
        </w:rPr>
        <w:t xml:space="preserve"> </w:t>
      </w:r>
      <w:r w:rsidR="000C6349" w:rsidRPr="00ED61B1">
        <w:rPr>
          <w:rFonts w:ascii="Times New Roman" w:hAnsi="Times New Roman" w:cs="Times New Roman"/>
        </w:rPr>
        <w:t>Evidence from laboratory and field studies reveals that even sub-lethal residues of synthetic insecticides can cause severe biological effects, from acute larval mortality to disruptions in growth and development (Dutta et al., 2025).</w:t>
      </w:r>
    </w:p>
    <w:p w14:paraId="111858AC" w14:textId="7FB4E458" w:rsidR="00F11F20" w:rsidRDefault="00F11F20" w:rsidP="00F11F20">
      <w:pPr>
        <w:rPr>
          <w:rFonts w:ascii="Times New Roman" w:hAnsi="Times New Roman" w:cs="Times New Roman"/>
          <w:sz w:val="24"/>
        </w:rPr>
      </w:pPr>
      <w:r w:rsidRPr="002D7444">
        <w:rPr>
          <w:rFonts w:ascii="Times New Roman" w:hAnsi="Times New Roman" w:cs="Times New Roman"/>
          <w:sz w:val="24"/>
        </w:rPr>
        <w:lastRenderedPageBreak/>
        <w:t xml:space="preserve">Exposure to 100 </w:t>
      </w:r>
      <w:proofErr w:type="spellStart"/>
      <w:r w:rsidRPr="002D7444">
        <w:rPr>
          <w:rFonts w:ascii="Times New Roman" w:hAnsi="Times New Roman" w:cs="Times New Roman"/>
          <w:sz w:val="24"/>
        </w:rPr>
        <w:t>μg</w:t>
      </w:r>
      <w:proofErr w:type="spellEnd"/>
      <w:r w:rsidRPr="002D7444">
        <w:rPr>
          <w:rFonts w:ascii="Times New Roman" w:hAnsi="Times New Roman" w:cs="Times New Roman"/>
          <w:sz w:val="24"/>
        </w:rPr>
        <w:t>/mL Cry1F markedly reduces body weight gain within 24 hours, and after 96 hours causes significant declines in larval body, cocoon, pupal, and cocoon-shell weights, with some larvae failing to reach the pupal stage (Xu et al., 2023)</w:t>
      </w:r>
      <w:r w:rsidR="009E299E">
        <w:rPr>
          <w:rFonts w:ascii="Times New Roman" w:hAnsi="Times New Roman" w:cs="Times New Roman"/>
          <w:sz w:val="24"/>
        </w:rPr>
        <w:t>.</w:t>
      </w:r>
    </w:p>
    <w:p w14:paraId="0AB01731" w14:textId="311B4F0B" w:rsidR="0043482D" w:rsidRDefault="0043482D" w:rsidP="00F11F20">
      <w:pPr>
        <w:rPr>
          <w:rFonts w:ascii="Times New Roman" w:hAnsi="Times New Roman" w:cs="Times New Roman"/>
          <w:sz w:val="24"/>
        </w:rPr>
      </w:pPr>
    </w:p>
    <w:p w14:paraId="7FB432D5" w14:textId="3F0F0D6A" w:rsidR="00B47AEE" w:rsidRDefault="00B47AEE" w:rsidP="00F11F20">
      <w:pPr>
        <w:rPr>
          <w:rFonts w:ascii="Times New Roman" w:hAnsi="Times New Roman" w:cs="Times New Roman"/>
          <w:sz w:val="24"/>
        </w:rPr>
      </w:pPr>
    </w:p>
    <w:p w14:paraId="3F82750C" w14:textId="0AD12986" w:rsidR="00B47AEE" w:rsidRDefault="00B47AEE" w:rsidP="00F11F20">
      <w:pPr>
        <w:rPr>
          <w:rFonts w:ascii="Times New Roman" w:hAnsi="Times New Roman" w:cs="Times New Roman"/>
          <w:sz w:val="24"/>
        </w:rPr>
      </w:pPr>
    </w:p>
    <w:p w14:paraId="1532BD31" w14:textId="5690CD87" w:rsidR="00B47AEE" w:rsidRDefault="00B47AEE" w:rsidP="00F11F20">
      <w:pPr>
        <w:rPr>
          <w:rFonts w:ascii="Times New Roman" w:hAnsi="Times New Roman" w:cs="Times New Roman"/>
          <w:sz w:val="24"/>
        </w:rPr>
      </w:pPr>
    </w:p>
    <w:p w14:paraId="0C298DE3" w14:textId="3134E8C6" w:rsidR="00B47AEE" w:rsidRDefault="00B47AEE" w:rsidP="00F11F20">
      <w:pPr>
        <w:rPr>
          <w:rFonts w:ascii="Times New Roman" w:hAnsi="Times New Roman" w:cs="Times New Roman"/>
          <w:sz w:val="24"/>
        </w:rPr>
      </w:pPr>
    </w:p>
    <w:p w14:paraId="55D2CD51" w14:textId="77777777" w:rsidR="00B47AEE" w:rsidRPr="003E7D4F" w:rsidRDefault="00B47AEE" w:rsidP="00F11F20">
      <w:pPr>
        <w:rPr>
          <w:rFonts w:ascii="Times New Roman" w:hAnsi="Times New Roman" w:cs="Times New Roman"/>
          <w:sz w:val="24"/>
        </w:rPr>
      </w:pPr>
    </w:p>
    <w:p w14:paraId="5F20006D" w14:textId="32860264" w:rsidR="00F25550" w:rsidRDefault="00F3504C">
      <w:pPr>
        <w:pStyle w:val="NormalWeb"/>
        <w:rPr>
          <w:b/>
          <w:bCs/>
        </w:rPr>
      </w:pPr>
      <w:r>
        <w:rPr>
          <w:rStyle w:val="translated-span"/>
          <w:rFonts w:eastAsia="STZhongsong"/>
          <w:b/>
          <w:bCs/>
        </w:rPr>
        <w:t xml:space="preserve">Table </w:t>
      </w:r>
      <w:r>
        <w:rPr>
          <w:rStyle w:val="translated-span"/>
          <w:rFonts w:eastAsia="STZhongsong" w:hint="eastAsia"/>
          <w:b/>
          <w:bCs/>
        </w:rPr>
        <w:t>4</w:t>
      </w:r>
      <w:r>
        <w:rPr>
          <w:rStyle w:val="translated-span"/>
          <w:rFonts w:eastAsia="STZhongsong"/>
          <w:b/>
          <w:bCs/>
        </w:rPr>
        <w:t>.</w:t>
      </w:r>
      <w:r>
        <w:rPr>
          <w:b/>
          <w:bCs/>
        </w:rPr>
        <w:t xml:space="preserve"> Effect of </w:t>
      </w:r>
      <w:r>
        <w:rPr>
          <w:b/>
          <w:bCs/>
          <w:i/>
        </w:rPr>
        <w:t>Bacillus thuringiensis</w:t>
      </w:r>
      <w:r>
        <w:rPr>
          <w:b/>
          <w:bCs/>
        </w:rPr>
        <w:t xml:space="preserve"> on Silkworm </w:t>
      </w:r>
      <w:r w:rsidR="00BA5B56">
        <w:rPr>
          <w:b/>
          <w:bCs/>
        </w:rPr>
        <w:t>p</w:t>
      </w:r>
      <w:r>
        <w:rPr>
          <w:b/>
          <w:bCs/>
        </w:rPr>
        <w:t xml:space="preserve">upation and </w:t>
      </w:r>
      <w:r w:rsidR="00BA5B56">
        <w:rPr>
          <w:b/>
          <w:bCs/>
        </w:rPr>
        <w:t>c</w:t>
      </w:r>
      <w:r>
        <w:rPr>
          <w:b/>
          <w:bCs/>
        </w:rPr>
        <w:t>ocooning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
        <w:gridCol w:w="1450"/>
        <w:gridCol w:w="1547"/>
        <w:gridCol w:w="515"/>
        <w:gridCol w:w="1547"/>
        <w:gridCol w:w="1547"/>
        <w:gridCol w:w="861"/>
      </w:tblGrid>
      <w:tr w:rsidR="00F25550" w:rsidRPr="0043482D" w14:paraId="0842A58C" w14:textId="77777777">
        <w:trPr>
          <w:trHeight w:val="277"/>
          <w:jc w:val="center"/>
        </w:trPr>
        <w:tc>
          <w:tcPr>
            <w:tcW w:w="492" w:type="pct"/>
            <w:tcBorders>
              <w:top w:val="single" w:sz="4" w:space="0" w:color="auto"/>
              <w:left w:val="nil"/>
              <w:bottom w:val="single" w:sz="4" w:space="0" w:color="auto"/>
              <w:right w:val="nil"/>
            </w:tcBorders>
            <w:tcMar>
              <w:top w:w="0" w:type="dxa"/>
              <w:left w:w="108" w:type="dxa"/>
              <w:bottom w:w="0" w:type="dxa"/>
              <w:right w:w="108" w:type="dxa"/>
            </w:tcMar>
            <w:vAlign w:val="center"/>
          </w:tcPr>
          <w:p w14:paraId="69BD4CF5"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Handle</w:t>
            </w:r>
          </w:p>
        </w:tc>
        <w:tc>
          <w:tcPr>
            <w:tcW w:w="824" w:type="pct"/>
            <w:tcBorders>
              <w:top w:val="single" w:sz="4" w:space="0" w:color="auto"/>
              <w:left w:val="nil"/>
              <w:bottom w:val="single" w:sz="4" w:space="0" w:color="auto"/>
              <w:right w:val="nil"/>
            </w:tcBorders>
            <w:tcMar>
              <w:top w:w="0" w:type="dxa"/>
              <w:left w:w="108" w:type="dxa"/>
              <w:bottom w:w="0" w:type="dxa"/>
              <w:right w:w="108" w:type="dxa"/>
            </w:tcMar>
            <w:vAlign w:val="center"/>
          </w:tcPr>
          <w:p w14:paraId="1E3E3A68" w14:textId="2229E185" w:rsidR="00F25550" w:rsidRPr="0043482D" w:rsidRDefault="0043482D">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w:t>
            </w:r>
            <w:r w:rsidR="00F3504C" w:rsidRPr="0043482D">
              <w:rPr>
                <w:rStyle w:val="translated-span"/>
                <w:rFonts w:ascii="Times New Roman" w:eastAsia="STZhongsong" w:hAnsi="Times New Roman" w:cs="Times New Roman"/>
                <w:b/>
                <w:bCs/>
                <w:sz w:val="20"/>
                <w:szCs w:val="20"/>
              </w:rPr>
              <w:t>oncentration</w:t>
            </w:r>
          </w:p>
          <w:p w14:paraId="545374BB" w14:textId="12F404FF"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CFU/m</w:t>
            </w:r>
            <w:r w:rsidR="002F19DE" w:rsidRPr="0043482D">
              <w:rPr>
                <w:rStyle w:val="translated-span"/>
                <w:rFonts w:ascii="Times New Roman" w:hAnsi="Times New Roman" w:cs="Times New Roman"/>
                <w:b/>
                <w:bCs/>
                <w:sz w:val="20"/>
                <w:szCs w:val="20"/>
              </w:rPr>
              <w:t>L</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20B218AE"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weight (g)</w:t>
            </w:r>
          </w:p>
          <w:p w14:paraId="6B699084"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456" w:type="pct"/>
            <w:tcBorders>
              <w:top w:val="single" w:sz="4" w:space="0" w:color="auto"/>
              <w:left w:val="nil"/>
              <w:bottom w:val="single" w:sz="4" w:space="0" w:color="auto"/>
              <w:right w:val="nil"/>
            </w:tcBorders>
            <w:vAlign w:val="center"/>
          </w:tcPr>
          <w:p w14:paraId="4BDA18D4" w14:textId="77777777" w:rsidR="00F25550" w:rsidRPr="0043482D" w:rsidRDefault="00F3504C">
            <w:pPr>
              <w:spacing w:line="360" w:lineRule="auto"/>
              <w:jc w:val="center"/>
              <w:rPr>
                <w:rStyle w:val="translated-span"/>
                <w:rFonts w:ascii="Times New Roman" w:eastAsia="STZhongsong" w:hAnsi="Times New Roman" w:cs="Times New Roman"/>
                <w:b/>
                <w:bCs/>
                <w:sz w:val="20"/>
                <w:szCs w:val="20"/>
              </w:rPr>
            </w:pPr>
            <w:r w:rsidRPr="00FB5384">
              <w:rPr>
                <w:rStyle w:val="translated-span"/>
                <w:rFonts w:ascii="Times New Roman" w:eastAsia="STZhongsong" w:hAnsi="Times New Roman" w:cs="Times New Roman"/>
                <w:b/>
                <w:bCs/>
                <w:i/>
                <w:iCs/>
                <w:sz w:val="20"/>
                <w:szCs w:val="20"/>
              </w:rPr>
              <w:t>P</w:t>
            </w:r>
            <w:r w:rsidRPr="0043482D">
              <w:rPr>
                <w:rStyle w:val="translated-span"/>
                <w:rFonts w:ascii="Times New Roman" w:eastAsia="STZhongsong" w:hAnsi="Times New Roman" w:cs="Times New Roman"/>
                <w:b/>
                <w:bCs/>
                <w:sz w:val="20"/>
                <w:szCs w:val="20"/>
              </w:rPr>
              <w:t xml:space="preserve"> value</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08F7670B"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layer quantity (g)</w:t>
            </w:r>
          </w:p>
          <w:p w14:paraId="1638C54D"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1AF5C635"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Pupa weight (g)</w:t>
            </w:r>
          </w:p>
          <w:p w14:paraId="61C1B1AC"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521" w:type="pct"/>
            <w:tcBorders>
              <w:top w:val="single" w:sz="4" w:space="0" w:color="auto"/>
              <w:left w:val="nil"/>
              <w:bottom w:val="single" w:sz="4" w:space="0" w:color="auto"/>
              <w:right w:val="nil"/>
            </w:tcBorders>
            <w:tcMar>
              <w:top w:w="0" w:type="dxa"/>
              <w:left w:w="108" w:type="dxa"/>
              <w:bottom w:w="0" w:type="dxa"/>
              <w:right w:w="108" w:type="dxa"/>
            </w:tcMar>
            <w:vAlign w:val="center"/>
          </w:tcPr>
          <w:p w14:paraId="5ECA0C31"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layer rate (%)</w:t>
            </w:r>
          </w:p>
        </w:tc>
      </w:tr>
      <w:tr w:rsidR="00F25550" w:rsidRPr="002A3438" w14:paraId="3D2E9213" w14:textId="77777777">
        <w:trPr>
          <w:trHeight w:val="433"/>
          <w:jc w:val="center"/>
        </w:trPr>
        <w:tc>
          <w:tcPr>
            <w:tcW w:w="492" w:type="pct"/>
            <w:tcBorders>
              <w:top w:val="single" w:sz="4" w:space="0" w:color="auto"/>
              <w:left w:val="nil"/>
              <w:bottom w:val="nil"/>
              <w:right w:val="nil"/>
            </w:tcBorders>
            <w:tcMar>
              <w:top w:w="0" w:type="dxa"/>
              <w:left w:w="108" w:type="dxa"/>
              <w:bottom w:w="0" w:type="dxa"/>
              <w:right w:w="108" w:type="dxa"/>
            </w:tcMar>
            <w:vAlign w:val="center"/>
          </w:tcPr>
          <w:p w14:paraId="7FD594F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lang w:val="en-GB"/>
              </w:rPr>
              <w:t>CK1</w:t>
            </w:r>
          </w:p>
        </w:tc>
        <w:tc>
          <w:tcPr>
            <w:tcW w:w="824" w:type="pct"/>
            <w:tcBorders>
              <w:top w:val="single" w:sz="4" w:space="0" w:color="auto"/>
              <w:left w:val="nil"/>
              <w:bottom w:val="nil"/>
              <w:right w:val="nil"/>
            </w:tcBorders>
            <w:tcMar>
              <w:top w:w="0" w:type="dxa"/>
              <w:left w:w="108" w:type="dxa"/>
              <w:bottom w:w="0" w:type="dxa"/>
              <w:right w:w="108" w:type="dxa"/>
            </w:tcMar>
            <w:vAlign w:val="center"/>
          </w:tcPr>
          <w:p w14:paraId="3FC1C9C3"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0866107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1.8467±0.0364</w:t>
            </w:r>
          </w:p>
        </w:tc>
        <w:tc>
          <w:tcPr>
            <w:tcW w:w="456" w:type="pct"/>
            <w:tcBorders>
              <w:top w:val="single" w:sz="4" w:space="0" w:color="auto"/>
              <w:left w:val="nil"/>
              <w:bottom w:val="nil"/>
              <w:right w:val="nil"/>
            </w:tcBorders>
            <w:vAlign w:val="center"/>
          </w:tcPr>
          <w:p w14:paraId="4E934C4C"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03E2E4F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0.4215±0.0061</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32778E89"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1.4006±0.0386</w:t>
            </w:r>
          </w:p>
        </w:tc>
        <w:tc>
          <w:tcPr>
            <w:tcW w:w="521" w:type="pct"/>
            <w:tcBorders>
              <w:top w:val="single" w:sz="4" w:space="0" w:color="auto"/>
              <w:left w:val="nil"/>
              <w:bottom w:val="nil"/>
              <w:right w:val="nil"/>
            </w:tcBorders>
            <w:tcMar>
              <w:top w:w="0" w:type="dxa"/>
              <w:left w:w="108" w:type="dxa"/>
              <w:bottom w:w="0" w:type="dxa"/>
              <w:right w:w="108" w:type="dxa"/>
            </w:tcMar>
            <w:vAlign w:val="center"/>
          </w:tcPr>
          <w:p w14:paraId="2FA3E255"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22.8</w:t>
            </w:r>
          </w:p>
        </w:tc>
      </w:tr>
      <w:tr w:rsidR="00F25550" w:rsidRPr="002A3438" w14:paraId="07594E99"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3EA6A969"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lang w:val="en-GB"/>
              </w:rPr>
              <w:t>CK2</w:t>
            </w:r>
          </w:p>
        </w:tc>
        <w:tc>
          <w:tcPr>
            <w:tcW w:w="824" w:type="pct"/>
            <w:tcBorders>
              <w:top w:val="nil"/>
              <w:left w:val="nil"/>
              <w:bottom w:val="nil"/>
              <w:right w:val="nil"/>
            </w:tcBorders>
            <w:tcMar>
              <w:top w:w="0" w:type="dxa"/>
              <w:left w:w="108" w:type="dxa"/>
              <w:bottom w:w="0" w:type="dxa"/>
              <w:right w:w="108" w:type="dxa"/>
            </w:tcMar>
            <w:vAlign w:val="center"/>
          </w:tcPr>
          <w:p w14:paraId="1ABDF810"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nil"/>
              <w:right w:val="nil"/>
            </w:tcBorders>
            <w:tcMar>
              <w:top w:w="0" w:type="dxa"/>
              <w:left w:w="108" w:type="dxa"/>
              <w:bottom w:w="0" w:type="dxa"/>
              <w:right w:w="108" w:type="dxa"/>
            </w:tcMar>
            <w:vAlign w:val="center"/>
          </w:tcPr>
          <w:p w14:paraId="04E24C4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1.8204±0.0148</w:t>
            </w:r>
          </w:p>
        </w:tc>
        <w:tc>
          <w:tcPr>
            <w:tcW w:w="456" w:type="pct"/>
            <w:tcBorders>
              <w:top w:val="nil"/>
              <w:left w:val="nil"/>
              <w:bottom w:val="nil"/>
              <w:right w:val="nil"/>
            </w:tcBorders>
            <w:vAlign w:val="center"/>
          </w:tcPr>
          <w:p w14:paraId="789486FF"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0.736</w:t>
            </w:r>
          </w:p>
        </w:tc>
        <w:tc>
          <w:tcPr>
            <w:tcW w:w="902" w:type="pct"/>
            <w:tcBorders>
              <w:top w:val="nil"/>
              <w:left w:val="nil"/>
              <w:bottom w:val="nil"/>
              <w:right w:val="nil"/>
            </w:tcBorders>
            <w:tcMar>
              <w:top w:w="0" w:type="dxa"/>
              <w:left w:w="108" w:type="dxa"/>
              <w:bottom w:w="0" w:type="dxa"/>
              <w:right w:w="108" w:type="dxa"/>
            </w:tcMar>
            <w:vAlign w:val="center"/>
          </w:tcPr>
          <w:p w14:paraId="750BCA9C"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0.4264±0.0223</w:t>
            </w:r>
          </w:p>
        </w:tc>
        <w:tc>
          <w:tcPr>
            <w:tcW w:w="902" w:type="pct"/>
            <w:tcBorders>
              <w:top w:val="nil"/>
              <w:left w:val="nil"/>
              <w:bottom w:val="nil"/>
              <w:right w:val="nil"/>
            </w:tcBorders>
            <w:tcMar>
              <w:top w:w="0" w:type="dxa"/>
              <w:left w:w="108" w:type="dxa"/>
              <w:bottom w:w="0" w:type="dxa"/>
              <w:right w:w="108" w:type="dxa"/>
            </w:tcMar>
            <w:vAlign w:val="center"/>
          </w:tcPr>
          <w:p w14:paraId="6068CB1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1.3698±0.0212</w:t>
            </w:r>
          </w:p>
        </w:tc>
        <w:tc>
          <w:tcPr>
            <w:tcW w:w="521" w:type="pct"/>
            <w:tcBorders>
              <w:top w:val="nil"/>
              <w:left w:val="nil"/>
              <w:bottom w:val="nil"/>
              <w:right w:val="nil"/>
            </w:tcBorders>
            <w:tcMar>
              <w:top w:w="0" w:type="dxa"/>
              <w:left w:w="108" w:type="dxa"/>
              <w:bottom w:w="0" w:type="dxa"/>
              <w:right w:w="108" w:type="dxa"/>
            </w:tcMar>
            <w:vAlign w:val="center"/>
          </w:tcPr>
          <w:p w14:paraId="2F450EE6"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23.4</w:t>
            </w:r>
          </w:p>
        </w:tc>
      </w:tr>
      <w:tr w:rsidR="00F25550" w:rsidRPr="002A3438" w14:paraId="2981E3DD"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0828EA2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T1</w:t>
            </w:r>
          </w:p>
        </w:tc>
        <w:tc>
          <w:tcPr>
            <w:tcW w:w="824" w:type="pct"/>
            <w:tcBorders>
              <w:top w:val="nil"/>
              <w:left w:val="nil"/>
              <w:bottom w:val="nil"/>
              <w:right w:val="nil"/>
            </w:tcBorders>
            <w:tcMar>
              <w:top w:w="0" w:type="dxa"/>
              <w:left w:w="108" w:type="dxa"/>
              <w:bottom w:w="0" w:type="dxa"/>
              <w:right w:w="108" w:type="dxa"/>
            </w:tcMar>
            <w:vAlign w:val="center"/>
          </w:tcPr>
          <w:p w14:paraId="24AC625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4</w:t>
            </w:r>
          </w:p>
        </w:tc>
        <w:tc>
          <w:tcPr>
            <w:tcW w:w="902" w:type="pct"/>
            <w:tcBorders>
              <w:top w:val="nil"/>
              <w:left w:val="nil"/>
              <w:bottom w:val="nil"/>
              <w:right w:val="nil"/>
            </w:tcBorders>
            <w:tcMar>
              <w:top w:w="0" w:type="dxa"/>
              <w:left w:w="108" w:type="dxa"/>
              <w:bottom w:w="0" w:type="dxa"/>
              <w:right w:w="108" w:type="dxa"/>
            </w:tcMar>
            <w:vAlign w:val="center"/>
          </w:tcPr>
          <w:p w14:paraId="0446757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1.6976±0.0288</w:t>
            </w:r>
          </w:p>
        </w:tc>
        <w:tc>
          <w:tcPr>
            <w:tcW w:w="456" w:type="pct"/>
            <w:tcBorders>
              <w:top w:val="nil"/>
              <w:left w:val="nil"/>
              <w:bottom w:val="nil"/>
              <w:right w:val="nil"/>
            </w:tcBorders>
            <w:vAlign w:val="center"/>
          </w:tcPr>
          <w:p w14:paraId="1E14E405"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0.068</w:t>
            </w:r>
          </w:p>
        </w:tc>
        <w:tc>
          <w:tcPr>
            <w:tcW w:w="902" w:type="pct"/>
            <w:tcBorders>
              <w:top w:val="nil"/>
              <w:left w:val="nil"/>
              <w:bottom w:val="nil"/>
              <w:right w:val="nil"/>
            </w:tcBorders>
            <w:tcMar>
              <w:top w:w="0" w:type="dxa"/>
              <w:left w:w="108" w:type="dxa"/>
              <w:bottom w:w="0" w:type="dxa"/>
              <w:right w:w="108" w:type="dxa"/>
            </w:tcMar>
            <w:vAlign w:val="center"/>
          </w:tcPr>
          <w:p w14:paraId="227C577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0.4244±0.0202</w:t>
            </w:r>
          </w:p>
        </w:tc>
        <w:tc>
          <w:tcPr>
            <w:tcW w:w="902" w:type="pct"/>
            <w:tcBorders>
              <w:top w:val="nil"/>
              <w:left w:val="nil"/>
              <w:bottom w:val="nil"/>
              <w:right w:val="nil"/>
            </w:tcBorders>
            <w:tcMar>
              <w:top w:w="0" w:type="dxa"/>
              <w:left w:w="108" w:type="dxa"/>
              <w:bottom w:w="0" w:type="dxa"/>
              <w:right w:w="108" w:type="dxa"/>
            </w:tcMar>
            <w:vAlign w:val="center"/>
          </w:tcPr>
          <w:p w14:paraId="1734BDF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1.2179±0.0466</w:t>
            </w:r>
          </w:p>
        </w:tc>
        <w:tc>
          <w:tcPr>
            <w:tcW w:w="521" w:type="pct"/>
            <w:tcBorders>
              <w:top w:val="nil"/>
              <w:left w:val="nil"/>
              <w:bottom w:val="nil"/>
              <w:right w:val="nil"/>
            </w:tcBorders>
            <w:tcMar>
              <w:top w:w="0" w:type="dxa"/>
              <w:left w:w="108" w:type="dxa"/>
              <w:bottom w:w="0" w:type="dxa"/>
              <w:right w:w="108" w:type="dxa"/>
            </w:tcMar>
            <w:vAlign w:val="center"/>
          </w:tcPr>
          <w:p w14:paraId="5D693E24"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25.0</w:t>
            </w:r>
          </w:p>
        </w:tc>
      </w:tr>
      <w:tr w:rsidR="00F25550" w:rsidRPr="002A3438" w14:paraId="502C2488"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770F67A1"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T2</w:t>
            </w:r>
          </w:p>
        </w:tc>
        <w:tc>
          <w:tcPr>
            <w:tcW w:w="824" w:type="pct"/>
            <w:tcBorders>
              <w:top w:val="nil"/>
              <w:left w:val="nil"/>
              <w:bottom w:val="nil"/>
              <w:right w:val="nil"/>
            </w:tcBorders>
            <w:tcMar>
              <w:top w:w="0" w:type="dxa"/>
              <w:left w:w="108" w:type="dxa"/>
              <w:bottom w:w="0" w:type="dxa"/>
              <w:right w:w="108" w:type="dxa"/>
            </w:tcMar>
            <w:vAlign w:val="center"/>
          </w:tcPr>
          <w:p w14:paraId="25077D3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 x 10</w:t>
            </w:r>
            <w:r w:rsidRPr="002A3438">
              <w:rPr>
                <w:rStyle w:val="translated-span"/>
                <w:rFonts w:ascii="Times New Roman" w:hAnsi="Times New Roman" w:cs="Times New Roman"/>
                <w:sz w:val="22"/>
                <w:szCs w:val="22"/>
                <w:vertAlign w:val="superscript"/>
              </w:rPr>
              <w:t>5</w:t>
            </w:r>
          </w:p>
        </w:tc>
        <w:tc>
          <w:tcPr>
            <w:tcW w:w="902" w:type="pct"/>
            <w:tcBorders>
              <w:top w:val="nil"/>
              <w:left w:val="nil"/>
              <w:bottom w:val="nil"/>
              <w:right w:val="nil"/>
            </w:tcBorders>
            <w:tcMar>
              <w:top w:w="0" w:type="dxa"/>
              <w:left w:w="108" w:type="dxa"/>
              <w:bottom w:w="0" w:type="dxa"/>
              <w:right w:w="108" w:type="dxa"/>
            </w:tcMar>
            <w:vAlign w:val="center"/>
          </w:tcPr>
          <w:p w14:paraId="2B5C1015"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1.7607±0.1113</w:t>
            </w:r>
          </w:p>
        </w:tc>
        <w:tc>
          <w:tcPr>
            <w:tcW w:w="456" w:type="pct"/>
            <w:tcBorders>
              <w:top w:val="nil"/>
              <w:left w:val="nil"/>
              <w:bottom w:val="nil"/>
              <w:right w:val="nil"/>
            </w:tcBorders>
            <w:vAlign w:val="center"/>
          </w:tcPr>
          <w:p w14:paraId="05E1D2B2"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0.277</w:t>
            </w:r>
          </w:p>
        </w:tc>
        <w:tc>
          <w:tcPr>
            <w:tcW w:w="902" w:type="pct"/>
            <w:tcBorders>
              <w:top w:val="nil"/>
              <w:left w:val="nil"/>
              <w:bottom w:val="nil"/>
              <w:right w:val="nil"/>
            </w:tcBorders>
            <w:tcMar>
              <w:top w:w="0" w:type="dxa"/>
              <w:left w:w="108" w:type="dxa"/>
              <w:bottom w:w="0" w:type="dxa"/>
              <w:right w:w="108" w:type="dxa"/>
            </w:tcMar>
            <w:vAlign w:val="center"/>
          </w:tcPr>
          <w:p w14:paraId="435C9AB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0.3976±0.0223</w:t>
            </w:r>
          </w:p>
        </w:tc>
        <w:tc>
          <w:tcPr>
            <w:tcW w:w="902" w:type="pct"/>
            <w:tcBorders>
              <w:top w:val="nil"/>
              <w:left w:val="nil"/>
              <w:bottom w:val="nil"/>
              <w:right w:val="nil"/>
            </w:tcBorders>
            <w:tcMar>
              <w:top w:w="0" w:type="dxa"/>
              <w:left w:w="108" w:type="dxa"/>
              <w:bottom w:w="0" w:type="dxa"/>
              <w:right w:w="108" w:type="dxa"/>
            </w:tcMar>
            <w:vAlign w:val="center"/>
          </w:tcPr>
          <w:p w14:paraId="52A7D36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1.3342±0.0994</w:t>
            </w:r>
          </w:p>
        </w:tc>
        <w:tc>
          <w:tcPr>
            <w:tcW w:w="521" w:type="pct"/>
            <w:tcBorders>
              <w:top w:val="nil"/>
              <w:left w:val="nil"/>
              <w:bottom w:val="nil"/>
              <w:right w:val="nil"/>
            </w:tcBorders>
            <w:tcMar>
              <w:top w:w="0" w:type="dxa"/>
              <w:left w:w="108" w:type="dxa"/>
              <w:bottom w:w="0" w:type="dxa"/>
              <w:right w:w="108" w:type="dxa"/>
            </w:tcMar>
            <w:vAlign w:val="center"/>
          </w:tcPr>
          <w:p w14:paraId="0B6581AB"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22.6</w:t>
            </w:r>
          </w:p>
        </w:tc>
      </w:tr>
      <w:tr w:rsidR="00F25550" w:rsidRPr="002A3438" w14:paraId="3C9AE732"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48826413"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T3</w:t>
            </w:r>
          </w:p>
        </w:tc>
        <w:tc>
          <w:tcPr>
            <w:tcW w:w="824" w:type="pct"/>
            <w:tcBorders>
              <w:top w:val="nil"/>
              <w:left w:val="nil"/>
              <w:bottom w:val="nil"/>
              <w:right w:val="nil"/>
            </w:tcBorders>
            <w:tcMar>
              <w:top w:w="0" w:type="dxa"/>
              <w:left w:w="108" w:type="dxa"/>
              <w:bottom w:w="0" w:type="dxa"/>
              <w:right w:w="108" w:type="dxa"/>
            </w:tcMar>
            <w:vAlign w:val="center"/>
          </w:tcPr>
          <w:p w14:paraId="4D46119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5</w:t>
            </w:r>
          </w:p>
        </w:tc>
        <w:tc>
          <w:tcPr>
            <w:tcW w:w="902" w:type="pct"/>
            <w:tcBorders>
              <w:top w:val="nil"/>
              <w:left w:val="nil"/>
              <w:bottom w:val="nil"/>
              <w:right w:val="nil"/>
            </w:tcBorders>
            <w:tcMar>
              <w:top w:w="0" w:type="dxa"/>
              <w:left w:w="108" w:type="dxa"/>
              <w:bottom w:w="0" w:type="dxa"/>
              <w:right w:w="108" w:type="dxa"/>
            </w:tcMar>
            <w:vAlign w:val="center"/>
          </w:tcPr>
          <w:p w14:paraId="141E45F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1.8575±0.0339</w:t>
            </w:r>
          </w:p>
        </w:tc>
        <w:tc>
          <w:tcPr>
            <w:tcW w:w="456" w:type="pct"/>
            <w:tcBorders>
              <w:top w:val="nil"/>
              <w:left w:val="nil"/>
              <w:bottom w:val="nil"/>
              <w:right w:val="nil"/>
            </w:tcBorders>
            <w:vAlign w:val="center"/>
          </w:tcPr>
          <w:p w14:paraId="686E1833"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0.888</w:t>
            </w:r>
          </w:p>
        </w:tc>
        <w:tc>
          <w:tcPr>
            <w:tcW w:w="902" w:type="pct"/>
            <w:tcBorders>
              <w:top w:val="nil"/>
              <w:left w:val="nil"/>
              <w:bottom w:val="nil"/>
              <w:right w:val="nil"/>
            </w:tcBorders>
            <w:tcMar>
              <w:top w:w="0" w:type="dxa"/>
              <w:left w:w="108" w:type="dxa"/>
              <w:bottom w:w="0" w:type="dxa"/>
              <w:right w:w="108" w:type="dxa"/>
            </w:tcMar>
            <w:vAlign w:val="center"/>
          </w:tcPr>
          <w:p w14:paraId="62A33AB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0.4447±0.0206</w:t>
            </w:r>
          </w:p>
        </w:tc>
        <w:tc>
          <w:tcPr>
            <w:tcW w:w="902" w:type="pct"/>
            <w:tcBorders>
              <w:top w:val="nil"/>
              <w:left w:val="nil"/>
              <w:bottom w:val="nil"/>
              <w:right w:val="nil"/>
            </w:tcBorders>
            <w:tcMar>
              <w:top w:w="0" w:type="dxa"/>
              <w:left w:w="108" w:type="dxa"/>
              <w:bottom w:w="0" w:type="dxa"/>
              <w:right w:w="108" w:type="dxa"/>
            </w:tcMar>
            <w:vAlign w:val="center"/>
          </w:tcPr>
          <w:p w14:paraId="2B103E5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1.3963±0.0277</w:t>
            </w:r>
          </w:p>
        </w:tc>
        <w:tc>
          <w:tcPr>
            <w:tcW w:w="521" w:type="pct"/>
            <w:tcBorders>
              <w:top w:val="nil"/>
              <w:left w:val="nil"/>
              <w:bottom w:val="nil"/>
              <w:right w:val="nil"/>
            </w:tcBorders>
            <w:tcMar>
              <w:top w:w="0" w:type="dxa"/>
              <w:left w:w="108" w:type="dxa"/>
              <w:bottom w:w="0" w:type="dxa"/>
              <w:right w:w="108" w:type="dxa"/>
            </w:tcMar>
            <w:vAlign w:val="center"/>
          </w:tcPr>
          <w:p w14:paraId="2933A057"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23.9</w:t>
            </w:r>
          </w:p>
        </w:tc>
      </w:tr>
      <w:tr w:rsidR="00F25550" w:rsidRPr="002A3438" w14:paraId="7CE2157B"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1DA44ED8"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T4</w:t>
            </w:r>
          </w:p>
        </w:tc>
        <w:tc>
          <w:tcPr>
            <w:tcW w:w="824" w:type="pct"/>
            <w:tcBorders>
              <w:top w:val="nil"/>
              <w:left w:val="nil"/>
              <w:bottom w:val="nil"/>
              <w:right w:val="nil"/>
            </w:tcBorders>
            <w:tcMar>
              <w:top w:w="0" w:type="dxa"/>
              <w:left w:w="108" w:type="dxa"/>
              <w:bottom w:w="0" w:type="dxa"/>
              <w:right w:w="108" w:type="dxa"/>
            </w:tcMar>
            <w:vAlign w:val="center"/>
          </w:tcPr>
          <w:p w14:paraId="43717A9A"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 x 10</w:t>
            </w:r>
            <w:r w:rsidRPr="002A3438">
              <w:rPr>
                <w:rStyle w:val="translated-span"/>
                <w:rFonts w:ascii="Times New Roman" w:hAnsi="Times New Roman" w:cs="Times New Roman"/>
                <w:sz w:val="22"/>
                <w:szCs w:val="22"/>
                <w:vertAlign w:val="superscript"/>
              </w:rPr>
              <w:t>6</w:t>
            </w:r>
          </w:p>
        </w:tc>
        <w:tc>
          <w:tcPr>
            <w:tcW w:w="902" w:type="pct"/>
            <w:tcBorders>
              <w:top w:val="nil"/>
              <w:left w:val="nil"/>
              <w:bottom w:val="nil"/>
              <w:right w:val="nil"/>
            </w:tcBorders>
            <w:tcMar>
              <w:top w:w="0" w:type="dxa"/>
              <w:left w:w="108" w:type="dxa"/>
              <w:bottom w:w="0" w:type="dxa"/>
              <w:right w:w="108" w:type="dxa"/>
            </w:tcMar>
            <w:vAlign w:val="center"/>
          </w:tcPr>
          <w:p w14:paraId="7379406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2.0469±0.0355</w:t>
            </w:r>
          </w:p>
        </w:tc>
        <w:tc>
          <w:tcPr>
            <w:tcW w:w="456" w:type="pct"/>
            <w:tcBorders>
              <w:top w:val="nil"/>
              <w:left w:val="nil"/>
              <w:bottom w:val="nil"/>
              <w:right w:val="nil"/>
            </w:tcBorders>
            <w:vAlign w:val="center"/>
          </w:tcPr>
          <w:p w14:paraId="0DA7D2A9"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0.018</w:t>
            </w:r>
          </w:p>
        </w:tc>
        <w:tc>
          <w:tcPr>
            <w:tcW w:w="902" w:type="pct"/>
            <w:tcBorders>
              <w:top w:val="nil"/>
              <w:left w:val="nil"/>
              <w:bottom w:val="nil"/>
              <w:right w:val="nil"/>
            </w:tcBorders>
            <w:tcMar>
              <w:top w:w="0" w:type="dxa"/>
              <w:left w:w="108" w:type="dxa"/>
              <w:bottom w:w="0" w:type="dxa"/>
              <w:right w:w="108" w:type="dxa"/>
            </w:tcMar>
            <w:vAlign w:val="center"/>
          </w:tcPr>
          <w:p w14:paraId="7A4955F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0.4803±0.0132</w:t>
            </w:r>
          </w:p>
        </w:tc>
        <w:tc>
          <w:tcPr>
            <w:tcW w:w="902" w:type="pct"/>
            <w:tcBorders>
              <w:top w:val="nil"/>
              <w:left w:val="nil"/>
              <w:bottom w:val="nil"/>
              <w:right w:val="nil"/>
            </w:tcBorders>
            <w:tcMar>
              <w:top w:w="0" w:type="dxa"/>
              <w:left w:w="108" w:type="dxa"/>
              <w:bottom w:w="0" w:type="dxa"/>
              <w:right w:w="108" w:type="dxa"/>
            </w:tcMar>
            <w:vAlign w:val="center"/>
          </w:tcPr>
          <w:p w14:paraId="6A73C3E3"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1.5594±0.0273</w:t>
            </w:r>
          </w:p>
        </w:tc>
        <w:tc>
          <w:tcPr>
            <w:tcW w:w="521" w:type="pct"/>
            <w:tcBorders>
              <w:top w:val="nil"/>
              <w:left w:val="nil"/>
              <w:bottom w:val="nil"/>
              <w:right w:val="nil"/>
            </w:tcBorders>
            <w:tcMar>
              <w:top w:w="0" w:type="dxa"/>
              <w:left w:w="108" w:type="dxa"/>
              <w:bottom w:w="0" w:type="dxa"/>
              <w:right w:w="108" w:type="dxa"/>
            </w:tcMar>
            <w:vAlign w:val="center"/>
          </w:tcPr>
          <w:p w14:paraId="762ECFAD"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23.5</w:t>
            </w:r>
          </w:p>
        </w:tc>
      </w:tr>
      <w:tr w:rsidR="00F25550" w:rsidRPr="002A3438" w14:paraId="5F4B698A" w14:textId="77777777">
        <w:trPr>
          <w:trHeight w:val="433"/>
          <w:jc w:val="center"/>
        </w:trPr>
        <w:tc>
          <w:tcPr>
            <w:tcW w:w="492" w:type="pct"/>
            <w:tcBorders>
              <w:top w:val="nil"/>
              <w:left w:val="nil"/>
              <w:bottom w:val="single" w:sz="4" w:space="0" w:color="auto"/>
              <w:right w:val="nil"/>
            </w:tcBorders>
            <w:tcMar>
              <w:top w:w="0" w:type="dxa"/>
              <w:left w:w="108" w:type="dxa"/>
              <w:bottom w:w="0" w:type="dxa"/>
              <w:right w:w="108" w:type="dxa"/>
            </w:tcMar>
            <w:vAlign w:val="center"/>
          </w:tcPr>
          <w:p w14:paraId="085F16C8"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T5</w:t>
            </w:r>
          </w:p>
        </w:tc>
        <w:tc>
          <w:tcPr>
            <w:tcW w:w="824" w:type="pct"/>
            <w:tcBorders>
              <w:top w:val="nil"/>
              <w:left w:val="nil"/>
              <w:bottom w:val="single" w:sz="4" w:space="0" w:color="auto"/>
              <w:right w:val="nil"/>
            </w:tcBorders>
            <w:tcMar>
              <w:top w:w="0" w:type="dxa"/>
              <w:left w:w="108" w:type="dxa"/>
              <w:bottom w:w="0" w:type="dxa"/>
              <w:right w:w="108" w:type="dxa"/>
            </w:tcMar>
            <w:vAlign w:val="center"/>
          </w:tcPr>
          <w:p w14:paraId="42F9BD50"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6</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01E08AEC"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456" w:type="pct"/>
            <w:tcBorders>
              <w:top w:val="nil"/>
              <w:left w:val="nil"/>
              <w:bottom w:val="single" w:sz="4" w:space="0" w:color="auto"/>
              <w:right w:val="nil"/>
            </w:tcBorders>
            <w:vAlign w:val="center"/>
          </w:tcPr>
          <w:p w14:paraId="1E3E1F95"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504E522D"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67B357EB"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521" w:type="pct"/>
            <w:tcBorders>
              <w:top w:val="nil"/>
              <w:left w:val="nil"/>
              <w:bottom w:val="single" w:sz="4" w:space="0" w:color="auto"/>
              <w:right w:val="nil"/>
            </w:tcBorders>
            <w:tcMar>
              <w:top w:w="0" w:type="dxa"/>
              <w:left w:w="108" w:type="dxa"/>
              <w:bottom w:w="0" w:type="dxa"/>
              <w:right w:w="108" w:type="dxa"/>
            </w:tcMar>
            <w:vAlign w:val="center"/>
          </w:tcPr>
          <w:p w14:paraId="6640CED3"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r>
    </w:tbl>
    <w:p w14:paraId="6B1CBAC2" w14:textId="77777777" w:rsidR="00F25550" w:rsidRPr="00BB66D8" w:rsidRDefault="00F3504C">
      <w:pPr>
        <w:rPr>
          <w:rStyle w:val="translated-span"/>
          <w:rFonts w:ascii="Times New Roman" w:eastAsia="STZhongsong" w:hAnsi="Times New Roman" w:cs="Times New Roman"/>
          <w:sz w:val="18"/>
          <w:szCs w:val="18"/>
        </w:rPr>
      </w:pPr>
      <w:r w:rsidRPr="00BB66D8">
        <w:rPr>
          <w:rStyle w:val="translated-span"/>
          <w:rFonts w:ascii="Times New Roman" w:eastAsia="STZhongsong" w:hAnsi="Times New Roman" w:cs="Times New Roman"/>
          <w:sz w:val="18"/>
          <w:szCs w:val="18"/>
        </w:rPr>
        <w:t>Cocoon layer rate: the percentage of cocoon layer amount to the whole cocoon amount of bare cocoon.</w:t>
      </w:r>
    </w:p>
    <w:p w14:paraId="48358655" w14:textId="77777777" w:rsidR="00F25550" w:rsidRDefault="00F3504C">
      <w:r>
        <w:rPr>
          <w:noProof/>
          <w:lang w:eastAsia="en-US"/>
        </w:rPr>
        <w:drawing>
          <wp:inline distT="0" distB="0" distL="0" distR="0" wp14:anchorId="7291E663" wp14:editId="62406BCF">
            <wp:extent cx="4994275" cy="2511425"/>
            <wp:effectExtent l="0" t="0" r="15875" b="3175"/>
            <wp:docPr id="2" name="Picture 2" descr="C:\Users\LENOVO\Downloads\Grap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NOVO\Downloads\Graph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94734" cy="2511720"/>
                    </a:xfrm>
                    <a:prstGeom prst="rect">
                      <a:avLst/>
                    </a:prstGeom>
                    <a:noFill/>
                    <a:ln>
                      <a:noFill/>
                    </a:ln>
                  </pic:spPr>
                </pic:pic>
              </a:graphicData>
            </a:graphic>
          </wp:inline>
        </w:drawing>
      </w:r>
    </w:p>
    <w:p w14:paraId="486F4D69" w14:textId="77777777" w:rsidR="00F25550" w:rsidRDefault="00F3504C">
      <w:pPr>
        <w:jc w:val="center"/>
        <w:rPr>
          <w:rFonts w:ascii="Times New Roman" w:hAnsi="Times New Roman" w:cs="Times New Roman"/>
          <w:b/>
          <w:bCs/>
        </w:rPr>
      </w:pPr>
      <w:r>
        <w:rPr>
          <w:rFonts w:ascii="Times New Roman" w:hAnsi="Times New Roman" w:cs="Times New Roman"/>
          <w:b/>
          <w:bCs/>
        </w:rPr>
        <w:t xml:space="preserve">Figure 3. Effects of </w:t>
      </w:r>
      <w:proofErr w:type="spellStart"/>
      <w:r w:rsidRPr="00884552">
        <w:rPr>
          <w:rFonts w:ascii="Times New Roman" w:hAnsi="Times New Roman" w:cs="Times New Roman"/>
          <w:b/>
          <w:bCs/>
          <w:i/>
          <w:iCs/>
        </w:rPr>
        <w:t>Bt</w:t>
      </w:r>
      <w:proofErr w:type="spellEnd"/>
      <w:r>
        <w:rPr>
          <w:rFonts w:ascii="Times New Roman" w:hAnsi="Times New Roman" w:cs="Times New Roman"/>
          <w:b/>
          <w:bCs/>
        </w:rPr>
        <w:t xml:space="preserve"> on cocoon and pupal traits.</w:t>
      </w:r>
    </w:p>
    <w:p w14:paraId="380E793D" w14:textId="77777777" w:rsidR="00481BD7" w:rsidRDefault="00481BD7">
      <w:pPr>
        <w:jc w:val="center"/>
        <w:rPr>
          <w:rFonts w:ascii="Times New Roman" w:hAnsi="Times New Roman" w:cs="Times New Roman"/>
          <w:b/>
          <w:bCs/>
        </w:rPr>
      </w:pPr>
    </w:p>
    <w:p w14:paraId="70F98983"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lastRenderedPageBreak/>
        <w:t xml:space="preserve">Effect of </w:t>
      </w:r>
      <w:proofErr w:type="spellStart"/>
      <w:r w:rsidRPr="00884552">
        <w:rPr>
          <w:rFonts w:ascii="Times New Roman" w:hAnsi="Times New Roman" w:cs="Times New Roman"/>
          <w:b/>
          <w:bCs/>
          <w:i/>
          <w:iCs/>
        </w:rPr>
        <w:t>Bt</w:t>
      </w:r>
      <w:proofErr w:type="spellEnd"/>
      <w:r>
        <w:rPr>
          <w:rFonts w:ascii="Times New Roman" w:hAnsi="Times New Roman" w:cs="Times New Roman"/>
          <w:b/>
          <w:bCs/>
        </w:rPr>
        <w:t xml:space="preserve"> on Pupal Weight and Cocoon Weight</w:t>
      </w:r>
    </w:p>
    <w:p w14:paraId="08613451" w14:textId="624242EF" w:rsidR="00937630" w:rsidRPr="00A86981" w:rsidRDefault="00F3504C" w:rsidP="00481BD7">
      <w:pPr>
        <w:rPr>
          <w:rFonts w:ascii="Times New Roman" w:hAnsi="Times New Roman" w:cs="Times New Roman"/>
          <w:szCs w:val="21"/>
        </w:rPr>
      </w:pPr>
      <w:r>
        <w:rPr>
          <w:rFonts w:ascii="Times New Roman" w:hAnsi="Times New Roman" w:cs="Times New Roman"/>
        </w:rPr>
        <w:t>Compared to CK1, CK2 showed no significant differences in cocoon weight, cocoon shell weight, or pupal weight (P = 0.736, 0.857, and 0.674, respectively). Pupal weight was significantly lower at 3.16 × 10⁴ CFU/m</w:t>
      </w:r>
      <w:r w:rsidR="00D53AFC">
        <w:rPr>
          <w:rFonts w:ascii="Times New Roman" w:hAnsi="Times New Roman" w:cs="Times New Roman"/>
        </w:rPr>
        <w:t>L</w:t>
      </w:r>
      <w:r>
        <w:rPr>
          <w:rFonts w:ascii="Times New Roman" w:hAnsi="Times New Roman" w:cs="Times New Roman"/>
        </w:rPr>
        <w:t xml:space="preserve"> (P = 0.021). No significant differences were observed at 1 × 10⁵ or 3.16 × 10⁵ CFU/</w:t>
      </w:r>
      <w:proofErr w:type="spellStart"/>
      <w:r>
        <w:rPr>
          <w:rFonts w:ascii="Times New Roman" w:hAnsi="Times New Roman" w:cs="Times New Roman"/>
        </w:rPr>
        <w:t>m</w:t>
      </w:r>
      <w:r w:rsidR="00D53AFC">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At 1 × 10⁶ CFU/m</w:t>
      </w:r>
      <w:r w:rsidR="00884552">
        <w:rPr>
          <w:rFonts w:ascii="Times New Roman" w:hAnsi="Times New Roman" w:cs="Times New Roman"/>
        </w:rPr>
        <w:t>l</w:t>
      </w:r>
      <w:r>
        <w:rPr>
          <w:rFonts w:ascii="Times New Roman" w:hAnsi="Times New Roman" w:cs="Times New Roman"/>
        </w:rPr>
        <w:t>, cocoon weight, shell weight, and pupal weight were significantly higher (P = 0.018, 0.037, and 0.040, respectively). No data were available for 3.16 × 10⁶ CFU/m</w:t>
      </w:r>
      <w:r w:rsidR="00D53AFC">
        <w:rPr>
          <w:rFonts w:ascii="Times New Roman" w:hAnsi="Times New Roman" w:cs="Times New Roman"/>
        </w:rPr>
        <w:t>L</w:t>
      </w:r>
      <w:r>
        <w:rPr>
          <w:rFonts w:ascii="Times New Roman" w:hAnsi="Times New Roman" w:cs="Times New Roman"/>
        </w:rPr>
        <w:t xml:space="preserve"> (Table </w:t>
      </w:r>
      <w:r>
        <w:rPr>
          <w:rFonts w:ascii="Times New Roman" w:hAnsi="Times New Roman" w:cs="Times New Roman" w:hint="eastAsia"/>
        </w:rPr>
        <w:t>5</w:t>
      </w:r>
      <w:r>
        <w:rPr>
          <w:rFonts w:ascii="Times New Roman" w:hAnsi="Times New Roman" w:cs="Times New Roman"/>
        </w:rPr>
        <w:t>).</w:t>
      </w:r>
      <w:r w:rsidR="00937630">
        <w:rPr>
          <w:rFonts w:ascii="Times New Roman" w:hAnsi="Times New Roman" w:cs="Times New Roman"/>
        </w:rPr>
        <w:t xml:space="preserve"> </w:t>
      </w:r>
      <w:r w:rsidR="00937630" w:rsidRPr="002D7444">
        <w:rPr>
          <w:rFonts w:ascii="Times New Roman" w:hAnsi="Times New Roman" w:cs="Times New Roman"/>
          <w:sz w:val="20"/>
          <w:szCs w:val="20"/>
        </w:rPr>
        <w:t xml:space="preserve">Sublethal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exposure has been shown to reduce pupal weight over time, potentially enhancing resistance in species like </w:t>
      </w:r>
      <w:proofErr w:type="spellStart"/>
      <w:r w:rsidR="00937630" w:rsidRPr="002D7444">
        <w:rPr>
          <w:rFonts w:ascii="Times New Roman" w:hAnsi="Times New Roman" w:cs="Times New Roman"/>
          <w:i/>
          <w:iCs/>
          <w:sz w:val="20"/>
          <w:szCs w:val="20"/>
        </w:rPr>
        <w:t>Helicoverpa</w:t>
      </w:r>
      <w:proofErr w:type="spellEnd"/>
      <w:r w:rsidR="00937630" w:rsidRPr="002D7444">
        <w:rPr>
          <w:rFonts w:ascii="Times New Roman" w:hAnsi="Times New Roman" w:cs="Times New Roman"/>
          <w:i/>
          <w:iCs/>
          <w:sz w:val="20"/>
          <w:szCs w:val="20"/>
        </w:rPr>
        <w:t xml:space="preserve"> </w:t>
      </w:r>
      <w:proofErr w:type="spellStart"/>
      <w:r w:rsidR="00937630" w:rsidRPr="002D7444">
        <w:rPr>
          <w:rFonts w:ascii="Times New Roman" w:hAnsi="Times New Roman" w:cs="Times New Roman"/>
          <w:i/>
          <w:iCs/>
          <w:sz w:val="20"/>
          <w:szCs w:val="20"/>
        </w:rPr>
        <w:t>zea</w:t>
      </w:r>
      <w:proofErr w:type="spellEnd"/>
      <w:r w:rsidR="00937630" w:rsidRPr="002D7444">
        <w:rPr>
          <w:rFonts w:ascii="Times New Roman" w:hAnsi="Times New Roman" w:cs="Times New Roman"/>
          <w:sz w:val="20"/>
          <w:szCs w:val="20"/>
        </w:rPr>
        <w:t xml:space="preserve"> (Reay-Jones et al., 2020; Bryant et al., 2024). However, such reductions did not affect fecundity or egg viability in </w:t>
      </w:r>
      <w:r w:rsidR="00937630" w:rsidRPr="002D7444">
        <w:rPr>
          <w:rFonts w:ascii="Times New Roman" w:hAnsi="Times New Roman" w:cs="Times New Roman"/>
          <w:i/>
          <w:iCs/>
          <w:sz w:val="20"/>
          <w:szCs w:val="20"/>
        </w:rPr>
        <w:t xml:space="preserve">H. </w:t>
      </w:r>
      <w:proofErr w:type="spellStart"/>
      <w:r w:rsidR="00937630" w:rsidRPr="002D7444">
        <w:rPr>
          <w:rFonts w:ascii="Times New Roman" w:hAnsi="Times New Roman" w:cs="Times New Roman"/>
          <w:i/>
          <w:iCs/>
          <w:sz w:val="20"/>
          <w:szCs w:val="20"/>
        </w:rPr>
        <w:t>zea</w:t>
      </w:r>
      <w:proofErr w:type="spellEnd"/>
      <w:r w:rsidR="00937630" w:rsidRPr="002D7444">
        <w:rPr>
          <w:rFonts w:ascii="Times New Roman" w:hAnsi="Times New Roman" w:cs="Times New Roman"/>
          <w:sz w:val="20"/>
          <w:szCs w:val="20"/>
        </w:rPr>
        <w:t xml:space="preserve"> (Bilbo et al., 2019), indicating that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may impair larval development without significantly impacting reproductive success. Several studies have provided evidence that insects are capable of initiating both humoral and cellular immune responses in order to mitigate the detrimental effects caused by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exposure (</w:t>
      </w:r>
      <w:proofErr w:type="spellStart"/>
      <w:r w:rsidR="00937630" w:rsidRPr="002D7444">
        <w:rPr>
          <w:rFonts w:ascii="Times New Roman" w:hAnsi="Times New Roman" w:cs="Times New Roman"/>
          <w:sz w:val="20"/>
          <w:szCs w:val="20"/>
        </w:rPr>
        <w:t>Grizanova</w:t>
      </w:r>
      <w:proofErr w:type="spellEnd"/>
      <w:r w:rsidR="00937630" w:rsidRPr="002D7444">
        <w:rPr>
          <w:rFonts w:ascii="Times New Roman" w:hAnsi="Times New Roman" w:cs="Times New Roman"/>
          <w:sz w:val="20"/>
          <w:szCs w:val="20"/>
        </w:rPr>
        <w:t xml:space="preserve"> et al., 2014; Li et al., 2018; Rahman et al., 2004</w:t>
      </w:r>
      <w:r w:rsidR="00937630" w:rsidRPr="00A86981">
        <w:rPr>
          <w:rFonts w:ascii="Times New Roman" w:hAnsi="Times New Roman" w:cs="Times New Roman"/>
          <w:szCs w:val="21"/>
        </w:rPr>
        <w:t>).</w:t>
      </w:r>
      <w:r w:rsidR="00B44248" w:rsidRPr="00A86981">
        <w:rPr>
          <w:rFonts w:ascii="Times New Roman" w:hAnsi="Times New Roman" w:cs="Times New Roman"/>
          <w:szCs w:val="21"/>
        </w:rPr>
        <w:t xml:space="preserve"> </w:t>
      </w:r>
      <w:r w:rsidR="00B44248" w:rsidRPr="004147F6">
        <w:rPr>
          <w:rFonts w:ascii="Times New Roman" w:hAnsi="Times New Roman" w:cs="Times New Roman"/>
          <w:szCs w:val="21"/>
        </w:rPr>
        <w:t xml:space="preserve">This finding is consistent with the observations of Gabriel de Carvalho et al. (2025), who found that </w:t>
      </w:r>
      <w:proofErr w:type="spellStart"/>
      <w:r w:rsidR="00B44248" w:rsidRPr="004147F6">
        <w:rPr>
          <w:rFonts w:ascii="Times New Roman" w:hAnsi="Times New Roman" w:cs="Times New Roman"/>
          <w:szCs w:val="21"/>
        </w:rPr>
        <w:t>Bti</w:t>
      </w:r>
      <w:proofErr w:type="spellEnd"/>
      <w:r w:rsidR="00B44248" w:rsidRPr="004147F6">
        <w:rPr>
          <w:rFonts w:ascii="Times New Roman" w:hAnsi="Times New Roman" w:cs="Times New Roman"/>
          <w:szCs w:val="21"/>
        </w:rPr>
        <w:t xml:space="preserve"> treatments can elicit compensatory effects that boost the fitness of surviving individuals and shift population dynamics. Similarly, Gándara et al. (2024) observed that more than half of agrochemicals can alter insect physiology and behavior even at sublethal doses. Such sublethal stimulations, often described as </w:t>
      </w:r>
      <w:proofErr w:type="spellStart"/>
      <w:r w:rsidR="00B44248" w:rsidRPr="004147F6">
        <w:rPr>
          <w:rFonts w:ascii="Times New Roman" w:hAnsi="Times New Roman" w:cs="Times New Roman"/>
          <w:szCs w:val="21"/>
        </w:rPr>
        <w:t>hormetic</w:t>
      </w:r>
      <w:proofErr w:type="spellEnd"/>
      <w:r w:rsidR="00B44248" w:rsidRPr="004147F6">
        <w:rPr>
          <w:rFonts w:ascii="Times New Roman" w:hAnsi="Times New Roman" w:cs="Times New Roman"/>
          <w:szCs w:val="21"/>
        </w:rPr>
        <w:t xml:space="preserve"> effects, can impact key traits like respiration and reproductive capacity (</w:t>
      </w:r>
      <w:proofErr w:type="spellStart"/>
      <w:r w:rsidR="00B44248" w:rsidRPr="004147F6">
        <w:rPr>
          <w:rFonts w:ascii="Times New Roman" w:hAnsi="Times New Roman" w:cs="Times New Roman"/>
          <w:szCs w:val="21"/>
        </w:rPr>
        <w:t>Agathokleous</w:t>
      </w:r>
      <w:proofErr w:type="spellEnd"/>
      <w:r w:rsidR="00B44248" w:rsidRPr="004147F6">
        <w:rPr>
          <w:rFonts w:ascii="Times New Roman" w:hAnsi="Times New Roman" w:cs="Times New Roman"/>
          <w:szCs w:val="21"/>
        </w:rPr>
        <w:t xml:space="preserve"> et al., 2023).</w:t>
      </w:r>
    </w:p>
    <w:p w14:paraId="301D54A9" w14:textId="1420B00A" w:rsidR="00F25550" w:rsidRDefault="00F25550">
      <w:pPr>
        <w:ind w:firstLineChars="100" w:firstLine="210"/>
        <w:rPr>
          <w:rFonts w:ascii="Times New Roman" w:hAnsi="Times New Roman" w:cs="Times New Roman"/>
        </w:rPr>
      </w:pPr>
    </w:p>
    <w:p w14:paraId="7045AAC9" w14:textId="0A86E0D0" w:rsidR="00F25550" w:rsidRPr="00417804" w:rsidRDefault="00F3504C">
      <w:pPr>
        <w:pStyle w:val="Heading1"/>
        <w:spacing w:before="0" w:line="360" w:lineRule="auto"/>
        <w:jc w:val="center"/>
        <w:rPr>
          <w:rFonts w:ascii="Times New Roman" w:eastAsiaTheme="minorEastAsia" w:hAnsi="Times New Roman" w:cs="Times New Roman"/>
          <w:b/>
          <w:bCs/>
          <w:color w:val="auto"/>
          <w:sz w:val="21"/>
          <w:szCs w:val="24"/>
        </w:rPr>
      </w:pPr>
      <w:r w:rsidRPr="00417804">
        <w:rPr>
          <w:rFonts w:ascii="Times New Roman" w:eastAsiaTheme="minorEastAsia" w:hAnsi="Times New Roman" w:cs="Times New Roman"/>
          <w:b/>
          <w:bCs/>
          <w:color w:val="auto"/>
          <w:sz w:val="21"/>
          <w:szCs w:val="24"/>
        </w:rPr>
        <w:t xml:space="preserve">Table </w:t>
      </w:r>
      <w:r w:rsidR="00066FE0">
        <w:rPr>
          <w:rFonts w:ascii="Times New Roman" w:eastAsiaTheme="minorEastAsia" w:hAnsi="Times New Roman" w:cs="Times New Roman"/>
          <w:b/>
          <w:bCs/>
          <w:color w:val="auto"/>
          <w:sz w:val="21"/>
          <w:szCs w:val="24"/>
        </w:rPr>
        <w:t>5</w:t>
      </w:r>
      <w:r w:rsidRPr="00417804">
        <w:rPr>
          <w:rFonts w:ascii="Times New Roman" w:eastAsiaTheme="minorEastAsia" w:hAnsi="Times New Roman" w:cs="Times New Roman"/>
          <w:b/>
          <w:bCs/>
          <w:color w:val="auto"/>
          <w:sz w:val="21"/>
          <w:szCs w:val="24"/>
        </w:rPr>
        <w:t xml:space="preserve">. Effect of </w:t>
      </w:r>
      <w:r w:rsidR="00417804" w:rsidRPr="00417804">
        <w:rPr>
          <w:rFonts w:ascii="Times New Roman" w:hAnsi="Times New Roman" w:cs="Times New Roman"/>
          <w:b/>
          <w:bCs/>
          <w:i/>
          <w:iCs/>
          <w:color w:val="auto"/>
          <w:sz w:val="22"/>
          <w:szCs w:val="22"/>
        </w:rPr>
        <w:t>Bacillus thuringiensis</w:t>
      </w:r>
      <w:r w:rsidRPr="00417804">
        <w:rPr>
          <w:rFonts w:ascii="Times New Roman" w:eastAsiaTheme="minorEastAsia" w:hAnsi="Times New Roman" w:cs="Times New Roman"/>
          <w:b/>
          <w:bCs/>
          <w:color w:val="auto"/>
          <w:sz w:val="21"/>
          <w:szCs w:val="24"/>
        </w:rPr>
        <w:t xml:space="preserve"> on the pupal weight and cocoon weight</w:t>
      </w:r>
    </w:p>
    <w:p w14:paraId="1CB8D6F0" w14:textId="77777777" w:rsidR="004E5175" w:rsidRPr="00417804" w:rsidRDefault="004E5175" w:rsidP="004E5175">
      <w:pPr>
        <w:rPr>
          <w:b/>
          <w:bCs/>
        </w:rPr>
      </w:pPr>
    </w:p>
    <w:tbl>
      <w:tblPr>
        <w:tblW w:w="5000" w:type="pct"/>
        <w:jc w:val="center"/>
        <w:tblCellMar>
          <w:left w:w="0" w:type="dxa"/>
          <w:right w:w="0" w:type="dxa"/>
        </w:tblCellMar>
        <w:tblLook w:val="04A0" w:firstRow="1" w:lastRow="0" w:firstColumn="1" w:lastColumn="0" w:noHBand="0" w:noVBand="1"/>
      </w:tblPr>
      <w:tblGrid>
        <w:gridCol w:w="1075"/>
        <w:gridCol w:w="1782"/>
        <w:gridCol w:w="1960"/>
        <w:gridCol w:w="1761"/>
        <w:gridCol w:w="1728"/>
      </w:tblGrid>
      <w:tr w:rsidR="00F25550" w:rsidRPr="00481BD7" w14:paraId="5C769F99" w14:textId="77777777">
        <w:trPr>
          <w:trHeight w:val="465"/>
          <w:jc w:val="center"/>
        </w:trPr>
        <w:tc>
          <w:tcPr>
            <w:tcW w:w="647" w:type="pct"/>
            <w:vMerge w:val="restart"/>
            <w:tcBorders>
              <w:top w:val="single" w:sz="4" w:space="0" w:color="auto"/>
            </w:tcBorders>
            <w:tcMar>
              <w:top w:w="0" w:type="dxa"/>
              <w:left w:w="108" w:type="dxa"/>
              <w:bottom w:w="0" w:type="dxa"/>
              <w:right w:w="108" w:type="dxa"/>
            </w:tcMar>
            <w:vAlign w:val="center"/>
          </w:tcPr>
          <w:p w14:paraId="3BB5E797"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Handle</w:t>
            </w:r>
          </w:p>
        </w:tc>
        <w:tc>
          <w:tcPr>
            <w:tcW w:w="1073" w:type="pct"/>
            <w:vMerge w:val="restart"/>
            <w:tcBorders>
              <w:top w:val="single" w:sz="4" w:space="0" w:color="auto"/>
            </w:tcBorders>
            <w:tcMar>
              <w:top w:w="0" w:type="dxa"/>
              <w:left w:w="108" w:type="dxa"/>
              <w:bottom w:w="0" w:type="dxa"/>
              <w:right w:w="108" w:type="dxa"/>
            </w:tcMar>
            <w:vAlign w:val="center"/>
          </w:tcPr>
          <w:p w14:paraId="4C826E63" w14:textId="1AB73719" w:rsidR="00F25550" w:rsidRPr="00481BD7" w:rsidRDefault="00417804">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w:t>
            </w:r>
            <w:r w:rsidR="00F3504C" w:rsidRPr="00481BD7">
              <w:rPr>
                <w:rStyle w:val="translated-span"/>
                <w:rFonts w:ascii="Times New Roman" w:eastAsia="STZhongsong" w:hAnsi="Times New Roman" w:cs="Times New Roman"/>
                <w:b/>
                <w:bCs/>
                <w:szCs w:val="21"/>
              </w:rPr>
              <w:t>oncentration</w:t>
            </w:r>
          </w:p>
          <w:p w14:paraId="42D1A056"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CFU/mL</w:t>
            </w:r>
          </w:p>
        </w:tc>
        <w:tc>
          <w:tcPr>
            <w:tcW w:w="3280" w:type="pct"/>
            <w:gridSpan w:val="3"/>
            <w:tcBorders>
              <w:top w:val="single" w:sz="4" w:space="0" w:color="auto"/>
              <w:bottom w:val="single" w:sz="4" w:space="0" w:color="auto"/>
            </w:tcBorders>
            <w:tcMar>
              <w:top w:w="0" w:type="dxa"/>
              <w:left w:w="108" w:type="dxa"/>
              <w:bottom w:w="0" w:type="dxa"/>
              <w:right w:w="108" w:type="dxa"/>
            </w:tcMar>
            <w:vAlign w:val="center"/>
          </w:tcPr>
          <w:p w14:paraId="7F00CAF2" w14:textId="2F7E4EB6"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i/>
                <w:iCs/>
                <w:szCs w:val="21"/>
              </w:rPr>
              <w:t xml:space="preserve">P </w:t>
            </w:r>
            <w:r w:rsidRPr="00481BD7">
              <w:rPr>
                <w:rStyle w:val="translated-span"/>
                <w:rFonts w:ascii="Times New Roman" w:hAnsi="Times New Roman" w:cs="Times New Roman"/>
                <w:b/>
                <w:bCs/>
                <w:szCs w:val="21"/>
              </w:rPr>
              <w:t>value *</w:t>
            </w:r>
          </w:p>
        </w:tc>
      </w:tr>
      <w:tr w:rsidR="00F25550" w:rsidRPr="00481BD7" w14:paraId="7BEA53BC" w14:textId="77777777">
        <w:trPr>
          <w:trHeight w:val="465"/>
          <w:jc w:val="center"/>
        </w:trPr>
        <w:tc>
          <w:tcPr>
            <w:tcW w:w="647" w:type="pct"/>
            <w:vMerge/>
            <w:tcBorders>
              <w:bottom w:val="single" w:sz="4" w:space="0" w:color="auto"/>
            </w:tcBorders>
            <w:vAlign w:val="center"/>
          </w:tcPr>
          <w:p w14:paraId="4DD589D2" w14:textId="77777777" w:rsidR="00F25550" w:rsidRPr="00481BD7" w:rsidRDefault="00F25550">
            <w:pPr>
              <w:rPr>
                <w:rFonts w:ascii="Times New Roman" w:hAnsi="Times New Roman" w:cs="Times New Roman"/>
                <w:szCs w:val="21"/>
              </w:rPr>
            </w:pPr>
          </w:p>
        </w:tc>
        <w:tc>
          <w:tcPr>
            <w:tcW w:w="1073" w:type="pct"/>
            <w:vMerge/>
            <w:tcBorders>
              <w:bottom w:val="single" w:sz="4" w:space="0" w:color="auto"/>
            </w:tcBorders>
            <w:vAlign w:val="center"/>
          </w:tcPr>
          <w:p w14:paraId="141523F2" w14:textId="77777777" w:rsidR="00F25550" w:rsidRPr="00481BD7" w:rsidRDefault="00F25550">
            <w:pPr>
              <w:rPr>
                <w:rFonts w:ascii="Times New Roman" w:hAnsi="Times New Roman" w:cs="Times New Roman"/>
                <w:szCs w:val="21"/>
              </w:rPr>
            </w:pPr>
          </w:p>
        </w:tc>
        <w:tc>
          <w:tcPr>
            <w:tcW w:w="1180" w:type="pct"/>
            <w:tcBorders>
              <w:top w:val="single" w:sz="4" w:space="0" w:color="auto"/>
              <w:bottom w:val="single" w:sz="4" w:space="0" w:color="auto"/>
            </w:tcBorders>
            <w:tcMar>
              <w:top w:w="0" w:type="dxa"/>
              <w:left w:w="108" w:type="dxa"/>
              <w:bottom w:w="0" w:type="dxa"/>
              <w:right w:w="108" w:type="dxa"/>
            </w:tcMar>
            <w:vAlign w:val="center"/>
          </w:tcPr>
          <w:p w14:paraId="0A10A88D"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Cocoon weight</w:t>
            </w:r>
          </w:p>
        </w:tc>
        <w:tc>
          <w:tcPr>
            <w:tcW w:w="1060" w:type="pct"/>
            <w:tcBorders>
              <w:top w:val="single" w:sz="4" w:space="0" w:color="auto"/>
              <w:bottom w:val="single" w:sz="4" w:space="0" w:color="auto"/>
            </w:tcBorders>
            <w:tcMar>
              <w:top w:w="0" w:type="dxa"/>
              <w:left w:w="108" w:type="dxa"/>
              <w:bottom w:w="0" w:type="dxa"/>
              <w:right w:w="108" w:type="dxa"/>
            </w:tcMar>
            <w:vAlign w:val="center"/>
          </w:tcPr>
          <w:p w14:paraId="3C1ECE17"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Cocoon layer</w:t>
            </w:r>
          </w:p>
        </w:tc>
        <w:tc>
          <w:tcPr>
            <w:tcW w:w="1041" w:type="pct"/>
            <w:tcBorders>
              <w:top w:val="single" w:sz="4" w:space="0" w:color="auto"/>
              <w:bottom w:val="single" w:sz="4" w:space="0" w:color="auto"/>
            </w:tcBorders>
            <w:tcMar>
              <w:top w:w="0" w:type="dxa"/>
              <w:left w:w="108" w:type="dxa"/>
              <w:bottom w:w="0" w:type="dxa"/>
              <w:right w:w="108" w:type="dxa"/>
            </w:tcMar>
            <w:vAlign w:val="center"/>
          </w:tcPr>
          <w:p w14:paraId="04D509EC"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Pupal weight</w:t>
            </w:r>
          </w:p>
        </w:tc>
      </w:tr>
      <w:tr w:rsidR="00F25550" w:rsidRPr="00481BD7" w14:paraId="26C645AA" w14:textId="77777777">
        <w:trPr>
          <w:trHeight w:val="433"/>
          <w:jc w:val="center"/>
        </w:trPr>
        <w:tc>
          <w:tcPr>
            <w:tcW w:w="647" w:type="pct"/>
            <w:tcBorders>
              <w:top w:val="single" w:sz="4" w:space="0" w:color="auto"/>
            </w:tcBorders>
            <w:tcMar>
              <w:top w:w="0" w:type="dxa"/>
              <w:left w:w="108" w:type="dxa"/>
              <w:bottom w:w="0" w:type="dxa"/>
              <w:right w:w="108" w:type="dxa"/>
            </w:tcMar>
            <w:vAlign w:val="center"/>
          </w:tcPr>
          <w:p w14:paraId="679B4B8E"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lang w:val="en-GB"/>
              </w:rPr>
              <w:t>CK1</w:t>
            </w:r>
          </w:p>
        </w:tc>
        <w:tc>
          <w:tcPr>
            <w:tcW w:w="1073" w:type="pct"/>
            <w:tcBorders>
              <w:top w:val="single" w:sz="4" w:space="0" w:color="auto"/>
            </w:tcBorders>
            <w:tcMar>
              <w:top w:w="0" w:type="dxa"/>
              <w:left w:w="108" w:type="dxa"/>
              <w:bottom w:w="0" w:type="dxa"/>
              <w:right w:w="108" w:type="dxa"/>
            </w:tcMar>
            <w:vAlign w:val="center"/>
          </w:tcPr>
          <w:p w14:paraId="4BAE74F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180" w:type="pct"/>
            <w:tcBorders>
              <w:top w:val="single" w:sz="4" w:space="0" w:color="auto"/>
            </w:tcBorders>
            <w:tcMar>
              <w:top w:w="0" w:type="dxa"/>
              <w:left w:w="108" w:type="dxa"/>
              <w:bottom w:w="0" w:type="dxa"/>
              <w:right w:w="108" w:type="dxa"/>
            </w:tcMar>
            <w:vAlign w:val="center"/>
          </w:tcPr>
          <w:p w14:paraId="7EC9A3D5"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c>
          <w:tcPr>
            <w:tcW w:w="1060" w:type="pct"/>
            <w:tcBorders>
              <w:top w:val="single" w:sz="4" w:space="0" w:color="auto"/>
            </w:tcBorders>
            <w:tcMar>
              <w:top w:w="0" w:type="dxa"/>
              <w:left w:w="108" w:type="dxa"/>
              <w:bottom w:w="0" w:type="dxa"/>
              <w:right w:w="108" w:type="dxa"/>
            </w:tcMar>
            <w:vAlign w:val="center"/>
          </w:tcPr>
          <w:p w14:paraId="189F118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c>
          <w:tcPr>
            <w:tcW w:w="1041" w:type="pct"/>
            <w:tcBorders>
              <w:top w:val="single" w:sz="4" w:space="0" w:color="auto"/>
            </w:tcBorders>
            <w:tcMar>
              <w:top w:w="0" w:type="dxa"/>
              <w:left w:w="108" w:type="dxa"/>
              <w:bottom w:w="0" w:type="dxa"/>
              <w:right w:w="108" w:type="dxa"/>
            </w:tcMar>
            <w:vAlign w:val="center"/>
          </w:tcPr>
          <w:p w14:paraId="296F1D5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r>
      <w:tr w:rsidR="00F25550" w:rsidRPr="00481BD7" w14:paraId="46B3A90A" w14:textId="77777777">
        <w:trPr>
          <w:trHeight w:val="433"/>
          <w:jc w:val="center"/>
        </w:trPr>
        <w:tc>
          <w:tcPr>
            <w:tcW w:w="647" w:type="pct"/>
            <w:tcMar>
              <w:top w:w="0" w:type="dxa"/>
              <w:left w:w="108" w:type="dxa"/>
              <w:bottom w:w="0" w:type="dxa"/>
              <w:right w:w="108" w:type="dxa"/>
            </w:tcMar>
            <w:vAlign w:val="center"/>
          </w:tcPr>
          <w:p w14:paraId="1F6B4C2C"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lang w:val="en-GB"/>
              </w:rPr>
              <w:t>CK2</w:t>
            </w:r>
          </w:p>
        </w:tc>
        <w:tc>
          <w:tcPr>
            <w:tcW w:w="1073" w:type="pct"/>
            <w:tcMar>
              <w:top w:w="0" w:type="dxa"/>
              <w:left w:w="108" w:type="dxa"/>
              <w:bottom w:w="0" w:type="dxa"/>
              <w:right w:w="108" w:type="dxa"/>
            </w:tcMar>
            <w:vAlign w:val="center"/>
          </w:tcPr>
          <w:p w14:paraId="7255FD69"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180" w:type="pct"/>
            <w:tcMar>
              <w:top w:w="0" w:type="dxa"/>
              <w:left w:w="108" w:type="dxa"/>
              <w:bottom w:w="0" w:type="dxa"/>
              <w:right w:w="108" w:type="dxa"/>
            </w:tcMar>
            <w:vAlign w:val="center"/>
          </w:tcPr>
          <w:p w14:paraId="67E7A5A5"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0.736</w:t>
            </w:r>
          </w:p>
        </w:tc>
        <w:tc>
          <w:tcPr>
            <w:tcW w:w="1060" w:type="pct"/>
            <w:tcMar>
              <w:top w:w="0" w:type="dxa"/>
              <w:left w:w="108" w:type="dxa"/>
              <w:bottom w:w="0" w:type="dxa"/>
              <w:right w:w="108" w:type="dxa"/>
            </w:tcMar>
            <w:vAlign w:val="center"/>
          </w:tcPr>
          <w:p w14:paraId="3CCA989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0.857</w:t>
            </w:r>
          </w:p>
        </w:tc>
        <w:tc>
          <w:tcPr>
            <w:tcW w:w="1041" w:type="pct"/>
            <w:tcMar>
              <w:top w:w="0" w:type="dxa"/>
              <w:left w:w="108" w:type="dxa"/>
              <w:bottom w:w="0" w:type="dxa"/>
              <w:right w:w="108" w:type="dxa"/>
            </w:tcMar>
            <w:vAlign w:val="center"/>
          </w:tcPr>
          <w:p w14:paraId="434B9C3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0.674</w:t>
            </w:r>
          </w:p>
        </w:tc>
      </w:tr>
      <w:tr w:rsidR="00F25550" w:rsidRPr="00481BD7" w14:paraId="0E12511D" w14:textId="77777777">
        <w:trPr>
          <w:trHeight w:val="433"/>
          <w:jc w:val="center"/>
        </w:trPr>
        <w:tc>
          <w:tcPr>
            <w:tcW w:w="647" w:type="pct"/>
            <w:tcMar>
              <w:top w:w="0" w:type="dxa"/>
              <w:left w:w="108" w:type="dxa"/>
              <w:bottom w:w="0" w:type="dxa"/>
              <w:right w:w="108" w:type="dxa"/>
            </w:tcMar>
            <w:vAlign w:val="center"/>
          </w:tcPr>
          <w:p w14:paraId="7568C909"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T1</w:t>
            </w:r>
          </w:p>
        </w:tc>
        <w:tc>
          <w:tcPr>
            <w:tcW w:w="1073" w:type="pct"/>
            <w:tcMar>
              <w:top w:w="0" w:type="dxa"/>
              <w:left w:w="108" w:type="dxa"/>
              <w:bottom w:w="0" w:type="dxa"/>
              <w:right w:w="108" w:type="dxa"/>
            </w:tcMar>
            <w:vAlign w:val="center"/>
          </w:tcPr>
          <w:p w14:paraId="4FF54765"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4</w:t>
            </w:r>
          </w:p>
        </w:tc>
        <w:tc>
          <w:tcPr>
            <w:tcW w:w="1180" w:type="pct"/>
            <w:tcMar>
              <w:top w:w="0" w:type="dxa"/>
              <w:left w:w="108" w:type="dxa"/>
              <w:bottom w:w="0" w:type="dxa"/>
              <w:right w:w="108" w:type="dxa"/>
            </w:tcMar>
            <w:vAlign w:val="center"/>
          </w:tcPr>
          <w:p w14:paraId="0FC0C18A"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0.068</w:t>
            </w:r>
          </w:p>
        </w:tc>
        <w:tc>
          <w:tcPr>
            <w:tcW w:w="1060" w:type="pct"/>
            <w:tcMar>
              <w:top w:w="0" w:type="dxa"/>
              <w:left w:w="108" w:type="dxa"/>
              <w:bottom w:w="0" w:type="dxa"/>
              <w:right w:w="108" w:type="dxa"/>
            </w:tcMar>
            <w:vAlign w:val="center"/>
          </w:tcPr>
          <w:p w14:paraId="70CD886C"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0.917</w:t>
            </w:r>
          </w:p>
        </w:tc>
        <w:tc>
          <w:tcPr>
            <w:tcW w:w="1041" w:type="pct"/>
            <w:tcMar>
              <w:top w:w="0" w:type="dxa"/>
              <w:left w:w="108" w:type="dxa"/>
              <w:bottom w:w="0" w:type="dxa"/>
              <w:right w:w="108" w:type="dxa"/>
            </w:tcMar>
            <w:vAlign w:val="center"/>
          </w:tcPr>
          <w:p w14:paraId="17F78768"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0.021</w:t>
            </w:r>
          </w:p>
        </w:tc>
      </w:tr>
      <w:tr w:rsidR="00F25550" w:rsidRPr="00481BD7" w14:paraId="0E8AF62C" w14:textId="77777777">
        <w:trPr>
          <w:trHeight w:val="433"/>
          <w:jc w:val="center"/>
        </w:trPr>
        <w:tc>
          <w:tcPr>
            <w:tcW w:w="647" w:type="pct"/>
            <w:tcMar>
              <w:top w:w="0" w:type="dxa"/>
              <w:left w:w="108" w:type="dxa"/>
              <w:bottom w:w="0" w:type="dxa"/>
              <w:right w:w="108" w:type="dxa"/>
            </w:tcMar>
            <w:vAlign w:val="center"/>
          </w:tcPr>
          <w:p w14:paraId="6FBE7F14"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T2</w:t>
            </w:r>
          </w:p>
        </w:tc>
        <w:tc>
          <w:tcPr>
            <w:tcW w:w="1073" w:type="pct"/>
            <w:tcMar>
              <w:top w:w="0" w:type="dxa"/>
              <w:left w:w="108" w:type="dxa"/>
              <w:bottom w:w="0" w:type="dxa"/>
              <w:right w:w="108" w:type="dxa"/>
            </w:tcMar>
            <w:vAlign w:val="center"/>
          </w:tcPr>
          <w:p w14:paraId="7A1E0F48"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1 x 10</w:t>
            </w:r>
            <w:r w:rsidRPr="00481BD7">
              <w:rPr>
                <w:rStyle w:val="translated-span"/>
                <w:rFonts w:ascii="Times New Roman" w:hAnsi="Times New Roman" w:cs="Times New Roman"/>
                <w:szCs w:val="21"/>
                <w:vertAlign w:val="superscript"/>
              </w:rPr>
              <w:t>5</w:t>
            </w:r>
          </w:p>
        </w:tc>
        <w:tc>
          <w:tcPr>
            <w:tcW w:w="1180" w:type="pct"/>
            <w:tcMar>
              <w:top w:w="0" w:type="dxa"/>
              <w:left w:w="108" w:type="dxa"/>
              <w:bottom w:w="0" w:type="dxa"/>
              <w:right w:w="108" w:type="dxa"/>
            </w:tcMar>
            <w:vAlign w:val="center"/>
          </w:tcPr>
          <w:p w14:paraId="6E3D4872"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0.277</w:t>
            </w:r>
          </w:p>
        </w:tc>
        <w:tc>
          <w:tcPr>
            <w:tcW w:w="1060" w:type="pct"/>
            <w:tcMar>
              <w:top w:w="0" w:type="dxa"/>
              <w:left w:w="108" w:type="dxa"/>
              <w:bottom w:w="0" w:type="dxa"/>
              <w:right w:w="108" w:type="dxa"/>
            </w:tcMar>
            <w:vAlign w:val="center"/>
          </w:tcPr>
          <w:p w14:paraId="40113107"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0.370</w:t>
            </w:r>
          </w:p>
        </w:tc>
        <w:tc>
          <w:tcPr>
            <w:tcW w:w="1041" w:type="pct"/>
            <w:tcMar>
              <w:top w:w="0" w:type="dxa"/>
              <w:left w:w="108" w:type="dxa"/>
              <w:bottom w:w="0" w:type="dxa"/>
              <w:right w:w="108" w:type="dxa"/>
            </w:tcMar>
            <w:vAlign w:val="center"/>
          </w:tcPr>
          <w:p w14:paraId="6E92BDDF"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0.369</w:t>
            </w:r>
          </w:p>
        </w:tc>
      </w:tr>
      <w:tr w:rsidR="00F25550" w:rsidRPr="00481BD7" w14:paraId="31B3397E" w14:textId="77777777">
        <w:trPr>
          <w:trHeight w:val="433"/>
          <w:jc w:val="center"/>
        </w:trPr>
        <w:tc>
          <w:tcPr>
            <w:tcW w:w="647" w:type="pct"/>
            <w:tcMar>
              <w:top w:w="0" w:type="dxa"/>
              <w:left w:w="108" w:type="dxa"/>
              <w:bottom w:w="0" w:type="dxa"/>
              <w:right w:w="108" w:type="dxa"/>
            </w:tcMar>
            <w:vAlign w:val="center"/>
          </w:tcPr>
          <w:p w14:paraId="0412A7AA"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T3</w:t>
            </w:r>
          </w:p>
        </w:tc>
        <w:tc>
          <w:tcPr>
            <w:tcW w:w="1073" w:type="pct"/>
            <w:tcMar>
              <w:top w:w="0" w:type="dxa"/>
              <w:left w:w="108" w:type="dxa"/>
              <w:bottom w:w="0" w:type="dxa"/>
              <w:right w:w="108" w:type="dxa"/>
            </w:tcMar>
            <w:vAlign w:val="center"/>
          </w:tcPr>
          <w:p w14:paraId="5AB6E8A4"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5</w:t>
            </w:r>
          </w:p>
        </w:tc>
        <w:tc>
          <w:tcPr>
            <w:tcW w:w="1180" w:type="pct"/>
            <w:tcMar>
              <w:top w:w="0" w:type="dxa"/>
              <w:left w:w="108" w:type="dxa"/>
              <w:bottom w:w="0" w:type="dxa"/>
              <w:right w:w="108" w:type="dxa"/>
            </w:tcMar>
            <w:vAlign w:val="center"/>
          </w:tcPr>
          <w:p w14:paraId="3607CB26"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0.888</w:t>
            </w:r>
          </w:p>
        </w:tc>
        <w:tc>
          <w:tcPr>
            <w:tcW w:w="1060" w:type="pct"/>
            <w:tcMar>
              <w:top w:w="0" w:type="dxa"/>
              <w:left w:w="108" w:type="dxa"/>
              <w:bottom w:w="0" w:type="dxa"/>
              <w:right w:w="108" w:type="dxa"/>
            </w:tcMar>
            <w:vAlign w:val="center"/>
          </w:tcPr>
          <w:p w14:paraId="64093609"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0.386</w:t>
            </w:r>
          </w:p>
        </w:tc>
        <w:tc>
          <w:tcPr>
            <w:tcW w:w="1041" w:type="pct"/>
            <w:tcMar>
              <w:top w:w="0" w:type="dxa"/>
              <w:left w:w="108" w:type="dxa"/>
              <w:bottom w:w="0" w:type="dxa"/>
              <w:right w:w="108" w:type="dxa"/>
            </w:tcMar>
            <w:vAlign w:val="center"/>
          </w:tcPr>
          <w:p w14:paraId="506AF12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0.953</w:t>
            </w:r>
          </w:p>
        </w:tc>
      </w:tr>
      <w:tr w:rsidR="00F25550" w:rsidRPr="00481BD7" w14:paraId="717013CA" w14:textId="77777777">
        <w:trPr>
          <w:trHeight w:val="433"/>
          <w:jc w:val="center"/>
        </w:trPr>
        <w:tc>
          <w:tcPr>
            <w:tcW w:w="647" w:type="pct"/>
            <w:tcMar>
              <w:top w:w="0" w:type="dxa"/>
              <w:left w:w="108" w:type="dxa"/>
              <w:bottom w:w="0" w:type="dxa"/>
              <w:right w:w="108" w:type="dxa"/>
            </w:tcMar>
            <w:vAlign w:val="center"/>
          </w:tcPr>
          <w:p w14:paraId="43B17110"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T4</w:t>
            </w:r>
          </w:p>
        </w:tc>
        <w:tc>
          <w:tcPr>
            <w:tcW w:w="1073" w:type="pct"/>
            <w:tcMar>
              <w:top w:w="0" w:type="dxa"/>
              <w:left w:w="108" w:type="dxa"/>
              <w:bottom w:w="0" w:type="dxa"/>
              <w:right w:w="108" w:type="dxa"/>
            </w:tcMar>
            <w:vAlign w:val="center"/>
          </w:tcPr>
          <w:p w14:paraId="094B47EF"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1 x 10</w:t>
            </w:r>
            <w:r w:rsidRPr="00481BD7">
              <w:rPr>
                <w:rStyle w:val="translated-span"/>
                <w:rFonts w:ascii="Times New Roman" w:hAnsi="Times New Roman" w:cs="Times New Roman"/>
                <w:szCs w:val="21"/>
                <w:vertAlign w:val="superscript"/>
              </w:rPr>
              <w:t>6</w:t>
            </w:r>
          </w:p>
        </w:tc>
        <w:tc>
          <w:tcPr>
            <w:tcW w:w="1180" w:type="pct"/>
            <w:tcMar>
              <w:top w:w="0" w:type="dxa"/>
              <w:left w:w="108" w:type="dxa"/>
              <w:bottom w:w="0" w:type="dxa"/>
              <w:right w:w="108" w:type="dxa"/>
            </w:tcMar>
            <w:vAlign w:val="center"/>
          </w:tcPr>
          <w:p w14:paraId="28135C7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0.018</w:t>
            </w:r>
          </w:p>
        </w:tc>
        <w:tc>
          <w:tcPr>
            <w:tcW w:w="1060" w:type="pct"/>
            <w:tcMar>
              <w:top w:w="0" w:type="dxa"/>
              <w:left w:w="108" w:type="dxa"/>
              <w:bottom w:w="0" w:type="dxa"/>
              <w:right w:w="108" w:type="dxa"/>
            </w:tcMar>
            <w:vAlign w:val="center"/>
          </w:tcPr>
          <w:p w14:paraId="09CFF7E3"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0.037</w:t>
            </w:r>
          </w:p>
        </w:tc>
        <w:tc>
          <w:tcPr>
            <w:tcW w:w="1041" w:type="pct"/>
            <w:tcMar>
              <w:top w:w="0" w:type="dxa"/>
              <w:left w:w="108" w:type="dxa"/>
              <w:bottom w:w="0" w:type="dxa"/>
              <w:right w:w="108" w:type="dxa"/>
            </w:tcMar>
            <w:vAlign w:val="center"/>
          </w:tcPr>
          <w:p w14:paraId="0A657617"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0.040</w:t>
            </w:r>
          </w:p>
        </w:tc>
      </w:tr>
      <w:tr w:rsidR="00F25550" w:rsidRPr="00481BD7" w14:paraId="6EC04042" w14:textId="77777777">
        <w:trPr>
          <w:trHeight w:val="433"/>
          <w:jc w:val="center"/>
        </w:trPr>
        <w:tc>
          <w:tcPr>
            <w:tcW w:w="647" w:type="pct"/>
            <w:tcBorders>
              <w:bottom w:val="single" w:sz="4" w:space="0" w:color="auto"/>
            </w:tcBorders>
            <w:tcMar>
              <w:top w:w="0" w:type="dxa"/>
              <w:left w:w="108" w:type="dxa"/>
              <w:bottom w:w="0" w:type="dxa"/>
              <w:right w:w="108" w:type="dxa"/>
            </w:tcMar>
            <w:vAlign w:val="center"/>
          </w:tcPr>
          <w:p w14:paraId="73B41880"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T5</w:t>
            </w:r>
          </w:p>
        </w:tc>
        <w:tc>
          <w:tcPr>
            <w:tcW w:w="1073" w:type="pct"/>
            <w:tcBorders>
              <w:bottom w:val="single" w:sz="4" w:space="0" w:color="auto"/>
            </w:tcBorders>
            <w:tcMar>
              <w:top w:w="0" w:type="dxa"/>
              <w:left w:w="108" w:type="dxa"/>
              <w:bottom w:w="0" w:type="dxa"/>
              <w:right w:w="108" w:type="dxa"/>
            </w:tcMar>
            <w:vAlign w:val="center"/>
          </w:tcPr>
          <w:p w14:paraId="5F1CEAE6"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6</w:t>
            </w:r>
          </w:p>
        </w:tc>
        <w:tc>
          <w:tcPr>
            <w:tcW w:w="1180" w:type="pct"/>
            <w:tcBorders>
              <w:bottom w:val="single" w:sz="4" w:space="0" w:color="auto"/>
            </w:tcBorders>
            <w:tcMar>
              <w:top w:w="0" w:type="dxa"/>
              <w:left w:w="108" w:type="dxa"/>
              <w:bottom w:w="0" w:type="dxa"/>
              <w:right w:w="108" w:type="dxa"/>
            </w:tcMar>
            <w:vAlign w:val="center"/>
          </w:tcPr>
          <w:p w14:paraId="736C51E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060" w:type="pct"/>
            <w:tcBorders>
              <w:bottom w:val="single" w:sz="4" w:space="0" w:color="auto"/>
            </w:tcBorders>
            <w:tcMar>
              <w:top w:w="0" w:type="dxa"/>
              <w:left w:w="108" w:type="dxa"/>
              <w:bottom w:w="0" w:type="dxa"/>
              <w:right w:w="108" w:type="dxa"/>
            </w:tcMar>
            <w:vAlign w:val="center"/>
          </w:tcPr>
          <w:p w14:paraId="1D8E9DF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041" w:type="pct"/>
            <w:tcBorders>
              <w:bottom w:val="single" w:sz="4" w:space="0" w:color="auto"/>
            </w:tcBorders>
            <w:tcMar>
              <w:top w:w="0" w:type="dxa"/>
              <w:left w:w="108" w:type="dxa"/>
              <w:bottom w:w="0" w:type="dxa"/>
              <w:right w:w="108" w:type="dxa"/>
            </w:tcMar>
            <w:vAlign w:val="center"/>
          </w:tcPr>
          <w:p w14:paraId="034E528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r>
    </w:tbl>
    <w:p w14:paraId="606E078F" w14:textId="77777777" w:rsidR="00F25550" w:rsidRPr="0024143B" w:rsidRDefault="00F3504C">
      <w:pPr>
        <w:spacing w:line="360" w:lineRule="auto"/>
        <w:rPr>
          <w:rFonts w:ascii="Times New Roman" w:hAnsi="Times New Roman" w:cs="Times New Roman"/>
          <w:sz w:val="18"/>
          <w:szCs w:val="18"/>
        </w:rPr>
      </w:pPr>
      <w:r w:rsidRPr="0024143B">
        <w:rPr>
          <w:rStyle w:val="translated-span"/>
          <w:rFonts w:ascii="Times New Roman" w:hAnsi="Times New Roman" w:cs="Times New Roman"/>
          <w:sz w:val="18"/>
          <w:szCs w:val="18"/>
        </w:rPr>
        <w:t>*One way ANOVA (LSD test α = 0.05)</w:t>
      </w:r>
      <w:r w:rsidRPr="0024143B">
        <w:rPr>
          <w:rFonts w:ascii="Times New Roman" w:hAnsi="Times New Roman" w:cs="Times New Roman"/>
          <w:sz w:val="18"/>
          <w:szCs w:val="18"/>
        </w:rPr>
        <w:t xml:space="preserve"> </w:t>
      </w:r>
    </w:p>
    <w:p w14:paraId="7824D2C9"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Pathogenicity Symptoms</w:t>
      </w:r>
    </w:p>
    <w:p w14:paraId="1E1F6337" w14:textId="2E3E0A76" w:rsidR="00FC30C3" w:rsidRPr="002D7444" w:rsidRDefault="00E177A1" w:rsidP="005E50BC">
      <w:pPr>
        <w:rPr>
          <w:rFonts w:ascii="Charis SIL" w:hAnsi="Charis SIL" w:cs="Charis SIL"/>
          <w:color w:val="000000"/>
          <w:kern w:val="0"/>
          <w:sz w:val="20"/>
          <w:szCs w:val="20"/>
          <w:lang w:bidi="my-MM"/>
          <w14:ligatures w14:val="standardContextual"/>
        </w:rPr>
      </w:pPr>
      <w:bookmarkStart w:id="3" w:name="OLE_LINK14"/>
      <w:r w:rsidRPr="00E177A1">
        <w:rPr>
          <w:rFonts w:ascii="Times New Roman" w:hAnsi="Times New Roman" w:cs="Times New Roman"/>
        </w:rPr>
        <w:t xml:space="preserve">Silkworms exposed to the isolated </w:t>
      </w:r>
      <w:r w:rsidRPr="00E177A1">
        <w:rPr>
          <w:rFonts w:ascii="Times New Roman" w:hAnsi="Times New Roman" w:cs="Times New Roman"/>
          <w:i/>
          <w:iCs/>
        </w:rPr>
        <w:t>Bacillus thuringiensis</w:t>
      </w:r>
      <w:r w:rsidRPr="00E177A1">
        <w:rPr>
          <w:rFonts w:ascii="Times New Roman" w:hAnsi="Times New Roman" w:cs="Times New Roman"/>
        </w:rPr>
        <w:t xml:space="preserve"> strains exhibited typical infection symptoms, including lateral recumbency, body rigidity, tissue degradation, and the presence of an unpleasant odor. These manifestations were consistent with those caused by the reference </w:t>
      </w:r>
      <w:proofErr w:type="spellStart"/>
      <w:r w:rsidRPr="00720A2D">
        <w:rPr>
          <w:rFonts w:ascii="Times New Roman" w:hAnsi="Times New Roman" w:cs="Times New Roman"/>
          <w:i/>
          <w:iCs/>
        </w:rPr>
        <w:t>Bt</w:t>
      </w:r>
      <w:proofErr w:type="spellEnd"/>
      <w:r w:rsidRPr="00E177A1">
        <w:rPr>
          <w:rFonts w:ascii="Times New Roman" w:hAnsi="Times New Roman" w:cs="Times New Roman"/>
        </w:rPr>
        <w:t xml:space="preserve"> strain, indicating that the isolates retained pathogenic activity toward silkworms. Detailed phenotypic observations are provided in Figure S</w:t>
      </w:r>
      <w:r w:rsidRPr="00E177A1">
        <w:rPr>
          <w:rFonts w:ascii="Times New Roman" w:hAnsi="Times New Roman" w:cs="Times New Roman" w:hint="eastAsia"/>
        </w:rPr>
        <w:t>1</w:t>
      </w:r>
      <w:r w:rsidRPr="00E177A1">
        <w:rPr>
          <w:rFonts w:ascii="Times New Roman" w:hAnsi="Times New Roman" w:cs="Times New Roman"/>
        </w:rPr>
        <w:t>.</w:t>
      </w:r>
      <w:bookmarkEnd w:id="3"/>
      <w:r>
        <w:rPr>
          <w:rFonts w:ascii="Times New Roman" w:hAnsi="Times New Roman" w:cs="Times New Roman" w:hint="eastAsia"/>
        </w:rPr>
        <w:t xml:space="preserve"> </w:t>
      </w:r>
      <w:r w:rsidR="00FC30C3" w:rsidRPr="00E177A1">
        <w:rPr>
          <w:rFonts w:ascii="Times New Roman" w:hAnsi="Times New Roman" w:cs="Times New Roman"/>
        </w:rPr>
        <w:t>Cry1F t</w:t>
      </w:r>
      <w:r w:rsidR="00FC30C3" w:rsidRPr="002D7444">
        <w:rPr>
          <w:rFonts w:ascii="Times New Roman" w:hAnsi="Times New Roman" w:cs="Times New Roman"/>
          <w:sz w:val="20"/>
          <w:szCs w:val="20"/>
        </w:rPr>
        <w:t xml:space="preserve">reatment at 100 </w:t>
      </w:r>
      <w:proofErr w:type="spellStart"/>
      <w:r w:rsidR="00FC30C3" w:rsidRPr="002D7444">
        <w:rPr>
          <w:rFonts w:ascii="Times New Roman" w:hAnsi="Times New Roman" w:cs="Times New Roman"/>
          <w:sz w:val="20"/>
          <w:szCs w:val="20"/>
        </w:rPr>
        <w:t>μg</w:t>
      </w:r>
      <w:proofErr w:type="spellEnd"/>
      <w:r w:rsidR="00FC30C3" w:rsidRPr="002D7444">
        <w:rPr>
          <w:rFonts w:ascii="Times New Roman" w:hAnsi="Times New Roman" w:cs="Times New Roman"/>
          <w:sz w:val="20"/>
          <w:szCs w:val="20"/>
        </w:rPr>
        <w:t xml:space="preserve">/mL mulberry leaves feeding raised detrimental effects in fifth-instar silkworms, such as reduced feeding, head shaking, and brown excretions, with the most severe impact; microscopic examination showed Cry1F-induced damage to the </w:t>
      </w:r>
      <w:r w:rsidR="00FC30C3" w:rsidRPr="002D7444">
        <w:rPr>
          <w:rFonts w:ascii="Times New Roman" w:hAnsi="Times New Roman" w:cs="Times New Roman"/>
          <w:sz w:val="20"/>
          <w:szCs w:val="20"/>
        </w:rPr>
        <w:lastRenderedPageBreak/>
        <w:t xml:space="preserve">midgut structure (Xu et al., 2023). The midgut serves as the primary tissue targeted by the </w:t>
      </w:r>
      <w:proofErr w:type="spellStart"/>
      <w:r w:rsidR="00FC30C3" w:rsidRPr="002D7444">
        <w:rPr>
          <w:rFonts w:ascii="Times New Roman" w:hAnsi="Times New Roman" w:cs="Times New Roman"/>
          <w:i/>
          <w:iCs/>
          <w:sz w:val="20"/>
          <w:szCs w:val="20"/>
        </w:rPr>
        <w:t>Bt</w:t>
      </w:r>
      <w:proofErr w:type="spellEnd"/>
      <w:r w:rsidR="00FC30C3" w:rsidRPr="002D7444">
        <w:rPr>
          <w:rFonts w:ascii="Times New Roman" w:hAnsi="Times New Roman" w:cs="Times New Roman"/>
          <w:sz w:val="20"/>
          <w:szCs w:val="20"/>
        </w:rPr>
        <w:t xml:space="preserve"> toxin. By binding to specific receptors situated on the brush border membrane of the midgut, the </w:t>
      </w:r>
      <w:proofErr w:type="spellStart"/>
      <w:r w:rsidR="00FC30C3" w:rsidRPr="002D7444">
        <w:rPr>
          <w:rFonts w:ascii="Times New Roman" w:hAnsi="Times New Roman" w:cs="Times New Roman"/>
          <w:i/>
          <w:iCs/>
          <w:sz w:val="20"/>
          <w:szCs w:val="20"/>
        </w:rPr>
        <w:t>Bt</w:t>
      </w:r>
      <w:proofErr w:type="spellEnd"/>
      <w:r w:rsidR="00FC30C3" w:rsidRPr="002D7444">
        <w:rPr>
          <w:rFonts w:ascii="Times New Roman" w:hAnsi="Times New Roman" w:cs="Times New Roman"/>
          <w:sz w:val="20"/>
          <w:szCs w:val="20"/>
        </w:rPr>
        <w:t xml:space="preserve"> toxin triggers pore formation (Bravo et al., 2011; Pardo-</w:t>
      </w:r>
      <w:proofErr w:type="spellStart"/>
      <w:r w:rsidR="00FC30C3" w:rsidRPr="002D7444">
        <w:rPr>
          <w:rFonts w:ascii="Times New Roman" w:hAnsi="Times New Roman" w:cs="Times New Roman"/>
          <w:sz w:val="20"/>
          <w:szCs w:val="20"/>
        </w:rPr>
        <w:t>L´opez</w:t>
      </w:r>
      <w:proofErr w:type="spellEnd"/>
      <w:r w:rsidR="00FC30C3" w:rsidRPr="002D7444">
        <w:rPr>
          <w:rFonts w:ascii="Times New Roman" w:hAnsi="Times New Roman" w:cs="Times New Roman"/>
          <w:sz w:val="20"/>
          <w:szCs w:val="20"/>
        </w:rPr>
        <w:t xml:space="preserve"> et al., 2013). This mechanism ultimately results in the disruption of normal physiological functions and subsequent larvae mortality.</w:t>
      </w:r>
      <w:r w:rsidR="00FC30C3" w:rsidRPr="002D7444">
        <w:rPr>
          <w:rFonts w:ascii="Charis SIL" w:hAnsi="Charis SIL" w:cs="Charis SIL"/>
          <w:color w:val="000000"/>
          <w:kern w:val="0"/>
          <w:sz w:val="20"/>
          <w:szCs w:val="20"/>
          <w:lang w:bidi="my-MM"/>
          <w14:ligatures w14:val="standardContextual"/>
        </w:rPr>
        <w:t xml:space="preserve"> </w:t>
      </w:r>
    </w:p>
    <w:p w14:paraId="75A64083" w14:textId="5B5716BD" w:rsidR="005E50BC" w:rsidRPr="005E50BC" w:rsidRDefault="00F3504C" w:rsidP="005E50B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Conclusion</w:t>
      </w:r>
    </w:p>
    <w:p w14:paraId="7690821B" w14:textId="109248AD" w:rsidR="00720A2D" w:rsidRDefault="005E50BC" w:rsidP="005E50BC">
      <w:pPr>
        <w:rPr>
          <w:rFonts w:ascii="Times New Roman" w:hAnsi="Times New Roman" w:cs="Times New Roman"/>
        </w:rPr>
      </w:pPr>
      <w:r>
        <w:rPr>
          <w:rFonts w:ascii="Times New Roman" w:hAnsi="Times New Roman" w:cs="Times New Roman" w:hint="eastAsia"/>
        </w:rPr>
        <w:t>T</w:t>
      </w:r>
      <w:r w:rsidRPr="002D7444">
        <w:rPr>
          <w:rFonts w:ascii="Times New Roman" w:hAnsi="Times New Roman" w:cs="Times New Roman"/>
        </w:rPr>
        <w:t xml:space="preserve">his study demonstrates the dose-dependent toxicity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to silkworm larvae, consistent with previous research. Symptoms were exclusive to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-treated groups, confirming the specificity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pathogenicity. Higher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led to more severe symptoms, including softening, rotting, blackening, and shrinkage, indicating a direct concentration-dependent effect. Increased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resulted in higher mortality, particularly in early instars, with the highest concentration (3.16 × 10⁶ CFU/mL) causing 76% mortality on the first day. The LC₅₀ of 4.48 × 10⁵ CFU/mL further confirms the high toxicity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at elevated concentrations. While high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increased mortality, they also reduced cocoon yield and pupation rates. The decline in cocoon and pupal weights at high concentrations aligns with findings in other species, highlighting broader ecological concerns. Interestingly, lower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increased cocoon shell rates, suggesting a possible compensatory response at sublethal doses, a phenomenon warranting further study.</w:t>
      </w:r>
      <w:r>
        <w:rPr>
          <w:rFonts w:ascii="Times New Roman" w:hAnsi="Times New Roman" w:cs="Times New Roman" w:hint="eastAsia"/>
        </w:rPr>
        <w:t xml:space="preserve"> </w:t>
      </w:r>
      <w:r w:rsidR="00720A2D">
        <w:rPr>
          <w:rFonts w:ascii="Times New Roman" w:hAnsi="Times New Roman" w:cs="Times New Roman"/>
        </w:rPr>
        <w:t xml:space="preserve">This study contributes to the growing evidence on the complex interactions between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 xml:space="preserve"> concentrations and silkworm physiology. The results underscore the importance of carefully managing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 xml:space="preserve"> applications in silkworm rearing to mitigate adverse effects on larval development and overall production. </w:t>
      </w:r>
      <w:r w:rsidR="00F7607A" w:rsidRPr="009F739B">
        <w:rPr>
          <w:rFonts w:ascii="Times New Roman" w:hAnsi="Times New Roman" w:cs="Times New Roman"/>
        </w:rPr>
        <w:t xml:space="preserve">These findings highlight a critical need for enhanced technical training and awareness initiatives among silkworm </w:t>
      </w:r>
      <w:proofErr w:type="spellStart"/>
      <w:r w:rsidR="00F7607A" w:rsidRPr="009F739B">
        <w:rPr>
          <w:rFonts w:ascii="Times New Roman" w:hAnsi="Times New Roman" w:cs="Times New Roman"/>
        </w:rPr>
        <w:t>rearers</w:t>
      </w:r>
      <w:proofErr w:type="spellEnd"/>
      <w:r w:rsidR="00F7607A" w:rsidRPr="009F739B">
        <w:rPr>
          <w:rFonts w:ascii="Times New Roman" w:hAnsi="Times New Roman" w:cs="Times New Roman"/>
        </w:rPr>
        <w:t xml:space="preserve">. A comprehensive understanding of the lethal and sub-lethal thresholds of </w:t>
      </w:r>
      <w:proofErr w:type="spellStart"/>
      <w:r w:rsidR="00F7607A" w:rsidRPr="009F739B">
        <w:rPr>
          <w:rFonts w:ascii="Times New Roman" w:hAnsi="Times New Roman" w:cs="Times New Roman"/>
          <w:i/>
          <w:iCs/>
        </w:rPr>
        <w:t>Bt</w:t>
      </w:r>
      <w:proofErr w:type="spellEnd"/>
      <w:r w:rsidR="00F7607A" w:rsidRPr="009F739B">
        <w:rPr>
          <w:rFonts w:ascii="Times New Roman" w:hAnsi="Times New Roman" w:cs="Times New Roman"/>
        </w:rPr>
        <w:t xml:space="preserve"> will enable industry stakeholders to design more targeted management strategies and region-specific training programs, thereby reducing the risk of unintended exposure within sericulture regions.</w:t>
      </w:r>
      <w:r w:rsidR="00F7607A" w:rsidRPr="00EB4A6E">
        <w:rPr>
          <w:rFonts w:ascii="Times New Roman" w:hAnsi="Times New Roman" w:cs="Times New Roman"/>
        </w:rPr>
        <w:t xml:space="preserve"> </w:t>
      </w:r>
      <w:r w:rsidR="00720A2D">
        <w:rPr>
          <w:rFonts w:ascii="Times New Roman" w:hAnsi="Times New Roman" w:cs="Times New Roman"/>
        </w:rPr>
        <w:t xml:space="preserve">Further research is needed to elucidate the underlying mechanisms and develop strategies for minimizing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-related risks in sericulture.</w:t>
      </w:r>
    </w:p>
    <w:p w14:paraId="18D377C9" w14:textId="77777777" w:rsidR="00406A97" w:rsidRPr="00720A2D" w:rsidRDefault="00406A97">
      <w:pPr>
        <w:ind w:firstLineChars="100" w:firstLine="210"/>
        <w:rPr>
          <w:rFonts w:ascii="Times New Roman" w:hAnsi="Times New Roman" w:cs="Times New Roman"/>
        </w:rPr>
      </w:pPr>
    </w:p>
    <w:p w14:paraId="260597AA" w14:textId="77777777" w:rsidR="00720A2D" w:rsidRPr="00C20F49" w:rsidRDefault="00720A2D" w:rsidP="00720A2D">
      <w:pPr>
        <w:spacing w:line="259" w:lineRule="auto"/>
        <w:rPr>
          <w:rFonts w:ascii="Times New Roman" w:eastAsia="Times New Roman" w:hAnsi="Times New Roman" w:cs="Times New Roman"/>
        </w:rPr>
      </w:pPr>
      <w:r w:rsidRPr="00C20F49">
        <w:rPr>
          <w:rFonts w:ascii="Times New Roman" w:eastAsia="Times New Roman" w:hAnsi="Times New Roman" w:cs="Times New Roman"/>
          <w:b/>
          <w:bCs/>
        </w:rPr>
        <w:t>DISCLAIMER (ARTIFICIAL INTELLIGENCE)</w:t>
      </w:r>
    </w:p>
    <w:p w14:paraId="3F981B0A" w14:textId="77777777" w:rsidR="00720A2D" w:rsidRDefault="00720A2D" w:rsidP="00720A2D">
      <w:pPr>
        <w:rPr>
          <w:rFonts w:ascii="Times New Roman" w:hAnsi="Times New Roman" w:cs="Times New Roman"/>
        </w:rPr>
      </w:pPr>
      <w:r w:rsidRPr="00C20F49">
        <w:rPr>
          <w:rFonts w:ascii="Times New Roman" w:eastAsia="Times New Roman" w:hAnsi="Times New Roman" w:cs="Times New Roman"/>
        </w:rPr>
        <w:t>Author(s) hereby declare that NO generative AI technologies such as Large Language Models (</w:t>
      </w:r>
      <w:proofErr w:type="spellStart"/>
      <w:r w:rsidRPr="00C20F49">
        <w:rPr>
          <w:rFonts w:ascii="Times New Roman" w:eastAsia="Times New Roman" w:hAnsi="Times New Roman" w:cs="Times New Roman"/>
        </w:rPr>
        <w:t>ChatGPT</w:t>
      </w:r>
      <w:proofErr w:type="spellEnd"/>
      <w:r w:rsidRPr="00C20F49">
        <w:rPr>
          <w:rFonts w:ascii="Times New Roman" w:eastAsia="Times New Roman" w:hAnsi="Times New Roman" w:cs="Times New Roman"/>
        </w:rPr>
        <w:t xml:space="preserve">, COPILOT, </w:t>
      </w:r>
      <w:proofErr w:type="spellStart"/>
      <w:r w:rsidRPr="00C20F49">
        <w:rPr>
          <w:rFonts w:ascii="Times New Roman" w:eastAsia="Times New Roman" w:hAnsi="Times New Roman" w:cs="Times New Roman"/>
        </w:rPr>
        <w:t>etc</w:t>
      </w:r>
      <w:proofErr w:type="spellEnd"/>
      <w:r w:rsidRPr="00C20F49">
        <w:rPr>
          <w:rFonts w:ascii="Times New Roman" w:eastAsia="Times New Roman" w:hAnsi="Times New Roman" w:cs="Times New Roman"/>
        </w:rPr>
        <w:t>) and text-to-image generators have been used during writing or editing of this manuscript</w:t>
      </w:r>
    </w:p>
    <w:p w14:paraId="1E3C61B1" w14:textId="77777777" w:rsidR="00720A2D" w:rsidRPr="00720A2D" w:rsidRDefault="00720A2D" w:rsidP="00720A2D">
      <w:pPr>
        <w:rPr>
          <w:rFonts w:ascii="Times New Roman" w:hAnsi="Times New Roman" w:cs="Times New Roman"/>
        </w:rPr>
      </w:pPr>
    </w:p>
    <w:p w14:paraId="7BF6555F" w14:textId="15C0686F" w:rsidR="00720A2D" w:rsidRPr="005E50BC" w:rsidRDefault="00720A2D" w:rsidP="00720A2D">
      <w:pPr>
        <w:rPr>
          <w:rFonts w:ascii="Times New Roman" w:eastAsia="Times New Roman" w:hAnsi="Times New Roman" w:cs="Times New Roman"/>
        </w:rPr>
      </w:pPr>
    </w:p>
    <w:p w14:paraId="34361DF1" w14:textId="77777777" w:rsidR="00720A2D" w:rsidRPr="00C20F49" w:rsidRDefault="00720A2D" w:rsidP="00720A2D">
      <w:pPr>
        <w:spacing w:line="259" w:lineRule="auto"/>
        <w:rPr>
          <w:rFonts w:ascii="Times New Roman" w:eastAsia="Times New Roman" w:hAnsi="Times New Roman" w:cs="Times New Roman"/>
        </w:rPr>
      </w:pPr>
      <w:r w:rsidRPr="00C20F49">
        <w:rPr>
          <w:rFonts w:ascii="Times New Roman" w:eastAsia="Times New Roman" w:hAnsi="Times New Roman" w:cs="Times New Roman"/>
          <w:b/>
          <w:bCs/>
        </w:rPr>
        <w:t xml:space="preserve">COMPETING INTERESTS </w:t>
      </w:r>
    </w:p>
    <w:p w14:paraId="1B2766EB" w14:textId="77777777" w:rsidR="00720A2D" w:rsidRDefault="00720A2D" w:rsidP="00720A2D">
      <w:pPr>
        <w:rPr>
          <w:rFonts w:ascii="Times New Roman" w:eastAsia="Times New Roman" w:hAnsi="Times New Roman" w:cs="Times New Roman"/>
        </w:rPr>
      </w:pPr>
      <w:r w:rsidRPr="00C20F49">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992A299" w14:textId="77777777" w:rsidR="008452D2" w:rsidRPr="00720A2D" w:rsidRDefault="008452D2">
      <w:pPr>
        <w:ind w:firstLineChars="100" w:firstLine="210"/>
        <w:rPr>
          <w:rFonts w:ascii="Times New Roman" w:hAnsi="Times New Roman" w:cs="Times New Roman"/>
        </w:rPr>
      </w:pPr>
    </w:p>
    <w:p w14:paraId="6199F91D" w14:textId="77777777" w:rsidR="008452D2" w:rsidRDefault="008452D2">
      <w:pPr>
        <w:ind w:firstLineChars="100" w:firstLine="210"/>
        <w:rPr>
          <w:rFonts w:ascii="Times New Roman" w:hAnsi="Times New Roman" w:cs="Times New Roman"/>
        </w:rPr>
      </w:pPr>
    </w:p>
    <w:p w14:paraId="1853E7F1" w14:textId="77777777" w:rsidR="008452D2" w:rsidRDefault="008452D2">
      <w:pPr>
        <w:ind w:firstLineChars="100" w:firstLine="210"/>
        <w:rPr>
          <w:rFonts w:ascii="Times New Roman" w:hAnsi="Times New Roman" w:cs="Times New Roman"/>
        </w:rPr>
      </w:pPr>
    </w:p>
    <w:p w14:paraId="45A3CAA6" w14:textId="77777777" w:rsidR="008452D2" w:rsidRDefault="008452D2" w:rsidP="005E50BC">
      <w:pPr>
        <w:rPr>
          <w:rFonts w:ascii="Times New Roman" w:hAnsi="Times New Roman" w:cs="Times New Roman"/>
        </w:rPr>
      </w:pPr>
    </w:p>
    <w:p w14:paraId="5B88C662" w14:textId="77777777" w:rsidR="00406A97" w:rsidRPr="00406A97" w:rsidRDefault="00406A97" w:rsidP="00406A97">
      <w:pPr>
        <w:rPr>
          <w:rFonts w:ascii="Times New Roman" w:hAnsi="Times New Roman" w:cs="Times New Roman"/>
          <w:b/>
          <w:bCs/>
          <w:sz w:val="24"/>
        </w:rPr>
      </w:pPr>
      <w:r w:rsidRPr="00406A97">
        <w:rPr>
          <w:rFonts w:ascii="Times New Roman" w:hAnsi="Times New Roman" w:cs="Times New Roman"/>
          <w:b/>
          <w:bCs/>
          <w:sz w:val="24"/>
        </w:rPr>
        <w:t>References</w:t>
      </w:r>
    </w:p>
    <w:p w14:paraId="7AF4EE73"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proofErr w:type="spellStart"/>
      <w:r w:rsidRPr="00390724">
        <w:rPr>
          <w:rFonts w:ascii="Times New Roman" w:hAnsi="Times New Roman" w:cs="Times New Roman"/>
          <w:color w:val="222222"/>
          <w:sz w:val="24"/>
          <w:shd w:val="clear" w:color="auto" w:fill="FFFFFF"/>
        </w:rPr>
        <w:t>Abdelli</w:t>
      </w:r>
      <w:proofErr w:type="spellEnd"/>
      <w:r w:rsidRPr="00390724">
        <w:rPr>
          <w:rFonts w:ascii="Times New Roman" w:hAnsi="Times New Roman" w:cs="Times New Roman"/>
          <w:color w:val="222222"/>
          <w:sz w:val="24"/>
          <w:shd w:val="clear" w:color="auto" w:fill="FFFFFF"/>
        </w:rPr>
        <w:t xml:space="preserve">, N., Peng, L., &amp; Chen, K. (2018). Silkworm, Bombyx mori, as an alternative model organism in toxicological research. Environmental Science and Pollution Research, 25(35), 35048-35054. </w:t>
      </w:r>
      <w:hyperlink r:id="rId10" w:history="1">
        <w:r w:rsidRPr="00087A29">
          <w:rPr>
            <w:rStyle w:val="Hyperlink"/>
            <w:rFonts w:ascii="Times New Roman" w:hAnsi="Times New Roman" w:cs="Times New Roman"/>
            <w:sz w:val="24"/>
            <w:shd w:val="clear" w:color="auto" w:fill="FFFFFF"/>
          </w:rPr>
          <w:t>https://doi.org/10.1007/s11356-</w:t>
        </w:r>
        <w:r w:rsidRPr="00087A29">
          <w:rPr>
            <w:rStyle w:val="Hyperlink"/>
            <w:rFonts w:ascii="Times New Roman" w:hAnsi="Times New Roman" w:cs="Times New Roman"/>
            <w:sz w:val="24"/>
            <w:shd w:val="clear" w:color="auto" w:fill="FFFFFF"/>
          </w:rPr>
          <w:lastRenderedPageBreak/>
          <w:t>018-3442-8</w:t>
        </w:r>
      </w:hyperlink>
      <w:r>
        <w:rPr>
          <w:rFonts w:ascii="Times New Roman" w:hAnsi="Times New Roman" w:cs="Times New Roman"/>
          <w:color w:val="222222"/>
          <w:sz w:val="24"/>
          <w:shd w:val="clear" w:color="auto" w:fill="FFFFFF"/>
        </w:rPr>
        <w:t xml:space="preserve"> </w:t>
      </w:r>
    </w:p>
    <w:p w14:paraId="216CAFA9" w14:textId="77777777" w:rsidR="00B44248" w:rsidRPr="00607DA3" w:rsidRDefault="00B44248" w:rsidP="00B44248">
      <w:pPr>
        <w:pStyle w:val="ListParagraph"/>
        <w:numPr>
          <w:ilvl w:val="0"/>
          <w:numId w:val="4"/>
        </w:numPr>
        <w:spacing w:after="160" w:line="278" w:lineRule="auto"/>
        <w:rPr>
          <w:rFonts w:ascii="Times New Roman" w:hAnsi="Times New Roman" w:cs="Times New Roman"/>
          <w:sz w:val="22"/>
          <w:szCs w:val="22"/>
        </w:rPr>
      </w:pPr>
      <w:proofErr w:type="spellStart"/>
      <w:r w:rsidRPr="00607DA3">
        <w:rPr>
          <w:rFonts w:ascii="Times New Roman" w:hAnsi="Times New Roman" w:cs="Times New Roman"/>
          <w:sz w:val="22"/>
          <w:szCs w:val="22"/>
        </w:rPr>
        <w:t>Agathokleous</w:t>
      </w:r>
      <w:proofErr w:type="spellEnd"/>
      <w:r w:rsidRPr="00607DA3">
        <w:rPr>
          <w:rFonts w:ascii="Times New Roman" w:hAnsi="Times New Roman" w:cs="Times New Roman"/>
          <w:sz w:val="22"/>
          <w:szCs w:val="22"/>
        </w:rPr>
        <w:t xml:space="preserve">, E., </w:t>
      </w:r>
      <w:proofErr w:type="spellStart"/>
      <w:r w:rsidRPr="00607DA3">
        <w:rPr>
          <w:rFonts w:ascii="Times New Roman" w:hAnsi="Times New Roman" w:cs="Times New Roman"/>
          <w:sz w:val="22"/>
          <w:szCs w:val="22"/>
        </w:rPr>
        <w:t>Blande</w:t>
      </w:r>
      <w:proofErr w:type="spellEnd"/>
      <w:r w:rsidRPr="00607DA3">
        <w:rPr>
          <w:rFonts w:ascii="Times New Roman" w:hAnsi="Times New Roman" w:cs="Times New Roman"/>
          <w:sz w:val="22"/>
          <w:szCs w:val="22"/>
        </w:rPr>
        <w:t xml:space="preserve">, J. D., Masui, N., Calabrese, E. J., Zhang, J., Sicard, P., Guedes, R. N. C., &amp; Benelli, G. (2023). Sublethal chemical stimulation of arthropod parasitoids and parasites of agricultural and environmental importance. </w:t>
      </w:r>
      <w:r w:rsidRPr="00607DA3">
        <w:rPr>
          <w:rFonts w:ascii="Times New Roman" w:hAnsi="Times New Roman" w:cs="Times New Roman"/>
          <w:i/>
          <w:iCs/>
          <w:sz w:val="22"/>
          <w:szCs w:val="22"/>
        </w:rPr>
        <w:t>Environmental Research</w:t>
      </w:r>
      <w:r w:rsidRPr="00607DA3">
        <w:rPr>
          <w:rFonts w:ascii="Times New Roman" w:hAnsi="Times New Roman" w:cs="Times New Roman"/>
          <w:sz w:val="22"/>
          <w:szCs w:val="22"/>
        </w:rPr>
        <w:t xml:space="preserve">, </w:t>
      </w:r>
      <w:r w:rsidRPr="00607DA3">
        <w:rPr>
          <w:rFonts w:ascii="Times New Roman" w:hAnsi="Times New Roman" w:cs="Times New Roman"/>
          <w:i/>
          <w:iCs/>
          <w:sz w:val="22"/>
          <w:szCs w:val="22"/>
        </w:rPr>
        <w:t>236</w:t>
      </w:r>
      <w:r w:rsidRPr="00607DA3">
        <w:rPr>
          <w:rFonts w:ascii="Times New Roman" w:hAnsi="Times New Roman" w:cs="Times New Roman"/>
          <w:sz w:val="22"/>
          <w:szCs w:val="22"/>
        </w:rPr>
        <w:t xml:space="preserve">(Pt 1), 116876. </w:t>
      </w:r>
      <w:hyperlink r:id="rId11" w:tgtFrame="_blank" w:history="1">
        <w:r w:rsidRPr="00607DA3">
          <w:rPr>
            <w:rStyle w:val="Hyperlink"/>
            <w:rFonts w:ascii="Times New Roman" w:hAnsi="Times New Roman" w:cs="Times New Roman"/>
            <w:sz w:val="22"/>
            <w:szCs w:val="22"/>
          </w:rPr>
          <w:t>https://doi.org/10.1017/10.1016/j.envres.2023.116876</w:t>
        </w:r>
      </w:hyperlink>
    </w:p>
    <w:p w14:paraId="619B9FDD" w14:textId="77777777" w:rsidR="00B44248" w:rsidRPr="00E37CC0" w:rsidRDefault="00B44248" w:rsidP="00E37CC0">
      <w:pPr>
        <w:pStyle w:val="ListParagraph"/>
        <w:numPr>
          <w:ilvl w:val="0"/>
          <w:numId w:val="4"/>
        </w:numPr>
        <w:rPr>
          <w:rFonts w:ascii="Times New Roman" w:hAnsi="Times New Roman" w:cs="Times New Roman"/>
        </w:rPr>
      </w:pPr>
      <w:r w:rsidRPr="00E37CC0">
        <w:rPr>
          <w:rFonts w:ascii="Times New Roman" w:hAnsi="Times New Roman" w:cs="Times New Roman"/>
        </w:rPr>
        <w:t xml:space="preserve">Alves, G. B., Oliveira, E. E., Aguiar, R. W., Barreto, F. R. S., Lima, K. L. G., Ferreira, T. M., Melo, J. F., &amp; Lobo, F. P. (2023). Genomic–proteomic analysis of a novel </w:t>
      </w:r>
      <w:r w:rsidRPr="00E37CC0">
        <w:rPr>
          <w:rFonts w:ascii="Times New Roman" w:hAnsi="Times New Roman" w:cs="Times New Roman"/>
          <w:i/>
          <w:iCs/>
        </w:rPr>
        <w:t>Bacillus thuringiensis</w:t>
      </w:r>
      <w:r w:rsidRPr="00E37CC0">
        <w:rPr>
          <w:rFonts w:ascii="Times New Roman" w:hAnsi="Times New Roman" w:cs="Times New Roman"/>
        </w:rPr>
        <w:t xml:space="preserve"> strain: Toxicity against two lepidopteran pests, abundance of Cry1Ac5 toxin, and presence of InhA1 virulence factor. </w:t>
      </w:r>
      <w:r w:rsidRPr="00E37CC0">
        <w:rPr>
          <w:rFonts w:ascii="Times New Roman" w:hAnsi="Times New Roman" w:cs="Times New Roman"/>
          <w:i/>
          <w:iCs/>
        </w:rPr>
        <w:t>Archives of Microbiology</w:t>
      </w:r>
      <w:r w:rsidRPr="00E37CC0">
        <w:rPr>
          <w:rFonts w:ascii="Times New Roman" w:hAnsi="Times New Roman" w:cs="Times New Roman"/>
        </w:rPr>
        <w:t xml:space="preserve">, </w:t>
      </w:r>
      <w:r w:rsidRPr="00E37CC0">
        <w:rPr>
          <w:rFonts w:ascii="Times New Roman" w:hAnsi="Times New Roman" w:cs="Times New Roman"/>
          <w:i/>
          <w:iCs/>
        </w:rPr>
        <w:t>205</w:t>
      </w:r>
      <w:r w:rsidRPr="00E37CC0">
        <w:rPr>
          <w:rFonts w:ascii="Times New Roman" w:hAnsi="Times New Roman" w:cs="Times New Roman"/>
        </w:rPr>
        <w:t xml:space="preserve">(5), 197. </w:t>
      </w:r>
      <w:hyperlink r:id="rId12" w:tgtFrame="_blank" w:history="1">
        <w:r w:rsidRPr="00E37CC0">
          <w:rPr>
            <w:rStyle w:val="Hyperlink"/>
            <w:rFonts w:ascii="Times New Roman" w:hAnsi="Times New Roman" w:cs="Times New Roman"/>
          </w:rPr>
          <w:t>https://doi.org/10.1007/s00203-023-03534-1</w:t>
        </w:r>
      </w:hyperlink>
    </w:p>
    <w:p w14:paraId="2A50C757" w14:textId="77777777" w:rsidR="00B44248" w:rsidRPr="00390724" w:rsidRDefault="00B44248" w:rsidP="00A93F67">
      <w:pPr>
        <w:pStyle w:val="ListParagraph"/>
        <w:numPr>
          <w:ilvl w:val="0"/>
          <w:numId w:val="4"/>
        </w:numPr>
        <w:rPr>
          <w:rFonts w:ascii="Times New Roman" w:hAnsi="Times New Roman" w:cs="Times New Roman"/>
          <w:sz w:val="24"/>
        </w:rPr>
      </w:pPr>
      <w:r w:rsidRPr="00390724">
        <w:rPr>
          <w:rFonts w:ascii="Times New Roman" w:hAnsi="Times New Roman" w:cs="Times New Roman"/>
          <w:color w:val="222222"/>
          <w:sz w:val="24"/>
          <w:shd w:val="clear" w:color="auto" w:fill="FFFFFF"/>
        </w:rPr>
        <w:t xml:space="preserve">Belousova, M. E., </w:t>
      </w:r>
      <w:proofErr w:type="spellStart"/>
      <w:r w:rsidRPr="00390724">
        <w:rPr>
          <w:rFonts w:ascii="Times New Roman" w:hAnsi="Times New Roman" w:cs="Times New Roman"/>
          <w:color w:val="222222"/>
          <w:sz w:val="24"/>
          <w:shd w:val="clear" w:color="auto" w:fill="FFFFFF"/>
        </w:rPr>
        <w:t>Malovichko</w:t>
      </w:r>
      <w:proofErr w:type="spellEnd"/>
      <w:r w:rsidRPr="00390724">
        <w:rPr>
          <w:rFonts w:ascii="Times New Roman" w:hAnsi="Times New Roman" w:cs="Times New Roman"/>
          <w:color w:val="222222"/>
          <w:sz w:val="24"/>
          <w:shd w:val="clear" w:color="auto" w:fill="FFFFFF"/>
        </w:rPr>
        <w:t xml:space="preserve">, Y. V., </w:t>
      </w:r>
      <w:proofErr w:type="spellStart"/>
      <w:r w:rsidRPr="00390724">
        <w:rPr>
          <w:rFonts w:ascii="Times New Roman" w:hAnsi="Times New Roman" w:cs="Times New Roman"/>
          <w:color w:val="222222"/>
          <w:sz w:val="24"/>
          <w:shd w:val="clear" w:color="auto" w:fill="FFFFFF"/>
        </w:rPr>
        <w:t>Shikov</w:t>
      </w:r>
      <w:proofErr w:type="spellEnd"/>
      <w:r w:rsidRPr="00390724">
        <w:rPr>
          <w:rFonts w:ascii="Times New Roman" w:hAnsi="Times New Roman" w:cs="Times New Roman"/>
          <w:color w:val="222222"/>
          <w:sz w:val="24"/>
          <w:shd w:val="clear" w:color="auto" w:fill="FFFFFF"/>
        </w:rPr>
        <w:t xml:space="preserve">, A. E., </w:t>
      </w:r>
      <w:proofErr w:type="spellStart"/>
      <w:r w:rsidRPr="00390724">
        <w:rPr>
          <w:rFonts w:ascii="Times New Roman" w:hAnsi="Times New Roman" w:cs="Times New Roman"/>
          <w:color w:val="222222"/>
          <w:sz w:val="24"/>
          <w:shd w:val="clear" w:color="auto" w:fill="FFFFFF"/>
        </w:rPr>
        <w:t>Nizhnikov</w:t>
      </w:r>
      <w:proofErr w:type="spellEnd"/>
      <w:r w:rsidRPr="00390724">
        <w:rPr>
          <w:rFonts w:ascii="Times New Roman" w:hAnsi="Times New Roman" w:cs="Times New Roman"/>
          <w:color w:val="222222"/>
          <w:sz w:val="24"/>
          <w:shd w:val="clear" w:color="auto" w:fill="FFFFFF"/>
        </w:rPr>
        <w:t xml:space="preserve">, A. A., &amp; </w:t>
      </w:r>
      <w:proofErr w:type="spellStart"/>
      <w:r w:rsidRPr="00390724">
        <w:rPr>
          <w:rFonts w:ascii="Times New Roman" w:hAnsi="Times New Roman" w:cs="Times New Roman"/>
          <w:color w:val="222222"/>
          <w:sz w:val="24"/>
          <w:shd w:val="clear" w:color="auto" w:fill="FFFFFF"/>
        </w:rPr>
        <w:t>Antonets</w:t>
      </w:r>
      <w:proofErr w:type="spellEnd"/>
      <w:r w:rsidRPr="00390724">
        <w:rPr>
          <w:rFonts w:ascii="Times New Roman" w:hAnsi="Times New Roman" w:cs="Times New Roman"/>
          <w:color w:val="222222"/>
          <w:sz w:val="24"/>
          <w:shd w:val="clear" w:color="auto" w:fill="FFFFFF"/>
        </w:rPr>
        <w:t xml:space="preserve">, K. S. (2021). Dissecting the environmental consequences of Bacillus thuringiensis application for natural ecosystems. Toxins, 13(5), 355. </w:t>
      </w:r>
      <w:hyperlink r:id="rId13" w:history="1">
        <w:r w:rsidRPr="00087A29">
          <w:rPr>
            <w:rStyle w:val="Hyperlink"/>
            <w:rFonts w:ascii="Times New Roman" w:hAnsi="Times New Roman" w:cs="Times New Roman"/>
            <w:sz w:val="24"/>
            <w:shd w:val="clear" w:color="auto" w:fill="FFFFFF"/>
          </w:rPr>
          <w:t>https://doi.org/10.3390/toxins13050355</w:t>
        </w:r>
      </w:hyperlink>
      <w:r>
        <w:rPr>
          <w:rFonts w:ascii="Times New Roman" w:hAnsi="Times New Roman" w:cs="Times New Roman"/>
          <w:color w:val="222222"/>
          <w:sz w:val="24"/>
          <w:shd w:val="clear" w:color="auto" w:fill="FFFFFF"/>
        </w:rPr>
        <w:t xml:space="preserve"> </w:t>
      </w:r>
    </w:p>
    <w:p w14:paraId="77FC1737" w14:textId="77777777" w:rsidR="00B44248" w:rsidRPr="00E37CC0" w:rsidRDefault="00B44248" w:rsidP="00E37CC0">
      <w:pPr>
        <w:pStyle w:val="ListParagraph"/>
        <w:numPr>
          <w:ilvl w:val="0"/>
          <w:numId w:val="4"/>
        </w:numPr>
        <w:rPr>
          <w:rFonts w:ascii="Times New Roman" w:hAnsi="Times New Roman" w:cs="Times New Roman"/>
        </w:rPr>
      </w:pPr>
      <w:r w:rsidRPr="00E37CC0">
        <w:rPr>
          <w:rFonts w:ascii="Times New Roman" w:hAnsi="Times New Roman" w:cs="Times New Roman"/>
        </w:rPr>
        <w:t xml:space="preserve">Bilbo, T. R., Reay-Jones, F. P., </w:t>
      </w:r>
      <w:proofErr w:type="spellStart"/>
      <w:r w:rsidRPr="00E37CC0">
        <w:rPr>
          <w:rFonts w:ascii="Times New Roman" w:hAnsi="Times New Roman" w:cs="Times New Roman"/>
        </w:rPr>
        <w:t>Reisig</w:t>
      </w:r>
      <w:proofErr w:type="spellEnd"/>
      <w:r w:rsidRPr="00E37CC0">
        <w:rPr>
          <w:rFonts w:ascii="Times New Roman" w:hAnsi="Times New Roman" w:cs="Times New Roman"/>
        </w:rPr>
        <w:t xml:space="preserve">, D. D., &amp; Greene, J. K. (2019). Evaluation of </w:t>
      </w:r>
      <w:proofErr w:type="spellStart"/>
      <w:r w:rsidRPr="00E37CC0">
        <w:rPr>
          <w:rFonts w:ascii="Times New Roman" w:hAnsi="Times New Roman" w:cs="Times New Roman"/>
          <w:i/>
          <w:iCs/>
        </w:rPr>
        <w:t>Helicoverpa</w:t>
      </w:r>
      <w:proofErr w:type="spellEnd"/>
      <w:r w:rsidRPr="00E37CC0">
        <w:rPr>
          <w:rFonts w:ascii="Times New Roman" w:hAnsi="Times New Roman" w:cs="Times New Roman"/>
          <w:i/>
          <w:iCs/>
        </w:rPr>
        <w:t xml:space="preserve"> </w:t>
      </w:r>
      <w:proofErr w:type="spellStart"/>
      <w:r w:rsidRPr="00E37CC0">
        <w:rPr>
          <w:rFonts w:ascii="Times New Roman" w:hAnsi="Times New Roman" w:cs="Times New Roman"/>
          <w:i/>
          <w:iCs/>
        </w:rPr>
        <w:t>zea</w:t>
      </w:r>
      <w:proofErr w:type="spellEnd"/>
      <w:r w:rsidRPr="00E37CC0">
        <w:rPr>
          <w:rFonts w:ascii="Times New Roman" w:hAnsi="Times New Roman" w:cs="Times New Roman"/>
        </w:rPr>
        <w:t xml:space="preserve"> (Lepidoptera: </w:t>
      </w:r>
      <w:proofErr w:type="spellStart"/>
      <w:r w:rsidRPr="00E37CC0">
        <w:rPr>
          <w:rFonts w:ascii="Times New Roman" w:hAnsi="Times New Roman" w:cs="Times New Roman"/>
        </w:rPr>
        <w:t>Noctuidae</w:t>
      </w:r>
      <w:proofErr w:type="spellEnd"/>
      <w:r w:rsidRPr="00E37CC0">
        <w:rPr>
          <w:rFonts w:ascii="Times New Roman" w:hAnsi="Times New Roman" w:cs="Times New Roman"/>
        </w:rPr>
        <w:t xml:space="preserve">) development on </w:t>
      </w:r>
      <w:proofErr w:type="spellStart"/>
      <w:r w:rsidRPr="00E37CC0">
        <w:rPr>
          <w:rFonts w:ascii="Times New Roman" w:hAnsi="Times New Roman" w:cs="Times New Roman"/>
        </w:rPr>
        <w:t>Bt</w:t>
      </w:r>
      <w:proofErr w:type="spellEnd"/>
      <w:r w:rsidRPr="00E37CC0">
        <w:rPr>
          <w:rFonts w:ascii="Times New Roman" w:hAnsi="Times New Roman" w:cs="Times New Roman"/>
        </w:rPr>
        <w:t xml:space="preserve"> and non-</w:t>
      </w:r>
      <w:proofErr w:type="spellStart"/>
      <w:r w:rsidRPr="00E37CC0">
        <w:rPr>
          <w:rFonts w:ascii="Times New Roman" w:hAnsi="Times New Roman" w:cs="Times New Roman"/>
        </w:rPr>
        <w:t>Bt</w:t>
      </w:r>
      <w:proofErr w:type="spellEnd"/>
      <w:r w:rsidRPr="00E37CC0">
        <w:rPr>
          <w:rFonts w:ascii="Times New Roman" w:hAnsi="Times New Roman" w:cs="Times New Roman"/>
        </w:rPr>
        <w:t xml:space="preserve"> corn yields in South Carolina. </w:t>
      </w:r>
      <w:r w:rsidRPr="00E37CC0">
        <w:rPr>
          <w:rFonts w:ascii="Times New Roman" w:hAnsi="Times New Roman" w:cs="Times New Roman"/>
          <w:i/>
          <w:iCs/>
        </w:rPr>
        <w:t>Journal of Economic Entomology</w:t>
      </w:r>
      <w:r w:rsidRPr="00E37CC0">
        <w:rPr>
          <w:rFonts w:ascii="Times New Roman" w:hAnsi="Times New Roman" w:cs="Times New Roman"/>
        </w:rPr>
        <w:t xml:space="preserve">, </w:t>
      </w:r>
      <w:r w:rsidRPr="00E37CC0">
        <w:rPr>
          <w:rFonts w:ascii="Times New Roman" w:hAnsi="Times New Roman" w:cs="Times New Roman"/>
          <w:i/>
          <w:iCs/>
        </w:rPr>
        <w:t>112</w:t>
      </w:r>
      <w:r w:rsidRPr="00E37CC0">
        <w:rPr>
          <w:rFonts w:ascii="Times New Roman" w:hAnsi="Times New Roman" w:cs="Times New Roman"/>
        </w:rPr>
        <w:t xml:space="preserve">(3), 1246–1258. </w:t>
      </w:r>
      <w:hyperlink r:id="rId14" w:tgtFrame="_blank" w:history="1">
        <w:r w:rsidRPr="00E37CC0">
          <w:rPr>
            <w:rStyle w:val="Hyperlink"/>
            <w:rFonts w:ascii="Times New Roman" w:hAnsi="Times New Roman" w:cs="Times New Roman"/>
          </w:rPr>
          <w:t>https://doi.org/10.1093/jee/toy424</w:t>
        </w:r>
      </w:hyperlink>
    </w:p>
    <w:p w14:paraId="1D13852E" w14:textId="77777777" w:rsidR="00B44248" w:rsidRPr="00390724"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sz w:val="24"/>
        </w:rPr>
        <w:t xml:space="preserve">Bravo, A., </w:t>
      </w:r>
      <w:proofErr w:type="spellStart"/>
      <w:r w:rsidRPr="00390724">
        <w:rPr>
          <w:rFonts w:ascii="Times New Roman" w:hAnsi="Times New Roman" w:cs="Times New Roman"/>
          <w:sz w:val="24"/>
        </w:rPr>
        <w:t>Likitvivatanavong</w:t>
      </w:r>
      <w:proofErr w:type="spellEnd"/>
      <w:r w:rsidRPr="00390724">
        <w:rPr>
          <w:rFonts w:ascii="Times New Roman" w:hAnsi="Times New Roman" w:cs="Times New Roman"/>
          <w:sz w:val="24"/>
        </w:rPr>
        <w:t xml:space="preserve">, S., Gill, S. S., &amp; </w:t>
      </w:r>
      <w:proofErr w:type="spellStart"/>
      <w:r w:rsidRPr="00390724">
        <w:rPr>
          <w:rFonts w:ascii="Times New Roman" w:hAnsi="Times New Roman" w:cs="Times New Roman"/>
          <w:sz w:val="24"/>
        </w:rPr>
        <w:t>Soberón</w:t>
      </w:r>
      <w:proofErr w:type="spellEnd"/>
      <w:r w:rsidRPr="00390724">
        <w:rPr>
          <w:rFonts w:ascii="Times New Roman" w:hAnsi="Times New Roman" w:cs="Times New Roman"/>
          <w:sz w:val="24"/>
        </w:rPr>
        <w:t xml:space="preserve">, M. (2011). Bacillus thuringiensis: A story of a successful bioinsecticide. Insect Biochemistry and Molecular Biology, 41(7), 423–431. </w:t>
      </w:r>
      <w:hyperlink r:id="rId15" w:history="1">
        <w:r w:rsidRPr="00087A29">
          <w:rPr>
            <w:rStyle w:val="Hyperlink"/>
            <w:rFonts w:ascii="Times New Roman" w:hAnsi="Times New Roman" w:cs="Times New Roman"/>
            <w:sz w:val="24"/>
          </w:rPr>
          <w:t>https://doi.org/10.1016/j.ibmb.2011.02.006</w:t>
        </w:r>
      </w:hyperlink>
      <w:r>
        <w:rPr>
          <w:rFonts w:ascii="Times New Roman" w:hAnsi="Times New Roman" w:cs="Times New Roman"/>
          <w:sz w:val="24"/>
        </w:rPr>
        <w:t xml:space="preserve"> </w:t>
      </w:r>
    </w:p>
    <w:p w14:paraId="10E8F447"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Bryant, T. B., Greene, J. K., </w:t>
      </w:r>
      <w:proofErr w:type="spellStart"/>
      <w:r w:rsidRPr="00390724">
        <w:rPr>
          <w:rFonts w:ascii="Times New Roman" w:hAnsi="Times New Roman" w:cs="Times New Roman"/>
          <w:color w:val="222222"/>
          <w:sz w:val="24"/>
          <w:shd w:val="clear" w:color="auto" w:fill="FFFFFF"/>
        </w:rPr>
        <w:t>Reisig</w:t>
      </w:r>
      <w:proofErr w:type="spellEnd"/>
      <w:r w:rsidRPr="00390724">
        <w:rPr>
          <w:rFonts w:ascii="Times New Roman" w:hAnsi="Times New Roman" w:cs="Times New Roman"/>
          <w:color w:val="222222"/>
          <w:sz w:val="24"/>
          <w:shd w:val="clear" w:color="auto" w:fill="FFFFFF"/>
        </w:rPr>
        <w:t xml:space="preserve">, D., &amp; Reay-Jones, F. P. F. (2024). Continued decline in sublethal effects of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toxins on </w:t>
      </w:r>
      <w:proofErr w:type="spellStart"/>
      <w:r w:rsidRPr="00390724">
        <w:rPr>
          <w:rFonts w:ascii="Times New Roman" w:hAnsi="Times New Roman" w:cs="Times New Roman"/>
          <w:color w:val="222222"/>
          <w:sz w:val="24"/>
          <w:shd w:val="clear" w:color="auto" w:fill="FFFFFF"/>
        </w:rPr>
        <w:t>Helicoverpa</w:t>
      </w:r>
      <w:proofErr w:type="spellEnd"/>
      <w:r w:rsidRPr="00390724">
        <w:rPr>
          <w:rFonts w:ascii="Times New Roman" w:hAnsi="Times New Roman" w:cs="Times New Roman"/>
          <w:color w:val="222222"/>
          <w:sz w:val="24"/>
          <w:shd w:val="clear" w:color="auto" w:fill="FFFFFF"/>
        </w:rPr>
        <w:t xml:space="preserve"> </w:t>
      </w:r>
      <w:proofErr w:type="spellStart"/>
      <w:r w:rsidRPr="00390724">
        <w:rPr>
          <w:rFonts w:ascii="Times New Roman" w:hAnsi="Times New Roman" w:cs="Times New Roman"/>
          <w:color w:val="222222"/>
          <w:sz w:val="24"/>
          <w:shd w:val="clear" w:color="auto" w:fill="FFFFFF"/>
        </w:rPr>
        <w:t>zea</w:t>
      </w:r>
      <w:proofErr w:type="spellEnd"/>
      <w:r w:rsidRPr="00390724">
        <w:rPr>
          <w:rFonts w:ascii="Times New Roman" w:hAnsi="Times New Roman" w:cs="Times New Roman"/>
          <w:color w:val="222222"/>
          <w:sz w:val="24"/>
          <w:shd w:val="clear" w:color="auto" w:fill="FFFFFF"/>
        </w:rPr>
        <w:t xml:space="preserve"> (Lepidoptera: </w:t>
      </w:r>
      <w:proofErr w:type="spellStart"/>
      <w:r w:rsidRPr="00390724">
        <w:rPr>
          <w:rFonts w:ascii="Times New Roman" w:hAnsi="Times New Roman" w:cs="Times New Roman"/>
          <w:color w:val="222222"/>
          <w:sz w:val="24"/>
          <w:shd w:val="clear" w:color="auto" w:fill="FFFFFF"/>
        </w:rPr>
        <w:t>Noctuidae</w:t>
      </w:r>
      <w:proofErr w:type="spellEnd"/>
      <w:r w:rsidRPr="00390724">
        <w:rPr>
          <w:rFonts w:ascii="Times New Roman" w:hAnsi="Times New Roman" w:cs="Times New Roman"/>
          <w:color w:val="222222"/>
          <w:sz w:val="24"/>
          <w:shd w:val="clear" w:color="auto" w:fill="FFFFFF"/>
        </w:rPr>
        <w:t xml:space="preserve">) in field corn. Journal of Economic Entomology, 117(5), 1876-1883. </w:t>
      </w:r>
      <w:hyperlink r:id="rId16" w:history="1">
        <w:r w:rsidRPr="00087A29">
          <w:rPr>
            <w:rStyle w:val="Hyperlink"/>
            <w:rFonts w:ascii="Times New Roman" w:hAnsi="Times New Roman" w:cs="Times New Roman"/>
            <w:sz w:val="24"/>
            <w:shd w:val="clear" w:color="auto" w:fill="FFFFFF"/>
          </w:rPr>
          <w:t>https://doi.org/10.1093/jee/toae152</w:t>
        </w:r>
      </w:hyperlink>
      <w:r>
        <w:rPr>
          <w:rFonts w:ascii="Times New Roman" w:hAnsi="Times New Roman" w:cs="Times New Roman"/>
          <w:color w:val="222222"/>
          <w:sz w:val="24"/>
          <w:shd w:val="clear" w:color="auto" w:fill="FFFFFF"/>
        </w:rPr>
        <w:t xml:space="preserve"> </w:t>
      </w:r>
    </w:p>
    <w:p w14:paraId="53F014F8" w14:textId="77777777" w:rsidR="00B44248" w:rsidRPr="00CA5ABC" w:rsidRDefault="00B44248" w:rsidP="00390724">
      <w:pPr>
        <w:pStyle w:val="ListParagraph"/>
        <w:numPr>
          <w:ilvl w:val="0"/>
          <w:numId w:val="4"/>
        </w:numPr>
        <w:rPr>
          <w:rFonts w:ascii="Times New Roman" w:hAnsi="Times New Roman" w:cs="Times New Roman"/>
        </w:rPr>
      </w:pPr>
      <w:r w:rsidRPr="00CA5ABC">
        <w:rPr>
          <w:rFonts w:ascii="Times New Roman" w:hAnsi="Times New Roman" w:cs="Times New Roman"/>
        </w:rPr>
        <w:t xml:space="preserve">Dutta, P. L., Nath, I., Sarma, J., &amp; </w:t>
      </w:r>
      <w:proofErr w:type="spellStart"/>
      <w:r w:rsidRPr="00CA5ABC">
        <w:rPr>
          <w:rFonts w:ascii="Times New Roman" w:hAnsi="Times New Roman" w:cs="Times New Roman"/>
        </w:rPr>
        <w:t>Saikia</w:t>
      </w:r>
      <w:proofErr w:type="spellEnd"/>
      <w:r w:rsidRPr="00CA5ABC">
        <w:rPr>
          <w:rFonts w:ascii="Times New Roman" w:hAnsi="Times New Roman" w:cs="Times New Roman"/>
        </w:rPr>
        <w:t xml:space="preserve">, S. (2025). Toxicological perspectives of pesticide use in mulberry cultivation: Challenges and pathways to sustainable sericulture. </w:t>
      </w:r>
      <w:r w:rsidRPr="00CA5ABC">
        <w:rPr>
          <w:rFonts w:ascii="Times New Roman" w:hAnsi="Times New Roman" w:cs="Times New Roman"/>
          <w:i/>
          <w:iCs/>
        </w:rPr>
        <w:t>International Journal of Plant &amp; Soil Science</w:t>
      </w:r>
      <w:r w:rsidRPr="00CA5ABC">
        <w:rPr>
          <w:rFonts w:ascii="Times New Roman" w:hAnsi="Times New Roman" w:cs="Times New Roman"/>
        </w:rPr>
        <w:t xml:space="preserve">, </w:t>
      </w:r>
      <w:r w:rsidRPr="00CA5ABC">
        <w:rPr>
          <w:rFonts w:ascii="Times New Roman" w:hAnsi="Times New Roman" w:cs="Times New Roman"/>
          <w:i/>
          <w:iCs/>
        </w:rPr>
        <w:t>37</w:t>
      </w:r>
      <w:r w:rsidRPr="00CA5ABC">
        <w:rPr>
          <w:rFonts w:ascii="Times New Roman" w:hAnsi="Times New Roman" w:cs="Times New Roman"/>
        </w:rPr>
        <w:t xml:space="preserve">(9), 446–469. </w:t>
      </w:r>
      <w:hyperlink r:id="rId17" w:tgtFrame="_blank" w:history="1">
        <w:r w:rsidRPr="00CA5ABC">
          <w:rPr>
            <w:rStyle w:val="Hyperlink"/>
            <w:rFonts w:ascii="Times New Roman" w:hAnsi="Times New Roman" w:cs="Times New Roman"/>
          </w:rPr>
          <w:t>https://doi.org/10.9734/ijpss/2025/v37i95465</w:t>
        </w:r>
      </w:hyperlink>
    </w:p>
    <w:p w14:paraId="3C614B61" w14:textId="77777777" w:rsidR="00B44248" w:rsidRPr="00CA5ABC" w:rsidRDefault="00B44248" w:rsidP="00B44248">
      <w:pPr>
        <w:pStyle w:val="ListParagraph"/>
        <w:numPr>
          <w:ilvl w:val="0"/>
          <w:numId w:val="4"/>
        </w:numPr>
        <w:rPr>
          <w:rFonts w:ascii="Times New Roman" w:hAnsi="Times New Roman" w:cs="Times New Roman"/>
          <w:sz w:val="22"/>
          <w:szCs w:val="22"/>
        </w:rPr>
      </w:pPr>
      <w:r w:rsidRPr="00CA5ABC">
        <w:rPr>
          <w:rFonts w:ascii="Times New Roman" w:hAnsi="Times New Roman" w:cs="Times New Roman"/>
          <w:sz w:val="22"/>
          <w:szCs w:val="22"/>
        </w:rPr>
        <w:t xml:space="preserve">Gabriel de Carvalho, G., </w:t>
      </w:r>
      <w:proofErr w:type="spellStart"/>
      <w:r w:rsidRPr="00CA5ABC">
        <w:rPr>
          <w:rFonts w:ascii="Times New Roman" w:hAnsi="Times New Roman" w:cs="Times New Roman"/>
          <w:sz w:val="22"/>
          <w:szCs w:val="22"/>
        </w:rPr>
        <w:t>Cozzer</w:t>
      </w:r>
      <w:proofErr w:type="spellEnd"/>
      <w:r w:rsidRPr="00CA5ABC">
        <w:rPr>
          <w:rFonts w:ascii="Times New Roman" w:hAnsi="Times New Roman" w:cs="Times New Roman"/>
          <w:sz w:val="22"/>
          <w:szCs w:val="22"/>
        </w:rPr>
        <w:t xml:space="preserve">, G., &amp; Dal </w:t>
      </w:r>
      <w:proofErr w:type="spellStart"/>
      <w:r w:rsidRPr="00CA5ABC">
        <w:rPr>
          <w:rFonts w:ascii="Times New Roman" w:hAnsi="Times New Roman" w:cs="Times New Roman"/>
          <w:sz w:val="22"/>
          <w:szCs w:val="22"/>
        </w:rPr>
        <w:t>Magro</w:t>
      </w:r>
      <w:proofErr w:type="spellEnd"/>
      <w:r w:rsidRPr="00CA5ABC">
        <w:rPr>
          <w:rFonts w:ascii="Times New Roman" w:hAnsi="Times New Roman" w:cs="Times New Roman"/>
          <w:sz w:val="22"/>
          <w:szCs w:val="22"/>
        </w:rPr>
        <w:t xml:space="preserve">, J. (2025). Assessing </w:t>
      </w:r>
      <w:proofErr w:type="spellStart"/>
      <w:r w:rsidRPr="00CA5ABC">
        <w:rPr>
          <w:rFonts w:ascii="Times New Roman" w:hAnsi="Times New Roman" w:cs="Times New Roman"/>
          <w:sz w:val="22"/>
          <w:szCs w:val="22"/>
        </w:rPr>
        <w:t>neighbourhood</w:t>
      </w:r>
      <w:proofErr w:type="spellEnd"/>
      <w:r w:rsidRPr="00CA5ABC">
        <w:rPr>
          <w:rFonts w:ascii="Times New Roman" w:hAnsi="Times New Roman" w:cs="Times New Roman"/>
          <w:sz w:val="22"/>
          <w:szCs w:val="22"/>
        </w:rPr>
        <w:t xml:space="preserve">-scale BTI spray applications and laboratory-based mortality testing on </w:t>
      </w:r>
      <w:r w:rsidRPr="00CA5ABC">
        <w:rPr>
          <w:rFonts w:ascii="Times New Roman" w:hAnsi="Times New Roman" w:cs="Times New Roman"/>
          <w:i/>
          <w:iCs/>
          <w:sz w:val="22"/>
          <w:szCs w:val="22"/>
        </w:rPr>
        <w:t>Aedes aegypti</w:t>
      </w:r>
      <w:r w:rsidRPr="00CA5ABC">
        <w:rPr>
          <w:rFonts w:ascii="Times New Roman" w:hAnsi="Times New Roman" w:cs="Times New Roman"/>
          <w:sz w:val="22"/>
          <w:szCs w:val="22"/>
        </w:rPr>
        <w:t xml:space="preserve"> larval development. </w:t>
      </w:r>
      <w:r w:rsidRPr="00CA5ABC">
        <w:rPr>
          <w:rFonts w:ascii="Times New Roman" w:hAnsi="Times New Roman" w:cs="Times New Roman"/>
          <w:i/>
          <w:iCs/>
          <w:sz w:val="22"/>
          <w:szCs w:val="22"/>
        </w:rPr>
        <w:t>Bulletin of Entomological Research</w:t>
      </w:r>
      <w:r w:rsidRPr="00CA5ABC">
        <w:rPr>
          <w:rFonts w:ascii="Times New Roman" w:hAnsi="Times New Roman" w:cs="Times New Roman"/>
          <w:sz w:val="22"/>
          <w:szCs w:val="22"/>
        </w:rPr>
        <w:t xml:space="preserve">. Advance online publication. </w:t>
      </w:r>
      <w:hyperlink r:id="rId18" w:tgtFrame="_blank" w:history="1">
        <w:r w:rsidRPr="00CA5ABC">
          <w:rPr>
            <w:rStyle w:val="Hyperlink"/>
            <w:rFonts w:ascii="Times New Roman" w:hAnsi="Times New Roman" w:cs="Times New Roman"/>
            <w:sz w:val="22"/>
            <w:szCs w:val="22"/>
          </w:rPr>
          <w:t>https://doi.org/10.1017/s0007485324000889</w:t>
        </w:r>
      </w:hyperlink>
    </w:p>
    <w:p w14:paraId="7B95A78B" w14:textId="77777777" w:rsidR="00B44248" w:rsidRPr="00CA5ABC" w:rsidRDefault="00B44248" w:rsidP="00B44248">
      <w:pPr>
        <w:pStyle w:val="ListParagraph"/>
        <w:numPr>
          <w:ilvl w:val="0"/>
          <w:numId w:val="4"/>
        </w:numPr>
        <w:rPr>
          <w:rFonts w:ascii="Times New Roman" w:hAnsi="Times New Roman" w:cs="Times New Roman"/>
          <w:sz w:val="22"/>
          <w:szCs w:val="22"/>
        </w:rPr>
      </w:pPr>
      <w:r w:rsidRPr="00CA5ABC">
        <w:rPr>
          <w:rFonts w:ascii="Times New Roman" w:hAnsi="Times New Roman" w:cs="Times New Roman"/>
          <w:sz w:val="22"/>
          <w:szCs w:val="22"/>
        </w:rPr>
        <w:t xml:space="preserve">Gándara, L., Jacoby, R., &amp; Crocker, J. (2024). Pervasive sublethal effects of agrochemicals on insects at environmentally relevant concentrations. </w:t>
      </w:r>
      <w:r w:rsidRPr="00CA5ABC">
        <w:rPr>
          <w:rFonts w:ascii="Times New Roman" w:hAnsi="Times New Roman" w:cs="Times New Roman"/>
          <w:i/>
          <w:iCs/>
          <w:sz w:val="22"/>
          <w:szCs w:val="22"/>
        </w:rPr>
        <w:t>Science</w:t>
      </w:r>
      <w:r w:rsidRPr="00CA5ABC">
        <w:rPr>
          <w:rFonts w:ascii="Times New Roman" w:hAnsi="Times New Roman" w:cs="Times New Roman"/>
          <w:sz w:val="22"/>
          <w:szCs w:val="22"/>
        </w:rPr>
        <w:t xml:space="preserve">, </w:t>
      </w:r>
      <w:r w:rsidRPr="00CA5ABC">
        <w:rPr>
          <w:rFonts w:ascii="Times New Roman" w:hAnsi="Times New Roman" w:cs="Times New Roman"/>
          <w:i/>
          <w:iCs/>
          <w:sz w:val="22"/>
          <w:szCs w:val="22"/>
        </w:rPr>
        <w:t>386</w:t>
      </w:r>
      <w:r w:rsidRPr="00CA5ABC">
        <w:rPr>
          <w:rFonts w:ascii="Times New Roman" w:hAnsi="Times New Roman" w:cs="Times New Roman"/>
          <w:sz w:val="22"/>
          <w:szCs w:val="22"/>
        </w:rPr>
        <w:t xml:space="preserve">(6719), 332–339. </w:t>
      </w:r>
      <w:hyperlink r:id="rId19" w:tgtFrame="_blank" w:history="1">
        <w:r w:rsidRPr="00CA5ABC">
          <w:rPr>
            <w:rStyle w:val="Hyperlink"/>
            <w:rFonts w:ascii="Times New Roman" w:hAnsi="Times New Roman" w:cs="Times New Roman"/>
            <w:sz w:val="22"/>
            <w:szCs w:val="22"/>
          </w:rPr>
          <w:t>https://doi.org/10.1126/science.ado0251</w:t>
        </w:r>
      </w:hyperlink>
    </w:p>
    <w:p w14:paraId="3749817F" w14:textId="77777777" w:rsidR="00B44248" w:rsidRPr="00E37CC0" w:rsidRDefault="00B44248" w:rsidP="00A93F67">
      <w:pPr>
        <w:pStyle w:val="ListParagraph"/>
        <w:numPr>
          <w:ilvl w:val="0"/>
          <w:numId w:val="4"/>
        </w:numPr>
        <w:rPr>
          <w:rStyle w:val="Hyperlink"/>
          <w:rFonts w:ascii="Times New Roman" w:hAnsi="Times New Roman" w:cs="Times New Roman"/>
          <w:color w:val="1B1C1D"/>
          <w:sz w:val="24"/>
          <w:u w:val="none"/>
        </w:rPr>
      </w:pPr>
      <w:r w:rsidRPr="00B25E72">
        <w:rPr>
          <w:rFonts w:ascii="Times New Roman" w:hAnsi="Times New Roman" w:cs="Times New Roman"/>
        </w:rPr>
        <w:t xml:space="preserve">Ge, L., Song, L., Wang, L., Li, Y., Sun, Y., Wang, C., Li, S., Wang, S., &amp; Li, P. (2023). Evaluating response mechanisms of soil microbiomes and metabolomes to </w:t>
      </w:r>
      <w:proofErr w:type="spellStart"/>
      <w:r w:rsidRPr="00B25E72">
        <w:rPr>
          <w:rFonts w:ascii="Times New Roman" w:hAnsi="Times New Roman" w:cs="Times New Roman"/>
        </w:rPr>
        <w:t>Bt</w:t>
      </w:r>
      <w:proofErr w:type="spellEnd"/>
      <w:r w:rsidRPr="00B25E72">
        <w:rPr>
          <w:rFonts w:ascii="Times New Roman" w:hAnsi="Times New Roman" w:cs="Times New Roman"/>
        </w:rPr>
        <w:t xml:space="preserve"> toxin additions. </w:t>
      </w:r>
      <w:r w:rsidRPr="00B25E72">
        <w:rPr>
          <w:rFonts w:ascii="Times New Roman" w:hAnsi="Times New Roman" w:cs="Times New Roman"/>
          <w:i/>
          <w:iCs/>
        </w:rPr>
        <w:t>Journal of Hazardous Materials</w:t>
      </w:r>
      <w:r w:rsidRPr="00B25E72">
        <w:rPr>
          <w:rFonts w:ascii="Times New Roman" w:hAnsi="Times New Roman" w:cs="Times New Roman"/>
        </w:rPr>
        <w:t xml:space="preserve">, </w:t>
      </w:r>
      <w:r w:rsidRPr="00B25E72">
        <w:rPr>
          <w:rFonts w:ascii="Times New Roman" w:hAnsi="Times New Roman" w:cs="Times New Roman"/>
          <w:i/>
          <w:iCs/>
        </w:rPr>
        <w:t>448</w:t>
      </w:r>
      <w:r w:rsidRPr="00B25E72">
        <w:rPr>
          <w:rFonts w:ascii="Times New Roman" w:hAnsi="Times New Roman" w:cs="Times New Roman"/>
        </w:rPr>
        <w:t xml:space="preserve">, 130904. </w:t>
      </w:r>
      <w:hyperlink r:id="rId20" w:tgtFrame="_blank" w:history="1">
        <w:r w:rsidRPr="00B25E72">
          <w:rPr>
            <w:rStyle w:val="Hyperlink"/>
            <w:rFonts w:ascii="Times New Roman" w:hAnsi="Times New Roman" w:cs="Times New Roman"/>
          </w:rPr>
          <w:t>https://doi.org/10.1016/j.jhazmat.2023.130904</w:t>
        </w:r>
      </w:hyperlink>
    </w:p>
    <w:p w14:paraId="19F9C4AC" w14:textId="77777777" w:rsidR="00B44248" w:rsidRDefault="00B44248" w:rsidP="00C57D6D">
      <w:pPr>
        <w:pStyle w:val="ListParagraph"/>
        <w:numPr>
          <w:ilvl w:val="0"/>
          <w:numId w:val="4"/>
        </w:numPr>
        <w:rPr>
          <w:rFonts w:ascii="Times New Roman" w:hAnsi="Times New Roman" w:cs="Times New Roman"/>
        </w:rPr>
      </w:pPr>
      <w:r w:rsidRPr="00390724">
        <w:rPr>
          <w:rFonts w:ascii="Times New Roman" w:hAnsi="Times New Roman" w:cs="Times New Roman"/>
        </w:rPr>
        <w:t xml:space="preserve">Girón-Calva, P. S., Twyman, R. M., Christou, P., &amp; </w:t>
      </w:r>
      <w:proofErr w:type="spellStart"/>
      <w:r w:rsidRPr="00390724">
        <w:rPr>
          <w:rFonts w:ascii="Times New Roman" w:hAnsi="Times New Roman" w:cs="Times New Roman"/>
        </w:rPr>
        <w:t>Capell</w:t>
      </w:r>
      <w:proofErr w:type="spellEnd"/>
      <w:r w:rsidRPr="00390724">
        <w:rPr>
          <w:rFonts w:ascii="Times New Roman" w:hAnsi="Times New Roman" w:cs="Times New Roman"/>
        </w:rPr>
        <w:t xml:space="preserve">, T. (2020). The impact of environmental stress on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 crop performance. Trends in Plant Science, 25(3), 205–207. </w:t>
      </w:r>
      <w:hyperlink r:id="rId21" w:history="1">
        <w:r w:rsidRPr="00087A29">
          <w:rPr>
            <w:rStyle w:val="Hyperlink"/>
            <w:rFonts w:ascii="Times New Roman" w:hAnsi="Times New Roman" w:cs="Times New Roman"/>
          </w:rPr>
          <w:t>https://doi.org/10.1016/j.tplants.2019.12.019</w:t>
        </w:r>
      </w:hyperlink>
      <w:r>
        <w:rPr>
          <w:rFonts w:ascii="Times New Roman" w:hAnsi="Times New Roman" w:cs="Times New Roman"/>
        </w:rPr>
        <w:t xml:space="preserve"> </w:t>
      </w:r>
    </w:p>
    <w:p w14:paraId="1DFAC4AA" w14:textId="77777777" w:rsidR="00B44248" w:rsidRPr="00390724" w:rsidRDefault="00B44248" w:rsidP="00A93F67">
      <w:pPr>
        <w:pStyle w:val="ListParagraph"/>
        <w:numPr>
          <w:ilvl w:val="0"/>
          <w:numId w:val="4"/>
        </w:numPr>
        <w:rPr>
          <w:rFonts w:ascii="Times New Roman" w:hAnsi="Times New Roman" w:cs="Times New Roman"/>
          <w:color w:val="1B1C1D"/>
          <w:sz w:val="24"/>
        </w:rPr>
      </w:pPr>
      <w:proofErr w:type="spellStart"/>
      <w:r w:rsidRPr="00390724">
        <w:rPr>
          <w:rFonts w:ascii="Times New Roman" w:hAnsi="Times New Roman" w:cs="Times New Roman"/>
          <w:color w:val="1B1C1D"/>
          <w:sz w:val="24"/>
          <w:bdr w:val="none" w:sz="0" w:space="0" w:color="auto" w:frame="1"/>
        </w:rPr>
        <w:lastRenderedPageBreak/>
        <w:t>Grizanova</w:t>
      </w:r>
      <w:proofErr w:type="spellEnd"/>
      <w:r w:rsidRPr="00390724">
        <w:rPr>
          <w:rFonts w:ascii="Times New Roman" w:hAnsi="Times New Roman" w:cs="Times New Roman"/>
          <w:color w:val="1B1C1D"/>
          <w:sz w:val="24"/>
          <w:bdr w:val="none" w:sz="0" w:space="0" w:color="auto" w:frame="1"/>
        </w:rPr>
        <w:t xml:space="preserve">, E. V., </w:t>
      </w:r>
      <w:proofErr w:type="spellStart"/>
      <w:r w:rsidRPr="00390724">
        <w:rPr>
          <w:rFonts w:ascii="Times New Roman" w:hAnsi="Times New Roman" w:cs="Times New Roman"/>
          <w:color w:val="1B1C1D"/>
          <w:sz w:val="24"/>
          <w:bdr w:val="none" w:sz="0" w:space="0" w:color="auto" w:frame="1"/>
        </w:rPr>
        <w:t>Dubovskiy</w:t>
      </w:r>
      <w:proofErr w:type="spellEnd"/>
      <w:r w:rsidRPr="00390724">
        <w:rPr>
          <w:rFonts w:ascii="Times New Roman" w:hAnsi="Times New Roman" w:cs="Times New Roman"/>
          <w:color w:val="1B1C1D"/>
          <w:sz w:val="24"/>
          <w:bdr w:val="none" w:sz="0" w:space="0" w:color="auto" w:frame="1"/>
        </w:rPr>
        <w:t xml:space="preserve">, I. M., Whitten, M. M., &amp; </w:t>
      </w:r>
      <w:proofErr w:type="spellStart"/>
      <w:r w:rsidRPr="00390724">
        <w:rPr>
          <w:rFonts w:ascii="Times New Roman" w:hAnsi="Times New Roman" w:cs="Times New Roman"/>
          <w:color w:val="1B1C1D"/>
          <w:sz w:val="24"/>
          <w:bdr w:val="none" w:sz="0" w:space="0" w:color="auto" w:frame="1"/>
        </w:rPr>
        <w:t>Glupov</w:t>
      </w:r>
      <w:proofErr w:type="spellEnd"/>
      <w:r w:rsidRPr="00390724">
        <w:rPr>
          <w:rFonts w:ascii="Times New Roman" w:hAnsi="Times New Roman" w:cs="Times New Roman"/>
          <w:color w:val="1B1C1D"/>
          <w:sz w:val="24"/>
          <w:bdr w:val="none" w:sz="0" w:space="0" w:color="auto" w:frame="1"/>
        </w:rPr>
        <w:t xml:space="preserve">, V. V. (2014). Contributions of cellular and humoral immunity of Galleria </w:t>
      </w:r>
      <w:proofErr w:type="spellStart"/>
      <w:r w:rsidRPr="00390724">
        <w:rPr>
          <w:rFonts w:ascii="Times New Roman" w:hAnsi="Times New Roman" w:cs="Times New Roman"/>
          <w:color w:val="1B1C1D"/>
          <w:sz w:val="24"/>
          <w:bdr w:val="none" w:sz="0" w:space="0" w:color="auto" w:frame="1"/>
        </w:rPr>
        <w:t>mellonella</w:t>
      </w:r>
      <w:proofErr w:type="spellEnd"/>
      <w:r w:rsidRPr="00390724">
        <w:rPr>
          <w:rFonts w:ascii="Times New Roman" w:hAnsi="Times New Roman" w:cs="Times New Roman"/>
          <w:color w:val="1B1C1D"/>
          <w:sz w:val="24"/>
          <w:bdr w:val="none" w:sz="0" w:space="0" w:color="auto" w:frame="1"/>
        </w:rPr>
        <w:t xml:space="preserve"> larvae in </w:t>
      </w:r>
      <w:proofErr w:type="spellStart"/>
      <w:r w:rsidRPr="00390724">
        <w:rPr>
          <w:rFonts w:ascii="Times New Roman" w:hAnsi="Times New Roman" w:cs="Times New Roman"/>
          <w:color w:val="1B1C1D"/>
          <w:sz w:val="24"/>
          <w:bdr w:val="none" w:sz="0" w:space="0" w:color="auto" w:frame="1"/>
        </w:rPr>
        <w:t>defence</w:t>
      </w:r>
      <w:proofErr w:type="spellEnd"/>
      <w:r w:rsidRPr="00390724">
        <w:rPr>
          <w:rFonts w:ascii="Times New Roman" w:hAnsi="Times New Roman" w:cs="Times New Roman"/>
          <w:color w:val="1B1C1D"/>
          <w:sz w:val="24"/>
          <w:bdr w:val="none" w:sz="0" w:space="0" w:color="auto" w:frame="1"/>
        </w:rPr>
        <w:t xml:space="preserve"> against oral infection by Bacillus thuringiensis. Journal of Invertebrate Pathology, 119, 40–46. </w:t>
      </w:r>
      <w:hyperlink r:id="rId22" w:history="1">
        <w:r w:rsidRPr="00087A29">
          <w:rPr>
            <w:rStyle w:val="Hyperlink"/>
            <w:rFonts w:ascii="Times New Roman" w:hAnsi="Times New Roman" w:cs="Times New Roman"/>
            <w:sz w:val="24"/>
            <w:bdr w:val="none" w:sz="0" w:space="0" w:color="auto" w:frame="1"/>
          </w:rPr>
          <w:t>https://doi.org/10.1016/j.jip.2014.04.003</w:t>
        </w:r>
      </w:hyperlink>
      <w:r>
        <w:rPr>
          <w:rFonts w:ascii="Times New Roman" w:hAnsi="Times New Roman" w:cs="Times New Roman"/>
          <w:color w:val="1B1C1D"/>
          <w:sz w:val="24"/>
          <w:bdr w:val="none" w:sz="0" w:space="0" w:color="auto" w:frame="1"/>
        </w:rPr>
        <w:t xml:space="preserve"> </w:t>
      </w:r>
    </w:p>
    <w:p w14:paraId="385780DB" w14:textId="77777777" w:rsidR="00B44248" w:rsidRPr="006F2E75" w:rsidRDefault="00B44248" w:rsidP="000C6349">
      <w:pPr>
        <w:pStyle w:val="ListParagraph"/>
        <w:numPr>
          <w:ilvl w:val="0"/>
          <w:numId w:val="4"/>
        </w:numPr>
        <w:spacing w:after="160" w:line="278" w:lineRule="auto"/>
        <w:rPr>
          <w:rFonts w:ascii="Times New Roman" w:hAnsi="Times New Roman" w:cs="Times New Roman"/>
        </w:rPr>
      </w:pPr>
      <w:r w:rsidRPr="006F2E75">
        <w:rPr>
          <w:rFonts w:ascii="Times New Roman" w:hAnsi="Times New Roman" w:cs="Times New Roman"/>
        </w:rPr>
        <w:t xml:space="preserve">Han, Y.-M., Lee, D.-Y., Song, M.-Y., &amp; Kim, E.-H. (2024). Toxicological evaluation verifies the safety of oral administration of steamed mature silkworm powder in rats. </w:t>
      </w:r>
      <w:r w:rsidRPr="006F2E75">
        <w:rPr>
          <w:rFonts w:ascii="Times New Roman" w:hAnsi="Times New Roman" w:cs="Times New Roman"/>
          <w:i/>
          <w:iCs/>
        </w:rPr>
        <w:t>Foods</w:t>
      </w:r>
      <w:r w:rsidRPr="006F2E75">
        <w:rPr>
          <w:rFonts w:ascii="Times New Roman" w:hAnsi="Times New Roman" w:cs="Times New Roman"/>
        </w:rPr>
        <w:t xml:space="preserve">, </w:t>
      </w:r>
      <w:r w:rsidRPr="006F2E75">
        <w:rPr>
          <w:rFonts w:ascii="Times New Roman" w:hAnsi="Times New Roman" w:cs="Times New Roman"/>
          <w:i/>
          <w:iCs/>
        </w:rPr>
        <w:t>13</w:t>
      </w:r>
      <w:r w:rsidRPr="006F2E75">
        <w:rPr>
          <w:rFonts w:ascii="Times New Roman" w:hAnsi="Times New Roman" w:cs="Times New Roman"/>
        </w:rPr>
        <w:t xml:space="preserve">(21), 3465. </w:t>
      </w:r>
      <w:hyperlink r:id="rId23" w:tgtFrame="_blank" w:history="1">
        <w:r w:rsidRPr="006F2E75">
          <w:rPr>
            <w:rStyle w:val="Hyperlink"/>
            <w:rFonts w:ascii="Times New Roman" w:hAnsi="Times New Roman" w:cs="Times New Roman"/>
          </w:rPr>
          <w:t>https://doi.org/10.3390/foods13213465</w:t>
        </w:r>
      </w:hyperlink>
    </w:p>
    <w:p w14:paraId="0FF715E5" w14:textId="77777777" w:rsidR="00B44248" w:rsidRDefault="00B44248" w:rsidP="00390724">
      <w:pPr>
        <w:pStyle w:val="ListParagraph"/>
        <w:numPr>
          <w:ilvl w:val="0"/>
          <w:numId w:val="4"/>
        </w:numPr>
        <w:rPr>
          <w:rFonts w:ascii="Times New Roman" w:hAnsi="Times New Roman" w:cs="Times New Roman"/>
        </w:rPr>
      </w:pPr>
      <w:r w:rsidRPr="00390724">
        <w:rPr>
          <w:rFonts w:ascii="Times New Roman" w:hAnsi="Times New Roman" w:cs="Times New Roman"/>
        </w:rPr>
        <w:t xml:space="preserve">Jehangir, N., &amp; Ali, S. (2023). The insecticidal efficacy and performance of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 Cotton under variable abiotic stresses – A Review on recent findings. Plant Stress, 8, 100151. </w:t>
      </w:r>
      <w:hyperlink r:id="rId24" w:history="1">
        <w:r w:rsidRPr="00087A29">
          <w:rPr>
            <w:rStyle w:val="Hyperlink"/>
            <w:rFonts w:ascii="Times New Roman" w:hAnsi="Times New Roman" w:cs="Times New Roman"/>
          </w:rPr>
          <w:t>https://doi.org/10.1016/j.stress.2023.100151</w:t>
        </w:r>
      </w:hyperlink>
      <w:r>
        <w:rPr>
          <w:rFonts w:ascii="Times New Roman" w:hAnsi="Times New Roman" w:cs="Times New Roman"/>
        </w:rPr>
        <w:t xml:space="preserve"> </w:t>
      </w:r>
    </w:p>
    <w:p w14:paraId="150FBED9" w14:textId="77777777" w:rsidR="00B44248" w:rsidRPr="00390724" w:rsidRDefault="00B44248" w:rsidP="00A93F67">
      <w:pPr>
        <w:pStyle w:val="ListParagraph"/>
        <w:numPr>
          <w:ilvl w:val="0"/>
          <w:numId w:val="4"/>
        </w:numPr>
        <w:rPr>
          <w:rFonts w:ascii="Times New Roman" w:hAnsi="Times New Roman" w:cs="Times New Roman"/>
          <w:color w:val="1B1C1D"/>
          <w:sz w:val="24"/>
        </w:rPr>
      </w:pPr>
      <w:r w:rsidRPr="00390724">
        <w:rPr>
          <w:rFonts w:ascii="Times New Roman" w:hAnsi="Times New Roman" w:cs="Times New Roman"/>
          <w:color w:val="1B1C1D"/>
          <w:sz w:val="24"/>
          <w:bdr w:val="none" w:sz="0" w:space="0" w:color="auto" w:frame="1"/>
        </w:rPr>
        <w:t xml:space="preserve">Jiao, Y., Yang, Y., </w:t>
      </w:r>
      <w:proofErr w:type="spellStart"/>
      <w:r w:rsidRPr="00390724">
        <w:rPr>
          <w:rFonts w:ascii="Times New Roman" w:hAnsi="Times New Roman" w:cs="Times New Roman"/>
          <w:color w:val="1B1C1D"/>
          <w:sz w:val="24"/>
          <w:bdr w:val="none" w:sz="0" w:space="0" w:color="auto" w:frame="1"/>
        </w:rPr>
        <w:t>Meissle</w:t>
      </w:r>
      <w:proofErr w:type="spellEnd"/>
      <w:r w:rsidRPr="00390724">
        <w:rPr>
          <w:rFonts w:ascii="Times New Roman" w:hAnsi="Times New Roman" w:cs="Times New Roman"/>
          <w:color w:val="1B1C1D"/>
          <w:sz w:val="24"/>
          <w:bdr w:val="none" w:sz="0" w:space="0" w:color="auto" w:frame="1"/>
        </w:rPr>
        <w:t xml:space="preserve">, M., Peng, Y., &amp; Li, Y. (2016). Comparison of susceptibility of </w:t>
      </w:r>
      <w:proofErr w:type="spellStart"/>
      <w:r w:rsidRPr="00390724">
        <w:rPr>
          <w:rFonts w:ascii="Times New Roman" w:hAnsi="Times New Roman" w:cs="Times New Roman"/>
          <w:color w:val="1B1C1D"/>
          <w:sz w:val="24"/>
          <w:bdr w:val="none" w:sz="0" w:space="0" w:color="auto" w:frame="1"/>
        </w:rPr>
        <w:t>Chilo</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suppressalis</w:t>
      </w:r>
      <w:proofErr w:type="spellEnd"/>
      <w:r w:rsidRPr="00390724">
        <w:rPr>
          <w:rFonts w:ascii="Times New Roman" w:hAnsi="Times New Roman" w:cs="Times New Roman"/>
          <w:color w:val="1B1C1D"/>
          <w:sz w:val="24"/>
          <w:bdr w:val="none" w:sz="0" w:space="0" w:color="auto" w:frame="1"/>
        </w:rPr>
        <w:t xml:space="preserve"> and Bombyx mori to five Bacillus thuringiensis proteins. Journal of Invertebrate Pathology, 136, 95–99. </w:t>
      </w:r>
      <w:hyperlink r:id="rId25" w:history="1">
        <w:r w:rsidRPr="00087A29">
          <w:rPr>
            <w:rStyle w:val="Hyperlink"/>
            <w:rFonts w:ascii="Times New Roman" w:hAnsi="Times New Roman" w:cs="Times New Roman"/>
            <w:sz w:val="24"/>
            <w:bdr w:val="none" w:sz="0" w:space="0" w:color="auto" w:frame="1"/>
          </w:rPr>
          <w:t>https://doi.org/10.1016/j.jip.2016.03.010</w:t>
        </w:r>
      </w:hyperlink>
      <w:r>
        <w:rPr>
          <w:rFonts w:ascii="Times New Roman" w:hAnsi="Times New Roman" w:cs="Times New Roman"/>
          <w:color w:val="1B1C1D"/>
          <w:sz w:val="24"/>
          <w:bdr w:val="none" w:sz="0" w:space="0" w:color="auto" w:frame="1"/>
        </w:rPr>
        <w:t xml:space="preserve"> </w:t>
      </w:r>
    </w:p>
    <w:p w14:paraId="18193758" w14:textId="77777777" w:rsidR="00B44248" w:rsidRPr="00390724"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1B1C1D"/>
          <w:sz w:val="24"/>
          <w:bdr w:val="none" w:sz="0" w:space="0" w:color="auto" w:frame="1"/>
        </w:rPr>
        <w:t xml:space="preserve">Li, S., Xu, X., Shakeel, M., Xu, J., Zheng, Z., Zheng, J., Yu, X., Zhao, Q., &amp; Jin, F. (2018). Bacillus thuringiensis Suppresses the Humoral Immune System to Overcome Defense Mechanism of </w:t>
      </w:r>
      <w:proofErr w:type="spellStart"/>
      <w:r w:rsidRPr="00390724">
        <w:rPr>
          <w:rFonts w:ascii="Times New Roman" w:hAnsi="Times New Roman" w:cs="Times New Roman"/>
          <w:color w:val="1B1C1D"/>
          <w:sz w:val="24"/>
          <w:bdr w:val="none" w:sz="0" w:space="0" w:color="auto" w:frame="1"/>
        </w:rPr>
        <w:t>Plutella</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xylostella</w:t>
      </w:r>
      <w:proofErr w:type="spellEnd"/>
      <w:r w:rsidRPr="00390724">
        <w:rPr>
          <w:rFonts w:ascii="Times New Roman" w:hAnsi="Times New Roman" w:cs="Times New Roman"/>
          <w:color w:val="1B1C1D"/>
          <w:sz w:val="24"/>
          <w:bdr w:val="none" w:sz="0" w:space="0" w:color="auto" w:frame="1"/>
        </w:rPr>
        <w:t xml:space="preserve">. Frontiers in Physiology. </w:t>
      </w:r>
      <w:hyperlink r:id="rId26" w:history="1">
        <w:r w:rsidRPr="00087A29">
          <w:rPr>
            <w:rStyle w:val="Hyperlink"/>
            <w:rFonts w:ascii="Times New Roman" w:hAnsi="Times New Roman" w:cs="Times New Roman"/>
            <w:sz w:val="24"/>
            <w:bdr w:val="none" w:sz="0" w:space="0" w:color="auto" w:frame="1"/>
          </w:rPr>
          <w:t>https://doi.org/10.3389/fphys.2018.01478</w:t>
        </w:r>
      </w:hyperlink>
      <w:r>
        <w:rPr>
          <w:rFonts w:ascii="Times New Roman" w:hAnsi="Times New Roman" w:cs="Times New Roman"/>
          <w:color w:val="1B1C1D"/>
          <w:sz w:val="24"/>
          <w:bdr w:val="none" w:sz="0" w:space="0" w:color="auto" w:frame="1"/>
        </w:rPr>
        <w:t xml:space="preserve"> </w:t>
      </w:r>
    </w:p>
    <w:p w14:paraId="1A6CDA67" w14:textId="77777777" w:rsidR="00B44248" w:rsidRPr="00390724" w:rsidRDefault="00B44248" w:rsidP="00A93F67">
      <w:pPr>
        <w:pStyle w:val="ListParagraph"/>
        <w:numPr>
          <w:ilvl w:val="0"/>
          <w:numId w:val="4"/>
        </w:numPr>
        <w:rPr>
          <w:rFonts w:ascii="Times New Roman" w:hAnsi="Times New Roman" w:cs="Times New Roman"/>
          <w:sz w:val="24"/>
        </w:rPr>
      </w:pPr>
      <w:r w:rsidRPr="00390724">
        <w:rPr>
          <w:rFonts w:ascii="Times New Roman" w:hAnsi="Times New Roman" w:cs="Times New Roman"/>
          <w:color w:val="222222"/>
          <w:sz w:val="24"/>
          <w:shd w:val="clear" w:color="auto" w:fill="FFFFFF"/>
        </w:rPr>
        <w:t>Li, Y., Wang, C., Ge, L., Hu, C., Wu, G., Sun, Y., Song, L., Wu, X., Pan, A., Xu, Q., Shi, J., Liang, J., &amp; Li, P. (2022). Environmental behaviors of Bacillus thuringiensis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insecticidal proteins and their effects on microbial ecology. Plants, 11(9), 1212. </w:t>
      </w:r>
      <w:hyperlink r:id="rId27" w:history="1">
        <w:r w:rsidRPr="00087A29">
          <w:rPr>
            <w:rStyle w:val="Hyperlink"/>
            <w:rFonts w:ascii="Times New Roman" w:hAnsi="Times New Roman" w:cs="Times New Roman"/>
            <w:sz w:val="24"/>
            <w:shd w:val="clear" w:color="auto" w:fill="FFFFFF"/>
          </w:rPr>
          <w:t>https://doi.org/10.3390/plants11091212</w:t>
        </w:r>
      </w:hyperlink>
      <w:r>
        <w:rPr>
          <w:rFonts w:ascii="Times New Roman" w:hAnsi="Times New Roman" w:cs="Times New Roman"/>
          <w:color w:val="222222"/>
          <w:sz w:val="24"/>
          <w:shd w:val="clear" w:color="auto" w:fill="FFFFFF"/>
        </w:rPr>
        <w:t xml:space="preserve"> </w:t>
      </w:r>
    </w:p>
    <w:p w14:paraId="5D035411" w14:textId="77777777" w:rsidR="00B44248" w:rsidRPr="00390724"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lang w:val="fr-BE"/>
        </w:rPr>
        <w:t xml:space="preserve">Liu, L. L., Chen, Z. W., Yang, Y. C., Xiao, Y. T., Liu, C. X., Ma, Y. M., </w:t>
      </w:r>
      <w:proofErr w:type="spellStart"/>
      <w:r w:rsidRPr="00390724">
        <w:rPr>
          <w:rFonts w:ascii="Times New Roman" w:hAnsi="Times New Roman" w:cs="Times New Roman"/>
          <w:color w:val="222222"/>
          <w:sz w:val="24"/>
          <w:shd w:val="clear" w:color="auto" w:fill="FFFFFF"/>
          <w:lang w:val="fr-BE"/>
        </w:rPr>
        <w:t>Soberon</w:t>
      </w:r>
      <w:proofErr w:type="spellEnd"/>
      <w:r w:rsidRPr="00390724">
        <w:rPr>
          <w:rFonts w:ascii="Times New Roman" w:hAnsi="Times New Roman" w:cs="Times New Roman"/>
          <w:color w:val="222222"/>
          <w:sz w:val="24"/>
          <w:shd w:val="clear" w:color="auto" w:fill="FFFFFF"/>
          <w:lang w:val="fr-BE"/>
        </w:rPr>
        <w:t xml:space="preserve">, M., Bravo, A., Yang, Y. B., &amp; Liu, K. Y. (2018). A single </w:t>
      </w:r>
      <w:proofErr w:type="spellStart"/>
      <w:r w:rsidRPr="00390724">
        <w:rPr>
          <w:rFonts w:ascii="Times New Roman" w:hAnsi="Times New Roman" w:cs="Times New Roman"/>
          <w:color w:val="222222"/>
          <w:sz w:val="24"/>
          <w:shd w:val="clear" w:color="auto" w:fill="FFFFFF"/>
          <w:lang w:val="fr-BE"/>
        </w:rPr>
        <w:t>amino</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acid</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polymorphism</w:t>
      </w:r>
      <w:proofErr w:type="spellEnd"/>
      <w:r w:rsidRPr="00390724">
        <w:rPr>
          <w:rFonts w:ascii="Times New Roman" w:hAnsi="Times New Roman" w:cs="Times New Roman"/>
          <w:color w:val="222222"/>
          <w:sz w:val="24"/>
          <w:shd w:val="clear" w:color="auto" w:fill="FFFFFF"/>
          <w:lang w:val="fr-BE"/>
        </w:rPr>
        <w:t xml:space="preserve"> in ABCC2 </w:t>
      </w:r>
      <w:proofErr w:type="spellStart"/>
      <w:r w:rsidRPr="00390724">
        <w:rPr>
          <w:rFonts w:ascii="Times New Roman" w:hAnsi="Times New Roman" w:cs="Times New Roman"/>
          <w:color w:val="222222"/>
          <w:sz w:val="24"/>
          <w:shd w:val="clear" w:color="auto" w:fill="FFFFFF"/>
          <w:lang w:val="fr-BE"/>
        </w:rPr>
        <w:t>loop</w:t>
      </w:r>
      <w:proofErr w:type="spellEnd"/>
      <w:r w:rsidRPr="00390724">
        <w:rPr>
          <w:rFonts w:ascii="Times New Roman" w:hAnsi="Times New Roman" w:cs="Times New Roman"/>
          <w:color w:val="222222"/>
          <w:sz w:val="24"/>
          <w:shd w:val="clear" w:color="auto" w:fill="FFFFFF"/>
          <w:lang w:val="fr-BE"/>
        </w:rPr>
        <w:t xml:space="preserve"> 1 </w:t>
      </w:r>
      <w:proofErr w:type="spellStart"/>
      <w:r w:rsidRPr="00390724">
        <w:rPr>
          <w:rFonts w:ascii="Times New Roman" w:hAnsi="Times New Roman" w:cs="Times New Roman"/>
          <w:color w:val="222222"/>
          <w:sz w:val="24"/>
          <w:shd w:val="clear" w:color="auto" w:fill="FFFFFF"/>
          <w:lang w:val="fr-BE"/>
        </w:rPr>
        <w:t>is</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responsible</w:t>
      </w:r>
      <w:proofErr w:type="spellEnd"/>
      <w:r w:rsidRPr="00390724">
        <w:rPr>
          <w:rFonts w:ascii="Times New Roman" w:hAnsi="Times New Roman" w:cs="Times New Roman"/>
          <w:color w:val="222222"/>
          <w:sz w:val="24"/>
          <w:shd w:val="clear" w:color="auto" w:fill="FFFFFF"/>
          <w:lang w:val="fr-BE"/>
        </w:rPr>
        <w:t xml:space="preserve"> for </w:t>
      </w:r>
      <w:proofErr w:type="spellStart"/>
      <w:r w:rsidRPr="00390724">
        <w:rPr>
          <w:rFonts w:ascii="Times New Roman" w:hAnsi="Times New Roman" w:cs="Times New Roman"/>
          <w:color w:val="222222"/>
          <w:sz w:val="24"/>
          <w:shd w:val="clear" w:color="auto" w:fill="FFFFFF"/>
          <w:lang w:val="fr-BE"/>
        </w:rPr>
        <w:t>differential</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toxicity</w:t>
      </w:r>
      <w:proofErr w:type="spellEnd"/>
      <w:r w:rsidRPr="00390724">
        <w:rPr>
          <w:rFonts w:ascii="Times New Roman" w:hAnsi="Times New Roman" w:cs="Times New Roman"/>
          <w:color w:val="222222"/>
          <w:sz w:val="24"/>
          <w:shd w:val="clear" w:color="auto" w:fill="FFFFFF"/>
          <w:lang w:val="fr-BE"/>
        </w:rPr>
        <w:t xml:space="preserve"> of Bacillus thuringiensis Cry1Ac </w:t>
      </w:r>
      <w:proofErr w:type="spellStart"/>
      <w:r w:rsidRPr="00390724">
        <w:rPr>
          <w:rFonts w:ascii="Times New Roman" w:hAnsi="Times New Roman" w:cs="Times New Roman"/>
          <w:color w:val="222222"/>
          <w:sz w:val="24"/>
          <w:shd w:val="clear" w:color="auto" w:fill="FFFFFF"/>
          <w:lang w:val="fr-BE"/>
        </w:rPr>
        <w:t>toxin</w:t>
      </w:r>
      <w:proofErr w:type="spellEnd"/>
      <w:r w:rsidRPr="00390724">
        <w:rPr>
          <w:rFonts w:ascii="Times New Roman" w:hAnsi="Times New Roman" w:cs="Times New Roman"/>
          <w:color w:val="222222"/>
          <w:sz w:val="24"/>
          <w:shd w:val="clear" w:color="auto" w:fill="FFFFFF"/>
          <w:lang w:val="fr-BE"/>
        </w:rPr>
        <w:t xml:space="preserve"> in </w:t>
      </w:r>
      <w:proofErr w:type="spellStart"/>
      <w:r w:rsidRPr="00390724">
        <w:rPr>
          <w:rFonts w:ascii="Times New Roman" w:hAnsi="Times New Roman" w:cs="Times New Roman"/>
          <w:color w:val="222222"/>
          <w:sz w:val="24"/>
          <w:shd w:val="clear" w:color="auto" w:fill="FFFFFF"/>
          <w:lang w:val="fr-BE"/>
        </w:rPr>
        <w:t>different</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Spodoptera</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Noctuidae</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species</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Insect</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Biochemistry</w:t>
      </w:r>
      <w:proofErr w:type="spellEnd"/>
      <w:r w:rsidRPr="00390724">
        <w:rPr>
          <w:rFonts w:ascii="Times New Roman" w:hAnsi="Times New Roman" w:cs="Times New Roman"/>
          <w:color w:val="222222"/>
          <w:sz w:val="24"/>
          <w:shd w:val="clear" w:color="auto" w:fill="FFFFFF"/>
          <w:lang w:val="fr-BE"/>
        </w:rPr>
        <w:t xml:space="preserve"> and </w:t>
      </w:r>
      <w:proofErr w:type="spellStart"/>
      <w:r w:rsidRPr="00390724">
        <w:rPr>
          <w:rFonts w:ascii="Times New Roman" w:hAnsi="Times New Roman" w:cs="Times New Roman"/>
          <w:color w:val="222222"/>
          <w:sz w:val="24"/>
          <w:shd w:val="clear" w:color="auto" w:fill="FFFFFF"/>
          <w:lang w:val="fr-BE"/>
        </w:rPr>
        <w:t>Molecular</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Biology</w:t>
      </w:r>
      <w:proofErr w:type="spellEnd"/>
      <w:r w:rsidRPr="00390724">
        <w:rPr>
          <w:rFonts w:ascii="Times New Roman" w:hAnsi="Times New Roman" w:cs="Times New Roman"/>
          <w:color w:val="222222"/>
          <w:sz w:val="24"/>
          <w:shd w:val="clear" w:color="auto" w:fill="FFFFFF"/>
          <w:lang w:val="fr-BE"/>
        </w:rPr>
        <w:t xml:space="preserve">. </w:t>
      </w:r>
      <w:hyperlink r:id="rId28" w:history="1">
        <w:r w:rsidRPr="00087A29">
          <w:rPr>
            <w:rStyle w:val="Hyperlink"/>
            <w:rFonts w:ascii="Times New Roman" w:hAnsi="Times New Roman" w:cs="Times New Roman"/>
            <w:sz w:val="24"/>
            <w:shd w:val="clear" w:color="auto" w:fill="FFFFFF"/>
            <w:lang w:val="fr-BE"/>
          </w:rPr>
          <w:t>https://doi.org/10.1016/j.ibmb.2018.06.004</w:t>
        </w:r>
      </w:hyperlink>
      <w:r>
        <w:rPr>
          <w:rFonts w:ascii="Times New Roman" w:hAnsi="Times New Roman" w:cs="Times New Roman"/>
          <w:color w:val="222222"/>
          <w:sz w:val="24"/>
          <w:shd w:val="clear" w:color="auto" w:fill="FFFFFF"/>
          <w:lang w:val="fr-BE"/>
        </w:rPr>
        <w:t xml:space="preserve"> </w:t>
      </w:r>
    </w:p>
    <w:p w14:paraId="63BD0849"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Mandal, A., Sarkar, B., Owens, G., Thakur, J. K., Manna, M. C., Niazi, N. K., Jayaraman, S., &amp; Patra, A. K. (2020). Impact of genetically modified crops on rhizosphere microorganisms and processes: A review focusing on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cotton. Applied Soil Ecology, 148, 103492. </w:t>
      </w:r>
      <w:hyperlink r:id="rId29" w:history="1">
        <w:r w:rsidRPr="00087A29">
          <w:rPr>
            <w:rStyle w:val="Hyperlink"/>
            <w:rFonts w:ascii="Times New Roman" w:hAnsi="Times New Roman" w:cs="Times New Roman"/>
            <w:sz w:val="24"/>
            <w:shd w:val="clear" w:color="auto" w:fill="FFFFFF"/>
          </w:rPr>
          <w:t>https://doi.org/10.1016/j.apsoil.2019.103492</w:t>
        </w:r>
      </w:hyperlink>
      <w:r>
        <w:rPr>
          <w:rFonts w:ascii="Times New Roman" w:hAnsi="Times New Roman" w:cs="Times New Roman"/>
          <w:color w:val="222222"/>
          <w:sz w:val="24"/>
          <w:shd w:val="clear" w:color="auto" w:fill="FFFFFF"/>
        </w:rPr>
        <w:t xml:space="preserve"> </w:t>
      </w:r>
    </w:p>
    <w:p w14:paraId="65F3B8E0"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proofErr w:type="spellStart"/>
      <w:r w:rsidRPr="00390724">
        <w:rPr>
          <w:rFonts w:ascii="Times New Roman" w:hAnsi="Times New Roman" w:cs="Times New Roman"/>
          <w:color w:val="222222"/>
          <w:sz w:val="24"/>
          <w:shd w:val="clear" w:color="auto" w:fill="FFFFFF"/>
        </w:rPr>
        <w:t>Nawrot</w:t>
      </w:r>
      <w:proofErr w:type="spellEnd"/>
      <w:r w:rsidRPr="00390724">
        <w:rPr>
          <w:rFonts w:ascii="Times New Roman" w:hAnsi="Times New Roman" w:cs="Times New Roman"/>
          <w:color w:val="222222"/>
          <w:sz w:val="24"/>
          <w:shd w:val="clear" w:color="auto" w:fill="FFFFFF"/>
        </w:rPr>
        <w:t xml:space="preserve">-Esposito, M. P., </w:t>
      </w:r>
      <w:proofErr w:type="spellStart"/>
      <w:r w:rsidRPr="00390724">
        <w:rPr>
          <w:rFonts w:ascii="Times New Roman" w:hAnsi="Times New Roman" w:cs="Times New Roman"/>
          <w:color w:val="222222"/>
          <w:sz w:val="24"/>
          <w:shd w:val="clear" w:color="auto" w:fill="FFFFFF"/>
        </w:rPr>
        <w:t>Babin</w:t>
      </w:r>
      <w:proofErr w:type="spellEnd"/>
      <w:r w:rsidRPr="00390724">
        <w:rPr>
          <w:rFonts w:ascii="Times New Roman" w:hAnsi="Times New Roman" w:cs="Times New Roman"/>
          <w:color w:val="222222"/>
          <w:sz w:val="24"/>
          <w:shd w:val="clear" w:color="auto" w:fill="FFFFFF"/>
        </w:rPr>
        <w:t xml:space="preserve">, A., Pasco, M., </w:t>
      </w:r>
      <w:proofErr w:type="spellStart"/>
      <w:r w:rsidRPr="00390724">
        <w:rPr>
          <w:rFonts w:ascii="Times New Roman" w:hAnsi="Times New Roman" w:cs="Times New Roman"/>
          <w:color w:val="222222"/>
          <w:sz w:val="24"/>
          <w:shd w:val="clear" w:color="auto" w:fill="FFFFFF"/>
        </w:rPr>
        <w:t>Poirié</w:t>
      </w:r>
      <w:proofErr w:type="spellEnd"/>
      <w:r w:rsidRPr="00390724">
        <w:rPr>
          <w:rFonts w:ascii="Times New Roman" w:hAnsi="Times New Roman" w:cs="Times New Roman"/>
          <w:color w:val="222222"/>
          <w:sz w:val="24"/>
          <w:shd w:val="clear" w:color="auto" w:fill="FFFFFF"/>
        </w:rPr>
        <w:t xml:space="preserve">, M., </w:t>
      </w:r>
      <w:proofErr w:type="spellStart"/>
      <w:r w:rsidRPr="00390724">
        <w:rPr>
          <w:rFonts w:ascii="Times New Roman" w:hAnsi="Times New Roman" w:cs="Times New Roman"/>
          <w:color w:val="222222"/>
          <w:sz w:val="24"/>
          <w:shd w:val="clear" w:color="auto" w:fill="FFFFFF"/>
        </w:rPr>
        <w:t>Gatti</w:t>
      </w:r>
      <w:proofErr w:type="spellEnd"/>
      <w:r w:rsidRPr="00390724">
        <w:rPr>
          <w:rFonts w:ascii="Times New Roman" w:hAnsi="Times New Roman" w:cs="Times New Roman"/>
          <w:color w:val="222222"/>
          <w:sz w:val="24"/>
          <w:shd w:val="clear" w:color="auto" w:fill="FFFFFF"/>
        </w:rPr>
        <w:t xml:space="preserve">, J. L., &amp; </w:t>
      </w:r>
      <w:proofErr w:type="spellStart"/>
      <w:r w:rsidRPr="00390724">
        <w:rPr>
          <w:rFonts w:ascii="Times New Roman" w:hAnsi="Times New Roman" w:cs="Times New Roman"/>
          <w:color w:val="222222"/>
          <w:sz w:val="24"/>
          <w:shd w:val="clear" w:color="auto" w:fill="FFFFFF"/>
        </w:rPr>
        <w:t>Gallet</w:t>
      </w:r>
      <w:proofErr w:type="spellEnd"/>
      <w:r w:rsidRPr="00390724">
        <w:rPr>
          <w:rFonts w:ascii="Times New Roman" w:hAnsi="Times New Roman" w:cs="Times New Roman"/>
          <w:color w:val="222222"/>
          <w:sz w:val="24"/>
          <w:shd w:val="clear" w:color="auto" w:fill="FFFFFF"/>
        </w:rPr>
        <w:t xml:space="preserve">, A. (2020). Bacillus thuringiensis Bioinsecticides Induce Developmental Defects in Non-Target Drosophila </w:t>
      </w:r>
      <w:proofErr w:type="gramStart"/>
      <w:r w:rsidRPr="00390724">
        <w:rPr>
          <w:rFonts w:ascii="Times New Roman" w:hAnsi="Times New Roman" w:cs="Times New Roman"/>
          <w:color w:val="222222"/>
          <w:sz w:val="24"/>
          <w:shd w:val="clear" w:color="auto" w:fill="FFFFFF"/>
        </w:rPr>
        <w:t>melanogaster</w:t>
      </w:r>
      <w:proofErr w:type="gramEnd"/>
      <w:r w:rsidRPr="00390724">
        <w:rPr>
          <w:rFonts w:ascii="Times New Roman" w:hAnsi="Times New Roman" w:cs="Times New Roman"/>
          <w:color w:val="222222"/>
          <w:sz w:val="24"/>
          <w:shd w:val="clear" w:color="auto" w:fill="FFFFFF"/>
        </w:rPr>
        <w:t xml:space="preserve"> Larvae. Insects, 11(10), 697. </w:t>
      </w:r>
      <w:hyperlink r:id="rId30" w:history="1">
        <w:r w:rsidRPr="00087A29">
          <w:rPr>
            <w:rStyle w:val="Hyperlink"/>
            <w:rFonts w:ascii="Times New Roman" w:hAnsi="Times New Roman" w:cs="Times New Roman"/>
            <w:sz w:val="24"/>
            <w:shd w:val="clear" w:color="auto" w:fill="FFFFFF"/>
          </w:rPr>
          <w:t>https://doi.org/10.3390/insects11100697</w:t>
        </w:r>
      </w:hyperlink>
      <w:r>
        <w:rPr>
          <w:rFonts w:ascii="Times New Roman" w:hAnsi="Times New Roman" w:cs="Times New Roman"/>
          <w:color w:val="222222"/>
          <w:sz w:val="24"/>
          <w:shd w:val="clear" w:color="auto" w:fill="FFFFFF"/>
        </w:rPr>
        <w:t xml:space="preserve"> </w:t>
      </w:r>
    </w:p>
    <w:p w14:paraId="520859D7" w14:textId="77777777" w:rsidR="00B44248" w:rsidRDefault="00B44248" w:rsidP="00C57D6D">
      <w:pPr>
        <w:pStyle w:val="ListParagraph"/>
        <w:numPr>
          <w:ilvl w:val="0"/>
          <w:numId w:val="4"/>
        </w:numPr>
        <w:rPr>
          <w:rFonts w:ascii="Times New Roman" w:hAnsi="Times New Roman" w:cs="Times New Roman"/>
        </w:rPr>
      </w:pPr>
      <w:r w:rsidRPr="00390724">
        <w:rPr>
          <w:rFonts w:ascii="Times New Roman" w:hAnsi="Times New Roman" w:cs="Times New Roman"/>
        </w:rPr>
        <w:t xml:space="preserve">Ortiz, A., &amp; </w:t>
      </w:r>
      <w:proofErr w:type="spellStart"/>
      <w:r w:rsidRPr="00390724">
        <w:rPr>
          <w:rFonts w:ascii="Times New Roman" w:hAnsi="Times New Roman" w:cs="Times New Roman"/>
        </w:rPr>
        <w:t>Sansinenea</w:t>
      </w:r>
      <w:proofErr w:type="spellEnd"/>
      <w:r w:rsidRPr="00390724">
        <w:rPr>
          <w:rFonts w:ascii="Times New Roman" w:hAnsi="Times New Roman" w:cs="Times New Roman"/>
        </w:rPr>
        <w:t xml:space="preserve">, E. (2023). Genetically Modified Plants Based on Bacillus Genes and Commercial Bacillus-Based Biopesticides for Sustainable Agriculture. </w:t>
      </w:r>
      <w:proofErr w:type="spellStart"/>
      <w:r w:rsidRPr="00390724">
        <w:rPr>
          <w:rFonts w:ascii="Times New Roman" w:hAnsi="Times New Roman" w:cs="Times New Roman"/>
        </w:rPr>
        <w:t>Horticulturae</w:t>
      </w:r>
      <w:proofErr w:type="spellEnd"/>
      <w:r w:rsidRPr="00390724">
        <w:rPr>
          <w:rFonts w:ascii="Times New Roman" w:hAnsi="Times New Roman" w:cs="Times New Roman"/>
        </w:rPr>
        <w:t xml:space="preserve">, 9(9), 963. </w:t>
      </w:r>
      <w:hyperlink r:id="rId31" w:history="1">
        <w:r w:rsidRPr="00087A29">
          <w:rPr>
            <w:rStyle w:val="Hyperlink"/>
            <w:rFonts w:ascii="Times New Roman" w:hAnsi="Times New Roman" w:cs="Times New Roman"/>
          </w:rPr>
          <w:t>https://doi.org/10.3390/horticulturae9090963</w:t>
        </w:r>
      </w:hyperlink>
      <w:r>
        <w:rPr>
          <w:rFonts w:ascii="Times New Roman" w:hAnsi="Times New Roman" w:cs="Times New Roman"/>
        </w:rPr>
        <w:t xml:space="preserve"> </w:t>
      </w:r>
    </w:p>
    <w:p w14:paraId="256B7F99" w14:textId="77777777" w:rsidR="00B44248" w:rsidRPr="00390724" w:rsidRDefault="00B44248" w:rsidP="00A93F67">
      <w:pPr>
        <w:pStyle w:val="ListParagraph"/>
        <w:numPr>
          <w:ilvl w:val="0"/>
          <w:numId w:val="4"/>
        </w:numPr>
        <w:rPr>
          <w:rFonts w:ascii="Times New Roman" w:hAnsi="Times New Roman" w:cs="Times New Roman"/>
          <w:sz w:val="24"/>
        </w:rPr>
      </w:pPr>
      <w:proofErr w:type="spellStart"/>
      <w:r w:rsidRPr="00390724">
        <w:rPr>
          <w:rFonts w:ascii="Times New Roman" w:hAnsi="Times New Roman" w:cs="Times New Roman"/>
          <w:color w:val="222222"/>
          <w:sz w:val="24"/>
          <w:shd w:val="clear" w:color="auto" w:fill="FFFFFF"/>
        </w:rPr>
        <w:t>Panthee</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Paudel</w:t>
      </w:r>
      <w:proofErr w:type="spellEnd"/>
      <w:r w:rsidRPr="00390724">
        <w:rPr>
          <w:rFonts w:ascii="Times New Roman" w:hAnsi="Times New Roman" w:cs="Times New Roman"/>
          <w:color w:val="222222"/>
          <w:sz w:val="24"/>
          <w:shd w:val="clear" w:color="auto" w:fill="FFFFFF"/>
        </w:rPr>
        <w:t xml:space="preserve">, A., Hamamoto, H., &amp; </w:t>
      </w:r>
      <w:proofErr w:type="spellStart"/>
      <w:r w:rsidRPr="00390724">
        <w:rPr>
          <w:rFonts w:ascii="Times New Roman" w:hAnsi="Times New Roman" w:cs="Times New Roman"/>
          <w:color w:val="222222"/>
          <w:sz w:val="24"/>
          <w:shd w:val="clear" w:color="auto" w:fill="FFFFFF"/>
        </w:rPr>
        <w:t>Sekimizu</w:t>
      </w:r>
      <w:proofErr w:type="spellEnd"/>
      <w:r w:rsidRPr="00390724">
        <w:rPr>
          <w:rFonts w:ascii="Times New Roman" w:hAnsi="Times New Roman" w:cs="Times New Roman"/>
          <w:color w:val="222222"/>
          <w:sz w:val="24"/>
          <w:shd w:val="clear" w:color="auto" w:fill="FFFFFF"/>
        </w:rPr>
        <w:t xml:space="preserve">, K. (2017). Advantages of the Silkworm </w:t>
      </w:r>
      <w:proofErr w:type="gramStart"/>
      <w:r w:rsidRPr="00390724">
        <w:rPr>
          <w:rFonts w:ascii="Times New Roman" w:hAnsi="Times New Roman" w:cs="Times New Roman"/>
          <w:color w:val="222222"/>
          <w:sz w:val="24"/>
          <w:shd w:val="clear" w:color="auto" w:fill="FFFFFF"/>
        </w:rPr>
        <w:t>As</w:t>
      </w:r>
      <w:proofErr w:type="gramEnd"/>
      <w:r w:rsidRPr="00390724">
        <w:rPr>
          <w:rFonts w:ascii="Times New Roman" w:hAnsi="Times New Roman" w:cs="Times New Roman"/>
          <w:color w:val="222222"/>
          <w:sz w:val="24"/>
          <w:shd w:val="clear" w:color="auto" w:fill="FFFFFF"/>
        </w:rPr>
        <w:t xml:space="preserve"> an Animal Model for Developing Novel Antimicrobial Agents. Frontiers in Microbiology, 8, 373. </w:t>
      </w:r>
      <w:hyperlink r:id="rId32" w:history="1">
        <w:r w:rsidRPr="00087A29">
          <w:rPr>
            <w:rStyle w:val="Hyperlink"/>
            <w:rFonts w:ascii="Times New Roman" w:hAnsi="Times New Roman" w:cs="Times New Roman"/>
            <w:sz w:val="24"/>
            <w:shd w:val="clear" w:color="auto" w:fill="FFFFFF"/>
          </w:rPr>
          <w:t>https://doi.org/10.3389/fmicb.2017.00373</w:t>
        </w:r>
      </w:hyperlink>
      <w:r>
        <w:rPr>
          <w:rFonts w:ascii="Times New Roman" w:hAnsi="Times New Roman" w:cs="Times New Roman"/>
          <w:color w:val="222222"/>
          <w:sz w:val="24"/>
          <w:shd w:val="clear" w:color="auto" w:fill="FFFFFF"/>
        </w:rPr>
        <w:t xml:space="preserve"> </w:t>
      </w:r>
    </w:p>
    <w:p w14:paraId="280AD90A" w14:textId="77777777" w:rsidR="00B44248" w:rsidRPr="00390724" w:rsidRDefault="00B44248" w:rsidP="00A93F67">
      <w:pPr>
        <w:pStyle w:val="ListParagraph"/>
        <w:numPr>
          <w:ilvl w:val="0"/>
          <w:numId w:val="4"/>
        </w:numPr>
        <w:rPr>
          <w:rFonts w:ascii="Times New Roman" w:hAnsi="Times New Roman" w:cs="Times New Roman"/>
          <w:color w:val="1B1C1D"/>
          <w:sz w:val="24"/>
        </w:rPr>
      </w:pPr>
      <w:r w:rsidRPr="00390724">
        <w:rPr>
          <w:rFonts w:ascii="Times New Roman" w:hAnsi="Times New Roman" w:cs="Times New Roman"/>
          <w:sz w:val="24"/>
        </w:rPr>
        <w:t xml:space="preserve">Pardo-López, L., </w:t>
      </w:r>
      <w:proofErr w:type="spellStart"/>
      <w:r w:rsidRPr="00390724">
        <w:rPr>
          <w:rFonts w:ascii="Times New Roman" w:hAnsi="Times New Roman" w:cs="Times New Roman"/>
          <w:sz w:val="24"/>
        </w:rPr>
        <w:t>Soberón</w:t>
      </w:r>
      <w:proofErr w:type="spellEnd"/>
      <w:r w:rsidRPr="00390724">
        <w:rPr>
          <w:rFonts w:ascii="Times New Roman" w:hAnsi="Times New Roman" w:cs="Times New Roman"/>
          <w:sz w:val="24"/>
        </w:rPr>
        <w:t xml:space="preserve">, M., &amp; Bravo, A. (2013). Bacillus thuringiensis </w:t>
      </w:r>
      <w:r w:rsidRPr="00390724">
        <w:rPr>
          <w:rFonts w:ascii="Times New Roman" w:hAnsi="Times New Roman" w:cs="Times New Roman"/>
          <w:sz w:val="24"/>
        </w:rPr>
        <w:lastRenderedPageBreak/>
        <w:t xml:space="preserve">insecticidal three-domain Cry toxins: Mode of action, insect resistance and consequences for crop protection. FEMS Microbiology Reviews, 37(1), 3–22. </w:t>
      </w:r>
      <w:hyperlink r:id="rId33" w:history="1">
        <w:r w:rsidRPr="00087A29">
          <w:rPr>
            <w:rStyle w:val="Hyperlink"/>
            <w:rFonts w:ascii="Times New Roman" w:hAnsi="Times New Roman" w:cs="Times New Roman"/>
            <w:sz w:val="24"/>
          </w:rPr>
          <w:t>https://doi.org/10.1111/j.1574-6976.2012.00341.x</w:t>
        </w:r>
      </w:hyperlink>
      <w:r>
        <w:rPr>
          <w:rFonts w:ascii="Times New Roman" w:hAnsi="Times New Roman" w:cs="Times New Roman"/>
          <w:sz w:val="24"/>
        </w:rPr>
        <w:t xml:space="preserve"> </w:t>
      </w:r>
    </w:p>
    <w:p w14:paraId="433520E9" w14:textId="77777777" w:rsidR="00B44248" w:rsidRDefault="00B44248" w:rsidP="00390724">
      <w:pPr>
        <w:pStyle w:val="ListParagraph"/>
        <w:numPr>
          <w:ilvl w:val="0"/>
          <w:numId w:val="4"/>
        </w:numPr>
        <w:rPr>
          <w:rFonts w:ascii="Times New Roman" w:hAnsi="Times New Roman" w:cs="Times New Roman"/>
        </w:rPr>
      </w:pPr>
      <w:r w:rsidRPr="00390724">
        <w:rPr>
          <w:rFonts w:ascii="Times New Roman" w:hAnsi="Times New Roman" w:cs="Times New Roman"/>
        </w:rPr>
        <w:t xml:space="preserve">Park, M. G., Choi, J., Yang, Y., Han, J., Kim, K. H., Park, S. W., Shin, J. Y., &amp; Je, Y. H. (2022). Isolation and molecular characterization of Bacillus thuringiensis subsp. </w:t>
      </w:r>
      <w:proofErr w:type="spellStart"/>
      <w:r w:rsidRPr="00390724">
        <w:rPr>
          <w:rFonts w:ascii="Times New Roman" w:hAnsi="Times New Roman" w:cs="Times New Roman"/>
        </w:rPr>
        <w:t>kurstaki</w:t>
      </w:r>
      <w:proofErr w:type="spellEnd"/>
      <w:r w:rsidRPr="00390724">
        <w:rPr>
          <w:rFonts w:ascii="Times New Roman" w:hAnsi="Times New Roman" w:cs="Times New Roman"/>
        </w:rPr>
        <w:t xml:space="preserve"> toxic to lepidopteran pests, Spodoptera spp. and </w:t>
      </w:r>
      <w:proofErr w:type="spellStart"/>
      <w:r w:rsidRPr="00390724">
        <w:rPr>
          <w:rFonts w:ascii="Times New Roman" w:hAnsi="Times New Roman" w:cs="Times New Roman"/>
        </w:rPr>
        <w:t>Plutella</w:t>
      </w:r>
      <w:proofErr w:type="spellEnd"/>
      <w:r w:rsidRPr="00390724">
        <w:rPr>
          <w:rFonts w:ascii="Times New Roman" w:hAnsi="Times New Roman" w:cs="Times New Roman"/>
        </w:rPr>
        <w:t xml:space="preserve"> </w:t>
      </w:r>
      <w:proofErr w:type="spellStart"/>
      <w:r w:rsidRPr="00390724">
        <w:rPr>
          <w:rFonts w:ascii="Times New Roman" w:hAnsi="Times New Roman" w:cs="Times New Roman"/>
        </w:rPr>
        <w:t>xylostella</w:t>
      </w:r>
      <w:proofErr w:type="spellEnd"/>
      <w:r w:rsidRPr="00390724">
        <w:rPr>
          <w:rFonts w:ascii="Times New Roman" w:hAnsi="Times New Roman" w:cs="Times New Roman"/>
        </w:rPr>
        <w:t xml:space="preserve">. Pest Management Science, 78(7), 2976–2984. </w:t>
      </w:r>
      <w:hyperlink r:id="rId34" w:history="1">
        <w:r w:rsidRPr="00390724">
          <w:rPr>
            <w:rStyle w:val="Hyperlink"/>
            <w:rFonts w:ascii="Times New Roman" w:hAnsi="Times New Roman" w:cs="Times New Roman"/>
          </w:rPr>
          <w:t>https://doi.org/10.1002/ps.6922</w:t>
        </w:r>
      </w:hyperlink>
      <w:r w:rsidRPr="00390724">
        <w:rPr>
          <w:rFonts w:ascii="Times New Roman" w:hAnsi="Times New Roman" w:cs="Times New Roman"/>
        </w:rPr>
        <w:t xml:space="preserve"> </w:t>
      </w:r>
    </w:p>
    <w:p w14:paraId="683C6109" w14:textId="77777777" w:rsidR="00B44248" w:rsidRDefault="00B44248" w:rsidP="00C57D6D">
      <w:pPr>
        <w:pStyle w:val="ListParagraph"/>
        <w:numPr>
          <w:ilvl w:val="0"/>
          <w:numId w:val="4"/>
        </w:numPr>
        <w:rPr>
          <w:rFonts w:ascii="Times New Roman" w:hAnsi="Times New Roman" w:cs="Times New Roman"/>
        </w:rPr>
      </w:pPr>
      <w:proofErr w:type="spellStart"/>
      <w:r w:rsidRPr="00390724">
        <w:rPr>
          <w:rFonts w:ascii="Times New Roman" w:hAnsi="Times New Roman" w:cs="Times New Roman"/>
        </w:rPr>
        <w:t>Ragasruthi</w:t>
      </w:r>
      <w:proofErr w:type="spellEnd"/>
      <w:r w:rsidRPr="00390724">
        <w:rPr>
          <w:rFonts w:ascii="Times New Roman" w:hAnsi="Times New Roman" w:cs="Times New Roman"/>
        </w:rPr>
        <w:t xml:space="preserve">, M., Balakrishnan, N., Murugan, M., </w:t>
      </w:r>
      <w:proofErr w:type="spellStart"/>
      <w:r w:rsidRPr="00390724">
        <w:rPr>
          <w:rFonts w:ascii="Times New Roman" w:hAnsi="Times New Roman" w:cs="Times New Roman"/>
        </w:rPr>
        <w:t>Swarnakumari</w:t>
      </w:r>
      <w:proofErr w:type="spellEnd"/>
      <w:r w:rsidRPr="00390724">
        <w:rPr>
          <w:rFonts w:ascii="Times New Roman" w:hAnsi="Times New Roman" w:cs="Times New Roman"/>
        </w:rPr>
        <w:t>, N., Harish, S., &amp; Sharmila, D. J. S. (2024). Bacillus thuringiensis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)-based biopesticide: Navigating success, challenges, and future horizons in sustainable pest control. Science of The Total Environment, 954, 176594. </w:t>
      </w:r>
      <w:hyperlink r:id="rId35" w:history="1">
        <w:r w:rsidRPr="00087A29">
          <w:rPr>
            <w:rStyle w:val="Hyperlink"/>
            <w:rFonts w:ascii="Times New Roman" w:hAnsi="Times New Roman" w:cs="Times New Roman"/>
          </w:rPr>
          <w:t>https://doi.org/10.1016/j.scitotenv.2024.176594</w:t>
        </w:r>
      </w:hyperlink>
      <w:r>
        <w:rPr>
          <w:rFonts w:ascii="Times New Roman" w:hAnsi="Times New Roman" w:cs="Times New Roman"/>
        </w:rPr>
        <w:t xml:space="preserve"> </w:t>
      </w:r>
    </w:p>
    <w:p w14:paraId="6F6380AA" w14:textId="77777777" w:rsidR="00B44248" w:rsidRPr="00390724"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1B1C1D"/>
          <w:sz w:val="24"/>
          <w:bdr w:val="none" w:sz="0" w:space="0" w:color="auto" w:frame="1"/>
        </w:rPr>
        <w:t xml:space="preserve">Rahman, M. M., Roberts, H. L., </w:t>
      </w:r>
      <w:proofErr w:type="spellStart"/>
      <w:r w:rsidRPr="00390724">
        <w:rPr>
          <w:rFonts w:ascii="Times New Roman" w:hAnsi="Times New Roman" w:cs="Times New Roman"/>
          <w:color w:val="1B1C1D"/>
          <w:sz w:val="24"/>
          <w:bdr w:val="none" w:sz="0" w:space="0" w:color="auto" w:frame="1"/>
        </w:rPr>
        <w:t>Sarjan</w:t>
      </w:r>
      <w:proofErr w:type="spellEnd"/>
      <w:r w:rsidRPr="00390724">
        <w:rPr>
          <w:rFonts w:ascii="Times New Roman" w:hAnsi="Times New Roman" w:cs="Times New Roman"/>
          <w:color w:val="1B1C1D"/>
          <w:sz w:val="24"/>
          <w:bdr w:val="none" w:sz="0" w:space="0" w:color="auto" w:frame="1"/>
        </w:rPr>
        <w:t xml:space="preserve">, M., Asgari, S., &amp; Schmidt, O. (2004). Induction and transmission of Bacillus thuringiensis tolerance in the flour moth </w:t>
      </w:r>
      <w:proofErr w:type="spellStart"/>
      <w:r w:rsidRPr="00390724">
        <w:rPr>
          <w:rFonts w:ascii="Times New Roman" w:hAnsi="Times New Roman" w:cs="Times New Roman"/>
          <w:color w:val="1B1C1D"/>
          <w:sz w:val="24"/>
          <w:bdr w:val="none" w:sz="0" w:space="0" w:color="auto" w:frame="1"/>
        </w:rPr>
        <w:t>Ephestia</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kuehniella</w:t>
      </w:r>
      <w:proofErr w:type="spellEnd"/>
      <w:r w:rsidRPr="00390724">
        <w:rPr>
          <w:rFonts w:ascii="Times New Roman" w:hAnsi="Times New Roman" w:cs="Times New Roman"/>
          <w:color w:val="1B1C1D"/>
          <w:sz w:val="24"/>
          <w:bdr w:val="none" w:sz="0" w:space="0" w:color="auto" w:frame="1"/>
        </w:rPr>
        <w:t xml:space="preserve">. Proceedings of the National Academy of Sciences of the United States of America, 101(9), 2696–2699. </w:t>
      </w:r>
      <w:hyperlink r:id="rId36" w:history="1">
        <w:r w:rsidRPr="00087A29">
          <w:rPr>
            <w:rStyle w:val="Hyperlink"/>
            <w:rFonts w:ascii="Times New Roman" w:hAnsi="Times New Roman" w:cs="Times New Roman"/>
            <w:sz w:val="24"/>
            <w:bdr w:val="none" w:sz="0" w:space="0" w:color="auto" w:frame="1"/>
          </w:rPr>
          <w:t>https://doi.org/10.1073/pnas.0306669101</w:t>
        </w:r>
      </w:hyperlink>
    </w:p>
    <w:p w14:paraId="574BF743" w14:textId="77777777" w:rsidR="00B44248" w:rsidRPr="00390724" w:rsidRDefault="00B44248" w:rsidP="00A93F67">
      <w:pPr>
        <w:pStyle w:val="ListParagraph"/>
        <w:numPr>
          <w:ilvl w:val="0"/>
          <w:numId w:val="4"/>
        </w:numPr>
        <w:rPr>
          <w:rFonts w:ascii="Times New Roman" w:hAnsi="Times New Roman" w:cs="Times New Roman"/>
          <w:color w:val="212121"/>
          <w:sz w:val="24"/>
          <w:shd w:val="clear" w:color="auto" w:fill="FFFFFF"/>
        </w:rPr>
      </w:pPr>
      <w:r w:rsidRPr="00390724">
        <w:rPr>
          <w:rFonts w:ascii="Times New Roman" w:hAnsi="Times New Roman" w:cs="Times New Roman"/>
          <w:color w:val="222222"/>
          <w:sz w:val="24"/>
          <w:shd w:val="clear" w:color="auto" w:fill="FFFFFF"/>
        </w:rPr>
        <w:t xml:space="preserve">Reay-Jones, F. P. F., Bilbo, T. R., &amp; </w:t>
      </w:r>
      <w:proofErr w:type="spellStart"/>
      <w:r w:rsidRPr="00390724">
        <w:rPr>
          <w:rFonts w:ascii="Times New Roman" w:hAnsi="Times New Roman" w:cs="Times New Roman"/>
          <w:color w:val="222222"/>
          <w:sz w:val="24"/>
          <w:shd w:val="clear" w:color="auto" w:fill="FFFFFF"/>
        </w:rPr>
        <w:t>Reisig</w:t>
      </w:r>
      <w:proofErr w:type="spellEnd"/>
      <w:r w:rsidRPr="00390724">
        <w:rPr>
          <w:rFonts w:ascii="Times New Roman" w:hAnsi="Times New Roman" w:cs="Times New Roman"/>
          <w:color w:val="222222"/>
          <w:sz w:val="24"/>
          <w:shd w:val="clear" w:color="auto" w:fill="FFFFFF"/>
        </w:rPr>
        <w:t xml:space="preserve">, D. D. (2020). Decline in sublethal effects of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corn on corn earworm (Lepidoptera: </w:t>
      </w:r>
      <w:proofErr w:type="spellStart"/>
      <w:r w:rsidRPr="00390724">
        <w:rPr>
          <w:rFonts w:ascii="Times New Roman" w:hAnsi="Times New Roman" w:cs="Times New Roman"/>
          <w:color w:val="222222"/>
          <w:sz w:val="24"/>
          <w:shd w:val="clear" w:color="auto" w:fill="FFFFFF"/>
        </w:rPr>
        <w:t>Noctuidae</w:t>
      </w:r>
      <w:proofErr w:type="spellEnd"/>
      <w:r w:rsidRPr="00390724">
        <w:rPr>
          <w:rFonts w:ascii="Times New Roman" w:hAnsi="Times New Roman" w:cs="Times New Roman"/>
          <w:color w:val="222222"/>
          <w:sz w:val="24"/>
          <w:shd w:val="clear" w:color="auto" w:fill="FFFFFF"/>
        </w:rPr>
        <w:t xml:space="preserve">) linked to increasing levels of resistance. Journal of Economic Entomology, 113(5), 2241-2249. </w:t>
      </w:r>
      <w:hyperlink r:id="rId37" w:history="1">
        <w:r w:rsidRPr="00087A29">
          <w:rPr>
            <w:rStyle w:val="Hyperlink"/>
            <w:rFonts w:ascii="Times New Roman" w:hAnsi="Times New Roman" w:cs="Times New Roman"/>
            <w:sz w:val="24"/>
            <w:shd w:val="clear" w:color="auto" w:fill="FFFFFF"/>
          </w:rPr>
          <w:t>https://doi.org/10.1093/jee/toaa163</w:t>
        </w:r>
      </w:hyperlink>
      <w:r>
        <w:rPr>
          <w:rFonts w:ascii="Times New Roman" w:hAnsi="Times New Roman" w:cs="Times New Roman"/>
          <w:color w:val="222222"/>
          <w:sz w:val="24"/>
          <w:shd w:val="clear" w:color="auto" w:fill="FFFFFF"/>
        </w:rPr>
        <w:t xml:space="preserve"> </w:t>
      </w:r>
    </w:p>
    <w:p w14:paraId="1859A8C6"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Sharma, A., Kumar, V., Shahzad, B., Tanveer, M., Sidhu, G. P. S., </w:t>
      </w:r>
      <w:proofErr w:type="spellStart"/>
      <w:r w:rsidRPr="00390724">
        <w:rPr>
          <w:rFonts w:ascii="Times New Roman" w:hAnsi="Times New Roman" w:cs="Times New Roman"/>
          <w:color w:val="222222"/>
          <w:sz w:val="24"/>
          <w:shd w:val="clear" w:color="auto" w:fill="FFFFFF"/>
        </w:rPr>
        <w:t>Handa</w:t>
      </w:r>
      <w:proofErr w:type="spellEnd"/>
      <w:r w:rsidRPr="00390724">
        <w:rPr>
          <w:rFonts w:ascii="Times New Roman" w:hAnsi="Times New Roman" w:cs="Times New Roman"/>
          <w:color w:val="222222"/>
          <w:sz w:val="24"/>
          <w:shd w:val="clear" w:color="auto" w:fill="FFFFFF"/>
        </w:rPr>
        <w:t xml:space="preserve">, N., Kohli, S. K., Yadav, P., Bali, A. S., Parihar, R. D., Dar, O. I., Singh, K., </w:t>
      </w:r>
      <w:proofErr w:type="spellStart"/>
      <w:r w:rsidRPr="00390724">
        <w:rPr>
          <w:rFonts w:ascii="Times New Roman" w:hAnsi="Times New Roman" w:cs="Times New Roman"/>
          <w:color w:val="222222"/>
          <w:sz w:val="24"/>
          <w:shd w:val="clear" w:color="auto" w:fill="FFFFFF"/>
        </w:rPr>
        <w:t>Jasrotia</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Bakshi</w:t>
      </w:r>
      <w:proofErr w:type="spellEnd"/>
      <w:r w:rsidRPr="00390724">
        <w:rPr>
          <w:rFonts w:ascii="Times New Roman" w:hAnsi="Times New Roman" w:cs="Times New Roman"/>
          <w:color w:val="222222"/>
          <w:sz w:val="24"/>
          <w:shd w:val="clear" w:color="auto" w:fill="FFFFFF"/>
        </w:rPr>
        <w:t xml:space="preserve">, P., Ramakrishnan, M., Kumar, S., Bhardwaj, R., &amp; </w:t>
      </w:r>
      <w:proofErr w:type="spellStart"/>
      <w:r w:rsidRPr="00390724">
        <w:rPr>
          <w:rFonts w:ascii="Times New Roman" w:hAnsi="Times New Roman" w:cs="Times New Roman"/>
          <w:color w:val="222222"/>
          <w:sz w:val="24"/>
          <w:shd w:val="clear" w:color="auto" w:fill="FFFFFF"/>
        </w:rPr>
        <w:t>Thukral</w:t>
      </w:r>
      <w:proofErr w:type="spellEnd"/>
      <w:r w:rsidRPr="00390724">
        <w:rPr>
          <w:rFonts w:ascii="Times New Roman" w:hAnsi="Times New Roman" w:cs="Times New Roman"/>
          <w:color w:val="222222"/>
          <w:sz w:val="24"/>
          <w:shd w:val="clear" w:color="auto" w:fill="FFFFFF"/>
        </w:rPr>
        <w:t xml:space="preserve">, A. K. (2019). Worldwide pesticide usage and its impacts on ecosystem. SN Applied Sciences, 1(11), 1446. </w:t>
      </w:r>
      <w:hyperlink r:id="rId38" w:history="1">
        <w:r w:rsidRPr="00087A29">
          <w:rPr>
            <w:rStyle w:val="Hyperlink"/>
            <w:rFonts w:ascii="Times New Roman" w:hAnsi="Times New Roman" w:cs="Times New Roman"/>
            <w:sz w:val="24"/>
            <w:shd w:val="clear" w:color="auto" w:fill="FFFFFF"/>
          </w:rPr>
          <w:t>https://doi.org/10.1007/s42452-019-1485-1</w:t>
        </w:r>
      </w:hyperlink>
      <w:r>
        <w:rPr>
          <w:rFonts w:ascii="Times New Roman" w:hAnsi="Times New Roman" w:cs="Times New Roman"/>
          <w:color w:val="222222"/>
          <w:sz w:val="24"/>
          <w:shd w:val="clear" w:color="auto" w:fill="FFFFFF"/>
        </w:rPr>
        <w:t xml:space="preserve"> </w:t>
      </w:r>
    </w:p>
    <w:p w14:paraId="42AC68D4" w14:textId="77777777" w:rsidR="00B44248" w:rsidRDefault="00B44248" w:rsidP="00A93F67">
      <w:pPr>
        <w:pStyle w:val="ListParagraph"/>
        <w:numPr>
          <w:ilvl w:val="0"/>
          <w:numId w:val="4"/>
        </w:numPr>
        <w:rPr>
          <w:rFonts w:ascii="Times New Roman" w:hAnsi="Times New Roman" w:cs="Times New Roman"/>
          <w:color w:val="222222"/>
          <w:sz w:val="24"/>
          <w:shd w:val="clear" w:color="auto" w:fill="FFFFFF"/>
        </w:rPr>
      </w:pPr>
      <w:bookmarkStart w:id="4" w:name="_Hlk213428257"/>
      <w:proofErr w:type="spellStart"/>
      <w:r w:rsidRPr="00390724">
        <w:rPr>
          <w:rFonts w:ascii="Times New Roman" w:hAnsi="Times New Roman" w:cs="Times New Roman"/>
          <w:color w:val="222222"/>
          <w:sz w:val="24"/>
          <w:shd w:val="clear" w:color="auto" w:fill="FFFFFF"/>
        </w:rPr>
        <w:t>Steinigeweg</w:t>
      </w:r>
      <w:proofErr w:type="spellEnd"/>
      <w:r w:rsidRPr="00390724">
        <w:rPr>
          <w:rFonts w:ascii="Times New Roman" w:hAnsi="Times New Roman" w:cs="Times New Roman"/>
          <w:color w:val="222222"/>
          <w:sz w:val="24"/>
          <w:shd w:val="clear" w:color="auto" w:fill="FFFFFF"/>
        </w:rPr>
        <w:t xml:space="preserve">, C., </w:t>
      </w:r>
      <w:proofErr w:type="spellStart"/>
      <w:r w:rsidRPr="00390724">
        <w:rPr>
          <w:rFonts w:ascii="Times New Roman" w:hAnsi="Times New Roman" w:cs="Times New Roman"/>
          <w:color w:val="222222"/>
          <w:sz w:val="24"/>
          <w:shd w:val="clear" w:color="auto" w:fill="FFFFFF"/>
        </w:rPr>
        <w:t>Alkassab</w:t>
      </w:r>
      <w:proofErr w:type="spellEnd"/>
      <w:r w:rsidRPr="00390724">
        <w:rPr>
          <w:rFonts w:ascii="Times New Roman" w:hAnsi="Times New Roman" w:cs="Times New Roman"/>
          <w:color w:val="222222"/>
          <w:sz w:val="24"/>
          <w:shd w:val="clear" w:color="auto" w:fill="FFFFFF"/>
        </w:rPr>
        <w:t xml:space="preserve">, A. T., </w:t>
      </w:r>
      <w:proofErr w:type="spellStart"/>
      <w:r w:rsidRPr="00390724">
        <w:rPr>
          <w:rFonts w:ascii="Times New Roman" w:hAnsi="Times New Roman" w:cs="Times New Roman"/>
          <w:color w:val="222222"/>
          <w:sz w:val="24"/>
          <w:shd w:val="clear" w:color="auto" w:fill="FFFFFF"/>
        </w:rPr>
        <w:t>Erler</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Beims</w:t>
      </w:r>
      <w:proofErr w:type="spellEnd"/>
      <w:r w:rsidRPr="00390724">
        <w:rPr>
          <w:rFonts w:ascii="Times New Roman" w:hAnsi="Times New Roman" w:cs="Times New Roman"/>
          <w:color w:val="222222"/>
          <w:sz w:val="24"/>
          <w:shd w:val="clear" w:color="auto" w:fill="FFFFFF"/>
        </w:rPr>
        <w:t xml:space="preserve">, H., Wirtz, I. P., Richter, D., &amp; Pistorius, J. (2023). Impact of a microbial pest control product containing Bacillus thuringiensis on brood development and gut microbiota of Apis mellifera worker honey bees. Microbial ecology, 85(4), 1300-1307. </w:t>
      </w:r>
      <w:hyperlink r:id="rId39" w:history="1">
        <w:r w:rsidRPr="00087A29">
          <w:rPr>
            <w:rStyle w:val="Hyperlink"/>
            <w:rFonts w:ascii="Times New Roman" w:hAnsi="Times New Roman" w:cs="Times New Roman"/>
            <w:sz w:val="24"/>
            <w:shd w:val="clear" w:color="auto" w:fill="FFFFFF"/>
          </w:rPr>
          <w:t>https://doi.org/10.1007/s00248-022-02004-w</w:t>
        </w:r>
      </w:hyperlink>
      <w:r>
        <w:rPr>
          <w:rFonts w:ascii="Times New Roman" w:hAnsi="Times New Roman" w:cs="Times New Roman"/>
          <w:color w:val="222222"/>
          <w:sz w:val="24"/>
          <w:shd w:val="clear" w:color="auto" w:fill="FFFFFF"/>
        </w:rPr>
        <w:t xml:space="preserve"> </w:t>
      </w:r>
    </w:p>
    <w:bookmarkEnd w:id="4"/>
    <w:p w14:paraId="6B3E6FFE" w14:textId="77777777" w:rsidR="00B44248" w:rsidRPr="00E37CC0" w:rsidRDefault="00B44248" w:rsidP="00E37CC0">
      <w:pPr>
        <w:pStyle w:val="ListParagraph"/>
        <w:numPr>
          <w:ilvl w:val="0"/>
          <w:numId w:val="4"/>
        </w:numPr>
        <w:rPr>
          <w:rStyle w:val="Hyperlink"/>
          <w:rFonts w:ascii="Times New Roman" w:hAnsi="Times New Roman" w:cs="Times New Roman"/>
          <w:color w:val="auto"/>
          <w:u w:val="none"/>
        </w:rPr>
      </w:pPr>
      <w:r w:rsidRPr="00B25E72">
        <w:rPr>
          <w:rFonts w:ascii="Times New Roman" w:hAnsi="Times New Roman" w:cs="Times New Roman"/>
        </w:rPr>
        <w:t>Xu, X., Liang, X., Wei, W., Ding, X., Peng, C., Wang, X., Hou, Y., &amp; Xu, J. (2023). Effects of non-lethal Cry1F toxin exposure on the growth, immune response, and intestinal microbiota of silkworm (</w:t>
      </w:r>
      <w:r w:rsidRPr="00B25E72">
        <w:rPr>
          <w:rFonts w:ascii="Times New Roman" w:hAnsi="Times New Roman" w:cs="Times New Roman"/>
          <w:i/>
          <w:iCs/>
        </w:rPr>
        <w:t>Bombyx mori</w:t>
      </w:r>
      <w:r w:rsidRPr="00B25E72">
        <w:rPr>
          <w:rFonts w:ascii="Times New Roman" w:hAnsi="Times New Roman" w:cs="Times New Roman"/>
        </w:rPr>
        <w:t xml:space="preserve">). </w:t>
      </w:r>
      <w:r w:rsidRPr="00B25E72">
        <w:rPr>
          <w:rFonts w:ascii="Times New Roman" w:hAnsi="Times New Roman" w:cs="Times New Roman"/>
          <w:i/>
          <w:iCs/>
        </w:rPr>
        <w:t>Ecotoxicology and Environmental Safety</w:t>
      </w:r>
      <w:r w:rsidRPr="00B25E72">
        <w:rPr>
          <w:rFonts w:ascii="Times New Roman" w:hAnsi="Times New Roman" w:cs="Times New Roman"/>
        </w:rPr>
        <w:t xml:space="preserve">, </w:t>
      </w:r>
      <w:r w:rsidRPr="00B25E72">
        <w:rPr>
          <w:rFonts w:ascii="Times New Roman" w:hAnsi="Times New Roman" w:cs="Times New Roman"/>
          <w:i/>
          <w:iCs/>
        </w:rPr>
        <w:t>267</w:t>
      </w:r>
      <w:r w:rsidRPr="00B25E72">
        <w:rPr>
          <w:rFonts w:ascii="Times New Roman" w:hAnsi="Times New Roman" w:cs="Times New Roman"/>
        </w:rPr>
        <w:t xml:space="preserve">, 115648. </w:t>
      </w:r>
      <w:hyperlink r:id="rId40" w:tgtFrame="_blank" w:history="1">
        <w:r w:rsidRPr="00B25E72">
          <w:rPr>
            <w:rStyle w:val="Hyperlink"/>
            <w:rFonts w:ascii="Times New Roman" w:hAnsi="Times New Roman" w:cs="Times New Roman"/>
          </w:rPr>
          <w:t>https://doi.org/10.1016/j.ecoenv.2023.115648</w:t>
        </w:r>
      </w:hyperlink>
    </w:p>
    <w:p w14:paraId="555B6174" w14:textId="77777777" w:rsidR="00B44248" w:rsidRPr="00E37CC0" w:rsidRDefault="00B44248" w:rsidP="00E37CC0">
      <w:pPr>
        <w:pStyle w:val="ListParagraph"/>
        <w:numPr>
          <w:ilvl w:val="0"/>
          <w:numId w:val="4"/>
        </w:numPr>
        <w:rPr>
          <w:rFonts w:ascii="Times New Roman" w:hAnsi="Times New Roman" w:cs="Times New Roman"/>
        </w:rPr>
      </w:pPr>
      <w:r w:rsidRPr="00E37CC0">
        <w:rPr>
          <w:rFonts w:ascii="Times New Roman" w:hAnsi="Times New Roman" w:cs="Times New Roman"/>
        </w:rPr>
        <w:t xml:space="preserve">Yang, J., Guan, D., Wei, J., Ge, H., Cao, X., </w:t>
      </w:r>
      <w:proofErr w:type="spellStart"/>
      <w:r w:rsidRPr="00E37CC0">
        <w:rPr>
          <w:rFonts w:ascii="Times New Roman" w:hAnsi="Times New Roman" w:cs="Times New Roman"/>
        </w:rPr>
        <w:t>Lv</w:t>
      </w:r>
      <w:proofErr w:type="spellEnd"/>
      <w:r w:rsidRPr="00E37CC0">
        <w:rPr>
          <w:rFonts w:ascii="Times New Roman" w:hAnsi="Times New Roman" w:cs="Times New Roman"/>
        </w:rPr>
        <w:t xml:space="preserve">, S., Zhou, X., Zheng, Y., Meng, X., Wang, J., &amp; Guo, Y. (2023). Mechanisms underlying the effects of low concentrations of chlorantraniliprole on development and reproduction of the fall armyworm, </w:t>
      </w:r>
      <w:proofErr w:type="spellStart"/>
      <w:r w:rsidRPr="00E37CC0">
        <w:rPr>
          <w:rFonts w:ascii="Times New Roman" w:hAnsi="Times New Roman" w:cs="Times New Roman"/>
          <w:i/>
          <w:iCs/>
        </w:rPr>
        <w:t>Spodoptera</w:t>
      </w:r>
      <w:proofErr w:type="spellEnd"/>
      <w:r w:rsidRPr="00E37CC0">
        <w:rPr>
          <w:rFonts w:ascii="Times New Roman" w:hAnsi="Times New Roman" w:cs="Times New Roman"/>
          <w:i/>
          <w:iCs/>
        </w:rPr>
        <w:t xml:space="preserve"> </w:t>
      </w:r>
      <w:proofErr w:type="spellStart"/>
      <w:r w:rsidRPr="00E37CC0">
        <w:rPr>
          <w:rFonts w:ascii="Times New Roman" w:hAnsi="Times New Roman" w:cs="Times New Roman"/>
          <w:i/>
          <w:iCs/>
        </w:rPr>
        <w:t>frugiperda</w:t>
      </w:r>
      <w:proofErr w:type="spellEnd"/>
      <w:r w:rsidRPr="00E37CC0">
        <w:rPr>
          <w:rFonts w:ascii="Times New Roman" w:hAnsi="Times New Roman" w:cs="Times New Roman"/>
        </w:rPr>
        <w:t xml:space="preserve">. </w:t>
      </w:r>
      <w:r w:rsidRPr="00E37CC0">
        <w:rPr>
          <w:rFonts w:ascii="Times New Roman" w:hAnsi="Times New Roman" w:cs="Times New Roman"/>
          <w:i/>
          <w:iCs/>
        </w:rPr>
        <w:t>Pesticide Biochemistry and Physiology</w:t>
      </w:r>
      <w:r w:rsidRPr="00E37CC0">
        <w:rPr>
          <w:rFonts w:ascii="Times New Roman" w:hAnsi="Times New Roman" w:cs="Times New Roman"/>
        </w:rPr>
        <w:t xml:space="preserve">, </w:t>
      </w:r>
      <w:r w:rsidRPr="00E37CC0">
        <w:rPr>
          <w:rFonts w:ascii="Times New Roman" w:hAnsi="Times New Roman" w:cs="Times New Roman"/>
          <w:i/>
          <w:iCs/>
        </w:rPr>
        <w:t>191</w:t>
      </w:r>
      <w:r w:rsidRPr="00E37CC0">
        <w:rPr>
          <w:rFonts w:ascii="Times New Roman" w:hAnsi="Times New Roman" w:cs="Times New Roman"/>
        </w:rPr>
        <w:t xml:space="preserve">, 105362. </w:t>
      </w:r>
      <w:hyperlink r:id="rId41" w:tgtFrame="_blank" w:history="1">
        <w:r w:rsidRPr="00E37CC0">
          <w:rPr>
            <w:rStyle w:val="Hyperlink"/>
            <w:rFonts w:ascii="Times New Roman" w:hAnsi="Times New Roman" w:cs="Times New Roman"/>
          </w:rPr>
          <w:t>https://doi.org/10.1016/j.pestbp.2023.105362</w:t>
        </w:r>
      </w:hyperlink>
    </w:p>
    <w:p w14:paraId="2DB6747C" w14:textId="77777777" w:rsidR="00B44248" w:rsidRPr="00390724" w:rsidRDefault="00B44248" w:rsidP="00C57D6D">
      <w:pPr>
        <w:pStyle w:val="ListParagraph"/>
        <w:numPr>
          <w:ilvl w:val="0"/>
          <w:numId w:val="4"/>
        </w:numPr>
        <w:rPr>
          <w:rFonts w:ascii="Times New Roman" w:hAnsi="Times New Roman" w:cs="Times New Roman"/>
        </w:rPr>
      </w:pPr>
      <w:r w:rsidRPr="00390724">
        <w:rPr>
          <w:rFonts w:ascii="Times New Roman" w:hAnsi="Times New Roman" w:cs="Times New Roman"/>
          <w:color w:val="222222"/>
          <w:sz w:val="24"/>
          <w:shd w:val="clear" w:color="auto" w:fill="FFFFFF"/>
        </w:rPr>
        <w:t xml:space="preserve">Zou, H., Gu, H., Cheng, J., Tian, C., Shu, Q., Peng, P., &amp; Li, B. (2024). The Mechanism of Damage to the Midgut by Low Concentration of Bacillus thuringiensis in the Silkworm, Bombyx mori. Insects, 15(12), 911. </w:t>
      </w:r>
      <w:hyperlink r:id="rId42" w:history="1">
        <w:r w:rsidRPr="00087A29">
          <w:rPr>
            <w:rStyle w:val="Hyperlink"/>
            <w:rFonts w:ascii="Times New Roman" w:hAnsi="Times New Roman" w:cs="Times New Roman"/>
            <w:sz w:val="24"/>
            <w:shd w:val="clear" w:color="auto" w:fill="FFFFFF"/>
          </w:rPr>
          <w:t>https://doi.org/10.3390/insects15120911</w:t>
        </w:r>
      </w:hyperlink>
      <w:r>
        <w:rPr>
          <w:rFonts w:ascii="Times New Roman" w:hAnsi="Times New Roman" w:cs="Times New Roman"/>
          <w:color w:val="222222"/>
          <w:sz w:val="24"/>
          <w:shd w:val="clear" w:color="auto" w:fill="FFFFFF"/>
        </w:rPr>
        <w:t xml:space="preserve"> </w:t>
      </w:r>
    </w:p>
    <w:p w14:paraId="14A12D8D" w14:textId="77777777" w:rsidR="00B44248" w:rsidRPr="00B44248" w:rsidRDefault="00B44248" w:rsidP="00B44248">
      <w:pPr>
        <w:ind w:left="360"/>
        <w:rPr>
          <w:rFonts w:ascii="Times New Roman" w:hAnsi="Times New Roman" w:cs="Times New Roman"/>
        </w:rPr>
      </w:pPr>
    </w:p>
    <w:p w14:paraId="0CEF3F13" w14:textId="77777777" w:rsidR="00390724" w:rsidRPr="00A93F67" w:rsidRDefault="00390724" w:rsidP="00C57D6D">
      <w:pPr>
        <w:pStyle w:val="ListParagraph"/>
        <w:rPr>
          <w:rFonts w:ascii="Times New Roman" w:hAnsi="Times New Roman" w:cs="Times New Roman"/>
          <w:color w:val="222222"/>
          <w:sz w:val="24"/>
          <w:shd w:val="clear" w:color="auto" w:fill="FFFFFF"/>
        </w:rPr>
      </w:pPr>
    </w:p>
    <w:p w14:paraId="34A85A1F" w14:textId="77777777" w:rsidR="00596EF2" w:rsidRPr="0014664D" w:rsidRDefault="00596EF2" w:rsidP="00937630">
      <w:pPr>
        <w:pStyle w:val="NormalWeb"/>
        <w:widowControl/>
        <w:spacing w:before="0" w:beforeAutospacing="0" w:after="0" w:afterAutospacing="0"/>
        <w:jc w:val="left"/>
        <w:rPr>
          <w:color w:val="1B1C1D"/>
        </w:rPr>
      </w:pPr>
    </w:p>
    <w:p w14:paraId="5637C53A" w14:textId="77777777" w:rsidR="00937630" w:rsidRDefault="00937630" w:rsidP="00937630">
      <w:pPr>
        <w:pStyle w:val="NormalWeb"/>
        <w:spacing w:before="0" w:beforeAutospacing="0" w:after="0" w:afterAutospacing="0"/>
        <w:ind w:left="360"/>
        <w:rPr>
          <w:color w:val="1B1C1D"/>
          <w:highlight w:val="darkMagenta"/>
        </w:rPr>
      </w:pPr>
    </w:p>
    <w:p w14:paraId="13C377CC" w14:textId="77777777" w:rsidR="0073751C" w:rsidRPr="0073751C" w:rsidRDefault="0073751C" w:rsidP="0073751C">
      <w:pPr>
        <w:spacing w:after="160" w:line="278" w:lineRule="auto"/>
        <w:jc w:val="center"/>
        <w:rPr>
          <w:rFonts w:ascii="Times New Roman" w:eastAsia="DengXian" w:hAnsi="Times New Roman" w:cs="Times New Roman"/>
          <w:sz w:val="22"/>
          <w14:ligatures w14:val="standardContextual"/>
        </w:rPr>
      </w:pPr>
      <w:r w:rsidRPr="0073751C">
        <w:rPr>
          <w:rFonts w:ascii="Times New Roman" w:eastAsia="DengXian" w:hAnsi="Times New Roman" w:cs="Times New Roman"/>
          <w:noProof/>
          <w:sz w:val="22"/>
          <w14:ligatures w14:val="standardContextual"/>
        </w:rPr>
        <w:drawing>
          <wp:inline distT="0" distB="0" distL="0" distR="0" wp14:anchorId="02A369B6" wp14:editId="521B1C92">
            <wp:extent cx="2022475" cy="2028825"/>
            <wp:effectExtent l="0" t="0" r="0" b="9525"/>
            <wp:docPr id="771872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2475" cy="2028825"/>
                    </a:xfrm>
                    <a:prstGeom prst="rect">
                      <a:avLst/>
                    </a:prstGeom>
                    <a:noFill/>
                    <a:ln>
                      <a:noFill/>
                    </a:ln>
                  </pic:spPr>
                </pic:pic>
              </a:graphicData>
            </a:graphic>
          </wp:inline>
        </w:drawing>
      </w:r>
    </w:p>
    <w:p w14:paraId="4CD78202" w14:textId="77777777" w:rsidR="0073751C" w:rsidRPr="0073751C" w:rsidRDefault="0073751C" w:rsidP="0073751C">
      <w:pPr>
        <w:spacing w:after="160" w:line="278" w:lineRule="auto"/>
        <w:jc w:val="center"/>
        <w:rPr>
          <w:rFonts w:ascii="Times New Roman" w:eastAsia="DengXian" w:hAnsi="Times New Roman" w:cs="Times New Roman"/>
          <w:sz w:val="22"/>
          <w14:ligatures w14:val="standardContextual"/>
        </w:rPr>
      </w:pPr>
      <w:r w:rsidRPr="0073751C">
        <w:rPr>
          <w:rFonts w:ascii="Times New Roman" w:eastAsia="DengXian" w:hAnsi="Times New Roman" w:cs="Times New Roman"/>
          <w:sz w:val="22"/>
          <w14:ligatures w14:val="standardContextual"/>
        </w:rPr>
        <w:t xml:space="preserve">Figure </w:t>
      </w:r>
      <w:r w:rsidRPr="0073751C">
        <w:rPr>
          <w:rFonts w:ascii="Times New Roman" w:eastAsia="DengXian" w:hAnsi="Times New Roman" w:cs="Times New Roman" w:hint="eastAsia"/>
          <w:sz w:val="22"/>
          <w14:ligatures w14:val="standardContextual"/>
        </w:rPr>
        <w:t>S1</w:t>
      </w:r>
      <w:r w:rsidRPr="0073751C">
        <w:rPr>
          <w:rFonts w:ascii="Times New Roman" w:eastAsia="DengXian" w:hAnsi="Times New Roman" w:cs="Times New Roman"/>
          <w:sz w:val="22"/>
          <w14:ligatures w14:val="standardContextual"/>
        </w:rPr>
        <w:t xml:space="preserve">. Symptoms in </w:t>
      </w:r>
      <w:proofErr w:type="spellStart"/>
      <w:r w:rsidRPr="0073751C">
        <w:rPr>
          <w:rFonts w:ascii="Times New Roman" w:eastAsia="DengXian" w:hAnsi="Times New Roman" w:cs="Times New Roman"/>
          <w:i/>
          <w:iCs/>
          <w:sz w:val="22"/>
          <w14:ligatures w14:val="standardContextual"/>
        </w:rPr>
        <w:t>Bt</w:t>
      </w:r>
      <w:proofErr w:type="spellEnd"/>
      <w:r w:rsidRPr="0073751C">
        <w:rPr>
          <w:rFonts w:ascii="Times New Roman" w:eastAsia="DengXian" w:hAnsi="Times New Roman" w:cs="Times New Roman"/>
          <w:sz w:val="22"/>
          <w14:ligatures w14:val="standardContextual"/>
        </w:rPr>
        <w:t>-infected silkworms: side-lying, body decay, and discoloration.</w:t>
      </w:r>
    </w:p>
    <w:p w14:paraId="0880C25F" w14:textId="77777777" w:rsidR="00937630" w:rsidRDefault="00937630" w:rsidP="00F11F20">
      <w:pPr>
        <w:rPr>
          <w:rFonts w:ascii="Times New Roman" w:hAnsi="Times New Roman" w:cs="Times New Roman"/>
          <w:sz w:val="24"/>
          <w:highlight w:val="green"/>
        </w:rPr>
      </w:pPr>
    </w:p>
    <w:sectPr w:rsidR="00937630" w:rsidSect="00764795">
      <w:headerReference w:type="even" r:id="rId44"/>
      <w:headerReference w:type="default" r:id="rId45"/>
      <w:headerReference w:type="firs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FE86" w14:textId="77777777" w:rsidR="000913B0" w:rsidRDefault="000913B0" w:rsidP="00E177A1">
      <w:r>
        <w:separator/>
      </w:r>
    </w:p>
  </w:endnote>
  <w:endnote w:type="continuationSeparator" w:id="0">
    <w:p w14:paraId="12A5F3B6" w14:textId="77777777" w:rsidR="000913B0" w:rsidRDefault="000913B0" w:rsidP="00E1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haris SIL">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F1854" w14:textId="77777777" w:rsidR="000913B0" w:rsidRDefault="000913B0" w:rsidP="00E177A1">
      <w:r>
        <w:separator/>
      </w:r>
    </w:p>
  </w:footnote>
  <w:footnote w:type="continuationSeparator" w:id="0">
    <w:p w14:paraId="7AB28DAF" w14:textId="77777777" w:rsidR="000913B0" w:rsidRDefault="000913B0" w:rsidP="00E1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1235" w14:textId="63DCF231" w:rsidR="00B47AEE" w:rsidRDefault="000913B0">
    <w:pPr>
      <w:pStyle w:val="Header"/>
    </w:pPr>
    <w:r>
      <w:rPr>
        <w:noProof/>
      </w:rPr>
      <w:pict w14:anchorId="2436C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548476"/>
      <w:docPartObj>
        <w:docPartGallery w:val="Page Numbers (Top of Page)"/>
        <w:docPartUnique/>
      </w:docPartObj>
    </w:sdtPr>
    <w:sdtEndPr>
      <w:rPr>
        <w:noProof/>
      </w:rPr>
    </w:sdtEndPr>
    <w:sdtContent>
      <w:p w14:paraId="5940F32F" w14:textId="75DC0D7F" w:rsidR="00001826" w:rsidRDefault="00001826">
        <w:pPr>
          <w:pStyle w:val="Header"/>
        </w:pPr>
        <w:r>
          <w:fldChar w:fldCharType="begin"/>
        </w:r>
        <w:r>
          <w:instrText xml:space="preserve"> PAGE   \* MERGEFORMAT </w:instrText>
        </w:r>
        <w:r>
          <w:fldChar w:fldCharType="separate"/>
        </w:r>
        <w:r>
          <w:rPr>
            <w:noProof/>
          </w:rPr>
          <w:t>2</w:t>
        </w:r>
        <w:r>
          <w:rPr>
            <w:noProof/>
          </w:rPr>
          <w:fldChar w:fldCharType="end"/>
        </w:r>
      </w:p>
    </w:sdtContent>
  </w:sdt>
  <w:p w14:paraId="6D938350" w14:textId="56F3FE79" w:rsidR="00B47AEE" w:rsidRDefault="000913B0">
    <w:pPr>
      <w:pStyle w:val="Header"/>
    </w:pPr>
    <w:r>
      <w:rPr>
        <w:noProof/>
      </w:rPr>
      <w:pict w14:anchorId="7AA64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B3E1" w14:textId="6DB701A1" w:rsidR="00B47AEE" w:rsidRDefault="000913B0">
    <w:pPr>
      <w:pStyle w:val="Header"/>
    </w:pPr>
    <w:r>
      <w:rPr>
        <w:noProof/>
      </w:rPr>
      <w:pict w14:anchorId="39A0E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7BCD06"/>
    <w:multiLevelType w:val="multilevel"/>
    <w:tmpl w:val="F17BCD06"/>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8E72855"/>
    <w:multiLevelType w:val="multilevel"/>
    <w:tmpl w:val="79F2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50BDC"/>
    <w:multiLevelType w:val="hybridMultilevel"/>
    <w:tmpl w:val="3120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E2D8A"/>
    <w:multiLevelType w:val="multilevel"/>
    <w:tmpl w:val="79F2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NjAzMDU0MrY0N7JQ0lEKTi0uzszPAykwrAUAY+fT+iwAAAA="/>
  </w:docVars>
  <w:rsids>
    <w:rsidRoot w:val="00F25550"/>
    <w:rsid w:val="00001826"/>
    <w:rsid w:val="00006BBB"/>
    <w:rsid w:val="0001543F"/>
    <w:rsid w:val="00057687"/>
    <w:rsid w:val="00066FE0"/>
    <w:rsid w:val="000913B0"/>
    <w:rsid w:val="00096B13"/>
    <w:rsid w:val="000A3802"/>
    <w:rsid w:val="000C6349"/>
    <w:rsid w:val="000E344C"/>
    <w:rsid w:val="000F0134"/>
    <w:rsid w:val="000F3186"/>
    <w:rsid w:val="001036BE"/>
    <w:rsid w:val="00112FEC"/>
    <w:rsid w:val="00127BA4"/>
    <w:rsid w:val="00143BCE"/>
    <w:rsid w:val="001C583D"/>
    <w:rsid w:val="001D0C32"/>
    <w:rsid w:val="001D6B17"/>
    <w:rsid w:val="001E2889"/>
    <w:rsid w:val="0024143B"/>
    <w:rsid w:val="002563AE"/>
    <w:rsid w:val="00257750"/>
    <w:rsid w:val="00260D0B"/>
    <w:rsid w:val="002A3438"/>
    <w:rsid w:val="002C21F8"/>
    <w:rsid w:val="002C4615"/>
    <w:rsid w:val="002D2B9C"/>
    <w:rsid w:val="002D4A02"/>
    <w:rsid w:val="002D6D7C"/>
    <w:rsid w:val="002D7444"/>
    <w:rsid w:val="002E3C54"/>
    <w:rsid w:val="002F19DE"/>
    <w:rsid w:val="002F472B"/>
    <w:rsid w:val="002F584B"/>
    <w:rsid w:val="002F5FDC"/>
    <w:rsid w:val="002F7E75"/>
    <w:rsid w:val="00355186"/>
    <w:rsid w:val="00376CD2"/>
    <w:rsid w:val="00386607"/>
    <w:rsid w:val="00390724"/>
    <w:rsid w:val="003B103E"/>
    <w:rsid w:val="003B2347"/>
    <w:rsid w:val="003D77CD"/>
    <w:rsid w:val="003E5AF2"/>
    <w:rsid w:val="003E7D4F"/>
    <w:rsid w:val="00406A97"/>
    <w:rsid w:val="004147F6"/>
    <w:rsid w:val="00414C4B"/>
    <w:rsid w:val="00417804"/>
    <w:rsid w:val="0043482D"/>
    <w:rsid w:val="00436E86"/>
    <w:rsid w:val="004648C1"/>
    <w:rsid w:val="00473680"/>
    <w:rsid w:val="00481BD7"/>
    <w:rsid w:val="00491B9D"/>
    <w:rsid w:val="004B3102"/>
    <w:rsid w:val="004B3361"/>
    <w:rsid w:val="004C4E27"/>
    <w:rsid w:val="004E5175"/>
    <w:rsid w:val="00505A11"/>
    <w:rsid w:val="00512B0D"/>
    <w:rsid w:val="00557F7B"/>
    <w:rsid w:val="0056130D"/>
    <w:rsid w:val="00583D82"/>
    <w:rsid w:val="0059417D"/>
    <w:rsid w:val="00596EF2"/>
    <w:rsid w:val="005B7C88"/>
    <w:rsid w:val="005C733A"/>
    <w:rsid w:val="005E4072"/>
    <w:rsid w:val="005E50BC"/>
    <w:rsid w:val="005E7274"/>
    <w:rsid w:val="005F1C3D"/>
    <w:rsid w:val="0060183A"/>
    <w:rsid w:val="00607DA3"/>
    <w:rsid w:val="00620392"/>
    <w:rsid w:val="006242BE"/>
    <w:rsid w:val="00665543"/>
    <w:rsid w:val="00695D10"/>
    <w:rsid w:val="00695E04"/>
    <w:rsid w:val="006F2E75"/>
    <w:rsid w:val="006F5EE5"/>
    <w:rsid w:val="0070399F"/>
    <w:rsid w:val="00720A2D"/>
    <w:rsid w:val="00724D8D"/>
    <w:rsid w:val="007360A2"/>
    <w:rsid w:val="00737428"/>
    <w:rsid w:val="0073751C"/>
    <w:rsid w:val="00753302"/>
    <w:rsid w:val="00764795"/>
    <w:rsid w:val="00794440"/>
    <w:rsid w:val="00837916"/>
    <w:rsid w:val="008452D2"/>
    <w:rsid w:val="00884552"/>
    <w:rsid w:val="00891875"/>
    <w:rsid w:val="008B2356"/>
    <w:rsid w:val="008C0603"/>
    <w:rsid w:val="008C77DF"/>
    <w:rsid w:val="008F64E7"/>
    <w:rsid w:val="008F7F6E"/>
    <w:rsid w:val="00914F57"/>
    <w:rsid w:val="009303A7"/>
    <w:rsid w:val="00930C36"/>
    <w:rsid w:val="00937630"/>
    <w:rsid w:val="009836A5"/>
    <w:rsid w:val="009925DF"/>
    <w:rsid w:val="009C1613"/>
    <w:rsid w:val="009E299E"/>
    <w:rsid w:val="009E441B"/>
    <w:rsid w:val="009F739B"/>
    <w:rsid w:val="00A44AA1"/>
    <w:rsid w:val="00A464B6"/>
    <w:rsid w:val="00A70064"/>
    <w:rsid w:val="00A823CE"/>
    <w:rsid w:val="00A86981"/>
    <w:rsid w:val="00A93F67"/>
    <w:rsid w:val="00AE5907"/>
    <w:rsid w:val="00B0777F"/>
    <w:rsid w:val="00B4125E"/>
    <w:rsid w:val="00B44248"/>
    <w:rsid w:val="00B47AEE"/>
    <w:rsid w:val="00B805A8"/>
    <w:rsid w:val="00B820EC"/>
    <w:rsid w:val="00B86628"/>
    <w:rsid w:val="00BA5B56"/>
    <w:rsid w:val="00BB1DF6"/>
    <w:rsid w:val="00BB66D8"/>
    <w:rsid w:val="00BB7854"/>
    <w:rsid w:val="00BF5CB7"/>
    <w:rsid w:val="00C02A0C"/>
    <w:rsid w:val="00C02A4D"/>
    <w:rsid w:val="00C049AA"/>
    <w:rsid w:val="00C57D6D"/>
    <w:rsid w:val="00C67B33"/>
    <w:rsid w:val="00C80994"/>
    <w:rsid w:val="00CA5ABC"/>
    <w:rsid w:val="00CB6060"/>
    <w:rsid w:val="00D140E1"/>
    <w:rsid w:val="00D32CCA"/>
    <w:rsid w:val="00D334FA"/>
    <w:rsid w:val="00D53AFC"/>
    <w:rsid w:val="00E177A1"/>
    <w:rsid w:val="00E25FDA"/>
    <w:rsid w:val="00E36770"/>
    <w:rsid w:val="00E37CC0"/>
    <w:rsid w:val="00E65218"/>
    <w:rsid w:val="00E93626"/>
    <w:rsid w:val="00EA0CC6"/>
    <w:rsid w:val="00ED61B1"/>
    <w:rsid w:val="00EE6BA8"/>
    <w:rsid w:val="00EF0E1C"/>
    <w:rsid w:val="00F10E1A"/>
    <w:rsid w:val="00F11F20"/>
    <w:rsid w:val="00F153B9"/>
    <w:rsid w:val="00F25550"/>
    <w:rsid w:val="00F3504C"/>
    <w:rsid w:val="00F410EE"/>
    <w:rsid w:val="00F53C3B"/>
    <w:rsid w:val="00F64E1A"/>
    <w:rsid w:val="00F67D50"/>
    <w:rsid w:val="00F759DA"/>
    <w:rsid w:val="00F7607A"/>
    <w:rsid w:val="00FB5384"/>
    <w:rsid w:val="00FC30C3"/>
    <w:rsid w:val="00FE1B9C"/>
    <w:rsid w:val="00FF25DA"/>
    <w:rsid w:val="633C609A"/>
    <w:rsid w:val="6F776374"/>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21C4A3"/>
  <w15:docId w15:val="{5BBF8D6B-726A-411A-8194-3FAF81B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my-MM"/>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bidi="ar-SA"/>
    </w:rPr>
  </w:style>
  <w:style w:type="paragraph" w:styleId="Heading1">
    <w:name w:val="heading 1"/>
    <w:basedOn w:val="Normal"/>
    <w:next w:val="Normal"/>
    <w:uiPriority w:val="9"/>
    <w:qFormat/>
    <w:pPr>
      <w:keepNext/>
      <w:keepLines/>
      <w:spacing w:before="240" w:line="276" w:lineRule="auto"/>
      <w:outlineLvl w:val="0"/>
    </w:pPr>
    <w:rPr>
      <w:rFonts w:asciiTheme="majorHAnsi" w:eastAsiaTheme="majorEastAsia" w:hAnsiTheme="majorHAnsi" w:cstheme="majorBidi"/>
      <w:color w:val="2D53A0" w:themeColor="accent1" w:themeShade="BF"/>
      <w:sz w:val="32"/>
      <w:szCs w:val="32"/>
    </w:rPr>
  </w:style>
  <w:style w:type="paragraph" w:styleId="Heading2">
    <w:name w:val="heading 2"/>
    <w:basedOn w:val="Normal"/>
    <w:next w:val="Normal"/>
    <w:link w:val="Heading2Char"/>
    <w:semiHidden/>
    <w:unhideWhenUsed/>
    <w:qFormat/>
    <w:rsid w:val="00CB6060"/>
    <w:pPr>
      <w:keepNext/>
      <w:keepLines/>
      <w:spacing w:before="40"/>
      <w:outlineLvl w:val="1"/>
    </w:pPr>
    <w:rPr>
      <w:rFonts w:asciiTheme="majorHAnsi" w:eastAsiaTheme="majorEastAsia" w:hAnsiTheme="majorHAnsi" w:cstheme="majorBidi"/>
      <w:color w:val="2D53A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qFormat/>
    <w:rPr>
      <w:b/>
    </w:rPr>
  </w:style>
  <w:style w:type="character" w:customStyle="1" w:styleId="translated-span">
    <w:name w:val="translated-span"/>
    <w:basedOn w:val="DefaultParagraphFont"/>
    <w:qFormat/>
  </w:style>
  <w:style w:type="character" w:styleId="Hyperlink">
    <w:name w:val="Hyperlink"/>
    <w:basedOn w:val="DefaultParagraphFont"/>
    <w:uiPriority w:val="99"/>
    <w:unhideWhenUsed/>
    <w:rsid w:val="00406A97"/>
    <w:rPr>
      <w:color w:val="0026E5" w:themeColor="hyperlink"/>
      <w:u w:val="single"/>
    </w:rPr>
  </w:style>
  <w:style w:type="character" w:customStyle="1" w:styleId="math-inline">
    <w:name w:val="math-inline"/>
    <w:basedOn w:val="DefaultParagraphFont"/>
    <w:rsid w:val="00414C4B"/>
  </w:style>
  <w:style w:type="paragraph" w:styleId="ListParagraph">
    <w:name w:val="List Paragraph"/>
    <w:basedOn w:val="Normal"/>
    <w:uiPriority w:val="34"/>
    <w:qFormat/>
    <w:rsid w:val="00596EF2"/>
    <w:pPr>
      <w:ind w:left="720"/>
      <w:contextualSpacing/>
    </w:pPr>
  </w:style>
  <w:style w:type="character" w:customStyle="1" w:styleId="citation-171">
    <w:name w:val="citation-171"/>
    <w:basedOn w:val="DefaultParagraphFont"/>
    <w:rsid w:val="004C4E27"/>
  </w:style>
  <w:style w:type="paragraph" w:styleId="BalloonText">
    <w:name w:val="Balloon Text"/>
    <w:basedOn w:val="Normal"/>
    <w:link w:val="BalloonTextChar"/>
    <w:rsid w:val="00F3504C"/>
    <w:rPr>
      <w:rFonts w:ascii="Tahoma" w:hAnsi="Tahoma" w:cs="Tahoma"/>
      <w:sz w:val="16"/>
      <w:szCs w:val="16"/>
    </w:rPr>
  </w:style>
  <w:style w:type="character" w:customStyle="1" w:styleId="BalloonTextChar">
    <w:name w:val="Balloon Text Char"/>
    <w:basedOn w:val="DefaultParagraphFont"/>
    <w:link w:val="BalloonText"/>
    <w:rsid w:val="00F3504C"/>
    <w:rPr>
      <w:rFonts w:ascii="Tahoma" w:eastAsiaTheme="minorEastAsia" w:hAnsi="Tahoma" w:cs="Tahoma"/>
      <w:kern w:val="2"/>
      <w:sz w:val="16"/>
      <w:szCs w:val="16"/>
      <w:lang w:bidi="ar-SA"/>
    </w:rPr>
  </w:style>
  <w:style w:type="paragraph" w:styleId="Header">
    <w:name w:val="header"/>
    <w:basedOn w:val="Normal"/>
    <w:link w:val="HeaderChar"/>
    <w:uiPriority w:val="99"/>
    <w:rsid w:val="00E177A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177A1"/>
    <w:rPr>
      <w:rFonts w:asciiTheme="minorHAnsi" w:eastAsiaTheme="minorEastAsia" w:hAnsiTheme="minorHAnsi" w:cstheme="minorBidi"/>
      <w:kern w:val="2"/>
      <w:sz w:val="18"/>
      <w:szCs w:val="18"/>
      <w:lang w:bidi="ar-SA"/>
    </w:rPr>
  </w:style>
  <w:style w:type="paragraph" w:styleId="Footer">
    <w:name w:val="footer"/>
    <w:basedOn w:val="Normal"/>
    <w:link w:val="FooterChar"/>
    <w:rsid w:val="00E177A1"/>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E177A1"/>
    <w:rPr>
      <w:rFonts w:asciiTheme="minorHAnsi" w:eastAsiaTheme="minorEastAsia" w:hAnsiTheme="minorHAnsi" w:cstheme="minorBidi"/>
      <w:kern w:val="2"/>
      <w:sz w:val="18"/>
      <w:szCs w:val="18"/>
      <w:lang w:bidi="ar-SA"/>
    </w:rPr>
  </w:style>
  <w:style w:type="character" w:styleId="FootnoteReference">
    <w:name w:val="footnote reference"/>
    <w:basedOn w:val="DefaultParagraphFont"/>
    <w:unhideWhenUsed/>
    <w:qFormat/>
    <w:rsid w:val="00096B13"/>
    <w:rPr>
      <w:vertAlign w:val="superscript"/>
    </w:rPr>
  </w:style>
  <w:style w:type="paragraph" w:styleId="FootnoteText">
    <w:name w:val="footnote text"/>
    <w:basedOn w:val="Normal"/>
    <w:link w:val="FootnoteTextChar"/>
    <w:uiPriority w:val="99"/>
    <w:unhideWhenUsed/>
    <w:qFormat/>
    <w:rsid w:val="008F64E7"/>
    <w:pPr>
      <w:snapToGrid w:val="0"/>
      <w:spacing w:after="160"/>
      <w:ind w:firstLineChars="200" w:firstLine="20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qFormat/>
    <w:rsid w:val="008F64E7"/>
    <w:rPr>
      <w:kern w:val="2"/>
      <w:sz w:val="18"/>
      <w:szCs w:val="18"/>
      <w:lang w:bidi="ar-SA"/>
    </w:rPr>
  </w:style>
  <w:style w:type="character" w:styleId="UnresolvedMention">
    <w:name w:val="Unresolved Mention"/>
    <w:basedOn w:val="DefaultParagraphFont"/>
    <w:uiPriority w:val="99"/>
    <w:semiHidden/>
    <w:unhideWhenUsed/>
    <w:rsid w:val="00583D82"/>
    <w:rPr>
      <w:color w:val="605E5C"/>
      <w:shd w:val="clear" w:color="auto" w:fill="E1DFDD"/>
    </w:rPr>
  </w:style>
  <w:style w:type="character" w:customStyle="1" w:styleId="Heading2Char">
    <w:name w:val="Heading 2 Char"/>
    <w:basedOn w:val="DefaultParagraphFont"/>
    <w:link w:val="Heading2"/>
    <w:semiHidden/>
    <w:rsid w:val="00CB6060"/>
    <w:rPr>
      <w:rFonts w:asciiTheme="majorHAnsi" w:eastAsiaTheme="majorEastAsia" w:hAnsiTheme="majorHAnsi" w:cstheme="majorBidi"/>
      <w:color w:val="2D53A0" w:themeColor="accent1" w:themeShade="BF"/>
      <w:kern w:val="2"/>
      <w:sz w:val="26"/>
      <w:szCs w:val="26"/>
      <w:lang w:bidi="ar-SA"/>
    </w:rPr>
  </w:style>
  <w:style w:type="character" w:styleId="LineNumber">
    <w:name w:val="line number"/>
    <w:basedOn w:val="DefaultParagraphFont"/>
    <w:rsid w:val="0000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toxins13050355" TargetMode="External"/><Relationship Id="rId18" Type="http://schemas.openxmlformats.org/officeDocument/2006/relationships/hyperlink" Target="https://www.google.com/search?q=https://doi.org/10.1017/s0007485324000889" TargetMode="External"/><Relationship Id="rId26" Type="http://schemas.openxmlformats.org/officeDocument/2006/relationships/hyperlink" Target="https://doi.org/10.3389/fphys.2018.01478" TargetMode="External"/><Relationship Id="rId39" Type="http://schemas.openxmlformats.org/officeDocument/2006/relationships/hyperlink" Target="https://doi.org/10.1007/s00248-022-02004-w" TargetMode="External"/><Relationship Id="rId21" Type="http://schemas.openxmlformats.org/officeDocument/2006/relationships/hyperlink" Target="https://doi.org/10.1016/j.tplants.2019.12.019" TargetMode="External"/><Relationship Id="rId34" Type="http://schemas.openxmlformats.org/officeDocument/2006/relationships/hyperlink" Target="https://doi.org/10.1002/ps.6922" TargetMode="External"/><Relationship Id="rId42" Type="http://schemas.openxmlformats.org/officeDocument/2006/relationships/hyperlink" Target="https://doi.org/10.3390/insects15120911"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93/jee/toae152" TargetMode="External"/><Relationship Id="rId29" Type="http://schemas.openxmlformats.org/officeDocument/2006/relationships/hyperlink" Target="https://doi.org/10.1016/j.apsoil.2019.1034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1017/10.1016/j.envres.2023.116876" TargetMode="External"/><Relationship Id="rId24" Type="http://schemas.openxmlformats.org/officeDocument/2006/relationships/hyperlink" Target="https://doi.org/10.1016/j.stress.2023.100151" TargetMode="External"/><Relationship Id="rId32" Type="http://schemas.openxmlformats.org/officeDocument/2006/relationships/hyperlink" Target="https://doi.org/10.3389/fmicb.2017.00373" TargetMode="External"/><Relationship Id="rId37" Type="http://schemas.openxmlformats.org/officeDocument/2006/relationships/hyperlink" Target="https://doi.org/10.1093/jee/toaa163" TargetMode="External"/><Relationship Id="rId40" Type="http://schemas.openxmlformats.org/officeDocument/2006/relationships/hyperlink" Target="https://www.google.com/search?q=https://doi.org/10.1016/j.ecoenv.2023.115648"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ibmb.2011.02.006" TargetMode="External"/><Relationship Id="rId23" Type="http://schemas.openxmlformats.org/officeDocument/2006/relationships/hyperlink" Target="https://www.google.com/search?q=https://doi.org/10.3390/foods13213465" TargetMode="External"/><Relationship Id="rId28" Type="http://schemas.openxmlformats.org/officeDocument/2006/relationships/hyperlink" Target="https://doi.org/10.1016/j.ibmb.2018.06.004" TargetMode="External"/><Relationship Id="rId36" Type="http://schemas.openxmlformats.org/officeDocument/2006/relationships/hyperlink" Target="https://doi.org/10.1073/pnas.0306669101" TargetMode="External"/><Relationship Id="rId10" Type="http://schemas.openxmlformats.org/officeDocument/2006/relationships/hyperlink" Target="https://doi.org/10.1007/s11356-018-3442-8" TargetMode="External"/><Relationship Id="rId19" Type="http://schemas.openxmlformats.org/officeDocument/2006/relationships/hyperlink" Target="https://www.google.com/search?q=https://doi.org/10.1126/science.ado0251" TargetMode="External"/><Relationship Id="rId31" Type="http://schemas.openxmlformats.org/officeDocument/2006/relationships/hyperlink" Target="https://doi.org/10.3390/horticulturae909096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93/jee/toy424" TargetMode="External"/><Relationship Id="rId22" Type="http://schemas.openxmlformats.org/officeDocument/2006/relationships/hyperlink" Target="https://doi.org/10.1016/j.jip.2014.04.003" TargetMode="External"/><Relationship Id="rId27" Type="http://schemas.openxmlformats.org/officeDocument/2006/relationships/hyperlink" Target="https://doi.org/10.3390/plants11091212" TargetMode="External"/><Relationship Id="rId30" Type="http://schemas.openxmlformats.org/officeDocument/2006/relationships/hyperlink" Target="https://doi.org/10.3390/insects11100697" TargetMode="External"/><Relationship Id="rId35" Type="http://schemas.openxmlformats.org/officeDocument/2006/relationships/hyperlink" Target="https://doi.org/10.1016/j.scitotenv.2024.176594" TargetMode="External"/><Relationship Id="rId43" Type="http://schemas.openxmlformats.org/officeDocument/2006/relationships/image" Target="media/image4.pn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google.com/search?q=https://doi.org/10.1007/s00203-023-03534-1" TargetMode="External"/><Relationship Id="rId17" Type="http://schemas.openxmlformats.org/officeDocument/2006/relationships/hyperlink" Target="https://www.google.com/search?q=https://doi.org/10.9734/ijpss/2025/v37i95465" TargetMode="External"/><Relationship Id="rId25" Type="http://schemas.openxmlformats.org/officeDocument/2006/relationships/hyperlink" Target="https://doi.org/10.1016/j.jip.2016.03.010" TargetMode="External"/><Relationship Id="rId33" Type="http://schemas.openxmlformats.org/officeDocument/2006/relationships/hyperlink" Target="https://doi.org/10.1111/j.1574-6976.2012.00341.x" TargetMode="External"/><Relationship Id="rId38" Type="http://schemas.openxmlformats.org/officeDocument/2006/relationships/hyperlink" Target="https://doi.org/10.1007/s42452-019-1485-1" TargetMode="External"/><Relationship Id="rId46" Type="http://schemas.openxmlformats.org/officeDocument/2006/relationships/header" Target="header3.xml"/><Relationship Id="rId20" Type="http://schemas.openxmlformats.org/officeDocument/2006/relationships/hyperlink" Target="https://www.google.com/search?q=https://doi.org/10.1016/j.jhazmat.2023.130904" TargetMode="External"/><Relationship Id="rId41" Type="http://schemas.openxmlformats.org/officeDocument/2006/relationships/hyperlink" Target="https://www.google.com/search?q=https://doi.org/10.1016/j.pestbp.2023.105362"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Administrator.DESKTOP-F0C6JFU</dc:creator>
  <cp:lastModifiedBy>SDI 1020</cp:lastModifiedBy>
  <cp:revision>21</cp:revision>
  <cp:lastPrinted>2025-11-06T07:55:00Z</cp:lastPrinted>
  <dcterms:created xsi:type="dcterms:W3CDTF">2025-12-21T07:22:00Z</dcterms:created>
  <dcterms:modified xsi:type="dcterms:W3CDTF">2025-12-24T06:17:00Z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eyJoZGlkIjoiM2M1ODBkYjk1YTk3ZDAwNGVhZjg5YzA2ODA4ZWEyZmYiLCJ1c2VySWQiOiI1MDQ4NTkzNDkifQ==</vt:lpwstr>
  </property>
  <property fmtid="{D5CDD505-2E9C-101B-9397-08002B2CF9AE}" pid="4" name="ICV">
    <vt:lpwstr>19760D1634BE4100814DF7FD1969CA5B_12</vt:lpwstr>
  </property>
</Properties>
</file>