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734F1" w14:textId="77777777" w:rsidR="00754C9A" w:rsidRDefault="00754C9A" w:rsidP="00441B6F">
      <w:pPr>
        <w:pStyle w:val="Title"/>
        <w:spacing w:after="0"/>
        <w:jc w:val="both"/>
        <w:rPr>
          <w:rFonts w:ascii="Arial" w:hAnsi="Arial" w:cs="Arial"/>
        </w:rPr>
      </w:pPr>
    </w:p>
    <w:p w14:paraId="3926E74E" w14:textId="77777777" w:rsidR="001C49E1" w:rsidRPr="001C49E1" w:rsidRDefault="001C49E1" w:rsidP="001C49E1">
      <w:pPr>
        <w:pStyle w:val="Author"/>
        <w:spacing w:line="240" w:lineRule="auto"/>
        <w:jc w:val="both"/>
        <w:rPr>
          <w:rFonts w:ascii="Arial" w:hAnsi="Arial" w:cs="Arial"/>
          <w:bCs/>
          <w:iCs/>
          <w:kern w:val="28"/>
          <w:sz w:val="36"/>
          <w:lang w:val="en-IN"/>
        </w:rPr>
      </w:pPr>
      <w:r w:rsidRPr="001C49E1">
        <w:rPr>
          <w:rFonts w:ascii="Arial" w:hAnsi="Arial" w:cs="Arial"/>
          <w:bCs/>
          <w:iCs/>
          <w:kern w:val="28"/>
          <w:sz w:val="36"/>
          <w:lang w:val="en-IN"/>
        </w:rPr>
        <w:t>Evaluation of Granule Size Indices in Commercially Available Urea Fertilizers in India</w:t>
      </w:r>
    </w:p>
    <w:p w14:paraId="24846870" w14:textId="77777777" w:rsidR="00A258C3" w:rsidRPr="00790ADA" w:rsidRDefault="00A258C3" w:rsidP="00441B6F">
      <w:pPr>
        <w:pStyle w:val="Author"/>
        <w:spacing w:line="240" w:lineRule="auto"/>
        <w:jc w:val="both"/>
        <w:rPr>
          <w:rFonts w:ascii="Arial" w:hAnsi="Arial" w:cs="Arial"/>
          <w:sz w:val="36"/>
        </w:rPr>
      </w:pPr>
    </w:p>
    <w:p w14:paraId="6FB70D91" w14:textId="77777777" w:rsidR="00790ADA" w:rsidRDefault="00790ADA" w:rsidP="00A81A65">
      <w:pPr>
        <w:pStyle w:val="Affiliation"/>
        <w:spacing w:after="0" w:line="240" w:lineRule="auto"/>
        <w:rPr>
          <w:rFonts w:ascii="Arial" w:hAnsi="Arial" w:cs="Arial"/>
        </w:rPr>
      </w:pPr>
    </w:p>
    <w:p w14:paraId="5C906F62" w14:textId="77777777" w:rsidR="002C57D2" w:rsidRPr="00FB3A86" w:rsidRDefault="002C57D2" w:rsidP="00441B6F">
      <w:pPr>
        <w:pStyle w:val="Affiliation"/>
        <w:spacing w:after="0" w:line="240" w:lineRule="auto"/>
        <w:jc w:val="both"/>
        <w:rPr>
          <w:rFonts w:ascii="Arial" w:hAnsi="Arial" w:cs="Arial"/>
        </w:rPr>
      </w:pPr>
    </w:p>
    <w:p w14:paraId="2C0DD83F" w14:textId="77777777" w:rsidR="00B01FCD" w:rsidRPr="00FB3A86" w:rsidRDefault="003049BC" w:rsidP="00441B6F">
      <w:pPr>
        <w:pStyle w:val="Copyright"/>
        <w:spacing w:after="0" w:line="240" w:lineRule="auto"/>
        <w:jc w:val="both"/>
        <w:rPr>
          <w:rFonts w:ascii="Arial" w:hAnsi="Arial" w:cs="Arial"/>
        </w:rPr>
        <w:sectPr w:rsidR="00B01FCD" w:rsidRPr="00FB3A86" w:rsidSect="00B15398">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15B7F8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A2DB3F7"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365DE4B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6C7A14A" w14:textId="77777777" w:rsidTr="001E44FE">
        <w:tc>
          <w:tcPr>
            <w:tcW w:w="9576" w:type="dxa"/>
            <w:shd w:val="clear" w:color="auto" w:fill="F2F2F2"/>
          </w:tcPr>
          <w:p w14:paraId="4B1C4674" w14:textId="77777777" w:rsidR="00505F06" w:rsidRPr="00A81A65" w:rsidRDefault="00A81A65" w:rsidP="00A81A65">
            <w:pPr>
              <w:pStyle w:val="Body"/>
              <w:rPr>
                <w:rFonts w:ascii="Arial" w:eastAsia="Calibri" w:hAnsi="Arial" w:cs="Arial"/>
                <w:szCs w:val="22"/>
                <w:lang w:val="en-IN"/>
              </w:rPr>
            </w:pPr>
            <w:r w:rsidRPr="00A81A65">
              <w:rPr>
                <w:rFonts w:ascii="Arial" w:eastAsia="Calibri" w:hAnsi="Arial" w:cs="Arial"/>
                <w:szCs w:val="22"/>
                <w:lang w:val="en-IN"/>
              </w:rPr>
              <w:t xml:space="preserve">Urea is the most widely used nitrogen fertilizer in India, yet limited information is available on the granule size characteristics of commercially available products from different manufacturers. Granule size plays an important role in fertilizer handling, metering </w:t>
            </w:r>
            <w:proofErr w:type="spellStart"/>
            <w:r w:rsidRPr="00A81A65">
              <w:rPr>
                <w:rFonts w:ascii="Arial" w:eastAsia="Calibri" w:hAnsi="Arial" w:cs="Arial"/>
                <w:szCs w:val="22"/>
                <w:lang w:val="en-IN"/>
              </w:rPr>
              <w:t>behavior</w:t>
            </w:r>
            <w:proofErr w:type="spellEnd"/>
            <w:r w:rsidRPr="00A81A65">
              <w:rPr>
                <w:rFonts w:ascii="Arial" w:eastAsia="Calibri" w:hAnsi="Arial" w:cs="Arial"/>
                <w:szCs w:val="22"/>
                <w:lang w:val="en-IN"/>
              </w:rPr>
              <w:t>, and field application uniformity. In the present study, urea samples were collected from ten major Indian manufacturers, and their particle size characteristics were evaluated using percentile-based granule size indices, including d</w:t>
            </w:r>
            <w:r w:rsidRPr="00A81A65">
              <w:rPr>
                <w:rFonts w:ascii="Arial" w:eastAsia="Calibri" w:hAnsi="Arial" w:cs="Arial"/>
                <w:szCs w:val="22"/>
                <w:vertAlign w:val="subscript"/>
                <w:lang w:val="en-IN"/>
              </w:rPr>
              <w:t>5</w:t>
            </w:r>
            <w:r w:rsidRPr="00A81A65">
              <w:rPr>
                <w:rFonts w:ascii="Arial" w:eastAsia="Calibri" w:hAnsi="Arial" w:cs="Arial"/>
                <w:szCs w:val="22"/>
                <w:lang w:val="en-IN"/>
              </w:rPr>
              <w:t>, d</w:t>
            </w:r>
            <w:r w:rsidRPr="00A81A65">
              <w:rPr>
                <w:rFonts w:ascii="Arial" w:eastAsia="Calibri" w:hAnsi="Arial" w:cs="Arial"/>
                <w:szCs w:val="22"/>
                <w:vertAlign w:val="subscript"/>
                <w:lang w:val="en-IN"/>
              </w:rPr>
              <w:t>16</w:t>
            </w:r>
            <w:r w:rsidRPr="00A81A65">
              <w:rPr>
                <w:rFonts w:ascii="Arial" w:eastAsia="Calibri" w:hAnsi="Arial" w:cs="Arial"/>
                <w:szCs w:val="22"/>
                <w:lang w:val="en-IN"/>
              </w:rPr>
              <w:t>, d</w:t>
            </w:r>
            <w:r w:rsidRPr="00A81A65">
              <w:rPr>
                <w:rFonts w:ascii="Arial" w:eastAsia="Calibri" w:hAnsi="Arial" w:cs="Arial"/>
                <w:szCs w:val="22"/>
                <w:vertAlign w:val="subscript"/>
                <w:lang w:val="en-IN"/>
              </w:rPr>
              <w:t>84</w:t>
            </w:r>
            <w:r w:rsidRPr="00A81A65">
              <w:rPr>
                <w:rFonts w:ascii="Arial" w:eastAsia="Calibri" w:hAnsi="Arial" w:cs="Arial"/>
                <w:szCs w:val="22"/>
                <w:lang w:val="en-IN"/>
              </w:rPr>
              <w:t>, and d</w:t>
            </w:r>
            <w:r w:rsidRPr="00A81A65">
              <w:rPr>
                <w:rFonts w:ascii="Arial" w:eastAsia="Calibri" w:hAnsi="Arial" w:cs="Arial"/>
                <w:szCs w:val="22"/>
                <w:vertAlign w:val="subscript"/>
                <w:lang w:val="en-IN"/>
              </w:rPr>
              <w:t>90</w:t>
            </w:r>
            <w:r w:rsidRPr="00A81A65">
              <w:rPr>
                <w:rFonts w:ascii="Arial" w:eastAsia="Calibri" w:hAnsi="Arial" w:cs="Arial"/>
                <w:szCs w:val="22"/>
                <w:lang w:val="en-IN"/>
              </w:rPr>
              <w:t>. The d</w:t>
            </w:r>
            <w:r w:rsidRPr="00A81A65">
              <w:rPr>
                <w:rFonts w:ascii="Arial" w:eastAsia="Calibri" w:hAnsi="Arial" w:cs="Arial"/>
                <w:szCs w:val="22"/>
                <w:vertAlign w:val="subscript"/>
                <w:lang w:val="en-IN"/>
              </w:rPr>
              <w:t xml:space="preserve">5 </w:t>
            </w:r>
            <w:r w:rsidRPr="00A81A65">
              <w:rPr>
                <w:rFonts w:ascii="Arial" w:eastAsia="Calibri" w:hAnsi="Arial" w:cs="Arial"/>
                <w:szCs w:val="22"/>
                <w:lang w:val="en-IN"/>
              </w:rPr>
              <w:t>values ranged from 0.394 to 0.861 mm, d</w:t>
            </w:r>
            <w:r w:rsidRPr="00A81A65">
              <w:rPr>
                <w:rFonts w:ascii="Arial" w:eastAsia="Calibri" w:hAnsi="Arial" w:cs="Arial"/>
                <w:szCs w:val="22"/>
                <w:vertAlign w:val="subscript"/>
                <w:lang w:val="en-IN"/>
              </w:rPr>
              <w:t xml:space="preserve">16 </w:t>
            </w:r>
            <w:r w:rsidRPr="00A81A65">
              <w:rPr>
                <w:rFonts w:ascii="Arial" w:eastAsia="Calibri" w:hAnsi="Arial" w:cs="Arial"/>
                <w:szCs w:val="22"/>
                <w:lang w:val="en-IN"/>
              </w:rPr>
              <w:t>ranged from 0.650 to 0.943 mm, d</w:t>
            </w:r>
            <w:r w:rsidRPr="00A81A65">
              <w:rPr>
                <w:rFonts w:ascii="Arial" w:eastAsia="Calibri" w:hAnsi="Arial" w:cs="Arial"/>
                <w:szCs w:val="22"/>
                <w:vertAlign w:val="subscript"/>
                <w:lang w:val="en-IN"/>
              </w:rPr>
              <w:t xml:space="preserve">84 </w:t>
            </w:r>
            <w:r w:rsidRPr="00A81A65">
              <w:rPr>
                <w:rFonts w:ascii="Arial" w:eastAsia="Calibri" w:hAnsi="Arial" w:cs="Arial"/>
                <w:szCs w:val="22"/>
                <w:lang w:val="en-IN"/>
              </w:rPr>
              <w:t>ranged from 1.311 to 1.484 mm, and d</w:t>
            </w:r>
            <w:r w:rsidRPr="00A81A65">
              <w:rPr>
                <w:rFonts w:ascii="Arial" w:eastAsia="Calibri" w:hAnsi="Arial" w:cs="Arial"/>
                <w:szCs w:val="22"/>
                <w:vertAlign w:val="subscript"/>
                <w:lang w:val="en-IN"/>
              </w:rPr>
              <w:t xml:space="preserve">90 </w:t>
            </w:r>
            <w:r w:rsidRPr="00A81A65">
              <w:rPr>
                <w:rFonts w:ascii="Arial" w:eastAsia="Calibri" w:hAnsi="Arial" w:cs="Arial"/>
                <w:szCs w:val="22"/>
                <w:lang w:val="en-IN"/>
              </w:rPr>
              <w:t xml:space="preserve">ranged from 1.359 to 1.565 mm. One-way ANOVA showed statistically significant differences (p &lt; 0.05) for all granule size indices among the ten manufacturers, and Tukey post-hoc analysis indicated a high number of significantly different pairwise comparisons for each index. These findings highlight differences in size variability among Indian urea brands. </w:t>
            </w:r>
          </w:p>
        </w:tc>
      </w:tr>
    </w:tbl>
    <w:p w14:paraId="038362DC" w14:textId="77777777" w:rsidR="00636EB2" w:rsidRDefault="00636EB2" w:rsidP="00441B6F">
      <w:pPr>
        <w:pStyle w:val="Body"/>
        <w:spacing w:after="0"/>
        <w:rPr>
          <w:rFonts w:ascii="Arial" w:hAnsi="Arial" w:cs="Arial"/>
          <w:i/>
        </w:rPr>
      </w:pPr>
    </w:p>
    <w:p w14:paraId="627456A1" w14:textId="77777777" w:rsidR="00A24E7E" w:rsidRDefault="00A24E7E" w:rsidP="00441B6F">
      <w:pPr>
        <w:pStyle w:val="Body"/>
        <w:spacing w:after="0"/>
        <w:rPr>
          <w:rFonts w:ascii="Arial" w:hAnsi="Arial" w:cs="Arial"/>
          <w:i/>
        </w:rPr>
      </w:pPr>
      <w:r>
        <w:rPr>
          <w:rFonts w:ascii="Arial" w:hAnsi="Arial" w:cs="Arial"/>
          <w:i/>
        </w:rPr>
        <w:t xml:space="preserve">Keywords: </w:t>
      </w:r>
      <w:r w:rsidR="00A81A65" w:rsidRPr="00A81A65">
        <w:rPr>
          <w:rFonts w:ascii="Arial" w:hAnsi="Arial" w:cs="Arial"/>
          <w:i/>
        </w:rPr>
        <w:t>Urea fertilizer, Granule size indices, Particle size distribution, Percentile diameters</w:t>
      </w:r>
    </w:p>
    <w:p w14:paraId="242C4DFC" w14:textId="77777777" w:rsidR="00790ADA" w:rsidRDefault="00790ADA" w:rsidP="00441B6F">
      <w:pPr>
        <w:pStyle w:val="Body"/>
        <w:spacing w:after="0"/>
        <w:rPr>
          <w:rFonts w:ascii="Arial" w:hAnsi="Arial" w:cs="Arial"/>
          <w:i/>
        </w:rPr>
      </w:pPr>
    </w:p>
    <w:p w14:paraId="52B87AD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A4C553B" w14:textId="77777777" w:rsidR="00790ADA" w:rsidRPr="00FB3A86" w:rsidRDefault="00790ADA" w:rsidP="00441B6F">
      <w:pPr>
        <w:pStyle w:val="AbstHead"/>
        <w:spacing w:after="0"/>
        <w:jc w:val="both"/>
        <w:rPr>
          <w:rFonts w:ascii="Arial" w:hAnsi="Arial" w:cs="Arial"/>
        </w:rPr>
      </w:pPr>
    </w:p>
    <w:p w14:paraId="2D6E7FD7" w14:textId="3B7E2EC4" w:rsidR="00A81A65" w:rsidRPr="00A81A65" w:rsidRDefault="00A81A65" w:rsidP="00A81A65">
      <w:pPr>
        <w:pStyle w:val="Body"/>
        <w:rPr>
          <w:rFonts w:ascii="Arial" w:hAnsi="Arial" w:cs="Arial"/>
          <w:lang w:val="en-IN"/>
        </w:rPr>
      </w:pPr>
      <w:r w:rsidRPr="00A81A65">
        <w:rPr>
          <w:rFonts w:ascii="Arial" w:hAnsi="Arial" w:cs="Arial"/>
          <w:lang w:val="en-IN"/>
        </w:rPr>
        <w:t xml:space="preserve">Nitrogen (N) is one of the most essential macronutrients required for plant growth and crop yield. Urea has emerged as the most widely used nitrogen fertilizer and serves as the primary nitrogen source in agricultural production systems </w:t>
      </w:r>
      <w:r w:rsidRPr="00A81A65">
        <w:rPr>
          <w:rFonts w:ascii="Arial" w:hAnsi="Arial" w:cs="Arial"/>
          <w:lang w:val="en-IN"/>
        </w:rPr>
        <w:fldChar w:fldCharType="begin" w:fldLock="1"/>
      </w:r>
      <w:r w:rsidRPr="00A81A65">
        <w:rPr>
          <w:rFonts w:ascii="Arial" w:hAnsi="Arial" w:cs="Arial"/>
          <w:lang w:val="en-IN"/>
        </w:rPr>
        <w:instrText>ADDIN CSL_CITATION {"citationItems":[{"id":"ITEM-1","itemData":{"DOI":"10.1007/BF01054389","abstract":"Physical properties are not governed in commerce by laws, however an attempt was made to analyse the urea being produced by six companies in Pakistan to identify and highlight the best quality control for important physical properties tests. The parameters indicated in tests were strictly followed for ensuring the standardized basis of comparison.","author":[{"dropping-particle":"","family":"Bhatti","given":"Mukammad Essa","non-dropping-particle":"","parse-names":false,"suffix":""}],"container-title":"Fertilizer Research","id":"ITEM-1","issued":{"date-parts":[["1992"]]},"page":"13-17","title":"Physical properties comparative study of urea of different companies in Pakistan","type":"article-journal","volume":"32"},"uris":["http://www.mendeley.com/documents/?uuid=fc8b6d5c-766a-35d7-837f-7dbfc913c826"]},{"id":"ITEM-2","itemData":{"DOI":"10.1007/s10533-005-3070-5","ISSN":"01682563","abstract":"While the global increase in the use of nitrogen-based fertilizers has been well recognized, another change in fertilizer usage has simultaneously occurred: a shift toward urea-based products. Worldwide use of urea has increased more than 100-fold in the past 4 decades and now constitutes &gt;50% of global nitrogenous fertilizer usage. Global urea usage extends beyond agricultural applications; urea is also used extensively in animal feeds and in manufacturing processes. This change has occurred to satisfy the world's need for food and more efficient agriculture. Long thought to be retained in soils, new data are suggestive of significant overland transport of urea to sensitive coastal waters. Urea concentrations in coastal and estuarine waters can be substantially elevated and can represent a large fraction of the total dissolved organic nitrogen pool. Urea is used as a nitrogen substrate by many coastal phytoplankton and is increasingly found to be important in the nitrogenous nutrition of some harmful algal bloom (HAB) species. The global increase from 1970 to 2000 in documented incidences of paralytic shellfish poisoning, caused by several HAB species, is similar to the global increase in urea use over the same 3 decades. The trend toward global urea use is expected to continue, with the potential for increasing pollution of sensitive coastal waters around the world. © Springer 2006.","author":[{"dropping-particle":"","family":"Glibert","given":"Patricia M.","non-dropping-particle":"","parse-names":false,"suffix":""},{"dropping-particle":"","family":"Harrison","given":"John","non-dropping-particle":"","parse-names":false,"suffix":""},{"dropping-particle":"","family":"Heil","given":"Cynthia","non-dropping-particle":"","parse-names":false,"suffix":""},{"dropping-particle":"","family":"Seitzinger","given":"Sybil","non-dropping-particle":"","parse-names":false,"suffix":""}],"container-title":"Biogeochemistry","id":"ITEM-2","issued":{"date-parts":[["2006"]]},"page":"441-463","title":"Escalating worldwide use of urea - A global change contributing to coastal eutrophication","type":"article-journal","volume":"77"},"uris":["http://www.mendeley.com/documents/?uuid=d7581668-df20-3def-a4f3-f6ec6ba6822d"]}],"mendeley":{"formattedCitation":"(Bhatti, 1992; Glibert et al., 2006)","plainTextFormattedCitation":"(Bhatti, 1992; Glibert et al., 2006)","previouslyFormattedCitation":"(Bhatti, 1992; Glibert et al., 2006)"},"properties":{"noteIndex":0},"schema":"https://github.com/citation-style-language/schema/raw/master/csl-citation.json"}</w:instrText>
      </w:r>
      <w:r w:rsidRPr="00A81A65">
        <w:rPr>
          <w:rFonts w:ascii="Arial" w:hAnsi="Arial" w:cs="Arial"/>
          <w:lang w:val="en-IN"/>
        </w:rPr>
        <w:fldChar w:fldCharType="separate"/>
      </w:r>
      <w:r w:rsidRPr="00A81A65">
        <w:rPr>
          <w:rFonts w:ascii="Arial" w:hAnsi="Arial" w:cs="Arial"/>
          <w:noProof/>
          <w:lang w:val="en-IN"/>
        </w:rPr>
        <w:t>(Bhatti, 1992; Glibert et al., 2006</w:t>
      </w:r>
      <w:r w:rsidR="004914E1">
        <w:rPr>
          <w:rFonts w:ascii="Arial" w:hAnsi="Arial" w:cs="Arial"/>
          <w:noProof/>
          <w:lang w:val="en-IN"/>
        </w:rPr>
        <w:t xml:space="preserve">; </w:t>
      </w:r>
      <w:r w:rsidR="004914E1" w:rsidRPr="004914E1">
        <w:rPr>
          <w:rFonts w:ascii="Arial" w:hAnsi="Arial" w:cs="Arial"/>
          <w:noProof/>
          <w:lang w:val="en-IN"/>
        </w:rPr>
        <w:t>M. K. Gamit</w:t>
      </w:r>
      <w:r w:rsidR="004914E1">
        <w:rPr>
          <w:rFonts w:ascii="Arial" w:hAnsi="Arial" w:cs="Arial"/>
          <w:noProof/>
          <w:lang w:val="en-IN"/>
        </w:rPr>
        <w:t xml:space="preserve"> et al., 2023</w:t>
      </w:r>
      <w:r w:rsidRPr="00A81A65">
        <w:rPr>
          <w:rFonts w:ascii="Arial" w:hAnsi="Arial" w:cs="Arial"/>
          <w:noProof/>
          <w:lang w:val="en-IN"/>
        </w:rPr>
        <w:t>)</w:t>
      </w:r>
      <w:r w:rsidRPr="00A81A65">
        <w:rPr>
          <w:rFonts w:ascii="Arial" w:hAnsi="Arial" w:cs="Arial"/>
        </w:rPr>
        <w:fldChar w:fldCharType="end"/>
      </w:r>
      <w:r w:rsidRPr="00A81A65">
        <w:rPr>
          <w:rFonts w:ascii="Arial" w:hAnsi="Arial" w:cs="Arial"/>
          <w:lang w:val="en-IN"/>
        </w:rPr>
        <w:t xml:space="preserve">. </w:t>
      </w:r>
      <w:r w:rsidR="00E20E17" w:rsidRPr="00064F10">
        <w:rPr>
          <w:rFonts w:ascii="Arial" w:hAnsi="Arial" w:cs="Arial"/>
          <w:highlight w:val="yellow"/>
        </w:rPr>
        <w:t xml:space="preserve">Urea accounts for over 50% of the nitrogen fertilizers utilized in the agricultural sector worldwide </w:t>
      </w:r>
      <w:r w:rsidR="00E20E17" w:rsidRPr="00064F10">
        <w:rPr>
          <w:rFonts w:ascii="Arial" w:hAnsi="Arial" w:cs="Arial"/>
          <w:highlight w:val="yellow"/>
        </w:rPr>
        <w:fldChar w:fldCharType="begin" w:fldLock="1"/>
      </w:r>
      <w:r w:rsidR="00283852">
        <w:rPr>
          <w:rFonts w:ascii="Arial" w:hAnsi="Arial" w:cs="Arial"/>
          <w:highlight w:val="yellow"/>
        </w:rPr>
        <w:instrText>ADDIN CSL_CITATION {"citationItems":[{"id":"ITEM-1","itemData":{"DOI":"10.1007/s13762-017-1627-1","ISSN":"17352630","abstract":"Provided pellet by mixing of urea and compost is a kind of nitrogenous fertilizer with gradual release that reduces leaching losses and increases gradual absorption of nitrogen during the growing long season. In this study, the characteristics of the produced pellet such as durability, strength and moisture absorption were examined at two density levels (low and high), three ratio levels of compost and urea fertilizer (1:1, 1:2 and 1:4), particle size of compost at two levels (≤ 0.3 and between 0.3 and 0.6 mm) and the rotational speed of die roller shaft at four levels (100, 150, 200 and 250 rpm). The durability and strength increased by increasing the rotational speed of die roller shaft from 100 to 150 rpm, while by increasing from 200 to 250 rpm the durability decreased. The results of mean comparison showed that the durability of pellets produced from particles less than 0.3 mm increased with increasing the speed from 100 to 150 rpm and decreased by increasing the speed from 200 to 250 rpm while increasing the effect of speed on the durability was not significant for the pellets produced from particle size between 0.3 and 0.6 mm. The results showed that the amount of force, fracture energy and toughness of pellets decreased by increasing the particle size. The durability increased by increasing the density and decreasing the ratio of urea, and the maximum durability was found at the ratio of 1:4 and the high density.","author":[{"dropping-particle":"","family":"Amiri","given":"H.","non-dropping-particle":"","parse-names":false,"suffix":""},{"dropping-particle":"","family":"Kianmehr","given":"M. H.","non-dropping-particle":"","parse-names":false,"suffix":""},{"dropping-particle":"","family":"Arabhosseini","given":"A.","non-dropping-particle":"","parse-names":false,"suffix":""}],"container-title":"International Journal of Environmental Science and Technology","id":"ITEM-1","issue":"4","issued":{"date-parts":[["2019"]]},"title":"Effect of particle size, die rotary speed and amount of urea on physical properties of the produced pellet","type":"article-journal","volume":"16"},"uris":["http://www.mendeley.com/documents/?uuid=3b13b3ab-0beb-32df-b2ce-c8891719d1b2"]}],"mendeley":{"formattedCitation":"(Amiri et al., 2019)","plainTextFormattedCitation":"(Amiri et al., 2019)","previouslyFormattedCitation":"(Amiri et al., 2019)"},"properties":{"noteIndex":0},"schema":"https://github.com/citation-style-language/schema/raw/master/csl-citation.json"}</w:instrText>
      </w:r>
      <w:r w:rsidR="00E20E17" w:rsidRPr="00064F10">
        <w:rPr>
          <w:rFonts w:ascii="Arial" w:hAnsi="Arial" w:cs="Arial"/>
          <w:highlight w:val="yellow"/>
        </w:rPr>
        <w:fldChar w:fldCharType="separate"/>
      </w:r>
      <w:r w:rsidR="00E20E17" w:rsidRPr="00064F10">
        <w:rPr>
          <w:rFonts w:ascii="Arial" w:hAnsi="Arial" w:cs="Arial"/>
          <w:noProof/>
          <w:highlight w:val="yellow"/>
        </w:rPr>
        <w:t xml:space="preserve">(Amiri </w:t>
      </w:r>
      <w:r w:rsidR="00E20E17" w:rsidRPr="00064F10">
        <w:rPr>
          <w:rFonts w:ascii="Arial" w:hAnsi="Arial" w:cs="Arial"/>
          <w:i/>
          <w:noProof/>
          <w:highlight w:val="yellow"/>
        </w:rPr>
        <w:t>et al.</w:t>
      </w:r>
      <w:r w:rsidR="00E20E17" w:rsidRPr="00064F10">
        <w:rPr>
          <w:rFonts w:ascii="Arial" w:hAnsi="Arial" w:cs="Arial"/>
          <w:noProof/>
          <w:highlight w:val="yellow"/>
        </w:rPr>
        <w:t>, 2019)</w:t>
      </w:r>
      <w:r w:rsidR="00E20E17" w:rsidRPr="00064F10">
        <w:rPr>
          <w:rFonts w:ascii="Arial" w:hAnsi="Arial" w:cs="Arial"/>
          <w:highlight w:val="yellow"/>
        </w:rPr>
        <w:fldChar w:fldCharType="end"/>
      </w:r>
      <w:r w:rsidR="00E20E17" w:rsidRPr="00064F10">
        <w:rPr>
          <w:rFonts w:ascii="Arial" w:hAnsi="Arial" w:cs="Arial"/>
        </w:rPr>
        <w:t>.</w:t>
      </w:r>
      <w:r w:rsidR="00E20E17">
        <w:t xml:space="preserve"> </w:t>
      </w:r>
      <w:r w:rsidRPr="00A81A65">
        <w:rPr>
          <w:rFonts w:ascii="Arial" w:hAnsi="Arial" w:cs="Arial"/>
          <w:lang w:val="en-IN"/>
        </w:rPr>
        <w:t xml:space="preserve">In India, the demand for urea has remained consistently high due to the country’s large agricultural sector and the extensive area under nitrogen-intensive crops such as rice and wheat. According to the recent governmental data, urea production in India increased from about 244.58 lakh metric tonnes per annum in 2019-20 to 314.09 lakh metric tonnes per annum in 2023-24 </w:t>
      </w:r>
      <w:r w:rsidRPr="00A81A65">
        <w:rPr>
          <w:rFonts w:ascii="Arial" w:hAnsi="Arial" w:cs="Arial"/>
          <w:lang w:val="en-IN"/>
        </w:rPr>
        <w:fldChar w:fldCharType="begin" w:fldLock="1"/>
      </w:r>
      <w:r w:rsidRPr="00A81A65">
        <w:rPr>
          <w:rFonts w:ascii="Arial" w:hAnsi="Arial" w:cs="Arial"/>
          <w:lang w:val="en-IN"/>
        </w:rPr>
        <w:instrText>ADDIN CSL_CITATION {"citationItems":[{"id":"ITEM-1","itemData":{"author":[{"dropping-particle":"","family":"Anonymous","given":"","non-dropping-particle":"","parse-names":false,"suffix":""}],"id":"ITEM-1","issued":{"date-parts":[["2024"]]},"title":"Annual Report 2023-24, Department of Fertilizers, Ministry of Chemicals &amp; Fertilizers, Government of India, New Delhi","type":"report"},"uris":["http://www.mendeley.com/documents/?uuid=eaa3f33a-6036-439f-a33f-dcd88a1dcd8d"]}],"mendeley":{"formattedCitation":"(Anonymous, 2024)","plainTextFormattedCitation":"(Anonymous, 2024)","previouslyFormattedCitation":"(Anonymous, 2024)"},"properties":{"noteIndex":0},"schema":"https://github.com/citation-style-language/schema/raw/master/csl-citation.json"}</w:instrText>
      </w:r>
      <w:r w:rsidRPr="00A81A65">
        <w:rPr>
          <w:rFonts w:ascii="Arial" w:hAnsi="Arial" w:cs="Arial"/>
          <w:lang w:val="en-IN"/>
        </w:rPr>
        <w:fldChar w:fldCharType="separate"/>
      </w:r>
      <w:r w:rsidRPr="00A81A65">
        <w:rPr>
          <w:rFonts w:ascii="Arial" w:hAnsi="Arial" w:cs="Arial"/>
          <w:noProof/>
          <w:lang w:val="en-IN"/>
        </w:rPr>
        <w:t>(Anonymous, 2024)</w:t>
      </w:r>
      <w:r w:rsidRPr="00A81A65">
        <w:rPr>
          <w:rFonts w:ascii="Arial" w:hAnsi="Arial" w:cs="Arial"/>
        </w:rPr>
        <w:fldChar w:fldCharType="end"/>
      </w:r>
      <w:r w:rsidRPr="00A81A65">
        <w:rPr>
          <w:rFonts w:ascii="Arial" w:hAnsi="Arial" w:cs="Arial"/>
          <w:lang w:val="en-IN"/>
        </w:rPr>
        <w:t xml:space="preserve">. Domestic production meets a large portion of the urea demand, with reports indicating that around 87.78% of urea consumption is currently met by indigenous manufacturing </w:t>
      </w:r>
      <w:r w:rsidRPr="00A81A65">
        <w:rPr>
          <w:rFonts w:ascii="Arial" w:hAnsi="Arial" w:cs="Arial"/>
          <w:lang w:val="en-IN"/>
        </w:rPr>
        <w:fldChar w:fldCharType="begin" w:fldLock="1"/>
      </w:r>
      <w:r w:rsidRPr="00A81A65">
        <w:rPr>
          <w:rFonts w:ascii="Arial" w:hAnsi="Arial" w:cs="Arial"/>
          <w:lang w:val="en-IN"/>
        </w:rPr>
        <w:instrText>ADDIN CSL_CITATION {"citationItems":[{"id":"ITEM-1","itemData":{"author":[{"dropping-particle":"","family":"Anonymous","given":"","non-dropping-particle":"","parse-names":false,"suffix":""}],"id":"ITEM-1","issued":{"date-parts":[["2024"]]},"title":"Annual Report 2023-24, Department of Fertilizers, Ministry of Chemicals &amp; Fertilizers, Government of India, New Delhi","type":"report"},"uris":["http://www.mendeley.com/documents/?uuid=eaa3f33a-6036-439f-a33f-dcd88a1dcd8d"]}],"mendeley":{"formattedCitation":"(Anonymous, 2024)","plainTextFormattedCitation":"(Anonymous, 2024)","previouslyFormattedCitation":"(Anonymous, 2024)"},"properties":{"noteIndex":0},"schema":"https://github.com/citation-style-language/schema/raw/master/csl-citation.json"}</w:instrText>
      </w:r>
      <w:r w:rsidRPr="00A81A65">
        <w:rPr>
          <w:rFonts w:ascii="Arial" w:hAnsi="Arial" w:cs="Arial"/>
          <w:lang w:val="en-IN"/>
        </w:rPr>
        <w:fldChar w:fldCharType="separate"/>
      </w:r>
      <w:r w:rsidRPr="00A81A65">
        <w:rPr>
          <w:rFonts w:ascii="Arial" w:hAnsi="Arial" w:cs="Arial"/>
          <w:noProof/>
          <w:lang w:val="en-IN"/>
        </w:rPr>
        <w:t>(Anonymous, 2024)</w:t>
      </w:r>
      <w:r w:rsidRPr="00A81A65">
        <w:rPr>
          <w:rFonts w:ascii="Arial" w:hAnsi="Arial" w:cs="Arial"/>
        </w:rPr>
        <w:fldChar w:fldCharType="end"/>
      </w:r>
      <w:r w:rsidRPr="00A81A65">
        <w:rPr>
          <w:rFonts w:ascii="Arial" w:hAnsi="Arial" w:cs="Arial"/>
          <w:lang w:val="en-IN"/>
        </w:rPr>
        <w:t xml:space="preserve">. </w:t>
      </w:r>
      <w:bookmarkStart w:id="0" w:name="_GoBack"/>
      <w:bookmarkEnd w:id="0"/>
    </w:p>
    <w:p w14:paraId="032B38EB" w14:textId="43A765BF" w:rsidR="00A81A65" w:rsidRDefault="00A81A65" w:rsidP="00A81A65">
      <w:pPr>
        <w:pStyle w:val="Body"/>
        <w:rPr>
          <w:rFonts w:ascii="Arial" w:hAnsi="Arial" w:cs="Arial"/>
          <w:lang w:val="en-IN"/>
        </w:rPr>
      </w:pPr>
      <w:r w:rsidRPr="00A81A65">
        <w:rPr>
          <w:rFonts w:ascii="Arial" w:hAnsi="Arial" w:cs="Arial"/>
          <w:lang w:val="en-IN"/>
        </w:rPr>
        <w:t xml:space="preserve">Despite this high production and use, there exist marked differences among commercially available urea fertilizers in terms of their physical properties. Particle size distribution is a key physical characteristic of granular fertilizers that affects their bulk </w:t>
      </w:r>
      <w:proofErr w:type="spellStart"/>
      <w:r w:rsidRPr="00A81A65">
        <w:rPr>
          <w:rFonts w:ascii="Arial" w:hAnsi="Arial" w:cs="Arial"/>
          <w:lang w:val="en-IN"/>
        </w:rPr>
        <w:t>behavior</w:t>
      </w:r>
      <w:proofErr w:type="spellEnd"/>
      <w:r w:rsidRPr="00A81A65">
        <w:rPr>
          <w:rFonts w:ascii="Arial" w:hAnsi="Arial" w:cs="Arial"/>
          <w:lang w:val="en-IN"/>
        </w:rPr>
        <w:t xml:space="preserve">, including packing and segregation </w:t>
      </w:r>
      <w:r w:rsidRPr="00A81A65">
        <w:rPr>
          <w:rFonts w:ascii="Arial" w:hAnsi="Arial" w:cs="Arial"/>
          <w:lang w:val="en-IN"/>
        </w:rPr>
        <w:fldChar w:fldCharType="begin" w:fldLock="1"/>
      </w:r>
      <w:r w:rsidRPr="00A81A65">
        <w:rPr>
          <w:rFonts w:ascii="Arial" w:hAnsi="Arial" w:cs="Arial"/>
          <w:lang w:val="en-IN"/>
        </w:rPr>
        <w:instrText>ADDIN CSL_CITATION {"citationItems":[{"id":"ITEM-1","itemData":{"abstract":"Particle size distribution is an important physical property of granular fertilizers that influences their bulk behavior (e.g., packing and segregation). Several parameter systems for fertilizer particle size distributions are analyzed in this paper. The most common system used by the fertilizer industry is the SGN-UI system, where SGN is the size guide number (the median particle size) and Ul is the uniformity index (the 10th percentile particle size expressed as a percentage of the 95th percentile particle size). This 2-parameter system, however, has many limitations. For example, it does not give a distribution function. Furthermore, the Ul parameter does not accurately reflect the spread of particle sizes. It is therefore necessary to find a better parameterization system. Three size distribution functions (the log-normal, the Rosin-Rammler and the Gaudin-Schuhmann equations) were tested on a size distribution database composed of 377 samples from 7 fertilizer materials. Each function was fitted to the data by nonlinear regression. The Rosin-Rammler function is the best parameter system on the basis of an analysis of variance of the sum of squares of error from the nonlinear fits. Comparisons between the Rosin-Rammler and the SGN-UI parameters were also made. The Rosin-Rammler system is more accurate than the SGN-UI system, possesses the ability of prediction, and provides a measure of the goodness of fit. Therefore , the Rosin-Rammler system should be used to characterize size distribution of granular fertilizer materials instead of the SGN-UI system.","author":[{"dropping-particle":"","family":"Perfect","given":"Edmund","non-dropping-particle":"","parse-names":false,"suffix":""},{"dropping-particle":"","family":"Xu","given":"Qiang","non-dropping-particle":"","parse-names":false,"suffix":""},{"dropping-particle":"","family":"Terry","given":"David L.","non-dropping-particle":"","parse-names":false,"suffix":""}],"container-title":"Journal of AOAC International","id":"ITEM-1","issue":"5","issued":{"date-parts":[["1998"]]},"page":"935-942","title":"Improved parameterization of fertilizer particle size distribution","type":"article-journal","volume":"81"},"uris":["http://www.mendeley.com/documents/?uuid=9d1dded2-cde7-37b0-af8c-c24a0913e32d"]}],"mendeley":{"formattedCitation":"(Perfect et al., 1998)","plainTextFormattedCitation":"(Perfect et al., 1998)","previouslyFormattedCitation":"(Perfect et al., 1998)"},"properties":{"noteIndex":0},"schema":"https://github.com/citation-style-language/schema/raw/master/csl-citation.json"}</w:instrText>
      </w:r>
      <w:r w:rsidRPr="00A81A65">
        <w:rPr>
          <w:rFonts w:ascii="Arial" w:hAnsi="Arial" w:cs="Arial"/>
          <w:lang w:val="en-IN"/>
        </w:rPr>
        <w:fldChar w:fldCharType="separate"/>
      </w:r>
      <w:r w:rsidRPr="00A81A65">
        <w:rPr>
          <w:rFonts w:ascii="Arial" w:hAnsi="Arial" w:cs="Arial"/>
          <w:noProof/>
          <w:lang w:val="en-IN"/>
        </w:rPr>
        <w:t>(Perfect</w:t>
      </w:r>
      <w:r w:rsidRPr="00A81A65">
        <w:rPr>
          <w:rFonts w:ascii="Arial" w:hAnsi="Arial" w:cs="Arial"/>
          <w:i/>
          <w:noProof/>
          <w:lang w:val="en-IN"/>
        </w:rPr>
        <w:t xml:space="preserve"> et al.</w:t>
      </w:r>
      <w:r w:rsidRPr="00A81A65">
        <w:rPr>
          <w:rFonts w:ascii="Arial" w:hAnsi="Arial" w:cs="Arial"/>
          <w:noProof/>
          <w:lang w:val="en-IN"/>
        </w:rPr>
        <w:t>, 1998)</w:t>
      </w:r>
      <w:r w:rsidRPr="00A81A65">
        <w:rPr>
          <w:rFonts w:ascii="Arial" w:hAnsi="Arial" w:cs="Arial"/>
        </w:rPr>
        <w:fldChar w:fldCharType="end"/>
      </w:r>
      <w:r w:rsidRPr="00A81A65">
        <w:rPr>
          <w:rFonts w:ascii="Arial" w:hAnsi="Arial" w:cs="Arial"/>
          <w:lang w:val="en-IN"/>
        </w:rPr>
        <w:t xml:space="preserve">. Among the factors affecting the deposition of granular fertilizers, particle size is the most significant, followed by particle density </w:t>
      </w:r>
      <w:r w:rsidRPr="00A81A65">
        <w:rPr>
          <w:rFonts w:ascii="Arial" w:hAnsi="Arial" w:cs="Arial"/>
          <w:lang w:val="en-IN"/>
        </w:rPr>
        <w:fldChar w:fldCharType="begin" w:fldLock="1"/>
      </w:r>
      <w:r w:rsidRPr="00A81A65">
        <w:rPr>
          <w:rFonts w:ascii="Arial" w:hAnsi="Arial" w:cs="Arial"/>
          <w:lang w:val="en-IN"/>
        </w:rPr>
        <w:instrText>ADDIN CSL_CITATION {"citationItems":[{"id":"ITEM-1","itemData":{"author":[{"dropping-particle":"","family":"Fulton","given":"John","non-dropping-particle":"","parse-names":false,"suffix":""},{"dropping-particle":"","family":"Port","given":"Kaylee","non-dropping-particle":"","parse-names":false,"suffix":""}],"id":"ITEM-1","issued":{"date-parts":[["2016"]]},"title":"Physical Properties of Granular Fertilizers and Impact on Spreading","type":"report"},"uris":["http://www.mendeley.com/documents/?uuid=250d2e17-1d3c-367b-92e0-f9a9fb3b9fd0"]}],"mendeley":{"formattedCitation":"(Fulton &amp; Port, 2016)","plainTextFormattedCitation":"(Fulton &amp; Port, 2016)","previouslyFormattedCitation":"(Fulton &amp; Port, 2016)"},"properties":{"noteIndex":0},"schema":"https://github.com/citation-style-language/schema/raw/master/csl-citation.json"}</w:instrText>
      </w:r>
      <w:r w:rsidRPr="00A81A65">
        <w:rPr>
          <w:rFonts w:ascii="Arial" w:hAnsi="Arial" w:cs="Arial"/>
          <w:lang w:val="en-IN"/>
        </w:rPr>
        <w:fldChar w:fldCharType="separate"/>
      </w:r>
      <w:r w:rsidRPr="00A81A65">
        <w:rPr>
          <w:rFonts w:ascii="Arial" w:hAnsi="Arial" w:cs="Arial"/>
          <w:noProof/>
          <w:lang w:val="en-IN"/>
        </w:rPr>
        <w:t>(Fulton &amp; Port, 2016)</w:t>
      </w:r>
      <w:r w:rsidRPr="00A81A65">
        <w:rPr>
          <w:rFonts w:ascii="Arial" w:hAnsi="Arial" w:cs="Arial"/>
        </w:rPr>
        <w:fldChar w:fldCharType="end"/>
      </w:r>
      <w:r w:rsidRPr="00A81A65">
        <w:rPr>
          <w:rFonts w:ascii="Arial" w:hAnsi="Arial" w:cs="Arial"/>
          <w:lang w:val="en-IN"/>
        </w:rPr>
        <w:t xml:space="preserve">. The larger differences in particle size within a fertilizer increase the likelihood of uneven distribution or segregation </w:t>
      </w:r>
      <w:r w:rsidRPr="00A81A65">
        <w:rPr>
          <w:rFonts w:ascii="Arial" w:hAnsi="Arial" w:cs="Arial"/>
          <w:lang w:val="en-IN"/>
        </w:rPr>
        <w:fldChar w:fldCharType="begin" w:fldLock="1"/>
      </w:r>
      <w:r w:rsidRPr="00A81A65">
        <w:rPr>
          <w:rFonts w:ascii="Arial" w:hAnsi="Arial" w:cs="Arial"/>
          <w:lang w:val="en-IN"/>
        </w:rPr>
        <w:instrText>ADDIN CSL_CITATION {"citationItems":[{"id":"ITEM-1","itemData":{"DOI":"10.5937/jpea1804180G","abstract":"Mineral fertilizers have a pivotal role in contemporary agricultural production, especially when seeking to exploit the full biological potential of crops. This paper presents the results of a three-year experiment on the distribution uniformity of different mineral fertilizer application systems. One of the objectives in this study was to define the physical and mechanical properties of four different types of mineral fertilizers and examine their changes during storage, transportation and application. A total of four fertilizers were taken into account: UREA, CAN, MAP and NP. The main physical properties, i.e. particle size, particle size distribution, friction coefficient, angle of repose and particle resistance, were analyzed on samples collected from the storage, the trailer (prior to application) and the field (after application). The results obtained show that fertilizers with a particle size distribution of 3.3 to 4.75 mm exhibit higher values of the angle of repose, friction and resistance. The lowest value of the angle of friction (17.53 0) was observed in the UREA fertilizer after application, whereas the highest angle of friction (24.37 0) was measured in the MAP fertilizer obtained from the storage. The values of the static repose angle varied depending on the fertilizer type and the place of sampling (storage, trailer or field). The lowest value of the static repose angle (30.34 0) was measured in the MAP fertilizer after application, whereas the highest static repose angle (36.91 0) was measured in the NP fertilizer from the storage. The NP fertilizer exhibited the highest value of the dynamic friction angle, whereas the lowest value of the dynamic friction angle was calculated for the UREA fertilizer. The NP fertilizer particles showed the highest resistance, whereas the UREA fertilizer particles were most susceptible to breakage.","author":[{"dropping-particle":"","family":"Gavrilović","given":"Marija","non-dropping-particle":"","parse-names":false,"suffix":""},{"dropping-particle":"","family":"Dimitrijević","given":"Aleksandra","non-dropping-particle":"","parse-names":false,"suffix":""},{"dropping-particle":"","family":"Radojičin","given":"Milivoj","non-dropping-particle":"","parse-names":false,"suffix":""},{"dropping-particle":"","family":"Mileusnić","given":"Zoran","non-dropping-particle":"","parse-names":false,"suffix":""},{"dropping-particle":"","family":"Miodragović","given":"Rajko","non-dropping-particle":"","parse-names":false,"suffix":""}],"container-title":"Journal on Processing and Energy in Agriculture","id":"ITEM-1","issue":"4","issued":{"date-parts":[["2018"]]},"page":"180-183","title":"Effects of the application system on the physical and mechanical properties of mineral fertilizers","type":"article-journal","volume":"22"},"uris":["http://www.mendeley.com/documents/?uuid=9f45c844-0a18-34cd-8bb3-60130e73d85a"]}],"mendeley":{"formattedCitation":"(Gavrilović et al., 2018)","plainTextFormattedCitation":"(Gavrilović et al., 2018)","previouslyFormattedCitation":"(Gavrilović et al., 2018)"},"properties":{"noteIndex":0},"schema":"https://github.com/citation-style-language/schema/raw/master/csl-citation.json"}</w:instrText>
      </w:r>
      <w:r w:rsidRPr="00A81A65">
        <w:rPr>
          <w:rFonts w:ascii="Arial" w:hAnsi="Arial" w:cs="Arial"/>
          <w:lang w:val="en-IN"/>
        </w:rPr>
        <w:fldChar w:fldCharType="separate"/>
      </w:r>
      <w:r w:rsidRPr="00A81A65">
        <w:rPr>
          <w:rFonts w:ascii="Arial" w:hAnsi="Arial" w:cs="Arial"/>
          <w:noProof/>
          <w:lang w:val="en-IN"/>
        </w:rPr>
        <w:t xml:space="preserve">(Gavrilović </w:t>
      </w:r>
      <w:r w:rsidRPr="00A81A65">
        <w:rPr>
          <w:rFonts w:ascii="Arial" w:hAnsi="Arial" w:cs="Arial"/>
          <w:i/>
          <w:noProof/>
          <w:lang w:val="en-IN"/>
        </w:rPr>
        <w:t>et al.</w:t>
      </w:r>
      <w:r w:rsidRPr="00A81A65">
        <w:rPr>
          <w:rFonts w:ascii="Arial" w:hAnsi="Arial" w:cs="Arial"/>
          <w:noProof/>
          <w:lang w:val="en-IN"/>
        </w:rPr>
        <w:t>, 2018)</w:t>
      </w:r>
      <w:r w:rsidRPr="00A81A65">
        <w:rPr>
          <w:rFonts w:ascii="Arial" w:hAnsi="Arial" w:cs="Arial"/>
        </w:rPr>
        <w:fldChar w:fldCharType="end"/>
      </w:r>
      <w:r w:rsidRPr="00A81A65">
        <w:rPr>
          <w:rFonts w:ascii="Arial" w:hAnsi="Arial" w:cs="Arial"/>
          <w:lang w:val="en-IN"/>
        </w:rPr>
        <w:t xml:space="preserve">. Granule size influences various aspects of fertilizer performance, including flowability, bulk density, storage behaviour, spreading uniformity (for broadcast application), and discharge rate in mechanical or </w:t>
      </w:r>
      <w:r w:rsidRPr="00A81A65">
        <w:rPr>
          <w:rFonts w:ascii="Arial" w:hAnsi="Arial" w:cs="Arial"/>
          <w:lang w:val="en-IN"/>
        </w:rPr>
        <w:lastRenderedPageBreak/>
        <w:t>automated fertilizer applicators. One critical property is granule size distribution, often expressed through metrics such as d</w:t>
      </w:r>
      <w:r w:rsidRPr="00A81A65">
        <w:rPr>
          <w:rFonts w:ascii="Arial" w:hAnsi="Arial" w:cs="Arial"/>
          <w:vertAlign w:val="subscript"/>
          <w:lang w:val="en-IN"/>
        </w:rPr>
        <w:t>5</w:t>
      </w:r>
      <w:r w:rsidRPr="00A81A65">
        <w:rPr>
          <w:rFonts w:ascii="Arial" w:hAnsi="Arial" w:cs="Arial"/>
          <w:lang w:val="en-IN"/>
        </w:rPr>
        <w:t>, d</w:t>
      </w:r>
      <w:r w:rsidRPr="00A81A65">
        <w:rPr>
          <w:rFonts w:ascii="Arial" w:hAnsi="Arial" w:cs="Arial"/>
          <w:vertAlign w:val="subscript"/>
          <w:lang w:val="en-IN"/>
        </w:rPr>
        <w:t>16</w:t>
      </w:r>
      <w:r w:rsidRPr="00A81A65">
        <w:rPr>
          <w:rFonts w:ascii="Arial" w:hAnsi="Arial" w:cs="Arial"/>
          <w:lang w:val="en-IN"/>
        </w:rPr>
        <w:t>, d</w:t>
      </w:r>
      <w:r w:rsidRPr="00A81A65">
        <w:rPr>
          <w:rFonts w:ascii="Arial" w:hAnsi="Arial" w:cs="Arial"/>
          <w:vertAlign w:val="subscript"/>
          <w:lang w:val="en-IN"/>
        </w:rPr>
        <w:t>84</w:t>
      </w:r>
      <w:r w:rsidRPr="00A81A65">
        <w:rPr>
          <w:rFonts w:ascii="Arial" w:hAnsi="Arial" w:cs="Arial"/>
          <w:lang w:val="en-IN"/>
        </w:rPr>
        <w:t>, and d</w:t>
      </w:r>
      <w:r w:rsidRPr="00A81A65">
        <w:rPr>
          <w:rFonts w:ascii="Arial" w:hAnsi="Arial" w:cs="Arial"/>
          <w:vertAlign w:val="subscript"/>
          <w:lang w:val="en-IN"/>
        </w:rPr>
        <w:t xml:space="preserve">90 </w:t>
      </w:r>
      <w:r w:rsidRPr="00A81A65">
        <w:rPr>
          <w:rFonts w:ascii="Arial" w:hAnsi="Arial" w:cs="Arial"/>
          <w:lang w:val="en-IN"/>
        </w:rPr>
        <w:t>- indicating the diameters at which 5%, 16%, 84% and 90% of the sample’s mass falls below, respectively.   Uniformity and consistency in granule size distribution are particularly important when fertilizers are applied using precision or variable-rate application equipment, as uneven granule size may result in non-uniform discharge, misapplication, or blockages.</w:t>
      </w:r>
    </w:p>
    <w:p w14:paraId="7FBA0A74" w14:textId="77777777" w:rsidR="00485AF3" w:rsidRPr="00485AF3" w:rsidRDefault="00485AF3" w:rsidP="00485AF3">
      <w:pPr>
        <w:pStyle w:val="Body"/>
        <w:rPr>
          <w:rFonts w:ascii="Arial" w:hAnsi="Arial" w:cs="Arial"/>
          <w:lang w:val="en-IN"/>
        </w:rPr>
      </w:pPr>
      <w:r w:rsidRPr="00D451E1">
        <w:rPr>
          <w:rFonts w:ascii="Arial" w:hAnsi="Arial" w:cs="Arial"/>
          <w:highlight w:val="yellow"/>
          <w:lang w:val="en-IN"/>
        </w:rPr>
        <w:t>In recent years, the increasing adoption of mechanized, precision, and site-specific fertilizer application technologies has further highlighted the importance of detailed characterization of fertilizer granule size. Modern fertilizer spreaders and variable-rate applicators are highly sensitive to variations in granule size, as these directly influence spread pattern symmetry, application rate accuracy, and nutrient placement efficiency. Percentile-based granule size indices such as d</w:t>
      </w:r>
      <w:r w:rsidRPr="00D451E1">
        <w:rPr>
          <w:rFonts w:ascii="Arial" w:hAnsi="Arial" w:cs="Arial"/>
          <w:highlight w:val="yellow"/>
          <w:vertAlign w:val="subscript"/>
          <w:lang w:val="en-IN"/>
        </w:rPr>
        <w:t>5</w:t>
      </w:r>
      <w:r w:rsidRPr="00D451E1">
        <w:rPr>
          <w:rFonts w:ascii="Arial" w:hAnsi="Arial" w:cs="Arial"/>
          <w:highlight w:val="yellow"/>
          <w:lang w:val="en-IN"/>
        </w:rPr>
        <w:t>, d</w:t>
      </w:r>
      <w:r w:rsidRPr="00D451E1">
        <w:rPr>
          <w:rFonts w:ascii="Arial" w:hAnsi="Arial" w:cs="Arial"/>
          <w:highlight w:val="yellow"/>
          <w:vertAlign w:val="subscript"/>
          <w:lang w:val="en-IN"/>
        </w:rPr>
        <w:t>16</w:t>
      </w:r>
      <w:r w:rsidRPr="00D451E1">
        <w:rPr>
          <w:rFonts w:ascii="Arial" w:hAnsi="Arial" w:cs="Arial"/>
          <w:highlight w:val="yellow"/>
          <w:lang w:val="en-IN"/>
        </w:rPr>
        <w:t>, d</w:t>
      </w:r>
      <w:r w:rsidRPr="00D451E1">
        <w:rPr>
          <w:rFonts w:ascii="Arial" w:hAnsi="Arial" w:cs="Arial"/>
          <w:highlight w:val="yellow"/>
          <w:vertAlign w:val="subscript"/>
          <w:lang w:val="en-IN"/>
        </w:rPr>
        <w:t>84</w:t>
      </w:r>
      <w:r w:rsidRPr="00D451E1">
        <w:rPr>
          <w:rFonts w:ascii="Arial" w:hAnsi="Arial" w:cs="Arial"/>
          <w:highlight w:val="yellow"/>
          <w:lang w:val="en-IN"/>
        </w:rPr>
        <w:t>, and d</w:t>
      </w:r>
      <w:r w:rsidRPr="00D451E1">
        <w:rPr>
          <w:rFonts w:ascii="Arial" w:hAnsi="Arial" w:cs="Arial"/>
          <w:highlight w:val="yellow"/>
          <w:vertAlign w:val="subscript"/>
          <w:lang w:val="en-IN"/>
        </w:rPr>
        <w:t xml:space="preserve">90 </w:t>
      </w:r>
      <w:r w:rsidRPr="00D451E1">
        <w:rPr>
          <w:rFonts w:ascii="Arial" w:hAnsi="Arial" w:cs="Arial"/>
          <w:highlight w:val="yellow"/>
          <w:lang w:val="en-IN"/>
        </w:rPr>
        <w:t>provide a more robust description of the distribution extremes compared to single average size metrics, enabling better assessment of both fine and coarse fractions that govern segregation and discharge behaviour. Such detailed granulometric information is also essential for developing reliable uniformity indices, calibrating fertilizer metering mechanisms, and supporting particle-level numerical simulations used to predict fertilizer flow and spreading behaviour.</w:t>
      </w:r>
      <w:r w:rsidRPr="00485AF3">
        <w:rPr>
          <w:rFonts w:ascii="Arial" w:hAnsi="Arial" w:cs="Arial"/>
          <w:lang w:val="en-IN"/>
        </w:rPr>
        <w:t xml:space="preserve"> </w:t>
      </w:r>
    </w:p>
    <w:p w14:paraId="2C3352BC" w14:textId="02972B38" w:rsidR="00A81A65" w:rsidRPr="00A81A65" w:rsidRDefault="00A81A65" w:rsidP="00A81A65">
      <w:pPr>
        <w:pStyle w:val="Body"/>
        <w:rPr>
          <w:rFonts w:ascii="Arial" w:hAnsi="Arial" w:cs="Arial"/>
          <w:lang w:val="en-IN"/>
        </w:rPr>
      </w:pPr>
      <w:r w:rsidRPr="00A81A65">
        <w:rPr>
          <w:rFonts w:ascii="Arial" w:hAnsi="Arial" w:cs="Arial"/>
          <w:lang w:val="en-IN"/>
        </w:rPr>
        <w:t xml:space="preserve">Internationally, several researchers have evaluated the particle size distribution and physical characteristics of granular fertilizers such as by </w:t>
      </w:r>
      <w:r w:rsidRPr="00A81A65">
        <w:rPr>
          <w:rFonts w:ascii="Arial" w:hAnsi="Arial" w:cs="Arial"/>
          <w:lang w:val="en-IN"/>
        </w:rPr>
        <w:fldChar w:fldCharType="begin" w:fldLock="1"/>
      </w:r>
      <w:r w:rsidRPr="00A81A65">
        <w:rPr>
          <w:rFonts w:ascii="Arial" w:hAnsi="Arial" w:cs="Arial"/>
          <w:lang w:val="en-IN"/>
        </w:rPr>
        <w:instrText>ADDIN CSL_CITATION {"citationItems":[{"id":"ITEM-1","itemData":{"DOI":"10.1007/BF01054389","abstract":"Physical properties are not governed in commerce by laws, however an attempt was made to analyse the urea being produced by six companies in Pakistan to identify and highlight the best quality control for important physical properties tests. The parameters indicated in tests were strictly followed for ensuring the standardized basis of comparison.","author":[{"dropping-particle":"","family":"Bhatti","given":"Mukammad Essa","non-dropping-particle":"","parse-names":false,"suffix":""}],"container-title":"Fertilizer Research","id":"ITEM-1","issued":{"date-parts":[["1992"]]},"page":"13-17","title":"Physical properties comparative study of urea of different companies in Pakistan","type":"article-journal","volume":"32"},"uris":["http://www.mendeley.com/documents/?uuid=fc8b6d5c-766a-35d7-837f-7dbfc913c826"]}],"mendeley":{"formattedCitation":"(Bhatti, 1992)","manualFormatting":"Bhatti (1992)","plainTextFormattedCitation":"(Bhatti, 1992)","previouslyFormattedCitation":"(Bhatti, 1992)"},"properties":{"noteIndex":0},"schema":"https://github.com/citation-style-language/schema/raw/master/csl-citation.json"}</w:instrText>
      </w:r>
      <w:r w:rsidRPr="00A81A65">
        <w:rPr>
          <w:rFonts w:ascii="Arial" w:hAnsi="Arial" w:cs="Arial"/>
          <w:lang w:val="en-IN"/>
        </w:rPr>
        <w:fldChar w:fldCharType="separate"/>
      </w:r>
      <w:r w:rsidRPr="00A81A65">
        <w:rPr>
          <w:rFonts w:ascii="Arial" w:hAnsi="Arial" w:cs="Arial"/>
          <w:noProof/>
          <w:lang w:val="en-IN"/>
        </w:rPr>
        <w:t>Bhatti (1992)</w:t>
      </w:r>
      <w:r w:rsidRPr="00A81A65">
        <w:rPr>
          <w:rFonts w:ascii="Arial" w:hAnsi="Arial" w:cs="Arial"/>
        </w:rPr>
        <w:fldChar w:fldCharType="end"/>
      </w:r>
      <w:r w:rsidRPr="00A81A65">
        <w:rPr>
          <w:rFonts w:ascii="Arial" w:hAnsi="Arial" w:cs="Arial"/>
          <w:bCs/>
          <w:lang w:val="en-IN"/>
        </w:rPr>
        <w:t xml:space="preserve">, </w:t>
      </w:r>
      <w:r w:rsidRPr="00A81A65">
        <w:rPr>
          <w:rFonts w:ascii="Arial" w:hAnsi="Arial" w:cs="Arial"/>
          <w:bCs/>
          <w:lang w:val="en-IN"/>
        </w:rPr>
        <w:fldChar w:fldCharType="begin" w:fldLock="1"/>
      </w:r>
      <w:r w:rsidRPr="00A81A65">
        <w:rPr>
          <w:rFonts w:ascii="Arial" w:hAnsi="Arial" w:cs="Arial"/>
          <w:bCs/>
          <w:lang w:val="en-IN"/>
        </w:rPr>
        <w:instrText>ADDIN CSL_CITATION {"citationItems":[{"id":"ITEM-1","itemData":{"DOI":"10.1016/j.chemolab.2004.03.017","ISSN":"01697439","abstract":"Bulk blend fertilizers are a mixture of different kinds of fertilizers in order to obtain a predicted N-P-K chemical composition. Although this production method has some advantages, segregation appears at different stages, from the production to the final spreading on the field. An experiment has been implemented to predict and quantify the influence of some physical properties on the occurrence of segregation. The principle was to blend two fertilizers having identical physical properties except for one, such as size, shape or density and to measure the segregation of the blend following various operations, such as filling or emptying a container. Results show that the spread of the fragment size distribution has a big influence on the segregation of the generated heap. In order to reduce this phenomenon, the granulometric spread index (GSI) [(d84-d16)/2d50] must be smaller than 10. Other properties don't seem to have an influence. The granulometric segregation can lead to a chemical heterogeneity. The absolute sum of the difference between d16 and d84 must be limited around 0.5 mm. Above this value, the chemical segregation begins to be excessive. It seems also that if there is a limited difference in size for the components, the chemical segregation is amplified if the density of the fertilizer with the biggest particles is lower. It is not the case for the difference in shape. © 2004 Elsevier B.V. All rights reserved.","author":[{"dropping-particle":"","family":"Miserque","given":"O.","non-dropping-particle":"","parse-names":false,"suffix":""},{"dropping-particle":"","family":"Pirard","given":"E.","non-dropping-particle":"","parse-names":false,"suffix":""}],"container-title":"Chemometrics and Intelligent Laboratory Systems","id":"ITEM-1","issue":"1","issued":{"date-parts":[["2004","11","28"]]},"page":"215-224","title":"Segregation of the bulk blend fertilizers","type":"article-journal","volume":"74"},"uris":["http://www.mendeley.com/documents/?uuid=e43e6e4d-cb71-3555-878f-a522d1fc0ef4"]}],"mendeley":{"formattedCitation":"(Miserque &amp; Pirard, 2004)","manualFormatting":"Miserque &amp; Pirard, (2004)","plainTextFormattedCitation":"(Miserque &amp; Pirard, 2004)","previouslyFormattedCitation":"(Miserque &amp; Pirard, 2004)"},"properties":{"noteIndex":0},"schema":"https://github.com/citation-style-language/schema/raw/master/csl-citation.json"}</w:instrText>
      </w:r>
      <w:r w:rsidRPr="00A81A65">
        <w:rPr>
          <w:rFonts w:ascii="Arial" w:hAnsi="Arial" w:cs="Arial"/>
          <w:bCs/>
          <w:lang w:val="en-IN"/>
        </w:rPr>
        <w:fldChar w:fldCharType="separate"/>
      </w:r>
      <w:r w:rsidRPr="00A81A65">
        <w:rPr>
          <w:rFonts w:ascii="Arial" w:hAnsi="Arial" w:cs="Arial"/>
          <w:bCs/>
          <w:noProof/>
          <w:lang w:val="en-IN"/>
        </w:rPr>
        <w:t>Miserque &amp; Pirard, (2004)</w:t>
      </w:r>
      <w:r w:rsidRPr="00A81A65">
        <w:rPr>
          <w:rFonts w:ascii="Arial" w:hAnsi="Arial" w:cs="Arial"/>
        </w:rPr>
        <w:fldChar w:fldCharType="end"/>
      </w:r>
      <w:r w:rsidRPr="00A81A65">
        <w:rPr>
          <w:rFonts w:ascii="Arial" w:hAnsi="Arial" w:cs="Arial"/>
          <w:bCs/>
          <w:lang w:val="en-IN"/>
        </w:rPr>
        <w:t xml:space="preserve">, </w:t>
      </w:r>
      <w:r w:rsidR="00283852" w:rsidRPr="00417D1E">
        <w:rPr>
          <w:rFonts w:ascii="Arial" w:hAnsi="Arial" w:cs="Arial"/>
          <w:bCs/>
          <w:highlight w:val="yellow"/>
          <w:lang w:val="en-IN"/>
        </w:rPr>
        <w:fldChar w:fldCharType="begin" w:fldLock="1"/>
      </w:r>
      <w:r w:rsidR="00285984">
        <w:rPr>
          <w:rFonts w:ascii="Arial" w:hAnsi="Arial" w:cs="Arial"/>
          <w:bCs/>
          <w:highlight w:val="yellow"/>
          <w:lang w:val="en-IN"/>
        </w:rPr>
        <w:instrText>ADDIN CSL_CITATION {"citationItems":[{"id":"ITEM-1","itemData":{"DOI":"10.1016/j.proeng.2015.01.122","ISSN":"18777058","abstract":"Solid urea is the largest nitrogen fertilizer product which is produced in two forms of granules and prills. Although the chemical properties of both prills and granules remain similar, their different physical and mechanical properties are distinguishable and make them suitable for different application either as fertilizer or raw materials for chemical industry. The objective of this work is to analyses physical and mechanical properties of urea granules produced in two different plants in Malaysia using fluidized bed process and compare them with the imported urea prills to the country; hence make a process-product relationship for urea finishing processes. Results of size distribution of the samples show that the most of the granules fall in the size range between 2.82 and 3.06 mm, whereas the prills size is around 1.65 mm. Strength measurement using side crushing test also shows that the prills with the average failure load of 3.80 N remain significantly weaker than the granules with failure load of 10-17 N. Strength distribution of the particles also shows that a more uniform strength distribution is observed for the prills than the granules. It is concluded that the urea prilling process is the finishing process which produces the weaker and the more uniform size and strength of the particles than the fluidized-bed granulation process.","author":[{"dropping-particle":"","family":"Rahmanian","given":"Nejat","non-dropping-particle":"","parse-names":false,"suffix":""},{"dropping-particle":"","family":"Naderi","given":"Sina","non-dropping-particle":"","parse-names":false,"suffix":""},{"dropping-particle":"","family":"Supuk","given":"Enes","non-dropping-particle":"","parse-names":false,"suffix":""},{"dropping-particle":"","family":"Abbas","given":"Rafid","non-dropping-particle":"","parse-names":false,"suffix":""},{"dropping-particle":"","family":"Hassanpour","given":"Ali","non-dropping-particle":"","parse-names":false,"suffix":""}],"container-title":"Procedia Engineering","id":"ITEM-1","issued":{"date-parts":[["2015"]]},"page":"174-181","publisher":"Elsevier Ltd","title":"Urea finishing process: Prilling versus granulation","type":"article-journal","volume":"102"},"uris":["http://www.mendeley.com/documents/?uuid=acd2274d-ee66-3cbb-a58e-956c2f4ea47d"]}],"mendeley":{"formattedCitation":"(Rahmanian et al., 2015)","manualFormatting":"Rahmanian et al. (2015)","plainTextFormattedCitation":"(Rahmanian et al., 2015)","previouslyFormattedCitation":"(Rahmanian et al., 2015)"},"properties":{"noteIndex":0},"schema":"https://github.com/citation-style-language/schema/raw/master/csl-citation.json"}</w:instrText>
      </w:r>
      <w:r w:rsidR="00283852" w:rsidRPr="00417D1E">
        <w:rPr>
          <w:rFonts w:ascii="Arial" w:hAnsi="Arial" w:cs="Arial"/>
          <w:bCs/>
          <w:highlight w:val="yellow"/>
          <w:lang w:val="en-IN"/>
        </w:rPr>
        <w:fldChar w:fldCharType="separate"/>
      </w:r>
      <w:r w:rsidR="00283852" w:rsidRPr="00417D1E">
        <w:rPr>
          <w:rFonts w:ascii="Arial" w:hAnsi="Arial" w:cs="Arial"/>
          <w:bCs/>
          <w:noProof/>
          <w:highlight w:val="yellow"/>
          <w:lang w:val="en-IN"/>
        </w:rPr>
        <w:t xml:space="preserve">Rahmanian </w:t>
      </w:r>
      <w:r w:rsidR="00283852" w:rsidRPr="00417D1E">
        <w:rPr>
          <w:rFonts w:ascii="Arial" w:hAnsi="Arial" w:cs="Arial"/>
          <w:bCs/>
          <w:i/>
          <w:noProof/>
          <w:highlight w:val="yellow"/>
          <w:lang w:val="en-IN"/>
        </w:rPr>
        <w:t>et al</w:t>
      </w:r>
      <w:r w:rsidR="00283852" w:rsidRPr="00417D1E">
        <w:rPr>
          <w:rFonts w:ascii="Arial" w:hAnsi="Arial" w:cs="Arial"/>
          <w:bCs/>
          <w:noProof/>
          <w:highlight w:val="yellow"/>
          <w:lang w:val="en-IN"/>
        </w:rPr>
        <w:t>. (2015)</w:t>
      </w:r>
      <w:r w:rsidR="00283852" w:rsidRPr="00417D1E">
        <w:rPr>
          <w:rFonts w:ascii="Arial" w:hAnsi="Arial" w:cs="Arial"/>
          <w:bCs/>
          <w:highlight w:val="yellow"/>
          <w:lang w:val="en-IN"/>
        </w:rPr>
        <w:fldChar w:fldCharType="end"/>
      </w:r>
      <w:r w:rsidR="00432BF3">
        <w:rPr>
          <w:rFonts w:ascii="Arial" w:hAnsi="Arial" w:cs="Arial"/>
          <w:bCs/>
          <w:lang w:val="en-IN"/>
        </w:rPr>
        <w:t xml:space="preserve">, </w:t>
      </w:r>
      <w:r w:rsidR="00432BF3" w:rsidRPr="00432BF3">
        <w:rPr>
          <w:rFonts w:ascii="Arial" w:hAnsi="Arial" w:cs="Arial"/>
          <w:bCs/>
          <w:highlight w:val="yellow"/>
          <w:lang w:val="en-IN"/>
        </w:rPr>
        <w:fldChar w:fldCharType="begin" w:fldLock="1"/>
      </w:r>
      <w:r w:rsidR="00432BF3" w:rsidRPr="00432BF3">
        <w:rPr>
          <w:rFonts w:ascii="Arial" w:hAnsi="Arial" w:cs="Arial"/>
          <w:bCs/>
          <w:highlight w:val="yellow"/>
          <w:lang w:val="en-IN"/>
        </w:rPr>
        <w:instrText>ADDIN CSL_CITATION {"citationItems":[{"id":"ITEM-1","itemData":{"abstract":"The improvement of equipment for handling, storage, and application of granular fertilizer requires a proper understanding of material properties and flow behaviour. The propensity of fertilizers to cake (i.e., agglomerate) introduces additional challenges for storage and handling. While select information can be found in the literature, a full description of material properties for granular fertilizers suitable for design and modelling is not available. Laboratory experiments were conducted to measure select physical properties for granular urea (46-0-0) fertilizer. These included: particle density, elastic modulus, angle of internal friction and cohesion, angle of repose, particle size distribution, particle shape, and coefficient of restitution. Density (í µí±¥ = 1298 kg/m 3) and size distribution (diameter, í µí±¥ = 2.53 mm, s = 0.44 mm) for granular urea were found to be similar to published values from the literature. Novel quantities for urea of elastic modulus (í µí±¥ = 7.04 x 10 7 Pa), angle of internal friction (37°) and cohesion (0.9 kPa), angle of repose (í µí±¥ = 15.4°), and circularity (í µí±¥ = 1.05, s = 0.05) which are absent in the literature were determined. Coefficients of restitution for several materials were also measured, including urea-urea contact, and were found to be higher than those reported in the literature. The experimental measurements obtained herein add to those available in the literature and contribute to an improved understanding of granular fertilizer flows.","author":[{"dropping-particle":"","family":"Cousins","given":"Jason D M","non-dropping-particle":"","parse-names":false,"suffix":""},{"dropping-particle":"","family":"Roberge","given":"Martin J","non-dropping-particle":"","parse-names":false,"suffix":""},{"dropping-particle":"","family":"Tabil","given":"Lope G","non-dropping-particle":"","parse-names":false,"suffix":""}],"container-title":"5th International Conference of the International Commission of Agricultural and Biosystems Engineering (CIGR)","id":"ITEM-1","issued":{"date-parts":[["2021"]]},"page":"1-10","publisher-place":"Québec City, Canada","title":"Measuring the physical properties of granular fertilizer in relation to flow","type":"paper-conference"},"uris":["http://www.mendeley.com/documents/?uuid=6f28df1b-607b-381b-9a9b-8609f3a30e64"]}],"mendeley":{"formattedCitation":"(Cousins et al., 2021)","manualFormatting":"Cousins et al. (2021)","plainTextFormattedCitation":"(Cousins et al., 2021)"},"properties":{"noteIndex":0},"schema":"https://github.com/citation-style-language/schema/raw/master/csl-citation.json"}</w:instrText>
      </w:r>
      <w:r w:rsidR="00432BF3" w:rsidRPr="00432BF3">
        <w:rPr>
          <w:rFonts w:ascii="Arial" w:hAnsi="Arial" w:cs="Arial"/>
          <w:bCs/>
          <w:highlight w:val="yellow"/>
          <w:lang w:val="en-IN"/>
        </w:rPr>
        <w:fldChar w:fldCharType="separate"/>
      </w:r>
      <w:r w:rsidR="00432BF3" w:rsidRPr="00432BF3">
        <w:rPr>
          <w:rFonts w:ascii="Arial" w:hAnsi="Arial" w:cs="Arial"/>
          <w:bCs/>
          <w:noProof/>
          <w:highlight w:val="yellow"/>
          <w:lang w:val="en-IN"/>
        </w:rPr>
        <w:t xml:space="preserve">Cousins </w:t>
      </w:r>
      <w:r w:rsidR="00432BF3" w:rsidRPr="00432BF3">
        <w:rPr>
          <w:rFonts w:ascii="Arial" w:hAnsi="Arial" w:cs="Arial"/>
          <w:bCs/>
          <w:i/>
          <w:noProof/>
          <w:highlight w:val="yellow"/>
          <w:lang w:val="en-IN"/>
        </w:rPr>
        <w:t>et al.</w:t>
      </w:r>
      <w:r w:rsidR="00432BF3" w:rsidRPr="00432BF3">
        <w:rPr>
          <w:rFonts w:ascii="Arial" w:hAnsi="Arial" w:cs="Arial"/>
          <w:bCs/>
          <w:noProof/>
          <w:highlight w:val="yellow"/>
          <w:lang w:val="en-IN"/>
        </w:rPr>
        <w:t xml:space="preserve"> (2021)</w:t>
      </w:r>
      <w:r w:rsidR="00432BF3" w:rsidRPr="00432BF3">
        <w:rPr>
          <w:rFonts w:ascii="Arial" w:hAnsi="Arial" w:cs="Arial"/>
          <w:bCs/>
          <w:highlight w:val="yellow"/>
          <w:lang w:val="en-IN"/>
        </w:rPr>
        <w:fldChar w:fldCharType="end"/>
      </w:r>
      <w:r w:rsidR="00432BF3" w:rsidRPr="00432BF3">
        <w:rPr>
          <w:rFonts w:ascii="Arial" w:hAnsi="Arial" w:cs="Arial"/>
          <w:bCs/>
          <w:highlight w:val="yellow"/>
          <w:lang w:val="en-IN"/>
        </w:rPr>
        <w:t>,</w:t>
      </w:r>
      <w:r w:rsidR="00432BF3">
        <w:rPr>
          <w:rFonts w:ascii="Arial" w:hAnsi="Arial" w:cs="Arial"/>
          <w:bCs/>
          <w:lang w:val="en-IN"/>
        </w:rPr>
        <w:t xml:space="preserve"> </w:t>
      </w:r>
      <w:r w:rsidRPr="00A81A65">
        <w:rPr>
          <w:rFonts w:ascii="Arial" w:hAnsi="Arial" w:cs="Arial"/>
          <w:bCs/>
          <w:lang w:val="en-IN"/>
        </w:rPr>
        <w:t xml:space="preserve">and </w:t>
      </w:r>
      <w:r w:rsidRPr="00A81A65">
        <w:rPr>
          <w:rFonts w:ascii="Arial" w:hAnsi="Arial" w:cs="Arial"/>
          <w:bCs/>
          <w:lang w:val="en-IN"/>
        </w:rPr>
        <w:fldChar w:fldCharType="begin" w:fldLock="1"/>
      </w:r>
      <w:r w:rsidRPr="00A81A65">
        <w:rPr>
          <w:rFonts w:ascii="Arial" w:hAnsi="Arial" w:cs="Arial"/>
          <w:bCs/>
          <w:lang w:val="en-IN"/>
        </w:rPr>
        <w:instrText>ADDIN CSL_CITATION {"citationItems":[{"id":"ITEM-1","itemData":{"DOI":"10.16984/saufenbilder.853343","abstract":"Fertilization is one of the most common applications in agricultural fields for achieving high yield. Fertilizer is the important input of agriculture. Raw material costs are nearly 80% of the production costs in chemical fertilizers. Because of high prices, fertilizer usage has started to decrease. The utilization of industrial wastes in the production reduces the costs. Not only is fertilizer expenditure significant, but also the physical properties should be considered. In this study, the physical characteristics of composited fertilizer containing boron which was obtained from the reaction between the diammonium phosphate and borogysum industrial waste were examined. Under laboratory conditions, diammonium phosphate was composited with borogysum at the mole ratio of 1:1 and during this process, the solid/liquid (S/L) ratio, temperature, time, pH of the pulp and speed were 1/3, 40°C, 90 min, 5.5 and 500 rpm respectively. The moisture content, grain (granule) size, tight and loose volume weights, granular fracture resistance and the agglomeration angle of the new product including boron were evaluated. As a consequence, the grain size was in range of 3 and 4 mm, loose volume weight was 1363.32 kg/m3, the granular fracture resistance was 2.92 kg/granule, agglomeration angle was 89.9 kg/granule and Granulometric Spread Index (GSI) and Uniformity Index (UI) were recorded as 16 and 76.9. These findings were compatible with National and International Standards.","author":[{"dropping-particle":"","family":"Simsek","given":"Havva MUMCU","non-dropping-particle":"","parse-names":false,"suffix":""},{"dropping-particle":"","family":"Guliyev","given":"Rövşen","non-dropping-particle":"","parse-names":false,"suffix":""}],"container-title":"Sakarya University Journal of Science","id":"ITEM-1","issue":"5","issued":{"date-parts":[["2021","10","30"]]},"page":"1245-1252","publisher":"Sakarya University Journal of Science","title":"The investigation of physical properties of composite fertilizer including boron micro element","type":"article-journal","volume":"25"},"uris":["http://www.mendeley.com/documents/?uuid=a1af4c09-f2d1-3262-8c11-c6d1fec95f0b"]}],"mendeley":{"formattedCitation":"(Simsek &amp; Guliyev, 2021)","manualFormatting":"Simsek &amp; Guliyev (2021)","plainTextFormattedCitation":"(Simsek &amp; Guliyev, 2021)","previouslyFormattedCitation":"(Simsek &amp; Guliyev, 2021)"},"properties":{"noteIndex":0},"schema":"https://github.com/citation-style-language/schema/raw/master/csl-citation.json"}</w:instrText>
      </w:r>
      <w:r w:rsidRPr="00A81A65">
        <w:rPr>
          <w:rFonts w:ascii="Arial" w:hAnsi="Arial" w:cs="Arial"/>
          <w:bCs/>
          <w:lang w:val="en-IN"/>
        </w:rPr>
        <w:fldChar w:fldCharType="separate"/>
      </w:r>
      <w:r w:rsidRPr="00A81A65">
        <w:rPr>
          <w:rFonts w:ascii="Arial" w:hAnsi="Arial" w:cs="Arial"/>
          <w:bCs/>
          <w:noProof/>
          <w:lang w:val="en-IN"/>
        </w:rPr>
        <w:t>Simsek &amp; Guliyev (2021)</w:t>
      </w:r>
      <w:r w:rsidRPr="00A81A65">
        <w:rPr>
          <w:rFonts w:ascii="Arial" w:hAnsi="Arial" w:cs="Arial"/>
        </w:rPr>
        <w:fldChar w:fldCharType="end"/>
      </w:r>
      <w:r w:rsidRPr="00A81A65">
        <w:rPr>
          <w:rFonts w:ascii="Arial" w:hAnsi="Arial" w:cs="Arial"/>
          <w:lang w:val="en-IN"/>
        </w:rPr>
        <w:t xml:space="preserve">. Other work, such as that by </w:t>
      </w:r>
      <w:r w:rsidRPr="00A81A65">
        <w:rPr>
          <w:rFonts w:ascii="Arial" w:hAnsi="Arial" w:cs="Arial"/>
          <w:lang w:val="en-IN"/>
        </w:rPr>
        <w:fldChar w:fldCharType="begin" w:fldLock="1"/>
      </w:r>
      <w:r w:rsidRPr="00A81A65">
        <w:rPr>
          <w:rFonts w:ascii="Arial" w:hAnsi="Arial" w:cs="Arial"/>
          <w:lang w:val="en-IN"/>
        </w:rPr>
        <w:instrText>ADDIN CSL_CITATION {"citationItems":[{"id":"ITEM-1","itemData":{"DOI":"10.13031/aea.29.9774","ISSN":"08838542","abstract":"Blended fertilizers are commonly applied to crop and pasture land using spinner-disc spreaders. However, the nature of blended fertilizers can make it difficult to spread uniformly due to varying physical properties of the N, P, and K raw constituents, which can lead to segregation during application. Further, variable-rate application of blended fertilizer could pose challenges in terms of accuracy and uniformity to meet target prescription rates. Therefore, the objective of this study was to evaluate the potential of fertilizer segregation during application with a spinner-disc spreader. A series of standard pan and field tests were performed to evaluate mass and nutrient distribution for a blended fertilizer (17-17-17) using a spinner-disc spreader. Field tests were performed by generating prescription maps, randomly placing pans across the field, then applying the blended fertilizer and analyzing the collected material for N, P2O5 and K2O mass fractions. Both mass and nutrient distribution patterns were generated and then compared. Field data in combination with prescription and as-applied maps were used to evaluate spreader performance and product segregation. A rating of 17-18- 17 was determined for the blended fertilizer. P2O5 and K2O mass fraction varied significantly (coefficient of variation, CV, 25.0% and 26.0%, respectively) based on the single-pass pattern measurements. Field application also produced high variability of P 2O5 and K2O mass fractions with CV's ranging between 16.8% and 37.2%, respectively. These results indicated the occurrence of fertilizer segregation. Nitrogen mass fraction, spread variability was low (CV = 4%) based on the pan tests but was contributed to N beingprovided by both ammonium nitrate and diammonium phosphate (DAP) constituents of the blend. Particle size analysis supported the notion that segregation occurred mainly due to size variability between the constituents. During field tests, actual rates were consistently higher than the prescribed rates. While the prescription and as-applied maps showed high correlation (R = 0.75 to 0.94), the as-applied maps did not reflect the actual field application (R = 0.25 to 0.67). Finally, the existence of fertilizer segregation indicated further research is required to understand segregation of blended fertilizers when applied using spinner spreaders. © 2013 American Society of Agricultural and Biological Engineers.","author":[{"dropping-particle":"","family":"Virk","given":"S. S.","non-dropping-particle":"","parse-names":false,"suffix":""},{"dropping-particle":"","family":"Mullenix","given":"D. K.","non-dropping-particle":"","parse-names":false,"suffix":""},{"dropping-particle":"","family":"Sharda","given":"A.","non-dropping-particle":"","parse-names":false,"suffix":""},{"dropping-particle":"","family":"Hall","given":"J. B.","non-dropping-particle":"","parse-names":false,"suffix":""},{"dropping-particle":"","family":"Wood","given":"C. W.","non-dropping-particle":"","parse-names":false,"suffix":""},{"dropping-particle":"","family":"Fasina","given":"O. O.","non-dropping-particle":"","parse-names":false,"suffix":""},{"dropping-particle":"","family":"McDonald","given":"T. P.","non-dropping-particle":"","parse-names":false,"suffix":""},{"dropping-particle":"","family":"Pate","given":"G. L.","non-dropping-particle":"","parse-names":false,"suffix":""},{"dropping-particle":"","family":"Fulton","given":"J. P.","non-dropping-particle":"","parse-names":false,"suffix":""}],"container-title":"Applied Engineering in Agriculture","id":"ITEM-1","issue":"5","issued":{"date-parts":[["2013"]]},"page":"627-636","title":"Case study: Distribution uniformity of a blended fertilizer applied using a variable-rate spinner-disc spreader","type":"article-journal","volume":"29"},"uris":["http://www.mendeley.com/documents/?uuid=229b10ea-b8fe-300c-a404-9df414496495"]}],"mendeley":{"formattedCitation":"(Virk et al., 2013)","manualFormatting":"Virk et al. (2013","plainTextFormattedCitation":"(Virk et al., 2013)","previouslyFormattedCitation":"(Virk et al., 2013)"},"properties":{"noteIndex":0},"schema":"https://github.com/citation-style-language/schema/raw/master/csl-citation.json"}</w:instrText>
      </w:r>
      <w:r w:rsidRPr="00A81A65">
        <w:rPr>
          <w:rFonts w:ascii="Arial" w:hAnsi="Arial" w:cs="Arial"/>
          <w:lang w:val="en-IN"/>
        </w:rPr>
        <w:fldChar w:fldCharType="separate"/>
      </w:r>
      <w:r w:rsidRPr="00A81A65">
        <w:rPr>
          <w:rFonts w:ascii="Arial" w:hAnsi="Arial" w:cs="Arial"/>
          <w:noProof/>
          <w:lang w:val="en-IN"/>
        </w:rPr>
        <w:t xml:space="preserve">Virk </w:t>
      </w:r>
      <w:r w:rsidRPr="00A81A65">
        <w:rPr>
          <w:rFonts w:ascii="Arial" w:hAnsi="Arial" w:cs="Arial"/>
          <w:i/>
          <w:noProof/>
          <w:lang w:val="en-IN"/>
        </w:rPr>
        <w:t>et al.</w:t>
      </w:r>
      <w:r w:rsidRPr="00A81A65">
        <w:rPr>
          <w:rFonts w:ascii="Arial" w:hAnsi="Arial" w:cs="Arial"/>
          <w:noProof/>
          <w:lang w:val="en-IN"/>
        </w:rPr>
        <w:t xml:space="preserve"> (2013</w:t>
      </w:r>
      <w:r w:rsidRPr="00A81A65">
        <w:rPr>
          <w:rFonts w:ascii="Arial" w:hAnsi="Arial" w:cs="Arial"/>
        </w:rPr>
        <w:fldChar w:fldCharType="end"/>
      </w:r>
      <w:r w:rsidRPr="00A81A65">
        <w:rPr>
          <w:rFonts w:ascii="Arial" w:hAnsi="Arial" w:cs="Arial"/>
          <w:lang w:val="en-IN"/>
        </w:rPr>
        <w:t>), obtained particle sizes (</w:t>
      </w:r>
      <w:r w:rsidR="00854BFD" w:rsidRPr="00854BFD">
        <w:rPr>
          <w:rFonts w:ascii="Arial" w:hAnsi="Arial" w:cs="Arial"/>
        </w:rPr>
        <w:t>d</w:t>
      </w:r>
      <w:r w:rsidR="00854BFD" w:rsidRPr="00854BFD">
        <w:rPr>
          <w:rFonts w:ascii="Arial" w:hAnsi="Arial" w:cs="Arial"/>
          <w:vertAlign w:val="subscript"/>
        </w:rPr>
        <w:t>16</w:t>
      </w:r>
      <w:r w:rsidR="00854BFD" w:rsidRPr="00854BFD">
        <w:rPr>
          <w:rFonts w:ascii="Arial" w:hAnsi="Arial" w:cs="Arial"/>
        </w:rPr>
        <w:t>, d</w:t>
      </w:r>
      <w:r w:rsidR="00854BFD" w:rsidRPr="00854BFD">
        <w:rPr>
          <w:rFonts w:ascii="Arial" w:hAnsi="Arial" w:cs="Arial"/>
          <w:vertAlign w:val="subscript"/>
        </w:rPr>
        <w:t>50</w:t>
      </w:r>
      <w:r w:rsidR="00854BFD" w:rsidRPr="00854BFD">
        <w:rPr>
          <w:rFonts w:ascii="Arial" w:hAnsi="Arial" w:cs="Arial"/>
        </w:rPr>
        <w:t>, and d</w:t>
      </w:r>
      <w:r w:rsidR="00854BFD" w:rsidRPr="00854BFD">
        <w:rPr>
          <w:rFonts w:ascii="Arial" w:hAnsi="Arial" w:cs="Arial"/>
          <w:vertAlign w:val="subscript"/>
        </w:rPr>
        <w:t>84</w:t>
      </w:r>
      <w:r w:rsidRPr="00A81A65">
        <w:rPr>
          <w:rFonts w:ascii="Arial" w:hAnsi="Arial" w:cs="Arial"/>
          <w:lang w:val="en-IN"/>
        </w:rPr>
        <w:t xml:space="preserve">) from the </w:t>
      </w:r>
      <w:proofErr w:type="spellStart"/>
      <w:r w:rsidRPr="00A81A65">
        <w:rPr>
          <w:rFonts w:ascii="Arial" w:hAnsi="Arial" w:cs="Arial"/>
          <w:lang w:val="en-IN"/>
        </w:rPr>
        <w:t>camsizer</w:t>
      </w:r>
      <w:proofErr w:type="spellEnd"/>
      <w:r w:rsidRPr="00A81A65">
        <w:rPr>
          <w:rFonts w:ascii="Arial" w:hAnsi="Arial" w:cs="Arial"/>
          <w:lang w:val="en-IN"/>
        </w:rPr>
        <w:t xml:space="preserve"> data. </w:t>
      </w:r>
      <w:r w:rsidR="00750CDC" w:rsidRPr="00D451E1">
        <w:rPr>
          <w:rFonts w:ascii="Arial" w:hAnsi="Arial" w:cs="Arial"/>
          <w:highlight w:val="yellow"/>
          <w:lang w:val="en-IN"/>
        </w:rPr>
        <w:fldChar w:fldCharType="begin" w:fldLock="1"/>
      </w:r>
      <w:r w:rsidR="00E20E17">
        <w:rPr>
          <w:rFonts w:ascii="Arial" w:hAnsi="Arial" w:cs="Arial"/>
          <w:highlight w:val="yellow"/>
          <w:lang w:val="en-IN"/>
        </w:rPr>
        <w:instrText>ADDIN CSL_CITATION {"citationItems":[{"id":"ITEM-1","itemData":{"DOI":"10.1080/02726351.2014.930942","abstract":"he effect of particle size on compaction properties and characteristics of urea tablets manufactured from available urea granules (TG tablets) and ground urea powders (TP tablets) was investigated. The compaction properties, namely, plastic work, elastic work, friction work, and maximum ejection pressure were analyzed from the force-displacement profile of the compaction process. Five applied pressures ranging between 37.67 MPa and 188.35 MPa were used to compact the materials using a universal testing machine. Characteristics of the tablets tested were mechanical strength and the release of ammonium ion through dissolution test. The results demonstrated that TG tablets underwent high plastic work and elastic work but low friction work compared to the TP tablets. TG tablets released lower amount of ammonium ion compared to the TP tablets at almost all applied pressures, except at 75.34 MPa. This study provides a valuable data for evaluating the behavior of urea in the form of granules and powders during the compaction process as well as the suitability in choosing the form of raw material for the production of urea tablets.","author":[{"dropping-particle":"","family":"Shamsudin","given":"Intan Soraya","non-dropping-particle":"","parse-names":false,"suffix":""},{"dropping-particle":"","family":"Anuar","given":"Mohd Shamsul","non-dropping-particle":"","parse-names":false,"suffix":""},{"dropping-particle":"","family":"Yusof","given":"Yus Aniza","non-dropping-particle":"","parse-names":false,"suffix":""},{"dropping-particle":"","family":"Mohd","given":"Ahmad Husni","non-dropping-particle":"","parse-names":false,"suffix":""},{"dropping-particle":"","family":"Tahir","given":"Suraya Mohd","non-dropping-particle":"","parse-names":false,"suffix":""}],"container-title":"Particulate Science and Technology: An International Journal","id":"ITEM-1","issue":"6","issued":{"date-parts":[["2014"]]},"page":"544-553","title":"Effect of Particle Size on Direct Compaction of Urea Fertilizer","type":"article-journal","volume":"32"},"uris":["http://www.mendeley.com/documents/?uuid=daee9f22-08ce-4111-8d6f-bb4ed89d3136"]}],"mendeley":{"formattedCitation":"(Shamsudin et al., 2014)","manualFormatting":"Shamsudin et al. (2014)","plainTextFormattedCitation":"(Shamsudin et al., 2014)","previouslyFormattedCitation":"(Shamsudin et al., 2014)"},"properties":{"noteIndex":0},"schema":"https://github.com/citation-style-language/schema/raw/master/csl-citation.json"}</w:instrText>
      </w:r>
      <w:r w:rsidR="00750CDC" w:rsidRPr="00D451E1">
        <w:rPr>
          <w:rFonts w:ascii="Arial" w:hAnsi="Arial" w:cs="Arial"/>
          <w:highlight w:val="yellow"/>
          <w:lang w:val="en-IN"/>
        </w:rPr>
        <w:fldChar w:fldCharType="separate"/>
      </w:r>
      <w:r w:rsidR="00750CDC" w:rsidRPr="00D451E1">
        <w:rPr>
          <w:rFonts w:ascii="Arial" w:hAnsi="Arial" w:cs="Arial"/>
          <w:noProof/>
          <w:highlight w:val="yellow"/>
          <w:lang w:val="en-IN"/>
        </w:rPr>
        <w:t>Shamsudin</w:t>
      </w:r>
      <w:r w:rsidR="00750CDC" w:rsidRPr="00D451E1">
        <w:rPr>
          <w:rFonts w:ascii="Arial" w:hAnsi="Arial" w:cs="Arial"/>
          <w:i/>
          <w:noProof/>
          <w:highlight w:val="yellow"/>
          <w:lang w:val="en-IN"/>
        </w:rPr>
        <w:t xml:space="preserve"> et al. </w:t>
      </w:r>
      <w:r w:rsidR="00750CDC" w:rsidRPr="00D451E1">
        <w:rPr>
          <w:rFonts w:ascii="Arial" w:hAnsi="Arial" w:cs="Arial"/>
          <w:noProof/>
          <w:highlight w:val="yellow"/>
          <w:lang w:val="en-IN"/>
        </w:rPr>
        <w:t>(2014)</w:t>
      </w:r>
      <w:r w:rsidR="00750CDC" w:rsidRPr="00D451E1">
        <w:rPr>
          <w:rFonts w:ascii="Arial" w:hAnsi="Arial" w:cs="Arial"/>
          <w:highlight w:val="yellow"/>
          <w:lang w:val="en-IN"/>
        </w:rPr>
        <w:fldChar w:fldCharType="end"/>
      </w:r>
      <w:r w:rsidR="00750CDC" w:rsidRPr="00D451E1">
        <w:rPr>
          <w:rFonts w:ascii="Arial" w:hAnsi="Arial" w:cs="Arial"/>
          <w:highlight w:val="yellow"/>
          <w:lang w:val="en-IN"/>
        </w:rPr>
        <w:t xml:space="preserve"> </w:t>
      </w:r>
      <w:r w:rsidR="00750CDC" w:rsidRPr="00D451E1">
        <w:rPr>
          <w:highlight w:val="yellow"/>
        </w:rPr>
        <w:t>investigated the influence of particle size on the direct compaction behavior of urea fertilizer.</w:t>
      </w:r>
      <w:r w:rsidR="00750CDC">
        <w:t xml:space="preserve"> </w:t>
      </w:r>
      <w:r w:rsidRPr="00A81A65">
        <w:rPr>
          <w:rFonts w:ascii="Arial" w:hAnsi="Arial" w:cs="Arial"/>
          <w:lang w:val="en-IN"/>
        </w:rPr>
        <w:t xml:space="preserve">Although such research provides valuable insights into fertilizer performance at a global scale, </w:t>
      </w:r>
      <w:r w:rsidRPr="00A81A65">
        <w:rPr>
          <w:rFonts w:ascii="Arial" w:hAnsi="Arial" w:cs="Arial"/>
          <w:bCs/>
          <w:lang w:val="en-IN"/>
        </w:rPr>
        <w:t>studies focusing on the particle size characteristics of Indian urea fertilizers remain limited</w:t>
      </w:r>
      <w:r w:rsidRPr="00A81A65">
        <w:rPr>
          <w:rFonts w:ascii="Arial" w:hAnsi="Arial" w:cs="Arial"/>
          <w:lang w:val="en-IN"/>
        </w:rPr>
        <w:t xml:space="preserve">, despite India being one of the largest producers and consumers of urea globally. Variations in manufacturing technology, prilling versus granulation processes, and quality control practices among Indian manufacturers can lead to significant differences in granule size distribution, which in turn may influence fertilizer application uniformity. Although certain physical properties of fertilizers are commonly assessed during manufacturing, individual factories often use their own procedures to evaluate these characteristics </w:t>
      </w:r>
      <w:r w:rsidRPr="00A81A65">
        <w:rPr>
          <w:rFonts w:ascii="Arial" w:hAnsi="Arial" w:cs="Arial"/>
          <w:lang w:val="en-IN"/>
        </w:rPr>
        <w:fldChar w:fldCharType="begin" w:fldLock="1"/>
      </w:r>
      <w:r w:rsidRPr="00A81A65">
        <w:rPr>
          <w:rFonts w:ascii="Arial" w:hAnsi="Arial" w:cs="Arial"/>
          <w:lang w:val="en-IN"/>
        </w:rPr>
        <w:instrText>ADDIN CSL_CITATION {"citationItems":[{"id":"ITEM-1","itemData":{"DOI":"10.1016/j.biosystemseng.2003.09.007","ISSN":"15375110","abstract":"Organic-based fertilisers are granular fertilisers that make use of the synergy between the mineral and organic components. The physical properties of organic-based fertilisers are relatively unknown. The main objective of this research was to compare the physical properties of bulk-blended organic-based (BOF) and compound organic-based fertilisers (COF) with those of mineral fertilisers (MF). New and modified methods were used to measure their atmospheric moisture sorption, capillary rise, slaking and dissolution in water over time. Air moisture sorption by fertilisers increased quadratically with time and with relative humidity. At 82% relative humidity, major changes in fertiliser behaviour occurred. The processes varied among fertilisers. Water sorption from the atmosphere was affected by bulk density as well as by the organic matter (OM), initial moisture, and P contents, The water sorption rate over time during capillary rise took the form of an inverse power function and increased as OM content increased. Some fertilisers were highly affected by tensions while others were only slightly affected, indicating differential rates of release under field conditions. During submersion in water, COF granules dissolved, swelled and slaked to different extents and their diameter decreased quadratically over time. The loss of mass during submersion was affected by OM and nitrogen contents as well as by the initial granule size. Differences between fertilisers were mostly related to the organic matter type and content. Examples of uses and applications of dynamic properties are given for different situations: fast or slow release; dry to wet conditions; and application at the soil surface or incorporation in the soil. © 2003 Silsoe Research Institute. All rights reserved Published by Elsevier Ltd.","author":[{"dropping-particle":"","family":"Allaire","given":"S. E.","non-dropping-particle":"","parse-names":false,"suffix":""},{"dropping-particle":"","family":"Parent","given":"L. E.","non-dropping-particle":"","parse-names":false,"suffix":""}],"container-title":"Biosystems Engineering","id":"ITEM-1","issue":"2","issued":{"date-parts":[["2004"]]},"page":"225-236","publisher":"Academic Press","title":"Physical Properties of Granular Organic-based Fertilisers, Part 2: Dynamic Properties Related to Water","type":"article-journal","volume":"87"},"uris":["http://www.mendeley.com/documents/?uuid=165e579e-ce40-3039-a5e3-4db2dcb8fde9"]}],"mendeley":{"formattedCitation":"(Allaire &amp; Parent, 2004)","plainTextFormattedCitation":"(Allaire &amp; Parent, 2004)","previouslyFormattedCitation":"(Allaire &amp; Parent, 2004)"},"properties":{"noteIndex":0},"schema":"https://github.com/citation-style-language/schema/raw/master/csl-citation.json"}</w:instrText>
      </w:r>
      <w:r w:rsidRPr="00A81A65">
        <w:rPr>
          <w:rFonts w:ascii="Arial" w:hAnsi="Arial" w:cs="Arial"/>
          <w:lang w:val="en-IN"/>
        </w:rPr>
        <w:fldChar w:fldCharType="separate"/>
      </w:r>
      <w:r w:rsidRPr="00A81A65">
        <w:rPr>
          <w:rFonts w:ascii="Arial" w:hAnsi="Arial" w:cs="Arial"/>
          <w:noProof/>
          <w:lang w:val="en-IN"/>
        </w:rPr>
        <w:t>(Allaire &amp; Parent, 2004)</w:t>
      </w:r>
      <w:r w:rsidRPr="00A81A65">
        <w:rPr>
          <w:rFonts w:ascii="Arial" w:hAnsi="Arial" w:cs="Arial"/>
        </w:rPr>
        <w:fldChar w:fldCharType="end"/>
      </w:r>
      <w:r w:rsidRPr="00A81A65">
        <w:rPr>
          <w:rFonts w:ascii="Arial" w:hAnsi="Arial" w:cs="Arial"/>
          <w:lang w:val="en-IN"/>
        </w:rPr>
        <w:t xml:space="preserve">. However, actual particle sizes may differ from their intended specifications, as granules are susceptible to breakage and abrasion during transportation and handling. Therefore, the present study was undertaken to </w:t>
      </w:r>
      <w:r w:rsidRPr="00A81A65">
        <w:rPr>
          <w:rFonts w:ascii="Arial" w:hAnsi="Arial" w:cs="Arial"/>
          <w:bCs/>
          <w:lang w:val="en-IN"/>
        </w:rPr>
        <w:t>evaluate the particle size characteristics of ten commercially available urea fertilizer brands in India</w:t>
      </w:r>
      <w:r w:rsidRPr="00A81A65">
        <w:rPr>
          <w:rFonts w:ascii="Arial" w:hAnsi="Arial" w:cs="Arial"/>
          <w:lang w:val="en-IN"/>
        </w:rPr>
        <w:t>. Sieve analysis was conducted to determine the d</w:t>
      </w:r>
      <w:r w:rsidRPr="00A81A65">
        <w:rPr>
          <w:rFonts w:ascii="Arial" w:hAnsi="Arial" w:cs="Arial"/>
          <w:vertAlign w:val="subscript"/>
          <w:lang w:val="en-IN"/>
        </w:rPr>
        <w:t>5</w:t>
      </w:r>
      <w:r w:rsidRPr="00A81A65">
        <w:rPr>
          <w:rFonts w:ascii="Arial" w:hAnsi="Arial" w:cs="Arial"/>
          <w:lang w:val="en-IN"/>
        </w:rPr>
        <w:t>, d</w:t>
      </w:r>
      <w:r w:rsidRPr="00A81A65">
        <w:rPr>
          <w:rFonts w:ascii="Arial" w:hAnsi="Arial" w:cs="Arial"/>
          <w:vertAlign w:val="subscript"/>
          <w:lang w:val="en-IN"/>
        </w:rPr>
        <w:t>16</w:t>
      </w:r>
      <w:r w:rsidRPr="00A81A65">
        <w:rPr>
          <w:rFonts w:ascii="Arial" w:hAnsi="Arial" w:cs="Arial"/>
          <w:lang w:val="en-IN"/>
        </w:rPr>
        <w:t>, d</w:t>
      </w:r>
      <w:r w:rsidRPr="00A81A65">
        <w:rPr>
          <w:rFonts w:ascii="Arial" w:hAnsi="Arial" w:cs="Arial"/>
          <w:vertAlign w:val="subscript"/>
          <w:lang w:val="en-IN"/>
        </w:rPr>
        <w:t>84</w:t>
      </w:r>
      <w:r w:rsidRPr="00A81A65">
        <w:rPr>
          <w:rFonts w:ascii="Arial" w:hAnsi="Arial" w:cs="Arial"/>
          <w:lang w:val="en-IN"/>
        </w:rPr>
        <w:t>, and d</w:t>
      </w:r>
      <w:r w:rsidRPr="00A81A65">
        <w:rPr>
          <w:rFonts w:ascii="Arial" w:hAnsi="Arial" w:cs="Arial"/>
          <w:vertAlign w:val="subscript"/>
          <w:lang w:val="en-IN"/>
        </w:rPr>
        <w:t xml:space="preserve">90 </w:t>
      </w:r>
      <w:r w:rsidRPr="00A81A65">
        <w:rPr>
          <w:rFonts w:ascii="Arial" w:hAnsi="Arial" w:cs="Arial"/>
          <w:lang w:val="en-IN"/>
        </w:rPr>
        <w:t>indices, which serve as key descriptors of granule size distribution. The findings aim to provide insights into the physical quality of urea available in Indian markets and to support the design and calibration of fertilizer application systems.</w:t>
      </w:r>
    </w:p>
    <w:p w14:paraId="47F9B517" w14:textId="77777777" w:rsidR="00790ADA" w:rsidRPr="00FB3A86" w:rsidRDefault="00790ADA" w:rsidP="00441B6F">
      <w:pPr>
        <w:pStyle w:val="Body"/>
        <w:spacing w:after="0"/>
        <w:rPr>
          <w:rFonts w:ascii="Arial" w:hAnsi="Arial" w:cs="Arial"/>
        </w:rPr>
      </w:pPr>
    </w:p>
    <w:p w14:paraId="51A50613" w14:textId="77777777" w:rsidR="00790ADA" w:rsidRPr="00FB3A86" w:rsidRDefault="00902823" w:rsidP="00A81A65">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2E6F51F" w14:textId="77777777" w:rsidR="00A81A65" w:rsidRPr="00A81A65" w:rsidRDefault="00AA74E0" w:rsidP="00A81A65">
      <w:pPr>
        <w:pStyle w:val="Body"/>
        <w:rPr>
          <w:rFonts w:ascii="Arial" w:hAnsi="Arial" w:cs="Arial"/>
          <w:b/>
          <w:sz w:val="22"/>
          <w:lang w:val="en-IN"/>
        </w:rPr>
      </w:pPr>
      <w:r w:rsidRPr="00C30A0F">
        <w:rPr>
          <w:rFonts w:ascii="Arial" w:hAnsi="Arial" w:cs="Arial"/>
          <w:b/>
          <w:caps/>
          <w:sz w:val="22"/>
        </w:rPr>
        <w:t xml:space="preserve">2.1 </w:t>
      </w:r>
      <w:r w:rsidR="00A81A65" w:rsidRPr="00A81A65">
        <w:rPr>
          <w:rFonts w:ascii="Arial" w:hAnsi="Arial" w:cs="Arial"/>
          <w:b/>
          <w:sz w:val="22"/>
          <w:lang w:val="en-IN"/>
        </w:rPr>
        <w:t>Sample Collection</w:t>
      </w:r>
    </w:p>
    <w:p w14:paraId="31568785" w14:textId="77777777" w:rsidR="00A81A65" w:rsidRPr="00A81A65" w:rsidRDefault="00A81A65" w:rsidP="00A81A65">
      <w:pPr>
        <w:pStyle w:val="Body"/>
        <w:rPr>
          <w:rFonts w:ascii="Arial" w:hAnsi="Arial" w:cs="Arial"/>
          <w:lang w:val="en-IN"/>
        </w:rPr>
      </w:pPr>
      <w:r w:rsidRPr="00A81A65">
        <w:rPr>
          <w:rFonts w:ascii="Arial" w:hAnsi="Arial" w:cs="Arial"/>
          <w:lang w:val="en-IN"/>
        </w:rPr>
        <w:t xml:space="preserve">Urea fertilizer samples were collected from ten different commercial brands commonly available in the Indian market. The manufacturers were selected based on their status as major urea producers in the country, considering factors such as production capacity, market presence, and distribution coverage. Together, these manufacturers represent a substantial portion of the commercial urea supply available to Indian farmers. A standard 45 kg bag of urea was procured from each manufacturer through authorized agricultural input suppliers and local fertilizer distribution outlets to ensure that the samples reflected the typical products available to end users. To maintain confidentiality, all collected samples were </w:t>
      </w:r>
      <w:r w:rsidRPr="00A81A65">
        <w:rPr>
          <w:rFonts w:ascii="Arial" w:hAnsi="Arial" w:cs="Arial"/>
          <w:lang w:val="en-IN"/>
        </w:rPr>
        <w:lastRenderedPageBreak/>
        <w:t>anonymized and labeled as Sample I, II, III, IV, V, VI, VII, VIII, IX, and X, with each designation corresponding to a distinct manufacturer widely represented in the Indian fertilizer market.</w:t>
      </w:r>
    </w:p>
    <w:p w14:paraId="5F99CA50" w14:textId="77777777" w:rsidR="00A81A65" w:rsidRPr="00A81A65" w:rsidRDefault="00A81A65" w:rsidP="00A81A65">
      <w:pPr>
        <w:pStyle w:val="Body"/>
        <w:rPr>
          <w:rFonts w:ascii="Arial" w:hAnsi="Arial" w:cs="Arial"/>
          <w:b/>
          <w:sz w:val="22"/>
          <w:lang w:val="en-IN"/>
        </w:rPr>
      </w:pPr>
      <w:r>
        <w:rPr>
          <w:rFonts w:ascii="Arial" w:hAnsi="Arial" w:cs="Arial"/>
          <w:b/>
          <w:caps/>
          <w:sz w:val="22"/>
        </w:rPr>
        <w:t>2.2</w:t>
      </w:r>
      <w:r w:rsidRPr="00C30A0F">
        <w:rPr>
          <w:rFonts w:ascii="Arial" w:hAnsi="Arial" w:cs="Arial"/>
          <w:b/>
          <w:caps/>
          <w:sz w:val="22"/>
        </w:rPr>
        <w:t xml:space="preserve"> </w:t>
      </w:r>
      <w:r w:rsidRPr="00A81A65">
        <w:rPr>
          <w:rFonts w:ascii="Arial" w:hAnsi="Arial" w:cs="Arial"/>
          <w:b/>
          <w:sz w:val="22"/>
          <w:lang w:val="en-IN"/>
        </w:rPr>
        <w:t>Sieve Analysis</w:t>
      </w:r>
    </w:p>
    <w:p w14:paraId="29F34677" w14:textId="146B6032" w:rsidR="00A81A65" w:rsidRDefault="00A81A65" w:rsidP="00A81A65">
      <w:pPr>
        <w:pStyle w:val="Body"/>
        <w:rPr>
          <w:rFonts w:ascii="Arial" w:hAnsi="Arial" w:cs="Arial"/>
          <w:lang w:val="en-IN"/>
        </w:rPr>
      </w:pPr>
      <w:r w:rsidRPr="00A81A65">
        <w:rPr>
          <w:rFonts w:ascii="Arial" w:hAnsi="Arial" w:cs="Arial"/>
          <w:lang w:val="en-IN"/>
        </w:rPr>
        <w:t xml:space="preserve">In our previous work </w:t>
      </w:r>
      <w:r w:rsidRPr="00A81A65">
        <w:rPr>
          <w:rFonts w:ascii="Arial" w:hAnsi="Arial" w:cs="Arial"/>
          <w:lang w:val="en-IN"/>
        </w:rPr>
        <w:fldChar w:fldCharType="begin" w:fldLock="1"/>
      </w:r>
      <w:r w:rsidRPr="00A81A65">
        <w:rPr>
          <w:rFonts w:ascii="Arial" w:hAnsi="Arial" w:cs="Arial"/>
          <w:lang w:val="en-IN"/>
        </w:rPr>
        <w:instrText>ADDIN CSL_CITATION {"citationItems":[{"id":"ITEM-1","itemData":{"DOI":"https://www.doi.org/10.33545/2618060X.2025.v8.i7Sa.3189","abstract":"The particle size distribution (PSD) of granular urea plays a crucial role in determining its flow behaviour, spread uniformity, and compatibility with fertilizer applicators and spreaders. This study aimed to evaluate the PSD variability of urea fertilizers produced by ten leading manufacturers in India. The results indicated that the majority of urea granules were retained between the 1.0 mm and 1.7 mm sieves. The proportion of particles within the 1.0-1.7 mm range varied from 75.46% to 96.82%, with an overall average of 91.71%. A one-way analysis of variance (ANOVA) showed that the differences among manufacturers were statistically significant (p&lt;0.05), and the Tukey post hoc test revealed significant pairwise differences in 37 out of 45 comparisons. The findings highlight considerable variation in urea granule sizes, which can affect flowability and uniform discharge in fertilizer applicators.","author":[{"dropping-particle":"","family":"Kumar","given":"Vasu","non-dropping-particle":"","parse-names":false,"suffix":""},{"dropping-particle":"","family":"Rajan","given":"Pradeep","non-dropping-particle":"","parse-names":false,"suffix":""},{"dropping-particle":"","family":"Deshmukh","given":"Mrudulata M","non-dropping-particle":"","parse-names":false,"suffix":""},{"dropping-particle":"","family":"Gupta","given":"Chanchal","non-dropping-particle":"","parse-names":false,"suffix":""},{"dropping-particle":"","family":"Thakare","given":"S. K.","non-dropping-particle":"","parse-names":false,"suffix":""},{"dropping-particle":"","family":"Thakare","given":"S. H.","non-dropping-particle":"","parse-names":false,"suffix":""},{"dropping-particle":"V.","family":"Gajakos","given":"A.","non-dropping-particle":"","parse-names":false,"suffix":""},{"dropping-particle":"","family":"Kanade","given":"S. A.","non-dropping-particle":"","parse-names":false,"suffix":""}],"container-title":"International Journal of Research in Agronomy","id":"ITEM-1","issue":"7","issued":{"date-parts":[["2025"]]},"page":"10-13","title":"Comparative study of particle size distribution in commercial urea fertilizers from India","type":"article-journal","volume":"8"},"uris":["http://www.mendeley.com/documents/?uuid=9e6ac1f6-9d82-45fe-9e50-afc9963b77a4"]}],"mendeley":{"formattedCitation":"(Kumar et al., 2025)","plainTextFormattedCitation":"(Kumar et al., 2025)","previouslyFormattedCitation":"(Kumar et al., 2025)"},"properties":{"noteIndex":0},"schema":"https://github.com/citation-style-language/schema/raw/master/csl-citation.json"}</w:instrText>
      </w:r>
      <w:r w:rsidRPr="00A81A65">
        <w:rPr>
          <w:rFonts w:ascii="Arial" w:hAnsi="Arial" w:cs="Arial"/>
          <w:lang w:val="en-IN"/>
        </w:rPr>
        <w:fldChar w:fldCharType="separate"/>
      </w:r>
      <w:r w:rsidRPr="00A81A65">
        <w:rPr>
          <w:rFonts w:ascii="Arial" w:hAnsi="Arial" w:cs="Arial"/>
          <w:noProof/>
          <w:lang w:val="en-IN"/>
        </w:rPr>
        <w:t xml:space="preserve">(Kumar </w:t>
      </w:r>
      <w:r w:rsidRPr="00A81A65">
        <w:rPr>
          <w:rFonts w:ascii="Arial" w:hAnsi="Arial" w:cs="Arial"/>
          <w:i/>
          <w:noProof/>
          <w:lang w:val="en-IN"/>
        </w:rPr>
        <w:t>et al.</w:t>
      </w:r>
      <w:r w:rsidRPr="00A81A65">
        <w:rPr>
          <w:rFonts w:ascii="Arial" w:hAnsi="Arial" w:cs="Arial"/>
          <w:noProof/>
          <w:lang w:val="en-IN"/>
        </w:rPr>
        <w:t>, 2025)</w:t>
      </w:r>
      <w:r w:rsidRPr="00A81A65">
        <w:rPr>
          <w:rFonts w:ascii="Arial" w:hAnsi="Arial" w:cs="Arial"/>
          <w:lang w:val="en-IN"/>
        </w:rPr>
        <w:fldChar w:fldCharType="end"/>
      </w:r>
      <w:r w:rsidRPr="00A81A65">
        <w:rPr>
          <w:rFonts w:ascii="Arial" w:hAnsi="Arial" w:cs="Arial"/>
          <w:lang w:val="en-IN"/>
        </w:rPr>
        <w:t xml:space="preserve">, the sieve analysis procedure and the corresponding mass fraction retained on each sieve were described in detail to characterize the particle size distribution of commercial urea fertilizers. A schematic representation of the sieve stack arrangement is shown in Fig. 1. </w:t>
      </w:r>
      <w:r w:rsidR="00285984" w:rsidRPr="00285984">
        <w:rPr>
          <w:rFonts w:ascii="Arial" w:hAnsi="Arial" w:cs="Arial"/>
        </w:rPr>
        <w:t xml:space="preserve">Sieve analysis was carried out in accordance with the standard procedure specified in </w:t>
      </w:r>
      <w:r w:rsidR="00285984">
        <w:rPr>
          <w:rFonts w:ascii="Arial" w:hAnsi="Arial" w:cs="Arial"/>
        </w:rPr>
        <w:fldChar w:fldCharType="begin" w:fldLock="1"/>
      </w:r>
      <w:r w:rsidR="00432BF3">
        <w:rPr>
          <w:rFonts w:ascii="Arial" w:hAnsi="Arial" w:cs="Arial"/>
        </w:rPr>
        <w:instrText>ADDIN CSL_CITATION {"citationItems":[{"id":"ITEM-1","itemData":{"author":[{"dropping-particle":"","family":"ISO 8397:1988","given":"","non-dropping-particle":"","parse-names":false,"suffix":""}],"id":"ITEM-1","issued":{"date-parts":[["1988"]]},"title":"Solid ferttilizers and soil conditioners - Test sieving","type":"report"},"uris":["http://www.mendeley.com/documents/?uuid=c60bd207-5e98-3edb-a07f-4fc9d8f7ac33"]}],"mendeley":{"formattedCitation":"(ISO 8397:1988, 1988)","manualFormatting":"ISO 8397:1988","plainTextFormattedCitation":"(ISO 8397:1988, 1988)","previouslyFormattedCitation":"(ISO 8397:1988, 1988)"},"properties":{"noteIndex":0},"schema":"https://github.com/citation-style-language/schema/raw/master/csl-citation.json"}</w:instrText>
      </w:r>
      <w:r w:rsidR="00285984">
        <w:rPr>
          <w:rFonts w:ascii="Arial" w:hAnsi="Arial" w:cs="Arial"/>
        </w:rPr>
        <w:fldChar w:fldCharType="separate"/>
      </w:r>
      <w:r w:rsidR="00285984">
        <w:rPr>
          <w:rFonts w:ascii="Arial" w:hAnsi="Arial" w:cs="Arial"/>
          <w:noProof/>
        </w:rPr>
        <w:t>ISO 8397:1988</w:t>
      </w:r>
      <w:r w:rsidR="00285984">
        <w:rPr>
          <w:rFonts w:ascii="Arial" w:hAnsi="Arial" w:cs="Arial"/>
        </w:rPr>
        <w:fldChar w:fldCharType="end"/>
      </w:r>
      <w:r w:rsidR="00285984" w:rsidRPr="00285984">
        <w:rPr>
          <w:rFonts w:ascii="Arial" w:hAnsi="Arial" w:cs="Arial"/>
        </w:rPr>
        <w:t>.</w:t>
      </w:r>
      <w:r w:rsidR="00285984">
        <w:rPr>
          <w:rFonts w:ascii="Arial" w:hAnsi="Arial" w:cs="Arial"/>
        </w:rPr>
        <w:t xml:space="preserve"> </w:t>
      </w:r>
      <w:r w:rsidRPr="00A81A65">
        <w:rPr>
          <w:rFonts w:ascii="Arial" w:hAnsi="Arial" w:cs="Arial"/>
          <w:lang w:val="en-IN"/>
        </w:rPr>
        <w:t xml:space="preserve">From each ten samples, approximately 500 g of urea was placed on the top sieve, and the entire assembly was mounted on a mechanical sieve shaker for a fixed duration to ensure consistent vibration and complete separation of granules according to size. After sieving, the mass of material retained on each sieve was recorded, and the corresponding mass fraction was calculated. </w:t>
      </w:r>
      <w:r w:rsidR="00C43C3A" w:rsidRPr="00D451E1">
        <w:rPr>
          <w:highlight w:val="yellow"/>
        </w:rPr>
        <w:t>The percentage of material retained on a given sieve was determined using the equation 1</w:t>
      </w:r>
      <w:r w:rsidR="00750CDC" w:rsidRPr="00D451E1">
        <w:rPr>
          <w:highlight w:val="yellow"/>
        </w:rPr>
        <w:t xml:space="preserve"> </w:t>
      </w:r>
      <w:r w:rsidR="00750CDC" w:rsidRPr="00D451E1">
        <w:rPr>
          <w:highlight w:val="yellow"/>
        </w:rPr>
        <w:fldChar w:fldCharType="begin" w:fldLock="1"/>
      </w:r>
      <w:r w:rsidR="00750CDC" w:rsidRPr="00D451E1">
        <w:rPr>
          <w:highlight w:val="yellow"/>
        </w:rPr>
        <w:instrText>ADDIN CSL_CITATION {"citationItems":[{"id":"ITEM-1","itemData":{"ISBN":"2053816600","author":[{"dropping-particle":"","family":"Rutland","given":"David W","non-dropping-particle":"","parse-names":false,"suffix":""}],"id":"ITEM-1","issued":{"date-parts":[["1986"]]},"number-of-pages":"19-52","publisher-place":"International Fertilizer Development Center, Muscle Shoals, Alabama","title":"Manual for determining physical properties of fertilizer","type":"report"},"uris":["http://www.mendeley.com/documents/?uuid=5ab09287-2e65-3c25-88ad-cad66a05e685"]}],"mendeley":{"formattedCitation":"(Rutland, 1986)","plainTextFormattedCitation":"(Rutland, 1986)","previouslyFormattedCitation":"(Rutland, 1986)"},"properties":{"noteIndex":0},"schema":"https://github.com/citation-style-language/schema/raw/master/csl-citation.json"}</w:instrText>
      </w:r>
      <w:r w:rsidR="00750CDC" w:rsidRPr="00D451E1">
        <w:rPr>
          <w:highlight w:val="yellow"/>
        </w:rPr>
        <w:fldChar w:fldCharType="separate"/>
      </w:r>
      <w:r w:rsidR="00750CDC" w:rsidRPr="00D451E1">
        <w:rPr>
          <w:noProof/>
          <w:highlight w:val="yellow"/>
        </w:rPr>
        <w:t>(Rutland, 1986)</w:t>
      </w:r>
      <w:r w:rsidR="00750CDC" w:rsidRPr="00D451E1">
        <w:rPr>
          <w:highlight w:val="yellow"/>
        </w:rPr>
        <w:fldChar w:fldCharType="end"/>
      </w:r>
      <w:r w:rsidR="00C43C3A" w:rsidRPr="00D451E1">
        <w:rPr>
          <w:highlight w:val="yellow"/>
        </w:rPr>
        <w:t>.</w:t>
      </w:r>
      <w:r w:rsidR="00C43C3A">
        <w:t xml:space="preserve"> </w:t>
      </w:r>
      <w:r w:rsidRPr="00A81A65">
        <w:rPr>
          <w:rFonts w:ascii="Arial" w:hAnsi="Arial" w:cs="Arial"/>
          <w:lang w:val="en-IN"/>
        </w:rPr>
        <w:t>The present study employs these mass fraction data to compute percentile-based granule size indices, including d</w:t>
      </w:r>
      <w:r w:rsidRPr="00CE2222">
        <w:rPr>
          <w:rFonts w:ascii="Arial" w:hAnsi="Arial" w:cs="Arial"/>
          <w:vertAlign w:val="subscript"/>
          <w:lang w:val="en-IN"/>
        </w:rPr>
        <w:t>5</w:t>
      </w:r>
      <w:r w:rsidRPr="00A81A65">
        <w:rPr>
          <w:rFonts w:ascii="Arial" w:hAnsi="Arial" w:cs="Arial"/>
          <w:lang w:val="en-IN"/>
        </w:rPr>
        <w:t>, d</w:t>
      </w:r>
      <w:r w:rsidRPr="00A81A65">
        <w:rPr>
          <w:rFonts w:ascii="Arial" w:hAnsi="Arial" w:cs="Arial"/>
          <w:vertAlign w:val="subscript"/>
          <w:lang w:val="en-IN"/>
        </w:rPr>
        <w:t>16</w:t>
      </w:r>
      <w:r w:rsidRPr="00A81A65">
        <w:rPr>
          <w:rFonts w:ascii="Arial" w:hAnsi="Arial" w:cs="Arial"/>
          <w:lang w:val="en-IN"/>
        </w:rPr>
        <w:t>, d</w:t>
      </w:r>
      <w:r w:rsidRPr="00A81A65">
        <w:rPr>
          <w:rFonts w:ascii="Arial" w:hAnsi="Arial" w:cs="Arial"/>
          <w:vertAlign w:val="subscript"/>
          <w:lang w:val="en-IN"/>
        </w:rPr>
        <w:t>84</w:t>
      </w:r>
      <w:r w:rsidRPr="00A81A65">
        <w:rPr>
          <w:rFonts w:ascii="Arial" w:hAnsi="Arial" w:cs="Arial"/>
          <w:lang w:val="en-IN"/>
        </w:rPr>
        <w:t xml:space="preserve">, and </w:t>
      </w:r>
      <w:r w:rsidRPr="00A81A65">
        <w:rPr>
          <w:rFonts w:ascii="Arial" w:hAnsi="Arial" w:cs="Arial"/>
          <w:vertAlign w:val="subscript"/>
          <w:lang w:val="en-IN"/>
        </w:rPr>
        <w:t>d90</w:t>
      </w:r>
      <w:r w:rsidRPr="00A81A65">
        <w:rPr>
          <w:rFonts w:ascii="Arial" w:hAnsi="Arial" w:cs="Arial"/>
          <w:lang w:val="en-IN"/>
        </w:rPr>
        <w:t>. These indices enable a more detailed assessment of granule size variability by capturing both the finer and coarser fractions of the distribution, thereby providing deeper insights into the physical characteristics of urea fertilizers.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
        <w:gridCol w:w="7262"/>
        <w:gridCol w:w="661"/>
      </w:tblGrid>
      <w:tr w:rsidR="00C43C3A" w14:paraId="418ECD97" w14:textId="77777777" w:rsidTr="00C43C3A">
        <w:tc>
          <w:tcPr>
            <w:tcW w:w="534" w:type="dxa"/>
            <w:vAlign w:val="center"/>
          </w:tcPr>
          <w:p w14:paraId="102E4C7A" w14:textId="77777777" w:rsidR="00C43C3A" w:rsidRDefault="00C43C3A" w:rsidP="00C43C3A">
            <w:pPr>
              <w:pStyle w:val="Body"/>
              <w:spacing w:after="0"/>
              <w:jc w:val="center"/>
              <w:rPr>
                <w:rFonts w:ascii="Arial" w:hAnsi="Arial" w:cs="Arial"/>
                <w:lang w:val="en-IN"/>
              </w:rPr>
            </w:pPr>
          </w:p>
        </w:tc>
        <w:tc>
          <w:tcPr>
            <w:tcW w:w="7371" w:type="dxa"/>
            <w:vAlign w:val="center"/>
          </w:tcPr>
          <w:p w14:paraId="5B3892A0" w14:textId="247BE260" w:rsidR="00C43C3A" w:rsidRPr="00D451E1" w:rsidRDefault="00C43C3A" w:rsidP="00C43C3A">
            <w:pPr>
              <w:pStyle w:val="Body"/>
              <w:spacing w:after="0"/>
              <w:jc w:val="center"/>
              <w:rPr>
                <w:rFonts w:ascii="Arial" w:hAnsi="Arial" w:cs="Arial"/>
                <w:sz w:val="20"/>
                <w:szCs w:val="20"/>
                <w:highlight w:val="yellow"/>
                <w:lang w:val="en-IN"/>
              </w:rPr>
            </w:pPr>
            <m:oMathPara>
              <m:oMath>
                <m:r>
                  <m:rPr>
                    <m:sty m:val="p"/>
                  </m:rPr>
                  <w:rPr>
                    <w:rFonts w:ascii="Cambria Math" w:hAnsi="Cambria Math" w:cs="Arial"/>
                    <w:sz w:val="20"/>
                    <w:szCs w:val="20"/>
                    <w:highlight w:val="yellow"/>
                  </w:rPr>
                  <m:t>P</m:t>
                </m:r>
                <m:r>
                  <m:rPr>
                    <m:nor/>
                  </m:rPr>
                  <w:rPr>
                    <w:rFonts w:ascii="Arial" w:hAnsi="Arial" w:cs="Arial"/>
                    <w:sz w:val="20"/>
                    <w:szCs w:val="20"/>
                    <w:highlight w:val="yellow"/>
                  </w:rPr>
                  <m:t>ercentage retained on a sieve </m:t>
                </m:r>
                <m:d>
                  <m:dPr>
                    <m:ctrlPr>
                      <w:rPr>
                        <w:rFonts w:ascii="Cambria Math" w:hAnsi="Cambria Math" w:cs="Arial"/>
                        <w:sz w:val="20"/>
                        <w:szCs w:val="20"/>
                        <w:highlight w:val="yellow"/>
                      </w:rPr>
                    </m:ctrlPr>
                  </m:dPr>
                  <m:e>
                    <m:r>
                      <m:rPr>
                        <m:nor/>
                      </m:rPr>
                      <w:rPr>
                        <w:rFonts w:ascii="Arial" w:hAnsi="Arial" w:cs="Arial"/>
                        <w:sz w:val="20"/>
                        <w:szCs w:val="20"/>
                        <w:highlight w:val="yellow"/>
                      </w:rPr>
                      <m:t>%</m:t>
                    </m:r>
                  </m:e>
                </m:d>
                <m:r>
                  <m:rPr>
                    <m:nor/>
                  </m:rPr>
                  <w:rPr>
                    <w:rFonts w:ascii="Arial" w:hAnsi="Arial" w:cs="Arial"/>
                    <w:sz w:val="20"/>
                    <w:szCs w:val="20"/>
                    <w:highlight w:val="yellow"/>
                  </w:rPr>
                  <m:t>=</m:t>
                </m:r>
                <m:f>
                  <m:fPr>
                    <m:ctrlPr>
                      <w:rPr>
                        <w:rFonts w:ascii="Cambria Math" w:eastAsia="Times New Roman" w:hAnsi="Cambria Math" w:cs="Arial"/>
                        <w:sz w:val="20"/>
                        <w:szCs w:val="20"/>
                        <w:highlight w:val="yellow"/>
                      </w:rPr>
                    </m:ctrlPr>
                  </m:fPr>
                  <m:num>
                    <m:r>
                      <m:rPr>
                        <m:nor/>
                      </m:rPr>
                      <w:rPr>
                        <w:rStyle w:val="mord"/>
                        <w:rFonts w:ascii="Arial" w:hAnsi="Arial" w:cs="Arial"/>
                        <w:sz w:val="20"/>
                        <w:szCs w:val="20"/>
                        <w:highlight w:val="yellow"/>
                      </w:rPr>
                      <m:t>Mass retained on sieve (g)</m:t>
                    </m:r>
                  </m:num>
                  <m:den>
                    <m:r>
                      <m:rPr>
                        <m:nor/>
                      </m:rPr>
                      <w:rPr>
                        <w:rFonts w:ascii="Arial" w:hAnsi="Arial" w:cs="Arial"/>
                        <w:sz w:val="20"/>
                        <w:szCs w:val="20"/>
                        <w:highlight w:val="yellow"/>
                      </w:rPr>
                      <m:t>Total sample mass (g)</m:t>
                    </m:r>
                  </m:den>
                </m:f>
                <m:r>
                  <m:rPr>
                    <m:nor/>
                  </m:rPr>
                  <w:rPr>
                    <w:rFonts w:ascii="Arial" w:hAnsi="Arial" w:cs="Arial"/>
                    <w:sz w:val="20"/>
                    <w:szCs w:val="20"/>
                    <w:highlight w:val="yellow"/>
                  </w:rPr>
                  <m:t>×100</m:t>
                </m:r>
              </m:oMath>
            </m:oMathPara>
          </w:p>
        </w:tc>
        <w:tc>
          <w:tcPr>
            <w:tcW w:w="519" w:type="dxa"/>
            <w:vAlign w:val="center"/>
          </w:tcPr>
          <w:p w14:paraId="245DE7B5" w14:textId="13937BC6" w:rsidR="00C43C3A" w:rsidRPr="00D451E1" w:rsidRDefault="00C43C3A" w:rsidP="00C43C3A">
            <w:pPr>
              <w:pStyle w:val="Body"/>
              <w:spacing w:after="0"/>
              <w:jc w:val="right"/>
              <w:rPr>
                <w:rFonts w:ascii="Arial" w:hAnsi="Arial" w:cs="Arial"/>
                <w:sz w:val="20"/>
                <w:szCs w:val="20"/>
                <w:highlight w:val="yellow"/>
                <w:lang w:val="en-IN"/>
              </w:rPr>
            </w:pPr>
            <w:r w:rsidRPr="00D451E1">
              <w:rPr>
                <w:rFonts w:ascii="Arial" w:hAnsi="Arial" w:cs="Arial"/>
                <w:sz w:val="20"/>
                <w:szCs w:val="20"/>
                <w:highlight w:val="yellow"/>
                <w:lang w:val="en-IN"/>
              </w:rPr>
              <w:t>…(1)</w:t>
            </w:r>
          </w:p>
        </w:tc>
      </w:tr>
    </w:tbl>
    <w:p w14:paraId="0FFF793B" w14:textId="77777777" w:rsidR="00C43C3A" w:rsidRDefault="00C43C3A" w:rsidP="00A81A65">
      <w:pPr>
        <w:pStyle w:val="Body"/>
        <w:rPr>
          <w:rFonts w:ascii="Arial" w:hAnsi="Arial" w:cs="Arial"/>
          <w:lang w:val="en-IN"/>
        </w:rPr>
      </w:pPr>
    </w:p>
    <w:p w14:paraId="74E3102E" w14:textId="77777777" w:rsidR="00A81A65" w:rsidRDefault="00A81A65" w:rsidP="00A81A65">
      <w:pPr>
        <w:pStyle w:val="NormalWeb"/>
        <w:spacing w:line="360" w:lineRule="auto"/>
        <w:jc w:val="center"/>
      </w:pPr>
      <w:r>
        <w:rPr>
          <w:noProof/>
          <w:lang w:val="en-IN" w:eastAsia="en-IN"/>
        </w:rPr>
        <w:drawing>
          <wp:inline distT="0" distB="0" distL="0" distR="0" wp14:anchorId="3E38FAFF" wp14:editId="2B01DA03">
            <wp:extent cx="1903730" cy="2477135"/>
            <wp:effectExtent l="19050" t="19050" r="1270" b="0"/>
            <wp:docPr id="1" name="Picture 1" descr="Sie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eve"/>
                    <pic:cNvPicPr>
                      <a:picLocks noChangeAspect="1" noChangeArrowheads="1"/>
                    </pic:cNvPicPr>
                  </pic:nvPicPr>
                  <pic:blipFill>
                    <a:blip r:embed="rId12" cstate="print">
                      <a:extLst>
                        <a:ext uri="{28A0092B-C50C-407E-A947-70E740481C1C}">
                          <a14:useLocalDpi xmlns:a14="http://schemas.microsoft.com/office/drawing/2010/main" val="0"/>
                        </a:ext>
                      </a:extLst>
                    </a:blip>
                    <a:srcRect t="1897"/>
                    <a:stretch>
                      <a:fillRect/>
                    </a:stretch>
                  </pic:blipFill>
                  <pic:spPr bwMode="auto">
                    <a:xfrm>
                      <a:off x="0" y="0"/>
                      <a:ext cx="1903730" cy="2477135"/>
                    </a:xfrm>
                    <a:prstGeom prst="rect">
                      <a:avLst/>
                    </a:prstGeom>
                    <a:noFill/>
                    <a:ln w="9525" cmpd="sng">
                      <a:solidFill>
                        <a:srgbClr val="000000"/>
                      </a:solidFill>
                      <a:miter lim="800000"/>
                      <a:headEnd/>
                      <a:tailEnd/>
                    </a:ln>
                    <a:effectLst/>
                  </pic:spPr>
                </pic:pic>
              </a:graphicData>
            </a:graphic>
          </wp:inline>
        </w:drawing>
      </w:r>
    </w:p>
    <w:p w14:paraId="45F0A374" w14:textId="77777777" w:rsidR="00A81A65" w:rsidRPr="00A81A65" w:rsidRDefault="00A81A65" w:rsidP="00A81A65">
      <w:pPr>
        <w:pStyle w:val="Body"/>
        <w:jc w:val="center"/>
        <w:rPr>
          <w:rFonts w:ascii="Arial" w:hAnsi="Arial" w:cs="Arial"/>
          <w:b/>
          <w:lang w:val="en-IN"/>
        </w:rPr>
      </w:pPr>
      <w:r w:rsidRPr="00A81A65">
        <w:rPr>
          <w:rFonts w:ascii="Arial" w:hAnsi="Arial" w:cs="Arial"/>
          <w:b/>
          <w:lang w:val="en-IN"/>
        </w:rPr>
        <w:t>Fig. 1 Sieve Stack Arrangement</w:t>
      </w:r>
    </w:p>
    <w:p w14:paraId="3BBB84F7" w14:textId="77777777" w:rsidR="00A81A65" w:rsidRPr="00A81A65" w:rsidRDefault="00A81A65" w:rsidP="00A81A65">
      <w:pPr>
        <w:pStyle w:val="Body"/>
        <w:rPr>
          <w:rFonts w:ascii="Arial" w:hAnsi="Arial" w:cs="Arial"/>
          <w:b/>
          <w:sz w:val="22"/>
          <w:lang w:val="en-IN"/>
        </w:rPr>
      </w:pPr>
      <w:r>
        <w:rPr>
          <w:rFonts w:ascii="Arial" w:hAnsi="Arial" w:cs="Arial"/>
          <w:b/>
          <w:caps/>
          <w:sz w:val="22"/>
        </w:rPr>
        <w:t>2.3</w:t>
      </w:r>
      <w:r w:rsidRPr="00C30A0F">
        <w:rPr>
          <w:rFonts w:ascii="Arial" w:hAnsi="Arial" w:cs="Arial"/>
          <w:b/>
          <w:caps/>
          <w:sz w:val="22"/>
        </w:rPr>
        <w:t xml:space="preserve"> </w:t>
      </w:r>
      <w:r w:rsidRPr="00A81A65">
        <w:rPr>
          <w:rFonts w:ascii="Arial" w:hAnsi="Arial" w:cs="Arial"/>
          <w:b/>
          <w:sz w:val="22"/>
          <w:lang w:val="en-IN"/>
        </w:rPr>
        <w:t>Determination of Granule Size Indices (Percentile Diameters d</w:t>
      </w:r>
      <w:r w:rsidRPr="00A81A65">
        <w:rPr>
          <w:rFonts w:ascii="Arial" w:hAnsi="Arial" w:cs="Arial"/>
          <w:b/>
          <w:sz w:val="22"/>
          <w:vertAlign w:val="subscript"/>
          <w:lang w:val="en-IN"/>
        </w:rPr>
        <w:t>5</w:t>
      </w:r>
      <w:r w:rsidRPr="00A81A65">
        <w:rPr>
          <w:rFonts w:ascii="Arial" w:hAnsi="Arial" w:cs="Arial"/>
          <w:b/>
          <w:sz w:val="22"/>
          <w:lang w:val="en-IN"/>
        </w:rPr>
        <w:t>, d</w:t>
      </w:r>
      <w:r w:rsidRPr="00A81A65">
        <w:rPr>
          <w:rFonts w:ascii="Arial" w:hAnsi="Arial" w:cs="Arial"/>
          <w:b/>
          <w:sz w:val="22"/>
          <w:vertAlign w:val="subscript"/>
          <w:lang w:val="en-IN"/>
        </w:rPr>
        <w:t>16</w:t>
      </w:r>
      <w:r w:rsidRPr="00A81A65">
        <w:rPr>
          <w:rFonts w:ascii="Arial" w:hAnsi="Arial" w:cs="Arial"/>
          <w:b/>
          <w:sz w:val="22"/>
          <w:lang w:val="en-IN"/>
        </w:rPr>
        <w:t>, d</w:t>
      </w:r>
      <w:r w:rsidRPr="00A81A65">
        <w:rPr>
          <w:rFonts w:ascii="Arial" w:hAnsi="Arial" w:cs="Arial"/>
          <w:b/>
          <w:sz w:val="22"/>
          <w:vertAlign w:val="subscript"/>
          <w:lang w:val="en-IN"/>
        </w:rPr>
        <w:t>84</w:t>
      </w:r>
      <w:r w:rsidRPr="00A81A65">
        <w:rPr>
          <w:rFonts w:ascii="Arial" w:hAnsi="Arial" w:cs="Arial"/>
          <w:b/>
          <w:sz w:val="22"/>
          <w:lang w:val="en-IN"/>
        </w:rPr>
        <w:t>, and d</w:t>
      </w:r>
      <w:r w:rsidRPr="00A81A65">
        <w:rPr>
          <w:rFonts w:ascii="Arial" w:hAnsi="Arial" w:cs="Arial"/>
          <w:b/>
          <w:sz w:val="22"/>
          <w:vertAlign w:val="subscript"/>
          <w:lang w:val="en-IN"/>
        </w:rPr>
        <w:t>90</w:t>
      </w:r>
      <w:r w:rsidRPr="00A81A65">
        <w:rPr>
          <w:rFonts w:ascii="Arial" w:hAnsi="Arial" w:cs="Arial"/>
          <w:b/>
          <w:sz w:val="22"/>
          <w:lang w:val="en-IN"/>
        </w:rPr>
        <w:t>)</w:t>
      </w:r>
    </w:p>
    <w:p w14:paraId="23E8B9D2" w14:textId="36FD044A" w:rsidR="00A81A65" w:rsidRPr="00A81A65" w:rsidRDefault="00A81A65" w:rsidP="00A81A65">
      <w:pPr>
        <w:pStyle w:val="Body"/>
        <w:rPr>
          <w:rFonts w:ascii="Arial" w:hAnsi="Arial" w:cs="Arial"/>
          <w:lang w:val="en-IN"/>
        </w:rPr>
      </w:pPr>
      <w:r w:rsidRPr="00A81A65">
        <w:rPr>
          <w:rFonts w:ascii="Arial" w:hAnsi="Arial" w:cs="Arial"/>
          <w:lang w:val="en-IN"/>
        </w:rPr>
        <w:t xml:space="preserve">The granule size indices of the urea samples were determined using percentile-based particle size parameters calculated from the cumulative mass distribution obtained through sieve analysis. For each sample, the cumulative percentage of material passing through successive sieves was plotted against the corresponding sieve aperture size to generate the </w:t>
      </w:r>
      <w:r w:rsidRPr="00A81A65">
        <w:rPr>
          <w:rFonts w:ascii="Arial" w:hAnsi="Arial" w:cs="Arial"/>
          <w:lang w:val="en-IN"/>
        </w:rPr>
        <w:lastRenderedPageBreak/>
        <w:t xml:space="preserve">particle size distribution curve. As described by </w:t>
      </w:r>
      <w:r w:rsidRPr="00A81A65">
        <w:rPr>
          <w:rFonts w:ascii="Arial" w:hAnsi="Arial" w:cs="Arial"/>
          <w:lang w:val="en-IN"/>
        </w:rPr>
        <w:fldChar w:fldCharType="begin" w:fldLock="1"/>
      </w:r>
      <w:r w:rsidR="00750CDC">
        <w:rPr>
          <w:rFonts w:ascii="Arial" w:hAnsi="Arial" w:cs="Arial"/>
          <w:lang w:val="en-IN"/>
        </w:rPr>
        <w:instrText>ADDIN CSL_CITATION {"citationItems":[{"id":"ITEM-1","itemData":{"DOI":"10.1016/j.chemolab.2004.03.017","ISSN":"01697439","abstract":"Bulk blend fertilizers are a mixture of different kinds of fertilizers in order to obtain a predicted N-P-K chemical composition. Although this production method has some advantages, segregation appears at different stages, from the production to the final spreading on the field. An experiment has been implemented to predict and quantify the influence of some physical properties on the occurrence of segregation. The principle was to blend two fertilizers having identical physical properties except for one, such as size, shape or density and to measure the segregation of the blend following various operations, such as filling or emptying a container. Results show that the spread of the fragment size distribution has a big influence on the segregation of the generated heap. In order to reduce this phenomenon, the granulometric spread index (GSI) [(d84-d16)/2d50] must be smaller than 10. Other properties don't seem to have an influence. The granulometric segregation can lead to a chemical heterogeneity. The absolute sum of the difference between d16 and d84 must be limited around 0.5 mm. Above this value, the chemical segregation begins to be excessive. It seems also that if there is a limited difference in size for the components, the chemical segregation is amplified if the density of the fertilizer with the biggest particles is lower. It is not the case for the difference in shape. © 2004 Elsevier B.V. All rights reserved.","author":[{"dropping-particle":"","family":"Miserque","given":"O.","non-dropping-particle":"","parse-names":false,"suffix":""},{"dropping-particle":"","family":"Pirard","given":"E.","non-dropping-particle":"","parse-names":false,"suffix":""}],"container-title":"Chemometrics and Intelligent Laboratory Systems","id":"ITEM-1","issue":"1","issued":{"date-parts":[["2004","11","28"]]},"page":"215-224","title":"Segregation of the bulk blend fertilizers","type":"article-journal","volume":"74"},"uris":["http://www.mendeley.com/documents/?uuid=e43e6e4d-cb71-3555-878f-a522d1fc0ef4"]}],"mendeley":{"formattedCitation":"(Miserque &amp; Pirard, 2004)","manualFormatting":"Miserque &amp; Pirard (2004)","plainTextFormattedCitation":"(Miserque &amp; Pirard, 2004)","previouslyFormattedCitation":"(Miserque &amp; Pirard, 2004)"},"properties":{"noteIndex":0},"schema":"https://github.com/citation-style-language/schema/raw/master/csl-citation.json"}</w:instrText>
      </w:r>
      <w:r w:rsidRPr="00A81A65">
        <w:rPr>
          <w:rFonts w:ascii="Arial" w:hAnsi="Arial" w:cs="Arial"/>
          <w:lang w:val="en-IN"/>
        </w:rPr>
        <w:fldChar w:fldCharType="separate"/>
      </w:r>
      <w:r w:rsidRPr="00A81A65">
        <w:rPr>
          <w:rFonts w:ascii="Arial" w:hAnsi="Arial" w:cs="Arial"/>
          <w:noProof/>
          <w:lang w:val="en-IN"/>
        </w:rPr>
        <w:t>Miserque &amp; Pirard (2004)</w:t>
      </w:r>
      <w:r w:rsidRPr="00A81A65">
        <w:rPr>
          <w:rFonts w:ascii="Arial" w:hAnsi="Arial" w:cs="Arial"/>
          <w:lang w:val="en-IN"/>
        </w:rPr>
        <w:fldChar w:fldCharType="end"/>
      </w:r>
      <w:r w:rsidRPr="00A81A65">
        <w:rPr>
          <w:rFonts w:ascii="Arial" w:hAnsi="Arial" w:cs="Arial"/>
          <w:lang w:val="en-IN"/>
        </w:rPr>
        <w:t>, such curves are characterized by pe</w:t>
      </w:r>
      <w:r w:rsidR="009F556F">
        <w:rPr>
          <w:rFonts w:ascii="Arial" w:hAnsi="Arial" w:cs="Arial"/>
          <w:lang w:val="en-IN"/>
        </w:rPr>
        <w:t>rcentile diameters denoted as d</w:t>
      </w:r>
      <w:r w:rsidR="009F556F" w:rsidRPr="009F556F">
        <w:rPr>
          <w:rFonts w:ascii="Arial" w:hAnsi="Arial" w:cs="Arial"/>
          <w:vertAlign w:val="subscript"/>
          <w:lang w:val="en-IN"/>
        </w:rPr>
        <w:t>x</w:t>
      </w:r>
      <w:r w:rsidRPr="00A81A65">
        <w:rPr>
          <w:rFonts w:ascii="Arial" w:hAnsi="Arial" w:cs="Arial"/>
          <w:lang w:val="en-IN"/>
        </w:rPr>
        <w:t>, where x represents the weight fraction (in percent) of particles passing a sieve of mesh size d.</w:t>
      </w:r>
    </w:p>
    <w:p w14:paraId="322D68B5" w14:textId="77777777" w:rsidR="00A81A65" w:rsidRPr="00A81A65" w:rsidRDefault="00A81A65" w:rsidP="00A81A65">
      <w:pPr>
        <w:pStyle w:val="Body"/>
        <w:rPr>
          <w:rFonts w:ascii="Arial" w:hAnsi="Arial" w:cs="Arial"/>
          <w:lang w:val="en-IN"/>
        </w:rPr>
      </w:pPr>
      <w:r w:rsidRPr="00A81A65">
        <w:rPr>
          <w:rFonts w:ascii="Arial" w:hAnsi="Arial" w:cs="Arial"/>
          <w:lang w:val="en-IN"/>
        </w:rPr>
        <w:t>Based on this principle, the percentile diameters d</w:t>
      </w:r>
      <w:r w:rsidRPr="00A81A65">
        <w:rPr>
          <w:rFonts w:ascii="Arial" w:hAnsi="Arial" w:cs="Arial"/>
          <w:vertAlign w:val="subscript"/>
          <w:lang w:val="en-IN"/>
        </w:rPr>
        <w:t>5</w:t>
      </w:r>
      <w:r w:rsidRPr="00A81A65">
        <w:rPr>
          <w:rFonts w:ascii="Arial" w:hAnsi="Arial" w:cs="Arial"/>
          <w:lang w:val="en-IN"/>
        </w:rPr>
        <w:t>, d</w:t>
      </w:r>
      <w:r w:rsidRPr="00A81A65">
        <w:rPr>
          <w:rFonts w:ascii="Arial" w:hAnsi="Arial" w:cs="Arial"/>
          <w:vertAlign w:val="subscript"/>
          <w:lang w:val="en-IN"/>
        </w:rPr>
        <w:t>16</w:t>
      </w:r>
      <w:r w:rsidRPr="00A81A65">
        <w:rPr>
          <w:rFonts w:ascii="Arial" w:hAnsi="Arial" w:cs="Arial"/>
          <w:lang w:val="en-IN"/>
        </w:rPr>
        <w:t>, d</w:t>
      </w:r>
      <w:r w:rsidRPr="00A81A65">
        <w:rPr>
          <w:rFonts w:ascii="Arial" w:hAnsi="Arial" w:cs="Arial"/>
          <w:vertAlign w:val="subscript"/>
          <w:lang w:val="en-IN"/>
        </w:rPr>
        <w:t>84</w:t>
      </w:r>
      <w:r w:rsidRPr="00A81A65">
        <w:rPr>
          <w:rFonts w:ascii="Arial" w:hAnsi="Arial" w:cs="Arial"/>
          <w:lang w:val="en-IN"/>
        </w:rPr>
        <w:t>, and d</w:t>
      </w:r>
      <w:r w:rsidRPr="00A81A65">
        <w:rPr>
          <w:rFonts w:ascii="Arial" w:hAnsi="Arial" w:cs="Arial"/>
          <w:vertAlign w:val="subscript"/>
          <w:lang w:val="en-IN"/>
        </w:rPr>
        <w:t>90</w:t>
      </w:r>
      <w:r w:rsidRPr="00A81A65">
        <w:rPr>
          <w:rFonts w:ascii="Arial" w:hAnsi="Arial" w:cs="Arial"/>
          <w:lang w:val="en-IN"/>
        </w:rPr>
        <w:t xml:space="preserve"> were determined by interpolation. The lower percentile diameters- d</w:t>
      </w:r>
      <w:r w:rsidRPr="00A81A65">
        <w:rPr>
          <w:rFonts w:ascii="Arial" w:hAnsi="Arial" w:cs="Arial"/>
          <w:vertAlign w:val="subscript"/>
          <w:lang w:val="en-IN"/>
        </w:rPr>
        <w:t>5</w:t>
      </w:r>
      <w:r w:rsidRPr="00A81A65">
        <w:rPr>
          <w:rFonts w:ascii="Arial" w:hAnsi="Arial" w:cs="Arial"/>
          <w:lang w:val="en-IN"/>
        </w:rPr>
        <w:t xml:space="preserve"> and d</w:t>
      </w:r>
      <w:r w:rsidRPr="00A81A65">
        <w:rPr>
          <w:rFonts w:ascii="Arial" w:hAnsi="Arial" w:cs="Arial"/>
          <w:vertAlign w:val="subscript"/>
          <w:lang w:val="en-IN"/>
        </w:rPr>
        <w:t>16</w:t>
      </w:r>
      <w:r w:rsidRPr="00A81A65">
        <w:rPr>
          <w:rFonts w:ascii="Arial" w:hAnsi="Arial" w:cs="Arial"/>
          <w:lang w:val="en-IN"/>
        </w:rPr>
        <w:t>-correspond to the particle sizes at which 5% and 16% of the sample mass passed through the sieve, indicating that the remaining 95% and 84% of the material, respectively, consisted of larger particles retained above that size. Conversely, the upper percentile diameters d</w:t>
      </w:r>
      <w:r w:rsidRPr="00A81A65">
        <w:rPr>
          <w:rFonts w:ascii="Arial" w:hAnsi="Arial" w:cs="Arial"/>
          <w:vertAlign w:val="subscript"/>
          <w:lang w:val="en-IN"/>
        </w:rPr>
        <w:t>84</w:t>
      </w:r>
      <w:r w:rsidRPr="00A81A65">
        <w:rPr>
          <w:rFonts w:ascii="Arial" w:hAnsi="Arial" w:cs="Arial"/>
          <w:lang w:val="en-IN"/>
        </w:rPr>
        <w:t>, and d</w:t>
      </w:r>
      <w:r w:rsidRPr="00A81A65">
        <w:rPr>
          <w:rFonts w:ascii="Arial" w:hAnsi="Arial" w:cs="Arial"/>
          <w:vertAlign w:val="subscript"/>
          <w:lang w:val="en-IN"/>
        </w:rPr>
        <w:t>90</w:t>
      </w:r>
      <w:r w:rsidRPr="00A81A65">
        <w:rPr>
          <w:rFonts w:ascii="Arial" w:hAnsi="Arial" w:cs="Arial"/>
          <w:lang w:val="en-IN"/>
        </w:rPr>
        <w:t xml:space="preserve"> represent the particle sizes below which 84% and 90% of the total sample mass passed, leaving 16% and 10% as the coarser fraction.</w:t>
      </w:r>
    </w:p>
    <w:p w14:paraId="1316C32B" w14:textId="77777777" w:rsidR="00A81A65" w:rsidRPr="00A81A65" w:rsidRDefault="00A81A65" w:rsidP="00A81A65">
      <w:pPr>
        <w:pStyle w:val="Body"/>
        <w:rPr>
          <w:rFonts w:ascii="Arial" w:hAnsi="Arial" w:cs="Arial"/>
          <w:b/>
          <w:sz w:val="22"/>
          <w:lang w:val="en-IN"/>
        </w:rPr>
      </w:pPr>
      <w:r w:rsidRPr="00A81A65">
        <w:rPr>
          <w:rFonts w:ascii="Arial" w:hAnsi="Arial" w:cs="Arial"/>
          <w:lang w:val="en-IN"/>
        </w:rPr>
        <w:t xml:space="preserve">Together, these percentile-based parameters provide a detailed representation of the granule size distribution, capturing both fine and coarse components of the fertilizer samples. Their inclusion allows for a more comprehensive assessment of granule size variability than traditional single-point descriptors and offers deeper insight into the physical characteristics and handling </w:t>
      </w:r>
      <w:proofErr w:type="spellStart"/>
      <w:r w:rsidRPr="00A81A65">
        <w:rPr>
          <w:rFonts w:ascii="Arial" w:hAnsi="Arial" w:cs="Arial"/>
          <w:lang w:val="en-IN"/>
        </w:rPr>
        <w:t>behavior</w:t>
      </w:r>
      <w:proofErr w:type="spellEnd"/>
      <w:r w:rsidRPr="00A81A65">
        <w:rPr>
          <w:rFonts w:ascii="Arial" w:hAnsi="Arial" w:cs="Arial"/>
          <w:lang w:val="en-IN"/>
        </w:rPr>
        <w:t xml:space="preserve"> of commercially available urea fertilizers.</w:t>
      </w:r>
    </w:p>
    <w:p w14:paraId="6B4A132C" w14:textId="77777777" w:rsidR="009F556F" w:rsidRDefault="009F556F" w:rsidP="009F556F">
      <w:pPr>
        <w:pStyle w:val="Body"/>
        <w:rPr>
          <w:rFonts w:ascii="Arial" w:hAnsi="Arial" w:cs="Arial"/>
          <w:b/>
          <w:sz w:val="22"/>
          <w:lang w:val="en-IN"/>
        </w:rPr>
      </w:pPr>
      <w:r>
        <w:rPr>
          <w:rFonts w:ascii="Arial" w:hAnsi="Arial" w:cs="Arial"/>
          <w:b/>
          <w:caps/>
          <w:sz w:val="22"/>
        </w:rPr>
        <w:t>2.4</w:t>
      </w:r>
      <w:r w:rsidRPr="00C30A0F">
        <w:rPr>
          <w:rFonts w:ascii="Arial" w:hAnsi="Arial" w:cs="Arial"/>
          <w:b/>
          <w:caps/>
          <w:sz w:val="22"/>
        </w:rPr>
        <w:t xml:space="preserve"> </w:t>
      </w:r>
      <w:r w:rsidRPr="009F556F">
        <w:rPr>
          <w:rFonts w:ascii="Arial" w:hAnsi="Arial" w:cs="Arial"/>
          <w:b/>
          <w:sz w:val="22"/>
          <w:lang w:val="en-IN"/>
        </w:rPr>
        <w:t>Statistical Analysis</w:t>
      </w:r>
    </w:p>
    <w:p w14:paraId="13CE74ED" w14:textId="77777777" w:rsidR="009F556F" w:rsidRPr="009F556F" w:rsidRDefault="009F556F" w:rsidP="009F556F">
      <w:pPr>
        <w:pStyle w:val="Body"/>
        <w:rPr>
          <w:rFonts w:ascii="Arial" w:hAnsi="Arial" w:cs="Arial"/>
          <w:lang w:val="en-IN"/>
        </w:rPr>
      </w:pPr>
      <w:r w:rsidRPr="009F556F">
        <w:rPr>
          <w:rFonts w:ascii="Arial" w:hAnsi="Arial" w:cs="Arial"/>
          <w:lang w:val="en-IN"/>
        </w:rPr>
        <w:t>The statistical analysis was conducted to evaluate the variability in the granule size indices of urea samples obtained from ten different manufacturers. Each sample was analyzed with four replications. A one-way analysis of variance (ANOVA) with Tukey’s post hoc test was performed to determine whether significant differences existed among the manufacturers for each of the granule size indices (d</w:t>
      </w:r>
      <w:r w:rsidRPr="009F556F">
        <w:rPr>
          <w:rFonts w:ascii="Arial" w:hAnsi="Arial" w:cs="Arial"/>
          <w:vertAlign w:val="subscript"/>
          <w:lang w:val="en-IN"/>
        </w:rPr>
        <w:t>5</w:t>
      </w:r>
      <w:r w:rsidRPr="009F556F">
        <w:rPr>
          <w:rFonts w:ascii="Arial" w:hAnsi="Arial" w:cs="Arial"/>
          <w:lang w:val="en-IN"/>
        </w:rPr>
        <w:t>, d</w:t>
      </w:r>
      <w:r w:rsidRPr="009F556F">
        <w:rPr>
          <w:rFonts w:ascii="Arial" w:hAnsi="Arial" w:cs="Arial"/>
          <w:vertAlign w:val="subscript"/>
          <w:lang w:val="en-IN"/>
        </w:rPr>
        <w:t>16</w:t>
      </w:r>
      <w:r w:rsidRPr="009F556F">
        <w:rPr>
          <w:rFonts w:ascii="Arial" w:hAnsi="Arial" w:cs="Arial"/>
          <w:lang w:val="en-IN"/>
        </w:rPr>
        <w:t>, d</w:t>
      </w:r>
      <w:r w:rsidRPr="009F556F">
        <w:rPr>
          <w:rFonts w:ascii="Arial" w:hAnsi="Arial" w:cs="Arial"/>
          <w:vertAlign w:val="subscript"/>
          <w:lang w:val="en-IN"/>
        </w:rPr>
        <w:t>84</w:t>
      </w:r>
      <w:r w:rsidRPr="009F556F">
        <w:rPr>
          <w:rFonts w:ascii="Arial" w:hAnsi="Arial" w:cs="Arial"/>
          <w:lang w:val="en-IN"/>
        </w:rPr>
        <w:t>, and d</w:t>
      </w:r>
      <w:r w:rsidRPr="009F556F">
        <w:rPr>
          <w:rFonts w:ascii="Arial" w:hAnsi="Arial" w:cs="Arial"/>
          <w:vertAlign w:val="subscript"/>
          <w:lang w:val="en-IN"/>
        </w:rPr>
        <w:t>90</w:t>
      </w:r>
      <w:r w:rsidRPr="009F556F">
        <w:rPr>
          <w:rFonts w:ascii="Arial" w:hAnsi="Arial" w:cs="Arial"/>
          <w:lang w:val="en-IN"/>
        </w:rPr>
        <w:t xml:space="preserve">). All statistical analyses were carried out using </w:t>
      </w:r>
      <w:proofErr w:type="spellStart"/>
      <w:r w:rsidRPr="009F556F">
        <w:rPr>
          <w:rFonts w:ascii="Arial" w:hAnsi="Arial" w:cs="Arial"/>
          <w:lang w:val="en-IN"/>
        </w:rPr>
        <w:t>OriginPro</w:t>
      </w:r>
      <w:proofErr w:type="spellEnd"/>
      <w:r w:rsidRPr="009F556F">
        <w:rPr>
          <w:rFonts w:ascii="Arial" w:hAnsi="Arial" w:cs="Arial"/>
          <w:lang w:val="en-IN"/>
        </w:rPr>
        <w:t xml:space="preserve"> 2025 (</w:t>
      </w:r>
      <w:proofErr w:type="spellStart"/>
      <w:r w:rsidRPr="009F556F">
        <w:rPr>
          <w:rFonts w:ascii="Arial" w:hAnsi="Arial" w:cs="Arial"/>
          <w:lang w:val="en-IN"/>
        </w:rPr>
        <w:t>OriginLab</w:t>
      </w:r>
      <w:proofErr w:type="spellEnd"/>
      <w:r w:rsidRPr="009F556F">
        <w:rPr>
          <w:rFonts w:ascii="Arial" w:hAnsi="Arial" w:cs="Arial"/>
          <w:lang w:val="en-IN"/>
        </w:rPr>
        <w:t xml:space="preserve"> Corporation, USA).</w:t>
      </w:r>
    </w:p>
    <w:p w14:paraId="726857F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803EE49" w14:textId="77777777" w:rsidR="009F556F" w:rsidRPr="009F556F" w:rsidRDefault="009F556F" w:rsidP="009F556F">
      <w:pPr>
        <w:pStyle w:val="Body"/>
        <w:rPr>
          <w:rFonts w:ascii="Arial" w:hAnsi="Arial" w:cs="Arial"/>
          <w:b/>
          <w:sz w:val="22"/>
          <w:lang w:val="en-IN"/>
        </w:rPr>
      </w:pPr>
      <w:r w:rsidRPr="009F556F">
        <w:rPr>
          <w:rFonts w:ascii="Arial" w:hAnsi="Arial" w:cs="Arial"/>
          <w:b/>
          <w:sz w:val="22"/>
          <w:lang w:val="en-IN"/>
        </w:rPr>
        <w:t>3.1 d</w:t>
      </w:r>
      <w:r w:rsidRPr="009F556F">
        <w:rPr>
          <w:rFonts w:ascii="Arial" w:hAnsi="Arial" w:cs="Arial"/>
          <w:b/>
          <w:sz w:val="22"/>
          <w:vertAlign w:val="subscript"/>
          <w:lang w:val="en-IN"/>
        </w:rPr>
        <w:t>5</w:t>
      </w:r>
      <w:r w:rsidRPr="009F556F">
        <w:rPr>
          <w:rFonts w:ascii="Arial" w:hAnsi="Arial" w:cs="Arial"/>
          <w:b/>
          <w:sz w:val="22"/>
          <w:lang w:val="en-IN"/>
        </w:rPr>
        <w:t xml:space="preserve"> Granule Size Index </w:t>
      </w:r>
    </w:p>
    <w:p w14:paraId="39D91FB1" w14:textId="77777777" w:rsidR="009F556F" w:rsidRPr="009F556F" w:rsidRDefault="009F556F" w:rsidP="009F556F">
      <w:pPr>
        <w:pStyle w:val="Body"/>
        <w:rPr>
          <w:rFonts w:ascii="Arial" w:hAnsi="Arial" w:cs="Arial"/>
          <w:lang w:val="en-IN"/>
        </w:rPr>
      </w:pPr>
      <w:r w:rsidRPr="009F556F">
        <w:rPr>
          <w:rFonts w:ascii="Arial" w:hAnsi="Arial" w:cs="Arial"/>
          <w:lang w:val="en-IN"/>
        </w:rPr>
        <w:t>The d</w:t>
      </w:r>
      <w:r w:rsidRPr="009F556F">
        <w:rPr>
          <w:rFonts w:ascii="Arial" w:hAnsi="Arial" w:cs="Arial"/>
          <w:vertAlign w:val="subscript"/>
          <w:lang w:val="en-IN"/>
        </w:rPr>
        <w:t>5</w:t>
      </w:r>
      <w:r w:rsidRPr="009F556F">
        <w:rPr>
          <w:rFonts w:ascii="Arial" w:hAnsi="Arial" w:cs="Arial"/>
          <w:lang w:val="en-IN"/>
        </w:rPr>
        <w:t xml:space="preserve"> values of the ten urea samples ranged from 0.394 mm to 0.861 mm, indicating notable variation in the smallest percentile diameter among the manufacturers. The coefficient of variation (CV) for d</w:t>
      </w:r>
      <w:r w:rsidRPr="009F556F">
        <w:rPr>
          <w:rFonts w:ascii="Arial" w:hAnsi="Arial" w:cs="Arial"/>
          <w:vertAlign w:val="subscript"/>
          <w:lang w:val="en-IN"/>
        </w:rPr>
        <w:t>5</w:t>
      </w:r>
      <w:r w:rsidRPr="009F556F">
        <w:rPr>
          <w:rFonts w:ascii="Arial" w:hAnsi="Arial" w:cs="Arial"/>
          <w:lang w:val="en-IN"/>
        </w:rPr>
        <w:t xml:space="preserve"> ranged from 0.12% to 4.95%, indicating differences in consistency within the individual samples. As illustrated in Fig. 2, the minimum d</w:t>
      </w:r>
      <w:r w:rsidRPr="009F556F">
        <w:rPr>
          <w:rFonts w:ascii="Arial" w:hAnsi="Arial" w:cs="Arial"/>
          <w:vertAlign w:val="subscript"/>
          <w:lang w:val="en-IN"/>
        </w:rPr>
        <w:t>5</w:t>
      </w:r>
      <w:r w:rsidRPr="009F556F">
        <w:rPr>
          <w:rFonts w:ascii="Arial" w:hAnsi="Arial" w:cs="Arial"/>
          <w:lang w:val="en-IN"/>
        </w:rPr>
        <w:t xml:space="preserve"> value was observed for Sample III, whereas the maximum d</w:t>
      </w:r>
      <w:r w:rsidRPr="009F556F">
        <w:rPr>
          <w:rFonts w:ascii="Arial" w:hAnsi="Arial" w:cs="Arial"/>
          <w:vertAlign w:val="subscript"/>
          <w:lang w:val="en-IN"/>
        </w:rPr>
        <w:t>5</w:t>
      </w:r>
      <w:r w:rsidRPr="009F556F">
        <w:rPr>
          <w:rFonts w:ascii="Arial" w:hAnsi="Arial" w:cs="Arial"/>
          <w:lang w:val="en-IN"/>
        </w:rPr>
        <w:t xml:space="preserve"> value was recorded for Sample IX.</w:t>
      </w:r>
    </w:p>
    <w:p w14:paraId="59A1937B" w14:textId="77777777" w:rsidR="009F556F" w:rsidRPr="009F556F" w:rsidRDefault="009F556F" w:rsidP="009F556F">
      <w:pPr>
        <w:pStyle w:val="Body"/>
        <w:rPr>
          <w:rFonts w:ascii="Arial" w:hAnsi="Arial" w:cs="Arial"/>
          <w:lang w:val="en-IN"/>
        </w:rPr>
      </w:pPr>
      <w:r w:rsidRPr="009F556F">
        <w:rPr>
          <w:rFonts w:ascii="Arial" w:hAnsi="Arial" w:cs="Arial"/>
          <w:lang w:val="en-IN"/>
        </w:rPr>
        <w:t>The results of the one-way ANOVA, summarized in Table 1, demonstrated that the differences in the mean d</w:t>
      </w:r>
      <w:r w:rsidRPr="009F556F">
        <w:rPr>
          <w:rFonts w:ascii="Arial" w:hAnsi="Arial" w:cs="Arial"/>
          <w:vertAlign w:val="subscript"/>
          <w:lang w:val="en-IN"/>
        </w:rPr>
        <w:t>5</w:t>
      </w:r>
      <w:r w:rsidRPr="009F556F">
        <w:rPr>
          <w:rFonts w:ascii="Arial" w:hAnsi="Arial" w:cs="Arial"/>
          <w:lang w:val="en-IN"/>
        </w:rPr>
        <w:t xml:space="preserve"> values among the ten manufacturers were statistically significant at the 0.05 level. The Tukey post-hoc comparison further confirmed that 35 out of the 45 possible manufacturer pairings exhibited significant differences in d</w:t>
      </w:r>
      <w:r w:rsidRPr="009F556F">
        <w:rPr>
          <w:rFonts w:ascii="Arial" w:hAnsi="Arial" w:cs="Arial"/>
          <w:vertAlign w:val="subscript"/>
          <w:lang w:val="en-IN"/>
        </w:rPr>
        <w:t>5</w:t>
      </w:r>
      <w:r w:rsidRPr="009F556F">
        <w:rPr>
          <w:rFonts w:ascii="Arial" w:hAnsi="Arial" w:cs="Arial"/>
          <w:lang w:val="en-IN"/>
        </w:rPr>
        <w:t xml:space="preserve"> at the 0.05 significance level. These findings highlight the considerable variability in d</w:t>
      </w:r>
      <w:r w:rsidRPr="009F556F">
        <w:rPr>
          <w:rFonts w:ascii="Arial" w:hAnsi="Arial" w:cs="Arial"/>
          <w:vertAlign w:val="subscript"/>
          <w:lang w:val="en-IN"/>
        </w:rPr>
        <w:t>5</w:t>
      </w:r>
      <w:r w:rsidRPr="009F556F">
        <w:rPr>
          <w:rFonts w:ascii="Arial" w:hAnsi="Arial" w:cs="Arial"/>
          <w:lang w:val="en-IN"/>
        </w:rPr>
        <w:t xml:space="preserve"> among commercially available urea fertilizers, suggesting that manufacturers differ substantially in terms of granule size characteristics represented by this percentile diameter.</w:t>
      </w:r>
    </w:p>
    <w:p w14:paraId="26A3A8C8" w14:textId="77777777" w:rsidR="009F556F" w:rsidRDefault="009F556F" w:rsidP="009F556F">
      <w:pPr>
        <w:pStyle w:val="NormalWeb"/>
        <w:spacing w:line="360" w:lineRule="auto"/>
        <w:jc w:val="center"/>
      </w:pPr>
      <w:r>
        <w:rPr>
          <w:noProof/>
          <w:lang w:val="en-IN" w:eastAsia="en-IN"/>
        </w:rPr>
        <w:lastRenderedPageBreak/>
        <w:drawing>
          <wp:inline distT="0" distB="0" distL="0" distR="0" wp14:anchorId="0115629C" wp14:editId="2C74B305">
            <wp:extent cx="5458460" cy="3545205"/>
            <wp:effectExtent l="0" t="0" r="0" b="0"/>
            <wp:docPr id="3" name="Picture 3" descr="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8460" cy="3545205"/>
                    </a:xfrm>
                    <a:prstGeom prst="rect">
                      <a:avLst/>
                    </a:prstGeom>
                    <a:noFill/>
                    <a:ln>
                      <a:noFill/>
                    </a:ln>
                  </pic:spPr>
                </pic:pic>
              </a:graphicData>
            </a:graphic>
          </wp:inline>
        </w:drawing>
      </w:r>
    </w:p>
    <w:p w14:paraId="6F8EC4FD" w14:textId="77777777" w:rsidR="009F556F" w:rsidRPr="009F556F" w:rsidRDefault="009F556F" w:rsidP="009F556F">
      <w:pPr>
        <w:pStyle w:val="NormalWeb"/>
        <w:spacing w:line="360" w:lineRule="auto"/>
        <w:jc w:val="center"/>
        <w:rPr>
          <w:rFonts w:ascii="Arial" w:hAnsi="Arial" w:cs="Arial"/>
          <w:b/>
          <w:sz w:val="20"/>
        </w:rPr>
      </w:pPr>
      <w:r w:rsidRPr="009F556F">
        <w:rPr>
          <w:rFonts w:ascii="Arial" w:hAnsi="Arial" w:cs="Arial"/>
          <w:b/>
          <w:sz w:val="20"/>
        </w:rPr>
        <w:t>Fig. 2 d</w:t>
      </w:r>
      <w:r w:rsidRPr="009F556F">
        <w:rPr>
          <w:rFonts w:ascii="Arial" w:hAnsi="Arial" w:cs="Arial"/>
          <w:b/>
          <w:sz w:val="20"/>
          <w:vertAlign w:val="subscript"/>
        </w:rPr>
        <w:t>5</w:t>
      </w:r>
      <w:r w:rsidRPr="009F556F">
        <w:rPr>
          <w:rFonts w:ascii="Arial" w:hAnsi="Arial" w:cs="Arial"/>
          <w:b/>
          <w:sz w:val="20"/>
        </w:rPr>
        <w:t xml:space="preserve"> Granule Size Index for Urea Samples</w:t>
      </w:r>
    </w:p>
    <w:p w14:paraId="532810ED" w14:textId="77777777" w:rsidR="009F556F" w:rsidRPr="009F556F" w:rsidRDefault="009F556F" w:rsidP="009F556F">
      <w:pPr>
        <w:pStyle w:val="NormalWeb"/>
        <w:spacing w:line="360" w:lineRule="auto"/>
        <w:jc w:val="both"/>
        <w:rPr>
          <w:rFonts w:ascii="Arial" w:hAnsi="Arial" w:cs="Arial"/>
          <w:b/>
          <w:sz w:val="20"/>
        </w:rPr>
      </w:pPr>
      <w:r w:rsidRPr="009F556F">
        <w:rPr>
          <w:rFonts w:ascii="Arial" w:hAnsi="Arial" w:cs="Arial"/>
          <w:b/>
          <w:sz w:val="20"/>
        </w:rPr>
        <w:t>Table 1: One-Way ANOVA for d</w:t>
      </w:r>
      <w:r w:rsidRPr="009F556F">
        <w:rPr>
          <w:rFonts w:ascii="Arial" w:hAnsi="Arial" w:cs="Arial"/>
          <w:b/>
          <w:sz w:val="20"/>
          <w:vertAlign w:val="subscript"/>
        </w:rPr>
        <w:t>5</w:t>
      </w:r>
      <w:r w:rsidRPr="009F556F">
        <w:rPr>
          <w:rFonts w:ascii="Arial" w:hAnsi="Arial" w:cs="Arial"/>
          <w:sz w:val="20"/>
          <w:vertAlign w:val="subscript"/>
        </w:rPr>
        <w:t xml:space="preserve"> </w:t>
      </w:r>
      <w:r w:rsidRPr="009F556F">
        <w:rPr>
          <w:rFonts w:ascii="Arial" w:hAnsi="Arial" w:cs="Arial"/>
          <w:b/>
          <w:sz w:val="20"/>
        </w:rPr>
        <w:t xml:space="preserve">Granule Size Index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1316"/>
        <w:gridCol w:w="1412"/>
        <w:gridCol w:w="1437"/>
        <w:gridCol w:w="1435"/>
        <w:gridCol w:w="1400"/>
      </w:tblGrid>
      <w:tr w:rsidR="009F556F" w:rsidRPr="009F556F" w14:paraId="249FC6AE" w14:textId="77777777" w:rsidTr="009F556F">
        <w:trPr>
          <w:trHeight w:val="699"/>
        </w:trPr>
        <w:tc>
          <w:tcPr>
            <w:tcW w:w="1502" w:type="dxa"/>
            <w:tcBorders>
              <w:top w:val="single" w:sz="4" w:space="0" w:color="auto"/>
              <w:left w:val="nil"/>
              <w:bottom w:val="single" w:sz="4" w:space="0" w:color="auto"/>
              <w:right w:val="nil"/>
            </w:tcBorders>
            <w:vAlign w:val="center"/>
            <w:hideMark/>
          </w:tcPr>
          <w:p w14:paraId="431E270B" w14:textId="77777777" w:rsidR="009F556F" w:rsidRPr="009F556F" w:rsidRDefault="009F556F">
            <w:pPr>
              <w:jc w:val="center"/>
              <w:rPr>
                <w:rFonts w:ascii="Arial" w:hAnsi="Arial" w:cs="Arial"/>
                <w:b/>
                <w:sz w:val="20"/>
                <w:szCs w:val="24"/>
              </w:rPr>
            </w:pPr>
            <w:r w:rsidRPr="009F556F">
              <w:rPr>
                <w:rFonts w:ascii="Arial" w:hAnsi="Arial" w:cs="Arial"/>
                <w:b/>
                <w:sz w:val="20"/>
                <w:szCs w:val="24"/>
              </w:rPr>
              <w:t>Source of Variation</w:t>
            </w:r>
          </w:p>
        </w:tc>
        <w:tc>
          <w:tcPr>
            <w:tcW w:w="1502" w:type="dxa"/>
            <w:tcBorders>
              <w:top w:val="single" w:sz="4" w:space="0" w:color="auto"/>
              <w:left w:val="nil"/>
              <w:bottom w:val="single" w:sz="4" w:space="0" w:color="auto"/>
              <w:right w:val="nil"/>
            </w:tcBorders>
            <w:vAlign w:val="center"/>
            <w:hideMark/>
          </w:tcPr>
          <w:p w14:paraId="76CCADC1" w14:textId="77777777" w:rsidR="009F556F" w:rsidRPr="009F556F" w:rsidRDefault="009F556F">
            <w:pPr>
              <w:jc w:val="center"/>
              <w:rPr>
                <w:rFonts w:ascii="Arial" w:hAnsi="Arial" w:cs="Arial"/>
                <w:b/>
                <w:sz w:val="20"/>
                <w:szCs w:val="24"/>
              </w:rPr>
            </w:pPr>
            <w:r w:rsidRPr="009F556F">
              <w:rPr>
                <w:rFonts w:ascii="Arial" w:hAnsi="Arial" w:cs="Arial"/>
                <w:b/>
                <w:sz w:val="20"/>
                <w:szCs w:val="24"/>
              </w:rPr>
              <w:t>DF</w:t>
            </w:r>
          </w:p>
        </w:tc>
        <w:tc>
          <w:tcPr>
            <w:tcW w:w="1503" w:type="dxa"/>
            <w:tcBorders>
              <w:top w:val="single" w:sz="4" w:space="0" w:color="auto"/>
              <w:left w:val="nil"/>
              <w:bottom w:val="single" w:sz="4" w:space="0" w:color="auto"/>
              <w:right w:val="nil"/>
            </w:tcBorders>
            <w:vAlign w:val="center"/>
            <w:hideMark/>
          </w:tcPr>
          <w:p w14:paraId="2532C05F" w14:textId="77777777" w:rsidR="009F556F" w:rsidRPr="009F556F" w:rsidRDefault="009F556F">
            <w:pPr>
              <w:jc w:val="center"/>
              <w:rPr>
                <w:rFonts w:ascii="Arial" w:hAnsi="Arial" w:cs="Arial"/>
                <w:b/>
                <w:sz w:val="20"/>
                <w:szCs w:val="24"/>
              </w:rPr>
            </w:pPr>
            <w:r w:rsidRPr="009F556F">
              <w:rPr>
                <w:rFonts w:ascii="Arial" w:hAnsi="Arial" w:cs="Arial"/>
                <w:b/>
                <w:sz w:val="20"/>
                <w:szCs w:val="24"/>
              </w:rPr>
              <w:t>Sum of Squares</w:t>
            </w:r>
          </w:p>
        </w:tc>
        <w:tc>
          <w:tcPr>
            <w:tcW w:w="1503" w:type="dxa"/>
            <w:tcBorders>
              <w:top w:val="single" w:sz="4" w:space="0" w:color="auto"/>
              <w:left w:val="nil"/>
              <w:bottom w:val="single" w:sz="4" w:space="0" w:color="auto"/>
              <w:right w:val="nil"/>
            </w:tcBorders>
            <w:vAlign w:val="center"/>
            <w:hideMark/>
          </w:tcPr>
          <w:p w14:paraId="270ACEB6" w14:textId="77777777" w:rsidR="009F556F" w:rsidRPr="009F556F" w:rsidRDefault="009F556F">
            <w:pPr>
              <w:jc w:val="center"/>
              <w:rPr>
                <w:rFonts w:ascii="Arial" w:hAnsi="Arial" w:cs="Arial"/>
                <w:b/>
                <w:sz w:val="20"/>
                <w:szCs w:val="24"/>
              </w:rPr>
            </w:pPr>
            <w:r w:rsidRPr="009F556F">
              <w:rPr>
                <w:rFonts w:ascii="Arial" w:hAnsi="Arial" w:cs="Arial"/>
                <w:b/>
                <w:sz w:val="20"/>
                <w:szCs w:val="24"/>
              </w:rPr>
              <w:t>Mean Square</w:t>
            </w:r>
          </w:p>
        </w:tc>
        <w:tc>
          <w:tcPr>
            <w:tcW w:w="1503" w:type="dxa"/>
            <w:tcBorders>
              <w:top w:val="single" w:sz="4" w:space="0" w:color="auto"/>
              <w:left w:val="nil"/>
              <w:bottom w:val="single" w:sz="4" w:space="0" w:color="auto"/>
              <w:right w:val="nil"/>
            </w:tcBorders>
            <w:vAlign w:val="center"/>
            <w:hideMark/>
          </w:tcPr>
          <w:p w14:paraId="64A8D98E" w14:textId="77777777" w:rsidR="009F556F" w:rsidRPr="009F556F" w:rsidRDefault="009F556F">
            <w:pPr>
              <w:jc w:val="center"/>
              <w:rPr>
                <w:rFonts w:ascii="Arial" w:hAnsi="Arial" w:cs="Arial"/>
                <w:b/>
                <w:sz w:val="20"/>
                <w:szCs w:val="24"/>
              </w:rPr>
            </w:pPr>
            <w:r w:rsidRPr="009F556F">
              <w:rPr>
                <w:rFonts w:ascii="Arial" w:hAnsi="Arial" w:cs="Arial"/>
                <w:b/>
                <w:sz w:val="20"/>
                <w:szCs w:val="24"/>
              </w:rPr>
              <w:t>F Value</w:t>
            </w:r>
          </w:p>
        </w:tc>
        <w:tc>
          <w:tcPr>
            <w:tcW w:w="1503" w:type="dxa"/>
            <w:tcBorders>
              <w:top w:val="single" w:sz="4" w:space="0" w:color="auto"/>
              <w:left w:val="nil"/>
              <w:bottom w:val="single" w:sz="4" w:space="0" w:color="auto"/>
              <w:right w:val="nil"/>
            </w:tcBorders>
            <w:vAlign w:val="center"/>
            <w:hideMark/>
          </w:tcPr>
          <w:p w14:paraId="3CAF1AB1" w14:textId="77777777" w:rsidR="009F556F" w:rsidRPr="009F556F" w:rsidRDefault="009F556F">
            <w:pPr>
              <w:jc w:val="center"/>
              <w:rPr>
                <w:rFonts w:ascii="Arial" w:hAnsi="Arial" w:cs="Arial"/>
                <w:b/>
                <w:sz w:val="20"/>
                <w:szCs w:val="24"/>
              </w:rPr>
            </w:pPr>
            <w:r w:rsidRPr="009F556F">
              <w:rPr>
                <w:rFonts w:ascii="Arial" w:hAnsi="Arial" w:cs="Arial"/>
                <w:b/>
                <w:sz w:val="20"/>
                <w:szCs w:val="24"/>
              </w:rPr>
              <w:t>Tabular F (5%)</w:t>
            </w:r>
          </w:p>
        </w:tc>
      </w:tr>
      <w:tr w:rsidR="009F556F" w:rsidRPr="009F556F" w14:paraId="26872D20" w14:textId="77777777" w:rsidTr="00E2677B">
        <w:trPr>
          <w:trHeight w:val="397"/>
        </w:trPr>
        <w:tc>
          <w:tcPr>
            <w:tcW w:w="1502" w:type="dxa"/>
            <w:tcBorders>
              <w:top w:val="single" w:sz="4" w:space="0" w:color="auto"/>
              <w:left w:val="nil"/>
              <w:bottom w:val="nil"/>
              <w:right w:val="nil"/>
            </w:tcBorders>
            <w:vAlign w:val="center"/>
            <w:hideMark/>
          </w:tcPr>
          <w:p w14:paraId="2095B48A" w14:textId="77777777" w:rsidR="009F556F" w:rsidRPr="009F556F" w:rsidRDefault="009F556F">
            <w:pPr>
              <w:rPr>
                <w:rFonts w:ascii="Arial" w:hAnsi="Arial" w:cs="Arial"/>
                <w:sz w:val="20"/>
                <w:szCs w:val="24"/>
              </w:rPr>
            </w:pPr>
            <w:r w:rsidRPr="009F556F">
              <w:rPr>
                <w:rFonts w:ascii="Arial" w:hAnsi="Arial" w:cs="Arial"/>
                <w:sz w:val="20"/>
                <w:szCs w:val="24"/>
              </w:rPr>
              <w:t>Model</w:t>
            </w:r>
          </w:p>
        </w:tc>
        <w:tc>
          <w:tcPr>
            <w:tcW w:w="1502" w:type="dxa"/>
            <w:tcBorders>
              <w:top w:val="single" w:sz="4" w:space="0" w:color="auto"/>
              <w:left w:val="nil"/>
              <w:bottom w:val="nil"/>
              <w:right w:val="nil"/>
            </w:tcBorders>
            <w:vAlign w:val="center"/>
            <w:hideMark/>
          </w:tcPr>
          <w:p w14:paraId="2A3BD5DF" w14:textId="77777777" w:rsidR="009F556F" w:rsidRPr="009F556F" w:rsidRDefault="009F556F">
            <w:pPr>
              <w:jc w:val="center"/>
              <w:rPr>
                <w:rFonts w:ascii="Arial" w:hAnsi="Arial" w:cs="Arial"/>
                <w:sz w:val="20"/>
                <w:szCs w:val="24"/>
              </w:rPr>
            </w:pPr>
            <w:r w:rsidRPr="009F556F">
              <w:rPr>
                <w:rFonts w:ascii="Arial" w:hAnsi="Arial" w:cs="Arial"/>
                <w:sz w:val="20"/>
                <w:szCs w:val="24"/>
              </w:rPr>
              <w:t>9</w:t>
            </w:r>
          </w:p>
        </w:tc>
        <w:tc>
          <w:tcPr>
            <w:tcW w:w="1503" w:type="dxa"/>
            <w:tcBorders>
              <w:top w:val="single" w:sz="4" w:space="0" w:color="auto"/>
              <w:left w:val="nil"/>
              <w:bottom w:val="nil"/>
              <w:right w:val="nil"/>
            </w:tcBorders>
            <w:vAlign w:val="center"/>
            <w:hideMark/>
          </w:tcPr>
          <w:p w14:paraId="54888747" w14:textId="77777777" w:rsidR="009F556F" w:rsidRPr="009F556F" w:rsidRDefault="009F556F" w:rsidP="00E2677B">
            <w:pPr>
              <w:jc w:val="center"/>
              <w:rPr>
                <w:rFonts w:ascii="Arial" w:hAnsi="Arial" w:cs="Arial"/>
                <w:sz w:val="20"/>
                <w:szCs w:val="24"/>
              </w:rPr>
            </w:pPr>
            <w:r w:rsidRPr="009F556F">
              <w:rPr>
                <w:rFonts w:ascii="Arial" w:hAnsi="Arial" w:cs="Arial"/>
                <w:sz w:val="20"/>
                <w:szCs w:val="24"/>
              </w:rPr>
              <w:t>1.00215</w:t>
            </w:r>
          </w:p>
        </w:tc>
        <w:tc>
          <w:tcPr>
            <w:tcW w:w="1503" w:type="dxa"/>
            <w:tcBorders>
              <w:top w:val="single" w:sz="4" w:space="0" w:color="auto"/>
              <w:left w:val="nil"/>
              <w:bottom w:val="nil"/>
              <w:right w:val="nil"/>
            </w:tcBorders>
            <w:vAlign w:val="center"/>
            <w:hideMark/>
          </w:tcPr>
          <w:p w14:paraId="14BAA2A3" w14:textId="77777777" w:rsidR="009F556F" w:rsidRPr="009F556F" w:rsidRDefault="009F556F" w:rsidP="00E2677B">
            <w:pPr>
              <w:jc w:val="center"/>
              <w:rPr>
                <w:rFonts w:ascii="Arial" w:hAnsi="Arial" w:cs="Arial"/>
                <w:sz w:val="20"/>
                <w:szCs w:val="24"/>
              </w:rPr>
            </w:pPr>
            <w:r w:rsidRPr="009F556F">
              <w:rPr>
                <w:rFonts w:ascii="Arial" w:hAnsi="Arial" w:cs="Arial"/>
                <w:sz w:val="20"/>
                <w:szCs w:val="24"/>
              </w:rPr>
              <w:t>0.11135</w:t>
            </w:r>
          </w:p>
        </w:tc>
        <w:tc>
          <w:tcPr>
            <w:tcW w:w="1503" w:type="dxa"/>
            <w:tcBorders>
              <w:top w:val="single" w:sz="4" w:space="0" w:color="auto"/>
              <w:left w:val="nil"/>
              <w:bottom w:val="nil"/>
              <w:right w:val="nil"/>
            </w:tcBorders>
            <w:vAlign w:val="center"/>
            <w:hideMark/>
          </w:tcPr>
          <w:p w14:paraId="56FDF3A5" w14:textId="77777777" w:rsidR="009F556F" w:rsidRPr="009F556F" w:rsidRDefault="009F556F" w:rsidP="00E2677B">
            <w:pPr>
              <w:jc w:val="center"/>
              <w:rPr>
                <w:rFonts w:ascii="Arial" w:hAnsi="Arial" w:cs="Arial"/>
                <w:sz w:val="20"/>
                <w:szCs w:val="24"/>
              </w:rPr>
            </w:pPr>
            <w:r w:rsidRPr="009F556F">
              <w:rPr>
                <w:rFonts w:ascii="Arial" w:hAnsi="Arial" w:cs="Arial"/>
                <w:sz w:val="20"/>
                <w:szCs w:val="24"/>
              </w:rPr>
              <w:t>431.8819*</w:t>
            </w:r>
          </w:p>
        </w:tc>
        <w:tc>
          <w:tcPr>
            <w:tcW w:w="1503" w:type="dxa"/>
            <w:tcBorders>
              <w:top w:val="single" w:sz="4" w:space="0" w:color="auto"/>
              <w:left w:val="nil"/>
              <w:bottom w:val="nil"/>
              <w:right w:val="nil"/>
            </w:tcBorders>
            <w:vAlign w:val="center"/>
            <w:hideMark/>
          </w:tcPr>
          <w:p w14:paraId="6778F621" w14:textId="77777777" w:rsidR="009F556F" w:rsidRPr="009F556F" w:rsidRDefault="009F556F" w:rsidP="00E2677B">
            <w:pPr>
              <w:jc w:val="center"/>
              <w:rPr>
                <w:rFonts w:ascii="Arial" w:hAnsi="Arial" w:cs="Arial"/>
                <w:sz w:val="20"/>
                <w:szCs w:val="24"/>
              </w:rPr>
            </w:pPr>
            <w:r w:rsidRPr="009F556F">
              <w:rPr>
                <w:rFonts w:ascii="Arial" w:hAnsi="Arial" w:cs="Arial"/>
                <w:sz w:val="20"/>
                <w:szCs w:val="24"/>
              </w:rPr>
              <w:t>2.21</w:t>
            </w:r>
          </w:p>
        </w:tc>
      </w:tr>
      <w:tr w:rsidR="009F556F" w:rsidRPr="009F556F" w14:paraId="7DA0C07C" w14:textId="77777777" w:rsidTr="00E2677B">
        <w:trPr>
          <w:trHeight w:val="397"/>
        </w:trPr>
        <w:tc>
          <w:tcPr>
            <w:tcW w:w="1502" w:type="dxa"/>
            <w:vAlign w:val="center"/>
            <w:hideMark/>
          </w:tcPr>
          <w:p w14:paraId="2ADAF600" w14:textId="77777777" w:rsidR="009F556F" w:rsidRPr="009F556F" w:rsidRDefault="009F556F">
            <w:pPr>
              <w:rPr>
                <w:rFonts w:ascii="Arial" w:hAnsi="Arial" w:cs="Arial"/>
                <w:sz w:val="20"/>
                <w:szCs w:val="24"/>
              </w:rPr>
            </w:pPr>
            <w:r w:rsidRPr="009F556F">
              <w:rPr>
                <w:rFonts w:ascii="Arial" w:hAnsi="Arial" w:cs="Arial"/>
                <w:sz w:val="20"/>
                <w:szCs w:val="24"/>
              </w:rPr>
              <w:t>Error</w:t>
            </w:r>
          </w:p>
        </w:tc>
        <w:tc>
          <w:tcPr>
            <w:tcW w:w="1502" w:type="dxa"/>
            <w:vAlign w:val="center"/>
            <w:hideMark/>
          </w:tcPr>
          <w:p w14:paraId="2D1C1B85" w14:textId="77777777" w:rsidR="009F556F" w:rsidRPr="009F556F" w:rsidRDefault="009F556F">
            <w:pPr>
              <w:jc w:val="center"/>
              <w:rPr>
                <w:rFonts w:ascii="Arial" w:hAnsi="Arial" w:cs="Arial"/>
                <w:sz w:val="20"/>
                <w:szCs w:val="24"/>
              </w:rPr>
            </w:pPr>
            <w:r w:rsidRPr="009F556F">
              <w:rPr>
                <w:rFonts w:ascii="Arial" w:hAnsi="Arial" w:cs="Arial"/>
                <w:sz w:val="20"/>
                <w:szCs w:val="24"/>
              </w:rPr>
              <w:t>30</w:t>
            </w:r>
          </w:p>
        </w:tc>
        <w:tc>
          <w:tcPr>
            <w:tcW w:w="1503" w:type="dxa"/>
            <w:vAlign w:val="center"/>
            <w:hideMark/>
          </w:tcPr>
          <w:p w14:paraId="2A5875AA" w14:textId="77777777" w:rsidR="009F556F" w:rsidRPr="009F556F" w:rsidRDefault="009F556F" w:rsidP="00E2677B">
            <w:pPr>
              <w:jc w:val="center"/>
              <w:rPr>
                <w:rFonts w:ascii="Arial" w:hAnsi="Arial" w:cs="Arial"/>
                <w:sz w:val="20"/>
                <w:szCs w:val="24"/>
              </w:rPr>
            </w:pPr>
            <w:r w:rsidRPr="009F556F">
              <w:rPr>
                <w:rFonts w:ascii="Arial" w:hAnsi="Arial" w:cs="Arial"/>
                <w:sz w:val="20"/>
                <w:szCs w:val="24"/>
              </w:rPr>
              <w:t>0.00773</w:t>
            </w:r>
          </w:p>
        </w:tc>
        <w:tc>
          <w:tcPr>
            <w:tcW w:w="1503" w:type="dxa"/>
            <w:vAlign w:val="center"/>
            <w:hideMark/>
          </w:tcPr>
          <w:p w14:paraId="1EA6C504" w14:textId="77777777" w:rsidR="009F556F" w:rsidRPr="009F556F" w:rsidRDefault="009F556F" w:rsidP="00E2677B">
            <w:pPr>
              <w:jc w:val="center"/>
              <w:rPr>
                <w:rFonts w:ascii="Arial" w:hAnsi="Arial" w:cs="Arial"/>
                <w:sz w:val="20"/>
                <w:szCs w:val="24"/>
              </w:rPr>
            </w:pPr>
            <w:r w:rsidRPr="009F556F">
              <w:rPr>
                <w:rFonts w:ascii="Arial" w:hAnsi="Arial" w:cs="Arial"/>
                <w:sz w:val="20"/>
                <w:szCs w:val="24"/>
              </w:rPr>
              <w:t>2.57825E-4</w:t>
            </w:r>
          </w:p>
        </w:tc>
        <w:tc>
          <w:tcPr>
            <w:tcW w:w="1503" w:type="dxa"/>
            <w:vAlign w:val="center"/>
          </w:tcPr>
          <w:p w14:paraId="7EE0DE26" w14:textId="77777777" w:rsidR="009F556F" w:rsidRPr="009F556F" w:rsidRDefault="009F556F" w:rsidP="00E2677B">
            <w:pPr>
              <w:jc w:val="center"/>
              <w:rPr>
                <w:rFonts w:ascii="Arial" w:hAnsi="Arial" w:cs="Arial"/>
                <w:sz w:val="20"/>
                <w:szCs w:val="24"/>
              </w:rPr>
            </w:pPr>
          </w:p>
        </w:tc>
        <w:tc>
          <w:tcPr>
            <w:tcW w:w="1503" w:type="dxa"/>
            <w:vAlign w:val="center"/>
          </w:tcPr>
          <w:p w14:paraId="13B764BF" w14:textId="77777777" w:rsidR="009F556F" w:rsidRPr="009F556F" w:rsidRDefault="009F556F" w:rsidP="00E2677B">
            <w:pPr>
              <w:jc w:val="center"/>
              <w:rPr>
                <w:rFonts w:ascii="Arial" w:hAnsi="Arial" w:cs="Arial"/>
                <w:sz w:val="20"/>
                <w:szCs w:val="24"/>
              </w:rPr>
            </w:pPr>
          </w:p>
        </w:tc>
      </w:tr>
      <w:tr w:rsidR="009F556F" w:rsidRPr="009F556F" w14:paraId="560D143C" w14:textId="77777777" w:rsidTr="00E2677B">
        <w:trPr>
          <w:trHeight w:val="397"/>
        </w:trPr>
        <w:tc>
          <w:tcPr>
            <w:tcW w:w="1502" w:type="dxa"/>
            <w:tcBorders>
              <w:top w:val="nil"/>
              <w:left w:val="nil"/>
              <w:bottom w:val="single" w:sz="4" w:space="0" w:color="auto"/>
              <w:right w:val="nil"/>
            </w:tcBorders>
            <w:vAlign w:val="center"/>
            <w:hideMark/>
          </w:tcPr>
          <w:p w14:paraId="1B0551BB" w14:textId="77777777" w:rsidR="009F556F" w:rsidRPr="009F556F" w:rsidRDefault="009F556F">
            <w:pPr>
              <w:rPr>
                <w:rFonts w:ascii="Arial" w:hAnsi="Arial" w:cs="Arial"/>
                <w:sz w:val="20"/>
                <w:szCs w:val="24"/>
              </w:rPr>
            </w:pPr>
            <w:r w:rsidRPr="009F556F">
              <w:rPr>
                <w:rFonts w:ascii="Arial" w:hAnsi="Arial" w:cs="Arial"/>
                <w:sz w:val="20"/>
                <w:szCs w:val="24"/>
              </w:rPr>
              <w:t>Total</w:t>
            </w:r>
          </w:p>
        </w:tc>
        <w:tc>
          <w:tcPr>
            <w:tcW w:w="1502" w:type="dxa"/>
            <w:tcBorders>
              <w:top w:val="nil"/>
              <w:left w:val="nil"/>
              <w:bottom w:val="single" w:sz="4" w:space="0" w:color="auto"/>
              <w:right w:val="nil"/>
            </w:tcBorders>
            <w:vAlign w:val="center"/>
            <w:hideMark/>
          </w:tcPr>
          <w:p w14:paraId="361D3000" w14:textId="77777777" w:rsidR="009F556F" w:rsidRPr="009F556F" w:rsidRDefault="009F556F">
            <w:pPr>
              <w:jc w:val="center"/>
              <w:rPr>
                <w:rFonts w:ascii="Arial" w:hAnsi="Arial" w:cs="Arial"/>
                <w:sz w:val="20"/>
                <w:szCs w:val="24"/>
              </w:rPr>
            </w:pPr>
            <w:r w:rsidRPr="009F556F">
              <w:rPr>
                <w:rFonts w:ascii="Arial" w:hAnsi="Arial" w:cs="Arial"/>
                <w:sz w:val="20"/>
                <w:szCs w:val="24"/>
              </w:rPr>
              <w:t>39</w:t>
            </w:r>
          </w:p>
        </w:tc>
        <w:tc>
          <w:tcPr>
            <w:tcW w:w="1503" w:type="dxa"/>
            <w:tcBorders>
              <w:top w:val="nil"/>
              <w:left w:val="nil"/>
              <w:bottom w:val="single" w:sz="4" w:space="0" w:color="auto"/>
              <w:right w:val="nil"/>
            </w:tcBorders>
            <w:vAlign w:val="center"/>
            <w:hideMark/>
          </w:tcPr>
          <w:p w14:paraId="18C74B44" w14:textId="77777777" w:rsidR="009F556F" w:rsidRPr="009F556F" w:rsidRDefault="009F556F" w:rsidP="00E2677B">
            <w:pPr>
              <w:jc w:val="center"/>
              <w:rPr>
                <w:rFonts w:ascii="Arial" w:hAnsi="Arial" w:cs="Arial"/>
                <w:sz w:val="20"/>
                <w:szCs w:val="24"/>
              </w:rPr>
            </w:pPr>
            <w:r w:rsidRPr="009F556F">
              <w:rPr>
                <w:rFonts w:ascii="Arial" w:hAnsi="Arial" w:cs="Arial"/>
                <w:sz w:val="20"/>
                <w:szCs w:val="24"/>
              </w:rPr>
              <w:t>1.00988</w:t>
            </w:r>
          </w:p>
        </w:tc>
        <w:tc>
          <w:tcPr>
            <w:tcW w:w="1503" w:type="dxa"/>
            <w:tcBorders>
              <w:top w:val="nil"/>
              <w:left w:val="nil"/>
              <w:bottom w:val="single" w:sz="4" w:space="0" w:color="auto"/>
              <w:right w:val="nil"/>
            </w:tcBorders>
            <w:vAlign w:val="center"/>
          </w:tcPr>
          <w:p w14:paraId="309F2C52" w14:textId="77777777" w:rsidR="009F556F" w:rsidRPr="009F556F" w:rsidRDefault="009F556F" w:rsidP="00E2677B">
            <w:pPr>
              <w:jc w:val="center"/>
              <w:rPr>
                <w:rFonts w:ascii="Arial" w:hAnsi="Arial" w:cs="Arial"/>
                <w:sz w:val="20"/>
                <w:szCs w:val="24"/>
              </w:rPr>
            </w:pPr>
          </w:p>
        </w:tc>
        <w:tc>
          <w:tcPr>
            <w:tcW w:w="1503" w:type="dxa"/>
            <w:tcBorders>
              <w:top w:val="nil"/>
              <w:left w:val="nil"/>
              <w:bottom w:val="single" w:sz="4" w:space="0" w:color="auto"/>
              <w:right w:val="nil"/>
            </w:tcBorders>
            <w:vAlign w:val="center"/>
          </w:tcPr>
          <w:p w14:paraId="65741D9A" w14:textId="77777777" w:rsidR="009F556F" w:rsidRPr="009F556F" w:rsidRDefault="009F556F" w:rsidP="00E2677B">
            <w:pPr>
              <w:jc w:val="center"/>
              <w:rPr>
                <w:rFonts w:ascii="Arial" w:hAnsi="Arial" w:cs="Arial"/>
                <w:sz w:val="20"/>
                <w:szCs w:val="24"/>
              </w:rPr>
            </w:pPr>
          </w:p>
        </w:tc>
        <w:tc>
          <w:tcPr>
            <w:tcW w:w="1503" w:type="dxa"/>
            <w:tcBorders>
              <w:top w:val="nil"/>
              <w:left w:val="nil"/>
              <w:bottom w:val="single" w:sz="4" w:space="0" w:color="auto"/>
              <w:right w:val="nil"/>
            </w:tcBorders>
            <w:vAlign w:val="center"/>
          </w:tcPr>
          <w:p w14:paraId="32A098A7" w14:textId="77777777" w:rsidR="009F556F" w:rsidRPr="009F556F" w:rsidRDefault="009F556F" w:rsidP="00E2677B">
            <w:pPr>
              <w:jc w:val="center"/>
              <w:rPr>
                <w:rFonts w:ascii="Arial" w:hAnsi="Arial" w:cs="Arial"/>
                <w:sz w:val="20"/>
                <w:szCs w:val="24"/>
              </w:rPr>
            </w:pPr>
          </w:p>
        </w:tc>
      </w:tr>
    </w:tbl>
    <w:p w14:paraId="4ECE2C45" w14:textId="77777777" w:rsidR="009F556F" w:rsidRDefault="009F556F" w:rsidP="009F556F">
      <w:pPr>
        <w:pStyle w:val="Body"/>
        <w:rPr>
          <w:rFonts w:ascii="Arial" w:hAnsi="Arial" w:cs="Arial"/>
          <w:b/>
          <w:sz w:val="22"/>
          <w:lang w:val="en-IN"/>
        </w:rPr>
      </w:pPr>
    </w:p>
    <w:p w14:paraId="5685312D" w14:textId="77777777" w:rsidR="009F556F" w:rsidRPr="009F556F" w:rsidRDefault="009F556F" w:rsidP="009F556F">
      <w:pPr>
        <w:pStyle w:val="Body"/>
        <w:rPr>
          <w:rFonts w:ascii="Arial" w:hAnsi="Arial" w:cs="Arial"/>
          <w:b/>
          <w:sz w:val="22"/>
          <w:lang w:val="en-IN"/>
        </w:rPr>
      </w:pPr>
      <w:r>
        <w:rPr>
          <w:rFonts w:ascii="Arial" w:hAnsi="Arial" w:cs="Arial"/>
          <w:b/>
          <w:sz w:val="22"/>
          <w:lang w:val="en-IN"/>
        </w:rPr>
        <w:t>3.2</w:t>
      </w:r>
      <w:r w:rsidRPr="009F556F">
        <w:rPr>
          <w:rFonts w:ascii="Arial" w:hAnsi="Arial" w:cs="Arial"/>
          <w:b/>
          <w:sz w:val="22"/>
          <w:lang w:val="en-IN"/>
        </w:rPr>
        <w:t xml:space="preserve"> d</w:t>
      </w:r>
      <w:r w:rsidRPr="009F556F">
        <w:rPr>
          <w:rFonts w:ascii="Arial" w:hAnsi="Arial" w:cs="Arial"/>
          <w:b/>
          <w:sz w:val="22"/>
          <w:vertAlign w:val="subscript"/>
          <w:lang w:val="en-IN"/>
        </w:rPr>
        <w:t xml:space="preserve">16 </w:t>
      </w:r>
      <w:r w:rsidRPr="009F556F">
        <w:rPr>
          <w:rFonts w:ascii="Arial" w:hAnsi="Arial" w:cs="Arial"/>
          <w:b/>
          <w:sz w:val="22"/>
          <w:lang w:val="en-IN"/>
        </w:rPr>
        <w:t xml:space="preserve">Granule Size Index </w:t>
      </w:r>
    </w:p>
    <w:p w14:paraId="4EBC6A95" w14:textId="77777777" w:rsidR="009F556F" w:rsidRPr="009F556F" w:rsidRDefault="009F556F" w:rsidP="009F556F">
      <w:pPr>
        <w:pStyle w:val="Body"/>
        <w:rPr>
          <w:rFonts w:ascii="Arial" w:hAnsi="Arial" w:cs="Arial"/>
          <w:lang w:val="en-IN"/>
        </w:rPr>
      </w:pPr>
      <w:r w:rsidRPr="009F556F">
        <w:rPr>
          <w:rFonts w:ascii="Arial" w:hAnsi="Arial" w:cs="Arial"/>
          <w:lang w:val="en-IN"/>
        </w:rPr>
        <w:t>As shown in Fig. 3, the d</w:t>
      </w:r>
      <w:r w:rsidRPr="009F556F">
        <w:rPr>
          <w:rFonts w:ascii="Arial" w:hAnsi="Arial" w:cs="Arial"/>
          <w:vertAlign w:val="subscript"/>
          <w:lang w:val="en-IN"/>
        </w:rPr>
        <w:t>16</w:t>
      </w:r>
      <w:r w:rsidRPr="009F556F">
        <w:rPr>
          <w:rFonts w:ascii="Arial" w:hAnsi="Arial" w:cs="Arial"/>
          <w:lang w:val="en-IN"/>
        </w:rPr>
        <w:t xml:space="preserve"> values of the ten urea samples ranged from 0.650 mm (Sample III) to 0.943 mm (Sample IV), indicating variability in the lower percentile granule size among manufacturers. The CV for d</w:t>
      </w:r>
      <w:r w:rsidRPr="009F556F">
        <w:rPr>
          <w:rFonts w:ascii="Arial" w:hAnsi="Arial" w:cs="Arial"/>
          <w:vertAlign w:val="subscript"/>
          <w:lang w:val="en-IN"/>
        </w:rPr>
        <w:t>16</w:t>
      </w:r>
      <w:r w:rsidRPr="009F556F">
        <w:rPr>
          <w:rFonts w:ascii="Arial" w:hAnsi="Arial" w:cs="Arial"/>
          <w:lang w:val="en-IN"/>
        </w:rPr>
        <w:t xml:space="preserve"> varied from 0.00 to 1.06%. The results of the one-way ANOVA for d</w:t>
      </w:r>
      <w:r w:rsidRPr="009F556F">
        <w:rPr>
          <w:rFonts w:ascii="Arial" w:hAnsi="Arial" w:cs="Arial"/>
          <w:vertAlign w:val="subscript"/>
          <w:lang w:val="en-IN"/>
        </w:rPr>
        <w:t>16</w:t>
      </w:r>
      <w:r w:rsidRPr="009F556F">
        <w:rPr>
          <w:rFonts w:ascii="Arial" w:hAnsi="Arial" w:cs="Arial"/>
          <w:lang w:val="en-IN"/>
        </w:rPr>
        <w:t xml:space="preserve"> are presented in Table 2. The analysis showed that, at the 0.05 significance level, the differences in mean d</w:t>
      </w:r>
      <w:r w:rsidRPr="00E2677B">
        <w:rPr>
          <w:rFonts w:ascii="Arial" w:hAnsi="Arial" w:cs="Arial"/>
          <w:vertAlign w:val="subscript"/>
          <w:lang w:val="en-IN"/>
        </w:rPr>
        <w:t>16</w:t>
      </w:r>
      <w:r w:rsidRPr="009F556F">
        <w:rPr>
          <w:rFonts w:ascii="Arial" w:hAnsi="Arial" w:cs="Arial"/>
          <w:lang w:val="en-IN"/>
        </w:rPr>
        <w:t xml:space="preserve"> values across the ten manufacturers were statistically significant. A subsequent Tukey post-hoc test further identified that 40 out of the 45 possible manufacturer pairwise comparisons exhibited significant differences at the 0.05 level, confirming substantial variability in d</w:t>
      </w:r>
      <w:r w:rsidRPr="00E2677B">
        <w:rPr>
          <w:rFonts w:ascii="Arial" w:hAnsi="Arial" w:cs="Arial"/>
          <w:vertAlign w:val="subscript"/>
          <w:lang w:val="en-IN"/>
        </w:rPr>
        <w:t>16</w:t>
      </w:r>
      <w:r w:rsidRPr="009F556F">
        <w:rPr>
          <w:rFonts w:ascii="Arial" w:hAnsi="Arial" w:cs="Arial"/>
          <w:lang w:val="en-IN"/>
        </w:rPr>
        <w:t xml:space="preserve"> among the commercial urea brands.</w:t>
      </w:r>
    </w:p>
    <w:p w14:paraId="2D51AACD" w14:textId="77777777" w:rsidR="009F556F" w:rsidRDefault="009F556F" w:rsidP="009F556F">
      <w:pPr>
        <w:pStyle w:val="NormalWeb"/>
        <w:spacing w:line="360" w:lineRule="auto"/>
        <w:jc w:val="center"/>
      </w:pPr>
      <w:r>
        <w:rPr>
          <w:noProof/>
          <w:lang w:val="en-IN" w:eastAsia="en-IN"/>
        </w:rPr>
        <w:lastRenderedPageBreak/>
        <w:drawing>
          <wp:inline distT="0" distB="0" distL="0" distR="0" wp14:anchorId="14049113" wp14:editId="0E3E451C">
            <wp:extent cx="5401945" cy="3495040"/>
            <wp:effectExtent l="0" t="0" r="0" b="0"/>
            <wp:docPr id="4" name="Picture 4" descr="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1945" cy="3495040"/>
                    </a:xfrm>
                    <a:prstGeom prst="rect">
                      <a:avLst/>
                    </a:prstGeom>
                    <a:noFill/>
                    <a:ln>
                      <a:noFill/>
                    </a:ln>
                  </pic:spPr>
                </pic:pic>
              </a:graphicData>
            </a:graphic>
          </wp:inline>
        </w:drawing>
      </w:r>
    </w:p>
    <w:p w14:paraId="311237B1" w14:textId="77777777" w:rsidR="009F556F" w:rsidRPr="00E2677B" w:rsidRDefault="009F556F" w:rsidP="009F556F">
      <w:pPr>
        <w:pStyle w:val="NormalWeb"/>
        <w:spacing w:line="360" w:lineRule="auto"/>
        <w:jc w:val="center"/>
        <w:rPr>
          <w:rFonts w:ascii="Arial" w:hAnsi="Arial" w:cs="Arial"/>
          <w:b/>
          <w:sz w:val="20"/>
        </w:rPr>
      </w:pPr>
      <w:r w:rsidRPr="00E2677B">
        <w:rPr>
          <w:rFonts w:ascii="Arial" w:hAnsi="Arial" w:cs="Arial"/>
          <w:b/>
          <w:sz w:val="20"/>
        </w:rPr>
        <w:t>Fig. 3 d</w:t>
      </w:r>
      <w:r w:rsidRPr="00E2677B">
        <w:rPr>
          <w:rFonts w:ascii="Arial" w:hAnsi="Arial" w:cs="Arial"/>
          <w:b/>
          <w:sz w:val="20"/>
          <w:vertAlign w:val="subscript"/>
        </w:rPr>
        <w:t>16</w:t>
      </w:r>
      <w:r w:rsidRPr="00E2677B">
        <w:rPr>
          <w:rFonts w:ascii="Arial" w:hAnsi="Arial" w:cs="Arial"/>
          <w:b/>
          <w:sz w:val="20"/>
        </w:rPr>
        <w:t xml:space="preserve"> Granule Size Index for Urea Samples</w:t>
      </w:r>
    </w:p>
    <w:p w14:paraId="22EF4424" w14:textId="77777777" w:rsidR="009F556F" w:rsidRPr="00E2677B" w:rsidRDefault="009F556F" w:rsidP="009F556F">
      <w:pPr>
        <w:pStyle w:val="NormalWeb"/>
        <w:spacing w:line="360" w:lineRule="auto"/>
        <w:jc w:val="both"/>
        <w:rPr>
          <w:rFonts w:ascii="Arial" w:hAnsi="Arial" w:cs="Arial"/>
          <w:b/>
          <w:sz w:val="20"/>
        </w:rPr>
      </w:pPr>
      <w:r w:rsidRPr="00E2677B">
        <w:rPr>
          <w:rFonts w:ascii="Arial" w:hAnsi="Arial" w:cs="Arial"/>
          <w:b/>
          <w:sz w:val="20"/>
        </w:rPr>
        <w:t>Table 2: One-Way ANOVA for d</w:t>
      </w:r>
      <w:r w:rsidRPr="00E2677B">
        <w:rPr>
          <w:rFonts w:ascii="Arial" w:hAnsi="Arial" w:cs="Arial"/>
          <w:b/>
          <w:sz w:val="20"/>
          <w:vertAlign w:val="subscript"/>
        </w:rPr>
        <w:t>16</w:t>
      </w:r>
      <w:r w:rsidRPr="00E2677B">
        <w:rPr>
          <w:rFonts w:ascii="Arial" w:hAnsi="Arial" w:cs="Arial"/>
          <w:sz w:val="20"/>
          <w:vertAlign w:val="subscript"/>
        </w:rPr>
        <w:t xml:space="preserve"> </w:t>
      </w:r>
      <w:r w:rsidRPr="00E2677B">
        <w:rPr>
          <w:rFonts w:ascii="Arial" w:hAnsi="Arial" w:cs="Arial"/>
          <w:b/>
          <w:sz w:val="20"/>
        </w:rPr>
        <w:t xml:space="preserve">Granule Size Index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1315"/>
        <w:gridCol w:w="1416"/>
        <w:gridCol w:w="1436"/>
        <w:gridCol w:w="1434"/>
        <w:gridCol w:w="1400"/>
      </w:tblGrid>
      <w:tr w:rsidR="009F556F" w:rsidRPr="00E2677B" w14:paraId="6A32B42B" w14:textId="77777777" w:rsidTr="009F556F">
        <w:trPr>
          <w:trHeight w:val="699"/>
        </w:trPr>
        <w:tc>
          <w:tcPr>
            <w:tcW w:w="1502" w:type="dxa"/>
            <w:tcBorders>
              <w:top w:val="single" w:sz="4" w:space="0" w:color="auto"/>
              <w:left w:val="nil"/>
              <w:bottom w:val="single" w:sz="4" w:space="0" w:color="auto"/>
              <w:right w:val="nil"/>
            </w:tcBorders>
            <w:vAlign w:val="center"/>
            <w:hideMark/>
          </w:tcPr>
          <w:p w14:paraId="5015CD74" w14:textId="77777777" w:rsidR="009F556F" w:rsidRPr="00E2677B" w:rsidRDefault="009F556F">
            <w:pPr>
              <w:jc w:val="center"/>
              <w:rPr>
                <w:rFonts w:ascii="Arial" w:hAnsi="Arial" w:cs="Arial"/>
                <w:b/>
                <w:sz w:val="20"/>
                <w:szCs w:val="24"/>
              </w:rPr>
            </w:pPr>
            <w:r w:rsidRPr="00E2677B">
              <w:rPr>
                <w:rFonts w:ascii="Arial" w:hAnsi="Arial" w:cs="Arial"/>
                <w:b/>
                <w:sz w:val="20"/>
                <w:szCs w:val="24"/>
              </w:rPr>
              <w:t>Source of Variation</w:t>
            </w:r>
          </w:p>
        </w:tc>
        <w:tc>
          <w:tcPr>
            <w:tcW w:w="1502" w:type="dxa"/>
            <w:tcBorders>
              <w:top w:val="single" w:sz="4" w:space="0" w:color="auto"/>
              <w:left w:val="nil"/>
              <w:bottom w:val="single" w:sz="4" w:space="0" w:color="auto"/>
              <w:right w:val="nil"/>
            </w:tcBorders>
            <w:vAlign w:val="center"/>
            <w:hideMark/>
          </w:tcPr>
          <w:p w14:paraId="6F77B3B4" w14:textId="77777777" w:rsidR="009F556F" w:rsidRPr="00E2677B" w:rsidRDefault="009F556F">
            <w:pPr>
              <w:jc w:val="center"/>
              <w:rPr>
                <w:rFonts w:ascii="Arial" w:hAnsi="Arial" w:cs="Arial"/>
                <w:b/>
                <w:sz w:val="20"/>
                <w:szCs w:val="24"/>
              </w:rPr>
            </w:pPr>
            <w:r w:rsidRPr="00E2677B">
              <w:rPr>
                <w:rFonts w:ascii="Arial" w:hAnsi="Arial" w:cs="Arial"/>
                <w:b/>
                <w:sz w:val="20"/>
                <w:szCs w:val="24"/>
              </w:rPr>
              <w:t>DF</w:t>
            </w:r>
          </w:p>
        </w:tc>
        <w:tc>
          <w:tcPr>
            <w:tcW w:w="1503" w:type="dxa"/>
            <w:tcBorders>
              <w:top w:val="single" w:sz="4" w:space="0" w:color="auto"/>
              <w:left w:val="nil"/>
              <w:bottom w:val="single" w:sz="4" w:space="0" w:color="auto"/>
              <w:right w:val="nil"/>
            </w:tcBorders>
            <w:vAlign w:val="center"/>
            <w:hideMark/>
          </w:tcPr>
          <w:p w14:paraId="5E35F50D" w14:textId="77777777" w:rsidR="009F556F" w:rsidRPr="00E2677B" w:rsidRDefault="009F556F">
            <w:pPr>
              <w:jc w:val="center"/>
              <w:rPr>
                <w:rFonts w:ascii="Arial" w:hAnsi="Arial" w:cs="Arial"/>
                <w:b/>
                <w:sz w:val="20"/>
                <w:szCs w:val="24"/>
              </w:rPr>
            </w:pPr>
            <w:r w:rsidRPr="00E2677B">
              <w:rPr>
                <w:rFonts w:ascii="Arial" w:hAnsi="Arial" w:cs="Arial"/>
                <w:b/>
                <w:sz w:val="20"/>
                <w:szCs w:val="24"/>
              </w:rPr>
              <w:t>Sum of Squares</w:t>
            </w:r>
          </w:p>
        </w:tc>
        <w:tc>
          <w:tcPr>
            <w:tcW w:w="1503" w:type="dxa"/>
            <w:tcBorders>
              <w:top w:val="single" w:sz="4" w:space="0" w:color="auto"/>
              <w:left w:val="nil"/>
              <w:bottom w:val="single" w:sz="4" w:space="0" w:color="auto"/>
              <w:right w:val="nil"/>
            </w:tcBorders>
            <w:vAlign w:val="center"/>
            <w:hideMark/>
          </w:tcPr>
          <w:p w14:paraId="5706ECE1" w14:textId="77777777" w:rsidR="009F556F" w:rsidRPr="00E2677B" w:rsidRDefault="009F556F">
            <w:pPr>
              <w:jc w:val="center"/>
              <w:rPr>
                <w:rFonts w:ascii="Arial" w:hAnsi="Arial" w:cs="Arial"/>
                <w:b/>
                <w:sz w:val="20"/>
                <w:szCs w:val="24"/>
              </w:rPr>
            </w:pPr>
            <w:r w:rsidRPr="00E2677B">
              <w:rPr>
                <w:rFonts w:ascii="Arial" w:hAnsi="Arial" w:cs="Arial"/>
                <w:b/>
                <w:sz w:val="20"/>
                <w:szCs w:val="24"/>
              </w:rPr>
              <w:t>Mean Square</w:t>
            </w:r>
          </w:p>
        </w:tc>
        <w:tc>
          <w:tcPr>
            <w:tcW w:w="1503" w:type="dxa"/>
            <w:tcBorders>
              <w:top w:val="single" w:sz="4" w:space="0" w:color="auto"/>
              <w:left w:val="nil"/>
              <w:bottom w:val="single" w:sz="4" w:space="0" w:color="auto"/>
              <w:right w:val="nil"/>
            </w:tcBorders>
            <w:vAlign w:val="center"/>
            <w:hideMark/>
          </w:tcPr>
          <w:p w14:paraId="3FBA68ED" w14:textId="77777777" w:rsidR="009F556F" w:rsidRPr="00E2677B" w:rsidRDefault="009F556F">
            <w:pPr>
              <w:jc w:val="center"/>
              <w:rPr>
                <w:rFonts w:ascii="Arial" w:hAnsi="Arial" w:cs="Arial"/>
                <w:b/>
                <w:sz w:val="20"/>
                <w:szCs w:val="24"/>
              </w:rPr>
            </w:pPr>
            <w:r w:rsidRPr="00E2677B">
              <w:rPr>
                <w:rFonts w:ascii="Arial" w:hAnsi="Arial" w:cs="Arial"/>
                <w:b/>
                <w:sz w:val="20"/>
                <w:szCs w:val="24"/>
              </w:rPr>
              <w:t>F Value</w:t>
            </w:r>
          </w:p>
        </w:tc>
        <w:tc>
          <w:tcPr>
            <w:tcW w:w="1503" w:type="dxa"/>
            <w:tcBorders>
              <w:top w:val="single" w:sz="4" w:space="0" w:color="auto"/>
              <w:left w:val="nil"/>
              <w:bottom w:val="single" w:sz="4" w:space="0" w:color="auto"/>
              <w:right w:val="nil"/>
            </w:tcBorders>
            <w:vAlign w:val="center"/>
            <w:hideMark/>
          </w:tcPr>
          <w:p w14:paraId="6D58293B" w14:textId="77777777" w:rsidR="009F556F" w:rsidRPr="00E2677B" w:rsidRDefault="009F556F">
            <w:pPr>
              <w:jc w:val="center"/>
              <w:rPr>
                <w:rFonts w:ascii="Arial" w:hAnsi="Arial" w:cs="Arial"/>
                <w:b/>
                <w:sz w:val="20"/>
                <w:szCs w:val="24"/>
              </w:rPr>
            </w:pPr>
            <w:r w:rsidRPr="00E2677B">
              <w:rPr>
                <w:rFonts w:ascii="Arial" w:hAnsi="Arial" w:cs="Arial"/>
                <w:b/>
                <w:sz w:val="20"/>
                <w:szCs w:val="24"/>
              </w:rPr>
              <w:t>Tabular F (5%)</w:t>
            </w:r>
          </w:p>
        </w:tc>
      </w:tr>
      <w:tr w:rsidR="009F556F" w:rsidRPr="00E2677B" w14:paraId="7C5A6FF9" w14:textId="77777777" w:rsidTr="00E2677B">
        <w:trPr>
          <w:trHeight w:val="397"/>
        </w:trPr>
        <w:tc>
          <w:tcPr>
            <w:tcW w:w="1502" w:type="dxa"/>
            <w:tcBorders>
              <w:top w:val="single" w:sz="4" w:space="0" w:color="auto"/>
              <w:left w:val="nil"/>
              <w:bottom w:val="nil"/>
              <w:right w:val="nil"/>
            </w:tcBorders>
            <w:vAlign w:val="center"/>
            <w:hideMark/>
          </w:tcPr>
          <w:p w14:paraId="3636B9A7" w14:textId="77777777" w:rsidR="009F556F" w:rsidRPr="00E2677B" w:rsidRDefault="009F556F">
            <w:pPr>
              <w:rPr>
                <w:rFonts w:ascii="Arial" w:hAnsi="Arial" w:cs="Arial"/>
                <w:sz w:val="20"/>
                <w:szCs w:val="24"/>
              </w:rPr>
            </w:pPr>
            <w:r w:rsidRPr="00E2677B">
              <w:rPr>
                <w:rFonts w:ascii="Arial" w:hAnsi="Arial" w:cs="Arial"/>
                <w:sz w:val="20"/>
                <w:szCs w:val="24"/>
              </w:rPr>
              <w:t>Model</w:t>
            </w:r>
          </w:p>
        </w:tc>
        <w:tc>
          <w:tcPr>
            <w:tcW w:w="1502" w:type="dxa"/>
            <w:tcBorders>
              <w:top w:val="single" w:sz="4" w:space="0" w:color="auto"/>
              <w:left w:val="nil"/>
              <w:bottom w:val="nil"/>
              <w:right w:val="nil"/>
            </w:tcBorders>
            <w:vAlign w:val="center"/>
            <w:hideMark/>
          </w:tcPr>
          <w:p w14:paraId="6C7D01F3" w14:textId="77777777" w:rsidR="009F556F" w:rsidRPr="00E2677B" w:rsidRDefault="009F556F">
            <w:pPr>
              <w:jc w:val="center"/>
              <w:rPr>
                <w:rFonts w:ascii="Arial" w:hAnsi="Arial" w:cs="Arial"/>
                <w:sz w:val="20"/>
                <w:szCs w:val="24"/>
              </w:rPr>
            </w:pPr>
            <w:r w:rsidRPr="00E2677B">
              <w:rPr>
                <w:rFonts w:ascii="Arial" w:hAnsi="Arial" w:cs="Arial"/>
                <w:sz w:val="20"/>
                <w:szCs w:val="24"/>
              </w:rPr>
              <w:t>9</w:t>
            </w:r>
          </w:p>
        </w:tc>
        <w:tc>
          <w:tcPr>
            <w:tcW w:w="1503" w:type="dxa"/>
            <w:tcBorders>
              <w:top w:val="single" w:sz="4" w:space="0" w:color="auto"/>
              <w:left w:val="nil"/>
              <w:bottom w:val="nil"/>
              <w:right w:val="nil"/>
            </w:tcBorders>
            <w:vAlign w:val="center"/>
            <w:hideMark/>
          </w:tcPr>
          <w:p w14:paraId="12C0AFA8" w14:textId="77777777" w:rsidR="009F556F" w:rsidRPr="00E2677B" w:rsidRDefault="009F556F" w:rsidP="00E2677B">
            <w:pPr>
              <w:jc w:val="center"/>
              <w:rPr>
                <w:rFonts w:ascii="Arial" w:hAnsi="Arial" w:cs="Arial"/>
                <w:sz w:val="20"/>
                <w:szCs w:val="24"/>
              </w:rPr>
            </w:pPr>
            <w:r w:rsidRPr="00E2677B">
              <w:rPr>
                <w:rFonts w:ascii="Arial" w:hAnsi="Arial" w:cs="Arial"/>
                <w:sz w:val="20"/>
                <w:szCs w:val="24"/>
              </w:rPr>
              <w:t>0.24332</w:t>
            </w:r>
          </w:p>
        </w:tc>
        <w:tc>
          <w:tcPr>
            <w:tcW w:w="1503" w:type="dxa"/>
            <w:tcBorders>
              <w:top w:val="single" w:sz="4" w:space="0" w:color="auto"/>
              <w:left w:val="nil"/>
              <w:bottom w:val="nil"/>
              <w:right w:val="nil"/>
            </w:tcBorders>
            <w:vAlign w:val="center"/>
            <w:hideMark/>
          </w:tcPr>
          <w:p w14:paraId="051F748F" w14:textId="77777777" w:rsidR="009F556F" w:rsidRPr="00E2677B" w:rsidRDefault="009F556F" w:rsidP="00E2677B">
            <w:pPr>
              <w:jc w:val="center"/>
              <w:rPr>
                <w:rFonts w:ascii="Arial" w:hAnsi="Arial" w:cs="Arial"/>
                <w:sz w:val="20"/>
                <w:szCs w:val="24"/>
              </w:rPr>
            </w:pPr>
            <w:r w:rsidRPr="00E2677B">
              <w:rPr>
                <w:rFonts w:ascii="Arial" w:hAnsi="Arial" w:cs="Arial"/>
                <w:sz w:val="20"/>
                <w:szCs w:val="24"/>
              </w:rPr>
              <w:t>0.02704</w:t>
            </w:r>
          </w:p>
        </w:tc>
        <w:tc>
          <w:tcPr>
            <w:tcW w:w="1503" w:type="dxa"/>
            <w:tcBorders>
              <w:top w:val="single" w:sz="4" w:space="0" w:color="auto"/>
              <w:left w:val="nil"/>
              <w:bottom w:val="nil"/>
              <w:right w:val="nil"/>
            </w:tcBorders>
            <w:vAlign w:val="center"/>
            <w:hideMark/>
          </w:tcPr>
          <w:p w14:paraId="22C75217" w14:textId="77777777" w:rsidR="009F556F" w:rsidRPr="00E2677B" w:rsidRDefault="009F556F" w:rsidP="00E2677B">
            <w:pPr>
              <w:jc w:val="center"/>
              <w:rPr>
                <w:rFonts w:ascii="Arial" w:hAnsi="Arial" w:cs="Arial"/>
                <w:sz w:val="20"/>
                <w:szCs w:val="24"/>
              </w:rPr>
            </w:pPr>
            <w:r w:rsidRPr="00E2677B">
              <w:rPr>
                <w:rFonts w:ascii="Arial" w:hAnsi="Arial" w:cs="Arial"/>
                <w:sz w:val="20"/>
                <w:szCs w:val="24"/>
              </w:rPr>
              <w:t>1809.403*</w:t>
            </w:r>
          </w:p>
        </w:tc>
        <w:tc>
          <w:tcPr>
            <w:tcW w:w="1503" w:type="dxa"/>
            <w:tcBorders>
              <w:top w:val="single" w:sz="4" w:space="0" w:color="auto"/>
              <w:left w:val="nil"/>
              <w:bottom w:val="nil"/>
              <w:right w:val="nil"/>
            </w:tcBorders>
            <w:vAlign w:val="center"/>
            <w:hideMark/>
          </w:tcPr>
          <w:p w14:paraId="53A5026A" w14:textId="77777777" w:rsidR="009F556F" w:rsidRPr="00E2677B" w:rsidRDefault="009F556F" w:rsidP="00E2677B">
            <w:pPr>
              <w:jc w:val="center"/>
              <w:rPr>
                <w:rFonts w:ascii="Arial" w:hAnsi="Arial" w:cs="Arial"/>
                <w:sz w:val="20"/>
                <w:szCs w:val="24"/>
              </w:rPr>
            </w:pPr>
            <w:r w:rsidRPr="00E2677B">
              <w:rPr>
                <w:rFonts w:ascii="Arial" w:hAnsi="Arial" w:cs="Arial"/>
                <w:sz w:val="20"/>
                <w:szCs w:val="24"/>
              </w:rPr>
              <w:t>2.21</w:t>
            </w:r>
          </w:p>
        </w:tc>
      </w:tr>
      <w:tr w:rsidR="009F556F" w:rsidRPr="00E2677B" w14:paraId="41933239" w14:textId="77777777" w:rsidTr="00E2677B">
        <w:trPr>
          <w:trHeight w:val="397"/>
        </w:trPr>
        <w:tc>
          <w:tcPr>
            <w:tcW w:w="1502" w:type="dxa"/>
            <w:vAlign w:val="center"/>
            <w:hideMark/>
          </w:tcPr>
          <w:p w14:paraId="3486B0FF" w14:textId="77777777" w:rsidR="009F556F" w:rsidRPr="00E2677B" w:rsidRDefault="009F556F">
            <w:pPr>
              <w:rPr>
                <w:rFonts w:ascii="Arial" w:hAnsi="Arial" w:cs="Arial"/>
                <w:sz w:val="20"/>
                <w:szCs w:val="24"/>
              </w:rPr>
            </w:pPr>
            <w:r w:rsidRPr="00E2677B">
              <w:rPr>
                <w:rFonts w:ascii="Arial" w:hAnsi="Arial" w:cs="Arial"/>
                <w:sz w:val="20"/>
                <w:szCs w:val="24"/>
              </w:rPr>
              <w:t>Error</w:t>
            </w:r>
          </w:p>
        </w:tc>
        <w:tc>
          <w:tcPr>
            <w:tcW w:w="1502" w:type="dxa"/>
            <w:vAlign w:val="center"/>
            <w:hideMark/>
          </w:tcPr>
          <w:p w14:paraId="2E41051F" w14:textId="77777777" w:rsidR="009F556F" w:rsidRPr="00E2677B" w:rsidRDefault="009F556F">
            <w:pPr>
              <w:jc w:val="center"/>
              <w:rPr>
                <w:rFonts w:ascii="Arial" w:hAnsi="Arial" w:cs="Arial"/>
                <w:sz w:val="20"/>
                <w:szCs w:val="24"/>
              </w:rPr>
            </w:pPr>
            <w:r w:rsidRPr="00E2677B">
              <w:rPr>
                <w:rFonts w:ascii="Arial" w:hAnsi="Arial" w:cs="Arial"/>
                <w:sz w:val="20"/>
                <w:szCs w:val="24"/>
              </w:rPr>
              <w:t>30</w:t>
            </w:r>
          </w:p>
        </w:tc>
        <w:tc>
          <w:tcPr>
            <w:tcW w:w="1503" w:type="dxa"/>
            <w:vAlign w:val="center"/>
            <w:hideMark/>
          </w:tcPr>
          <w:p w14:paraId="0F6E51FA" w14:textId="77777777" w:rsidR="009F556F" w:rsidRPr="00E2677B" w:rsidRDefault="009F556F" w:rsidP="00E2677B">
            <w:pPr>
              <w:jc w:val="center"/>
              <w:rPr>
                <w:rFonts w:ascii="Arial" w:hAnsi="Arial" w:cs="Arial"/>
                <w:sz w:val="20"/>
                <w:szCs w:val="24"/>
              </w:rPr>
            </w:pPr>
            <w:r w:rsidRPr="00E2677B">
              <w:rPr>
                <w:rFonts w:ascii="Arial" w:hAnsi="Arial" w:cs="Arial"/>
                <w:sz w:val="20"/>
                <w:szCs w:val="24"/>
              </w:rPr>
              <w:t>4.4825E-4</w:t>
            </w:r>
          </w:p>
        </w:tc>
        <w:tc>
          <w:tcPr>
            <w:tcW w:w="1503" w:type="dxa"/>
            <w:vAlign w:val="center"/>
            <w:hideMark/>
          </w:tcPr>
          <w:p w14:paraId="164BA3E3" w14:textId="77777777" w:rsidR="009F556F" w:rsidRPr="00E2677B" w:rsidRDefault="009F556F" w:rsidP="00E2677B">
            <w:pPr>
              <w:jc w:val="center"/>
              <w:rPr>
                <w:rFonts w:ascii="Arial" w:hAnsi="Arial" w:cs="Arial"/>
                <w:sz w:val="20"/>
                <w:szCs w:val="24"/>
              </w:rPr>
            </w:pPr>
            <w:r w:rsidRPr="00E2677B">
              <w:rPr>
                <w:rFonts w:ascii="Arial" w:hAnsi="Arial" w:cs="Arial"/>
                <w:sz w:val="20"/>
                <w:szCs w:val="24"/>
              </w:rPr>
              <w:t>1.49417E-5</w:t>
            </w:r>
          </w:p>
        </w:tc>
        <w:tc>
          <w:tcPr>
            <w:tcW w:w="1503" w:type="dxa"/>
            <w:vAlign w:val="center"/>
          </w:tcPr>
          <w:p w14:paraId="6EDAFA8D" w14:textId="77777777" w:rsidR="009F556F" w:rsidRPr="00E2677B" w:rsidRDefault="009F556F" w:rsidP="00E2677B">
            <w:pPr>
              <w:jc w:val="center"/>
              <w:rPr>
                <w:rFonts w:ascii="Arial" w:hAnsi="Arial" w:cs="Arial"/>
                <w:sz w:val="20"/>
                <w:szCs w:val="24"/>
              </w:rPr>
            </w:pPr>
          </w:p>
        </w:tc>
        <w:tc>
          <w:tcPr>
            <w:tcW w:w="1503" w:type="dxa"/>
            <w:vAlign w:val="center"/>
          </w:tcPr>
          <w:p w14:paraId="61CAF12D" w14:textId="77777777" w:rsidR="009F556F" w:rsidRPr="00E2677B" w:rsidRDefault="009F556F" w:rsidP="00E2677B">
            <w:pPr>
              <w:jc w:val="center"/>
              <w:rPr>
                <w:rFonts w:ascii="Arial" w:hAnsi="Arial" w:cs="Arial"/>
                <w:sz w:val="20"/>
                <w:szCs w:val="24"/>
              </w:rPr>
            </w:pPr>
          </w:p>
        </w:tc>
      </w:tr>
      <w:tr w:rsidR="009F556F" w:rsidRPr="00E2677B" w14:paraId="702392F6" w14:textId="77777777" w:rsidTr="00E2677B">
        <w:trPr>
          <w:trHeight w:val="397"/>
        </w:trPr>
        <w:tc>
          <w:tcPr>
            <w:tcW w:w="1502" w:type="dxa"/>
            <w:tcBorders>
              <w:top w:val="nil"/>
              <w:left w:val="nil"/>
              <w:bottom w:val="single" w:sz="4" w:space="0" w:color="auto"/>
              <w:right w:val="nil"/>
            </w:tcBorders>
            <w:vAlign w:val="center"/>
            <w:hideMark/>
          </w:tcPr>
          <w:p w14:paraId="46FA9D9B" w14:textId="77777777" w:rsidR="009F556F" w:rsidRPr="00E2677B" w:rsidRDefault="009F556F">
            <w:pPr>
              <w:rPr>
                <w:rFonts w:ascii="Arial" w:hAnsi="Arial" w:cs="Arial"/>
                <w:sz w:val="20"/>
                <w:szCs w:val="24"/>
              </w:rPr>
            </w:pPr>
            <w:r w:rsidRPr="00E2677B">
              <w:rPr>
                <w:rFonts w:ascii="Arial" w:hAnsi="Arial" w:cs="Arial"/>
                <w:sz w:val="20"/>
                <w:szCs w:val="24"/>
              </w:rPr>
              <w:t>Total</w:t>
            </w:r>
          </w:p>
        </w:tc>
        <w:tc>
          <w:tcPr>
            <w:tcW w:w="1502" w:type="dxa"/>
            <w:tcBorders>
              <w:top w:val="nil"/>
              <w:left w:val="nil"/>
              <w:bottom w:val="single" w:sz="4" w:space="0" w:color="auto"/>
              <w:right w:val="nil"/>
            </w:tcBorders>
            <w:vAlign w:val="center"/>
            <w:hideMark/>
          </w:tcPr>
          <w:p w14:paraId="177D288A" w14:textId="77777777" w:rsidR="009F556F" w:rsidRPr="00E2677B" w:rsidRDefault="009F556F">
            <w:pPr>
              <w:jc w:val="center"/>
              <w:rPr>
                <w:rFonts w:ascii="Arial" w:hAnsi="Arial" w:cs="Arial"/>
                <w:sz w:val="20"/>
                <w:szCs w:val="24"/>
              </w:rPr>
            </w:pPr>
            <w:r w:rsidRPr="00E2677B">
              <w:rPr>
                <w:rFonts w:ascii="Arial" w:hAnsi="Arial" w:cs="Arial"/>
                <w:sz w:val="20"/>
                <w:szCs w:val="24"/>
              </w:rPr>
              <w:t>39</w:t>
            </w:r>
          </w:p>
        </w:tc>
        <w:tc>
          <w:tcPr>
            <w:tcW w:w="1503" w:type="dxa"/>
            <w:tcBorders>
              <w:top w:val="nil"/>
              <w:left w:val="nil"/>
              <w:bottom w:val="single" w:sz="4" w:space="0" w:color="auto"/>
              <w:right w:val="nil"/>
            </w:tcBorders>
            <w:vAlign w:val="center"/>
            <w:hideMark/>
          </w:tcPr>
          <w:p w14:paraId="3788F8D2" w14:textId="77777777" w:rsidR="009F556F" w:rsidRPr="00E2677B" w:rsidRDefault="009F556F" w:rsidP="00E2677B">
            <w:pPr>
              <w:jc w:val="center"/>
              <w:rPr>
                <w:rFonts w:ascii="Arial" w:hAnsi="Arial" w:cs="Arial"/>
                <w:sz w:val="20"/>
                <w:szCs w:val="24"/>
              </w:rPr>
            </w:pPr>
            <w:r w:rsidRPr="00E2677B">
              <w:rPr>
                <w:rFonts w:ascii="Arial" w:hAnsi="Arial" w:cs="Arial"/>
                <w:sz w:val="20"/>
                <w:szCs w:val="24"/>
              </w:rPr>
              <w:t>0.24377</w:t>
            </w:r>
          </w:p>
        </w:tc>
        <w:tc>
          <w:tcPr>
            <w:tcW w:w="1503" w:type="dxa"/>
            <w:tcBorders>
              <w:top w:val="nil"/>
              <w:left w:val="nil"/>
              <w:bottom w:val="single" w:sz="4" w:space="0" w:color="auto"/>
              <w:right w:val="nil"/>
            </w:tcBorders>
            <w:vAlign w:val="center"/>
          </w:tcPr>
          <w:p w14:paraId="1CBE5D18" w14:textId="77777777" w:rsidR="009F556F" w:rsidRPr="00E2677B" w:rsidRDefault="009F556F" w:rsidP="00E2677B">
            <w:pPr>
              <w:jc w:val="center"/>
              <w:rPr>
                <w:rFonts w:ascii="Arial" w:hAnsi="Arial" w:cs="Arial"/>
                <w:sz w:val="20"/>
                <w:szCs w:val="24"/>
              </w:rPr>
            </w:pPr>
          </w:p>
        </w:tc>
        <w:tc>
          <w:tcPr>
            <w:tcW w:w="1503" w:type="dxa"/>
            <w:tcBorders>
              <w:top w:val="nil"/>
              <w:left w:val="nil"/>
              <w:bottom w:val="single" w:sz="4" w:space="0" w:color="auto"/>
              <w:right w:val="nil"/>
            </w:tcBorders>
            <w:vAlign w:val="center"/>
          </w:tcPr>
          <w:p w14:paraId="4E061C2A" w14:textId="77777777" w:rsidR="009F556F" w:rsidRPr="00E2677B" w:rsidRDefault="009F556F" w:rsidP="00E2677B">
            <w:pPr>
              <w:jc w:val="center"/>
              <w:rPr>
                <w:rFonts w:ascii="Arial" w:hAnsi="Arial" w:cs="Arial"/>
                <w:sz w:val="20"/>
                <w:szCs w:val="24"/>
              </w:rPr>
            </w:pPr>
          </w:p>
        </w:tc>
        <w:tc>
          <w:tcPr>
            <w:tcW w:w="1503" w:type="dxa"/>
            <w:tcBorders>
              <w:top w:val="nil"/>
              <w:left w:val="nil"/>
              <w:bottom w:val="single" w:sz="4" w:space="0" w:color="auto"/>
              <w:right w:val="nil"/>
            </w:tcBorders>
            <w:vAlign w:val="center"/>
          </w:tcPr>
          <w:p w14:paraId="5B7344CF" w14:textId="77777777" w:rsidR="009F556F" w:rsidRPr="00E2677B" w:rsidRDefault="009F556F" w:rsidP="00E2677B">
            <w:pPr>
              <w:jc w:val="center"/>
              <w:rPr>
                <w:rFonts w:ascii="Arial" w:hAnsi="Arial" w:cs="Arial"/>
                <w:sz w:val="20"/>
                <w:szCs w:val="24"/>
              </w:rPr>
            </w:pPr>
          </w:p>
        </w:tc>
      </w:tr>
    </w:tbl>
    <w:p w14:paraId="1FC9D870" w14:textId="77777777" w:rsidR="009F556F" w:rsidRDefault="009F556F" w:rsidP="00441B6F">
      <w:pPr>
        <w:jc w:val="both"/>
        <w:rPr>
          <w:rFonts w:ascii="Arial" w:hAnsi="Arial" w:cs="Arial"/>
          <w:u w:val="single"/>
          <w:lang w:val="en-GB" w:eastAsia="en-GB"/>
        </w:rPr>
      </w:pPr>
    </w:p>
    <w:p w14:paraId="1D80F7E9" w14:textId="77777777" w:rsidR="00E2677B" w:rsidRPr="00E2677B" w:rsidRDefault="00E2677B" w:rsidP="00E2677B">
      <w:pPr>
        <w:pStyle w:val="Body"/>
        <w:rPr>
          <w:rFonts w:ascii="Arial" w:hAnsi="Arial" w:cs="Arial"/>
          <w:b/>
          <w:sz w:val="22"/>
          <w:lang w:val="en-IN"/>
        </w:rPr>
      </w:pPr>
      <w:r>
        <w:rPr>
          <w:rFonts w:ascii="Arial" w:hAnsi="Arial" w:cs="Arial"/>
          <w:b/>
          <w:sz w:val="22"/>
          <w:lang w:val="en-IN"/>
        </w:rPr>
        <w:t>3.3</w:t>
      </w:r>
      <w:r w:rsidRPr="009F556F">
        <w:rPr>
          <w:rFonts w:ascii="Arial" w:hAnsi="Arial" w:cs="Arial"/>
          <w:b/>
          <w:sz w:val="22"/>
          <w:lang w:val="en-IN"/>
        </w:rPr>
        <w:t xml:space="preserve"> </w:t>
      </w:r>
      <w:r w:rsidRPr="00E2677B">
        <w:rPr>
          <w:rFonts w:ascii="Arial" w:hAnsi="Arial" w:cs="Arial"/>
          <w:b/>
          <w:sz w:val="22"/>
          <w:lang w:val="en-IN"/>
        </w:rPr>
        <w:t>d</w:t>
      </w:r>
      <w:r w:rsidRPr="00E2677B">
        <w:rPr>
          <w:rFonts w:ascii="Arial" w:hAnsi="Arial" w:cs="Arial"/>
          <w:b/>
          <w:sz w:val="22"/>
          <w:vertAlign w:val="subscript"/>
          <w:lang w:val="en-IN"/>
        </w:rPr>
        <w:t xml:space="preserve">84 </w:t>
      </w:r>
      <w:r w:rsidRPr="00E2677B">
        <w:rPr>
          <w:rFonts w:ascii="Arial" w:hAnsi="Arial" w:cs="Arial"/>
          <w:b/>
          <w:sz w:val="22"/>
          <w:lang w:val="en-IN"/>
        </w:rPr>
        <w:t xml:space="preserve">Granule Size Index </w:t>
      </w:r>
    </w:p>
    <w:p w14:paraId="77B37A76" w14:textId="77777777" w:rsidR="00E2677B" w:rsidRPr="00E2677B" w:rsidRDefault="00E2677B" w:rsidP="00E2677B">
      <w:pPr>
        <w:pStyle w:val="Body"/>
        <w:rPr>
          <w:rFonts w:ascii="Arial" w:hAnsi="Arial" w:cs="Arial"/>
          <w:lang w:val="en-IN"/>
        </w:rPr>
      </w:pPr>
      <w:r w:rsidRPr="00E2677B">
        <w:rPr>
          <w:rFonts w:ascii="Arial" w:hAnsi="Arial" w:cs="Arial"/>
          <w:lang w:val="en-IN"/>
        </w:rPr>
        <w:t>The d</w:t>
      </w:r>
      <w:r w:rsidRPr="00E2677B">
        <w:rPr>
          <w:rFonts w:ascii="Arial" w:hAnsi="Arial" w:cs="Arial"/>
          <w:vertAlign w:val="subscript"/>
          <w:lang w:val="en-IN"/>
        </w:rPr>
        <w:t>84</w:t>
      </w:r>
      <w:r w:rsidRPr="00E2677B">
        <w:rPr>
          <w:rFonts w:ascii="Arial" w:hAnsi="Arial" w:cs="Arial"/>
          <w:b/>
          <w:vertAlign w:val="subscript"/>
          <w:lang w:val="en-IN"/>
        </w:rPr>
        <w:t xml:space="preserve"> </w:t>
      </w:r>
      <w:r w:rsidRPr="00E2677B">
        <w:rPr>
          <w:rFonts w:ascii="Arial" w:hAnsi="Arial" w:cs="Arial"/>
          <w:lang w:val="en-IN"/>
        </w:rPr>
        <w:t>values of the ten urea samples ranged from 1.311 mm to 1.484 mm, indicating moderate variability among the manufacturers in the upper portion of the granule size distribution. The CV values for d</w:t>
      </w:r>
      <w:r w:rsidRPr="00E2677B">
        <w:rPr>
          <w:rFonts w:ascii="Arial" w:hAnsi="Arial" w:cs="Arial"/>
          <w:vertAlign w:val="subscript"/>
          <w:lang w:val="en-IN"/>
        </w:rPr>
        <w:t xml:space="preserve">84 </w:t>
      </w:r>
      <w:r w:rsidRPr="00E2677B">
        <w:rPr>
          <w:rFonts w:ascii="Arial" w:hAnsi="Arial" w:cs="Arial"/>
          <w:lang w:val="en-IN"/>
        </w:rPr>
        <w:t>were relatively low, ranging from 0.07% to 0.76%, suggesting that the larger granule fractions were generally consistent within each manufacturer's product. As illustrated in Fig. 4, the minimum d</w:t>
      </w:r>
      <w:r w:rsidRPr="00E2677B">
        <w:rPr>
          <w:rFonts w:ascii="Arial" w:hAnsi="Arial" w:cs="Arial"/>
          <w:vertAlign w:val="subscript"/>
          <w:lang w:val="en-IN"/>
        </w:rPr>
        <w:t xml:space="preserve">84 </w:t>
      </w:r>
      <w:r w:rsidRPr="00E2677B">
        <w:rPr>
          <w:rFonts w:ascii="Arial" w:hAnsi="Arial" w:cs="Arial"/>
          <w:lang w:val="en-IN"/>
        </w:rPr>
        <w:t>value was recorded for Sample III, whereas the maximum d</w:t>
      </w:r>
      <w:r w:rsidRPr="00E2677B">
        <w:rPr>
          <w:rFonts w:ascii="Arial" w:hAnsi="Arial" w:cs="Arial"/>
          <w:vertAlign w:val="subscript"/>
          <w:lang w:val="en-IN"/>
        </w:rPr>
        <w:t xml:space="preserve">84 </w:t>
      </w:r>
      <w:r w:rsidRPr="00E2677B">
        <w:rPr>
          <w:rFonts w:ascii="Arial" w:hAnsi="Arial" w:cs="Arial"/>
          <w:lang w:val="en-IN"/>
        </w:rPr>
        <w:t>value was observed for Sample IX.</w:t>
      </w:r>
    </w:p>
    <w:p w14:paraId="3B6DF262" w14:textId="77777777" w:rsidR="00E2677B" w:rsidRPr="00E2677B" w:rsidRDefault="00E2677B" w:rsidP="00E2677B">
      <w:pPr>
        <w:pStyle w:val="Body"/>
        <w:rPr>
          <w:rFonts w:ascii="Arial" w:hAnsi="Arial" w:cs="Arial"/>
          <w:lang w:val="en-IN"/>
        </w:rPr>
      </w:pPr>
      <w:r w:rsidRPr="00E2677B">
        <w:rPr>
          <w:rFonts w:ascii="Arial" w:hAnsi="Arial" w:cs="Arial"/>
          <w:lang w:val="en-IN"/>
        </w:rPr>
        <w:t>The results of the one-way ANOVA for d</w:t>
      </w:r>
      <w:r w:rsidRPr="00E2677B">
        <w:rPr>
          <w:rFonts w:ascii="Arial" w:hAnsi="Arial" w:cs="Arial"/>
          <w:vertAlign w:val="subscript"/>
          <w:lang w:val="en-IN"/>
        </w:rPr>
        <w:t>84</w:t>
      </w:r>
      <w:r w:rsidRPr="00E2677B">
        <w:rPr>
          <w:rFonts w:ascii="Arial" w:hAnsi="Arial" w:cs="Arial"/>
          <w:lang w:val="en-IN"/>
        </w:rPr>
        <w:t xml:space="preserve"> presented in Table 3 showed that, at the 0.05 significance level, the differences in mean d</w:t>
      </w:r>
      <w:r w:rsidRPr="00E2677B">
        <w:rPr>
          <w:rFonts w:ascii="Arial" w:hAnsi="Arial" w:cs="Arial"/>
          <w:vertAlign w:val="subscript"/>
          <w:lang w:val="en-IN"/>
        </w:rPr>
        <w:t xml:space="preserve">84 </w:t>
      </w:r>
      <w:r w:rsidRPr="00E2677B">
        <w:rPr>
          <w:rFonts w:ascii="Arial" w:hAnsi="Arial" w:cs="Arial"/>
          <w:lang w:val="en-IN"/>
        </w:rPr>
        <w:t>values across the ten manufacturers were statistically significant, indicating non-uniformity in the coarser granule size characteristics among the brands. A subsequent Tukey post-hoc test revealed that 39 out of the 45 possible manufacturer pair comparisons exhibited significant differences at the 0.05 level. The high number of significant pairwise differences confirm substantial variability in the d</w:t>
      </w:r>
      <w:r w:rsidRPr="00E2677B">
        <w:rPr>
          <w:rFonts w:ascii="Arial" w:hAnsi="Arial" w:cs="Arial"/>
          <w:vertAlign w:val="subscript"/>
          <w:lang w:val="en-IN"/>
        </w:rPr>
        <w:t xml:space="preserve">84 </w:t>
      </w:r>
      <w:r w:rsidRPr="00E2677B">
        <w:rPr>
          <w:rFonts w:ascii="Arial" w:hAnsi="Arial" w:cs="Arial"/>
          <w:lang w:val="en-IN"/>
        </w:rPr>
        <w:t>granule size index among commercially available urea fertilizers in India.</w:t>
      </w:r>
    </w:p>
    <w:p w14:paraId="03F87AA3" w14:textId="77777777" w:rsidR="00E2677B" w:rsidRDefault="00E2677B" w:rsidP="00E2677B">
      <w:pPr>
        <w:pStyle w:val="NormalWeb"/>
        <w:spacing w:line="360" w:lineRule="auto"/>
        <w:jc w:val="center"/>
        <w:rPr>
          <w:b/>
          <w:vertAlign w:val="subscript"/>
        </w:rPr>
      </w:pPr>
      <w:r>
        <w:rPr>
          <w:b/>
          <w:noProof/>
          <w:vertAlign w:val="subscript"/>
          <w:lang w:val="en-IN" w:eastAsia="en-IN"/>
        </w:rPr>
        <w:lastRenderedPageBreak/>
        <w:drawing>
          <wp:inline distT="0" distB="0" distL="0" distR="0" wp14:anchorId="05EDEBAD" wp14:editId="1376F2ED">
            <wp:extent cx="5525770" cy="3495040"/>
            <wp:effectExtent l="0" t="0" r="0" b="0"/>
            <wp:docPr id="6" name="Picture 6" descr="d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5770" cy="3495040"/>
                    </a:xfrm>
                    <a:prstGeom prst="rect">
                      <a:avLst/>
                    </a:prstGeom>
                    <a:noFill/>
                    <a:ln>
                      <a:noFill/>
                    </a:ln>
                  </pic:spPr>
                </pic:pic>
              </a:graphicData>
            </a:graphic>
          </wp:inline>
        </w:drawing>
      </w:r>
    </w:p>
    <w:p w14:paraId="6E857B4E" w14:textId="77777777" w:rsidR="00E2677B" w:rsidRPr="00E2677B" w:rsidRDefault="00E2677B" w:rsidP="00E2677B">
      <w:pPr>
        <w:pStyle w:val="NormalWeb"/>
        <w:spacing w:line="360" w:lineRule="auto"/>
        <w:jc w:val="center"/>
        <w:rPr>
          <w:rFonts w:ascii="Arial" w:hAnsi="Arial" w:cs="Arial"/>
          <w:b/>
          <w:sz w:val="20"/>
        </w:rPr>
      </w:pPr>
      <w:r w:rsidRPr="00E2677B">
        <w:rPr>
          <w:rFonts w:ascii="Arial" w:hAnsi="Arial" w:cs="Arial"/>
          <w:b/>
          <w:sz w:val="20"/>
        </w:rPr>
        <w:t>Fig. 4 d</w:t>
      </w:r>
      <w:r w:rsidRPr="00E2677B">
        <w:rPr>
          <w:rFonts w:ascii="Arial" w:hAnsi="Arial" w:cs="Arial"/>
          <w:b/>
          <w:sz w:val="20"/>
          <w:vertAlign w:val="subscript"/>
        </w:rPr>
        <w:t>84</w:t>
      </w:r>
      <w:r w:rsidRPr="00E2677B">
        <w:rPr>
          <w:rFonts w:ascii="Arial" w:hAnsi="Arial" w:cs="Arial"/>
          <w:b/>
          <w:sz w:val="20"/>
        </w:rPr>
        <w:t xml:space="preserve"> Granule Size Index for Urea Samples</w:t>
      </w:r>
    </w:p>
    <w:p w14:paraId="11D8531A" w14:textId="77777777" w:rsidR="00E2677B" w:rsidRPr="00E2677B" w:rsidRDefault="00E2677B" w:rsidP="00E2677B">
      <w:pPr>
        <w:pStyle w:val="NormalWeb"/>
        <w:spacing w:line="360" w:lineRule="auto"/>
        <w:jc w:val="both"/>
        <w:rPr>
          <w:rFonts w:ascii="Arial" w:hAnsi="Arial" w:cs="Arial"/>
          <w:b/>
          <w:sz w:val="20"/>
        </w:rPr>
      </w:pPr>
      <w:r w:rsidRPr="00E2677B">
        <w:rPr>
          <w:rFonts w:ascii="Arial" w:hAnsi="Arial" w:cs="Arial"/>
          <w:b/>
          <w:sz w:val="20"/>
        </w:rPr>
        <w:t>Table 3: One-Way ANOVA for d</w:t>
      </w:r>
      <w:r w:rsidRPr="00E2677B">
        <w:rPr>
          <w:rFonts w:ascii="Arial" w:hAnsi="Arial" w:cs="Arial"/>
          <w:b/>
          <w:sz w:val="20"/>
          <w:vertAlign w:val="subscript"/>
        </w:rPr>
        <w:t>84</w:t>
      </w:r>
      <w:r w:rsidRPr="00E2677B">
        <w:rPr>
          <w:rFonts w:ascii="Arial" w:hAnsi="Arial" w:cs="Arial"/>
          <w:sz w:val="20"/>
          <w:vertAlign w:val="subscript"/>
        </w:rPr>
        <w:t xml:space="preserve"> </w:t>
      </w:r>
      <w:r w:rsidRPr="00E2677B">
        <w:rPr>
          <w:rFonts w:ascii="Arial" w:hAnsi="Arial" w:cs="Arial"/>
          <w:b/>
          <w:sz w:val="20"/>
        </w:rPr>
        <w:t xml:space="preserve">Granule Size Index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1321"/>
        <w:gridCol w:w="1419"/>
        <w:gridCol w:w="1438"/>
        <w:gridCol w:w="1417"/>
        <w:gridCol w:w="1403"/>
      </w:tblGrid>
      <w:tr w:rsidR="00E2677B" w:rsidRPr="00E2677B" w14:paraId="441638A5" w14:textId="77777777" w:rsidTr="00E2677B">
        <w:trPr>
          <w:trHeight w:val="699"/>
        </w:trPr>
        <w:tc>
          <w:tcPr>
            <w:tcW w:w="1502" w:type="dxa"/>
            <w:tcBorders>
              <w:top w:val="single" w:sz="4" w:space="0" w:color="auto"/>
              <w:left w:val="nil"/>
              <w:bottom w:val="single" w:sz="4" w:space="0" w:color="auto"/>
              <w:right w:val="nil"/>
            </w:tcBorders>
            <w:vAlign w:val="center"/>
            <w:hideMark/>
          </w:tcPr>
          <w:p w14:paraId="32F8D859" w14:textId="77777777" w:rsidR="00E2677B" w:rsidRPr="00E2677B" w:rsidRDefault="00E2677B">
            <w:pPr>
              <w:jc w:val="center"/>
              <w:rPr>
                <w:rFonts w:ascii="Arial" w:hAnsi="Arial" w:cs="Arial"/>
                <w:b/>
                <w:sz w:val="20"/>
                <w:szCs w:val="24"/>
              </w:rPr>
            </w:pPr>
            <w:r w:rsidRPr="00E2677B">
              <w:rPr>
                <w:rFonts w:ascii="Arial" w:hAnsi="Arial" w:cs="Arial"/>
                <w:b/>
                <w:sz w:val="20"/>
                <w:szCs w:val="24"/>
              </w:rPr>
              <w:t>Source of Variation</w:t>
            </w:r>
          </w:p>
        </w:tc>
        <w:tc>
          <w:tcPr>
            <w:tcW w:w="1502" w:type="dxa"/>
            <w:tcBorders>
              <w:top w:val="single" w:sz="4" w:space="0" w:color="auto"/>
              <w:left w:val="nil"/>
              <w:bottom w:val="single" w:sz="4" w:space="0" w:color="auto"/>
              <w:right w:val="nil"/>
            </w:tcBorders>
            <w:vAlign w:val="center"/>
            <w:hideMark/>
          </w:tcPr>
          <w:p w14:paraId="0F90A840" w14:textId="77777777" w:rsidR="00E2677B" w:rsidRPr="00E2677B" w:rsidRDefault="00E2677B">
            <w:pPr>
              <w:jc w:val="center"/>
              <w:rPr>
                <w:rFonts w:ascii="Arial" w:hAnsi="Arial" w:cs="Arial"/>
                <w:b/>
                <w:sz w:val="20"/>
                <w:szCs w:val="24"/>
              </w:rPr>
            </w:pPr>
            <w:r w:rsidRPr="00E2677B">
              <w:rPr>
                <w:rFonts w:ascii="Arial" w:hAnsi="Arial" w:cs="Arial"/>
                <w:b/>
                <w:sz w:val="20"/>
                <w:szCs w:val="24"/>
              </w:rPr>
              <w:t>DF</w:t>
            </w:r>
          </w:p>
        </w:tc>
        <w:tc>
          <w:tcPr>
            <w:tcW w:w="1503" w:type="dxa"/>
            <w:tcBorders>
              <w:top w:val="single" w:sz="4" w:space="0" w:color="auto"/>
              <w:left w:val="nil"/>
              <w:bottom w:val="single" w:sz="4" w:space="0" w:color="auto"/>
              <w:right w:val="nil"/>
            </w:tcBorders>
            <w:vAlign w:val="center"/>
            <w:hideMark/>
          </w:tcPr>
          <w:p w14:paraId="3B935187" w14:textId="77777777" w:rsidR="00E2677B" w:rsidRPr="00E2677B" w:rsidRDefault="00E2677B">
            <w:pPr>
              <w:jc w:val="center"/>
              <w:rPr>
                <w:rFonts w:ascii="Arial" w:hAnsi="Arial" w:cs="Arial"/>
                <w:b/>
                <w:sz w:val="20"/>
                <w:szCs w:val="24"/>
              </w:rPr>
            </w:pPr>
            <w:r w:rsidRPr="00E2677B">
              <w:rPr>
                <w:rFonts w:ascii="Arial" w:hAnsi="Arial" w:cs="Arial"/>
                <w:b/>
                <w:sz w:val="20"/>
                <w:szCs w:val="24"/>
              </w:rPr>
              <w:t>Sum of Squares</w:t>
            </w:r>
          </w:p>
        </w:tc>
        <w:tc>
          <w:tcPr>
            <w:tcW w:w="1503" w:type="dxa"/>
            <w:tcBorders>
              <w:top w:val="single" w:sz="4" w:space="0" w:color="auto"/>
              <w:left w:val="nil"/>
              <w:bottom w:val="single" w:sz="4" w:space="0" w:color="auto"/>
              <w:right w:val="nil"/>
            </w:tcBorders>
            <w:vAlign w:val="center"/>
            <w:hideMark/>
          </w:tcPr>
          <w:p w14:paraId="1DAB7D50" w14:textId="77777777" w:rsidR="00E2677B" w:rsidRPr="00E2677B" w:rsidRDefault="00E2677B">
            <w:pPr>
              <w:jc w:val="center"/>
              <w:rPr>
                <w:rFonts w:ascii="Arial" w:hAnsi="Arial" w:cs="Arial"/>
                <w:b/>
                <w:sz w:val="20"/>
                <w:szCs w:val="24"/>
              </w:rPr>
            </w:pPr>
            <w:r w:rsidRPr="00E2677B">
              <w:rPr>
                <w:rFonts w:ascii="Arial" w:hAnsi="Arial" w:cs="Arial"/>
                <w:b/>
                <w:sz w:val="20"/>
                <w:szCs w:val="24"/>
              </w:rPr>
              <w:t>Mean Square</w:t>
            </w:r>
          </w:p>
        </w:tc>
        <w:tc>
          <w:tcPr>
            <w:tcW w:w="1503" w:type="dxa"/>
            <w:tcBorders>
              <w:top w:val="single" w:sz="4" w:space="0" w:color="auto"/>
              <w:left w:val="nil"/>
              <w:bottom w:val="single" w:sz="4" w:space="0" w:color="auto"/>
              <w:right w:val="nil"/>
            </w:tcBorders>
            <w:vAlign w:val="center"/>
            <w:hideMark/>
          </w:tcPr>
          <w:p w14:paraId="56F334A9" w14:textId="77777777" w:rsidR="00E2677B" w:rsidRPr="00E2677B" w:rsidRDefault="00E2677B">
            <w:pPr>
              <w:jc w:val="center"/>
              <w:rPr>
                <w:rFonts w:ascii="Arial" w:hAnsi="Arial" w:cs="Arial"/>
                <w:b/>
                <w:sz w:val="20"/>
                <w:szCs w:val="24"/>
              </w:rPr>
            </w:pPr>
            <w:r w:rsidRPr="00E2677B">
              <w:rPr>
                <w:rFonts w:ascii="Arial" w:hAnsi="Arial" w:cs="Arial"/>
                <w:b/>
                <w:sz w:val="20"/>
                <w:szCs w:val="24"/>
              </w:rPr>
              <w:t>F Value</w:t>
            </w:r>
          </w:p>
        </w:tc>
        <w:tc>
          <w:tcPr>
            <w:tcW w:w="1503" w:type="dxa"/>
            <w:tcBorders>
              <w:top w:val="single" w:sz="4" w:space="0" w:color="auto"/>
              <w:left w:val="nil"/>
              <w:bottom w:val="single" w:sz="4" w:space="0" w:color="auto"/>
              <w:right w:val="nil"/>
            </w:tcBorders>
            <w:vAlign w:val="center"/>
            <w:hideMark/>
          </w:tcPr>
          <w:p w14:paraId="4B3825FD" w14:textId="77777777" w:rsidR="00E2677B" w:rsidRPr="00E2677B" w:rsidRDefault="00E2677B">
            <w:pPr>
              <w:jc w:val="center"/>
              <w:rPr>
                <w:rFonts w:ascii="Arial" w:hAnsi="Arial" w:cs="Arial"/>
                <w:b/>
                <w:sz w:val="20"/>
                <w:szCs w:val="24"/>
              </w:rPr>
            </w:pPr>
            <w:r w:rsidRPr="00E2677B">
              <w:rPr>
                <w:rFonts w:ascii="Arial" w:hAnsi="Arial" w:cs="Arial"/>
                <w:b/>
                <w:sz w:val="20"/>
                <w:szCs w:val="24"/>
              </w:rPr>
              <w:t>Tabular F (5%)</w:t>
            </w:r>
          </w:p>
        </w:tc>
      </w:tr>
      <w:tr w:rsidR="00E2677B" w:rsidRPr="00E2677B" w14:paraId="293EA0E6" w14:textId="77777777" w:rsidTr="00E2677B">
        <w:trPr>
          <w:trHeight w:val="397"/>
        </w:trPr>
        <w:tc>
          <w:tcPr>
            <w:tcW w:w="1502" w:type="dxa"/>
            <w:tcBorders>
              <w:top w:val="single" w:sz="4" w:space="0" w:color="auto"/>
              <w:left w:val="nil"/>
              <w:bottom w:val="nil"/>
              <w:right w:val="nil"/>
            </w:tcBorders>
            <w:vAlign w:val="center"/>
            <w:hideMark/>
          </w:tcPr>
          <w:p w14:paraId="2387F4B3" w14:textId="77777777" w:rsidR="00E2677B" w:rsidRPr="00E2677B" w:rsidRDefault="00E2677B">
            <w:pPr>
              <w:rPr>
                <w:rFonts w:ascii="Arial" w:hAnsi="Arial" w:cs="Arial"/>
                <w:sz w:val="20"/>
                <w:szCs w:val="24"/>
              </w:rPr>
            </w:pPr>
            <w:r w:rsidRPr="00E2677B">
              <w:rPr>
                <w:rFonts w:ascii="Arial" w:hAnsi="Arial" w:cs="Arial"/>
                <w:sz w:val="20"/>
                <w:szCs w:val="24"/>
              </w:rPr>
              <w:t>Model</w:t>
            </w:r>
          </w:p>
        </w:tc>
        <w:tc>
          <w:tcPr>
            <w:tcW w:w="1502" w:type="dxa"/>
            <w:tcBorders>
              <w:top w:val="single" w:sz="4" w:space="0" w:color="auto"/>
              <w:left w:val="nil"/>
              <w:bottom w:val="nil"/>
              <w:right w:val="nil"/>
            </w:tcBorders>
            <w:vAlign w:val="center"/>
            <w:hideMark/>
          </w:tcPr>
          <w:p w14:paraId="31C339F1" w14:textId="77777777" w:rsidR="00E2677B" w:rsidRPr="00E2677B" w:rsidRDefault="00E2677B">
            <w:pPr>
              <w:jc w:val="center"/>
              <w:rPr>
                <w:rFonts w:ascii="Arial" w:hAnsi="Arial" w:cs="Arial"/>
                <w:sz w:val="20"/>
                <w:szCs w:val="24"/>
              </w:rPr>
            </w:pPr>
            <w:r w:rsidRPr="00E2677B">
              <w:rPr>
                <w:rFonts w:ascii="Arial" w:hAnsi="Arial" w:cs="Arial"/>
                <w:sz w:val="20"/>
                <w:szCs w:val="24"/>
              </w:rPr>
              <w:t>9</w:t>
            </w:r>
          </w:p>
        </w:tc>
        <w:tc>
          <w:tcPr>
            <w:tcW w:w="1503" w:type="dxa"/>
            <w:tcBorders>
              <w:top w:val="single" w:sz="4" w:space="0" w:color="auto"/>
              <w:left w:val="nil"/>
              <w:bottom w:val="nil"/>
              <w:right w:val="nil"/>
            </w:tcBorders>
            <w:vAlign w:val="center"/>
            <w:hideMark/>
          </w:tcPr>
          <w:p w14:paraId="29928DE5"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0.09569</w:t>
            </w:r>
          </w:p>
        </w:tc>
        <w:tc>
          <w:tcPr>
            <w:tcW w:w="1503" w:type="dxa"/>
            <w:tcBorders>
              <w:top w:val="single" w:sz="4" w:space="0" w:color="auto"/>
              <w:left w:val="nil"/>
              <w:bottom w:val="nil"/>
              <w:right w:val="nil"/>
            </w:tcBorders>
            <w:vAlign w:val="center"/>
            <w:hideMark/>
          </w:tcPr>
          <w:p w14:paraId="765A5EA2"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0.01063</w:t>
            </w:r>
          </w:p>
        </w:tc>
        <w:tc>
          <w:tcPr>
            <w:tcW w:w="1503" w:type="dxa"/>
            <w:tcBorders>
              <w:top w:val="single" w:sz="4" w:space="0" w:color="auto"/>
              <w:left w:val="nil"/>
              <w:bottom w:val="nil"/>
              <w:right w:val="nil"/>
            </w:tcBorders>
            <w:vAlign w:val="center"/>
            <w:hideMark/>
          </w:tcPr>
          <w:p w14:paraId="03ED61E5"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484.206*</w:t>
            </w:r>
          </w:p>
        </w:tc>
        <w:tc>
          <w:tcPr>
            <w:tcW w:w="1503" w:type="dxa"/>
            <w:tcBorders>
              <w:top w:val="single" w:sz="4" w:space="0" w:color="auto"/>
              <w:left w:val="nil"/>
              <w:bottom w:val="nil"/>
              <w:right w:val="nil"/>
            </w:tcBorders>
            <w:vAlign w:val="center"/>
            <w:hideMark/>
          </w:tcPr>
          <w:p w14:paraId="44D1372D"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2.21</w:t>
            </w:r>
          </w:p>
        </w:tc>
      </w:tr>
      <w:tr w:rsidR="00E2677B" w:rsidRPr="00E2677B" w14:paraId="6D456783" w14:textId="77777777" w:rsidTr="00E2677B">
        <w:trPr>
          <w:trHeight w:val="397"/>
        </w:trPr>
        <w:tc>
          <w:tcPr>
            <w:tcW w:w="1502" w:type="dxa"/>
            <w:vAlign w:val="center"/>
            <w:hideMark/>
          </w:tcPr>
          <w:p w14:paraId="62AF7271" w14:textId="77777777" w:rsidR="00E2677B" w:rsidRPr="00E2677B" w:rsidRDefault="00E2677B">
            <w:pPr>
              <w:rPr>
                <w:rFonts w:ascii="Arial" w:hAnsi="Arial" w:cs="Arial"/>
                <w:sz w:val="20"/>
                <w:szCs w:val="24"/>
              </w:rPr>
            </w:pPr>
            <w:r w:rsidRPr="00E2677B">
              <w:rPr>
                <w:rFonts w:ascii="Arial" w:hAnsi="Arial" w:cs="Arial"/>
                <w:sz w:val="20"/>
                <w:szCs w:val="24"/>
              </w:rPr>
              <w:t>Error</w:t>
            </w:r>
          </w:p>
        </w:tc>
        <w:tc>
          <w:tcPr>
            <w:tcW w:w="1502" w:type="dxa"/>
            <w:vAlign w:val="center"/>
            <w:hideMark/>
          </w:tcPr>
          <w:p w14:paraId="7FC63F8D" w14:textId="77777777" w:rsidR="00E2677B" w:rsidRPr="00E2677B" w:rsidRDefault="00E2677B">
            <w:pPr>
              <w:jc w:val="center"/>
              <w:rPr>
                <w:rFonts w:ascii="Arial" w:hAnsi="Arial" w:cs="Arial"/>
                <w:sz w:val="20"/>
                <w:szCs w:val="24"/>
              </w:rPr>
            </w:pPr>
            <w:r w:rsidRPr="00E2677B">
              <w:rPr>
                <w:rFonts w:ascii="Arial" w:hAnsi="Arial" w:cs="Arial"/>
                <w:sz w:val="20"/>
                <w:szCs w:val="24"/>
              </w:rPr>
              <w:t>30</w:t>
            </w:r>
          </w:p>
        </w:tc>
        <w:tc>
          <w:tcPr>
            <w:tcW w:w="1503" w:type="dxa"/>
            <w:vAlign w:val="center"/>
            <w:hideMark/>
          </w:tcPr>
          <w:p w14:paraId="7380F0A4"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6.5875E-4</w:t>
            </w:r>
          </w:p>
        </w:tc>
        <w:tc>
          <w:tcPr>
            <w:tcW w:w="1503" w:type="dxa"/>
            <w:vAlign w:val="center"/>
            <w:hideMark/>
          </w:tcPr>
          <w:p w14:paraId="349CBD7D"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2.19583E-5</w:t>
            </w:r>
          </w:p>
        </w:tc>
        <w:tc>
          <w:tcPr>
            <w:tcW w:w="1503" w:type="dxa"/>
            <w:vAlign w:val="center"/>
          </w:tcPr>
          <w:p w14:paraId="7C1E2C43" w14:textId="77777777" w:rsidR="00E2677B" w:rsidRPr="00E2677B" w:rsidRDefault="00E2677B" w:rsidP="00E2677B">
            <w:pPr>
              <w:jc w:val="center"/>
              <w:rPr>
                <w:rFonts w:ascii="Arial" w:hAnsi="Arial" w:cs="Arial"/>
                <w:sz w:val="20"/>
                <w:szCs w:val="24"/>
              </w:rPr>
            </w:pPr>
          </w:p>
        </w:tc>
        <w:tc>
          <w:tcPr>
            <w:tcW w:w="1503" w:type="dxa"/>
            <w:vAlign w:val="center"/>
          </w:tcPr>
          <w:p w14:paraId="2C950DF6" w14:textId="77777777" w:rsidR="00E2677B" w:rsidRPr="00E2677B" w:rsidRDefault="00E2677B" w:rsidP="00E2677B">
            <w:pPr>
              <w:jc w:val="center"/>
              <w:rPr>
                <w:rFonts w:ascii="Arial" w:hAnsi="Arial" w:cs="Arial"/>
                <w:sz w:val="20"/>
                <w:szCs w:val="24"/>
              </w:rPr>
            </w:pPr>
          </w:p>
        </w:tc>
      </w:tr>
      <w:tr w:rsidR="00E2677B" w:rsidRPr="00E2677B" w14:paraId="6374E78F" w14:textId="77777777" w:rsidTr="00E2677B">
        <w:trPr>
          <w:trHeight w:val="397"/>
        </w:trPr>
        <w:tc>
          <w:tcPr>
            <w:tcW w:w="1502" w:type="dxa"/>
            <w:tcBorders>
              <w:top w:val="nil"/>
              <w:left w:val="nil"/>
              <w:bottom w:val="single" w:sz="4" w:space="0" w:color="auto"/>
              <w:right w:val="nil"/>
            </w:tcBorders>
            <w:vAlign w:val="center"/>
            <w:hideMark/>
          </w:tcPr>
          <w:p w14:paraId="1AA101EE" w14:textId="77777777" w:rsidR="00E2677B" w:rsidRPr="00E2677B" w:rsidRDefault="00E2677B">
            <w:pPr>
              <w:rPr>
                <w:rFonts w:ascii="Arial" w:hAnsi="Arial" w:cs="Arial"/>
                <w:sz w:val="20"/>
                <w:szCs w:val="24"/>
              </w:rPr>
            </w:pPr>
            <w:r w:rsidRPr="00E2677B">
              <w:rPr>
                <w:rFonts w:ascii="Arial" w:hAnsi="Arial" w:cs="Arial"/>
                <w:sz w:val="20"/>
                <w:szCs w:val="24"/>
              </w:rPr>
              <w:t>Total</w:t>
            </w:r>
          </w:p>
        </w:tc>
        <w:tc>
          <w:tcPr>
            <w:tcW w:w="1502" w:type="dxa"/>
            <w:tcBorders>
              <w:top w:val="nil"/>
              <w:left w:val="nil"/>
              <w:bottom w:val="single" w:sz="4" w:space="0" w:color="auto"/>
              <w:right w:val="nil"/>
            </w:tcBorders>
            <w:vAlign w:val="center"/>
            <w:hideMark/>
          </w:tcPr>
          <w:p w14:paraId="2DD3CC52" w14:textId="77777777" w:rsidR="00E2677B" w:rsidRPr="00E2677B" w:rsidRDefault="00E2677B">
            <w:pPr>
              <w:jc w:val="center"/>
              <w:rPr>
                <w:rFonts w:ascii="Arial" w:hAnsi="Arial" w:cs="Arial"/>
                <w:sz w:val="20"/>
                <w:szCs w:val="24"/>
              </w:rPr>
            </w:pPr>
            <w:r w:rsidRPr="00E2677B">
              <w:rPr>
                <w:rFonts w:ascii="Arial" w:hAnsi="Arial" w:cs="Arial"/>
                <w:sz w:val="20"/>
                <w:szCs w:val="24"/>
              </w:rPr>
              <w:t>39</w:t>
            </w:r>
          </w:p>
        </w:tc>
        <w:tc>
          <w:tcPr>
            <w:tcW w:w="1503" w:type="dxa"/>
            <w:tcBorders>
              <w:top w:val="nil"/>
              <w:left w:val="nil"/>
              <w:bottom w:val="single" w:sz="4" w:space="0" w:color="auto"/>
              <w:right w:val="nil"/>
            </w:tcBorders>
            <w:vAlign w:val="center"/>
            <w:hideMark/>
          </w:tcPr>
          <w:p w14:paraId="31523CDB"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0.09635</w:t>
            </w:r>
          </w:p>
        </w:tc>
        <w:tc>
          <w:tcPr>
            <w:tcW w:w="1503" w:type="dxa"/>
            <w:tcBorders>
              <w:top w:val="nil"/>
              <w:left w:val="nil"/>
              <w:bottom w:val="single" w:sz="4" w:space="0" w:color="auto"/>
              <w:right w:val="nil"/>
            </w:tcBorders>
            <w:vAlign w:val="center"/>
          </w:tcPr>
          <w:p w14:paraId="3AF579F2" w14:textId="77777777" w:rsidR="00E2677B" w:rsidRPr="00E2677B" w:rsidRDefault="00E2677B" w:rsidP="00E2677B">
            <w:pPr>
              <w:jc w:val="center"/>
              <w:rPr>
                <w:rFonts w:ascii="Arial" w:hAnsi="Arial" w:cs="Arial"/>
                <w:sz w:val="20"/>
                <w:szCs w:val="24"/>
              </w:rPr>
            </w:pPr>
          </w:p>
        </w:tc>
        <w:tc>
          <w:tcPr>
            <w:tcW w:w="1503" w:type="dxa"/>
            <w:tcBorders>
              <w:top w:val="nil"/>
              <w:left w:val="nil"/>
              <w:bottom w:val="single" w:sz="4" w:space="0" w:color="auto"/>
              <w:right w:val="nil"/>
            </w:tcBorders>
            <w:vAlign w:val="center"/>
          </w:tcPr>
          <w:p w14:paraId="76541154" w14:textId="77777777" w:rsidR="00E2677B" w:rsidRPr="00E2677B" w:rsidRDefault="00E2677B" w:rsidP="00E2677B">
            <w:pPr>
              <w:jc w:val="center"/>
              <w:rPr>
                <w:rFonts w:ascii="Arial" w:hAnsi="Arial" w:cs="Arial"/>
                <w:sz w:val="20"/>
                <w:szCs w:val="24"/>
              </w:rPr>
            </w:pPr>
          </w:p>
        </w:tc>
        <w:tc>
          <w:tcPr>
            <w:tcW w:w="1503" w:type="dxa"/>
            <w:tcBorders>
              <w:top w:val="nil"/>
              <w:left w:val="nil"/>
              <w:bottom w:val="single" w:sz="4" w:space="0" w:color="auto"/>
              <w:right w:val="nil"/>
            </w:tcBorders>
            <w:vAlign w:val="center"/>
          </w:tcPr>
          <w:p w14:paraId="1229AA3F" w14:textId="77777777" w:rsidR="00E2677B" w:rsidRPr="00E2677B" w:rsidRDefault="00E2677B" w:rsidP="00E2677B">
            <w:pPr>
              <w:jc w:val="center"/>
              <w:rPr>
                <w:rFonts w:ascii="Arial" w:hAnsi="Arial" w:cs="Arial"/>
                <w:sz w:val="20"/>
                <w:szCs w:val="24"/>
              </w:rPr>
            </w:pPr>
          </w:p>
        </w:tc>
      </w:tr>
    </w:tbl>
    <w:p w14:paraId="16E44D64" w14:textId="77777777" w:rsidR="00E2677B" w:rsidRPr="00E2677B" w:rsidRDefault="00E2677B" w:rsidP="00E2677B">
      <w:pPr>
        <w:pStyle w:val="NormalWeb"/>
        <w:spacing w:line="360" w:lineRule="auto"/>
        <w:jc w:val="both"/>
        <w:rPr>
          <w:b/>
          <w:lang w:eastAsia="en-IN"/>
        </w:rPr>
      </w:pPr>
    </w:p>
    <w:p w14:paraId="4F79B325" w14:textId="77777777" w:rsidR="00E2677B" w:rsidRPr="00E2677B" w:rsidRDefault="00E2677B" w:rsidP="00E2677B">
      <w:pPr>
        <w:pStyle w:val="Body"/>
        <w:rPr>
          <w:rFonts w:ascii="Arial" w:hAnsi="Arial" w:cs="Arial"/>
          <w:b/>
          <w:sz w:val="22"/>
          <w:lang w:val="en-IN"/>
        </w:rPr>
      </w:pPr>
      <w:r>
        <w:rPr>
          <w:rFonts w:ascii="Arial" w:hAnsi="Arial" w:cs="Arial"/>
          <w:b/>
          <w:sz w:val="22"/>
          <w:lang w:val="en-IN"/>
        </w:rPr>
        <w:t>3.4</w:t>
      </w:r>
      <w:r w:rsidRPr="009F556F">
        <w:rPr>
          <w:rFonts w:ascii="Arial" w:hAnsi="Arial" w:cs="Arial"/>
          <w:b/>
          <w:sz w:val="22"/>
          <w:lang w:val="en-IN"/>
        </w:rPr>
        <w:t xml:space="preserve"> </w:t>
      </w:r>
      <w:r w:rsidRPr="00E2677B">
        <w:rPr>
          <w:rFonts w:ascii="Arial" w:hAnsi="Arial" w:cs="Arial"/>
          <w:b/>
          <w:sz w:val="22"/>
          <w:lang w:val="en-IN"/>
        </w:rPr>
        <w:t>d</w:t>
      </w:r>
      <w:r w:rsidRPr="00E2677B">
        <w:rPr>
          <w:rFonts w:ascii="Arial" w:hAnsi="Arial" w:cs="Arial"/>
          <w:b/>
          <w:sz w:val="22"/>
          <w:vertAlign w:val="subscript"/>
          <w:lang w:val="en-IN"/>
        </w:rPr>
        <w:t xml:space="preserve">90 </w:t>
      </w:r>
      <w:r w:rsidRPr="00E2677B">
        <w:rPr>
          <w:rFonts w:ascii="Arial" w:hAnsi="Arial" w:cs="Arial"/>
          <w:b/>
          <w:sz w:val="22"/>
          <w:lang w:val="en-IN"/>
        </w:rPr>
        <w:t xml:space="preserve">Granule Size Index </w:t>
      </w:r>
    </w:p>
    <w:p w14:paraId="0ADA66AA" w14:textId="77777777" w:rsidR="00E2677B" w:rsidRPr="00E2677B" w:rsidRDefault="00E2677B" w:rsidP="00E2677B">
      <w:pPr>
        <w:pStyle w:val="Body"/>
        <w:rPr>
          <w:rFonts w:ascii="Arial" w:hAnsi="Arial" w:cs="Arial"/>
          <w:lang w:val="en-IN"/>
        </w:rPr>
      </w:pPr>
      <w:r w:rsidRPr="00E2677B">
        <w:rPr>
          <w:rFonts w:ascii="Arial" w:hAnsi="Arial" w:cs="Arial"/>
          <w:lang w:val="en-IN"/>
        </w:rPr>
        <w:t>As shown in Fig. 5, the d</w:t>
      </w:r>
      <w:r w:rsidRPr="00E2677B">
        <w:rPr>
          <w:rFonts w:ascii="Arial" w:hAnsi="Arial" w:cs="Arial"/>
          <w:vertAlign w:val="subscript"/>
          <w:lang w:val="en-IN"/>
        </w:rPr>
        <w:t>90</w:t>
      </w:r>
      <w:r w:rsidRPr="00E2677B">
        <w:rPr>
          <w:rFonts w:ascii="Arial" w:hAnsi="Arial" w:cs="Arial"/>
          <w:lang w:val="en-IN"/>
        </w:rPr>
        <w:t xml:space="preserve"> values of the ten urea samples ranged from </w:t>
      </w:r>
      <w:r w:rsidRPr="00E2677B">
        <w:rPr>
          <w:rFonts w:ascii="Arial" w:hAnsi="Arial" w:cs="Arial"/>
          <w:bCs/>
          <w:lang w:val="en-IN"/>
        </w:rPr>
        <w:t>1.359 mm (Sample III)</w:t>
      </w:r>
      <w:r w:rsidRPr="00E2677B">
        <w:rPr>
          <w:rFonts w:ascii="Arial" w:hAnsi="Arial" w:cs="Arial"/>
          <w:lang w:val="en-IN"/>
        </w:rPr>
        <w:t xml:space="preserve"> to </w:t>
      </w:r>
      <w:r w:rsidRPr="00E2677B">
        <w:rPr>
          <w:rFonts w:ascii="Arial" w:hAnsi="Arial" w:cs="Arial"/>
          <w:bCs/>
          <w:lang w:val="en-IN"/>
        </w:rPr>
        <w:t>1.565 mm (Sample IX)</w:t>
      </w:r>
      <w:r w:rsidRPr="00E2677B">
        <w:rPr>
          <w:rFonts w:ascii="Arial" w:hAnsi="Arial" w:cs="Arial"/>
          <w:lang w:val="en-IN"/>
        </w:rPr>
        <w:t>. The CV for d</w:t>
      </w:r>
      <w:r w:rsidRPr="00E2677B">
        <w:rPr>
          <w:rFonts w:ascii="Arial" w:hAnsi="Arial" w:cs="Arial"/>
          <w:vertAlign w:val="subscript"/>
          <w:lang w:val="en-IN"/>
        </w:rPr>
        <w:t xml:space="preserve">90 </w:t>
      </w:r>
      <w:r w:rsidRPr="00E2677B">
        <w:rPr>
          <w:rFonts w:ascii="Arial" w:hAnsi="Arial" w:cs="Arial"/>
          <w:lang w:val="en-IN"/>
        </w:rPr>
        <w:t xml:space="preserve">ranged from </w:t>
      </w:r>
      <w:r w:rsidRPr="00E2677B">
        <w:rPr>
          <w:rFonts w:ascii="Arial" w:hAnsi="Arial" w:cs="Arial"/>
          <w:bCs/>
          <w:lang w:val="en-IN"/>
        </w:rPr>
        <w:t>0.00 to 0.63%</w:t>
      </w:r>
      <w:r w:rsidRPr="00E2677B">
        <w:rPr>
          <w:rFonts w:ascii="Arial" w:hAnsi="Arial" w:cs="Arial"/>
          <w:lang w:val="en-IN"/>
        </w:rPr>
        <w:t>, indicating relatively low within-manufacturer variability. The results of the one-way ANOVA for d</w:t>
      </w:r>
      <w:r w:rsidRPr="00E2677B">
        <w:rPr>
          <w:rFonts w:ascii="Arial" w:hAnsi="Arial" w:cs="Arial"/>
          <w:vertAlign w:val="subscript"/>
          <w:lang w:val="en-IN"/>
        </w:rPr>
        <w:t xml:space="preserve">90 </w:t>
      </w:r>
      <w:r w:rsidRPr="00E2677B">
        <w:rPr>
          <w:rFonts w:ascii="Arial" w:hAnsi="Arial" w:cs="Arial"/>
          <w:lang w:val="en-IN"/>
        </w:rPr>
        <w:t>are presented in Table 4. The analysis showed that, at the 0.05 significance level, the differences in mean d</w:t>
      </w:r>
      <w:r w:rsidRPr="00E2677B">
        <w:rPr>
          <w:rFonts w:ascii="Arial" w:hAnsi="Arial" w:cs="Arial"/>
          <w:vertAlign w:val="subscript"/>
          <w:lang w:val="en-IN"/>
        </w:rPr>
        <w:t xml:space="preserve">90 </w:t>
      </w:r>
      <w:r w:rsidRPr="00E2677B">
        <w:rPr>
          <w:rFonts w:ascii="Arial" w:hAnsi="Arial" w:cs="Arial"/>
          <w:lang w:val="en-IN"/>
        </w:rPr>
        <w:t xml:space="preserve">values across the ten manufacturers were statistically significant. A subsequent Tukey post-hoc test revealed that </w:t>
      </w:r>
      <w:r w:rsidRPr="00E2677B">
        <w:rPr>
          <w:rFonts w:ascii="Arial" w:hAnsi="Arial" w:cs="Arial"/>
          <w:bCs/>
          <w:lang w:val="en-IN"/>
        </w:rPr>
        <w:t>40 out of the 45</w:t>
      </w:r>
      <w:r w:rsidRPr="00E2677B">
        <w:rPr>
          <w:rFonts w:ascii="Arial" w:hAnsi="Arial" w:cs="Arial"/>
          <w:lang w:val="en-IN"/>
        </w:rPr>
        <w:t xml:space="preserve"> possible manufacturer pairwise comparisons exhibited significant differences at the 0.05 level, indicating substantial variation in d</w:t>
      </w:r>
      <w:r w:rsidRPr="00E2677B">
        <w:rPr>
          <w:rFonts w:ascii="Arial" w:hAnsi="Arial" w:cs="Arial"/>
          <w:vertAlign w:val="subscript"/>
          <w:lang w:val="en-IN"/>
        </w:rPr>
        <w:t xml:space="preserve">90 </w:t>
      </w:r>
      <w:r w:rsidRPr="00E2677B">
        <w:rPr>
          <w:rFonts w:ascii="Arial" w:hAnsi="Arial" w:cs="Arial"/>
          <w:lang w:val="en-IN"/>
        </w:rPr>
        <w:t>among the commercially available urea brands.</w:t>
      </w:r>
    </w:p>
    <w:p w14:paraId="77A14186" w14:textId="77777777" w:rsidR="00E2677B" w:rsidRDefault="00E2677B" w:rsidP="00E2677B">
      <w:pPr>
        <w:pStyle w:val="NormalWeb"/>
        <w:spacing w:line="360" w:lineRule="auto"/>
        <w:jc w:val="center"/>
      </w:pPr>
      <w:r>
        <w:rPr>
          <w:noProof/>
          <w:lang w:val="en-IN" w:eastAsia="en-IN"/>
        </w:rPr>
        <w:lastRenderedPageBreak/>
        <w:drawing>
          <wp:inline distT="0" distB="0" distL="0" distR="0" wp14:anchorId="55522A3A" wp14:editId="4C2AD723">
            <wp:extent cx="5553710" cy="3534410"/>
            <wp:effectExtent l="0" t="0" r="0" b="0"/>
            <wp:docPr id="7" name="Picture 7" descr="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9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53710" cy="3534410"/>
                    </a:xfrm>
                    <a:prstGeom prst="rect">
                      <a:avLst/>
                    </a:prstGeom>
                    <a:noFill/>
                    <a:ln>
                      <a:noFill/>
                    </a:ln>
                  </pic:spPr>
                </pic:pic>
              </a:graphicData>
            </a:graphic>
          </wp:inline>
        </w:drawing>
      </w:r>
    </w:p>
    <w:p w14:paraId="005BB39C" w14:textId="77777777" w:rsidR="00E2677B" w:rsidRPr="00E2677B" w:rsidRDefault="00E2677B" w:rsidP="00E2677B">
      <w:pPr>
        <w:pStyle w:val="NormalWeb"/>
        <w:spacing w:line="360" w:lineRule="auto"/>
        <w:jc w:val="center"/>
        <w:rPr>
          <w:rFonts w:ascii="Arial" w:hAnsi="Arial" w:cs="Arial"/>
          <w:b/>
          <w:sz w:val="20"/>
        </w:rPr>
      </w:pPr>
      <w:r w:rsidRPr="00E2677B">
        <w:rPr>
          <w:rFonts w:ascii="Arial" w:hAnsi="Arial" w:cs="Arial"/>
          <w:b/>
          <w:sz w:val="20"/>
        </w:rPr>
        <w:t>Fig. 5 d</w:t>
      </w:r>
      <w:r w:rsidRPr="00E2677B">
        <w:rPr>
          <w:rFonts w:ascii="Arial" w:hAnsi="Arial" w:cs="Arial"/>
          <w:b/>
          <w:sz w:val="20"/>
          <w:vertAlign w:val="subscript"/>
        </w:rPr>
        <w:t>90</w:t>
      </w:r>
      <w:r w:rsidRPr="00E2677B">
        <w:rPr>
          <w:rFonts w:ascii="Arial" w:hAnsi="Arial" w:cs="Arial"/>
          <w:b/>
          <w:sz w:val="20"/>
        </w:rPr>
        <w:t xml:space="preserve"> Granule Size Index for Urea Samples</w:t>
      </w:r>
    </w:p>
    <w:p w14:paraId="590619F3" w14:textId="77777777" w:rsidR="00E2677B" w:rsidRPr="00E2677B" w:rsidRDefault="00E2677B" w:rsidP="00E2677B">
      <w:pPr>
        <w:pStyle w:val="NormalWeb"/>
        <w:spacing w:line="360" w:lineRule="auto"/>
        <w:jc w:val="both"/>
        <w:rPr>
          <w:rFonts w:ascii="Arial" w:hAnsi="Arial" w:cs="Arial"/>
          <w:b/>
          <w:sz w:val="20"/>
        </w:rPr>
      </w:pPr>
      <w:r w:rsidRPr="00E2677B">
        <w:rPr>
          <w:rFonts w:ascii="Arial" w:hAnsi="Arial" w:cs="Arial"/>
          <w:b/>
          <w:sz w:val="20"/>
        </w:rPr>
        <w:t>Table 4: One-Way ANOVA for d</w:t>
      </w:r>
      <w:r w:rsidRPr="00E2677B">
        <w:rPr>
          <w:rFonts w:ascii="Arial" w:hAnsi="Arial" w:cs="Arial"/>
          <w:b/>
          <w:sz w:val="20"/>
          <w:vertAlign w:val="subscript"/>
        </w:rPr>
        <w:t>90</w:t>
      </w:r>
      <w:r w:rsidRPr="00E2677B">
        <w:rPr>
          <w:rFonts w:ascii="Arial" w:hAnsi="Arial" w:cs="Arial"/>
          <w:sz w:val="20"/>
          <w:vertAlign w:val="subscript"/>
        </w:rPr>
        <w:t xml:space="preserve"> </w:t>
      </w:r>
      <w:r w:rsidRPr="00E2677B">
        <w:rPr>
          <w:rFonts w:ascii="Arial" w:hAnsi="Arial" w:cs="Arial"/>
          <w:b/>
          <w:sz w:val="20"/>
        </w:rPr>
        <w:t xml:space="preserve">Granule Size Index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1321"/>
        <w:gridCol w:w="1419"/>
        <w:gridCol w:w="1438"/>
        <w:gridCol w:w="1417"/>
        <w:gridCol w:w="1403"/>
      </w:tblGrid>
      <w:tr w:rsidR="00E2677B" w:rsidRPr="00E2677B" w14:paraId="4E8880CA" w14:textId="77777777" w:rsidTr="00E2677B">
        <w:trPr>
          <w:trHeight w:val="699"/>
        </w:trPr>
        <w:tc>
          <w:tcPr>
            <w:tcW w:w="1502" w:type="dxa"/>
            <w:tcBorders>
              <w:top w:val="single" w:sz="4" w:space="0" w:color="auto"/>
              <w:left w:val="nil"/>
              <w:bottom w:val="single" w:sz="4" w:space="0" w:color="auto"/>
              <w:right w:val="nil"/>
            </w:tcBorders>
            <w:vAlign w:val="center"/>
            <w:hideMark/>
          </w:tcPr>
          <w:p w14:paraId="5A1E548C" w14:textId="77777777" w:rsidR="00E2677B" w:rsidRPr="00E2677B" w:rsidRDefault="00E2677B">
            <w:pPr>
              <w:jc w:val="center"/>
              <w:rPr>
                <w:rFonts w:ascii="Arial" w:hAnsi="Arial" w:cs="Arial"/>
                <w:b/>
                <w:sz w:val="20"/>
                <w:szCs w:val="24"/>
              </w:rPr>
            </w:pPr>
            <w:r w:rsidRPr="00E2677B">
              <w:rPr>
                <w:rFonts w:ascii="Arial" w:hAnsi="Arial" w:cs="Arial"/>
                <w:b/>
                <w:sz w:val="20"/>
                <w:szCs w:val="24"/>
              </w:rPr>
              <w:t>Source of Variation</w:t>
            </w:r>
          </w:p>
        </w:tc>
        <w:tc>
          <w:tcPr>
            <w:tcW w:w="1502" w:type="dxa"/>
            <w:tcBorders>
              <w:top w:val="single" w:sz="4" w:space="0" w:color="auto"/>
              <w:left w:val="nil"/>
              <w:bottom w:val="single" w:sz="4" w:space="0" w:color="auto"/>
              <w:right w:val="nil"/>
            </w:tcBorders>
            <w:vAlign w:val="center"/>
            <w:hideMark/>
          </w:tcPr>
          <w:p w14:paraId="589E5BD8" w14:textId="77777777" w:rsidR="00E2677B" w:rsidRPr="00E2677B" w:rsidRDefault="00E2677B">
            <w:pPr>
              <w:jc w:val="center"/>
              <w:rPr>
                <w:rFonts w:ascii="Arial" w:hAnsi="Arial" w:cs="Arial"/>
                <w:b/>
                <w:sz w:val="20"/>
                <w:szCs w:val="24"/>
              </w:rPr>
            </w:pPr>
            <w:r w:rsidRPr="00E2677B">
              <w:rPr>
                <w:rFonts w:ascii="Arial" w:hAnsi="Arial" w:cs="Arial"/>
                <w:b/>
                <w:sz w:val="20"/>
                <w:szCs w:val="24"/>
              </w:rPr>
              <w:t>DF</w:t>
            </w:r>
          </w:p>
        </w:tc>
        <w:tc>
          <w:tcPr>
            <w:tcW w:w="1503" w:type="dxa"/>
            <w:tcBorders>
              <w:top w:val="single" w:sz="4" w:space="0" w:color="auto"/>
              <w:left w:val="nil"/>
              <w:bottom w:val="single" w:sz="4" w:space="0" w:color="auto"/>
              <w:right w:val="nil"/>
            </w:tcBorders>
            <w:vAlign w:val="center"/>
            <w:hideMark/>
          </w:tcPr>
          <w:p w14:paraId="4E365744" w14:textId="77777777" w:rsidR="00E2677B" w:rsidRPr="00E2677B" w:rsidRDefault="00E2677B">
            <w:pPr>
              <w:jc w:val="center"/>
              <w:rPr>
                <w:rFonts w:ascii="Arial" w:hAnsi="Arial" w:cs="Arial"/>
                <w:b/>
                <w:sz w:val="20"/>
                <w:szCs w:val="24"/>
              </w:rPr>
            </w:pPr>
            <w:r w:rsidRPr="00E2677B">
              <w:rPr>
                <w:rFonts w:ascii="Arial" w:hAnsi="Arial" w:cs="Arial"/>
                <w:b/>
                <w:sz w:val="20"/>
                <w:szCs w:val="24"/>
              </w:rPr>
              <w:t>Sum of Squares</w:t>
            </w:r>
          </w:p>
        </w:tc>
        <w:tc>
          <w:tcPr>
            <w:tcW w:w="1503" w:type="dxa"/>
            <w:tcBorders>
              <w:top w:val="single" w:sz="4" w:space="0" w:color="auto"/>
              <w:left w:val="nil"/>
              <w:bottom w:val="single" w:sz="4" w:space="0" w:color="auto"/>
              <w:right w:val="nil"/>
            </w:tcBorders>
            <w:vAlign w:val="center"/>
            <w:hideMark/>
          </w:tcPr>
          <w:p w14:paraId="15BEB7D4" w14:textId="77777777" w:rsidR="00E2677B" w:rsidRPr="00E2677B" w:rsidRDefault="00E2677B">
            <w:pPr>
              <w:jc w:val="center"/>
              <w:rPr>
                <w:rFonts w:ascii="Arial" w:hAnsi="Arial" w:cs="Arial"/>
                <w:b/>
                <w:sz w:val="20"/>
                <w:szCs w:val="24"/>
              </w:rPr>
            </w:pPr>
            <w:r w:rsidRPr="00E2677B">
              <w:rPr>
                <w:rFonts w:ascii="Arial" w:hAnsi="Arial" w:cs="Arial"/>
                <w:b/>
                <w:sz w:val="20"/>
                <w:szCs w:val="24"/>
              </w:rPr>
              <w:t>Mean Square</w:t>
            </w:r>
          </w:p>
        </w:tc>
        <w:tc>
          <w:tcPr>
            <w:tcW w:w="1503" w:type="dxa"/>
            <w:tcBorders>
              <w:top w:val="single" w:sz="4" w:space="0" w:color="auto"/>
              <w:left w:val="nil"/>
              <w:bottom w:val="single" w:sz="4" w:space="0" w:color="auto"/>
              <w:right w:val="nil"/>
            </w:tcBorders>
            <w:vAlign w:val="center"/>
            <w:hideMark/>
          </w:tcPr>
          <w:p w14:paraId="509EF79D" w14:textId="77777777" w:rsidR="00E2677B" w:rsidRPr="00E2677B" w:rsidRDefault="00E2677B">
            <w:pPr>
              <w:jc w:val="center"/>
              <w:rPr>
                <w:rFonts w:ascii="Arial" w:hAnsi="Arial" w:cs="Arial"/>
                <w:b/>
                <w:sz w:val="20"/>
                <w:szCs w:val="24"/>
              </w:rPr>
            </w:pPr>
            <w:r w:rsidRPr="00E2677B">
              <w:rPr>
                <w:rFonts w:ascii="Arial" w:hAnsi="Arial" w:cs="Arial"/>
                <w:b/>
                <w:sz w:val="20"/>
                <w:szCs w:val="24"/>
              </w:rPr>
              <w:t>F Value</w:t>
            </w:r>
          </w:p>
        </w:tc>
        <w:tc>
          <w:tcPr>
            <w:tcW w:w="1503" w:type="dxa"/>
            <w:tcBorders>
              <w:top w:val="single" w:sz="4" w:space="0" w:color="auto"/>
              <w:left w:val="nil"/>
              <w:bottom w:val="single" w:sz="4" w:space="0" w:color="auto"/>
              <w:right w:val="nil"/>
            </w:tcBorders>
            <w:vAlign w:val="center"/>
            <w:hideMark/>
          </w:tcPr>
          <w:p w14:paraId="7D8E1354" w14:textId="77777777" w:rsidR="00E2677B" w:rsidRPr="00E2677B" w:rsidRDefault="00E2677B">
            <w:pPr>
              <w:jc w:val="center"/>
              <w:rPr>
                <w:rFonts w:ascii="Arial" w:hAnsi="Arial" w:cs="Arial"/>
                <w:b/>
                <w:sz w:val="20"/>
                <w:szCs w:val="24"/>
              </w:rPr>
            </w:pPr>
            <w:r w:rsidRPr="00E2677B">
              <w:rPr>
                <w:rFonts w:ascii="Arial" w:hAnsi="Arial" w:cs="Arial"/>
                <w:b/>
                <w:sz w:val="20"/>
                <w:szCs w:val="24"/>
              </w:rPr>
              <w:t>Tabular F (5%)</w:t>
            </w:r>
          </w:p>
        </w:tc>
      </w:tr>
      <w:tr w:rsidR="00E2677B" w:rsidRPr="00E2677B" w14:paraId="4370F759" w14:textId="77777777" w:rsidTr="00E2677B">
        <w:trPr>
          <w:trHeight w:val="397"/>
        </w:trPr>
        <w:tc>
          <w:tcPr>
            <w:tcW w:w="1502" w:type="dxa"/>
            <w:tcBorders>
              <w:top w:val="single" w:sz="4" w:space="0" w:color="auto"/>
              <w:left w:val="nil"/>
              <w:bottom w:val="nil"/>
              <w:right w:val="nil"/>
            </w:tcBorders>
            <w:vAlign w:val="center"/>
            <w:hideMark/>
          </w:tcPr>
          <w:p w14:paraId="65C1A836" w14:textId="77777777" w:rsidR="00E2677B" w:rsidRPr="00E2677B" w:rsidRDefault="00E2677B">
            <w:pPr>
              <w:rPr>
                <w:rFonts w:ascii="Arial" w:hAnsi="Arial" w:cs="Arial"/>
                <w:sz w:val="20"/>
                <w:szCs w:val="24"/>
              </w:rPr>
            </w:pPr>
            <w:r w:rsidRPr="00E2677B">
              <w:rPr>
                <w:rFonts w:ascii="Arial" w:hAnsi="Arial" w:cs="Arial"/>
                <w:sz w:val="20"/>
                <w:szCs w:val="24"/>
              </w:rPr>
              <w:t>Model</w:t>
            </w:r>
          </w:p>
        </w:tc>
        <w:tc>
          <w:tcPr>
            <w:tcW w:w="1502" w:type="dxa"/>
            <w:tcBorders>
              <w:top w:val="single" w:sz="4" w:space="0" w:color="auto"/>
              <w:left w:val="nil"/>
              <w:bottom w:val="nil"/>
              <w:right w:val="nil"/>
            </w:tcBorders>
            <w:vAlign w:val="center"/>
            <w:hideMark/>
          </w:tcPr>
          <w:p w14:paraId="515F0FDC" w14:textId="77777777" w:rsidR="00E2677B" w:rsidRPr="00E2677B" w:rsidRDefault="00E2677B">
            <w:pPr>
              <w:jc w:val="center"/>
              <w:rPr>
                <w:rFonts w:ascii="Arial" w:hAnsi="Arial" w:cs="Arial"/>
                <w:sz w:val="20"/>
                <w:szCs w:val="24"/>
              </w:rPr>
            </w:pPr>
            <w:r w:rsidRPr="00E2677B">
              <w:rPr>
                <w:rFonts w:ascii="Arial" w:hAnsi="Arial" w:cs="Arial"/>
                <w:sz w:val="20"/>
                <w:szCs w:val="24"/>
              </w:rPr>
              <w:t>9</w:t>
            </w:r>
          </w:p>
        </w:tc>
        <w:tc>
          <w:tcPr>
            <w:tcW w:w="1503" w:type="dxa"/>
            <w:tcBorders>
              <w:top w:val="single" w:sz="4" w:space="0" w:color="auto"/>
              <w:left w:val="nil"/>
              <w:bottom w:val="nil"/>
              <w:right w:val="nil"/>
            </w:tcBorders>
            <w:vAlign w:val="center"/>
            <w:hideMark/>
          </w:tcPr>
          <w:p w14:paraId="46F04882"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0.19731</w:t>
            </w:r>
          </w:p>
        </w:tc>
        <w:tc>
          <w:tcPr>
            <w:tcW w:w="1503" w:type="dxa"/>
            <w:tcBorders>
              <w:top w:val="single" w:sz="4" w:space="0" w:color="auto"/>
              <w:left w:val="nil"/>
              <w:bottom w:val="nil"/>
              <w:right w:val="nil"/>
            </w:tcBorders>
            <w:vAlign w:val="center"/>
            <w:hideMark/>
          </w:tcPr>
          <w:p w14:paraId="0B1A780D"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0.02192</w:t>
            </w:r>
          </w:p>
        </w:tc>
        <w:tc>
          <w:tcPr>
            <w:tcW w:w="1503" w:type="dxa"/>
            <w:tcBorders>
              <w:top w:val="single" w:sz="4" w:space="0" w:color="auto"/>
              <w:left w:val="nil"/>
              <w:bottom w:val="nil"/>
              <w:right w:val="nil"/>
            </w:tcBorders>
            <w:vAlign w:val="center"/>
            <w:hideMark/>
          </w:tcPr>
          <w:p w14:paraId="117C2F84"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924.708*</w:t>
            </w:r>
          </w:p>
        </w:tc>
        <w:tc>
          <w:tcPr>
            <w:tcW w:w="1503" w:type="dxa"/>
            <w:tcBorders>
              <w:top w:val="single" w:sz="4" w:space="0" w:color="auto"/>
              <w:left w:val="nil"/>
              <w:bottom w:val="nil"/>
              <w:right w:val="nil"/>
            </w:tcBorders>
            <w:vAlign w:val="center"/>
            <w:hideMark/>
          </w:tcPr>
          <w:p w14:paraId="6437958C"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2.21</w:t>
            </w:r>
          </w:p>
        </w:tc>
      </w:tr>
      <w:tr w:rsidR="00E2677B" w:rsidRPr="00E2677B" w14:paraId="3C780EE1" w14:textId="77777777" w:rsidTr="00E2677B">
        <w:trPr>
          <w:trHeight w:val="397"/>
        </w:trPr>
        <w:tc>
          <w:tcPr>
            <w:tcW w:w="1502" w:type="dxa"/>
            <w:vAlign w:val="center"/>
            <w:hideMark/>
          </w:tcPr>
          <w:p w14:paraId="5FCDE2DA" w14:textId="77777777" w:rsidR="00E2677B" w:rsidRPr="00E2677B" w:rsidRDefault="00E2677B">
            <w:pPr>
              <w:rPr>
                <w:rFonts w:ascii="Arial" w:hAnsi="Arial" w:cs="Arial"/>
                <w:sz w:val="20"/>
                <w:szCs w:val="24"/>
              </w:rPr>
            </w:pPr>
            <w:r w:rsidRPr="00E2677B">
              <w:rPr>
                <w:rFonts w:ascii="Arial" w:hAnsi="Arial" w:cs="Arial"/>
                <w:sz w:val="20"/>
                <w:szCs w:val="24"/>
              </w:rPr>
              <w:t>Error</w:t>
            </w:r>
          </w:p>
        </w:tc>
        <w:tc>
          <w:tcPr>
            <w:tcW w:w="1502" w:type="dxa"/>
            <w:vAlign w:val="center"/>
            <w:hideMark/>
          </w:tcPr>
          <w:p w14:paraId="7884B702" w14:textId="77777777" w:rsidR="00E2677B" w:rsidRPr="00E2677B" w:rsidRDefault="00E2677B">
            <w:pPr>
              <w:jc w:val="center"/>
              <w:rPr>
                <w:rFonts w:ascii="Arial" w:hAnsi="Arial" w:cs="Arial"/>
                <w:sz w:val="20"/>
                <w:szCs w:val="24"/>
              </w:rPr>
            </w:pPr>
            <w:r w:rsidRPr="00E2677B">
              <w:rPr>
                <w:rFonts w:ascii="Arial" w:hAnsi="Arial" w:cs="Arial"/>
                <w:sz w:val="20"/>
                <w:szCs w:val="24"/>
              </w:rPr>
              <w:t>30</w:t>
            </w:r>
          </w:p>
        </w:tc>
        <w:tc>
          <w:tcPr>
            <w:tcW w:w="1503" w:type="dxa"/>
            <w:vAlign w:val="center"/>
            <w:hideMark/>
          </w:tcPr>
          <w:p w14:paraId="166DC48F"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7.1125E-4</w:t>
            </w:r>
          </w:p>
        </w:tc>
        <w:tc>
          <w:tcPr>
            <w:tcW w:w="1503" w:type="dxa"/>
            <w:vAlign w:val="center"/>
            <w:hideMark/>
          </w:tcPr>
          <w:p w14:paraId="0C1A6D1B"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2.37083E-5</w:t>
            </w:r>
          </w:p>
        </w:tc>
        <w:tc>
          <w:tcPr>
            <w:tcW w:w="1503" w:type="dxa"/>
            <w:vAlign w:val="center"/>
          </w:tcPr>
          <w:p w14:paraId="6CD85F66" w14:textId="77777777" w:rsidR="00E2677B" w:rsidRPr="00E2677B" w:rsidRDefault="00E2677B" w:rsidP="00E2677B">
            <w:pPr>
              <w:jc w:val="center"/>
              <w:rPr>
                <w:rFonts w:ascii="Arial" w:hAnsi="Arial" w:cs="Arial"/>
                <w:sz w:val="20"/>
                <w:szCs w:val="24"/>
              </w:rPr>
            </w:pPr>
          </w:p>
        </w:tc>
        <w:tc>
          <w:tcPr>
            <w:tcW w:w="1503" w:type="dxa"/>
            <w:vAlign w:val="center"/>
          </w:tcPr>
          <w:p w14:paraId="43D0CDE8" w14:textId="77777777" w:rsidR="00E2677B" w:rsidRPr="00E2677B" w:rsidRDefault="00E2677B" w:rsidP="00E2677B">
            <w:pPr>
              <w:jc w:val="center"/>
              <w:rPr>
                <w:rFonts w:ascii="Arial" w:hAnsi="Arial" w:cs="Arial"/>
                <w:sz w:val="20"/>
                <w:szCs w:val="24"/>
              </w:rPr>
            </w:pPr>
          </w:p>
        </w:tc>
      </w:tr>
      <w:tr w:rsidR="00E2677B" w:rsidRPr="00E2677B" w14:paraId="198F60B5" w14:textId="77777777" w:rsidTr="00E2677B">
        <w:trPr>
          <w:trHeight w:val="397"/>
        </w:trPr>
        <w:tc>
          <w:tcPr>
            <w:tcW w:w="1502" w:type="dxa"/>
            <w:tcBorders>
              <w:top w:val="nil"/>
              <w:left w:val="nil"/>
              <w:bottom w:val="single" w:sz="4" w:space="0" w:color="auto"/>
              <w:right w:val="nil"/>
            </w:tcBorders>
            <w:vAlign w:val="center"/>
            <w:hideMark/>
          </w:tcPr>
          <w:p w14:paraId="64DFA028" w14:textId="77777777" w:rsidR="00E2677B" w:rsidRPr="00E2677B" w:rsidRDefault="00E2677B">
            <w:pPr>
              <w:rPr>
                <w:rFonts w:ascii="Arial" w:hAnsi="Arial" w:cs="Arial"/>
                <w:sz w:val="20"/>
                <w:szCs w:val="24"/>
              </w:rPr>
            </w:pPr>
            <w:r w:rsidRPr="00E2677B">
              <w:rPr>
                <w:rFonts w:ascii="Arial" w:hAnsi="Arial" w:cs="Arial"/>
                <w:sz w:val="20"/>
                <w:szCs w:val="24"/>
              </w:rPr>
              <w:t>Total</w:t>
            </w:r>
          </w:p>
        </w:tc>
        <w:tc>
          <w:tcPr>
            <w:tcW w:w="1502" w:type="dxa"/>
            <w:tcBorders>
              <w:top w:val="nil"/>
              <w:left w:val="nil"/>
              <w:bottom w:val="single" w:sz="4" w:space="0" w:color="auto"/>
              <w:right w:val="nil"/>
            </w:tcBorders>
            <w:vAlign w:val="center"/>
            <w:hideMark/>
          </w:tcPr>
          <w:p w14:paraId="7210173D" w14:textId="77777777" w:rsidR="00E2677B" w:rsidRPr="00E2677B" w:rsidRDefault="00E2677B">
            <w:pPr>
              <w:jc w:val="center"/>
              <w:rPr>
                <w:rFonts w:ascii="Arial" w:hAnsi="Arial" w:cs="Arial"/>
                <w:sz w:val="20"/>
                <w:szCs w:val="24"/>
              </w:rPr>
            </w:pPr>
            <w:r w:rsidRPr="00E2677B">
              <w:rPr>
                <w:rFonts w:ascii="Arial" w:hAnsi="Arial" w:cs="Arial"/>
                <w:sz w:val="20"/>
                <w:szCs w:val="24"/>
              </w:rPr>
              <w:t>39</w:t>
            </w:r>
          </w:p>
        </w:tc>
        <w:tc>
          <w:tcPr>
            <w:tcW w:w="1503" w:type="dxa"/>
            <w:tcBorders>
              <w:top w:val="nil"/>
              <w:left w:val="nil"/>
              <w:bottom w:val="single" w:sz="4" w:space="0" w:color="auto"/>
              <w:right w:val="nil"/>
            </w:tcBorders>
            <w:vAlign w:val="center"/>
            <w:hideMark/>
          </w:tcPr>
          <w:p w14:paraId="6E5870E6" w14:textId="77777777" w:rsidR="00E2677B" w:rsidRPr="00E2677B" w:rsidRDefault="00E2677B" w:rsidP="00E2677B">
            <w:pPr>
              <w:jc w:val="center"/>
              <w:rPr>
                <w:rFonts w:ascii="Arial" w:hAnsi="Arial" w:cs="Arial"/>
                <w:sz w:val="20"/>
                <w:szCs w:val="24"/>
              </w:rPr>
            </w:pPr>
            <w:r w:rsidRPr="00E2677B">
              <w:rPr>
                <w:rFonts w:ascii="Arial" w:hAnsi="Arial" w:cs="Arial"/>
                <w:sz w:val="20"/>
                <w:szCs w:val="24"/>
              </w:rPr>
              <w:t>0.19802</w:t>
            </w:r>
          </w:p>
        </w:tc>
        <w:tc>
          <w:tcPr>
            <w:tcW w:w="1503" w:type="dxa"/>
            <w:tcBorders>
              <w:top w:val="nil"/>
              <w:left w:val="nil"/>
              <w:bottom w:val="single" w:sz="4" w:space="0" w:color="auto"/>
              <w:right w:val="nil"/>
            </w:tcBorders>
            <w:vAlign w:val="center"/>
          </w:tcPr>
          <w:p w14:paraId="51F01D91" w14:textId="77777777" w:rsidR="00E2677B" w:rsidRPr="00E2677B" w:rsidRDefault="00E2677B" w:rsidP="00E2677B">
            <w:pPr>
              <w:jc w:val="center"/>
              <w:rPr>
                <w:rFonts w:ascii="Arial" w:hAnsi="Arial" w:cs="Arial"/>
                <w:sz w:val="20"/>
                <w:szCs w:val="24"/>
              </w:rPr>
            </w:pPr>
          </w:p>
        </w:tc>
        <w:tc>
          <w:tcPr>
            <w:tcW w:w="1503" w:type="dxa"/>
            <w:tcBorders>
              <w:top w:val="nil"/>
              <w:left w:val="nil"/>
              <w:bottom w:val="single" w:sz="4" w:space="0" w:color="auto"/>
              <w:right w:val="nil"/>
            </w:tcBorders>
            <w:vAlign w:val="center"/>
          </w:tcPr>
          <w:p w14:paraId="03AB20D1" w14:textId="77777777" w:rsidR="00E2677B" w:rsidRPr="00E2677B" w:rsidRDefault="00E2677B" w:rsidP="00E2677B">
            <w:pPr>
              <w:jc w:val="center"/>
              <w:rPr>
                <w:rFonts w:ascii="Arial" w:hAnsi="Arial" w:cs="Arial"/>
                <w:sz w:val="20"/>
                <w:szCs w:val="24"/>
              </w:rPr>
            </w:pPr>
          </w:p>
        </w:tc>
        <w:tc>
          <w:tcPr>
            <w:tcW w:w="1503" w:type="dxa"/>
            <w:tcBorders>
              <w:top w:val="nil"/>
              <w:left w:val="nil"/>
              <w:bottom w:val="single" w:sz="4" w:space="0" w:color="auto"/>
              <w:right w:val="nil"/>
            </w:tcBorders>
            <w:vAlign w:val="center"/>
          </w:tcPr>
          <w:p w14:paraId="57169CEF" w14:textId="77777777" w:rsidR="00E2677B" w:rsidRPr="00E2677B" w:rsidRDefault="00E2677B" w:rsidP="00E2677B">
            <w:pPr>
              <w:jc w:val="center"/>
              <w:rPr>
                <w:rFonts w:ascii="Arial" w:hAnsi="Arial" w:cs="Arial"/>
                <w:sz w:val="20"/>
                <w:szCs w:val="24"/>
              </w:rPr>
            </w:pPr>
          </w:p>
        </w:tc>
      </w:tr>
    </w:tbl>
    <w:p w14:paraId="2C7DB81A" w14:textId="77777777" w:rsidR="00E2677B" w:rsidRPr="009F556F" w:rsidRDefault="00E2677B" w:rsidP="00E2677B">
      <w:pPr>
        <w:pStyle w:val="Body"/>
        <w:rPr>
          <w:rFonts w:ascii="Arial" w:hAnsi="Arial" w:cs="Arial"/>
          <w:b/>
          <w:sz w:val="22"/>
          <w:lang w:val="en-IN"/>
        </w:rPr>
      </w:pPr>
    </w:p>
    <w:p w14:paraId="6E0C87B2" w14:textId="77777777" w:rsidR="00B01FCD" w:rsidRDefault="00000F8F" w:rsidP="00441B6F">
      <w:pPr>
        <w:pStyle w:val="ConcHead"/>
        <w:spacing w:after="0"/>
        <w:jc w:val="both"/>
        <w:rPr>
          <w:rFonts w:ascii="Arial" w:hAnsi="Arial" w:cs="Arial"/>
        </w:rPr>
      </w:pPr>
      <w:r>
        <w:rPr>
          <w:rFonts w:ascii="Arial" w:hAnsi="Arial" w:cs="Arial"/>
        </w:rPr>
        <w:t xml:space="preserve">4. </w:t>
      </w:r>
      <w:r w:rsidR="00E2677B">
        <w:rPr>
          <w:rFonts w:ascii="Arial" w:hAnsi="Arial" w:cs="Arial"/>
        </w:rPr>
        <w:t xml:space="preserve">Summary and </w:t>
      </w:r>
      <w:r w:rsidR="00B01FCD" w:rsidRPr="00FB3A86">
        <w:rPr>
          <w:rFonts w:ascii="Arial" w:hAnsi="Arial" w:cs="Arial"/>
        </w:rPr>
        <w:t>Conclusion</w:t>
      </w:r>
    </w:p>
    <w:p w14:paraId="71BEB817" w14:textId="77777777" w:rsidR="00790ADA" w:rsidRPr="00FB3A86" w:rsidRDefault="00790ADA" w:rsidP="00441B6F">
      <w:pPr>
        <w:pStyle w:val="ConcHead"/>
        <w:spacing w:after="0"/>
        <w:jc w:val="both"/>
        <w:rPr>
          <w:rFonts w:ascii="Arial" w:hAnsi="Arial" w:cs="Arial"/>
        </w:rPr>
      </w:pPr>
    </w:p>
    <w:p w14:paraId="3CA93115" w14:textId="77777777" w:rsidR="00E2677B" w:rsidRPr="00E2677B" w:rsidRDefault="00E2677B" w:rsidP="00C2332E">
      <w:pPr>
        <w:pStyle w:val="Body"/>
        <w:spacing w:after="0"/>
        <w:rPr>
          <w:rFonts w:ascii="Arial" w:hAnsi="Arial" w:cs="Arial"/>
          <w:lang w:val="en-IN"/>
        </w:rPr>
      </w:pPr>
      <w:r w:rsidRPr="00E2677B">
        <w:rPr>
          <w:rFonts w:ascii="Arial" w:hAnsi="Arial" w:cs="Arial"/>
          <w:lang w:val="en-IN"/>
        </w:rPr>
        <w:t>The present study evaluated the granule size characteristics of ten commercially available urea fertilizers in India using percentile-based indices (d</w:t>
      </w:r>
      <w:r w:rsidRPr="00E2677B">
        <w:rPr>
          <w:rFonts w:ascii="Arial" w:hAnsi="Arial" w:cs="Arial"/>
          <w:vertAlign w:val="subscript"/>
          <w:lang w:val="en-IN"/>
        </w:rPr>
        <w:t>5</w:t>
      </w:r>
      <w:r w:rsidRPr="00E2677B">
        <w:rPr>
          <w:rFonts w:ascii="Arial" w:hAnsi="Arial" w:cs="Arial"/>
          <w:lang w:val="en-IN"/>
        </w:rPr>
        <w:t>, d</w:t>
      </w:r>
      <w:r w:rsidRPr="00E2677B">
        <w:rPr>
          <w:rFonts w:ascii="Arial" w:hAnsi="Arial" w:cs="Arial"/>
          <w:vertAlign w:val="subscript"/>
          <w:lang w:val="en-IN"/>
        </w:rPr>
        <w:t>16</w:t>
      </w:r>
      <w:r w:rsidRPr="00E2677B">
        <w:rPr>
          <w:rFonts w:ascii="Arial" w:hAnsi="Arial" w:cs="Arial"/>
          <w:lang w:val="en-IN"/>
        </w:rPr>
        <w:t>, d</w:t>
      </w:r>
      <w:r w:rsidRPr="00E2677B">
        <w:rPr>
          <w:rFonts w:ascii="Arial" w:hAnsi="Arial" w:cs="Arial"/>
          <w:vertAlign w:val="subscript"/>
          <w:lang w:val="en-IN"/>
        </w:rPr>
        <w:t>84</w:t>
      </w:r>
      <w:r w:rsidRPr="00E2677B">
        <w:rPr>
          <w:rFonts w:ascii="Arial" w:hAnsi="Arial" w:cs="Arial"/>
          <w:lang w:val="en-IN"/>
        </w:rPr>
        <w:t>, and d</w:t>
      </w:r>
      <w:r w:rsidRPr="00E2677B">
        <w:rPr>
          <w:rFonts w:ascii="Arial" w:hAnsi="Arial" w:cs="Arial"/>
          <w:vertAlign w:val="subscript"/>
          <w:lang w:val="en-IN"/>
        </w:rPr>
        <w:t>90</w:t>
      </w:r>
      <w:r w:rsidRPr="00E2677B">
        <w:rPr>
          <w:rFonts w:ascii="Arial" w:hAnsi="Arial" w:cs="Arial"/>
          <w:lang w:val="en-IN"/>
        </w:rPr>
        <w:t xml:space="preserve">). The results highlighted substantial variability in particle size distribution among manufacturers, as revealed through one-way ANOVA and Tukey’s post hoc analysis. Such differences in granule size indices have important implications for fertilizer handling, flow </w:t>
      </w:r>
      <w:proofErr w:type="spellStart"/>
      <w:r w:rsidRPr="00E2677B">
        <w:rPr>
          <w:rFonts w:ascii="Arial" w:hAnsi="Arial" w:cs="Arial"/>
          <w:lang w:val="en-IN"/>
        </w:rPr>
        <w:t>behavior</w:t>
      </w:r>
      <w:proofErr w:type="spellEnd"/>
      <w:r w:rsidRPr="00E2677B">
        <w:rPr>
          <w:rFonts w:ascii="Arial" w:hAnsi="Arial" w:cs="Arial"/>
          <w:lang w:val="en-IN"/>
        </w:rPr>
        <w:t>, segregation potential, and mechanical application efficiency. The key findings of the study are summarized below:</w:t>
      </w:r>
    </w:p>
    <w:p w14:paraId="41CCCDAB" w14:textId="77777777" w:rsidR="00E2677B" w:rsidRPr="00E2677B" w:rsidRDefault="00E2677B" w:rsidP="00C2332E">
      <w:pPr>
        <w:pStyle w:val="Body"/>
        <w:numPr>
          <w:ilvl w:val="0"/>
          <w:numId w:val="31"/>
        </w:numPr>
        <w:spacing w:after="0"/>
        <w:rPr>
          <w:rFonts w:ascii="Arial" w:hAnsi="Arial" w:cs="Arial"/>
          <w:b/>
          <w:lang w:val="en-IN"/>
        </w:rPr>
      </w:pPr>
      <w:r w:rsidRPr="00E2677B">
        <w:rPr>
          <w:rFonts w:ascii="Arial" w:hAnsi="Arial" w:cs="Arial"/>
          <w:lang w:val="en-IN"/>
        </w:rPr>
        <w:t>The percentile-based granule size indices (d</w:t>
      </w:r>
      <w:r w:rsidRPr="00E2677B">
        <w:rPr>
          <w:rFonts w:ascii="Arial" w:hAnsi="Arial" w:cs="Arial"/>
          <w:vertAlign w:val="subscript"/>
          <w:lang w:val="en-IN"/>
        </w:rPr>
        <w:t>5</w:t>
      </w:r>
      <w:r w:rsidRPr="00E2677B">
        <w:rPr>
          <w:rFonts w:ascii="Arial" w:hAnsi="Arial" w:cs="Arial"/>
          <w:lang w:val="en-IN"/>
        </w:rPr>
        <w:t>, d</w:t>
      </w:r>
      <w:r w:rsidRPr="00E2677B">
        <w:rPr>
          <w:rFonts w:ascii="Arial" w:hAnsi="Arial" w:cs="Arial"/>
          <w:vertAlign w:val="subscript"/>
          <w:lang w:val="en-IN"/>
        </w:rPr>
        <w:t>16</w:t>
      </w:r>
      <w:r w:rsidRPr="00E2677B">
        <w:rPr>
          <w:rFonts w:ascii="Arial" w:hAnsi="Arial" w:cs="Arial"/>
          <w:lang w:val="en-IN"/>
        </w:rPr>
        <w:t>, d</w:t>
      </w:r>
      <w:r w:rsidRPr="00E2677B">
        <w:rPr>
          <w:rFonts w:ascii="Arial" w:hAnsi="Arial" w:cs="Arial"/>
          <w:vertAlign w:val="subscript"/>
          <w:lang w:val="en-IN"/>
        </w:rPr>
        <w:t>84</w:t>
      </w:r>
      <w:r w:rsidRPr="00E2677B">
        <w:rPr>
          <w:rFonts w:ascii="Arial" w:hAnsi="Arial" w:cs="Arial"/>
          <w:lang w:val="en-IN"/>
        </w:rPr>
        <w:t>, and d</w:t>
      </w:r>
      <w:r w:rsidRPr="00E2677B">
        <w:rPr>
          <w:rFonts w:ascii="Arial" w:hAnsi="Arial" w:cs="Arial"/>
          <w:vertAlign w:val="subscript"/>
          <w:lang w:val="en-IN"/>
        </w:rPr>
        <w:t>90</w:t>
      </w:r>
      <w:r w:rsidRPr="00E2677B">
        <w:rPr>
          <w:rFonts w:ascii="Arial" w:hAnsi="Arial" w:cs="Arial"/>
          <w:lang w:val="en-IN"/>
        </w:rPr>
        <w:t>) varied considerably among the ten urea manufacturers, indicating significant differences in granule size across commercial brands.</w:t>
      </w:r>
    </w:p>
    <w:p w14:paraId="68FAE732" w14:textId="77777777" w:rsidR="00E2677B" w:rsidRPr="00E2677B" w:rsidRDefault="00E2677B" w:rsidP="00C2332E">
      <w:pPr>
        <w:pStyle w:val="Body"/>
        <w:numPr>
          <w:ilvl w:val="0"/>
          <w:numId w:val="31"/>
        </w:numPr>
        <w:spacing w:after="0"/>
        <w:rPr>
          <w:rFonts w:ascii="Arial" w:hAnsi="Arial" w:cs="Arial"/>
          <w:lang w:val="en-IN"/>
        </w:rPr>
      </w:pPr>
      <w:r w:rsidRPr="00E2677B">
        <w:rPr>
          <w:rFonts w:ascii="Arial" w:hAnsi="Arial" w:cs="Arial"/>
          <w:lang w:val="en-IN"/>
        </w:rPr>
        <w:t>d</w:t>
      </w:r>
      <w:r w:rsidRPr="00E2677B">
        <w:rPr>
          <w:rFonts w:ascii="Arial" w:hAnsi="Arial" w:cs="Arial"/>
          <w:vertAlign w:val="subscript"/>
          <w:lang w:val="en-IN"/>
        </w:rPr>
        <w:t xml:space="preserve">5 </w:t>
      </w:r>
      <w:r w:rsidRPr="00E2677B">
        <w:rPr>
          <w:rFonts w:ascii="Arial" w:hAnsi="Arial" w:cs="Arial"/>
          <w:bCs/>
          <w:lang w:val="en-IN"/>
        </w:rPr>
        <w:t>values</w:t>
      </w:r>
      <w:r w:rsidRPr="00E2677B">
        <w:rPr>
          <w:rFonts w:ascii="Arial" w:hAnsi="Arial" w:cs="Arial"/>
          <w:lang w:val="en-IN"/>
        </w:rPr>
        <w:t xml:space="preserve"> ranged from 0.394 to 0.861 mm, with the lowest value for Sample III and the highest for Sample IX. Similarly, d</w:t>
      </w:r>
      <w:r w:rsidRPr="00E2677B">
        <w:rPr>
          <w:rFonts w:ascii="Arial" w:hAnsi="Arial" w:cs="Arial"/>
          <w:vertAlign w:val="subscript"/>
          <w:lang w:val="en-IN"/>
        </w:rPr>
        <w:t xml:space="preserve">16 </w:t>
      </w:r>
      <w:r w:rsidRPr="00E2677B">
        <w:rPr>
          <w:rFonts w:ascii="Arial" w:hAnsi="Arial" w:cs="Arial"/>
          <w:bCs/>
          <w:lang w:val="en-IN"/>
        </w:rPr>
        <w:t>values</w:t>
      </w:r>
      <w:r w:rsidRPr="00E2677B">
        <w:rPr>
          <w:rFonts w:ascii="Arial" w:hAnsi="Arial" w:cs="Arial"/>
          <w:lang w:val="en-IN"/>
        </w:rPr>
        <w:t xml:space="preserve"> ranged from 0.650 to 0.943 mm, with Samples III and IV showing the minimum and maximum values, respectively.</w:t>
      </w:r>
    </w:p>
    <w:p w14:paraId="7C844D57" w14:textId="77777777" w:rsidR="00E2677B" w:rsidRPr="00E2677B" w:rsidRDefault="00E2677B" w:rsidP="00C2332E">
      <w:pPr>
        <w:pStyle w:val="Body"/>
        <w:numPr>
          <w:ilvl w:val="0"/>
          <w:numId w:val="31"/>
        </w:numPr>
        <w:spacing w:after="0"/>
        <w:rPr>
          <w:rFonts w:ascii="Arial" w:hAnsi="Arial" w:cs="Arial"/>
          <w:lang w:val="en-IN"/>
        </w:rPr>
      </w:pPr>
      <w:r w:rsidRPr="00E2677B">
        <w:rPr>
          <w:rFonts w:ascii="Arial" w:hAnsi="Arial" w:cs="Arial"/>
          <w:lang w:val="en-IN"/>
        </w:rPr>
        <w:lastRenderedPageBreak/>
        <w:t>d</w:t>
      </w:r>
      <w:r w:rsidRPr="00E2677B">
        <w:rPr>
          <w:rFonts w:ascii="Arial" w:hAnsi="Arial" w:cs="Arial"/>
          <w:vertAlign w:val="subscript"/>
          <w:lang w:val="en-IN"/>
        </w:rPr>
        <w:t xml:space="preserve">84 </w:t>
      </w:r>
      <w:r w:rsidRPr="00E2677B">
        <w:rPr>
          <w:rFonts w:ascii="Arial" w:hAnsi="Arial" w:cs="Arial"/>
          <w:bCs/>
          <w:lang w:val="en-IN"/>
        </w:rPr>
        <w:t>values</w:t>
      </w:r>
      <w:r w:rsidRPr="00E2677B">
        <w:rPr>
          <w:rFonts w:ascii="Arial" w:hAnsi="Arial" w:cs="Arial"/>
          <w:lang w:val="en-IN"/>
        </w:rPr>
        <w:t xml:space="preserve"> ranged from 1.311 to 1.484 mm, indicating variability in the coarser granule fraction. Sample III exhibited the lowest d</w:t>
      </w:r>
      <w:r w:rsidRPr="00E2677B">
        <w:rPr>
          <w:rFonts w:ascii="Arial" w:hAnsi="Arial" w:cs="Arial"/>
          <w:vertAlign w:val="subscript"/>
          <w:lang w:val="en-IN"/>
        </w:rPr>
        <w:t xml:space="preserve">84 </w:t>
      </w:r>
      <w:r w:rsidRPr="00E2677B">
        <w:rPr>
          <w:rFonts w:ascii="Arial" w:hAnsi="Arial" w:cs="Arial"/>
          <w:lang w:val="en-IN"/>
        </w:rPr>
        <w:t>and Sample IX the highest. d</w:t>
      </w:r>
      <w:r w:rsidRPr="00E2677B">
        <w:rPr>
          <w:rFonts w:ascii="Arial" w:hAnsi="Arial" w:cs="Arial"/>
          <w:vertAlign w:val="subscript"/>
          <w:lang w:val="en-IN"/>
        </w:rPr>
        <w:t xml:space="preserve">90 </w:t>
      </w:r>
      <w:r w:rsidRPr="00E2677B">
        <w:rPr>
          <w:rFonts w:ascii="Arial" w:hAnsi="Arial" w:cs="Arial"/>
          <w:bCs/>
          <w:lang w:val="en-IN"/>
        </w:rPr>
        <w:t>values</w:t>
      </w:r>
      <w:r w:rsidRPr="00E2677B">
        <w:rPr>
          <w:rFonts w:ascii="Arial" w:hAnsi="Arial" w:cs="Arial"/>
          <w:lang w:val="en-IN"/>
        </w:rPr>
        <w:t xml:space="preserve"> ranged from 1.359 to 1.565 mm, with clear variation across samples. </w:t>
      </w:r>
    </w:p>
    <w:p w14:paraId="7A97FD2F" w14:textId="77777777" w:rsidR="00E2677B" w:rsidRPr="00E2677B" w:rsidRDefault="00E2677B" w:rsidP="00C2332E">
      <w:pPr>
        <w:pStyle w:val="Body"/>
        <w:numPr>
          <w:ilvl w:val="0"/>
          <w:numId w:val="31"/>
        </w:numPr>
        <w:spacing w:after="0"/>
        <w:rPr>
          <w:rFonts w:ascii="Arial" w:hAnsi="Arial" w:cs="Arial"/>
          <w:lang w:val="en-IN"/>
        </w:rPr>
      </w:pPr>
      <w:r w:rsidRPr="00E2677B">
        <w:rPr>
          <w:rFonts w:ascii="Arial" w:hAnsi="Arial" w:cs="Arial"/>
          <w:lang w:val="en-IN"/>
        </w:rPr>
        <w:t>The coefficients of variation for all percentile diameters were generally below 5%.</w:t>
      </w:r>
    </w:p>
    <w:p w14:paraId="33D8FA92" w14:textId="77777777" w:rsidR="00E2677B" w:rsidRPr="00E2677B" w:rsidRDefault="00E2677B" w:rsidP="00C2332E">
      <w:pPr>
        <w:pStyle w:val="Body"/>
        <w:numPr>
          <w:ilvl w:val="0"/>
          <w:numId w:val="31"/>
        </w:numPr>
        <w:spacing w:after="0"/>
        <w:rPr>
          <w:rFonts w:ascii="Arial" w:hAnsi="Arial" w:cs="Arial"/>
          <w:lang w:val="en-IN"/>
        </w:rPr>
      </w:pPr>
      <w:r w:rsidRPr="00E2677B">
        <w:rPr>
          <w:rFonts w:ascii="Arial" w:hAnsi="Arial" w:cs="Arial"/>
          <w:lang w:val="en-IN"/>
        </w:rPr>
        <w:t>One-way ANOVA revealed statistically significant differences across all percentile diameters studied, and Tukey’s post-hoc comparisons confirmed that the majority of manufacturer pairs differed significantly for each d-value.</w:t>
      </w:r>
    </w:p>
    <w:p w14:paraId="26118EAE" w14:textId="77777777" w:rsidR="00E2677B" w:rsidRPr="00E2677B" w:rsidRDefault="00E2677B" w:rsidP="00C2332E">
      <w:pPr>
        <w:pStyle w:val="Body"/>
        <w:numPr>
          <w:ilvl w:val="0"/>
          <w:numId w:val="31"/>
        </w:numPr>
        <w:spacing w:after="0"/>
        <w:rPr>
          <w:rFonts w:ascii="Arial" w:hAnsi="Arial" w:cs="Arial"/>
          <w:lang w:val="en-IN"/>
        </w:rPr>
      </w:pPr>
      <w:r w:rsidRPr="00E2677B">
        <w:rPr>
          <w:rFonts w:ascii="Arial" w:hAnsi="Arial" w:cs="Arial"/>
          <w:lang w:val="en-IN"/>
        </w:rPr>
        <w:t>The granule size indices presented provide foundational data useful for calculating uniformity indices, enabling quantitative assessment of fertilizer distribution quality in field application.</w:t>
      </w:r>
    </w:p>
    <w:p w14:paraId="0A9B624F" w14:textId="77777777" w:rsidR="00E2677B" w:rsidRPr="00E2677B" w:rsidRDefault="00E2677B" w:rsidP="00C2332E">
      <w:pPr>
        <w:pStyle w:val="Body"/>
        <w:numPr>
          <w:ilvl w:val="0"/>
          <w:numId w:val="31"/>
        </w:numPr>
        <w:spacing w:after="0"/>
        <w:rPr>
          <w:rFonts w:ascii="Arial" w:hAnsi="Arial" w:cs="Arial"/>
          <w:lang w:val="en-IN"/>
        </w:rPr>
      </w:pPr>
      <w:r w:rsidRPr="00E2677B">
        <w:rPr>
          <w:rFonts w:ascii="Arial" w:hAnsi="Arial" w:cs="Arial"/>
          <w:lang w:val="en-IN"/>
        </w:rPr>
        <w:t xml:space="preserve">The results can also be utilized in particle simulation models of urea fertilizer, supporting virtual testing of flow </w:t>
      </w:r>
      <w:proofErr w:type="spellStart"/>
      <w:r w:rsidRPr="00E2677B">
        <w:rPr>
          <w:rFonts w:ascii="Arial" w:hAnsi="Arial" w:cs="Arial"/>
          <w:lang w:val="en-IN"/>
        </w:rPr>
        <w:t>behavior</w:t>
      </w:r>
      <w:proofErr w:type="spellEnd"/>
      <w:r w:rsidRPr="00E2677B">
        <w:rPr>
          <w:rFonts w:ascii="Arial" w:hAnsi="Arial" w:cs="Arial"/>
          <w:lang w:val="en-IN"/>
        </w:rPr>
        <w:t>, metering accuracy, and machine design optimization.</w:t>
      </w:r>
    </w:p>
    <w:p w14:paraId="0B54E8B1" w14:textId="536F8FDD" w:rsidR="007106DE" w:rsidRDefault="007106DE" w:rsidP="00441B6F">
      <w:pPr>
        <w:pStyle w:val="ReferHead"/>
        <w:spacing w:after="0"/>
        <w:jc w:val="both"/>
        <w:rPr>
          <w:rFonts w:ascii="Arial" w:hAnsi="Arial" w:cs="Arial"/>
          <w:b w:val="0"/>
          <w:caps w:val="0"/>
          <w:sz w:val="20"/>
        </w:rPr>
      </w:pPr>
    </w:p>
    <w:p w14:paraId="38E39FD9" w14:textId="77777777" w:rsidR="00A940D1" w:rsidRPr="00A940D1" w:rsidRDefault="00A940D1" w:rsidP="00A940D1">
      <w:pPr>
        <w:rPr>
          <w:b/>
          <w:highlight w:val="yellow"/>
        </w:rPr>
      </w:pPr>
      <w:bookmarkStart w:id="1" w:name="_Hlk197682619"/>
      <w:bookmarkStart w:id="2" w:name="_Hlk180402183"/>
      <w:bookmarkStart w:id="3" w:name="_Hlk183680988"/>
      <w:bookmarkStart w:id="4" w:name="_Hlk197351200"/>
      <w:r w:rsidRPr="00A940D1">
        <w:rPr>
          <w:b/>
          <w:highlight w:val="yellow"/>
        </w:rPr>
        <w:t>Disclaimer (Artificial intelligence)</w:t>
      </w:r>
    </w:p>
    <w:p w14:paraId="03C610A5" w14:textId="767B18E1" w:rsidR="007106DE" w:rsidRPr="009C5487" w:rsidRDefault="007106DE" w:rsidP="00CE6037">
      <w:pPr>
        <w:jc w:val="both"/>
        <w:rPr>
          <w:rFonts w:ascii="Calibri" w:eastAsia="Calibri" w:hAnsi="Calibri"/>
          <w:kern w:val="2"/>
          <w:highlight w:val="yellow"/>
        </w:rPr>
      </w:pPr>
      <w:r w:rsidRPr="009C5487">
        <w:rPr>
          <w:rFonts w:ascii="Calibri" w:eastAsia="Calibri" w:hAnsi="Calibri"/>
          <w:kern w:val="2"/>
          <w:highlight w:val="yellow"/>
        </w:rPr>
        <w:t xml:space="preserve">Author(s) hereby declare that generative AI technologies such as Large Language Models, etc. have been used </w:t>
      </w:r>
      <w:r w:rsidR="00CE6037" w:rsidRPr="00CE6037">
        <w:rPr>
          <w:rFonts w:ascii="Calibri" w:eastAsia="Calibri" w:hAnsi="Calibri"/>
          <w:kern w:val="2"/>
          <w:highlight w:val="yellow"/>
        </w:rPr>
        <w:t>for improving the grammar, language clarity, and overall readability of the manuscript</w:t>
      </w:r>
      <w:r w:rsidRPr="009C5487">
        <w:rPr>
          <w:rFonts w:ascii="Calibri" w:eastAsia="Calibri" w:hAnsi="Calibri"/>
          <w:kern w:val="2"/>
          <w:highlight w:val="yellow"/>
        </w:rPr>
        <w:t>. Details of the AI usage are given below:</w:t>
      </w:r>
    </w:p>
    <w:p w14:paraId="517C7489" w14:textId="37EE60AB" w:rsidR="007106DE" w:rsidRPr="00CE6037" w:rsidRDefault="007106DE" w:rsidP="00CE6037">
      <w:pPr>
        <w:spacing w:line="480" w:lineRule="auto"/>
        <w:jc w:val="both"/>
        <w:rPr>
          <w:rFonts w:ascii="Calibri" w:eastAsia="Calibri" w:hAnsi="Calibri"/>
          <w:kern w:val="2"/>
          <w:highlight w:val="yellow"/>
        </w:rPr>
      </w:pPr>
      <w:r w:rsidRPr="009C5487">
        <w:rPr>
          <w:rFonts w:ascii="Calibri" w:eastAsia="Calibri" w:hAnsi="Calibri"/>
          <w:kern w:val="2"/>
          <w:highlight w:val="yellow"/>
        </w:rPr>
        <w:t>1.</w:t>
      </w:r>
      <w:bookmarkStart w:id="5" w:name="_Hlk187485061"/>
      <w:bookmarkEnd w:id="1"/>
      <w:bookmarkEnd w:id="2"/>
      <w:bookmarkEnd w:id="3"/>
      <w:r w:rsidR="00CE6037">
        <w:rPr>
          <w:rFonts w:ascii="Calibri" w:eastAsia="Calibri" w:hAnsi="Calibri"/>
          <w:kern w:val="2"/>
          <w:highlight w:val="yellow"/>
        </w:rPr>
        <w:t xml:space="preserve"> </w:t>
      </w:r>
      <w:proofErr w:type="spellStart"/>
      <w:r w:rsidR="00CE6037">
        <w:rPr>
          <w:rFonts w:ascii="Calibri" w:eastAsia="Calibri" w:hAnsi="Calibri"/>
          <w:kern w:val="2"/>
          <w:highlight w:val="yellow"/>
        </w:rPr>
        <w:t>ChatGPT</w:t>
      </w:r>
      <w:proofErr w:type="spellEnd"/>
      <w:r w:rsidR="00CE6037">
        <w:rPr>
          <w:rFonts w:ascii="Calibri" w:eastAsia="Calibri" w:hAnsi="Calibri"/>
          <w:kern w:val="2"/>
          <w:highlight w:val="yellow"/>
        </w:rPr>
        <w:t xml:space="preserve"> (version 5.2)</w:t>
      </w:r>
    </w:p>
    <w:bookmarkEnd w:id="4"/>
    <w:bookmarkEnd w:id="5"/>
    <w:p w14:paraId="79EEE8A6" w14:textId="77777777" w:rsidR="007106DE" w:rsidRPr="00E2677B" w:rsidRDefault="007106DE" w:rsidP="00441B6F">
      <w:pPr>
        <w:pStyle w:val="ReferHead"/>
        <w:spacing w:after="0"/>
        <w:jc w:val="both"/>
        <w:rPr>
          <w:rFonts w:ascii="Arial" w:hAnsi="Arial" w:cs="Arial"/>
          <w:b w:val="0"/>
          <w:caps w:val="0"/>
          <w:sz w:val="20"/>
        </w:rPr>
      </w:pPr>
    </w:p>
    <w:p w14:paraId="2A94E310" w14:textId="77777777" w:rsidR="00371FB6" w:rsidRDefault="00371FB6" w:rsidP="00441B6F">
      <w:pPr>
        <w:pStyle w:val="ReferHead"/>
        <w:spacing w:after="0"/>
        <w:jc w:val="both"/>
        <w:rPr>
          <w:rFonts w:ascii="Arial" w:hAnsi="Arial" w:cs="Arial"/>
          <w:b w:val="0"/>
          <w:caps w:val="0"/>
          <w:sz w:val="20"/>
        </w:rPr>
      </w:pPr>
    </w:p>
    <w:p w14:paraId="2CD79DE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6D26104" w14:textId="77777777" w:rsidR="00284C4C" w:rsidRPr="00C2332E" w:rsidRDefault="00284C4C" w:rsidP="00441B6F">
      <w:pPr>
        <w:pStyle w:val="Body"/>
        <w:spacing w:after="0"/>
        <w:rPr>
          <w:rFonts w:ascii="Arial" w:hAnsi="Arial" w:cs="Arial"/>
          <w:u w:val="single"/>
        </w:rPr>
      </w:pPr>
    </w:p>
    <w:p w14:paraId="1655856B" w14:textId="4E9DB95C" w:rsidR="00432BF3" w:rsidRPr="007A6114" w:rsidRDefault="00C2332E" w:rsidP="007A6114">
      <w:pPr>
        <w:pStyle w:val="ListParagraph"/>
        <w:widowControl w:val="0"/>
        <w:numPr>
          <w:ilvl w:val="0"/>
          <w:numId w:val="32"/>
        </w:numPr>
        <w:autoSpaceDE w:val="0"/>
        <w:autoSpaceDN w:val="0"/>
        <w:adjustRightInd w:val="0"/>
        <w:rPr>
          <w:rFonts w:ascii="Arial" w:hAnsi="Arial" w:cs="Arial"/>
          <w:noProof/>
          <w:szCs w:val="24"/>
        </w:rPr>
      </w:pPr>
      <w:r w:rsidRPr="00C2332E">
        <w:rPr>
          <w:rFonts w:ascii="Arial" w:hAnsi="Arial" w:cs="Arial"/>
          <w:b/>
          <w:lang w:val="en-IN"/>
        </w:rPr>
        <w:fldChar w:fldCharType="begin" w:fldLock="1"/>
      </w:r>
      <w:r w:rsidRPr="007A6114">
        <w:rPr>
          <w:rFonts w:ascii="Arial" w:hAnsi="Arial" w:cs="Arial"/>
          <w:b/>
          <w:lang w:val="en-IN"/>
        </w:rPr>
        <w:instrText xml:space="preserve">ADDIN Mendeley Bibliography CSL_BIBLIOGRAPHY </w:instrText>
      </w:r>
      <w:r w:rsidRPr="00C2332E">
        <w:rPr>
          <w:rFonts w:ascii="Arial" w:hAnsi="Arial" w:cs="Arial"/>
          <w:b/>
          <w:lang w:val="en-IN"/>
        </w:rPr>
        <w:fldChar w:fldCharType="separate"/>
      </w:r>
      <w:r w:rsidR="00432BF3" w:rsidRPr="007A6114">
        <w:rPr>
          <w:rFonts w:ascii="Arial" w:hAnsi="Arial" w:cs="Arial"/>
          <w:noProof/>
          <w:szCs w:val="24"/>
        </w:rPr>
        <w:t xml:space="preserve">Allaire, S. E., &amp; Parent, L. E. (2004). Physical Properties of Granular Organic-based Fertilisers, Part 2: Dynamic Properties Related to Water. </w:t>
      </w:r>
      <w:r w:rsidR="00432BF3" w:rsidRPr="007A6114">
        <w:rPr>
          <w:rFonts w:ascii="Arial" w:hAnsi="Arial" w:cs="Arial"/>
          <w:i/>
          <w:iCs/>
          <w:noProof/>
          <w:szCs w:val="24"/>
        </w:rPr>
        <w:t>Biosystems Engineering</w:t>
      </w:r>
      <w:r w:rsidR="00432BF3" w:rsidRPr="007A6114">
        <w:rPr>
          <w:rFonts w:ascii="Arial" w:hAnsi="Arial" w:cs="Arial"/>
          <w:noProof/>
          <w:szCs w:val="24"/>
        </w:rPr>
        <w:t xml:space="preserve">, </w:t>
      </w:r>
      <w:r w:rsidR="00432BF3" w:rsidRPr="007A6114">
        <w:rPr>
          <w:rFonts w:ascii="Arial" w:hAnsi="Arial" w:cs="Arial"/>
          <w:i/>
          <w:iCs/>
          <w:noProof/>
          <w:szCs w:val="24"/>
        </w:rPr>
        <w:t>87</w:t>
      </w:r>
      <w:r w:rsidR="00432BF3" w:rsidRPr="007A6114">
        <w:rPr>
          <w:rFonts w:ascii="Arial" w:hAnsi="Arial" w:cs="Arial"/>
          <w:noProof/>
          <w:szCs w:val="24"/>
        </w:rPr>
        <w:t>(2), 225–236. https://doi.org/10.1016/j.biosystemseng.2003.09.007</w:t>
      </w:r>
    </w:p>
    <w:p w14:paraId="69EC1E34" w14:textId="77777777" w:rsidR="00432BF3" w:rsidRPr="007A6114" w:rsidRDefault="00432BF3" w:rsidP="007A6114">
      <w:pPr>
        <w:pStyle w:val="ListParagraph"/>
        <w:widowControl w:val="0"/>
        <w:numPr>
          <w:ilvl w:val="0"/>
          <w:numId w:val="32"/>
        </w:numPr>
        <w:autoSpaceDE w:val="0"/>
        <w:autoSpaceDN w:val="0"/>
        <w:adjustRightInd w:val="0"/>
        <w:rPr>
          <w:rFonts w:ascii="Arial" w:hAnsi="Arial" w:cs="Arial"/>
          <w:noProof/>
          <w:szCs w:val="24"/>
        </w:rPr>
      </w:pPr>
      <w:r w:rsidRPr="007A6114">
        <w:rPr>
          <w:rFonts w:ascii="Arial" w:hAnsi="Arial" w:cs="Arial"/>
          <w:noProof/>
          <w:szCs w:val="24"/>
          <w:highlight w:val="yellow"/>
        </w:rPr>
        <w:t xml:space="preserve">Amiri, H., Kianmehr, M. H., &amp; Arabhosseini, A. (2019). Effect of particle size, die rotary speed and amount of urea on physical properties of the produced pellet. </w:t>
      </w:r>
      <w:r w:rsidRPr="007A6114">
        <w:rPr>
          <w:rFonts w:ascii="Arial" w:hAnsi="Arial" w:cs="Arial"/>
          <w:i/>
          <w:iCs/>
          <w:noProof/>
          <w:szCs w:val="24"/>
          <w:highlight w:val="yellow"/>
        </w:rPr>
        <w:t>International Journal of Environmental Science and Technology</w:t>
      </w:r>
      <w:r w:rsidRPr="007A6114">
        <w:rPr>
          <w:rFonts w:ascii="Arial" w:hAnsi="Arial" w:cs="Arial"/>
          <w:noProof/>
          <w:szCs w:val="24"/>
          <w:highlight w:val="yellow"/>
        </w:rPr>
        <w:t xml:space="preserve">, </w:t>
      </w:r>
      <w:r w:rsidRPr="007A6114">
        <w:rPr>
          <w:rFonts w:ascii="Arial" w:hAnsi="Arial" w:cs="Arial"/>
          <w:i/>
          <w:iCs/>
          <w:noProof/>
          <w:szCs w:val="24"/>
          <w:highlight w:val="yellow"/>
        </w:rPr>
        <w:t>16</w:t>
      </w:r>
      <w:r w:rsidRPr="007A6114">
        <w:rPr>
          <w:rFonts w:ascii="Arial" w:hAnsi="Arial" w:cs="Arial"/>
          <w:noProof/>
          <w:szCs w:val="24"/>
          <w:highlight w:val="yellow"/>
        </w:rPr>
        <w:t>(4). https://doi.org/10.1007/s13762-017-1627-1</w:t>
      </w:r>
    </w:p>
    <w:p w14:paraId="224FA3E8" w14:textId="77777777" w:rsidR="00432BF3" w:rsidRPr="007A6114" w:rsidRDefault="00432BF3" w:rsidP="007A6114">
      <w:pPr>
        <w:pStyle w:val="ListParagraph"/>
        <w:widowControl w:val="0"/>
        <w:numPr>
          <w:ilvl w:val="0"/>
          <w:numId w:val="32"/>
        </w:numPr>
        <w:autoSpaceDE w:val="0"/>
        <w:autoSpaceDN w:val="0"/>
        <w:adjustRightInd w:val="0"/>
        <w:rPr>
          <w:rFonts w:ascii="Arial" w:hAnsi="Arial" w:cs="Arial"/>
          <w:noProof/>
          <w:szCs w:val="24"/>
        </w:rPr>
      </w:pPr>
      <w:r w:rsidRPr="007A6114">
        <w:rPr>
          <w:rFonts w:ascii="Arial" w:hAnsi="Arial" w:cs="Arial"/>
          <w:noProof/>
          <w:szCs w:val="24"/>
        </w:rPr>
        <w:t xml:space="preserve">Anonymous. (2024). </w:t>
      </w:r>
      <w:r w:rsidRPr="007A6114">
        <w:rPr>
          <w:rFonts w:ascii="Arial" w:hAnsi="Arial" w:cs="Arial"/>
          <w:i/>
          <w:iCs/>
          <w:noProof/>
          <w:szCs w:val="24"/>
        </w:rPr>
        <w:t>Annual Report 2023-24, Department of Fertilizers, Ministry of Chemicals &amp; Fertilizers, Government of India, New Delhi</w:t>
      </w:r>
      <w:r w:rsidRPr="007A6114">
        <w:rPr>
          <w:rFonts w:ascii="Arial" w:hAnsi="Arial" w:cs="Arial"/>
          <w:noProof/>
          <w:szCs w:val="24"/>
        </w:rPr>
        <w:t>.</w:t>
      </w:r>
    </w:p>
    <w:p w14:paraId="644FCE26" w14:textId="77777777" w:rsidR="00432BF3" w:rsidRPr="007A6114" w:rsidRDefault="00432BF3" w:rsidP="007A6114">
      <w:pPr>
        <w:pStyle w:val="ListParagraph"/>
        <w:widowControl w:val="0"/>
        <w:numPr>
          <w:ilvl w:val="0"/>
          <w:numId w:val="32"/>
        </w:numPr>
        <w:autoSpaceDE w:val="0"/>
        <w:autoSpaceDN w:val="0"/>
        <w:adjustRightInd w:val="0"/>
        <w:rPr>
          <w:rFonts w:ascii="Arial" w:hAnsi="Arial" w:cs="Arial"/>
          <w:noProof/>
          <w:szCs w:val="24"/>
        </w:rPr>
      </w:pPr>
      <w:r w:rsidRPr="007A6114">
        <w:rPr>
          <w:rFonts w:ascii="Arial" w:hAnsi="Arial" w:cs="Arial"/>
          <w:noProof/>
          <w:szCs w:val="24"/>
        </w:rPr>
        <w:t xml:space="preserve">Bhatti, M. E. (1992). Physical properties comparative study of urea of different companies in Pakistan. </w:t>
      </w:r>
      <w:r w:rsidRPr="007A6114">
        <w:rPr>
          <w:rFonts w:ascii="Arial" w:hAnsi="Arial" w:cs="Arial"/>
          <w:i/>
          <w:iCs/>
          <w:noProof/>
          <w:szCs w:val="24"/>
        </w:rPr>
        <w:t>Fertilizer Research</w:t>
      </w:r>
      <w:r w:rsidRPr="007A6114">
        <w:rPr>
          <w:rFonts w:ascii="Arial" w:hAnsi="Arial" w:cs="Arial"/>
          <w:noProof/>
          <w:szCs w:val="24"/>
        </w:rPr>
        <w:t xml:space="preserve">, </w:t>
      </w:r>
      <w:r w:rsidRPr="007A6114">
        <w:rPr>
          <w:rFonts w:ascii="Arial" w:hAnsi="Arial" w:cs="Arial"/>
          <w:i/>
          <w:iCs/>
          <w:noProof/>
          <w:szCs w:val="24"/>
        </w:rPr>
        <w:t>32</w:t>
      </w:r>
      <w:r w:rsidRPr="007A6114">
        <w:rPr>
          <w:rFonts w:ascii="Arial" w:hAnsi="Arial" w:cs="Arial"/>
          <w:noProof/>
          <w:szCs w:val="24"/>
        </w:rPr>
        <w:t>, 13–17. https://doi.org/10.1007/BF01054389</w:t>
      </w:r>
    </w:p>
    <w:p w14:paraId="64A483F5" w14:textId="77777777" w:rsidR="00432BF3" w:rsidRPr="007A6114" w:rsidRDefault="00432BF3" w:rsidP="007A6114">
      <w:pPr>
        <w:pStyle w:val="ListParagraph"/>
        <w:widowControl w:val="0"/>
        <w:numPr>
          <w:ilvl w:val="0"/>
          <w:numId w:val="32"/>
        </w:numPr>
        <w:autoSpaceDE w:val="0"/>
        <w:autoSpaceDN w:val="0"/>
        <w:adjustRightInd w:val="0"/>
        <w:rPr>
          <w:rFonts w:ascii="Arial" w:hAnsi="Arial" w:cs="Arial"/>
          <w:noProof/>
          <w:szCs w:val="24"/>
        </w:rPr>
      </w:pPr>
      <w:r w:rsidRPr="007A6114">
        <w:rPr>
          <w:rFonts w:ascii="Arial" w:hAnsi="Arial" w:cs="Arial"/>
          <w:noProof/>
          <w:szCs w:val="24"/>
          <w:highlight w:val="yellow"/>
        </w:rPr>
        <w:t xml:space="preserve">Cousins, J. D. M., Roberge, M. J., &amp; Tabil, L. G. (2021). Measuring the physical properties of granular fertilizer in relation to flow. </w:t>
      </w:r>
      <w:r w:rsidRPr="007A6114">
        <w:rPr>
          <w:rFonts w:ascii="Arial" w:hAnsi="Arial" w:cs="Arial"/>
          <w:i/>
          <w:iCs/>
          <w:noProof/>
          <w:szCs w:val="24"/>
          <w:highlight w:val="yellow"/>
        </w:rPr>
        <w:t>5th International Conference of the International Commission of Agricultural and Biosystems Engineering (CIGR)</w:t>
      </w:r>
      <w:r w:rsidRPr="007A6114">
        <w:rPr>
          <w:rFonts w:ascii="Arial" w:hAnsi="Arial" w:cs="Arial"/>
          <w:noProof/>
          <w:szCs w:val="24"/>
          <w:highlight w:val="yellow"/>
        </w:rPr>
        <w:t>, 1–10.</w:t>
      </w:r>
    </w:p>
    <w:p w14:paraId="16674D63" w14:textId="77777777" w:rsidR="00432BF3" w:rsidRPr="007A6114" w:rsidRDefault="00432BF3" w:rsidP="007A6114">
      <w:pPr>
        <w:pStyle w:val="ListParagraph"/>
        <w:widowControl w:val="0"/>
        <w:numPr>
          <w:ilvl w:val="0"/>
          <w:numId w:val="32"/>
        </w:numPr>
        <w:autoSpaceDE w:val="0"/>
        <w:autoSpaceDN w:val="0"/>
        <w:adjustRightInd w:val="0"/>
        <w:rPr>
          <w:rFonts w:ascii="Arial" w:hAnsi="Arial" w:cs="Arial"/>
          <w:noProof/>
          <w:szCs w:val="24"/>
        </w:rPr>
      </w:pPr>
      <w:r w:rsidRPr="007A6114">
        <w:rPr>
          <w:rFonts w:ascii="Arial" w:hAnsi="Arial" w:cs="Arial"/>
          <w:noProof/>
          <w:szCs w:val="24"/>
        </w:rPr>
        <w:t xml:space="preserve">Fulton, J., &amp; Port, K. (2016). </w:t>
      </w:r>
      <w:r w:rsidRPr="007A6114">
        <w:rPr>
          <w:rFonts w:ascii="Arial" w:hAnsi="Arial" w:cs="Arial"/>
          <w:i/>
          <w:iCs/>
          <w:noProof/>
          <w:szCs w:val="24"/>
        </w:rPr>
        <w:t>Physical Properties of Granular Fertilizers and Impact on Spreading</w:t>
      </w:r>
      <w:r w:rsidRPr="007A6114">
        <w:rPr>
          <w:rFonts w:ascii="Arial" w:hAnsi="Arial" w:cs="Arial"/>
          <w:noProof/>
          <w:szCs w:val="24"/>
        </w:rPr>
        <w:t>. https://ohioline.osu.edu/factsheet/fabe-5501</w:t>
      </w:r>
    </w:p>
    <w:p w14:paraId="14107A5A" w14:textId="77777777" w:rsidR="00432BF3" w:rsidRPr="007A6114" w:rsidRDefault="00432BF3" w:rsidP="007A6114">
      <w:pPr>
        <w:pStyle w:val="ListParagraph"/>
        <w:widowControl w:val="0"/>
        <w:numPr>
          <w:ilvl w:val="0"/>
          <w:numId w:val="32"/>
        </w:numPr>
        <w:autoSpaceDE w:val="0"/>
        <w:autoSpaceDN w:val="0"/>
        <w:adjustRightInd w:val="0"/>
        <w:rPr>
          <w:rFonts w:ascii="Arial" w:hAnsi="Arial" w:cs="Arial"/>
          <w:noProof/>
          <w:szCs w:val="24"/>
        </w:rPr>
      </w:pPr>
      <w:r w:rsidRPr="007A6114">
        <w:rPr>
          <w:rFonts w:ascii="Arial" w:hAnsi="Arial" w:cs="Arial"/>
          <w:noProof/>
          <w:szCs w:val="24"/>
        </w:rPr>
        <w:t xml:space="preserve">Gavrilović, M., Dimitrijević, A., Radojičin, M., Mileusnić, Z., &amp; Miodragović, R. (2018). Effects of the application system on the physical and mechanical properties of mineral fertilizers. </w:t>
      </w:r>
      <w:r w:rsidRPr="007A6114">
        <w:rPr>
          <w:rFonts w:ascii="Arial" w:hAnsi="Arial" w:cs="Arial"/>
          <w:i/>
          <w:iCs/>
          <w:noProof/>
          <w:szCs w:val="24"/>
        </w:rPr>
        <w:t>Journal on Processing and Energy in Agriculture</w:t>
      </w:r>
      <w:r w:rsidRPr="007A6114">
        <w:rPr>
          <w:rFonts w:ascii="Arial" w:hAnsi="Arial" w:cs="Arial"/>
          <w:noProof/>
          <w:szCs w:val="24"/>
        </w:rPr>
        <w:t xml:space="preserve">, </w:t>
      </w:r>
      <w:r w:rsidRPr="007A6114">
        <w:rPr>
          <w:rFonts w:ascii="Arial" w:hAnsi="Arial" w:cs="Arial"/>
          <w:i/>
          <w:iCs/>
          <w:noProof/>
          <w:szCs w:val="24"/>
        </w:rPr>
        <w:t>22</w:t>
      </w:r>
      <w:r w:rsidRPr="007A6114">
        <w:rPr>
          <w:rFonts w:ascii="Arial" w:hAnsi="Arial" w:cs="Arial"/>
          <w:noProof/>
          <w:szCs w:val="24"/>
        </w:rPr>
        <w:t>(4), 180–183. https://doi.org/10.5937/jpea1804180G</w:t>
      </w:r>
    </w:p>
    <w:p w14:paraId="573288B0" w14:textId="77777777" w:rsidR="00432BF3" w:rsidRPr="007A6114" w:rsidRDefault="00432BF3" w:rsidP="007A6114">
      <w:pPr>
        <w:pStyle w:val="ListParagraph"/>
        <w:widowControl w:val="0"/>
        <w:numPr>
          <w:ilvl w:val="0"/>
          <w:numId w:val="32"/>
        </w:numPr>
        <w:autoSpaceDE w:val="0"/>
        <w:autoSpaceDN w:val="0"/>
        <w:adjustRightInd w:val="0"/>
        <w:rPr>
          <w:rFonts w:ascii="Arial" w:hAnsi="Arial" w:cs="Arial"/>
          <w:noProof/>
          <w:szCs w:val="24"/>
        </w:rPr>
      </w:pPr>
      <w:r w:rsidRPr="007A6114">
        <w:rPr>
          <w:rFonts w:ascii="Arial" w:hAnsi="Arial" w:cs="Arial"/>
          <w:noProof/>
          <w:szCs w:val="24"/>
        </w:rPr>
        <w:t xml:space="preserve">Glibert, P. M., Harrison, J., Heil, C., &amp; Seitzinger, S. (2006). Escalating worldwide use of urea - A global change contributing to coastal eutrophication. </w:t>
      </w:r>
      <w:r w:rsidRPr="007A6114">
        <w:rPr>
          <w:rFonts w:ascii="Arial" w:hAnsi="Arial" w:cs="Arial"/>
          <w:i/>
          <w:iCs/>
          <w:noProof/>
          <w:szCs w:val="24"/>
        </w:rPr>
        <w:t>Biogeochemistry</w:t>
      </w:r>
      <w:r w:rsidRPr="007A6114">
        <w:rPr>
          <w:rFonts w:ascii="Arial" w:hAnsi="Arial" w:cs="Arial"/>
          <w:noProof/>
          <w:szCs w:val="24"/>
        </w:rPr>
        <w:t xml:space="preserve">, </w:t>
      </w:r>
      <w:r w:rsidRPr="007A6114">
        <w:rPr>
          <w:rFonts w:ascii="Arial" w:hAnsi="Arial" w:cs="Arial"/>
          <w:i/>
          <w:iCs/>
          <w:noProof/>
          <w:szCs w:val="24"/>
        </w:rPr>
        <w:t>77</w:t>
      </w:r>
      <w:r w:rsidRPr="007A6114">
        <w:rPr>
          <w:rFonts w:ascii="Arial" w:hAnsi="Arial" w:cs="Arial"/>
          <w:noProof/>
          <w:szCs w:val="24"/>
        </w:rPr>
        <w:t>, 441–463. https://doi.org/10.1007/s10533-005-3070-5</w:t>
      </w:r>
    </w:p>
    <w:p w14:paraId="48B2B868" w14:textId="77777777" w:rsidR="00432BF3" w:rsidRPr="007A6114" w:rsidRDefault="00432BF3" w:rsidP="007A6114">
      <w:pPr>
        <w:pStyle w:val="ListParagraph"/>
        <w:widowControl w:val="0"/>
        <w:numPr>
          <w:ilvl w:val="0"/>
          <w:numId w:val="32"/>
        </w:numPr>
        <w:autoSpaceDE w:val="0"/>
        <w:autoSpaceDN w:val="0"/>
        <w:adjustRightInd w:val="0"/>
        <w:jc w:val="both"/>
        <w:rPr>
          <w:rFonts w:ascii="Arial" w:hAnsi="Arial" w:cs="Arial"/>
          <w:noProof/>
          <w:szCs w:val="24"/>
        </w:rPr>
      </w:pPr>
      <w:r w:rsidRPr="007A6114">
        <w:rPr>
          <w:rFonts w:ascii="Arial" w:hAnsi="Arial" w:cs="Arial"/>
          <w:noProof/>
          <w:szCs w:val="24"/>
          <w:highlight w:val="yellow"/>
        </w:rPr>
        <w:t xml:space="preserve">ISO 8397:1988. (1988). </w:t>
      </w:r>
      <w:r w:rsidRPr="007A6114">
        <w:rPr>
          <w:rFonts w:ascii="Arial" w:hAnsi="Arial" w:cs="Arial"/>
          <w:i/>
          <w:iCs/>
          <w:noProof/>
          <w:szCs w:val="24"/>
          <w:highlight w:val="yellow"/>
        </w:rPr>
        <w:t>Solid ferttilizers and soil conditioners - Test sieving</w:t>
      </w:r>
      <w:r w:rsidRPr="007A6114">
        <w:rPr>
          <w:rFonts w:ascii="Arial" w:hAnsi="Arial" w:cs="Arial"/>
          <w:noProof/>
          <w:szCs w:val="24"/>
          <w:highlight w:val="yellow"/>
        </w:rPr>
        <w:t>. https://standards.iteh.ai/catalog/standards/sist/2979df18-b1f1-4783-b91f-</w:t>
      </w:r>
    </w:p>
    <w:p w14:paraId="0B5939E9" w14:textId="77777777" w:rsidR="00432BF3" w:rsidRPr="007A6114" w:rsidRDefault="00432BF3" w:rsidP="007A6114">
      <w:pPr>
        <w:pStyle w:val="ListParagraph"/>
        <w:widowControl w:val="0"/>
        <w:numPr>
          <w:ilvl w:val="0"/>
          <w:numId w:val="32"/>
        </w:numPr>
        <w:autoSpaceDE w:val="0"/>
        <w:autoSpaceDN w:val="0"/>
        <w:adjustRightInd w:val="0"/>
        <w:rPr>
          <w:rFonts w:ascii="Arial" w:hAnsi="Arial" w:cs="Arial"/>
          <w:noProof/>
          <w:szCs w:val="24"/>
        </w:rPr>
      </w:pPr>
      <w:r w:rsidRPr="007A6114">
        <w:rPr>
          <w:rFonts w:ascii="Arial" w:hAnsi="Arial" w:cs="Arial"/>
          <w:noProof/>
          <w:szCs w:val="24"/>
        </w:rPr>
        <w:t xml:space="preserve">Kumar, V., Rajan, P., Deshmukh, M. M., Gupta, C., Thakare, S. K., Thakare, S. H., Gajakos, A. V., &amp; Kanade, S. A. (2025). Comparative study of particle size distribution in commercial urea fertilizers from India. </w:t>
      </w:r>
      <w:r w:rsidRPr="007A6114">
        <w:rPr>
          <w:rFonts w:ascii="Arial" w:hAnsi="Arial" w:cs="Arial"/>
          <w:i/>
          <w:iCs/>
          <w:noProof/>
          <w:szCs w:val="24"/>
        </w:rPr>
        <w:t xml:space="preserve">International Journal of </w:t>
      </w:r>
      <w:r w:rsidRPr="007A6114">
        <w:rPr>
          <w:rFonts w:ascii="Arial" w:hAnsi="Arial" w:cs="Arial"/>
          <w:i/>
          <w:iCs/>
          <w:noProof/>
          <w:szCs w:val="24"/>
        </w:rPr>
        <w:lastRenderedPageBreak/>
        <w:t>Research in Agronomy</w:t>
      </w:r>
      <w:r w:rsidRPr="007A6114">
        <w:rPr>
          <w:rFonts w:ascii="Arial" w:hAnsi="Arial" w:cs="Arial"/>
          <w:noProof/>
          <w:szCs w:val="24"/>
        </w:rPr>
        <w:t xml:space="preserve">, </w:t>
      </w:r>
      <w:r w:rsidRPr="007A6114">
        <w:rPr>
          <w:rFonts w:ascii="Arial" w:hAnsi="Arial" w:cs="Arial"/>
          <w:i/>
          <w:iCs/>
          <w:noProof/>
          <w:szCs w:val="24"/>
        </w:rPr>
        <w:t>8</w:t>
      </w:r>
      <w:r w:rsidRPr="007A6114">
        <w:rPr>
          <w:rFonts w:ascii="Arial" w:hAnsi="Arial" w:cs="Arial"/>
          <w:noProof/>
          <w:szCs w:val="24"/>
        </w:rPr>
        <w:t>(7), 10–13. https://doi.org/https://www.doi.org/10.33545/2618060X.2025.v8.i7Sa.3189</w:t>
      </w:r>
    </w:p>
    <w:p w14:paraId="790F6819" w14:textId="77777777" w:rsidR="00432BF3" w:rsidRPr="007A6114" w:rsidRDefault="00432BF3" w:rsidP="007A6114">
      <w:pPr>
        <w:pStyle w:val="ListParagraph"/>
        <w:widowControl w:val="0"/>
        <w:numPr>
          <w:ilvl w:val="0"/>
          <w:numId w:val="32"/>
        </w:numPr>
        <w:autoSpaceDE w:val="0"/>
        <w:autoSpaceDN w:val="0"/>
        <w:adjustRightInd w:val="0"/>
        <w:rPr>
          <w:rFonts w:ascii="Arial" w:hAnsi="Arial" w:cs="Arial"/>
          <w:noProof/>
          <w:szCs w:val="24"/>
        </w:rPr>
      </w:pPr>
      <w:r w:rsidRPr="007A6114">
        <w:rPr>
          <w:rFonts w:ascii="Arial" w:hAnsi="Arial" w:cs="Arial"/>
          <w:noProof/>
          <w:szCs w:val="24"/>
        </w:rPr>
        <w:t xml:space="preserve">Miserque, O., &amp; Pirard, E. (2004). Segregation of the bulk blend fertilizers. </w:t>
      </w:r>
      <w:r w:rsidRPr="007A6114">
        <w:rPr>
          <w:rFonts w:ascii="Arial" w:hAnsi="Arial" w:cs="Arial"/>
          <w:i/>
          <w:iCs/>
          <w:noProof/>
          <w:szCs w:val="24"/>
        </w:rPr>
        <w:t>Chemometrics and Intelligent Laboratory Systems</w:t>
      </w:r>
      <w:r w:rsidRPr="007A6114">
        <w:rPr>
          <w:rFonts w:ascii="Arial" w:hAnsi="Arial" w:cs="Arial"/>
          <w:noProof/>
          <w:szCs w:val="24"/>
        </w:rPr>
        <w:t xml:space="preserve">, </w:t>
      </w:r>
      <w:r w:rsidRPr="007A6114">
        <w:rPr>
          <w:rFonts w:ascii="Arial" w:hAnsi="Arial" w:cs="Arial"/>
          <w:i/>
          <w:iCs/>
          <w:noProof/>
          <w:szCs w:val="24"/>
        </w:rPr>
        <w:t>74</w:t>
      </w:r>
      <w:r w:rsidRPr="007A6114">
        <w:rPr>
          <w:rFonts w:ascii="Arial" w:hAnsi="Arial" w:cs="Arial"/>
          <w:noProof/>
          <w:szCs w:val="24"/>
        </w:rPr>
        <w:t>(1), 215–224. https://doi.org/10.1016/j.chemolab.2004.03.017</w:t>
      </w:r>
    </w:p>
    <w:p w14:paraId="5F1979B9" w14:textId="77777777" w:rsidR="00432BF3" w:rsidRPr="007A6114" w:rsidRDefault="00432BF3" w:rsidP="007A6114">
      <w:pPr>
        <w:pStyle w:val="ListParagraph"/>
        <w:widowControl w:val="0"/>
        <w:numPr>
          <w:ilvl w:val="0"/>
          <w:numId w:val="32"/>
        </w:numPr>
        <w:autoSpaceDE w:val="0"/>
        <w:autoSpaceDN w:val="0"/>
        <w:adjustRightInd w:val="0"/>
        <w:rPr>
          <w:rFonts w:ascii="Arial" w:hAnsi="Arial" w:cs="Arial"/>
          <w:noProof/>
          <w:szCs w:val="24"/>
        </w:rPr>
      </w:pPr>
      <w:r w:rsidRPr="007A6114">
        <w:rPr>
          <w:rFonts w:ascii="Arial" w:hAnsi="Arial" w:cs="Arial"/>
          <w:noProof/>
          <w:szCs w:val="24"/>
        </w:rPr>
        <w:t xml:space="preserve">Perfect, E., Xu, Q., &amp; Terry, D. L. (1998). Improved parameterization of fertilizer particle size distribution. </w:t>
      </w:r>
      <w:r w:rsidRPr="007A6114">
        <w:rPr>
          <w:rFonts w:ascii="Arial" w:hAnsi="Arial" w:cs="Arial"/>
          <w:i/>
          <w:iCs/>
          <w:noProof/>
          <w:szCs w:val="24"/>
        </w:rPr>
        <w:t>Journal of AOAC International</w:t>
      </w:r>
      <w:r w:rsidRPr="007A6114">
        <w:rPr>
          <w:rFonts w:ascii="Arial" w:hAnsi="Arial" w:cs="Arial"/>
          <w:noProof/>
          <w:szCs w:val="24"/>
        </w:rPr>
        <w:t xml:space="preserve">, </w:t>
      </w:r>
      <w:r w:rsidRPr="007A6114">
        <w:rPr>
          <w:rFonts w:ascii="Arial" w:hAnsi="Arial" w:cs="Arial"/>
          <w:i/>
          <w:iCs/>
          <w:noProof/>
          <w:szCs w:val="24"/>
        </w:rPr>
        <w:t>81</w:t>
      </w:r>
      <w:r w:rsidRPr="007A6114">
        <w:rPr>
          <w:rFonts w:ascii="Arial" w:hAnsi="Arial" w:cs="Arial"/>
          <w:noProof/>
          <w:szCs w:val="24"/>
        </w:rPr>
        <w:t>(5), 935–942. https://academic.oup.com/jaoac/article/81/5/935/5684045</w:t>
      </w:r>
    </w:p>
    <w:p w14:paraId="6F5F84BF" w14:textId="77777777" w:rsidR="00432BF3" w:rsidRPr="007A6114" w:rsidRDefault="00432BF3" w:rsidP="007A6114">
      <w:pPr>
        <w:pStyle w:val="ListParagraph"/>
        <w:widowControl w:val="0"/>
        <w:numPr>
          <w:ilvl w:val="0"/>
          <w:numId w:val="32"/>
        </w:numPr>
        <w:autoSpaceDE w:val="0"/>
        <w:autoSpaceDN w:val="0"/>
        <w:adjustRightInd w:val="0"/>
        <w:jc w:val="both"/>
        <w:rPr>
          <w:rFonts w:ascii="Arial" w:hAnsi="Arial" w:cs="Arial"/>
          <w:noProof/>
          <w:szCs w:val="24"/>
        </w:rPr>
      </w:pPr>
      <w:r w:rsidRPr="007A6114">
        <w:rPr>
          <w:rFonts w:ascii="Arial" w:hAnsi="Arial" w:cs="Arial"/>
          <w:noProof/>
          <w:szCs w:val="24"/>
          <w:highlight w:val="yellow"/>
        </w:rPr>
        <w:t xml:space="preserve">Rahmanian, N., Naderi, S., Supuk, E., Abbas, R., &amp; Hassanpour, A. (2015). Urea finishing process: Prilling versus granulation. </w:t>
      </w:r>
      <w:r w:rsidRPr="007A6114">
        <w:rPr>
          <w:rFonts w:ascii="Arial" w:hAnsi="Arial" w:cs="Arial"/>
          <w:i/>
          <w:iCs/>
          <w:noProof/>
          <w:szCs w:val="24"/>
          <w:highlight w:val="yellow"/>
        </w:rPr>
        <w:t>Procedia Engineering</w:t>
      </w:r>
      <w:r w:rsidRPr="007A6114">
        <w:rPr>
          <w:rFonts w:ascii="Arial" w:hAnsi="Arial" w:cs="Arial"/>
          <w:noProof/>
          <w:szCs w:val="24"/>
          <w:highlight w:val="yellow"/>
        </w:rPr>
        <w:t xml:space="preserve">, </w:t>
      </w:r>
      <w:r w:rsidRPr="007A6114">
        <w:rPr>
          <w:rFonts w:ascii="Arial" w:hAnsi="Arial" w:cs="Arial"/>
          <w:i/>
          <w:iCs/>
          <w:noProof/>
          <w:szCs w:val="24"/>
          <w:highlight w:val="yellow"/>
        </w:rPr>
        <w:t>102</w:t>
      </w:r>
      <w:r w:rsidRPr="007A6114">
        <w:rPr>
          <w:rFonts w:ascii="Arial" w:hAnsi="Arial" w:cs="Arial"/>
          <w:noProof/>
          <w:szCs w:val="24"/>
          <w:highlight w:val="yellow"/>
        </w:rPr>
        <w:t>, 174–181. https://doi.org/10.1016/j.proeng.2015.01.122</w:t>
      </w:r>
    </w:p>
    <w:p w14:paraId="3E748BB9" w14:textId="77777777" w:rsidR="00432BF3" w:rsidRPr="007A6114" w:rsidRDefault="00432BF3" w:rsidP="007A6114">
      <w:pPr>
        <w:pStyle w:val="ListParagraph"/>
        <w:widowControl w:val="0"/>
        <w:numPr>
          <w:ilvl w:val="0"/>
          <w:numId w:val="32"/>
        </w:numPr>
        <w:autoSpaceDE w:val="0"/>
        <w:autoSpaceDN w:val="0"/>
        <w:adjustRightInd w:val="0"/>
        <w:jc w:val="both"/>
        <w:rPr>
          <w:rFonts w:ascii="Arial" w:hAnsi="Arial" w:cs="Arial"/>
          <w:noProof/>
          <w:szCs w:val="24"/>
        </w:rPr>
      </w:pPr>
      <w:r w:rsidRPr="007A6114">
        <w:rPr>
          <w:rFonts w:ascii="Arial" w:hAnsi="Arial" w:cs="Arial"/>
          <w:noProof/>
          <w:szCs w:val="24"/>
          <w:highlight w:val="yellow"/>
        </w:rPr>
        <w:t xml:space="preserve">Rutland, D. W. (1986). </w:t>
      </w:r>
      <w:r w:rsidRPr="007A6114">
        <w:rPr>
          <w:rFonts w:ascii="Arial" w:hAnsi="Arial" w:cs="Arial"/>
          <w:i/>
          <w:iCs/>
          <w:noProof/>
          <w:szCs w:val="24"/>
          <w:highlight w:val="yellow"/>
        </w:rPr>
        <w:t>Manual for determining physical properties of fertilizer</w:t>
      </w:r>
      <w:r w:rsidRPr="007A6114">
        <w:rPr>
          <w:rFonts w:ascii="Arial" w:hAnsi="Arial" w:cs="Arial"/>
          <w:noProof/>
          <w:szCs w:val="24"/>
          <w:highlight w:val="yellow"/>
        </w:rPr>
        <w:t>.</w:t>
      </w:r>
    </w:p>
    <w:p w14:paraId="18210742" w14:textId="77777777" w:rsidR="00432BF3" w:rsidRPr="007A6114" w:rsidRDefault="00432BF3" w:rsidP="007A6114">
      <w:pPr>
        <w:pStyle w:val="ListParagraph"/>
        <w:widowControl w:val="0"/>
        <w:numPr>
          <w:ilvl w:val="0"/>
          <w:numId w:val="32"/>
        </w:numPr>
        <w:autoSpaceDE w:val="0"/>
        <w:autoSpaceDN w:val="0"/>
        <w:adjustRightInd w:val="0"/>
        <w:jc w:val="both"/>
        <w:rPr>
          <w:rFonts w:ascii="Arial" w:hAnsi="Arial" w:cs="Arial"/>
          <w:noProof/>
          <w:szCs w:val="24"/>
        </w:rPr>
      </w:pPr>
      <w:r w:rsidRPr="007A6114">
        <w:rPr>
          <w:rFonts w:ascii="Arial" w:hAnsi="Arial" w:cs="Arial"/>
          <w:noProof/>
          <w:szCs w:val="24"/>
          <w:highlight w:val="yellow"/>
        </w:rPr>
        <w:t xml:space="preserve">Shamsudin, I. S., Anuar, M. S., Yusof, Y. A., Mohd, A. H., &amp; Tahir, S. M. (2014). Effect of Particle Size on Direct Compaction of Urea Fertilizer. </w:t>
      </w:r>
      <w:r w:rsidRPr="007A6114">
        <w:rPr>
          <w:rFonts w:ascii="Arial" w:hAnsi="Arial" w:cs="Arial"/>
          <w:i/>
          <w:iCs/>
          <w:noProof/>
          <w:szCs w:val="24"/>
          <w:highlight w:val="yellow"/>
        </w:rPr>
        <w:t>Particulate Science and Technology: An International Journal</w:t>
      </w:r>
      <w:r w:rsidRPr="007A6114">
        <w:rPr>
          <w:rFonts w:ascii="Arial" w:hAnsi="Arial" w:cs="Arial"/>
          <w:noProof/>
          <w:szCs w:val="24"/>
          <w:highlight w:val="yellow"/>
        </w:rPr>
        <w:t xml:space="preserve">, </w:t>
      </w:r>
      <w:r w:rsidRPr="007A6114">
        <w:rPr>
          <w:rFonts w:ascii="Arial" w:hAnsi="Arial" w:cs="Arial"/>
          <w:i/>
          <w:iCs/>
          <w:noProof/>
          <w:szCs w:val="24"/>
          <w:highlight w:val="yellow"/>
        </w:rPr>
        <w:t>32</w:t>
      </w:r>
      <w:r w:rsidRPr="007A6114">
        <w:rPr>
          <w:rFonts w:ascii="Arial" w:hAnsi="Arial" w:cs="Arial"/>
          <w:noProof/>
          <w:szCs w:val="24"/>
          <w:highlight w:val="yellow"/>
        </w:rPr>
        <w:t>(6), 544–553. https://doi.org/10.1080/02726351.2014.930942</w:t>
      </w:r>
    </w:p>
    <w:p w14:paraId="46203AA7" w14:textId="77777777" w:rsidR="00432BF3" w:rsidRPr="007A6114" w:rsidRDefault="00432BF3" w:rsidP="007A6114">
      <w:pPr>
        <w:pStyle w:val="ListParagraph"/>
        <w:widowControl w:val="0"/>
        <w:numPr>
          <w:ilvl w:val="0"/>
          <w:numId w:val="32"/>
        </w:numPr>
        <w:autoSpaceDE w:val="0"/>
        <w:autoSpaceDN w:val="0"/>
        <w:adjustRightInd w:val="0"/>
        <w:rPr>
          <w:rFonts w:ascii="Arial" w:hAnsi="Arial" w:cs="Arial"/>
          <w:noProof/>
          <w:szCs w:val="24"/>
        </w:rPr>
      </w:pPr>
      <w:r w:rsidRPr="007A6114">
        <w:rPr>
          <w:rFonts w:ascii="Arial" w:hAnsi="Arial" w:cs="Arial"/>
          <w:noProof/>
          <w:szCs w:val="24"/>
        </w:rPr>
        <w:t xml:space="preserve">Simsek, H. M., &amp; Guliyev, R. (2021). The investigation of physical properties of composite fertilizer including boron micro element. </w:t>
      </w:r>
      <w:r w:rsidRPr="007A6114">
        <w:rPr>
          <w:rFonts w:ascii="Arial" w:hAnsi="Arial" w:cs="Arial"/>
          <w:i/>
          <w:iCs/>
          <w:noProof/>
          <w:szCs w:val="24"/>
        </w:rPr>
        <w:t>Sakarya University Journal of Science</w:t>
      </w:r>
      <w:r w:rsidRPr="007A6114">
        <w:rPr>
          <w:rFonts w:ascii="Arial" w:hAnsi="Arial" w:cs="Arial"/>
          <w:noProof/>
          <w:szCs w:val="24"/>
        </w:rPr>
        <w:t xml:space="preserve">, </w:t>
      </w:r>
      <w:r w:rsidRPr="007A6114">
        <w:rPr>
          <w:rFonts w:ascii="Arial" w:hAnsi="Arial" w:cs="Arial"/>
          <w:i/>
          <w:iCs/>
          <w:noProof/>
          <w:szCs w:val="24"/>
        </w:rPr>
        <w:t>25</w:t>
      </w:r>
      <w:r w:rsidRPr="007A6114">
        <w:rPr>
          <w:rFonts w:ascii="Arial" w:hAnsi="Arial" w:cs="Arial"/>
          <w:noProof/>
          <w:szCs w:val="24"/>
        </w:rPr>
        <w:t>(5), 1245–1252. https://doi.org/10.16984/saufenbilder.853343</w:t>
      </w:r>
    </w:p>
    <w:p w14:paraId="5D77040A" w14:textId="72D4D736" w:rsidR="00432BF3" w:rsidRPr="004914E1" w:rsidRDefault="00432BF3" w:rsidP="007A6114">
      <w:pPr>
        <w:pStyle w:val="ListParagraph"/>
        <w:widowControl w:val="0"/>
        <w:numPr>
          <w:ilvl w:val="0"/>
          <w:numId w:val="32"/>
        </w:numPr>
        <w:autoSpaceDE w:val="0"/>
        <w:autoSpaceDN w:val="0"/>
        <w:adjustRightInd w:val="0"/>
        <w:rPr>
          <w:rFonts w:ascii="Arial" w:hAnsi="Arial" w:cs="Arial"/>
          <w:noProof/>
        </w:rPr>
      </w:pPr>
      <w:r w:rsidRPr="007A6114">
        <w:rPr>
          <w:rFonts w:ascii="Arial" w:hAnsi="Arial" w:cs="Arial"/>
          <w:noProof/>
          <w:szCs w:val="24"/>
        </w:rPr>
        <w:t xml:space="preserve">Virk, S. S., Mullenix, D. K., Sharda, A., Hall, J. B., Wood, C. W., Fasina, O. O., McDonald, T. P., Pate, G. L., &amp; Fulton, J. P. (2013). Case study: Distribution uniformity of a blended fertilizer applied using a variable-rate spinner-disc spreader. </w:t>
      </w:r>
      <w:r w:rsidRPr="007A6114">
        <w:rPr>
          <w:rFonts w:ascii="Arial" w:hAnsi="Arial" w:cs="Arial"/>
          <w:i/>
          <w:iCs/>
          <w:noProof/>
          <w:szCs w:val="24"/>
        </w:rPr>
        <w:t>Applied Engineering in Agriculture</w:t>
      </w:r>
      <w:r w:rsidRPr="007A6114">
        <w:rPr>
          <w:rFonts w:ascii="Arial" w:hAnsi="Arial" w:cs="Arial"/>
          <w:noProof/>
          <w:szCs w:val="24"/>
        </w:rPr>
        <w:t xml:space="preserve">, </w:t>
      </w:r>
      <w:r w:rsidRPr="007A6114">
        <w:rPr>
          <w:rFonts w:ascii="Arial" w:hAnsi="Arial" w:cs="Arial"/>
          <w:i/>
          <w:iCs/>
          <w:noProof/>
          <w:szCs w:val="24"/>
        </w:rPr>
        <w:t>29</w:t>
      </w:r>
      <w:r w:rsidRPr="007A6114">
        <w:rPr>
          <w:rFonts w:ascii="Arial" w:hAnsi="Arial" w:cs="Arial"/>
          <w:noProof/>
          <w:szCs w:val="24"/>
        </w:rPr>
        <w:t>(5), 627–636. https://doi.org/10.13031/aea.29.9774</w:t>
      </w:r>
    </w:p>
    <w:p w14:paraId="6A5133CB" w14:textId="2650BE52" w:rsidR="004914E1" w:rsidRPr="007A6114" w:rsidRDefault="004914E1" w:rsidP="007A6114">
      <w:pPr>
        <w:pStyle w:val="ListParagraph"/>
        <w:widowControl w:val="0"/>
        <w:numPr>
          <w:ilvl w:val="0"/>
          <w:numId w:val="32"/>
        </w:numPr>
        <w:autoSpaceDE w:val="0"/>
        <w:autoSpaceDN w:val="0"/>
        <w:adjustRightInd w:val="0"/>
        <w:rPr>
          <w:rFonts w:ascii="Arial" w:hAnsi="Arial" w:cs="Arial"/>
          <w:noProof/>
        </w:rPr>
      </w:pPr>
      <w:r w:rsidRPr="004914E1">
        <w:rPr>
          <w:rFonts w:ascii="Arial" w:hAnsi="Arial" w:cs="Arial"/>
          <w:noProof/>
        </w:rPr>
        <w:t>M. K. Gamit, V. G. Bavalgave, V. N. Shiyal &amp; R. P. Vaja. (2023). Effect of Different Rates and Times of Nitrogen Application on Growth, Yield Attributes and Yield of Sweet Corn (Zea mays L. saccharata) Under South Gujarat Condition. International Journal of Plant &amp; Soil Science, 35(19), 937–945. https://doi.org/10.9734/ijpss/2023/v35i193628</w:t>
      </w:r>
    </w:p>
    <w:p w14:paraId="2353FE5A" w14:textId="00B74CBC" w:rsidR="00C2332E" w:rsidRDefault="00C2332E" w:rsidP="00750CDC">
      <w:pPr>
        <w:pStyle w:val="Body"/>
        <w:spacing w:after="0"/>
        <w:rPr>
          <w:rFonts w:ascii="Arial" w:hAnsi="Arial" w:cs="Arial"/>
        </w:rPr>
      </w:pPr>
      <w:r w:rsidRPr="00C2332E">
        <w:rPr>
          <w:rFonts w:ascii="Arial" w:hAnsi="Arial" w:cs="Arial"/>
        </w:rPr>
        <w:fldChar w:fldCharType="end"/>
      </w:r>
      <w:r w:rsidR="001D4C24">
        <w:rPr>
          <w:rFonts w:ascii="Arial" w:hAnsi="Arial" w:cs="Arial"/>
        </w:rPr>
        <w:t xml:space="preserve"> </w:t>
      </w:r>
    </w:p>
    <w:p w14:paraId="7DAB8D40" w14:textId="77777777" w:rsidR="001D4C24" w:rsidRPr="00C2332E" w:rsidRDefault="001D4C24" w:rsidP="00C2332E">
      <w:pPr>
        <w:pStyle w:val="Body"/>
        <w:spacing w:after="0"/>
        <w:rPr>
          <w:rFonts w:ascii="Arial" w:hAnsi="Arial" w:cs="Arial"/>
          <w:b/>
          <w:lang w:val="en-IN"/>
        </w:rPr>
      </w:pPr>
    </w:p>
    <w:p w14:paraId="68517DF6" w14:textId="77777777" w:rsidR="004D4277" w:rsidRPr="00C2332E" w:rsidRDefault="004D4277" w:rsidP="00C2332E">
      <w:pPr>
        <w:pStyle w:val="Body"/>
        <w:spacing w:after="0"/>
        <w:rPr>
          <w:rFonts w:ascii="Arial" w:hAnsi="Arial" w:cs="Arial"/>
        </w:rPr>
        <w:sectPr w:rsidR="004D4277" w:rsidRPr="00C2332E" w:rsidSect="00B15398">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195A3A36" w14:textId="77777777" w:rsidR="00B01FCD" w:rsidRPr="00FB3A86" w:rsidRDefault="00B01FCD" w:rsidP="00441B6F">
      <w:pPr>
        <w:pStyle w:val="Appendix"/>
        <w:spacing w:after="0"/>
        <w:jc w:val="both"/>
        <w:rPr>
          <w:rFonts w:ascii="Arial" w:hAnsi="Arial" w:cs="Arial"/>
          <w:b w:val="0"/>
        </w:rPr>
      </w:pPr>
    </w:p>
    <w:sectPr w:rsidR="00B01FCD" w:rsidRPr="00FB3A86" w:rsidSect="00B1539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DAA32" w14:textId="77777777" w:rsidR="003049BC" w:rsidRDefault="003049BC" w:rsidP="00C37E61">
      <w:r>
        <w:separator/>
      </w:r>
    </w:p>
  </w:endnote>
  <w:endnote w:type="continuationSeparator" w:id="0">
    <w:p w14:paraId="4D077EC9" w14:textId="77777777" w:rsidR="003049BC" w:rsidRDefault="003049B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4A8C" w14:textId="77777777" w:rsidR="001C49E1" w:rsidRDefault="001C49E1">
    <w:pPr>
      <w:pStyle w:val="Footer"/>
      <w:rPr>
        <w:rFonts w:ascii="Arial" w:hAnsi="Arial" w:cs="Arial"/>
        <w:sz w:val="16"/>
      </w:rPr>
    </w:pPr>
  </w:p>
  <w:p w14:paraId="21358C11" w14:textId="77777777" w:rsidR="001C49E1" w:rsidRDefault="001C49E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E4B2C4A" w14:textId="77777777" w:rsidR="001C49E1" w:rsidRDefault="001C49E1">
    <w:pPr>
      <w:pStyle w:val="Footer"/>
      <w:rPr>
        <w:rFonts w:ascii="Arial" w:hAnsi="Arial" w:cs="Arial"/>
        <w:sz w:val="16"/>
      </w:rPr>
    </w:pPr>
  </w:p>
  <w:p w14:paraId="44EECAA1" w14:textId="77777777" w:rsidR="001C49E1" w:rsidRPr="009E048A" w:rsidRDefault="001C49E1">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1CAE1" w14:textId="77777777" w:rsidR="001C49E1" w:rsidRPr="00C37E61" w:rsidRDefault="001C49E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451CD" w14:textId="77777777" w:rsidR="003049BC" w:rsidRDefault="003049BC" w:rsidP="00C37E61">
      <w:r>
        <w:separator/>
      </w:r>
    </w:p>
  </w:footnote>
  <w:footnote w:type="continuationSeparator" w:id="0">
    <w:p w14:paraId="79724BA8" w14:textId="77777777" w:rsidR="003049BC" w:rsidRDefault="003049B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788EE" w14:textId="47AE8654" w:rsidR="00B15398" w:rsidRDefault="003049BC">
    <w:pPr>
      <w:pStyle w:val="Header"/>
    </w:pPr>
    <w:r>
      <w:rPr>
        <w:noProof/>
      </w:rPr>
      <w:pict w14:anchorId="325A2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903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413B7" w14:textId="02279F78" w:rsidR="00B15398" w:rsidRDefault="003049BC">
    <w:pPr>
      <w:pStyle w:val="Header"/>
    </w:pPr>
    <w:r>
      <w:rPr>
        <w:noProof/>
      </w:rPr>
      <w:pict w14:anchorId="242A3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903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B027B" w14:textId="42B9E8EC" w:rsidR="001C49E1" w:rsidRPr="00296529" w:rsidRDefault="003049BC" w:rsidP="00296529">
    <w:pPr>
      <w:ind w:left="2160"/>
      <w:jc w:val="center"/>
      <w:rPr>
        <w:rFonts w:ascii="Times New Roman" w:eastAsia="Calibri" w:hAnsi="Times New Roman"/>
        <w:i/>
        <w:sz w:val="18"/>
        <w:szCs w:val="22"/>
      </w:rPr>
    </w:pPr>
    <w:r>
      <w:rPr>
        <w:noProof/>
      </w:rPr>
      <w:pict w14:anchorId="6C639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903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BAAE813" w14:textId="77777777" w:rsidR="001C49E1" w:rsidRPr="00296529" w:rsidRDefault="001C49E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695EE02" w14:textId="77777777" w:rsidR="001C49E1" w:rsidRPr="00296529" w:rsidRDefault="001C49E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0D872AE" w14:textId="77777777" w:rsidR="001C49E1" w:rsidRPr="00296529" w:rsidRDefault="001C49E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B460A4" w14:textId="77777777" w:rsidR="001C49E1" w:rsidRDefault="001C49E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EC4ED8" w14:textId="77777777" w:rsidR="001C49E1" w:rsidRDefault="001C49E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8997115" w14:textId="77777777" w:rsidR="001C49E1" w:rsidRDefault="001C49E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730AF" w14:textId="7A857ECB" w:rsidR="00B15398" w:rsidRDefault="003049BC">
    <w:pPr>
      <w:pStyle w:val="Header"/>
    </w:pPr>
    <w:r>
      <w:rPr>
        <w:noProof/>
      </w:rPr>
      <w:pict w14:anchorId="3E1D0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9039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F2A22" w14:textId="3FCDE58F" w:rsidR="00B15398" w:rsidRDefault="003049BC">
    <w:pPr>
      <w:pStyle w:val="Header"/>
    </w:pPr>
    <w:r>
      <w:rPr>
        <w:noProof/>
      </w:rPr>
      <w:pict w14:anchorId="0526E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9039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ED22B" w14:textId="75E85AE5" w:rsidR="00B15398" w:rsidRDefault="003049BC">
    <w:pPr>
      <w:pStyle w:val="Header"/>
    </w:pPr>
    <w:r>
      <w:rPr>
        <w:noProof/>
      </w:rPr>
      <w:pict w14:anchorId="2757F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9039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C6F94"/>
    <w:multiLevelType w:val="hybridMultilevel"/>
    <w:tmpl w:val="94588F2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2948B2"/>
    <w:multiLevelType w:val="hybridMultilevel"/>
    <w:tmpl w:val="2F285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91F"/>
    <w:rsid w:val="00005768"/>
    <w:rsid w:val="00010BBE"/>
    <w:rsid w:val="00030174"/>
    <w:rsid w:val="0004579C"/>
    <w:rsid w:val="00064F10"/>
    <w:rsid w:val="000A47FA"/>
    <w:rsid w:val="000A65D3"/>
    <w:rsid w:val="000B1E33"/>
    <w:rsid w:val="000D39A2"/>
    <w:rsid w:val="000D689F"/>
    <w:rsid w:val="000E7B7B"/>
    <w:rsid w:val="000E7D62"/>
    <w:rsid w:val="00103357"/>
    <w:rsid w:val="00123C9F"/>
    <w:rsid w:val="00126190"/>
    <w:rsid w:val="00130F17"/>
    <w:rsid w:val="001320BF"/>
    <w:rsid w:val="00137D9C"/>
    <w:rsid w:val="00163BC4"/>
    <w:rsid w:val="00171A60"/>
    <w:rsid w:val="001724C3"/>
    <w:rsid w:val="00191062"/>
    <w:rsid w:val="00192B72"/>
    <w:rsid w:val="001A29D8"/>
    <w:rsid w:val="001A5CAA"/>
    <w:rsid w:val="001B0427"/>
    <w:rsid w:val="001C49E1"/>
    <w:rsid w:val="001D3A51"/>
    <w:rsid w:val="001D4C24"/>
    <w:rsid w:val="001E10D2"/>
    <w:rsid w:val="001E25B4"/>
    <w:rsid w:val="001E44FE"/>
    <w:rsid w:val="00200595"/>
    <w:rsid w:val="00204835"/>
    <w:rsid w:val="00231920"/>
    <w:rsid w:val="0023195C"/>
    <w:rsid w:val="0024282C"/>
    <w:rsid w:val="002460DC"/>
    <w:rsid w:val="00250985"/>
    <w:rsid w:val="002556F6"/>
    <w:rsid w:val="00283105"/>
    <w:rsid w:val="00283852"/>
    <w:rsid w:val="00284C4C"/>
    <w:rsid w:val="00285984"/>
    <w:rsid w:val="00287E68"/>
    <w:rsid w:val="00296529"/>
    <w:rsid w:val="002B27FB"/>
    <w:rsid w:val="002B685A"/>
    <w:rsid w:val="002C57D2"/>
    <w:rsid w:val="002E0D56"/>
    <w:rsid w:val="003049BC"/>
    <w:rsid w:val="00315186"/>
    <w:rsid w:val="0033343E"/>
    <w:rsid w:val="003512C2"/>
    <w:rsid w:val="00371FB6"/>
    <w:rsid w:val="00373BD2"/>
    <w:rsid w:val="003763C1"/>
    <w:rsid w:val="00376BBE"/>
    <w:rsid w:val="0039224F"/>
    <w:rsid w:val="003A39B4"/>
    <w:rsid w:val="003A43A4"/>
    <w:rsid w:val="003A7E18"/>
    <w:rsid w:val="003C4C86"/>
    <w:rsid w:val="003C6258"/>
    <w:rsid w:val="003E2904"/>
    <w:rsid w:val="00401927"/>
    <w:rsid w:val="0041027F"/>
    <w:rsid w:val="00412475"/>
    <w:rsid w:val="00417D1E"/>
    <w:rsid w:val="00423789"/>
    <w:rsid w:val="00432BF3"/>
    <w:rsid w:val="00440F43"/>
    <w:rsid w:val="00441B6F"/>
    <w:rsid w:val="00446221"/>
    <w:rsid w:val="00450E62"/>
    <w:rsid w:val="004539DB"/>
    <w:rsid w:val="00471A80"/>
    <w:rsid w:val="0047296F"/>
    <w:rsid w:val="00485AF3"/>
    <w:rsid w:val="004914E1"/>
    <w:rsid w:val="004D305E"/>
    <w:rsid w:val="004D4277"/>
    <w:rsid w:val="00502516"/>
    <w:rsid w:val="00505F06"/>
    <w:rsid w:val="00506828"/>
    <w:rsid w:val="00514EE3"/>
    <w:rsid w:val="0053056E"/>
    <w:rsid w:val="00554FDA"/>
    <w:rsid w:val="0057550D"/>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63D3"/>
    <w:rsid w:val="006D30FF"/>
    <w:rsid w:val="006D6940"/>
    <w:rsid w:val="006F11EC"/>
    <w:rsid w:val="0070082C"/>
    <w:rsid w:val="007060E1"/>
    <w:rsid w:val="007106DE"/>
    <w:rsid w:val="0073350A"/>
    <w:rsid w:val="007369E6"/>
    <w:rsid w:val="00737B4E"/>
    <w:rsid w:val="00746E59"/>
    <w:rsid w:val="00750CDC"/>
    <w:rsid w:val="00754C9A"/>
    <w:rsid w:val="0075599A"/>
    <w:rsid w:val="00761D52"/>
    <w:rsid w:val="0077749E"/>
    <w:rsid w:val="00790ADA"/>
    <w:rsid w:val="007A6114"/>
    <w:rsid w:val="007D2288"/>
    <w:rsid w:val="007E088F"/>
    <w:rsid w:val="007F7B32"/>
    <w:rsid w:val="00804BC2"/>
    <w:rsid w:val="0081431A"/>
    <w:rsid w:val="0083216F"/>
    <w:rsid w:val="00854BFD"/>
    <w:rsid w:val="00860000"/>
    <w:rsid w:val="00863BD3"/>
    <w:rsid w:val="008641ED"/>
    <w:rsid w:val="00866D66"/>
    <w:rsid w:val="008671C6"/>
    <w:rsid w:val="00875803"/>
    <w:rsid w:val="008B459E"/>
    <w:rsid w:val="008E0AEE"/>
    <w:rsid w:val="008E13AE"/>
    <w:rsid w:val="008E1506"/>
    <w:rsid w:val="008E710C"/>
    <w:rsid w:val="008F69D6"/>
    <w:rsid w:val="00902823"/>
    <w:rsid w:val="00915CA6"/>
    <w:rsid w:val="00927834"/>
    <w:rsid w:val="009473DA"/>
    <w:rsid w:val="009500A6"/>
    <w:rsid w:val="00957C18"/>
    <w:rsid w:val="009659BA"/>
    <w:rsid w:val="00983040"/>
    <w:rsid w:val="009B3FB9"/>
    <w:rsid w:val="009C2465"/>
    <w:rsid w:val="009D35A0"/>
    <w:rsid w:val="009D7EB7"/>
    <w:rsid w:val="009E048A"/>
    <w:rsid w:val="009E08E9"/>
    <w:rsid w:val="009E3DB9"/>
    <w:rsid w:val="009E6E35"/>
    <w:rsid w:val="009F0EDA"/>
    <w:rsid w:val="009F556F"/>
    <w:rsid w:val="009F5EC1"/>
    <w:rsid w:val="00A03B96"/>
    <w:rsid w:val="00A05B19"/>
    <w:rsid w:val="00A1134E"/>
    <w:rsid w:val="00A24E7E"/>
    <w:rsid w:val="00A258C3"/>
    <w:rsid w:val="00A347C0"/>
    <w:rsid w:val="00A51431"/>
    <w:rsid w:val="00A539AD"/>
    <w:rsid w:val="00A81A65"/>
    <w:rsid w:val="00A94063"/>
    <w:rsid w:val="00A940D1"/>
    <w:rsid w:val="00AA6219"/>
    <w:rsid w:val="00AA74E0"/>
    <w:rsid w:val="00AB703F"/>
    <w:rsid w:val="00AC6BB8"/>
    <w:rsid w:val="00AE008F"/>
    <w:rsid w:val="00AE2A02"/>
    <w:rsid w:val="00B004E4"/>
    <w:rsid w:val="00B01FCD"/>
    <w:rsid w:val="00B15398"/>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332E"/>
    <w:rsid w:val="00C27F5F"/>
    <w:rsid w:val="00C30A0F"/>
    <w:rsid w:val="00C37E61"/>
    <w:rsid w:val="00C43C3A"/>
    <w:rsid w:val="00C70F1B"/>
    <w:rsid w:val="00C71A47"/>
    <w:rsid w:val="00C7464C"/>
    <w:rsid w:val="00C85588"/>
    <w:rsid w:val="00CD6755"/>
    <w:rsid w:val="00CD6856"/>
    <w:rsid w:val="00CE0089"/>
    <w:rsid w:val="00CE2222"/>
    <w:rsid w:val="00CE6037"/>
    <w:rsid w:val="00CE793C"/>
    <w:rsid w:val="00CF193C"/>
    <w:rsid w:val="00D173F1"/>
    <w:rsid w:val="00D21CA3"/>
    <w:rsid w:val="00D3519A"/>
    <w:rsid w:val="00D451E1"/>
    <w:rsid w:val="00D74CB0"/>
    <w:rsid w:val="00D8295D"/>
    <w:rsid w:val="00D848C6"/>
    <w:rsid w:val="00DC2A65"/>
    <w:rsid w:val="00DE15F0"/>
    <w:rsid w:val="00DE5663"/>
    <w:rsid w:val="00DE78AA"/>
    <w:rsid w:val="00E053D0"/>
    <w:rsid w:val="00E15994"/>
    <w:rsid w:val="00E20E17"/>
    <w:rsid w:val="00E2677B"/>
    <w:rsid w:val="00E3114E"/>
    <w:rsid w:val="00E31A70"/>
    <w:rsid w:val="00E35B02"/>
    <w:rsid w:val="00E66496"/>
    <w:rsid w:val="00E66B35"/>
    <w:rsid w:val="00E66E10"/>
    <w:rsid w:val="00E769F6"/>
    <w:rsid w:val="00E8407C"/>
    <w:rsid w:val="00E84F3C"/>
    <w:rsid w:val="00EA012C"/>
    <w:rsid w:val="00EA758B"/>
    <w:rsid w:val="00EC6A55"/>
    <w:rsid w:val="00EC73DA"/>
    <w:rsid w:val="00ED0288"/>
    <w:rsid w:val="00EE52CB"/>
    <w:rsid w:val="00EF581D"/>
    <w:rsid w:val="00EF7FD8"/>
    <w:rsid w:val="00F06F59"/>
    <w:rsid w:val="00F17988"/>
    <w:rsid w:val="00F3435C"/>
    <w:rsid w:val="00F40656"/>
    <w:rsid w:val="00F469F0"/>
    <w:rsid w:val="00F53273"/>
    <w:rsid w:val="00F755E4"/>
    <w:rsid w:val="00F77D02"/>
    <w:rsid w:val="00FA70CC"/>
    <w:rsid w:val="00FB3A86"/>
    <w:rsid w:val="00FD36C8"/>
    <w:rsid w:val="00FF1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DB9F00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A81A65"/>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7060E1"/>
    <w:rPr>
      <w:color w:val="605E5C"/>
      <w:shd w:val="clear" w:color="auto" w:fill="E1DFDD"/>
    </w:rPr>
  </w:style>
  <w:style w:type="character" w:styleId="PlaceholderText">
    <w:name w:val="Placeholder Text"/>
    <w:basedOn w:val="DefaultParagraphFont"/>
    <w:uiPriority w:val="99"/>
    <w:semiHidden/>
    <w:rsid w:val="00C43C3A"/>
    <w:rPr>
      <w:color w:val="808080"/>
    </w:rPr>
  </w:style>
  <w:style w:type="character" w:customStyle="1" w:styleId="mord">
    <w:name w:val="mord"/>
    <w:basedOn w:val="DefaultParagraphFont"/>
    <w:rsid w:val="00C43C3A"/>
  </w:style>
  <w:style w:type="paragraph" w:styleId="ListParagraph">
    <w:name w:val="List Paragraph"/>
    <w:basedOn w:val="Normal"/>
    <w:uiPriority w:val="34"/>
    <w:qFormat/>
    <w:rsid w:val="007A6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0936470">
      <w:bodyDiv w:val="1"/>
      <w:marLeft w:val="0"/>
      <w:marRight w:val="0"/>
      <w:marTop w:val="0"/>
      <w:marBottom w:val="0"/>
      <w:divBdr>
        <w:top w:val="none" w:sz="0" w:space="0" w:color="auto"/>
        <w:left w:val="none" w:sz="0" w:space="0" w:color="auto"/>
        <w:bottom w:val="none" w:sz="0" w:space="0" w:color="auto"/>
        <w:right w:val="none" w:sz="0" w:space="0" w:color="auto"/>
      </w:divBdr>
    </w:div>
    <w:div w:id="33238335">
      <w:bodyDiv w:val="1"/>
      <w:marLeft w:val="0"/>
      <w:marRight w:val="0"/>
      <w:marTop w:val="0"/>
      <w:marBottom w:val="0"/>
      <w:divBdr>
        <w:top w:val="none" w:sz="0" w:space="0" w:color="auto"/>
        <w:left w:val="none" w:sz="0" w:space="0" w:color="auto"/>
        <w:bottom w:val="none" w:sz="0" w:space="0" w:color="auto"/>
        <w:right w:val="none" w:sz="0" w:space="0" w:color="auto"/>
      </w:divBdr>
    </w:div>
    <w:div w:id="48457661">
      <w:bodyDiv w:val="1"/>
      <w:marLeft w:val="0"/>
      <w:marRight w:val="0"/>
      <w:marTop w:val="0"/>
      <w:marBottom w:val="0"/>
      <w:divBdr>
        <w:top w:val="none" w:sz="0" w:space="0" w:color="auto"/>
        <w:left w:val="none" w:sz="0" w:space="0" w:color="auto"/>
        <w:bottom w:val="none" w:sz="0" w:space="0" w:color="auto"/>
        <w:right w:val="none" w:sz="0" w:space="0" w:color="auto"/>
      </w:divBdr>
    </w:div>
    <w:div w:id="10913209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2695344">
      <w:bodyDiv w:val="1"/>
      <w:marLeft w:val="0"/>
      <w:marRight w:val="0"/>
      <w:marTop w:val="0"/>
      <w:marBottom w:val="0"/>
      <w:divBdr>
        <w:top w:val="none" w:sz="0" w:space="0" w:color="auto"/>
        <w:left w:val="none" w:sz="0" w:space="0" w:color="auto"/>
        <w:bottom w:val="none" w:sz="0" w:space="0" w:color="auto"/>
        <w:right w:val="none" w:sz="0" w:space="0" w:color="auto"/>
      </w:divBdr>
    </w:div>
    <w:div w:id="17840026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9659351">
      <w:bodyDiv w:val="1"/>
      <w:marLeft w:val="0"/>
      <w:marRight w:val="0"/>
      <w:marTop w:val="0"/>
      <w:marBottom w:val="0"/>
      <w:divBdr>
        <w:top w:val="none" w:sz="0" w:space="0" w:color="auto"/>
        <w:left w:val="none" w:sz="0" w:space="0" w:color="auto"/>
        <w:bottom w:val="none" w:sz="0" w:space="0" w:color="auto"/>
        <w:right w:val="none" w:sz="0" w:space="0" w:color="auto"/>
      </w:divBdr>
    </w:div>
    <w:div w:id="258149466">
      <w:bodyDiv w:val="1"/>
      <w:marLeft w:val="0"/>
      <w:marRight w:val="0"/>
      <w:marTop w:val="0"/>
      <w:marBottom w:val="0"/>
      <w:divBdr>
        <w:top w:val="none" w:sz="0" w:space="0" w:color="auto"/>
        <w:left w:val="none" w:sz="0" w:space="0" w:color="auto"/>
        <w:bottom w:val="none" w:sz="0" w:space="0" w:color="auto"/>
        <w:right w:val="none" w:sz="0" w:space="0" w:color="auto"/>
      </w:divBdr>
    </w:div>
    <w:div w:id="312612607">
      <w:bodyDiv w:val="1"/>
      <w:marLeft w:val="0"/>
      <w:marRight w:val="0"/>
      <w:marTop w:val="0"/>
      <w:marBottom w:val="0"/>
      <w:divBdr>
        <w:top w:val="none" w:sz="0" w:space="0" w:color="auto"/>
        <w:left w:val="none" w:sz="0" w:space="0" w:color="auto"/>
        <w:bottom w:val="none" w:sz="0" w:space="0" w:color="auto"/>
        <w:right w:val="none" w:sz="0" w:space="0" w:color="auto"/>
      </w:divBdr>
    </w:div>
    <w:div w:id="323583117">
      <w:bodyDiv w:val="1"/>
      <w:marLeft w:val="0"/>
      <w:marRight w:val="0"/>
      <w:marTop w:val="0"/>
      <w:marBottom w:val="0"/>
      <w:divBdr>
        <w:top w:val="none" w:sz="0" w:space="0" w:color="auto"/>
        <w:left w:val="none" w:sz="0" w:space="0" w:color="auto"/>
        <w:bottom w:val="none" w:sz="0" w:space="0" w:color="auto"/>
        <w:right w:val="none" w:sz="0" w:space="0" w:color="auto"/>
      </w:divBdr>
    </w:div>
    <w:div w:id="348482604">
      <w:bodyDiv w:val="1"/>
      <w:marLeft w:val="0"/>
      <w:marRight w:val="0"/>
      <w:marTop w:val="0"/>
      <w:marBottom w:val="0"/>
      <w:divBdr>
        <w:top w:val="none" w:sz="0" w:space="0" w:color="auto"/>
        <w:left w:val="none" w:sz="0" w:space="0" w:color="auto"/>
        <w:bottom w:val="none" w:sz="0" w:space="0" w:color="auto"/>
        <w:right w:val="none" w:sz="0" w:space="0" w:color="auto"/>
      </w:divBdr>
    </w:div>
    <w:div w:id="350496156">
      <w:bodyDiv w:val="1"/>
      <w:marLeft w:val="0"/>
      <w:marRight w:val="0"/>
      <w:marTop w:val="0"/>
      <w:marBottom w:val="0"/>
      <w:divBdr>
        <w:top w:val="none" w:sz="0" w:space="0" w:color="auto"/>
        <w:left w:val="none" w:sz="0" w:space="0" w:color="auto"/>
        <w:bottom w:val="none" w:sz="0" w:space="0" w:color="auto"/>
        <w:right w:val="none" w:sz="0" w:space="0" w:color="auto"/>
      </w:divBdr>
    </w:div>
    <w:div w:id="353580752">
      <w:bodyDiv w:val="1"/>
      <w:marLeft w:val="0"/>
      <w:marRight w:val="0"/>
      <w:marTop w:val="0"/>
      <w:marBottom w:val="0"/>
      <w:divBdr>
        <w:top w:val="none" w:sz="0" w:space="0" w:color="auto"/>
        <w:left w:val="none" w:sz="0" w:space="0" w:color="auto"/>
        <w:bottom w:val="none" w:sz="0" w:space="0" w:color="auto"/>
        <w:right w:val="none" w:sz="0" w:space="0" w:color="auto"/>
      </w:divBdr>
    </w:div>
    <w:div w:id="444544145">
      <w:bodyDiv w:val="1"/>
      <w:marLeft w:val="0"/>
      <w:marRight w:val="0"/>
      <w:marTop w:val="0"/>
      <w:marBottom w:val="0"/>
      <w:divBdr>
        <w:top w:val="none" w:sz="0" w:space="0" w:color="auto"/>
        <w:left w:val="none" w:sz="0" w:space="0" w:color="auto"/>
        <w:bottom w:val="none" w:sz="0" w:space="0" w:color="auto"/>
        <w:right w:val="none" w:sz="0" w:space="0" w:color="auto"/>
      </w:divBdr>
    </w:div>
    <w:div w:id="449710978">
      <w:bodyDiv w:val="1"/>
      <w:marLeft w:val="0"/>
      <w:marRight w:val="0"/>
      <w:marTop w:val="0"/>
      <w:marBottom w:val="0"/>
      <w:divBdr>
        <w:top w:val="none" w:sz="0" w:space="0" w:color="auto"/>
        <w:left w:val="none" w:sz="0" w:space="0" w:color="auto"/>
        <w:bottom w:val="none" w:sz="0" w:space="0" w:color="auto"/>
        <w:right w:val="none" w:sz="0" w:space="0" w:color="auto"/>
      </w:divBdr>
    </w:div>
    <w:div w:id="457992848">
      <w:bodyDiv w:val="1"/>
      <w:marLeft w:val="0"/>
      <w:marRight w:val="0"/>
      <w:marTop w:val="0"/>
      <w:marBottom w:val="0"/>
      <w:divBdr>
        <w:top w:val="none" w:sz="0" w:space="0" w:color="auto"/>
        <w:left w:val="none" w:sz="0" w:space="0" w:color="auto"/>
        <w:bottom w:val="none" w:sz="0" w:space="0" w:color="auto"/>
        <w:right w:val="none" w:sz="0" w:space="0" w:color="auto"/>
      </w:divBdr>
    </w:div>
    <w:div w:id="524178832">
      <w:bodyDiv w:val="1"/>
      <w:marLeft w:val="0"/>
      <w:marRight w:val="0"/>
      <w:marTop w:val="0"/>
      <w:marBottom w:val="0"/>
      <w:divBdr>
        <w:top w:val="none" w:sz="0" w:space="0" w:color="auto"/>
        <w:left w:val="none" w:sz="0" w:space="0" w:color="auto"/>
        <w:bottom w:val="none" w:sz="0" w:space="0" w:color="auto"/>
        <w:right w:val="none" w:sz="0" w:space="0" w:color="auto"/>
      </w:divBdr>
    </w:div>
    <w:div w:id="543561786">
      <w:bodyDiv w:val="1"/>
      <w:marLeft w:val="0"/>
      <w:marRight w:val="0"/>
      <w:marTop w:val="0"/>
      <w:marBottom w:val="0"/>
      <w:divBdr>
        <w:top w:val="none" w:sz="0" w:space="0" w:color="auto"/>
        <w:left w:val="none" w:sz="0" w:space="0" w:color="auto"/>
        <w:bottom w:val="none" w:sz="0" w:space="0" w:color="auto"/>
        <w:right w:val="none" w:sz="0" w:space="0" w:color="auto"/>
      </w:divBdr>
    </w:div>
    <w:div w:id="585069880">
      <w:bodyDiv w:val="1"/>
      <w:marLeft w:val="0"/>
      <w:marRight w:val="0"/>
      <w:marTop w:val="0"/>
      <w:marBottom w:val="0"/>
      <w:divBdr>
        <w:top w:val="none" w:sz="0" w:space="0" w:color="auto"/>
        <w:left w:val="none" w:sz="0" w:space="0" w:color="auto"/>
        <w:bottom w:val="none" w:sz="0" w:space="0" w:color="auto"/>
        <w:right w:val="none" w:sz="0" w:space="0" w:color="auto"/>
      </w:divBdr>
    </w:div>
    <w:div w:id="59428823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9017905">
      <w:bodyDiv w:val="1"/>
      <w:marLeft w:val="0"/>
      <w:marRight w:val="0"/>
      <w:marTop w:val="0"/>
      <w:marBottom w:val="0"/>
      <w:divBdr>
        <w:top w:val="none" w:sz="0" w:space="0" w:color="auto"/>
        <w:left w:val="none" w:sz="0" w:space="0" w:color="auto"/>
        <w:bottom w:val="none" w:sz="0" w:space="0" w:color="auto"/>
        <w:right w:val="none" w:sz="0" w:space="0" w:color="auto"/>
      </w:divBdr>
    </w:div>
    <w:div w:id="689793254">
      <w:bodyDiv w:val="1"/>
      <w:marLeft w:val="0"/>
      <w:marRight w:val="0"/>
      <w:marTop w:val="0"/>
      <w:marBottom w:val="0"/>
      <w:divBdr>
        <w:top w:val="none" w:sz="0" w:space="0" w:color="auto"/>
        <w:left w:val="none" w:sz="0" w:space="0" w:color="auto"/>
        <w:bottom w:val="none" w:sz="0" w:space="0" w:color="auto"/>
        <w:right w:val="none" w:sz="0" w:space="0" w:color="auto"/>
      </w:divBdr>
    </w:div>
    <w:div w:id="821971942">
      <w:bodyDiv w:val="1"/>
      <w:marLeft w:val="0"/>
      <w:marRight w:val="0"/>
      <w:marTop w:val="0"/>
      <w:marBottom w:val="0"/>
      <w:divBdr>
        <w:top w:val="none" w:sz="0" w:space="0" w:color="auto"/>
        <w:left w:val="none" w:sz="0" w:space="0" w:color="auto"/>
        <w:bottom w:val="none" w:sz="0" w:space="0" w:color="auto"/>
        <w:right w:val="none" w:sz="0" w:space="0" w:color="auto"/>
      </w:divBdr>
    </w:div>
    <w:div w:id="867109672">
      <w:bodyDiv w:val="1"/>
      <w:marLeft w:val="0"/>
      <w:marRight w:val="0"/>
      <w:marTop w:val="0"/>
      <w:marBottom w:val="0"/>
      <w:divBdr>
        <w:top w:val="none" w:sz="0" w:space="0" w:color="auto"/>
        <w:left w:val="none" w:sz="0" w:space="0" w:color="auto"/>
        <w:bottom w:val="none" w:sz="0" w:space="0" w:color="auto"/>
        <w:right w:val="none" w:sz="0" w:space="0" w:color="auto"/>
      </w:divBdr>
    </w:div>
    <w:div w:id="919142684">
      <w:bodyDiv w:val="1"/>
      <w:marLeft w:val="0"/>
      <w:marRight w:val="0"/>
      <w:marTop w:val="0"/>
      <w:marBottom w:val="0"/>
      <w:divBdr>
        <w:top w:val="none" w:sz="0" w:space="0" w:color="auto"/>
        <w:left w:val="none" w:sz="0" w:space="0" w:color="auto"/>
        <w:bottom w:val="none" w:sz="0" w:space="0" w:color="auto"/>
        <w:right w:val="none" w:sz="0" w:space="0" w:color="auto"/>
      </w:divBdr>
    </w:div>
    <w:div w:id="922832631">
      <w:bodyDiv w:val="1"/>
      <w:marLeft w:val="0"/>
      <w:marRight w:val="0"/>
      <w:marTop w:val="0"/>
      <w:marBottom w:val="0"/>
      <w:divBdr>
        <w:top w:val="none" w:sz="0" w:space="0" w:color="auto"/>
        <w:left w:val="none" w:sz="0" w:space="0" w:color="auto"/>
        <w:bottom w:val="none" w:sz="0" w:space="0" w:color="auto"/>
        <w:right w:val="none" w:sz="0" w:space="0" w:color="auto"/>
      </w:divBdr>
    </w:div>
    <w:div w:id="98096497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2874614">
      <w:bodyDiv w:val="1"/>
      <w:marLeft w:val="0"/>
      <w:marRight w:val="0"/>
      <w:marTop w:val="0"/>
      <w:marBottom w:val="0"/>
      <w:divBdr>
        <w:top w:val="none" w:sz="0" w:space="0" w:color="auto"/>
        <w:left w:val="none" w:sz="0" w:space="0" w:color="auto"/>
        <w:bottom w:val="none" w:sz="0" w:space="0" w:color="auto"/>
        <w:right w:val="none" w:sz="0" w:space="0" w:color="auto"/>
      </w:divBdr>
    </w:div>
    <w:div w:id="1005740487">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4964287">
      <w:bodyDiv w:val="1"/>
      <w:marLeft w:val="0"/>
      <w:marRight w:val="0"/>
      <w:marTop w:val="0"/>
      <w:marBottom w:val="0"/>
      <w:divBdr>
        <w:top w:val="none" w:sz="0" w:space="0" w:color="auto"/>
        <w:left w:val="none" w:sz="0" w:space="0" w:color="auto"/>
        <w:bottom w:val="none" w:sz="0" w:space="0" w:color="auto"/>
        <w:right w:val="none" w:sz="0" w:space="0" w:color="auto"/>
      </w:divBdr>
    </w:div>
    <w:div w:id="1030181419">
      <w:bodyDiv w:val="1"/>
      <w:marLeft w:val="0"/>
      <w:marRight w:val="0"/>
      <w:marTop w:val="0"/>
      <w:marBottom w:val="0"/>
      <w:divBdr>
        <w:top w:val="none" w:sz="0" w:space="0" w:color="auto"/>
        <w:left w:val="none" w:sz="0" w:space="0" w:color="auto"/>
        <w:bottom w:val="none" w:sz="0" w:space="0" w:color="auto"/>
        <w:right w:val="none" w:sz="0" w:space="0" w:color="auto"/>
      </w:divBdr>
    </w:div>
    <w:div w:id="105508183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0222440">
      <w:bodyDiv w:val="1"/>
      <w:marLeft w:val="0"/>
      <w:marRight w:val="0"/>
      <w:marTop w:val="0"/>
      <w:marBottom w:val="0"/>
      <w:divBdr>
        <w:top w:val="none" w:sz="0" w:space="0" w:color="auto"/>
        <w:left w:val="none" w:sz="0" w:space="0" w:color="auto"/>
        <w:bottom w:val="none" w:sz="0" w:space="0" w:color="auto"/>
        <w:right w:val="none" w:sz="0" w:space="0" w:color="auto"/>
      </w:divBdr>
    </w:div>
    <w:div w:id="1124887523">
      <w:bodyDiv w:val="1"/>
      <w:marLeft w:val="0"/>
      <w:marRight w:val="0"/>
      <w:marTop w:val="0"/>
      <w:marBottom w:val="0"/>
      <w:divBdr>
        <w:top w:val="none" w:sz="0" w:space="0" w:color="auto"/>
        <w:left w:val="none" w:sz="0" w:space="0" w:color="auto"/>
        <w:bottom w:val="none" w:sz="0" w:space="0" w:color="auto"/>
        <w:right w:val="none" w:sz="0" w:space="0" w:color="auto"/>
      </w:divBdr>
    </w:div>
    <w:div w:id="1193499988">
      <w:bodyDiv w:val="1"/>
      <w:marLeft w:val="0"/>
      <w:marRight w:val="0"/>
      <w:marTop w:val="0"/>
      <w:marBottom w:val="0"/>
      <w:divBdr>
        <w:top w:val="none" w:sz="0" w:space="0" w:color="auto"/>
        <w:left w:val="none" w:sz="0" w:space="0" w:color="auto"/>
        <w:bottom w:val="none" w:sz="0" w:space="0" w:color="auto"/>
        <w:right w:val="none" w:sz="0" w:space="0" w:color="auto"/>
      </w:divBdr>
    </w:div>
    <w:div w:id="1216040500">
      <w:bodyDiv w:val="1"/>
      <w:marLeft w:val="0"/>
      <w:marRight w:val="0"/>
      <w:marTop w:val="0"/>
      <w:marBottom w:val="0"/>
      <w:divBdr>
        <w:top w:val="none" w:sz="0" w:space="0" w:color="auto"/>
        <w:left w:val="none" w:sz="0" w:space="0" w:color="auto"/>
        <w:bottom w:val="none" w:sz="0" w:space="0" w:color="auto"/>
        <w:right w:val="none" w:sz="0" w:space="0" w:color="auto"/>
      </w:divBdr>
    </w:div>
    <w:div w:id="1219973660">
      <w:bodyDiv w:val="1"/>
      <w:marLeft w:val="0"/>
      <w:marRight w:val="0"/>
      <w:marTop w:val="0"/>
      <w:marBottom w:val="0"/>
      <w:divBdr>
        <w:top w:val="none" w:sz="0" w:space="0" w:color="auto"/>
        <w:left w:val="none" w:sz="0" w:space="0" w:color="auto"/>
        <w:bottom w:val="none" w:sz="0" w:space="0" w:color="auto"/>
        <w:right w:val="none" w:sz="0" w:space="0" w:color="auto"/>
      </w:divBdr>
    </w:div>
    <w:div w:id="1240482440">
      <w:bodyDiv w:val="1"/>
      <w:marLeft w:val="0"/>
      <w:marRight w:val="0"/>
      <w:marTop w:val="0"/>
      <w:marBottom w:val="0"/>
      <w:divBdr>
        <w:top w:val="none" w:sz="0" w:space="0" w:color="auto"/>
        <w:left w:val="none" w:sz="0" w:space="0" w:color="auto"/>
        <w:bottom w:val="none" w:sz="0" w:space="0" w:color="auto"/>
        <w:right w:val="none" w:sz="0" w:space="0" w:color="auto"/>
      </w:divBdr>
    </w:div>
    <w:div w:id="1248073498">
      <w:bodyDiv w:val="1"/>
      <w:marLeft w:val="0"/>
      <w:marRight w:val="0"/>
      <w:marTop w:val="0"/>
      <w:marBottom w:val="0"/>
      <w:divBdr>
        <w:top w:val="none" w:sz="0" w:space="0" w:color="auto"/>
        <w:left w:val="none" w:sz="0" w:space="0" w:color="auto"/>
        <w:bottom w:val="none" w:sz="0" w:space="0" w:color="auto"/>
        <w:right w:val="none" w:sz="0" w:space="0" w:color="auto"/>
      </w:divBdr>
    </w:div>
    <w:div w:id="1278096667">
      <w:bodyDiv w:val="1"/>
      <w:marLeft w:val="0"/>
      <w:marRight w:val="0"/>
      <w:marTop w:val="0"/>
      <w:marBottom w:val="0"/>
      <w:divBdr>
        <w:top w:val="none" w:sz="0" w:space="0" w:color="auto"/>
        <w:left w:val="none" w:sz="0" w:space="0" w:color="auto"/>
        <w:bottom w:val="none" w:sz="0" w:space="0" w:color="auto"/>
        <w:right w:val="none" w:sz="0" w:space="0" w:color="auto"/>
      </w:divBdr>
    </w:div>
    <w:div w:id="1338922226">
      <w:bodyDiv w:val="1"/>
      <w:marLeft w:val="0"/>
      <w:marRight w:val="0"/>
      <w:marTop w:val="0"/>
      <w:marBottom w:val="0"/>
      <w:divBdr>
        <w:top w:val="none" w:sz="0" w:space="0" w:color="auto"/>
        <w:left w:val="none" w:sz="0" w:space="0" w:color="auto"/>
        <w:bottom w:val="none" w:sz="0" w:space="0" w:color="auto"/>
        <w:right w:val="none" w:sz="0" w:space="0" w:color="auto"/>
      </w:divBdr>
    </w:div>
    <w:div w:id="1417357989">
      <w:bodyDiv w:val="1"/>
      <w:marLeft w:val="0"/>
      <w:marRight w:val="0"/>
      <w:marTop w:val="0"/>
      <w:marBottom w:val="0"/>
      <w:divBdr>
        <w:top w:val="none" w:sz="0" w:space="0" w:color="auto"/>
        <w:left w:val="none" w:sz="0" w:space="0" w:color="auto"/>
        <w:bottom w:val="none" w:sz="0" w:space="0" w:color="auto"/>
        <w:right w:val="none" w:sz="0" w:space="0" w:color="auto"/>
      </w:divBdr>
    </w:div>
    <w:div w:id="1421177268">
      <w:bodyDiv w:val="1"/>
      <w:marLeft w:val="0"/>
      <w:marRight w:val="0"/>
      <w:marTop w:val="0"/>
      <w:marBottom w:val="0"/>
      <w:divBdr>
        <w:top w:val="none" w:sz="0" w:space="0" w:color="auto"/>
        <w:left w:val="none" w:sz="0" w:space="0" w:color="auto"/>
        <w:bottom w:val="none" w:sz="0" w:space="0" w:color="auto"/>
        <w:right w:val="none" w:sz="0" w:space="0" w:color="auto"/>
      </w:divBdr>
    </w:div>
    <w:div w:id="1467822557">
      <w:bodyDiv w:val="1"/>
      <w:marLeft w:val="0"/>
      <w:marRight w:val="0"/>
      <w:marTop w:val="0"/>
      <w:marBottom w:val="0"/>
      <w:divBdr>
        <w:top w:val="none" w:sz="0" w:space="0" w:color="auto"/>
        <w:left w:val="none" w:sz="0" w:space="0" w:color="auto"/>
        <w:bottom w:val="none" w:sz="0" w:space="0" w:color="auto"/>
        <w:right w:val="none" w:sz="0" w:space="0" w:color="auto"/>
      </w:divBdr>
    </w:div>
    <w:div w:id="1472944831">
      <w:bodyDiv w:val="1"/>
      <w:marLeft w:val="0"/>
      <w:marRight w:val="0"/>
      <w:marTop w:val="0"/>
      <w:marBottom w:val="0"/>
      <w:divBdr>
        <w:top w:val="none" w:sz="0" w:space="0" w:color="auto"/>
        <w:left w:val="none" w:sz="0" w:space="0" w:color="auto"/>
        <w:bottom w:val="none" w:sz="0" w:space="0" w:color="auto"/>
        <w:right w:val="none" w:sz="0" w:space="0" w:color="auto"/>
      </w:divBdr>
    </w:div>
    <w:div w:id="1479374501">
      <w:bodyDiv w:val="1"/>
      <w:marLeft w:val="0"/>
      <w:marRight w:val="0"/>
      <w:marTop w:val="0"/>
      <w:marBottom w:val="0"/>
      <w:divBdr>
        <w:top w:val="none" w:sz="0" w:space="0" w:color="auto"/>
        <w:left w:val="none" w:sz="0" w:space="0" w:color="auto"/>
        <w:bottom w:val="none" w:sz="0" w:space="0" w:color="auto"/>
        <w:right w:val="none" w:sz="0" w:space="0" w:color="auto"/>
      </w:divBdr>
    </w:div>
    <w:div w:id="1481338224">
      <w:bodyDiv w:val="1"/>
      <w:marLeft w:val="0"/>
      <w:marRight w:val="0"/>
      <w:marTop w:val="0"/>
      <w:marBottom w:val="0"/>
      <w:divBdr>
        <w:top w:val="none" w:sz="0" w:space="0" w:color="auto"/>
        <w:left w:val="none" w:sz="0" w:space="0" w:color="auto"/>
        <w:bottom w:val="none" w:sz="0" w:space="0" w:color="auto"/>
        <w:right w:val="none" w:sz="0" w:space="0" w:color="auto"/>
      </w:divBdr>
    </w:div>
    <w:div w:id="1498232044">
      <w:bodyDiv w:val="1"/>
      <w:marLeft w:val="0"/>
      <w:marRight w:val="0"/>
      <w:marTop w:val="0"/>
      <w:marBottom w:val="0"/>
      <w:divBdr>
        <w:top w:val="none" w:sz="0" w:space="0" w:color="auto"/>
        <w:left w:val="none" w:sz="0" w:space="0" w:color="auto"/>
        <w:bottom w:val="none" w:sz="0" w:space="0" w:color="auto"/>
        <w:right w:val="none" w:sz="0" w:space="0" w:color="auto"/>
      </w:divBdr>
    </w:div>
    <w:div w:id="1563366747">
      <w:bodyDiv w:val="1"/>
      <w:marLeft w:val="0"/>
      <w:marRight w:val="0"/>
      <w:marTop w:val="0"/>
      <w:marBottom w:val="0"/>
      <w:divBdr>
        <w:top w:val="none" w:sz="0" w:space="0" w:color="auto"/>
        <w:left w:val="none" w:sz="0" w:space="0" w:color="auto"/>
        <w:bottom w:val="none" w:sz="0" w:space="0" w:color="auto"/>
        <w:right w:val="none" w:sz="0" w:space="0" w:color="auto"/>
      </w:divBdr>
    </w:div>
    <w:div w:id="1590045468">
      <w:bodyDiv w:val="1"/>
      <w:marLeft w:val="0"/>
      <w:marRight w:val="0"/>
      <w:marTop w:val="0"/>
      <w:marBottom w:val="0"/>
      <w:divBdr>
        <w:top w:val="none" w:sz="0" w:space="0" w:color="auto"/>
        <w:left w:val="none" w:sz="0" w:space="0" w:color="auto"/>
        <w:bottom w:val="none" w:sz="0" w:space="0" w:color="auto"/>
        <w:right w:val="none" w:sz="0" w:space="0" w:color="auto"/>
      </w:divBdr>
    </w:div>
    <w:div w:id="1592660332">
      <w:bodyDiv w:val="1"/>
      <w:marLeft w:val="0"/>
      <w:marRight w:val="0"/>
      <w:marTop w:val="0"/>
      <w:marBottom w:val="0"/>
      <w:divBdr>
        <w:top w:val="none" w:sz="0" w:space="0" w:color="auto"/>
        <w:left w:val="none" w:sz="0" w:space="0" w:color="auto"/>
        <w:bottom w:val="none" w:sz="0" w:space="0" w:color="auto"/>
        <w:right w:val="none" w:sz="0" w:space="0" w:color="auto"/>
      </w:divBdr>
    </w:div>
    <w:div w:id="1607811998">
      <w:bodyDiv w:val="1"/>
      <w:marLeft w:val="0"/>
      <w:marRight w:val="0"/>
      <w:marTop w:val="0"/>
      <w:marBottom w:val="0"/>
      <w:divBdr>
        <w:top w:val="none" w:sz="0" w:space="0" w:color="auto"/>
        <w:left w:val="none" w:sz="0" w:space="0" w:color="auto"/>
        <w:bottom w:val="none" w:sz="0" w:space="0" w:color="auto"/>
        <w:right w:val="none" w:sz="0" w:space="0" w:color="auto"/>
      </w:divBdr>
    </w:div>
    <w:div w:id="1633704855">
      <w:bodyDiv w:val="1"/>
      <w:marLeft w:val="0"/>
      <w:marRight w:val="0"/>
      <w:marTop w:val="0"/>
      <w:marBottom w:val="0"/>
      <w:divBdr>
        <w:top w:val="none" w:sz="0" w:space="0" w:color="auto"/>
        <w:left w:val="none" w:sz="0" w:space="0" w:color="auto"/>
        <w:bottom w:val="none" w:sz="0" w:space="0" w:color="auto"/>
        <w:right w:val="none" w:sz="0" w:space="0" w:color="auto"/>
      </w:divBdr>
    </w:div>
    <w:div w:id="1661345289">
      <w:bodyDiv w:val="1"/>
      <w:marLeft w:val="0"/>
      <w:marRight w:val="0"/>
      <w:marTop w:val="0"/>
      <w:marBottom w:val="0"/>
      <w:divBdr>
        <w:top w:val="none" w:sz="0" w:space="0" w:color="auto"/>
        <w:left w:val="none" w:sz="0" w:space="0" w:color="auto"/>
        <w:bottom w:val="none" w:sz="0" w:space="0" w:color="auto"/>
        <w:right w:val="none" w:sz="0" w:space="0" w:color="auto"/>
      </w:divBdr>
    </w:div>
    <w:div w:id="171095212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5637561">
      <w:bodyDiv w:val="1"/>
      <w:marLeft w:val="0"/>
      <w:marRight w:val="0"/>
      <w:marTop w:val="0"/>
      <w:marBottom w:val="0"/>
      <w:divBdr>
        <w:top w:val="none" w:sz="0" w:space="0" w:color="auto"/>
        <w:left w:val="none" w:sz="0" w:space="0" w:color="auto"/>
        <w:bottom w:val="none" w:sz="0" w:space="0" w:color="auto"/>
        <w:right w:val="none" w:sz="0" w:space="0" w:color="auto"/>
      </w:divBdr>
    </w:div>
    <w:div w:id="1847206471">
      <w:bodyDiv w:val="1"/>
      <w:marLeft w:val="0"/>
      <w:marRight w:val="0"/>
      <w:marTop w:val="0"/>
      <w:marBottom w:val="0"/>
      <w:divBdr>
        <w:top w:val="none" w:sz="0" w:space="0" w:color="auto"/>
        <w:left w:val="none" w:sz="0" w:space="0" w:color="auto"/>
        <w:bottom w:val="none" w:sz="0" w:space="0" w:color="auto"/>
        <w:right w:val="none" w:sz="0" w:space="0" w:color="auto"/>
      </w:divBdr>
    </w:div>
    <w:div w:id="1848330363">
      <w:bodyDiv w:val="1"/>
      <w:marLeft w:val="0"/>
      <w:marRight w:val="0"/>
      <w:marTop w:val="0"/>
      <w:marBottom w:val="0"/>
      <w:divBdr>
        <w:top w:val="none" w:sz="0" w:space="0" w:color="auto"/>
        <w:left w:val="none" w:sz="0" w:space="0" w:color="auto"/>
        <w:bottom w:val="none" w:sz="0" w:space="0" w:color="auto"/>
        <w:right w:val="none" w:sz="0" w:space="0" w:color="auto"/>
      </w:divBdr>
    </w:div>
    <w:div w:id="1882548330">
      <w:bodyDiv w:val="1"/>
      <w:marLeft w:val="0"/>
      <w:marRight w:val="0"/>
      <w:marTop w:val="0"/>
      <w:marBottom w:val="0"/>
      <w:divBdr>
        <w:top w:val="none" w:sz="0" w:space="0" w:color="auto"/>
        <w:left w:val="none" w:sz="0" w:space="0" w:color="auto"/>
        <w:bottom w:val="none" w:sz="0" w:space="0" w:color="auto"/>
        <w:right w:val="none" w:sz="0" w:space="0" w:color="auto"/>
      </w:divBdr>
    </w:div>
    <w:div w:id="1944146978">
      <w:bodyDiv w:val="1"/>
      <w:marLeft w:val="0"/>
      <w:marRight w:val="0"/>
      <w:marTop w:val="0"/>
      <w:marBottom w:val="0"/>
      <w:divBdr>
        <w:top w:val="none" w:sz="0" w:space="0" w:color="auto"/>
        <w:left w:val="none" w:sz="0" w:space="0" w:color="auto"/>
        <w:bottom w:val="none" w:sz="0" w:space="0" w:color="auto"/>
        <w:right w:val="none" w:sz="0" w:space="0" w:color="auto"/>
      </w:divBdr>
      <w:divsChild>
        <w:div w:id="187456024">
          <w:marLeft w:val="0"/>
          <w:marRight w:val="0"/>
          <w:marTop w:val="0"/>
          <w:marBottom w:val="0"/>
          <w:divBdr>
            <w:top w:val="none" w:sz="0" w:space="0" w:color="auto"/>
            <w:left w:val="none" w:sz="0" w:space="0" w:color="auto"/>
            <w:bottom w:val="none" w:sz="0" w:space="0" w:color="auto"/>
            <w:right w:val="none" w:sz="0" w:space="0" w:color="auto"/>
          </w:divBdr>
          <w:divsChild>
            <w:div w:id="2081563581">
              <w:marLeft w:val="0"/>
              <w:marRight w:val="0"/>
              <w:marTop w:val="0"/>
              <w:marBottom w:val="0"/>
              <w:divBdr>
                <w:top w:val="none" w:sz="0" w:space="0" w:color="auto"/>
                <w:left w:val="none" w:sz="0" w:space="0" w:color="auto"/>
                <w:bottom w:val="none" w:sz="0" w:space="0" w:color="auto"/>
                <w:right w:val="none" w:sz="0" w:space="0" w:color="auto"/>
              </w:divBdr>
              <w:divsChild>
                <w:div w:id="1975911988">
                  <w:marLeft w:val="0"/>
                  <w:marRight w:val="0"/>
                  <w:marTop w:val="0"/>
                  <w:marBottom w:val="0"/>
                  <w:divBdr>
                    <w:top w:val="none" w:sz="0" w:space="0" w:color="auto"/>
                    <w:left w:val="none" w:sz="0" w:space="0" w:color="auto"/>
                    <w:bottom w:val="none" w:sz="0" w:space="0" w:color="auto"/>
                    <w:right w:val="none" w:sz="0" w:space="0" w:color="auto"/>
                  </w:divBdr>
                  <w:divsChild>
                    <w:div w:id="10640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73985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5009096">
      <w:bodyDiv w:val="1"/>
      <w:marLeft w:val="0"/>
      <w:marRight w:val="0"/>
      <w:marTop w:val="0"/>
      <w:marBottom w:val="0"/>
      <w:divBdr>
        <w:top w:val="none" w:sz="0" w:space="0" w:color="auto"/>
        <w:left w:val="none" w:sz="0" w:space="0" w:color="auto"/>
        <w:bottom w:val="none" w:sz="0" w:space="0" w:color="auto"/>
        <w:right w:val="none" w:sz="0" w:space="0" w:color="auto"/>
      </w:divBdr>
    </w:div>
    <w:div w:id="2006786931">
      <w:bodyDiv w:val="1"/>
      <w:marLeft w:val="0"/>
      <w:marRight w:val="0"/>
      <w:marTop w:val="0"/>
      <w:marBottom w:val="0"/>
      <w:divBdr>
        <w:top w:val="none" w:sz="0" w:space="0" w:color="auto"/>
        <w:left w:val="none" w:sz="0" w:space="0" w:color="auto"/>
        <w:bottom w:val="none" w:sz="0" w:space="0" w:color="auto"/>
        <w:right w:val="none" w:sz="0" w:space="0" w:color="auto"/>
      </w:divBdr>
    </w:div>
    <w:div w:id="2025933131">
      <w:bodyDiv w:val="1"/>
      <w:marLeft w:val="0"/>
      <w:marRight w:val="0"/>
      <w:marTop w:val="0"/>
      <w:marBottom w:val="0"/>
      <w:divBdr>
        <w:top w:val="none" w:sz="0" w:space="0" w:color="auto"/>
        <w:left w:val="none" w:sz="0" w:space="0" w:color="auto"/>
        <w:bottom w:val="none" w:sz="0" w:space="0" w:color="auto"/>
        <w:right w:val="none" w:sz="0" w:space="0" w:color="auto"/>
      </w:divBdr>
    </w:div>
    <w:div w:id="2078437678">
      <w:bodyDiv w:val="1"/>
      <w:marLeft w:val="0"/>
      <w:marRight w:val="0"/>
      <w:marTop w:val="0"/>
      <w:marBottom w:val="0"/>
      <w:divBdr>
        <w:top w:val="none" w:sz="0" w:space="0" w:color="auto"/>
        <w:left w:val="none" w:sz="0" w:space="0" w:color="auto"/>
        <w:bottom w:val="none" w:sz="0" w:space="0" w:color="auto"/>
        <w:right w:val="none" w:sz="0" w:space="0" w:color="auto"/>
      </w:divBdr>
    </w:div>
    <w:div w:id="2128042119">
      <w:bodyDiv w:val="1"/>
      <w:marLeft w:val="0"/>
      <w:marRight w:val="0"/>
      <w:marTop w:val="0"/>
      <w:marBottom w:val="0"/>
      <w:divBdr>
        <w:top w:val="none" w:sz="0" w:space="0" w:color="auto"/>
        <w:left w:val="none" w:sz="0" w:space="0" w:color="auto"/>
        <w:bottom w:val="none" w:sz="0" w:space="0" w:color="auto"/>
        <w:right w:val="none" w:sz="0" w:space="0" w:color="auto"/>
      </w:divBdr>
    </w:div>
    <w:div w:id="214299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5C185-243D-4CD3-803B-217FC796E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174</TotalTime>
  <Pages>10</Pages>
  <Words>9716</Words>
  <Characters>55386</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64973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42</cp:revision>
  <cp:lastPrinted>1999-07-06T11:00:00Z</cp:lastPrinted>
  <dcterms:created xsi:type="dcterms:W3CDTF">2014-10-25T14:34:00Z</dcterms:created>
  <dcterms:modified xsi:type="dcterms:W3CDTF">2025-12-20T10:55:00Z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c9d71cdb-d323-451e-bb74-f850573bb501</vt:lpwstr>
  </property>
  <property fmtid="{D5CDD505-2E9C-101B-9397-08002B2CF9AE}" pid="3" name="Mendeley Document_1">
    <vt:lpwstr>True</vt:lpwstr>
  </property>
  <property fmtid="{D5CDD505-2E9C-101B-9397-08002B2CF9AE}" pid="4" name="Mendeley Unique User Id_1">
    <vt:lpwstr>2972007a-7979-3717-9764-79af8d3d7616</vt:lpwstr>
  </property>
  <property fmtid="{D5CDD505-2E9C-101B-9397-08002B2CF9AE}" pid="5" name="Mendeley Citation Style_1">
    <vt:lpwstr>http://www.zotero.org/styles/apa</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http://www.zotero.org/styles/chicago-fullnote-bibliography</vt:lpwstr>
  </property>
  <property fmtid="{D5CDD505-2E9C-101B-9397-08002B2CF9AE}" pid="9" name="Mendeley Recent Style Name 1_1">
    <vt:lpwstr>Chicago Manual of Style 17th edition (full note)</vt:lpwstr>
  </property>
  <property fmtid="{D5CDD505-2E9C-101B-9397-08002B2CF9AE}" pid="10" name="Mendeley Recent Style Id 2_1">
    <vt:lpwstr>http://www.zotero.org/styles/chicago-notes</vt:lpwstr>
  </property>
  <property fmtid="{D5CDD505-2E9C-101B-9397-08002B2CF9AE}" pid="11" name="Mendeley Recent Style Name 2_1">
    <vt:lpwstr>Chicago Manual of Style 18th edition (notes without bibliography)</vt:lpwstr>
  </property>
  <property fmtid="{D5CDD505-2E9C-101B-9397-08002B2CF9AE}" pid="12" name="Mendeley Recent Style Id 3_1">
    <vt:lpwstr>http://www.zotero.org/styles/harvard-cite-them-right</vt:lpwstr>
  </property>
  <property fmtid="{D5CDD505-2E9C-101B-9397-08002B2CF9AE}" pid="13" name="Mendeley Recent Style Name 3_1">
    <vt:lpwstr>Cite Them Right 12th edition - Harvard</vt:lpwstr>
  </property>
  <property fmtid="{D5CDD505-2E9C-101B-9397-08002B2CF9AE}" pid="14" name="Mendeley Recent Style Id 4_1">
    <vt:lpwstr>http://www.zotero.org/styles/haute-ecole-de-gestion-de-geneve-iso-690</vt:lpwstr>
  </property>
  <property fmtid="{D5CDD505-2E9C-101B-9397-08002B2CF9AE}" pid="15" name="Mendeley Recent Style Name 4_1">
    <vt:lpwstr>Haute école de gestion de Genève (ISO 690)</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https://csl.mendeley.com/styles/668272401/oceanography</vt:lpwstr>
  </property>
  <property fmtid="{D5CDD505-2E9C-101B-9397-08002B2CF9AE}" pid="25" name="Mendeley Recent Style Name 9_1">
    <vt:lpwstr>PDKV</vt:lpwstr>
  </property>
</Properties>
</file>