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8F7E8" w14:textId="2F81F0E2" w:rsidR="00A46310" w:rsidRPr="00E827C7" w:rsidRDefault="00B676CE" w:rsidP="005866A5">
      <w:pPr>
        <w:spacing w:before="240" w:line="360" w:lineRule="auto"/>
        <w:jc w:val="right"/>
        <w:rPr>
          <w:rFonts w:ascii="Times New Roman" w:hAnsi="Times New Roman" w:cs="Times New Roman"/>
          <w:color w:val="000000" w:themeColor="text1"/>
          <w:sz w:val="32"/>
          <w:szCs w:val="32"/>
        </w:rPr>
      </w:pPr>
      <w:bookmarkStart w:id="0" w:name="determinants_of_perception_and_at_6f981c"/>
      <w:r w:rsidRPr="00E827C7">
        <w:rPr>
          <w:rFonts w:ascii="Times New Roman" w:hAnsi="Times New Roman" w:cs="Times New Roman"/>
          <w:b/>
          <w:color w:val="000000" w:themeColor="text1"/>
          <w:sz w:val="32"/>
          <w:szCs w:val="32"/>
        </w:rPr>
        <w:t xml:space="preserve">Determinants of Perception and Attitude Towards </w:t>
      </w:r>
      <w:proofErr w:type="spellStart"/>
      <w:r w:rsidRPr="00E827C7">
        <w:rPr>
          <w:rFonts w:ascii="Times New Roman" w:hAnsi="Times New Roman" w:cs="Times New Roman"/>
          <w:b/>
          <w:color w:val="000000" w:themeColor="text1"/>
          <w:sz w:val="32"/>
          <w:szCs w:val="32"/>
        </w:rPr>
        <w:t>Agripreneurship</w:t>
      </w:r>
      <w:proofErr w:type="spellEnd"/>
      <w:r w:rsidRPr="00E827C7">
        <w:rPr>
          <w:rFonts w:ascii="Times New Roman" w:hAnsi="Times New Roman" w:cs="Times New Roman"/>
          <w:b/>
          <w:color w:val="000000" w:themeColor="text1"/>
          <w:sz w:val="32"/>
          <w:szCs w:val="32"/>
        </w:rPr>
        <w:t xml:space="preserve"> Among Agricultural Students in Manipur</w:t>
      </w:r>
      <w:bookmarkEnd w:id="0"/>
      <w:r w:rsidR="00E827C7" w:rsidRPr="00E827C7">
        <w:rPr>
          <w:rFonts w:ascii="Times New Roman" w:hAnsi="Times New Roman" w:cs="Times New Roman"/>
          <w:b/>
          <w:color w:val="000000" w:themeColor="text1"/>
          <w:sz w:val="32"/>
          <w:szCs w:val="32"/>
        </w:rPr>
        <w:t>, India</w:t>
      </w:r>
    </w:p>
    <w:p w14:paraId="335A95B9" w14:textId="77777777" w:rsidR="00110E21" w:rsidRPr="00E827C7" w:rsidRDefault="00110E21" w:rsidP="007D4E82">
      <w:pPr>
        <w:spacing w:before="240" w:line="360" w:lineRule="auto"/>
        <w:jc w:val="both"/>
        <w:rPr>
          <w:rFonts w:ascii="Times New Roman" w:hAnsi="Times New Roman" w:cs="Times New Roman"/>
          <w:b/>
          <w:color w:val="000000" w:themeColor="text1"/>
          <w:sz w:val="24"/>
          <w:szCs w:val="24"/>
        </w:rPr>
      </w:pPr>
      <w:bookmarkStart w:id="1" w:name="abstract"/>
    </w:p>
    <w:bookmarkEnd w:id="1"/>
    <w:p w14:paraId="55F4D499"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Abstract</w:t>
      </w:r>
    </w:p>
    <w:p w14:paraId="2C8CC4AE"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 xml:space="preserve">This study examines the determinants of agricultural students’ perception and attitude toward </w:t>
      </w:r>
      <w:proofErr w:type="spellStart"/>
      <w:r w:rsidRPr="00E827C7">
        <w:rPr>
          <w:rFonts w:ascii="Times New Roman" w:eastAsia="Georgia" w:hAnsi="Times New Roman" w:cs="Times New Roman"/>
          <w:color w:val="000000" w:themeColor="text1"/>
          <w:sz w:val="24"/>
          <w:szCs w:val="24"/>
        </w:rPr>
        <w:t>agripreneurship</w:t>
      </w:r>
      <w:proofErr w:type="spellEnd"/>
      <w:r w:rsidRPr="00E827C7">
        <w:rPr>
          <w:rFonts w:ascii="Times New Roman" w:eastAsia="Georgia" w:hAnsi="Times New Roman" w:cs="Times New Roman"/>
          <w:color w:val="000000" w:themeColor="text1"/>
          <w:sz w:val="24"/>
          <w:szCs w:val="24"/>
        </w:rPr>
        <w:t xml:space="preserve"> in Manipur, based on research conducted during 2024–2025. A cross-sectional survey involving 100 undergraduate and postgraduate students from the South Asian Institute of Rural and Agricultural Management (SAIRAM) was carried out using a structured questionnaire. Descriptive analysis revealed high baseline awareness</w:t>
      </w:r>
      <w:bookmarkStart w:id="2" w:name="_GoBack"/>
      <w:bookmarkEnd w:id="2"/>
      <w:r w:rsidRPr="00E827C7">
        <w:rPr>
          <w:rFonts w:ascii="Times New Roman" w:eastAsia="Georgia" w:hAnsi="Times New Roman" w:cs="Times New Roman"/>
          <w:color w:val="000000" w:themeColor="text1"/>
          <w:sz w:val="24"/>
          <w:szCs w:val="24"/>
        </w:rPr>
        <w:t xml:space="preserve"> of </w:t>
      </w:r>
      <w:proofErr w:type="spellStart"/>
      <w:r w:rsidRPr="00E827C7">
        <w:rPr>
          <w:rFonts w:ascii="Times New Roman" w:eastAsia="Georgia" w:hAnsi="Times New Roman" w:cs="Times New Roman"/>
          <w:color w:val="000000" w:themeColor="text1"/>
          <w:sz w:val="24"/>
          <w:szCs w:val="24"/>
        </w:rPr>
        <w:t>agripreneurship</w:t>
      </w:r>
      <w:proofErr w:type="spellEnd"/>
      <w:r w:rsidRPr="00E827C7">
        <w:rPr>
          <w:rFonts w:ascii="Times New Roman" w:eastAsia="Georgia" w:hAnsi="Times New Roman" w:cs="Times New Roman"/>
          <w:color w:val="000000" w:themeColor="text1"/>
          <w:sz w:val="24"/>
          <w:szCs w:val="24"/>
        </w:rPr>
        <w:t xml:space="preserve"> (92%) but only moderate knowledge of government schemes. Correlation analysis showed that awareness, information sources, and scheme knowledge were significantly associated with perception. The regression model explained a substantial proportion of variation in attitudes (R² = 0.523), revealing </w:t>
      </w:r>
      <w:proofErr w:type="spellStart"/>
      <w:r w:rsidRPr="00E827C7">
        <w:rPr>
          <w:rFonts w:ascii="Times New Roman" w:eastAsia="Georgia" w:hAnsi="Times New Roman" w:cs="Times New Roman"/>
          <w:color w:val="000000" w:themeColor="text1"/>
          <w:sz w:val="24"/>
          <w:szCs w:val="24"/>
        </w:rPr>
        <w:t>agripreneurship</w:t>
      </w:r>
      <w:proofErr w:type="spellEnd"/>
      <w:r w:rsidRPr="00E827C7">
        <w:rPr>
          <w:rFonts w:ascii="Times New Roman" w:eastAsia="Georgia" w:hAnsi="Times New Roman" w:cs="Times New Roman"/>
          <w:color w:val="000000" w:themeColor="text1"/>
          <w:sz w:val="24"/>
          <w:szCs w:val="24"/>
        </w:rPr>
        <w:t xml:space="preserve"> awareness as the only significant predictor (β = 0.70), while demographic and background variables contributed no meaningful effects. This highlights that students’ entrepreneurial orientation is shaped primarily by exposure and understanding rather than personal characteristics. Strengthening practical </w:t>
      </w:r>
      <w:proofErr w:type="spellStart"/>
      <w:r w:rsidRPr="00E827C7">
        <w:rPr>
          <w:rFonts w:ascii="Times New Roman" w:eastAsia="Georgia" w:hAnsi="Times New Roman" w:cs="Times New Roman"/>
          <w:color w:val="000000" w:themeColor="text1"/>
          <w:sz w:val="24"/>
          <w:szCs w:val="24"/>
        </w:rPr>
        <w:t>agripreneurship</w:t>
      </w:r>
      <w:proofErr w:type="spellEnd"/>
      <w:r w:rsidRPr="00E827C7">
        <w:rPr>
          <w:rFonts w:ascii="Times New Roman" w:eastAsia="Georgia" w:hAnsi="Times New Roman" w:cs="Times New Roman"/>
          <w:color w:val="000000" w:themeColor="text1"/>
          <w:sz w:val="24"/>
          <w:szCs w:val="24"/>
        </w:rPr>
        <w:t xml:space="preserve"> modules, experiential learning, and targeted awareness initiatives can enhance students’ readiness for agribusiness. A key implication is that awareness-building is a scalable and effective strategy for promoting youth engagement in </w:t>
      </w:r>
      <w:proofErr w:type="spellStart"/>
      <w:r w:rsidRPr="00E827C7">
        <w:rPr>
          <w:rFonts w:ascii="Times New Roman" w:eastAsia="Georgia" w:hAnsi="Times New Roman" w:cs="Times New Roman"/>
          <w:color w:val="000000" w:themeColor="text1"/>
          <w:sz w:val="24"/>
          <w:szCs w:val="24"/>
        </w:rPr>
        <w:t>agripreneurship</w:t>
      </w:r>
      <w:proofErr w:type="spellEnd"/>
      <w:r w:rsidRPr="00E827C7">
        <w:rPr>
          <w:rFonts w:ascii="Times New Roman" w:eastAsia="Georgia" w:hAnsi="Times New Roman" w:cs="Times New Roman"/>
          <w:color w:val="000000" w:themeColor="text1"/>
          <w:sz w:val="24"/>
          <w:szCs w:val="24"/>
        </w:rPr>
        <w:t xml:space="preserve"> and advancing rural development in Manipur.</w:t>
      </w:r>
    </w:p>
    <w:p w14:paraId="2F620B8C"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Keywords:</w:t>
      </w:r>
      <w:r w:rsidRPr="00E827C7">
        <w:rPr>
          <w:rFonts w:ascii="Times New Roman" w:hAnsi="Times New Roman" w:cs="Times New Roman"/>
          <w:color w:val="000000" w:themeColor="text1"/>
          <w:sz w:val="24"/>
          <w:szCs w:val="24"/>
        </w:rPr>
        <w:t xml:space="preserve">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 agricultural students, perception, attitude, extension education, awareness</w:t>
      </w:r>
    </w:p>
    <w:p w14:paraId="5F61C682"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rPr>
      </w:pPr>
      <w:bookmarkStart w:id="3" w:name="bm_1_introduction"/>
      <w:r w:rsidRPr="00E827C7">
        <w:rPr>
          <w:rFonts w:ascii="Times New Roman" w:hAnsi="Times New Roman" w:cs="Times New Roman"/>
          <w:b/>
          <w:color w:val="000000" w:themeColor="text1"/>
          <w:sz w:val="24"/>
          <w:szCs w:val="24"/>
        </w:rPr>
        <w:t>1. Introduction</w:t>
      </w:r>
      <w:bookmarkEnd w:id="3"/>
    </w:p>
    <w:p w14:paraId="45096276"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 xml:space="preserve">Agriculture constitutes one of the principal sources of revenue in Manipur and plays a pioneering role in strengthening the state's fiscal backbone. Despite its strategic importance, the agricultural sector faces significant challenges, including persistent youth unemployment, rural poverty, limited value-added enterprise development, and inadequate adoption of modern farming practices. In this context, </w:t>
      </w:r>
      <w:proofErr w:type="spellStart"/>
      <w:r w:rsidRPr="00E827C7">
        <w:rPr>
          <w:rFonts w:ascii="Times New Roman" w:eastAsia="Georgia" w:hAnsi="Times New Roman" w:cs="Times New Roman"/>
          <w:color w:val="000000" w:themeColor="text1"/>
          <w:sz w:val="24"/>
          <w:szCs w:val="24"/>
        </w:rPr>
        <w:t>agripreneurship</w:t>
      </w:r>
      <w:proofErr w:type="spellEnd"/>
      <w:r w:rsidRPr="00E827C7">
        <w:rPr>
          <w:rFonts w:ascii="Times New Roman" w:eastAsia="Georgia" w:hAnsi="Times New Roman" w:cs="Times New Roman"/>
          <w:color w:val="000000" w:themeColor="text1"/>
          <w:sz w:val="24"/>
          <w:szCs w:val="24"/>
        </w:rPr>
        <w:t xml:space="preserve"> the practice of combining agricultural production with entrepreneurial </w:t>
      </w:r>
      <w:r w:rsidRPr="00E827C7">
        <w:rPr>
          <w:rFonts w:ascii="Times New Roman" w:eastAsia="Georgia" w:hAnsi="Times New Roman" w:cs="Times New Roman"/>
          <w:color w:val="000000" w:themeColor="text1"/>
          <w:sz w:val="24"/>
          <w:szCs w:val="24"/>
        </w:rPr>
        <w:lastRenderedPageBreak/>
        <w:t xml:space="preserve">innovation has emerged as a critically needed strategy to revitalize the agricultural sector, boost rural income, create employment opportunities for youth, and foster innovation in farm-based </w:t>
      </w:r>
      <w:proofErr w:type="gramStart"/>
      <w:r w:rsidRPr="00E827C7">
        <w:rPr>
          <w:rFonts w:ascii="Times New Roman" w:eastAsia="Georgia" w:hAnsi="Times New Roman" w:cs="Times New Roman"/>
          <w:color w:val="000000" w:themeColor="text1"/>
          <w:sz w:val="24"/>
          <w:szCs w:val="24"/>
        </w:rPr>
        <w:t>enterprises[</w:t>
      </w:r>
      <w:proofErr w:type="gramEnd"/>
      <w:r w:rsidRPr="00E827C7">
        <w:rPr>
          <w:rFonts w:ascii="Times New Roman" w:eastAsia="Georgia" w:hAnsi="Times New Roman" w:cs="Times New Roman"/>
          <w:color w:val="000000" w:themeColor="text1"/>
          <w:sz w:val="24"/>
          <w:szCs w:val="24"/>
        </w:rPr>
        <w:t>1].</w:t>
      </w:r>
    </w:p>
    <w:p w14:paraId="14131EAA"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 xml:space="preserve"> encompasses diverse activities ranging from precision agriculture and organic farming to value-addition, agricultural input supply, mechanization services, and agrotourism. By transitioning from subsistence farming to commercial agricultural enterprises,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 xml:space="preserve"> can unlock the region's substantial untapped potential for agribusiness </w:t>
      </w:r>
      <w:proofErr w:type="gramStart"/>
      <w:r w:rsidRPr="00E827C7">
        <w:rPr>
          <w:rFonts w:ascii="Times New Roman" w:hAnsi="Times New Roman" w:cs="Times New Roman"/>
          <w:color w:val="000000" w:themeColor="text1"/>
          <w:sz w:val="24"/>
          <w:szCs w:val="24"/>
        </w:rPr>
        <w:t>development[</w:t>
      </w:r>
      <w:proofErr w:type="gramEnd"/>
      <w:r w:rsidRPr="00E827C7">
        <w:rPr>
          <w:rFonts w:ascii="Times New Roman" w:hAnsi="Times New Roman" w:cs="Times New Roman"/>
          <w:color w:val="000000" w:themeColor="text1"/>
          <w:sz w:val="24"/>
          <w:szCs w:val="24"/>
        </w:rPr>
        <w:t>1]. For Manipur specifically, where the economy is heavily dependent on traditional agriculture, the promotion of agricultural entrepreneurship represents a strategic imperative for economic diversification and rural development.</w:t>
      </w:r>
    </w:p>
    <w:p w14:paraId="3C8C1269"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However, the transition towards </w:t>
      </w:r>
      <w:proofErr w:type="spellStart"/>
      <w:r w:rsidRPr="00E827C7">
        <w:rPr>
          <w:rFonts w:ascii="Times New Roman" w:hAnsi="Times New Roman" w:cs="Times New Roman"/>
          <w:color w:val="000000" w:themeColor="text1"/>
          <w:sz w:val="24"/>
          <w:szCs w:val="24"/>
        </w:rPr>
        <w:t>agripreneurial</w:t>
      </w:r>
      <w:proofErr w:type="spellEnd"/>
      <w:r w:rsidRPr="00E827C7">
        <w:rPr>
          <w:rFonts w:ascii="Times New Roman" w:hAnsi="Times New Roman" w:cs="Times New Roman"/>
          <w:color w:val="000000" w:themeColor="text1"/>
          <w:sz w:val="24"/>
          <w:szCs w:val="24"/>
        </w:rPr>
        <w:t xml:space="preserve"> activities requires not only infrastructure and financial support but also a fundamental shift in the perceptions and attitudes of agricultural professionals and students towards self-employment and business enterprise in agriculture. Agricultural students represent a critical demographic, as they constitute the future workforce that will either adopt traditional employment paths or venture into entrepreneurial activities. Understanding the factors that shape their perceptions of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 xml:space="preserve"> is essential for designing effective extension education programs and interventions.</w:t>
      </w:r>
    </w:p>
    <w:p w14:paraId="64AB17E4"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rPr>
      </w:pPr>
      <w:bookmarkStart w:id="4" w:name="bm_1_1_problem_context"/>
      <w:r w:rsidRPr="00E827C7">
        <w:rPr>
          <w:rFonts w:ascii="Times New Roman" w:hAnsi="Times New Roman" w:cs="Times New Roman"/>
          <w:b/>
          <w:color w:val="000000" w:themeColor="text1"/>
          <w:sz w:val="24"/>
          <w:szCs w:val="24"/>
        </w:rPr>
        <w:t>1.1 Problem Context</w:t>
      </w:r>
      <w:bookmarkEnd w:id="4"/>
    </w:p>
    <w:p w14:paraId="12C06630"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 xml:space="preserve">Manipur’s agrarian economy remains a critical livelihood source, with nearly 70% of the population dependent on agriculture, yet the sector contributes only about 16–20% to the state’s Gross State Domestic Product (GSDP), reflecting persistent productivity gaps and limited value addition [2]. Youth unemployment in the state continues to rise, with estimates indicating rates significantly above the national average, making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an increasingly relevant pathway for income generation and rural transformation. Despite this potential, there is limited understanding of the psychosocial factors that shape students’ willingness to pursue agribusiness careers.</w:t>
      </w:r>
    </w:p>
    <w:p w14:paraId="7A1D098A" w14:textId="18A97C16" w:rsidR="00A57B34" w:rsidRPr="00E827C7" w:rsidRDefault="00A57B34" w:rsidP="00A57B34">
      <w:pPr>
        <w:spacing w:after="21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 xml:space="preserve">Existing studies identify demographic characteristics, family background, educational exposure, and awareness of entrepreneurial opportunities as determinants of entrepreneurial intention [3] [4]. However, little is known about which of these factors matter most in shaping </w:t>
      </w:r>
      <w:proofErr w:type="spellStart"/>
      <w:r w:rsidRPr="00E827C7">
        <w:rPr>
          <w:rFonts w:ascii="Times New Roman" w:hAnsi="Times New Roman" w:cs="Times New Roman"/>
          <w:color w:val="000000" w:themeColor="text1"/>
          <w:sz w:val="24"/>
          <w:szCs w:val="24"/>
          <w:lang w:val="en-IN"/>
        </w:rPr>
        <w:t>agripreneurial</w:t>
      </w:r>
      <w:proofErr w:type="spellEnd"/>
      <w:r w:rsidRPr="00E827C7">
        <w:rPr>
          <w:rFonts w:ascii="Times New Roman" w:hAnsi="Times New Roman" w:cs="Times New Roman"/>
          <w:color w:val="000000" w:themeColor="text1"/>
          <w:sz w:val="24"/>
          <w:szCs w:val="24"/>
          <w:lang w:val="en-IN"/>
        </w:rPr>
        <w:t xml:space="preserve"> </w:t>
      </w:r>
      <w:r w:rsidRPr="00E827C7">
        <w:rPr>
          <w:rFonts w:ascii="Times New Roman" w:hAnsi="Times New Roman" w:cs="Times New Roman"/>
          <w:color w:val="000000" w:themeColor="text1"/>
          <w:sz w:val="24"/>
          <w:szCs w:val="24"/>
          <w:lang w:val="en-IN"/>
        </w:rPr>
        <w:lastRenderedPageBreak/>
        <w:t xml:space="preserve">perception and attitude in the Northeast, a region with distinct sociocultural and </w:t>
      </w:r>
      <w:proofErr w:type="spellStart"/>
      <w:r w:rsidRPr="00E827C7">
        <w:rPr>
          <w:rFonts w:ascii="Times New Roman" w:hAnsi="Times New Roman" w:cs="Times New Roman"/>
          <w:color w:val="000000" w:themeColor="text1"/>
          <w:sz w:val="24"/>
          <w:szCs w:val="24"/>
          <w:lang w:val="en-IN"/>
        </w:rPr>
        <w:t>agro</w:t>
      </w:r>
      <w:proofErr w:type="spellEnd"/>
      <w:r w:rsidRPr="00E827C7">
        <w:rPr>
          <w:rFonts w:ascii="Times New Roman" w:hAnsi="Times New Roman" w:cs="Times New Roman"/>
          <w:color w:val="000000" w:themeColor="text1"/>
          <w:sz w:val="24"/>
          <w:szCs w:val="24"/>
          <w:lang w:val="en-IN"/>
        </w:rPr>
        <w:t xml:space="preserve">-ecological features and limited agribusiness infrastructure. Research in </w:t>
      </w:r>
      <w:r w:rsidR="00D17766" w:rsidRPr="00E827C7">
        <w:rPr>
          <w:rFonts w:ascii="Times New Roman" w:hAnsi="Times New Roman" w:cs="Times New Roman"/>
          <w:color w:val="000000" w:themeColor="text1"/>
          <w:sz w:val="24"/>
          <w:szCs w:val="24"/>
          <w:lang w:val="en-IN"/>
        </w:rPr>
        <w:t>N</w:t>
      </w:r>
      <w:r w:rsidRPr="00E827C7">
        <w:rPr>
          <w:rFonts w:ascii="Times New Roman" w:hAnsi="Times New Roman" w:cs="Times New Roman"/>
          <w:color w:val="000000" w:themeColor="text1"/>
          <w:sz w:val="24"/>
          <w:szCs w:val="24"/>
          <w:lang w:val="en-IN"/>
        </w:rPr>
        <w:t xml:space="preserve">ortheastern India remains sparse, with only a handful of studies addressing youth entrepreneurship or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readiness [5] [6]. This creates a critical knowledge gap regarding how students in this region form entrepreneurial orientations.</w:t>
      </w:r>
    </w:p>
    <w:p w14:paraId="4703E5A0"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 xml:space="preserve">In this study, perception refers to students’ cognitive appraisal and understanding of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how they interpret its relevance, opportunities, and feasibility. Attitude reflects their evaluative disposition toward </w:t>
      </w:r>
      <w:proofErr w:type="spellStart"/>
      <w:r w:rsidRPr="00E827C7">
        <w:rPr>
          <w:rFonts w:ascii="Times New Roman" w:hAnsi="Times New Roman" w:cs="Times New Roman"/>
          <w:color w:val="000000" w:themeColor="text1"/>
          <w:sz w:val="24"/>
          <w:szCs w:val="24"/>
          <w:lang w:val="en-IN"/>
        </w:rPr>
        <w:t>agripreneurial</w:t>
      </w:r>
      <w:proofErr w:type="spellEnd"/>
      <w:r w:rsidRPr="00E827C7">
        <w:rPr>
          <w:rFonts w:ascii="Times New Roman" w:hAnsi="Times New Roman" w:cs="Times New Roman"/>
          <w:color w:val="000000" w:themeColor="text1"/>
          <w:sz w:val="24"/>
          <w:szCs w:val="24"/>
          <w:lang w:val="en-IN"/>
        </w:rPr>
        <w:t xml:space="preserve"> engagement, including interest, willingness to participate, and openness to pursuing agribusiness as a career pathway. Given the socioeconomic challenges and structural constraints in Manipur, understanding these psychological determinants is essential for designing targeted interventions that strengthen </w:t>
      </w:r>
      <w:proofErr w:type="spellStart"/>
      <w:r w:rsidRPr="00E827C7">
        <w:rPr>
          <w:rFonts w:ascii="Times New Roman" w:hAnsi="Times New Roman" w:cs="Times New Roman"/>
          <w:color w:val="000000" w:themeColor="text1"/>
          <w:sz w:val="24"/>
          <w:szCs w:val="24"/>
          <w:lang w:val="en-IN"/>
        </w:rPr>
        <w:t>agripreneurial</w:t>
      </w:r>
      <w:proofErr w:type="spellEnd"/>
      <w:r w:rsidRPr="00E827C7">
        <w:rPr>
          <w:rFonts w:ascii="Times New Roman" w:hAnsi="Times New Roman" w:cs="Times New Roman"/>
          <w:color w:val="000000" w:themeColor="text1"/>
          <w:sz w:val="24"/>
          <w:szCs w:val="24"/>
          <w:lang w:val="en-IN"/>
        </w:rPr>
        <w:t xml:space="preserve"> aspirations among youth.</w:t>
      </w:r>
    </w:p>
    <w:p w14:paraId="7B8CF394"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rPr>
      </w:pPr>
      <w:bookmarkStart w:id="5" w:name="bm_1_2_study_objectives"/>
      <w:r w:rsidRPr="00E827C7">
        <w:rPr>
          <w:rFonts w:ascii="Times New Roman" w:hAnsi="Times New Roman" w:cs="Times New Roman"/>
          <w:b/>
          <w:color w:val="000000" w:themeColor="text1"/>
          <w:sz w:val="24"/>
          <w:szCs w:val="24"/>
        </w:rPr>
        <w:t>1.2 Study Objectives</w:t>
      </w:r>
      <w:bookmarkEnd w:id="5"/>
    </w:p>
    <w:p w14:paraId="69696767"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This study was designed to:</w:t>
      </w:r>
    </w:p>
    <w:p w14:paraId="0BB0D754" w14:textId="77777777" w:rsidR="00A57B34" w:rsidRPr="00E827C7" w:rsidRDefault="00A57B34" w:rsidP="00A57B34">
      <w:pPr>
        <w:numPr>
          <w:ilvl w:val="0"/>
          <w:numId w:val="1"/>
        </w:numPr>
        <w:spacing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Assess the current level of awareness among agricultural students regarding the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 xml:space="preserve"> concept</w:t>
      </w:r>
    </w:p>
    <w:p w14:paraId="1A415D20" w14:textId="77777777" w:rsidR="00A57B34" w:rsidRPr="00E827C7" w:rsidRDefault="00A57B34" w:rsidP="00A57B34">
      <w:pPr>
        <w:numPr>
          <w:ilvl w:val="0"/>
          <w:numId w:val="1"/>
        </w:numPr>
        <w:spacing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Examine the relationship between demographic characteristics and perception of </w:t>
      </w:r>
      <w:proofErr w:type="spellStart"/>
      <w:r w:rsidRPr="00E827C7">
        <w:rPr>
          <w:rFonts w:ascii="Times New Roman" w:hAnsi="Times New Roman" w:cs="Times New Roman"/>
          <w:color w:val="000000" w:themeColor="text1"/>
          <w:sz w:val="24"/>
          <w:szCs w:val="24"/>
        </w:rPr>
        <w:t>agripreneurship</w:t>
      </w:r>
      <w:proofErr w:type="spellEnd"/>
    </w:p>
    <w:p w14:paraId="589E6386" w14:textId="77777777" w:rsidR="00A57B34" w:rsidRPr="00E827C7" w:rsidRDefault="00A57B34" w:rsidP="00A57B34">
      <w:pPr>
        <w:numPr>
          <w:ilvl w:val="0"/>
          <w:numId w:val="1"/>
        </w:numPr>
        <w:spacing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Evaluate the role of awareness, information sources, and knowledge of government schemes in shaping attitudes towards </w:t>
      </w:r>
      <w:proofErr w:type="spellStart"/>
      <w:r w:rsidRPr="00E827C7">
        <w:rPr>
          <w:rFonts w:ascii="Times New Roman" w:hAnsi="Times New Roman" w:cs="Times New Roman"/>
          <w:color w:val="000000" w:themeColor="text1"/>
          <w:sz w:val="24"/>
          <w:szCs w:val="24"/>
        </w:rPr>
        <w:t>agripreneurship</w:t>
      </w:r>
      <w:proofErr w:type="spellEnd"/>
    </w:p>
    <w:p w14:paraId="4F5CEFC9" w14:textId="77777777" w:rsidR="00A57B34" w:rsidRPr="00E827C7" w:rsidRDefault="00A57B34" w:rsidP="00A57B34">
      <w:pPr>
        <w:numPr>
          <w:ilvl w:val="0"/>
          <w:numId w:val="1"/>
        </w:numPr>
        <w:spacing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Identify the primary determinants of positive perception and attitude towards </w:t>
      </w:r>
      <w:proofErr w:type="spellStart"/>
      <w:r w:rsidRPr="00E827C7">
        <w:rPr>
          <w:rFonts w:ascii="Times New Roman" w:hAnsi="Times New Roman" w:cs="Times New Roman"/>
          <w:color w:val="000000" w:themeColor="text1"/>
          <w:sz w:val="24"/>
          <w:szCs w:val="24"/>
        </w:rPr>
        <w:t>agripreneurship</w:t>
      </w:r>
      <w:proofErr w:type="spellEnd"/>
    </w:p>
    <w:p w14:paraId="3B67BF45" w14:textId="77777777" w:rsidR="00A57B34" w:rsidRPr="00E827C7" w:rsidRDefault="00A57B34" w:rsidP="00A57B34">
      <w:pPr>
        <w:numPr>
          <w:ilvl w:val="0"/>
          <w:numId w:val="1"/>
        </w:numPr>
        <w:spacing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Provide evidence-based recommendations for extension education programs promoting </w:t>
      </w:r>
      <w:proofErr w:type="spellStart"/>
      <w:r w:rsidRPr="00E827C7">
        <w:rPr>
          <w:rFonts w:ascii="Times New Roman" w:hAnsi="Times New Roman" w:cs="Times New Roman"/>
          <w:color w:val="000000" w:themeColor="text1"/>
          <w:sz w:val="24"/>
          <w:szCs w:val="24"/>
        </w:rPr>
        <w:t>agripreneurship</w:t>
      </w:r>
      <w:proofErr w:type="spellEnd"/>
    </w:p>
    <w:p w14:paraId="16219E53"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rPr>
      </w:pPr>
      <w:bookmarkStart w:id="6" w:name="bm_2_materials_and_methods"/>
      <w:r w:rsidRPr="00E827C7">
        <w:rPr>
          <w:rFonts w:ascii="Times New Roman" w:hAnsi="Times New Roman" w:cs="Times New Roman"/>
          <w:b/>
          <w:color w:val="000000" w:themeColor="text1"/>
          <w:sz w:val="24"/>
          <w:szCs w:val="24"/>
        </w:rPr>
        <w:t>2. Materials and Methods</w:t>
      </w:r>
      <w:bookmarkEnd w:id="6"/>
    </w:p>
    <w:p w14:paraId="22C38AFB"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rPr>
      </w:pPr>
      <w:bookmarkStart w:id="7" w:name="bm_2_1_study_design"/>
      <w:r w:rsidRPr="00E827C7">
        <w:rPr>
          <w:rFonts w:ascii="Times New Roman" w:hAnsi="Times New Roman" w:cs="Times New Roman"/>
          <w:b/>
          <w:color w:val="000000" w:themeColor="text1"/>
          <w:sz w:val="24"/>
          <w:szCs w:val="24"/>
        </w:rPr>
        <w:t>2.1 Study Design</w:t>
      </w:r>
      <w:bookmarkEnd w:id="7"/>
    </w:p>
    <w:p w14:paraId="42B774D5"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lastRenderedPageBreak/>
        <w:t xml:space="preserve">A cross-sectional survey design was adopted to assess the determinants of agricultural students’ perception and attitude toward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This design enables the simultaneous examination of multiple variables at a single point in time and is widely used in </w:t>
      </w:r>
      <w:proofErr w:type="spellStart"/>
      <w:r w:rsidRPr="00E827C7">
        <w:rPr>
          <w:rFonts w:ascii="Times New Roman" w:hAnsi="Times New Roman" w:cs="Times New Roman"/>
          <w:color w:val="000000" w:themeColor="text1"/>
          <w:sz w:val="24"/>
          <w:szCs w:val="24"/>
          <w:lang w:val="en-IN"/>
        </w:rPr>
        <w:t>behavioral</w:t>
      </w:r>
      <w:proofErr w:type="spellEnd"/>
      <w:r w:rsidRPr="00E827C7">
        <w:rPr>
          <w:rFonts w:ascii="Times New Roman" w:hAnsi="Times New Roman" w:cs="Times New Roman"/>
          <w:color w:val="000000" w:themeColor="text1"/>
          <w:sz w:val="24"/>
          <w:szCs w:val="24"/>
          <w:lang w:val="en-IN"/>
        </w:rPr>
        <w:t>, entrepreneurial, and social research for identifying associations and testing theoretical propositions [7] [8]. The study was conducted during 2024–2025.</w:t>
      </w:r>
    </w:p>
    <w:p w14:paraId="1309EB52" w14:textId="6122B258" w:rsidR="00A57B34" w:rsidRPr="00E827C7" w:rsidRDefault="00EE0257" w:rsidP="00A57B34">
      <w:pPr>
        <w:spacing w:before="24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2.2 Study Area, Population and Sampling</w:t>
      </w:r>
    </w:p>
    <w:p w14:paraId="2569D18E" w14:textId="34BCF33F" w:rsidR="00EE0257" w:rsidRPr="00E827C7" w:rsidRDefault="00EE0257" w:rsidP="00EE0257">
      <w:pPr>
        <w:spacing w:after="21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 xml:space="preserve">The study was conducted at the South Asian Institute of Rural and Agricultural Management (SAIRAM), located in Imphal West district of Manipur, India (Figure 1). The institute is situated at approximately 24°48′–25°12′ N latitude and 93°45′–93°54′ E longitude, at an average elevation of about 780 m above mean sea level (MSL). Imphal West lies within the Imphal Valley, which constitutes a major agricultural and educational hub of the state. </w:t>
      </w:r>
    </w:p>
    <w:p w14:paraId="225BDCE3" w14:textId="47570745" w:rsidR="00EE0257" w:rsidRPr="00E827C7" w:rsidRDefault="00EE0257" w:rsidP="00EE0257">
      <w:pPr>
        <w:spacing w:after="210" w:line="360" w:lineRule="auto"/>
        <w:jc w:val="both"/>
        <w:rPr>
          <w:rFonts w:ascii="Times New Roman" w:hAnsi="Times New Roman" w:cs="Times New Roman"/>
          <w:color w:val="000000" w:themeColor="text1"/>
          <w:sz w:val="24"/>
          <w:szCs w:val="24"/>
          <w:lang w:val="en-IN"/>
        </w:rPr>
      </w:pPr>
      <w:r w:rsidRPr="00E827C7">
        <w:rPr>
          <w:noProof/>
          <w:color w:val="000000" w:themeColor="text1"/>
        </w:rPr>
        <w:drawing>
          <wp:inline distT="0" distB="0" distL="0" distR="0" wp14:anchorId="3938EE1F" wp14:editId="4DBDC11E">
            <wp:extent cx="5962650" cy="3873500"/>
            <wp:effectExtent l="19050" t="19050" r="19050" b="12700"/>
            <wp:docPr id="2023600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934" t="5170" r="3020" b="4532"/>
                    <a:stretch>
                      <a:fillRect/>
                    </a:stretch>
                  </pic:blipFill>
                  <pic:spPr bwMode="auto">
                    <a:xfrm>
                      <a:off x="0" y="0"/>
                      <a:ext cx="5962650" cy="38735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5F32750" w14:textId="77777777" w:rsidR="00E827C7" w:rsidRPr="00E827C7" w:rsidRDefault="00EE0257" w:rsidP="00A57B34">
      <w:pPr>
        <w:spacing w:after="210" w:line="360" w:lineRule="auto"/>
        <w:jc w:val="both"/>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 xml:space="preserve">Figure 1: Spatial location of the study area, showing the position of SAIRAM within Imphal West district, Manipur, India. The study area map was generated using QGIS software (version 3.34). </w:t>
      </w:r>
    </w:p>
    <w:p w14:paraId="3DA8B0F8" w14:textId="10303F25" w:rsidR="00EE0257" w:rsidRPr="00E827C7" w:rsidRDefault="00EE0257" w:rsidP="00A57B34">
      <w:pPr>
        <w:spacing w:after="21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lastRenderedPageBreak/>
        <w:t xml:space="preserve">This geographic setting is particularly relevant for examining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awareness, as the region represents a transitional agrarian economy with increasing emphasis on entrepreneurship, value addition, and youth employment.</w:t>
      </w:r>
    </w:p>
    <w:p w14:paraId="7E955764" w14:textId="04048D2D" w:rsidR="00A57B34" w:rsidRPr="00E827C7" w:rsidRDefault="00A57B34" w:rsidP="00A57B34">
      <w:pPr>
        <w:spacing w:after="21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The study population comprised all undergraduate and postgraduate students enrolled in agricultural programs at the South Asian Institute of Rural and Agricultural Management (SAIRAM), Manipur (N = 257)</w:t>
      </w:r>
      <w:r w:rsidR="00EE0257" w:rsidRPr="00E827C7">
        <w:rPr>
          <w:rFonts w:ascii="Times New Roman" w:hAnsi="Times New Roman" w:cs="Times New Roman"/>
          <w:color w:val="000000" w:themeColor="text1"/>
          <w:sz w:val="24"/>
          <w:szCs w:val="24"/>
          <w:lang w:val="en-IN"/>
        </w:rPr>
        <w:t xml:space="preserve"> (Figure 1)</w:t>
      </w:r>
      <w:r w:rsidRPr="00E827C7">
        <w:rPr>
          <w:rFonts w:ascii="Times New Roman" w:hAnsi="Times New Roman" w:cs="Times New Roman"/>
          <w:color w:val="000000" w:themeColor="text1"/>
          <w:sz w:val="24"/>
          <w:szCs w:val="24"/>
          <w:lang w:val="en-IN"/>
        </w:rPr>
        <w:t xml:space="preserve">. A purposive sampling strategy was employed to select 100 respondents. Purposive sampling was justified because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awareness and attitude are most meaningfully assessed among students actively engaged in agricultural coursework, making them the most relevant target group for the study’s objectives [9]. Additional efforts ensured representation across gender, academic year, family background, and place of residence, thereby strengthening the internal validity of the findings. Purposive sampling is commonly applied in exploratory attitudinal studies where specific participant expertise or exposure is required [10].</w:t>
      </w:r>
    </w:p>
    <w:p w14:paraId="424696C8"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rPr>
      </w:pPr>
      <w:bookmarkStart w:id="8" w:name="bm_2_3_data_collection_instrument"/>
      <w:r w:rsidRPr="00E827C7">
        <w:rPr>
          <w:rFonts w:ascii="Times New Roman" w:hAnsi="Times New Roman" w:cs="Times New Roman"/>
          <w:b/>
          <w:color w:val="000000" w:themeColor="text1"/>
          <w:sz w:val="24"/>
          <w:szCs w:val="24"/>
        </w:rPr>
        <w:t>2.3 Data Collection Instrument</w:t>
      </w:r>
      <w:bookmarkEnd w:id="8"/>
    </w:p>
    <w:p w14:paraId="29134F73"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A structured questionnaire was developed and administered to collect data [2] [3]. The questionnaire comprised four main sections:</w:t>
      </w:r>
    </w:p>
    <w:p w14:paraId="64DBAB9E" w14:textId="77777777" w:rsidR="00A57B34" w:rsidRPr="00E827C7" w:rsidRDefault="00A57B34" w:rsidP="00A57B34">
      <w:pPr>
        <w:numPr>
          <w:ilvl w:val="0"/>
          <w:numId w:val="2"/>
        </w:num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Demographic Information:</w:t>
      </w:r>
      <w:r w:rsidRPr="00E827C7">
        <w:rPr>
          <w:rFonts w:ascii="Times New Roman" w:hAnsi="Times New Roman" w:cs="Times New Roman"/>
          <w:color w:val="000000" w:themeColor="text1"/>
          <w:sz w:val="24"/>
          <w:szCs w:val="24"/>
        </w:rPr>
        <w:t xml:space="preserve"> Variables included gender, age, year of study (undergraduate vs. postgraduate), family background (agricultural vs. non-agricultural), and place of residence (urban, semi-urban, or rural).</w:t>
      </w:r>
    </w:p>
    <w:p w14:paraId="5A53B91E" w14:textId="77777777" w:rsidR="00A57B34" w:rsidRPr="00E827C7" w:rsidRDefault="00A57B34" w:rsidP="00A57B34">
      <w:pPr>
        <w:numPr>
          <w:ilvl w:val="0"/>
          <w:numId w:val="2"/>
        </w:num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Awareness and Exposure:</w:t>
      </w:r>
      <w:r w:rsidRPr="00E827C7">
        <w:rPr>
          <w:rFonts w:ascii="Times New Roman" w:hAnsi="Times New Roman" w:cs="Times New Roman"/>
          <w:color w:val="000000" w:themeColor="text1"/>
          <w:sz w:val="24"/>
          <w:szCs w:val="24"/>
        </w:rPr>
        <w:t xml:space="preserve"> This section assessed prior knowledge of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 xml:space="preserve"> using a binary item ("Have you heard about the concept of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 xml:space="preserve">?"), sources of information (ranging from educational institutions, media, personal networks, extension services, and others), and familiarity with government schemes supporting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 xml:space="preserve"> (binary yes/no format).</w:t>
      </w:r>
    </w:p>
    <w:p w14:paraId="58F1A33E" w14:textId="77777777" w:rsidR="00A57B34" w:rsidRPr="00E827C7" w:rsidRDefault="00A57B34" w:rsidP="00A57B34">
      <w:pPr>
        <w:numPr>
          <w:ilvl w:val="0"/>
          <w:numId w:val="2"/>
        </w:num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Perception and Attitude:</w:t>
      </w:r>
      <w:r w:rsidRPr="00E827C7">
        <w:rPr>
          <w:rFonts w:ascii="Times New Roman" w:hAnsi="Times New Roman" w:cs="Times New Roman"/>
          <w:color w:val="000000" w:themeColor="text1"/>
          <w:sz w:val="24"/>
          <w:szCs w:val="24"/>
        </w:rPr>
        <w:t xml:space="preserve"> Multiple Likert-scale statements (typically 5-point) measured overall perception and attitude towards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 with both positively and negatively worded items to ensure reliability and reduce response bias.</w:t>
      </w:r>
    </w:p>
    <w:p w14:paraId="49105837" w14:textId="77777777" w:rsidR="00A57B34" w:rsidRPr="00E827C7" w:rsidRDefault="00A57B34" w:rsidP="00A57B34">
      <w:pPr>
        <w:numPr>
          <w:ilvl w:val="0"/>
          <w:numId w:val="2"/>
        </w:num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Additional variables:</w:t>
      </w:r>
      <w:r w:rsidRPr="00E827C7">
        <w:rPr>
          <w:rFonts w:ascii="Times New Roman" w:hAnsi="Times New Roman" w:cs="Times New Roman"/>
          <w:color w:val="000000" w:themeColor="text1"/>
          <w:sz w:val="24"/>
          <w:szCs w:val="24"/>
        </w:rPr>
        <w:t xml:space="preserve"> The instrument also collected information on year of study and educational status.</w:t>
      </w:r>
    </w:p>
    <w:p w14:paraId="131515E4"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lastRenderedPageBreak/>
        <w:t>The perception and attitude scale consisted of multiple 5-point Likert items (1 = strongly disagree to 5 = strongly agree). Scale reliability was assessed using Cronbach’s alpha; the attitude/perception scale showed acceptable internal consistency (Cronbach’s α = 0.78), indicating satisfactory reliability for group-level comparisons [11]. Item-level descriptive statistics and inter-item correlations were inspected to ensure no redundant or poorly performing items were retained.</w:t>
      </w:r>
    </w:p>
    <w:p w14:paraId="2AF5927D"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rPr>
      </w:pPr>
      <w:bookmarkStart w:id="9" w:name="bm_2_4_data_analysis"/>
      <w:r w:rsidRPr="00E827C7">
        <w:rPr>
          <w:rFonts w:ascii="Times New Roman" w:hAnsi="Times New Roman" w:cs="Times New Roman"/>
          <w:b/>
          <w:color w:val="000000" w:themeColor="text1"/>
          <w:sz w:val="24"/>
          <w:szCs w:val="24"/>
        </w:rPr>
        <w:t>2.4 Data Analysis</w:t>
      </w:r>
      <w:bookmarkEnd w:id="9"/>
    </w:p>
    <w:p w14:paraId="2A0183E7" w14:textId="77777777" w:rsidR="00A57B34" w:rsidRPr="00E827C7" w:rsidRDefault="00A57B34" w:rsidP="00A57B34">
      <w:pPr>
        <w:spacing w:before="240" w:line="360" w:lineRule="auto"/>
        <w:jc w:val="both"/>
        <w:rPr>
          <w:rFonts w:ascii="Times New Roman" w:eastAsia="Georgia" w:hAnsi="Times New Roman" w:cs="Times New Roman"/>
          <w:color w:val="000000" w:themeColor="text1"/>
          <w:sz w:val="24"/>
          <w:szCs w:val="24"/>
        </w:rPr>
      </w:pPr>
      <w:bookmarkStart w:id="10" w:name="bm_2_5_ethical_considerations"/>
      <w:r w:rsidRPr="00E827C7">
        <w:rPr>
          <w:rFonts w:ascii="Times New Roman" w:eastAsia="Georgia" w:hAnsi="Times New Roman" w:cs="Times New Roman"/>
          <w:color w:val="000000" w:themeColor="text1"/>
          <w:sz w:val="24"/>
          <w:szCs w:val="24"/>
        </w:rPr>
        <w:t xml:space="preserve">Data were </w:t>
      </w:r>
      <w:proofErr w:type="spellStart"/>
      <w:r w:rsidRPr="00E827C7">
        <w:rPr>
          <w:rFonts w:ascii="Times New Roman" w:eastAsia="Georgia" w:hAnsi="Times New Roman" w:cs="Times New Roman"/>
          <w:color w:val="000000" w:themeColor="text1"/>
          <w:sz w:val="24"/>
          <w:szCs w:val="24"/>
        </w:rPr>
        <w:t>analysed</w:t>
      </w:r>
      <w:proofErr w:type="spellEnd"/>
      <w:r w:rsidRPr="00E827C7">
        <w:rPr>
          <w:rFonts w:ascii="Times New Roman" w:eastAsia="Georgia" w:hAnsi="Times New Roman" w:cs="Times New Roman"/>
          <w:color w:val="000000" w:themeColor="text1"/>
          <w:sz w:val="24"/>
          <w:szCs w:val="24"/>
        </w:rPr>
        <w:t xml:space="preserve"> using IBM SPSS Statistics (v.26). Descriptive statistics (mean, standard deviation) summarized sample characteristics. Pearson correlation coefficients were computed to examine bivariate associations [12] [13]. A multiple linear regression model estimated unique predictors of overall perception and attitude. Prior to running the model, standard regression diagnostics were performed:</w:t>
      </w:r>
    </w:p>
    <w:p w14:paraId="172DFB21" w14:textId="77777777" w:rsidR="00A57B34" w:rsidRPr="00E827C7" w:rsidRDefault="00A57B34" w:rsidP="00A57B34">
      <w:pPr>
        <w:pStyle w:val="ListParagraph"/>
        <w:numPr>
          <w:ilvl w:val="0"/>
          <w:numId w:val="6"/>
        </w:numPr>
        <w:spacing w:before="240" w:line="360" w:lineRule="auto"/>
        <w:jc w:val="both"/>
        <w:rPr>
          <w:rFonts w:ascii="Times New Roman" w:eastAsia="Georgia" w:hAnsi="Times New Roman" w:cs="Times New Roman"/>
          <w:color w:val="000000" w:themeColor="text1"/>
          <w:sz w:val="24"/>
          <w:szCs w:val="24"/>
        </w:rPr>
      </w:pPr>
      <w:r w:rsidRPr="00E827C7">
        <w:rPr>
          <w:rFonts w:ascii="Times New Roman" w:eastAsia="Georgia" w:hAnsi="Times New Roman" w:cs="Times New Roman"/>
          <w:b/>
          <w:bCs/>
          <w:color w:val="000000" w:themeColor="text1"/>
          <w:sz w:val="24"/>
          <w:szCs w:val="24"/>
        </w:rPr>
        <w:t>Normality</w:t>
      </w:r>
      <w:r w:rsidRPr="00E827C7">
        <w:rPr>
          <w:rFonts w:ascii="Times New Roman" w:eastAsia="Georgia" w:hAnsi="Times New Roman" w:cs="Times New Roman"/>
          <w:color w:val="000000" w:themeColor="text1"/>
          <w:sz w:val="24"/>
          <w:szCs w:val="24"/>
        </w:rPr>
        <w:t xml:space="preserve"> of residuals was assessed by inspection of histogram and Q–Q plots; residuals approximated normality.</w:t>
      </w:r>
    </w:p>
    <w:p w14:paraId="5A07DC08" w14:textId="77777777" w:rsidR="00A57B34" w:rsidRPr="00E827C7" w:rsidRDefault="00A57B34" w:rsidP="00A57B34">
      <w:pPr>
        <w:pStyle w:val="ListParagraph"/>
        <w:numPr>
          <w:ilvl w:val="0"/>
          <w:numId w:val="6"/>
        </w:numPr>
        <w:spacing w:before="240" w:line="360" w:lineRule="auto"/>
        <w:jc w:val="both"/>
        <w:rPr>
          <w:rFonts w:ascii="Times New Roman" w:eastAsia="Georgia" w:hAnsi="Times New Roman" w:cs="Times New Roman"/>
          <w:color w:val="000000" w:themeColor="text1"/>
          <w:sz w:val="24"/>
          <w:szCs w:val="24"/>
        </w:rPr>
      </w:pPr>
      <w:r w:rsidRPr="00E827C7">
        <w:rPr>
          <w:rFonts w:ascii="Times New Roman" w:eastAsia="Georgia" w:hAnsi="Times New Roman" w:cs="Times New Roman"/>
          <w:b/>
          <w:bCs/>
          <w:color w:val="000000" w:themeColor="text1"/>
          <w:sz w:val="24"/>
          <w:szCs w:val="24"/>
        </w:rPr>
        <w:t>Multicollinearity</w:t>
      </w:r>
      <w:r w:rsidRPr="00E827C7">
        <w:rPr>
          <w:rFonts w:ascii="Times New Roman" w:eastAsia="Georgia" w:hAnsi="Times New Roman" w:cs="Times New Roman"/>
          <w:color w:val="000000" w:themeColor="text1"/>
          <w:sz w:val="24"/>
          <w:szCs w:val="24"/>
        </w:rPr>
        <w:t xml:space="preserve"> was evaluated using Variance Inflation Factor (VIF); all predictors had VIF &lt; 2.5, indicating no serious multicollinearity.</w:t>
      </w:r>
    </w:p>
    <w:p w14:paraId="7A90FDD6" w14:textId="77777777" w:rsidR="00A57B34" w:rsidRPr="00E827C7" w:rsidRDefault="00A57B34" w:rsidP="00A57B34">
      <w:pPr>
        <w:pStyle w:val="ListParagraph"/>
        <w:numPr>
          <w:ilvl w:val="0"/>
          <w:numId w:val="6"/>
        </w:numPr>
        <w:spacing w:before="240" w:line="360" w:lineRule="auto"/>
        <w:jc w:val="both"/>
        <w:rPr>
          <w:rFonts w:ascii="Times New Roman" w:eastAsia="Georgia" w:hAnsi="Times New Roman" w:cs="Times New Roman"/>
          <w:color w:val="000000" w:themeColor="text1"/>
          <w:sz w:val="24"/>
          <w:szCs w:val="24"/>
        </w:rPr>
      </w:pPr>
      <w:r w:rsidRPr="00E827C7">
        <w:rPr>
          <w:rFonts w:ascii="Times New Roman" w:eastAsia="Georgia" w:hAnsi="Times New Roman" w:cs="Times New Roman"/>
          <w:b/>
          <w:bCs/>
          <w:color w:val="000000" w:themeColor="text1"/>
          <w:sz w:val="24"/>
          <w:szCs w:val="24"/>
        </w:rPr>
        <w:t>Homoscedasticity</w:t>
      </w:r>
      <w:r w:rsidRPr="00E827C7">
        <w:rPr>
          <w:rFonts w:ascii="Times New Roman" w:eastAsia="Georgia" w:hAnsi="Times New Roman" w:cs="Times New Roman"/>
          <w:color w:val="000000" w:themeColor="text1"/>
          <w:sz w:val="24"/>
          <w:szCs w:val="24"/>
        </w:rPr>
        <w:t xml:space="preserve"> of residuals was examined via scatter plot of standardized residuals against predicted values and indicated no strong heteroscedastic pattern.</w:t>
      </w:r>
    </w:p>
    <w:p w14:paraId="27670044" w14:textId="77777777" w:rsidR="00A57B34" w:rsidRPr="00E827C7" w:rsidRDefault="00A57B34" w:rsidP="00A57B34">
      <w:pPr>
        <w:pStyle w:val="ListParagraph"/>
        <w:numPr>
          <w:ilvl w:val="0"/>
          <w:numId w:val="6"/>
        </w:numPr>
        <w:spacing w:before="240" w:line="360" w:lineRule="auto"/>
        <w:jc w:val="both"/>
        <w:rPr>
          <w:rFonts w:ascii="Times New Roman" w:eastAsia="Georgia" w:hAnsi="Times New Roman" w:cs="Times New Roman"/>
          <w:color w:val="000000" w:themeColor="text1"/>
          <w:sz w:val="24"/>
          <w:szCs w:val="24"/>
        </w:rPr>
      </w:pPr>
      <w:r w:rsidRPr="00E827C7">
        <w:rPr>
          <w:rFonts w:ascii="Times New Roman" w:eastAsia="Georgia" w:hAnsi="Times New Roman" w:cs="Times New Roman"/>
          <w:b/>
          <w:bCs/>
          <w:color w:val="000000" w:themeColor="text1"/>
          <w:sz w:val="24"/>
          <w:szCs w:val="24"/>
        </w:rPr>
        <w:t>Influential cases</w:t>
      </w:r>
      <w:r w:rsidRPr="00E827C7">
        <w:rPr>
          <w:rFonts w:ascii="Times New Roman" w:eastAsia="Georgia" w:hAnsi="Times New Roman" w:cs="Times New Roman"/>
          <w:color w:val="000000" w:themeColor="text1"/>
          <w:sz w:val="24"/>
          <w:szCs w:val="24"/>
        </w:rPr>
        <w:t xml:space="preserve"> were checked using Cook’s distance; no case exceeded commonly used cutoffs (Cook’s D &lt; 1).</w:t>
      </w:r>
    </w:p>
    <w:p w14:paraId="3581FE8E" w14:textId="77777777" w:rsidR="00A57B34" w:rsidRPr="00E827C7" w:rsidRDefault="00A57B34" w:rsidP="00A57B34">
      <w:pPr>
        <w:spacing w:before="240" w:line="360" w:lineRule="auto"/>
        <w:jc w:val="both"/>
        <w:rPr>
          <w:rFonts w:ascii="Times New Roman" w:eastAsia="Georgia"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Statistical significance was set at α = 0.05. Regression coefficients (B), standard errors (SE B), standardized coefficients (β), t-values, p-values, R² and adjusted R² are reported in the Results section.</w:t>
      </w:r>
    </w:p>
    <w:p w14:paraId="1ED2E7E0"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rPr>
      </w:pPr>
      <w:bookmarkStart w:id="11" w:name="bm_3_results"/>
      <w:bookmarkEnd w:id="10"/>
      <w:r w:rsidRPr="00E827C7">
        <w:rPr>
          <w:rFonts w:ascii="Times New Roman" w:hAnsi="Times New Roman" w:cs="Times New Roman"/>
          <w:b/>
          <w:color w:val="000000" w:themeColor="text1"/>
          <w:sz w:val="24"/>
          <w:szCs w:val="24"/>
        </w:rPr>
        <w:t>3. Results</w:t>
      </w:r>
      <w:bookmarkEnd w:id="11"/>
    </w:p>
    <w:p w14:paraId="1C163C24"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rPr>
      </w:pPr>
      <w:bookmarkStart w:id="12" w:name="bm_3_1_descriptive_statistics_of_c01004"/>
      <w:bookmarkStart w:id="13" w:name="bm_4_discussion"/>
      <w:r w:rsidRPr="00E827C7">
        <w:rPr>
          <w:rFonts w:ascii="Times New Roman" w:hAnsi="Times New Roman" w:cs="Times New Roman"/>
          <w:b/>
          <w:color w:val="000000" w:themeColor="text1"/>
          <w:sz w:val="24"/>
          <w:szCs w:val="24"/>
        </w:rPr>
        <w:t>3.1 Descriptive Statistics of Sample Characteristics</w:t>
      </w:r>
      <w:bookmarkEnd w:id="12"/>
    </w:p>
    <w:p w14:paraId="1C0DFAA9" w14:textId="77777777" w:rsidR="00A57B34" w:rsidRPr="00E827C7" w:rsidRDefault="00A57B34" w:rsidP="00A57B34">
      <w:pPr>
        <w:spacing w:line="360" w:lineRule="auto"/>
        <w:jc w:val="both"/>
        <w:rPr>
          <w:rFonts w:ascii="Times New Roman" w:eastAsia="Georgia"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 xml:space="preserve">The descriptive statistics for the study sample (N = 100) provide an overview of respondents’ demographic and exposure-related characteristics relevant to understanding their perception and attitude toward </w:t>
      </w:r>
      <w:proofErr w:type="spellStart"/>
      <w:r w:rsidRPr="00E827C7">
        <w:rPr>
          <w:rFonts w:ascii="Times New Roman" w:eastAsia="Georgia" w:hAnsi="Times New Roman" w:cs="Times New Roman"/>
          <w:color w:val="000000" w:themeColor="text1"/>
          <w:sz w:val="24"/>
          <w:szCs w:val="24"/>
        </w:rPr>
        <w:t>agripreneurship</w:t>
      </w:r>
      <w:proofErr w:type="spellEnd"/>
      <w:r w:rsidRPr="00E827C7">
        <w:rPr>
          <w:rFonts w:ascii="Times New Roman" w:eastAsia="Georgia" w:hAnsi="Times New Roman" w:cs="Times New Roman"/>
          <w:color w:val="000000" w:themeColor="text1"/>
          <w:sz w:val="24"/>
          <w:szCs w:val="24"/>
        </w:rPr>
        <w:t xml:space="preserve">. These indicators reflect the diversity of student backgrounds and </w:t>
      </w:r>
      <w:r w:rsidRPr="00E827C7">
        <w:rPr>
          <w:rFonts w:ascii="Times New Roman" w:eastAsia="Georgia" w:hAnsi="Times New Roman" w:cs="Times New Roman"/>
          <w:color w:val="000000" w:themeColor="text1"/>
          <w:sz w:val="24"/>
          <w:szCs w:val="24"/>
        </w:rPr>
        <w:lastRenderedPageBreak/>
        <w:t>levels of awareness that may later influence analytical outcomes. The summary of all variables is presented in Table 1, which outlines the distribution, ranges, means, and variances for each measure included in the study.</w:t>
      </w:r>
    </w:p>
    <w:p w14:paraId="5F55E71B" w14:textId="77777777" w:rsidR="00A57B34" w:rsidRPr="00E827C7" w:rsidRDefault="00A57B34" w:rsidP="00A57B34">
      <w:pPr>
        <w:spacing w:line="360" w:lineRule="auto"/>
        <w:jc w:val="both"/>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Table 1:</w:t>
      </w:r>
      <w:r w:rsidRPr="00E827C7">
        <w:rPr>
          <w:rFonts w:ascii="Times New Roman" w:hAnsi="Times New Roman" w:cs="Times New Roman"/>
          <w:color w:val="000000" w:themeColor="text1"/>
          <w:sz w:val="24"/>
          <w:szCs w:val="24"/>
        </w:rPr>
        <w:t xml:space="preserve"> </w:t>
      </w:r>
      <w:r w:rsidRPr="00E827C7">
        <w:rPr>
          <w:rFonts w:ascii="Times New Roman" w:hAnsi="Times New Roman" w:cs="Times New Roman"/>
          <w:b/>
          <w:bCs/>
          <w:color w:val="000000" w:themeColor="text1"/>
          <w:sz w:val="24"/>
          <w:szCs w:val="24"/>
        </w:rPr>
        <w:t>Descriptive Statistics of Sample Characteristics (N = 100)</w:t>
      </w:r>
    </w:p>
    <w:tbl>
      <w:tblPr>
        <w:tblStyle w:val="NormalGrid"/>
        <w:tblW w:w="9629" w:type="dxa"/>
        <w:tblCellSpacing w:w="0" w:type="dxa"/>
        <w:tblLayout w:type="fixed"/>
        <w:tblLook w:val="04A0" w:firstRow="1" w:lastRow="0" w:firstColumn="1" w:lastColumn="0" w:noHBand="0" w:noVBand="1"/>
      </w:tblPr>
      <w:tblGrid>
        <w:gridCol w:w="2117"/>
        <w:gridCol w:w="850"/>
        <w:gridCol w:w="1134"/>
        <w:gridCol w:w="1134"/>
        <w:gridCol w:w="992"/>
        <w:gridCol w:w="1025"/>
        <w:gridCol w:w="1102"/>
        <w:gridCol w:w="1275"/>
      </w:tblGrid>
      <w:tr w:rsidR="00E827C7" w:rsidRPr="00E827C7" w14:paraId="6BDC03EA" w14:textId="77777777" w:rsidTr="008924CA">
        <w:trPr>
          <w:cantSplit/>
          <w:tblCellSpacing w:w="0" w:type="dxa"/>
        </w:trPr>
        <w:tc>
          <w:tcPr>
            <w:tcW w:w="2117"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7D8FDC1C"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Variable</w:t>
            </w:r>
          </w:p>
        </w:tc>
        <w:tc>
          <w:tcPr>
            <w:tcW w:w="850" w:type="dxa"/>
            <w:tcBorders>
              <w:top w:val="single" w:sz="8" w:space="0" w:color="000000"/>
              <w:bottom w:val="single" w:sz="8" w:space="0" w:color="000000"/>
              <w:right w:val="single" w:sz="8" w:space="0" w:color="000000"/>
            </w:tcBorders>
            <w:shd w:val="clear" w:color="auto" w:fill="E2EFD9" w:themeFill="accent6" w:themeFillTint="33"/>
            <w:vAlign w:val="center"/>
          </w:tcPr>
          <w:p w14:paraId="12FC0E31"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N</w:t>
            </w:r>
          </w:p>
        </w:tc>
        <w:tc>
          <w:tcPr>
            <w:tcW w:w="1134" w:type="dxa"/>
            <w:tcBorders>
              <w:top w:val="single" w:sz="8" w:space="0" w:color="000000"/>
              <w:bottom w:val="single" w:sz="8" w:space="0" w:color="000000"/>
              <w:right w:val="single" w:sz="8" w:space="0" w:color="000000"/>
            </w:tcBorders>
            <w:shd w:val="clear" w:color="auto" w:fill="E2EFD9" w:themeFill="accent6" w:themeFillTint="33"/>
            <w:vAlign w:val="center"/>
          </w:tcPr>
          <w:p w14:paraId="6AB9368E"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Range</w:t>
            </w:r>
          </w:p>
        </w:tc>
        <w:tc>
          <w:tcPr>
            <w:tcW w:w="1134" w:type="dxa"/>
            <w:tcBorders>
              <w:top w:val="single" w:sz="8" w:space="0" w:color="000000"/>
              <w:bottom w:val="single" w:sz="8" w:space="0" w:color="000000"/>
              <w:right w:val="single" w:sz="8" w:space="0" w:color="000000"/>
            </w:tcBorders>
            <w:shd w:val="clear" w:color="auto" w:fill="E2EFD9" w:themeFill="accent6" w:themeFillTint="33"/>
            <w:vAlign w:val="center"/>
          </w:tcPr>
          <w:p w14:paraId="5E6ECDBC"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Min</w:t>
            </w:r>
          </w:p>
        </w:tc>
        <w:tc>
          <w:tcPr>
            <w:tcW w:w="992" w:type="dxa"/>
            <w:tcBorders>
              <w:top w:val="single" w:sz="8" w:space="0" w:color="000000"/>
              <w:bottom w:val="single" w:sz="8" w:space="0" w:color="000000"/>
              <w:right w:val="single" w:sz="8" w:space="0" w:color="000000"/>
            </w:tcBorders>
            <w:shd w:val="clear" w:color="auto" w:fill="E2EFD9" w:themeFill="accent6" w:themeFillTint="33"/>
            <w:vAlign w:val="center"/>
          </w:tcPr>
          <w:p w14:paraId="5BD79191"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Max</w:t>
            </w:r>
          </w:p>
        </w:tc>
        <w:tc>
          <w:tcPr>
            <w:tcW w:w="1025" w:type="dxa"/>
            <w:tcBorders>
              <w:top w:val="single" w:sz="8" w:space="0" w:color="000000"/>
              <w:bottom w:val="single" w:sz="8" w:space="0" w:color="000000"/>
              <w:right w:val="single" w:sz="8" w:space="0" w:color="000000"/>
            </w:tcBorders>
            <w:shd w:val="clear" w:color="auto" w:fill="E2EFD9" w:themeFill="accent6" w:themeFillTint="33"/>
            <w:vAlign w:val="center"/>
          </w:tcPr>
          <w:p w14:paraId="77F85392"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Mean</w:t>
            </w:r>
          </w:p>
        </w:tc>
        <w:tc>
          <w:tcPr>
            <w:tcW w:w="1102" w:type="dxa"/>
            <w:tcBorders>
              <w:top w:val="single" w:sz="8" w:space="0" w:color="000000"/>
              <w:bottom w:val="single" w:sz="8" w:space="0" w:color="000000"/>
              <w:right w:val="single" w:sz="8" w:space="0" w:color="000000"/>
            </w:tcBorders>
            <w:shd w:val="clear" w:color="auto" w:fill="E2EFD9" w:themeFill="accent6" w:themeFillTint="33"/>
            <w:vAlign w:val="center"/>
          </w:tcPr>
          <w:p w14:paraId="0CAAF776"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Std. Dev.</w:t>
            </w:r>
          </w:p>
        </w:tc>
        <w:tc>
          <w:tcPr>
            <w:tcW w:w="1275" w:type="dxa"/>
            <w:tcBorders>
              <w:top w:val="single" w:sz="8" w:space="0" w:color="000000"/>
              <w:bottom w:val="single" w:sz="8" w:space="0" w:color="000000"/>
              <w:right w:val="single" w:sz="8" w:space="0" w:color="000000"/>
            </w:tcBorders>
            <w:shd w:val="clear" w:color="auto" w:fill="E2EFD9" w:themeFill="accent6" w:themeFillTint="33"/>
            <w:vAlign w:val="center"/>
          </w:tcPr>
          <w:p w14:paraId="15E4213E"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Variance</w:t>
            </w:r>
          </w:p>
        </w:tc>
      </w:tr>
      <w:tr w:rsidR="00E827C7" w:rsidRPr="00E827C7" w14:paraId="268D0A20" w14:textId="77777777" w:rsidTr="008924CA">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728F1148" w14:textId="77777777" w:rsidR="00A57B34" w:rsidRPr="00E827C7" w:rsidRDefault="00A57B34" w:rsidP="008924CA">
            <w:pPr>
              <w:spacing w:line="276" w:lineRule="auto"/>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Gender</w:t>
            </w:r>
          </w:p>
        </w:tc>
        <w:tc>
          <w:tcPr>
            <w:tcW w:w="850" w:type="dxa"/>
            <w:tcBorders>
              <w:bottom w:val="single" w:sz="8" w:space="0" w:color="000000"/>
              <w:right w:val="single" w:sz="8" w:space="0" w:color="000000"/>
            </w:tcBorders>
            <w:vAlign w:val="center"/>
          </w:tcPr>
          <w:p w14:paraId="7596D8EF"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100</w:t>
            </w:r>
          </w:p>
        </w:tc>
        <w:tc>
          <w:tcPr>
            <w:tcW w:w="1134" w:type="dxa"/>
            <w:tcBorders>
              <w:bottom w:val="single" w:sz="8" w:space="0" w:color="000000"/>
              <w:right w:val="single" w:sz="8" w:space="0" w:color="000000"/>
            </w:tcBorders>
            <w:vAlign w:val="center"/>
          </w:tcPr>
          <w:p w14:paraId="370D4AAD"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w:t>
            </w:r>
          </w:p>
        </w:tc>
        <w:tc>
          <w:tcPr>
            <w:tcW w:w="1134" w:type="dxa"/>
            <w:tcBorders>
              <w:bottom w:val="single" w:sz="8" w:space="0" w:color="000000"/>
              <w:right w:val="single" w:sz="8" w:space="0" w:color="000000"/>
            </w:tcBorders>
            <w:vAlign w:val="center"/>
          </w:tcPr>
          <w:p w14:paraId="13F6A073"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w:t>
            </w:r>
          </w:p>
        </w:tc>
        <w:tc>
          <w:tcPr>
            <w:tcW w:w="992" w:type="dxa"/>
            <w:tcBorders>
              <w:bottom w:val="single" w:sz="8" w:space="0" w:color="000000"/>
              <w:right w:val="single" w:sz="8" w:space="0" w:color="000000"/>
            </w:tcBorders>
            <w:vAlign w:val="center"/>
          </w:tcPr>
          <w:p w14:paraId="777607D5"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2</w:t>
            </w:r>
          </w:p>
        </w:tc>
        <w:tc>
          <w:tcPr>
            <w:tcW w:w="1025" w:type="dxa"/>
            <w:tcBorders>
              <w:bottom w:val="single" w:sz="8" w:space="0" w:color="000000"/>
              <w:right w:val="single" w:sz="8" w:space="0" w:color="000000"/>
            </w:tcBorders>
            <w:vAlign w:val="center"/>
          </w:tcPr>
          <w:p w14:paraId="06176F18"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1.44</w:t>
            </w:r>
          </w:p>
        </w:tc>
        <w:tc>
          <w:tcPr>
            <w:tcW w:w="1102" w:type="dxa"/>
            <w:tcBorders>
              <w:bottom w:val="single" w:sz="8" w:space="0" w:color="000000"/>
              <w:right w:val="single" w:sz="8" w:space="0" w:color="000000"/>
            </w:tcBorders>
            <w:vAlign w:val="center"/>
          </w:tcPr>
          <w:p w14:paraId="4C0D90CF"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0.499</w:t>
            </w:r>
          </w:p>
        </w:tc>
        <w:tc>
          <w:tcPr>
            <w:tcW w:w="1275" w:type="dxa"/>
            <w:tcBorders>
              <w:bottom w:val="single" w:sz="8" w:space="0" w:color="000000"/>
              <w:right w:val="single" w:sz="8" w:space="0" w:color="000000"/>
            </w:tcBorders>
            <w:vAlign w:val="center"/>
          </w:tcPr>
          <w:p w14:paraId="3F792BAB"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0.249</w:t>
            </w:r>
          </w:p>
        </w:tc>
      </w:tr>
      <w:tr w:rsidR="00E827C7" w:rsidRPr="00E827C7" w14:paraId="1CE76EAA" w14:textId="77777777" w:rsidTr="008924CA">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0BCA40A6" w14:textId="77777777" w:rsidR="00A57B34" w:rsidRPr="00E827C7" w:rsidRDefault="00A57B34" w:rsidP="008924CA">
            <w:pPr>
              <w:spacing w:line="276" w:lineRule="auto"/>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Age</w:t>
            </w:r>
          </w:p>
        </w:tc>
        <w:tc>
          <w:tcPr>
            <w:tcW w:w="850" w:type="dxa"/>
            <w:tcBorders>
              <w:bottom w:val="single" w:sz="8" w:space="0" w:color="000000"/>
              <w:right w:val="single" w:sz="8" w:space="0" w:color="000000"/>
            </w:tcBorders>
            <w:vAlign w:val="center"/>
          </w:tcPr>
          <w:p w14:paraId="691EDDAB"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100</w:t>
            </w:r>
          </w:p>
        </w:tc>
        <w:tc>
          <w:tcPr>
            <w:tcW w:w="1134" w:type="dxa"/>
            <w:tcBorders>
              <w:bottom w:val="single" w:sz="8" w:space="0" w:color="000000"/>
              <w:right w:val="single" w:sz="8" w:space="0" w:color="000000"/>
            </w:tcBorders>
            <w:vAlign w:val="center"/>
          </w:tcPr>
          <w:p w14:paraId="602AE041"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7</w:t>
            </w:r>
          </w:p>
        </w:tc>
        <w:tc>
          <w:tcPr>
            <w:tcW w:w="1134" w:type="dxa"/>
            <w:tcBorders>
              <w:bottom w:val="single" w:sz="8" w:space="0" w:color="000000"/>
              <w:right w:val="single" w:sz="8" w:space="0" w:color="000000"/>
            </w:tcBorders>
            <w:vAlign w:val="center"/>
          </w:tcPr>
          <w:p w14:paraId="67EA1678"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18</w:t>
            </w:r>
          </w:p>
        </w:tc>
        <w:tc>
          <w:tcPr>
            <w:tcW w:w="992" w:type="dxa"/>
            <w:tcBorders>
              <w:bottom w:val="single" w:sz="8" w:space="0" w:color="000000"/>
              <w:right w:val="single" w:sz="8" w:space="0" w:color="000000"/>
            </w:tcBorders>
            <w:vAlign w:val="center"/>
          </w:tcPr>
          <w:p w14:paraId="1A6CF946"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25</w:t>
            </w:r>
          </w:p>
        </w:tc>
        <w:tc>
          <w:tcPr>
            <w:tcW w:w="1025" w:type="dxa"/>
            <w:tcBorders>
              <w:bottom w:val="single" w:sz="8" w:space="0" w:color="000000"/>
              <w:right w:val="single" w:sz="8" w:space="0" w:color="000000"/>
            </w:tcBorders>
            <w:vAlign w:val="center"/>
          </w:tcPr>
          <w:p w14:paraId="61A3B9AF"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20.91</w:t>
            </w:r>
          </w:p>
        </w:tc>
        <w:tc>
          <w:tcPr>
            <w:tcW w:w="1102" w:type="dxa"/>
            <w:tcBorders>
              <w:bottom w:val="single" w:sz="8" w:space="0" w:color="000000"/>
              <w:right w:val="single" w:sz="8" w:space="0" w:color="000000"/>
            </w:tcBorders>
            <w:vAlign w:val="center"/>
          </w:tcPr>
          <w:p w14:paraId="611764CF"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2.036</w:t>
            </w:r>
          </w:p>
        </w:tc>
        <w:tc>
          <w:tcPr>
            <w:tcW w:w="1275" w:type="dxa"/>
            <w:tcBorders>
              <w:bottom w:val="single" w:sz="8" w:space="0" w:color="000000"/>
              <w:right w:val="single" w:sz="8" w:space="0" w:color="000000"/>
            </w:tcBorders>
            <w:vAlign w:val="center"/>
          </w:tcPr>
          <w:p w14:paraId="59834B2A"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4.143</w:t>
            </w:r>
          </w:p>
        </w:tc>
      </w:tr>
      <w:tr w:rsidR="00E827C7" w:rsidRPr="00E827C7" w14:paraId="55952C39" w14:textId="77777777" w:rsidTr="008924CA">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758D3284" w14:textId="77777777" w:rsidR="00A57B34" w:rsidRPr="00E827C7" w:rsidRDefault="00A57B34" w:rsidP="008924CA">
            <w:pPr>
              <w:spacing w:line="276" w:lineRule="auto"/>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Year of Study</w:t>
            </w:r>
          </w:p>
        </w:tc>
        <w:tc>
          <w:tcPr>
            <w:tcW w:w="850" w:type="dxa"/>
            <w:tcBorders>
              <w:bottom w:val="single" w:sz="8" w:space="0" w:color="000000"/>
              <w:right w:val="single" w:sz="8" w:space="0" w:color="000000"/>
            </w:tcBorders>
            <w:vAlign w:val="center"/>
          </w:tcPr>
          <w:p w14:paraId="44D7EC16"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100</w:t>
            </w:r>
          </w:p>
        </w:tc>
        <w:tc>
          <w:tcPr>
            <w:tcW w:w="1134" w:type="dxa"/>
            <w:tcBorders>
              <w:bottom w:val="single" w:sz="8" w:space="0" w:color="000000"/>
              <w:right w:val="single" w:sz="8" w:space="0" w:color="000000"/>
            </w:tcBorders>
            <w:vAlign w:val="center"/>
          </w:tcPr>
          <w:p w14:paraId="2A88E4D4"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w:t>
            </w:r>
          </w:p>
        </w:tc>
        <w:tc>
          <w:tcPr>
            <w:tcW w:w="1134" w:type="dxa"/>
            <w:tcBorders>
              <w:bottom w:val="single" w:sz="8" w:space="0" w:color="000000"/>
              <w:right w:val="single" w:sz="8" w:space="0" w:color="000000"/>
            </w:tcBorders>
            <w:vAlign w:val="center"/>
          </w:tcPr>
          <w:p w14:paraId="60BF74E0"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w:t>
            </w:r>
          </w:p>
        </w:tc>
        <w:tc>
          <w:tcPr>
            <w:tcW w:w="992" w:type="dxa"/>
            <w:tcBorders>
              <w:bottom w:val="single" w:sz="8" w:space="0" w:color="000000"/>
              <w:right w:val="single" w:sz="8" w:space="0" w:color="000000"/>
            </w:tcBorders>
            <w:vAlign w:val="center"/>
          </w:tcPr>
          <w:p w14:paraId="2BF3A9BD"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2</w:t>
            </w:r>
          </w:p>
        </w:tc>
        <w:tc>
          <w:tcPr>
            <w:tcW w:w="1025" w:type="dxa"/>
            <w:tcBorders>
              <w:bottom w:val="single" w:sz="8" w:space="0" w:color="000000"/>
              <w:right w:val="single" w:sz="8" w:space="0" w:color="000000"/>
            </w:tcBorders>
            <w:vAlign w:val="center"/>
          </w:tcPr>
          <w:p w14:paraId="3DC394DF"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1.39</w:t>
            </w:r>
          </w:p>
        </w:tc>
        <w:tc>
          <w:tcPr>
            <w:tcW w:w="1102" w:type="dxa"/>
            <w:tcBorders>
              <w:bottom w:val="single" w:sz="8" w:space="0" w:color="000000"/>
              <w:right w:val="single" w:sz="8" w:space="0" w:color="000000"/>
            </w:tcBorders>
            <w:vAlign w:val="center"/>
          </w:tcPr>
          <w:p w14:paraId="1333075B"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0.490</w:t>
            </w:r>
          </w:p>
        </w:tc>
        <w:tc>
          <w:tcPr>
            <w:tcW w:w="1275" w:type="dxa"/>
            <w:tcBorders>
              <w:bottom w:val="single" w:sz="8" w:space="0" w:color="000000"/>
              <w:right w:val="single" w:sz="8" w:space="0" w:color="000000"/>
            </w:tcBorders>
            <w:vAlign w:val="center"/>
          </w:tcPr>
          <w:p w14:paraId="27ADE775"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0.240</w:t>
            </w:r>
          </w:p>
        </w:tc>
      </w:tr>
      <w:tr w:rsidR="00E827C7" w:rsidRPr="00E827C7" w14:paraId="213A4E84" w14:textId="77777777" w:rsidTr="008924CA">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56CE73CD" w14:textId="77777777" w:rsidR="00A57B34" w:rsidRPr="00E827C7" w:rsidRDefault="00A57B34" w:rsidP="008924CA">
            <w:pPr>
              <w:spacing w:line="276" w:lineRule="auto"/>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Family Background</w:t>
            </w:r>
          </w:p>
        </w:tc>
        <w:tc>
          <w:tcPr>
            <w:tcW w:w="850" w:type="dxa"/>
            <w:tcBorders>
              <w:bottom w:val="single" w:sz="8" w:space="0" w:color="000000"/>
              <w:right w:val="single" w:sz="8" w:space="0" w:color="000000"/>
            </w:tcBorders>
            <w:vAlign w:val="center"/>
          </w:tcPr>
          <w:p w14:paraId="493D6B4B"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100</w:t>
            </w:r>
          </w:p>
        </w:tc>
        <w:tc>
          <w:tcPr>
            <w:tcW w:w="1134" w:type="dxa"/>
            <w:tcBorders>
              <w:bottom w:val="single" w:sz="8" w:space="0" w:color="000000"/>
              <w:right w:val="single" w:sz="8" w:space="0" w:color="000000"/>
            </w:tcBorders>
            <w:vAlign w:val="center"/>
          </w:tcPr>
          <w:p w14:paraId="544A04B2"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w:t>
            </w:r>
          </w:p>
        </w:tc>
        <w:tc>
          <w:tcPr>
            <w:tcW w:w="1134" w:type="dxa"/>
            <w:tcBorders>
              <w:bottom w:val="single" w:sz="8" w:space="0" w:color="000000"/>
              <w:right w:val="single" w:sz="8" w:space="0" w:color="000000"/>
            </w:tcBorders>
            <w:vAlign w:val="center"/>
          </w:tcPr>
          <w:p w14:paraId="36A30272"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w:t>
            </w:r>
          </w:p>
        </w:tc>
        <w:tc>
          <w:tcPr>
            <w:tcW w:w="992" w:type="dxa"/>
            <w:tcBorders>
              <w:bottom w:val="single" w:sz="8" w:space="0" w:color="000000"/>
              <w:right w:val="single" w:sz="8" w:space="0" w:color="000000"/>
            </w:tcBorders>
            <w:vAlign w:val="center"/>
          </w:tcPr>
          <w:p w14:paraId="26A1AAD4"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2</w:t>
            </w:r>
          </w:p>
        </w:tc>
        <w:tc>
          <w:tcPr>
            <w:tcW w:w="1025" w:type="dxa"/>
            <w:tcBorders>
              <w:bottom w:val="single" w:sz="8" w:space="0" w:color="000000"/>
              <w:right w:val="single" w:sz="8" w:space="0" w:color="000000"/>
            </w:tcBorders>
            <w:vAlign w:val="center"/>
          </w:tcPr>
          <w:p w14:paraId="23235192"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1.66</w:t>
            </w:r>
          </w:p>
        </w:tc>
        <w:tc>
          <w:tcPr>
            <w:tcW w:w="1102" w:type="dxa"/>
            <w:tcBorders>
              <w:bottom w:val="single" w:sz="8" w:space="0" w:color="000000"/>
              <w:right w:val="single" w:sz="8" w:space="0" w:color="000000"/>
            </w:tcBorders>
            <w:vAlign w:val="center"/>
          </w:tcPr>
          <w:p w14:paraId="1CFD1D9E"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0.476</w:t>
            </w:r>
          </w:p>
        </w:tc>
        <w:tc>
          <w:tcPr>
            <w:tcW w:w="1275" w:type="dxa"/>
            <w:tcBorders>
              <w:bottom w:val="single" w:sz="8" w:space="0" w:color="000000"/>
              <w:right w:val="single" w:sz="8" w:space="0" w:color="000000"/>
            </w:tcBorders>
            <w:vAlign w:val="center"/>
          </w:tcPr>
          <w:p w14:paraId="3565E621"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0.227</w:t>
            </w:r>
          </w:p>
        </w:tc>
      </w:tr>
      <w:tr w:rsidR="00E827C7" w:rsidRPr="00E827C7" w14:paraId="55687567" w14:textId="77777777" w:rsidTr="008924CA">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54E2DF37" w14:textId="77777777" w:rsidR="00A57B34" w:rsidRPr="00E827C7" w:rsidRDefault="00A57B34" w:rsidP="008924CA">
            <w:pPr>
              <w:spacing w:line="276" w:lineRule="auto"/>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Place of Residence</w:t>
            </w:r>
          </w:p>
        </w:tc>
        <w:tc>
          <w:tcPr>
            <w:tcW w:w="850" w:type="dxa"/>
            <w:tcBorders>
              <w:bottom w:val="single" w:sz="8" w:space="0" w:color="000000"/>
              <w:right w:val="single" w:sz="8" w:space="0" w:color="000000"/>
            </w:tcBorders>
            <w:vAlign w:val="center"/>
          </w:tcPr>
          <w:p w14:paraId="1E9A22D7"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100</w:t>
            </w:r>
          </w:p>
        </w:tc>
        <w:tc>
          <w:tcPr>
            <w:tcW w:w="1134" w:type="dxa"/>
            <w:tcBorders>
              <w:bottom w:val="single" w:sz="8" w:space="0" w:color="000000"/>
              <w:right w:val="single" w:sz="8" w:space="0" w:color="000000"/>
            </w:tcBorders>
            <w:vAlign w:val="center"/>
          </w:tcPr>
          <w:p w14:paraId="1A374E20"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2</w:t>
            </w:r>
          </w:p>
        </w:tc>
        <w:tc>
          <w:tcPr>
            <w:tcW w:w="1134" w:type="dxa"/>
            <w:tcBorders>
              <w:bottom w:val="single" w:sz="8" w:space="0" w:color="000000"/>
              <w:right w:val="single" w:sz="8" w:space="0" w:color="000000"/>
            </w:tcBorders>
            <w:vAlign w:val="center"/>
          </w:tcPr>
          <w:p w14:paraId="56BCE80E"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w:t>
            </w:r>
          </w:p>
        </w:tc>
        <w:tc>
          <w:tcPr>
            <w:tcW w:w="992" w:type="dxa"/>
            <w:tcBorders>
              <w:bottom w:val="single" w:sz="8" w:space="0" w:color="000000"/>
              <w:right w:val="single" w:sz="8" w:space="0" w:color="000000"/>
            </w:tcBorders>
            <w:vAlign w:val="center"/>
          </w:tcPr>
          <w:p w14:paraId="281F5766"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3</w:t>
            </w:r>
          </w:p>
        </w:tc>
        <w:tc>
          <w:tcPr>
            <w:tcW w:w="1025" w:type="dxa"/>
            <w:tcBorders>
              <w:bottom w:val="single" w:sz="8" w:space="0" w:color="000000"/>
              <w:right w:val="single" w:sz="8" w:space="0" w:color="000000"/>
            </w:tcBorders>
            <w:vAlign w:val="center"/>
          </w:tcPr>
          <w:p w14:paraId="5568B6A0"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1.92</w:t>
            </w:r>
          </w:p>
        </w:tc>
        <w:tc>
          <w:tcPr>
            <w:tcW w:w="1102" w:type="dxa"/>
            <w:tcBorders>
              <w:bottom w:val="single" w:sz="8" w:space="0" w:color="000000"/>
              <w:right w:val="single" w:sz="8" w:space="0" w:color="000000"/>
            </w:tcBorders>
            <w:vAlign w:val="center"/>
          </w:tcPr>
          <w:p w14:paraId="2D32F869"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0.849</w:t>
            </w:r>
          </w:p>
        </w:tc>
        <w:tc>
          <w:tcPr>
            <w:tcW w:w="1275" w:type="dxa"/>
            <w:tcBorders>
              <w:bottom w:val="single" w:sz="8" w:space="0" w:color="000000"/>
              <w:right w:val="single" w:sz="8" w:space="0" w:color="000000"/>
            </w:tcBorders>
            <w:vAlign w:val="center"/>
          </w:tcPr>
          <w:p w14:paraId="17709748"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0.721</w:t>
            </w:r>
          </w:p>
        </w:tc>
      </w:tr>
      <w:tr w:rsidR="00E827C7" w:rsidRPr="00E827C7" w14:paraId="7ADA8255" w14:textId="77777777" w:rsidTr="008924CA">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236CDEDD" w14:textId="77777777" w:rsidR="00A57B34" w:rsidRPr="00E827C7" w:rsidRDefault="00A57B34" w:rsidP="008924CA">
            <w:pPr>
              <w:spacing w:line="276" w:lineRule="auto"/>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 xml:space="preserve">Awareness of </w:t>
            </w:r>
            <w:proofErr w:type="spellStart"/>
            <w:r w:rsidRPr="00E827C7">
              <w:rPr>
                <w:rFonts w:ascii="Times New Roman" w:hAnsi="Times New Roman" w:cs="Times New Roman"/>
                <w:b/>
                <w:bCs/>
                <w:color w:val="000000" w:themeColor="text1"/>
                <w:sz w:val="24"/>
                <w:szCs w:val="24"/>
              </w:rPr>
              <w:t>Agripreneurship</w:t>
            </w:r>
            <w:proofErr w:type="spellEnd"/>
          </w:p>
        </w:tc>
        <w:tc>
          <w:tcPr>
            <w:tcW w:w="850" w:type="dxa"/>
            <w:tcBorders>
              <w:bottom w:val="single" w:sz="8" w:space="0" w:color="000000"/>
              <w:right w:val="single" w:sz="8" w:space="0" w:color="000000"/>
            </w:tcBorders>
            <w:vAlign w:val="center"/>
          </w:tcPr>
          <w:p w14:paraId="22AE9416"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100</w:t>
            </w:r>
          </w:p>
        </w:tc>
        <w:tc>
          <w:tcPr>
            <w:tcW w:w="1134" w:type="dxa"/>
            <w:tcBorders>
              <w:bottom w:val="single" w:sz="8" w:space="0" w:color="000000"/>
              <w:right w:val="single" w:sz="8" w:space="0" w:color="000000"/>
            </w:tcBorders>
            <w:vAlign w:val="center"/>
          </w:tcPr>
          <w:p w14:paraId="1E73D4A1"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w:t>
            </w:r>
          </w:p>
        </w:tc>
        <w:tc>
          <w:tcPr>
            <w:tcW w:w="1134" w:type="dxa"/>
            <w:tcBorders>
              <w:bottom w:val="single" w:sz="8" w:space="0" w:color="000000"/>
              <w:right w:val="single" w:sz="8" w:space="0" w:color="000000"/>
            </w:tcBorders>
            <w:vAlign w:val="center"/>
          </w:tcPr>
          <w:p w14:paraId="5CB0E6A6"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w:t>
            </w:r>
          </w:p>
        </w:tc>
        <w:tc>
          <w:tcPr>
            <w:tcW w:w="992" w:type="dxa"/>
            <w:tcBorders>
              <w:bottom w:val="single" w:sz="8" w:space="0" w:color="000000"/>
              <w:right w:val="single" w:sz="8" w:space="0" w:color="000000"/>
            </w:tcBorders>
            <w:vAlign w:val="center"/>
          </w:tcPr>
          <w:p w14:paraId="098D570F"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w:t>
            </w:r>
          </w:p>
        </w:tc>
        <w:tc>
          <w:tcPr>
            <w:tcW w:w="1025" w:type="dxa"/>
            <w:tcBorders>
              <w:bottom w:val="single" w:sz="8" w:space="0" w:color="000000"/>
              <w:right w:val="single" w:sz="8" w:space="0" w:color="000000"/>
            </w:tcBorders>
            <w:vAlign w:val="center"/>
          </w:tcPr>
          <w:p w14:paraId="0E518B61"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0.83</w:t>
            </w:r>
          </w:p>
        </w:tc>
        <w:tc>
          <w:tcPr>
            <w:tcW w:w="1102" w:type="dxa"/>
            <w:tcBorders>
              <w:bottom w:val="single" w:sz="8" w:space="0" w:color="000000"/>
              <w:right w:val="single" w:sz="8" w:space="0" w:color="000000"/>
            </w:tcBorders>
            <w:vAlign w:val="center"/>
          </w:tcPr>
          <w:p w14:paraId="695CD32A"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0.378</w:t>
            </w:r>
          </w:p>
        </w:tc>
        <w:tc>
          <w:tcPr>
            <w:tcW w:w="1275" w:type="dxa"/>
            <w:tcBorders>
              <w:bottom w:val="single" w:sz="8" w:space="0" w:color="000000"/>
              <w:right w:val="single" w:sz="8" w:space="0" w:color="000000"/>
            </w:tcBorders>
            <w:vAlign w:val="center"/>
          </w:tcPr>
          <w:p w14:paraId="291DE4AD"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0.143</w:t>
            </w:r>
          </w:p>
        </w:tc>
      </w:tr>
      <w:tr w:rsidR="00E827C7" w:rsidRPr="00E827C7" w14:paraId="15497308" w14:textId="77777777" w:rsidTr="008924CA">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2BC6EDA4" w14:textId="77777777" w:rsidR="00A57B34" w:rsidRPr="00E827C7" w:rsidRDefault="00A57B34" w:rsidP="008924CA">
            <w:pPr>
              <w:spacing w:line="276" w:lineRule="auto"/>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Source of Information</w:t>
            </w:r>
          </w:p>
        </w:tc>
        <w:tc>
          <w:tcPr>
            <w:tcW w:w="850" w:type="dxa"/>
            <w:tcBorders>
              <w:bottom w:val="single" w:sz="8" w:space="0" w:color="000000"/>
              <w:right w:val="single" w:sz="8" w:space="0" w:color="000000"/>
            </w:tcBorders>
            <w:vAlign w:val="center"/>
          </w:tcPr>
          <w:p w14:paraId="099782AD"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100</w:t>
            </w:r>
          </w:p>
        </w:tc>
        <w:tc>
          <w:tcPr>
            <w:tcW w:w="1134" w:type="dxa"/>
            <w:tcBorders>
              <w:bottom w:val="single" w:sz="8" w:space="0" w:color="000000"/>
              <w:right w:val="single" w:sz="8" w:space="0" w:color="000000"/>
            </w:tcBorders>
            <w:vAlign w:val="center"/>
          </w:tcPr>
          <w:p w14:paraId="147CCF03"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5</w:t>
            </w:r>
          </w:p>
        </w:tc>
        <w:tc>
          <w:tcPr>
            <w:tcW w:w="1134" w:type="dxa"/>
            <w:tcBorders>
              <w:bottom w:val="single" w:sz="8" w:space="0" w:color="000000"/>
              <w:right w:val="single" w:sz="8" w:space="0" w:color="000000"/>
            </w:tcBorders>
            <w:vAlign w:val="center"/>
          </w:tcPr>
          <w:p w14:paraId="131E675B"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w:t>
            </w:r>
          </w:p>
        </w:tc>
        <w:tc>
          <w:tcPr>
            <w:tcW w:w="992" w:type="dxa"/>
            <w:tcBorders>
              <w:bottom w:val="single" w:sz="8" w:space="0" w:color="000000"/>
              <w:right w:val="single" w:sz="8" w:space="0" w:color="000000"/>
            </w:tcBorders>
            <w:vAlign w:val="center"/>
          </w:tcPr>
          <w:p w14:paraId="106FC98E"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5</w:t>
            </w:r>
          </w:p>
        </w:tc>
        <w:tc>
          <w:tcPr>
            <w:tcW w:w="1025" w:type="dxa"/>
            <w:tcBorders>
              <w:bottom w:val="single" w:sz="8" w:space="0" w:color="000000"/>
              <w:right w:val="single" w:sz="8" w:space="0" w:color="000000"/>
            </w:tcBorders>
            <w:vAlign w:val="center"/>
          </w:tcPr>
          <w:p w14:paraId="2B94089B"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2.61</w:t>
            </w:r>
          </w:p>
        </w:tc>
        <w:tc>
          <w:tcPr>
            <w:tcW w:w="1102" w:type="dxa"/>
            <w:tcBorders>
              <w:bottom w:val="single" w:sz="8" w:space="0" w:color="000000"/>
              <w:right w:val="single" w:sz="8" w:space="0" w:color="000000"/>
            </w:tcBorders>
            <w:vAlign w:val="center"/>
          </w:tcPr>
          <w:p w14:paraId="691AE8BD"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1.413</w:t>
            </w:r>
          </w:p>
        </w:tc>
        <w:tc>
          <w:tcPr>
            <w:tcW w:w="1275" w:type="dxa"/>
            <w:tcBorders>
              <w:bottom w:val="single" w:sz="8" w:space="0" w:color="000000"/>
              <w:right w:val="single" w:sz="8" w:space="0" w:color="000000"/>
            </w:tcBorders>
            <w:vAlign w:val="center"/>
          </w:tcPr>
          <w:p w14:paraId="485F90F9"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1.998</w:t>
            </w:r>
          </w:p>
        </w:tc>
      </w:tr>
      <w:tr w:rsidR="00E827C7" w:rsidRPr="00E827C7" w14:paraId="0397B1AD" w14:textId="77777777" w:rsidTr="008924CA">
        <w:trPr>
          <w:cantSplit/>
          <w:tblCellSpacing w:w="0" w:type="dxa"/>
        </w:trPr>
        <w:tc>
          <w:tcPr>
            <w:tcW w:w="2117" w:type="dxa"/>
            <w:tcBorders>
              <w:left w:val="single" w:sz="8" w:space="0" w:color="000000"/>
              <w:bottom w:val="single" w:sz="8" w:space="0" w:color="000000"/>
              <w:right w:val="single" w:sz="8" w:space="0" w:color="000000"/>
            </w:tcBorders>
            <w:shd w:val="clear" w:color="auto" w:fill="E2EFD9" w:themeFill="accent6" w:themeFillTint="33"/>
            <w:vAlign w:val="center"/>
          </w:tcPr>
          <w:p w14:paraId="3DCEB3D4" w14:textId="77777777" w:rsidR="00A57B34" w:rsidRPr="00E827C7" w:rsidRDefault="00A57B34" w:rsidP="008924CA">
            <w:pPr>
              <w:spacing w:line="276" w:lineRule="auto"/>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Knowledge of Govt. Schemes</w:t>
            </w:r>
          </w:p>
        </w:tc>
        <w:tc>
          <w:tcPr>
            <w:tcW w:w="850" w:type="dxa"/>
            <w:tcBorders>
              <w:bottom w:val="single" w:sz="8" w:space="0" w:color="000000"/>
              <w:right w:val="single" w:sz="8" w:space="0" w:color="000000"/>
            </w:tcBorders>
            <w:vAlign w:val="center"/>
          </w:tcPr>
          <w:p w14:paraId="3DD58F27"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100</w:t>
            </w:r>
          </w:p>
        </w:tc>
        <w:tc>
          <w:tcPr>
            <w:tcW w:w="1134" w:type="dxa"/>
            <w:tcBorders>
              <w:bottom w:val="single" w:sz="8" w:space="0" w:color="000000"/>
              <w:right w:val="single" w:sz="8" w:space="0" w:color="000000"/>
            </w:tcBorders>
            <w:vAlign w:val="center"/>
          </w:tcPr>
          <w:p w14:paraId="44E19B6B"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w:t>
            </w:r>
          </w:p>
        </w:tc>
        <w:tc>
          <w:tcPr>
            <w:tcW w:w="1134" w:type="dxa"/>
            <w:tcBorders>
              <w:bottom w:val="single" w:sz="8" w:space="0" w:color="000000"/>
              <w:right w:val="single" w:sz="8" w:space="0" w:color="000000"/>
            </w:tcBorders>
            <w:vAlign w:val="center"/>
          </w:tcPr>
          <w:p w14:paraId="1E141FF4"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w:t>
            </w:r>
          </w:p>
        </w:tc>
        <w:tc>
          <w:tcPr>
            <w:tcW w:w="992" w:type="dxa"/>
            <w:tcBorders>
              <w:bottom w:val="single" w:sz="8" w:space="0" w:color="000000"/>
              <w:right w:val="single" w:sz="8" w:space="0" w:color="000000"/>
            </w:tcBorders>
            <w:vAlign w:val="center"/>
          </w:tcPr>
          <w:p w14:paraId="051AA371"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2</w:t>
            </w:r>
          </w:p>
        </w:tc>
        <w:tc>
          <w:tcPr>
            <w:tcW w:w="1025" w:type="dxa"/>
            <w:tcBorders>
              <w:bottom w:val="single" w:sz="8" w:space="0" w:color="000000"/>
              <w:right w:val="single" w:sz="8" w:space="0" w:color="000000"/>
            </w:tcBorders>
            <w:vAlign w:val="center"/>
          </w:tcPr>
          <w:p w14:paraId="69FCEAAF"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1.28</w:t>
            </w:r>
          </w:p>
        </w:tc>
        <w:tc>
          <w:tcPr>
            <w:tcW w:w="1102" w:type="dxa"/>
            <w:tcBorders>
              <w:bottom w:val="single" w:sz="8" w:space="0" w:color="000000"/>
              <w:right w:val="single" w:sz="8" w:space="0" w:color="000000"/>
            </w:tcBorders>
            <w:vAlign w:val="center"/>
          </w:tcPr>
          <w:p w14:paraId="26C4241A"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0.451</w:t>
            </w:r>
          </w:p>
        </w:tc>
        <w:tc>
          <w:tcPr>
            <w:tcW w:w="1275" w:type="dxa"/>
            <w:tcBorders>
              <w:bottom w:val="single" w:sz="8" w:space="0" w:color="000000"/>
              <w:right w:val="single" w:sz="8" w:space="0" w:color="000000"/>
            </w:tcBorders>
            <w:vAlign w:val="center"/>
          </w:tcPr>
          <w:p w14:paraId="4DA9BBD5" w14:textId="77777777" w:rsidR="00A57B34" w:rsidRPr="00E827C7" w:rsidRDefault="00A57B34" w:rsidP="008924CA">
            <w:pPr>
              <w:spacing w:line="276" w:lineRule="auto"/>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0.204</w:t>
            </w:r>
          </w:p>
        </w:tc>
      </w:tr>
    </w:tbl>
    <w:p w14:paraId="6D87DE69" w14:textId="77777777" w:rsidR="00A57B34" w:rsidRPr="00E827C7" w:rsidRDefault="00A57B34" w:rsidP="00A57B34">
      <w:pPr>
        <w:spacing w:line="360" w:lineRule="auto"/>
        <w:jc w:val="both"/>
        <w:rPr>
          <w:rFonts w:ascii="Times New Roman" w:hAnsi="Times New Roman" w:cs="Times New Roman"/>
          <w:color w:val="000000" w:themeColor="text1"/>
          <w:sz w:val="24"/>
          <w:szCs w:val="24"/>
        </w:rPr>
      </w:pPr>
    </w:p>
    <w:p w14:paraId="106C5490" w14:textId="77777777" w:rsidR="00A57B34" w:rsidRPr="00E827C7" w:rsidRDefault="00A57B34" w:rsidP="00A57B34">
      <w:pPr>
        <w:spacing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The sample consisted predominantly of young adults, with ages ranging from 18 to 25 years and an average age of 20.91 years (SD = 2.036). This suggests that respondents are primarily at a stage of early career exploration, which is particularly relevant when assessing entrepreneurial intentions. A young population often demonstrates higher openness to innovation and new livelihood opportunities, making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 xml:space="preserve"> a potentially attractive career path.</w:t>
      </w:r>
    </w:p>
    <w:p w14:paraId="26F4D9E0" w14:textId="77777777" w:rsidR="00A57B34" w:rsidRPr="00E827C7" w:rsidRDefault="00A57B34" w:rsidP="00A57B34">
      <w:pPr>
        <w:spacing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In terms of gender distribution, the mean value of 1.44 (coded as 1 = male, 2 = female) indicates a slightly higher proportion of female participants, comprising approximately 56% of the sample. This is noteworthy, as female engagement in </w:t>
      </w:r>
      <w:proofErr w:type="spellStart"/>
      <w:r w:rsidRPr="00E827C7">
        <w:rPr>
          <w:rFonts w:ascii="Times New Roman" w:hAnsi="Times New Roman" w:cs="Times New Roman"/>
          <w:color w:val="000000" w:themeColor="text1"/>
          <w:sz w:val="24"/>
          <w:szCs w:val="24"/>
        </w:rPr>
        <w:t>agripreneurial</w:t>
      </w:r>
      <w:proofErr w:type="spellEnd"/>
      <w:r w:rsidRPr="00E827C7">
        <w:rPr>
          <w:rFonts w:ascii="Times New Roman" w:hAnsi="Times New Roman" w:cs="Times New Roman"/>
          <w:color w:val="000000" w:themeColor="text1"/>
          <w:sz w:val="24"/>
          <w:szCs w:val="24"/>
        </w:rPr>
        <w:t xml:space="preserve"> initiatives is increasingly recognized as a driver of inclusive rural development. The representation of both genders ensures a balanced perspective on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 xml:space="preserve"> perceptions. Regarding educational status, the mean year of study </w:t>
      </w:r>
      <w:r w:rsidRPr="00E827C7">
        <w:rPr>
          <w:rFonts w:ascii="Times New Roman" w:hAnsi="Times New Roman" w:cs="Times New Roman"/>
          <w:color w:val="000000" w:themeColor="text1"/>
          <w:sz w:val="24"/>
          <w:szCs w:val="24"/>
        </w:rPr>
        <w:lastRenderedPageBreak/>
        <w:t>was 1.39 (SD = 0.490), suggesting that most participants were in early stages of their academic program. Early-year students may have limited exposure to advanced entrepreneurship coursework, which could influence their baseline awareness and attitudes.</w:t>
      </w:r>
    </w:p>
    <w:p w14:paraId="1A573DBE" w14:textId="77777777" w:rsidR="00A57B34" w:rsidRPr="00E827C7" w:rsidRDefault="00A57B34" w:rsidP="00A57B34">
      <w:pPr>
        <w:spacing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Family background results indicate that a majority of respondents (61%) came from agricultural households (coded 1 = agriculture, 2 = non-agriculture; M = 1.66). This demographic composition implies substantial direct or indirect familiarity with farming, potentially shaping students’ openness toward considering agriculture-based enterprises. Place of residence displayed moderate variability (M = 1.92, SD = 0.849), with many students coming from rural or semi-urban areas. These settings may influence access to </w:t>
      </w:r>
      <w:proofErr w:type="spellStart"/>
      <w:r w:rsidRPr="00E827C7">
        <w:rPr>
          <w:rFonts w:ascii="Times New Roman" w:hAnsi="Times New Roman" w:cs="Times New Roman"/>
          <w:color w:val="000000" w:themeColor="text1"/>
          <w:sz w:val="24"/>
          <w:szCs w:val="24"/>
        </w:rPr>
        <w:t>agripreneurial</w:t>
      </w:r>
      <w:proofErr w:type="spellEnd"/>
      <w:r w:rsidRPr="00E827C7">
        <w:rPr>
          <w:rFonts w:ascii="Times New Roman" w:hAnsi="Times New Roman" w:cs="Times New Roman"/>
          <w:color w:val="000000" w:themeColor="text1"/>
          <w:sz w:val="24"/>
          <w:szCs w:val="24"/>
        </w:rPr>
        <w:t xml:space="preserve"> resources, extension services, and exposure to agricultural innovations.</w:t>
      </w:r>
    </w:p>
    <w:p w14:paraId="1FE873EC" w14:textId="77777777" w:rsidR="00A57B34" w:rsidRPr="00E827C7" w:rsidRDefault="00A57B34" w:rsidP="00A57B34">
      <w:pPr>
        <w:spacing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Exposure-related variables revealed important insights. A large proportion (92%) of students had previously heard about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 xml:space="preserve"> (M = 0.83), suggesting that the concept is relatively well-disseminated in the academic environment. However, knowledge of government schemes supporting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 xml:space="preserve"> was moderate (M = 1.28, SD = 0.451), indicating room for enhanced extension and institutional communication efforts. The mean score for sources of information (M = 2.61) shows considerable diversity in students’ access to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-related information. This variation suggests that information channels such as media, peer learning, and academic instruction play differing roles across the student body. Overall, the descriptive statistics provide an informative context for understanding the patterns explored in subsequent correlation and regression analyses, highlighting the rich variability in student backgrounds and levels of awareness.</w:t>
      </w:r>
    </w:p>
    <w:p w14:paraId="33B3ECAB" w14:textId="77777777" w:rsidR="00A57B34" w:rsidRPr="00E827C7" w:rsidRDefault="00A57B34" w:rsidP="00A57B34">
      <w:pPr>
        <w:spacing w:line="360" w:lineRule="auto"/>
        <w:jc w:val="both"/>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3.2 Correlation Analysis</w:t>
      </w:r>
    </w:p>
    <w:p w14:paraId="188B1DFC" w14:textId="77777777" w:rsidR="00A57B34" w:rsidRPr="00E827C7" w:rsidRDefault="00A57B34" w:rsidP="00A57B34">
      <w:pPr>
        <w:spacing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Pearson correlation analysis was conducted to examine the direction and strength of associations between selected background/exposure variables and students’ overall perception and attitude toward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 xml:space="preserve">. This analysis provides foundational insight into which factors meaningfully influence students’ </w:t>
      </w:r>
      <w:proofErr w:type="spellStart"/>
      <w:r w:rsidRPr="00E827C7">
        <w:rPr>
          <w:rFonts w:ascii="Times New Roman" w:hAnsi="Times New Roman" w:cs="Times New Roman"/>
          <w:color w:val="000000" w:themeColor="text1"/>
          <w:sz w:val="24"/>
          <w:szCs w:val="24"/>
        </w:rPr>
        <w:t>agripreneurial</w:t>
      </w:r>
      <w:proofErr w:type="spellEnd"/>
      <w:r w:rsidRPr="00E827C7">
        <w:rPr>
          <w:rFonts w:ascii="Times New Roman" w:hAnsi="Times New Roman" w:cs="Times New Roman"/>
          <w:color w:val="000000" w:themeColor="text1"/>
          <w:sz w:val="24"/>
          <w:szCs w:val="24"/>
        </w:rPr>
        <w:t xml:space="preserve"> orientation and which variables exert negligible effects. The full correlation matrix is presented in Table 2, followed by a heatmap visualization in Figure 1, designed to enhance interpretability and highlight the magnitude of significant associations.</w:t>
      </w:r>
    </w:p>
    <w:p w14:paraId="2C0A196D" w14:textId="77777777" w:rsidR="00A57B34" w:rsidRPr="00E827C7" w:rsidRDefault="00A57B34" w:rsidP="00A57B34">
      <w:pPr>
        <w:spacing w:line="360" w:lineRule="auto"/>
        <w:jc w:val="both"/>
        <w:rPr>
          <w:rFonts w:ascii="Times New Roman" w:hAnsi="Times New Roman" w:cs="Times New Roman"/>
          <w:b/>
          <w:bCs/>
          <w:i/>
          <w:iCs/>
          <w:color w:val="000000" w:themeColor="text1"/>
          <w:sz w:val="24"/>
          <w:szCs w:val="24"/>
        </w:rPr>
      </w:pPr>
      <w:r w:rsidRPr="00E827C7">
        <w:rPr>
          <w:rFonts w:ascii="Times New Roman" w:hAnsi="Times New Roman" w:cs="Times New Roman"/>
          <w:b/>
          <w:bCs/>
          <w:color w:val="000000" w:themeColor="text1"/>
          <w:sz w:val="24"/>
          <w:szCs w:val="24"/>
        </w:rPr>
        <w:lastRenderedPageBreak/>
        <w:t xml:space="preserve">Table 2. Correlations between Background/Exposure Variables and Overall Perception and Attitude towards </w:t>
      </w:r>
      <w:proofErr w:type="spellStart"/>
      <w:r w:rsidRPr="00E827C7">
        <w:rPr>
          <w:rFonts w:ascii="Times New Roman" w:hAnsi="Times New Roman" w:cs="Times New Roman"/>
          <w:b/>
          <w:bCs/>
          <w:color w:val="000000" w:themeColor="text1"/>
          <w:sz w:val="24"/>
          <w:szCs w:val="24"/>
        </w:rPr>
        <w:t>Agripreneurship</w:t>
      </w:r>
      <w:proofErr w:type="spellEnd"/>
      <w:r w:rsidRPr="00E827C7">
        <w:rPr>
          <w:rFonts w:ascii="Times New Roman" w:hAnsi="Times New Roman" w:cs="Times New Roman"/>
          <w:b/>
          <w:bCs/>
          <w:color w:val="000000" w:themeColor="text1"/>
          <w:sz w:val="24"/>
          <w:szCs w:val="24"/>
        </w:rPr>
        <w:t xml:space="preserve"> (N = 100). </w:t>
      </w:r>
    </w:p>
    <w:tbl>
      <w:tblPr>
        <w:tblStyle w:val="TableGrid"/>
        <w:tblW w:w="10774" w:type="dxa"/>
        <w:tblInd w:w="-714" w:type="dxa"/>
        <w:tblLayout w:type="fixed"/>
        <w:tblLook w:val="04A0" w:firstRow="1" w:lastRow="0" w:firstColumn="1" w:lastColumn="0" w:noHBand="0" w:noVBand="1"/>
      </w:tblPr>
      <w:tblGrid>
        <w:gridCol w:w="1843"/>
        <w:gridCol w:w="993"/>
        <w:gridCol w:w="1417"/>
        <w:gridCol w:w="1035"/>
        <w:gridCol w:w="1498"/>
        <w:gridCol w:w="1294"/>
        <w:gridCol w:w="1418"/>
        <w:gridCol w:w="1276"/>
      </w:tblGrid>
      <w:tr w:rsidR="00E827C7" w:rsidRPr="00E827C7" w14:paraId="44D49028" w14:textId="77777777" w:rsidTr="008924CA">
        <w:tc>
          <w:tcPr>
            <w:tcW w:w="1843" w:type="dxa"/>
            <w:vAlign w:val="center"/>
          </w:tcPr>
          <w:p w14:paraId="1A7E2C03"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Variable</w:t>
            </w:r>
          </w:p>
        </w:tc>
        <w:tc>
          <w:tcPr>
            <w:tcW w:w="993" w:type="dxa"/>
            <w:vAlign w:val="center"/>
          </w:tcPr>
          <w:p w14:paraId="756B3884"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Gender</w:t>
            </w:r>
          </w:p>
        </w:tc>
        <w:tc>
          <w:tcPr>
            <w:tcW w:w="1417" w:type="dxa"/>
            <w:vAlign w:val="center"/>
          </w:tcPr>
          <w:p w14:paraId="2D642075"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Family Background</w:t>
            </w:r>
          </w:p>
        </w:tc>
        <w:tc>
          <w:tcPr>
            <w:tcW w:w="1035" w:type="dxa"/>
            <w:vAlign w:val="center"/>
          </w:tcPr>
          <w:p w14:paraId="753DEFC2"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Place of Residence</w:t>
            </w:r>
          </w:p>
        </w:tc>
        <w:tc>
          <w:tcPr>
            <w:tcW w:w="1498" w:type="dxa"/>
            <w:vAlign w:val="center"/>
          </w:tcPr>
          <w:p w14:paraId="6423DBB6"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 xml:space="preserve">Awareness of </w:t>
            </w:r>
            <w:proofErr w:type="spellStart"/>
            <w:r w:rsidRPr="00E827C7">
              <w:rPr>
                <w:rFonts w:ascii="Times New Roman" w:eastAsia="Georgia" w:hAnsi="Times New Roman" w:cs="Times New Roman"/>
                <w:color w:val="000000" w:themeColor="text1"/>
                <w:sz w:val="24"/>
                <w:szCs w:val="24"/>
              </w:rPr>
              <w:t>Agripreneurship</w:t>
            </w:r>
            <w:proofErr w:type="spellEnd"/>
          </w:p>
        </w:tc>
        <w:tc>
          <w:tcPr>
            <w:tcW w:w="1294" w:type="dxa"/>
            <w:vAlign w:val="center"/>
          </w:tcPr>
          <w:p w14:paraId="4EB0C73B"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Source of Information</w:t>
            </w:r>
          </w:p>
        </w:tc>
        <w:tc>
          <w:tcPr>
            <w:tcW w:w="1418" w:type="dxa"/>
            <w:vAlign w:val="center"/>
          </w:tcPr>
          <w:p w14:paraId="6ED814C6"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Knowledge of Govt. Schemes</w:t>
            </w:r>
          </w:p>
        </w:tc>
        <w:tc>
          <w:tcPr>
            <w:tcW w:w="1276" w:type="dxa"/>
            <w:vAlign w:val="center"/>
          </w:tcPr>
          <w:p w14:paraId="72A1D0CF"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Overall Perception &amp; Attitude</w:t>
            </w:r>
          </w:p>
        </w:tc>
      </w:tr>
      <w:tr w:rsidR="00E827C7" w:rsidRPr="00E827C7" w14:paraId="34934C5C" w14:textId="77777777" w:rsidTr="008924CA">
        <w:tc>
          <w:tcPr>
            <w:tcW w:w="1843" w:type="dxa"/>
            <w:vAlign w:val="center"/>
          </w:tcPr>
          <w:p w14:paraId="29AB2B38"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1. Gender</w:t>
            </w:r>
          </w:p>
        </w:tc>
        <w:tc>
          <w:tcPr>
            <w:tcW w:w="993" w:type="dxa"/>
            <w:vAlign w:val="center"/>
          </w:tcPr>
          <w:p w14:paraId="26A5D145"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w:t>
            </w:r>
          </w:p>
        </w:tc>
        <w:tc>
          <w:tcPr>
            <w:tcW w:w="1417" w:type="dxa"/>
            <w:vAlign w:val="center"/>
          </w:tcPr>
          <w:p w14:paraId="425A1A4F" w14:textId="77777777" w:rsidR="00A57B34" w:rsidRPr="00E827C7" w:rsidRDefault="00A57B34" w:rsidP="008924CA">
            <w:pPr>
              <w:rPr>
                <w:rFonts w:ascii="Times New Roman" w:hAnsi="Times New Roman" w:cs="Times New Roman"/>
                <w:color w:val="000000" w:themeColor="text1"/>
                <w:sz w:val="24"/>
                <w:szCs w:val="24"/>
              </w:rPr>
            </w:pPr>
          </w:p>
        </w:tc>
        <w:tc>
          <w:tcPr>
            <w:tcW w:w="1035" w:type="dxa"/>
            <w:vAlign w:val="center"/>
          </w:tcPr>
          <w:p w14:paraId="15B0252A" w14:textId="77777777" w:rsidR="00A57B34" w:rsidRPr="00E827C7" w:rsidRDefault="00A57B34" w:rsidP="008924CA">
            <w:pPr>
              <w:rPr>
                <w:rFonts w:ascii="Times New Roman" w:hAnsi="Times New Roman" w:cs="Times New Roman"/>
                <w:color w:val="000000" w:themeColor="text1"/>
                <w:sz w:val="24"/>
                <w:szCs w:val="24"/>
              </w:rPr>
            </w:pPr>
          </w:p>
        </w:tc>
        <w:tc>
          <w:tcPr>
            <w:tcW w:w="1498" w:type="dxa"/>
            <w:vAlign w:val="center"/>
          </w:tcPr>
          <w:p w14:paraId="218E7548" w14:textId="77777777" w:rsidR="00A57B34" w:rsidRPr="00E827C7" w:rsidRDefault="00A57B34" w:rsidP="008924CA">
            <w:pPr>
              <w:rPr>
                <w:rFonts w:ascii="Times New Roman" w:hAnsi="Times New Roman" w:cs="Times New Roman"/>
                <w:color w:val="000000" w:themeColor="text1"/>
                <w:sz w:val="24"/>
                <w:szCs w:val="24"/>
              </w:rPr>
            </w:pPr>
          </w:p>
        </w:tc>
        <w:tc>
          <w:tcPr>
            <w:tcW w:w="1294" w:type="dxa"/>
            <w:vAlign w:val="center"/>
          </w:tcPr>
          <w:p w14:paraId="71360765" w14:textId="77777777" w:rsidR="00A57B34" w:rsidRPr="00E827C7" w:rsidRDefault="00A57B34" w:rsidP="008924CA">
            <w:pPr>
              <w:rPr>
                <w:rFonts w:ascii="Times New Roman" w:hAnsi="Times New Roman" w:cs="Times New Roman"/>
                <w:color w:val="000000" w:themeColor="text1"/>
                <w:sz w:val="24"/>
                <w:szCs w:val="24"/>
              </w:rPr>
            </w:pPr>
          </w:p>
        </w:tc>
        <w:tc>
          <w:tcPr>
            <w:tcW w:w="1418" w:type="dxa"/>
            <w:vAlign w:val="center"/>
          </w:tcPr>
          <w:p w14:paraId="40C6AF64" w14:textId="77777777" w:rsidR="00A57B34" w:rsidRPr="00E827C7" w:rsidRDefault="00A57B34" w:rsidP="008924CA">
            <w:pPr>
              <w:rPr>
                <w:rFonts w:ascii="Times New Roman" w:hAnsi="Times New Roman" w:cs="Times New Roman"/>
                <w:color w:val="000000" w:themeColor="text1"/>
                <w:sz w:val="24"/>
                <w:szCs w:val="24"/>
              </w:rPr>
            </w:pPr>
          </w:p>
        </w:tc>
        <w:tc>
          <w:tcPr>
            <w:tcW w:w="1276" w:type="dxa"/>
            <w:vAlign w:val="center"/>
          </w:tcPr>
          <w:p w14:paraId="2143795B" w14:textId="77777777" w:rsidR="00A57B34" w:rsidRPr="00E827C7" w:rsidRDefault="00A57B34" w:rsidP="008924CA">
            <w:pPr>
              <w:rPr>
                <w:rFonts w:ascii="Times New Roman" w:hAnsi="Times New Roman" w:cs="Times New Roman"/>
                <w:color w:val="000000" w:themeColor="text1"/>
                <w:sz w:val="24"/>
                <w:szCs w:val="24"/>
              </w:rPr>
            </w:pPr>
          </w:p>
        </w:tc>
      </w:tr>
      <w:tr w:rsidR="00E827C7" w:rsidRPr="00E827C7" w14:paraId="3FF857CD" w14:textId="77777777" w:rsidTr="008924CA">
        <w:tc>
          <w:tcPr>
            <w:tcW w:w="1843" w:type="dxa"/>
            <w:vAlign w:val="center"/>
          </w:tcPr>
          <w:p w14:paraId="11E53706"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2. Family Background</w:t>
            </w:r>
          </w:p>
        </w:tc>
        <w:tc>
          <w:tcPr>
            <w:tcW w:w="993" w:type="dxa"/>
            <w:vAlign w:val="center"/>
          </w:tcPr>
          <w:p w14:paraId="217C8D3D"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r w:rsidRPr="00E827C7">
              <w:rPr>
                <w:rFonts w:ascii="Times New Roman" w:eastAsia="Georgia" w:hAnsi="Times New Roman" w:cs="Times New Roman"/>
                <w:color w:val="000000" w:themeColor="text1"/>
                <w:sz w:val="24"/>
                <w:szCs w:val="24"/>
              </w:rPr>
              <w:t xml:space="preserve"> (.141)</w:t>
            </w:r>
          </w:p>
        </w:tc>
        <w:tc>
          <w:tcPr>
            <w:tcW w:w="1417" w:type="dxa"/>
            <w:vAlign w:val="center"/>
          </w:tcPr>
          <w:p w14:paraId="42432F82"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w:t>
            </w:r>
          </w:p>
        </w:tc>
        <w:tc>
          <w:tcPr>
            <w:tcW w:w="1035" w:type="dxa"/>
            <w:vAlign w:val="center"/>
          </w:tcPr>
          <w:p w14:paraId="2682599B" w14:textId="77777777" w:rsidR="00A57B34" w:rsidRPr="00E827C7" w:rsidRDefault="00A57B34" w:rsidP="008924CA">
            <w:pPr>
              <w:rPr>
                <w:rFonts w:ascii="Times New Roman" w:hAnsi="Times New Roman" w:cs="Times New Roman"/>
                <w:color w:val="000000" w:themeColor="text1"/>
                <w:sz w:val="24"/>
                <w:szCs w:val="24"/>
              </w:rPr>
            </w:pPr>
          </w:p>
        </w:tc>
        <w:tc>
          <w:tcPr>
            <w:tcW w:w="1498" w:type="dxa"/>
            <w:vAlign w:val="center"/>
          </w:tcPr>
          <w:p w14:paraId="71B45ECE" w14:textId="77777777" w:rsidR="00A57B34" w:rsidRPr="00E827C7" w:rsidRDefault="00A57B34" w:rsidP="008924CA">
            <w:pPr>
              <w:rPr>
                <w:rFonts w:ascii="Times New Roman" w:hAnsi="Times New Roman" w:cs="Times New Roman"/>
                <w:color w:val="000000" w:themeColor="text1"/>
                <w:sz w:val="24"/>
                <w:szCs w:val="24"/>
              </w:rPr>
            </w:pPr>
          </w:p>
        </w:tc>
        <w:tc>
          <w:tcPr>
            <w:tcW w:w="1294" w:type="dxa"/>
            <w:vAlign w:val="center"/>
          </w:tcPr>
          <w:p w14:paraId="2FA5FA53" w14:textId="77777777" w:rsidR="00A57B34" w:rsidRPr="00E827C7" w:rsidRDefault="00A57B34" w:rsidP="008924CA">
            <w:pPr>
              <w:rPr>
                <w:rFonts w:ascii="Times New Roman" w:hAnsi="Times New Roman" w:cs="Times New Roman"/>
                <w:color w:val="000000" w:themeColor="text1"/>
                <w:sz w:val="24"/>
                <w:szCs w:val="24"/>
              </w:rPr>
            </w:pPr>
          </w:p>
        </w:tc>
        <w:tc>
          <w:tcPr>
            <w:tcW w:w="1418" w:type="dxa"/>
            <w:vAlign w:val="center"/>
          </w:tcPr>
          <w:p w14:paraId="0D8114CD" w14:textId="77777777" w:rsidR="00A57B34" w:rsidRPr="00E827C7" w:rsidRDefault="00A57B34" w:rsidP="008924CA">
            <w:pPr>
              <w:rPr>
                <w:rFonts w:ascii="Times New Roman" w:hAnsi="Times New Roman" w:cs="Times New Roman"/>
                <w:color w:val="000000" w:themeColor="text1"/>
                <w:sz w:val="24"/>
                <w:szCs w:val="24"/>
              </w:rPr>
            </w:pPr>
          </w:p>
        </w:tc>
        <w:tc>
          <w:tcPr>
            <w:tcW w:w="1276" w:type="dxa"/>
            <w:vAlign w:val="center"/>
          </w:tcPr>
          <w:p w14:paraId="2C07BD5D" w14:textId="77777777" w:rsidR="00A57B34" w:rsidRPr="00E827C7" w:rsidRDefault="00A57B34" w:rsidP="008924CA">
            <w:pPr>
              <w:rPr>
                <w:rFonts w:ascii="Times New Roman" w:hAnsi="Times New Roman" w:cs="Times New Roman"/>
                <w:color w:val="000000" w:themeColor="text1"/>
                <w:sz w:val="24"/>
                <w:szCs w:val="24"/>
              </w:rPr>
            </w:pPr>
          </w:p>
        </w:tc>
      </w:tr>
      <w:tr w:rsidR="00E827C7" w:rsidRPr="00E827C7" w14:paraId="5EC9E06A" w14:textId="77777777" w:rsidTr="008924CA">
        <w:tc>
          <w:tcPr>
            <w:tcW w:w="1843" w:type="dxa"/>
            <w:vAlign w:val="center"/>
          </w:tcPr>
          <w:p w14:paraId="354D2419"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3. Place of Residence</w:t>
            </w:r>
          </w:p>
        </w:tc>
        <w:tc>
          <w:tcPr>
            <w:tcW w:w="993" w:type="dxa"/>
            <w:vAlign w:val="center"/>
          </w:tcPr>
          <w:p w14:paraId="6B6E97A4"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r w:rsidRPr="00E827C7">
              <w:rPr>
                <w:rFonts w:ascii="Times New Roman" w:eastAsia="Georgia" w:hAnsi="Times New Roman" w:cs="Times New Roman"/>
                <w:color w:val="000000" w:themeColor="text1"/>
                <w:sz w:val="24"/>
                <w:szCs w:val="24"/>
              </w:rPr>
              <w:t xml:space="preserve"> (−.053)</w:t>
            </w:r>
          </w:p>
        </w:tc>
        <w:tc>
          <w:tcPr>
            <w:tcW w:w="1417" w:type="dxa"/>
            <w:vAlign w:val="center"/>
          </w:tcPr>
          <w:p w14:paraId="0CBC5023"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p>
        </w:tc>
        <w:tc>
          <w:tcPr>
            <w:tcW w:w="1035" w:type="dxa"/>
            <w:vAlign w:val="center"/>
          </w:tcPr>
          <w:p w14:paraId="2F5B1560"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w:t>
            </w:r>
          </w:p>
        </w:tc>
        <w:tc>
          <w:tcPr>
            <w:tcW w:w="1498" w:type="dxa"/>
            <w:vAlign w:val="center"/>
          </w:tcPr>
          <w:p w14:paraId="544FC25D" w14:textId="77777777" w:rsidR="00A57B34" w:rsidRPr="00E827C7" w:rsidRDefault="00A57B34" w:rsidP="008924CA">
            <w:pPr>
              <w:rPr>
                <w:rFonts w:ascii="Times New Roman" w:hAnsi="Times New Roman" w:cs="Times New Roman"/>
                <w:color w:val="000000" w:themeColor="text1"/>
                <w:sz w:val="24"/>
                <w:szCs w:val="24"/>
              </w:rPr>
            </w:pPr>
          </w:p>
        </w:tc>
        <w:tc>
          <w:tcPr>
            <w:tcW w:w="1294" w:type="dxa"/>
            <w:vAlign w:val="center"/>
          </w:tcPr>
          <w:p w14:paraId="12E0565C" w14:textId="77777777" w:rsidR="00A57B34" w:rsidRPr="00E827C7" w:rsidRDefault="00A57B34" w:rsidP="008924CA">
            <w:pPr>
              <w:rPr>
                <w:rFonts w:ascii="Times New Roman" w:hAnsi="Times New Roman" w:cs="Times New Roman"/>
                <w:color w:val="000000" w:themeColor="text1"/>
                <w:sz w:val="24"/>
                <w:szCs w:val="24"/>
              </w:rPr>
            </w:pPr>
          </w:p>
        </w:tc>
        <w:tc>
          <w:tcPr>
            <w:tcW w:w="1418" w:type="dxa"/>
            <w:vAlign w:val="center"/>
          </w:tcPr>
          <w:p w14:paraId="435DC277" w14:textId="77777777" w:rsidR="00A57B34" w:rsidRPr="00E827C7" w:rsidRDefault="00A57B34" w:rsidP="008924CA">
            <w:pPr>
              <w:rPr>
                <w:rFonts w:ascii="Times New Roman" w:hAnsi="Times New Roman" w:cs="Times New Roman"/>
                <w:color w:val="000000" w:themeColor="text1"/>
                <w:sz w:val="24"/>
                <w:szCs w:val="24"/>
              </w:rPr>
            </w:pPr>
          </w:p>
        </w:tc>
        <w:tc>
          <w:tcPr>
            <w:tcW w:w="1276" w:type="dxa"/>
            <w:vAlign w:val="center"/>
          </w:tcPr>
          <w:p w14:paraId="7EFA2E29" w14:textId="77777777" w:rsidR="00A57B34" w:rsidRPr="00E827C7" w:rsidRDefault="00A57B34" w:rsidP="008924CA">
            <w:pPr>
              <w:rPr>
                <w:rFonts w:ascii="Times New Roman" w:hAnsi="Times New Roman" w:cs="Times New Roman"/>
                <w:color w:val="000000" w:themeColor="text1"/>
                <w:sz w:val="24"/>
                <w:szCs w:val="24"/>
              </w:rPr>
            </w:pPr>
          </w:p>
        </w:tc>
      </w:tr>
      <w:tr w:rsidR="00E827C7" w:rsidRPr="00E827C7" w14:paraId="1A8ABCE2" w14:textId="77777777" w:rsidTr="008924CA">
        <w:tc>
          <w:tcPr>
            <w:tcW w:w="1843" w:type="dxa"/>
            <w:vAlign w:val="center"/>
          </w:tcPr>
          <w:p w14:paraId="01B336BA"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 xml:space="preserve">4. Awareness of </w:t>
            </w:r>
            <w:proofErr w:type="spellStart"/>
            <w:r w:rsidRPr="00E827C7">
              <w:rPr>
                <w:rFonts w:ascii="Times New Roman" w:eastAsia="Georgia" w:hAnsi="Times New Roman" w:cs="Times New Roman"/>
                <w:color w:val="000000" w:themeColor="text1"/>
                <w:sz w:val="24"/>
                <w:szCs w:val="24"/>
              </w:rPr>
              <w:t>Agripreneurship</w:t>
            </w:r>
            <w:proofErr w:type="spellEnd"/>
          </w:p>
        </w:tc>
        <w:tc>
          <w:tcPr>
            <w:tcW w:w="993" w:type="dxa"/>
            <w:vAlign w:val="center"/>
          </w:tcPr>
          <w:p w14:paraId="5347267B"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r w:rsidRPr="00E827C7">
              <w:rPr>
                <w:rFonts w:ascii="Times New Roman" w:eastAsia="Georgia" w:hAnsi="Times New Roman" w:cs="Times New Roman"/>
                <w:color w:val="000000" w:themeColor="text1"/>
                <w:sz w:val="24"/>
                <w:szCs w:val="24"/>
              </w:rPr>
              <w:t xml:space="preserve"> (.025)</w:t>
            </w:r>
          </w:p>
        </w:tc>
        <w:tc>
          <w:tcPr>
            <w:tcW w:w="1417" w:type="dxa"/>
            <w:vAlign w:val="center"/>
          </w:tcPr>
          <w:p w14:paraId="6B9C1D44"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p>
        </w:tc>
        <w:tc>
          <w:tcPr>
            <w:tcW w:w="1035" w:type="dxa"/>
            <w:vAlign w:val="center"/>
          </w:tcPr>
          <w:p w14:paraId="5F1BAFB7"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p>
        </w:tc>
        <w:tc>
          <w:tcPr>
            <w:tcW w:w="1498" w:type="dxa"/>
            <w:vAlign w:val="center"/>
          </w:tcPr>
          <w:p w14:paraId="4430DC9E"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w:t>
            </w:r>
          </w:p>
        </w:tc>
        <w:tc>
          <w:tcPr>
            <w:tcW w:w="1294" w:type="dxa"/>
            <w:vAlign w:val="center"/>
          </w:tcPr>
          <w:p w14:paraId="218C6AC6" w14:textId="77777777" w:rsidR="00A57B34" w:rsidRPr="00E827C7" w:rsidRDefault="00A57B34" w:rsidP="008924CA">
            <w:pPr>
              <w:rPr>
                <w:rFonts w:ascii="Times New Roman" w:hAnsi="Times New Roman" w:cs="Times New Roman"/>
                <w:color w:val="000000" w:themeColor="text1"/>
                <w:sz w:val="24"/>
                <w:szCs w:val="24"/>
              </w:rPr>
            </w:pPr>
          </w:p>
        </w:tc>
        <w:tc>
          <w:tcPr>
            <w:tcW w:w="1418" w:type="dxa"/>
            <w:vAlign w:val="center"/>
          </w:tcPr>
          <w:p w14:paraId="22E8EB73" w14:textId="77777777" w:rsidR="00A57B34" w:rsidRPr="00E827C7" w:rsidRDefault="00A57B34" w:rsidP="008924CA">
            <w:pPr>
              <w:rPr>
                <w:rFonts w:ascii="Times New Roman" w:hAnsi="Times New Roman" w:cs="Times New Roman"/>
                <w:color w:val="000000" w:themeColor="text1"/>
                <w:sz w:val="24"/>
                <w:szCs w:val="24"/>
              </w:rPr>
            </w:pPr>
          </w:p>
        </w:tc>
        <w:tc>
          <w:tcPr>
            <w:tcW w:w="1276" w:type="dxa"/>
            <w:vAlign w:val="center"/>
          </w:tcPr>
          <w:p w14:paraId="5C9D531F" w14:textId="77777777" w:rsidR="00A57B34" w:rsidRPr="00E827C7" w:rsidRDefault="00A57B34" w:rsidP="008924CA">
            <w:pPr>
              <w:rPr>
                <w:rFonts w:ascii="Times New Roman" w:hAnsi="Times New Roman" w:cs="Times New Roman"/>
                <w:color w:val="000000" w:themeColor="text1"/>
                <w:sz w:val="24"/>
                <w:szCs w:val="24"/>
              </w:rPr>
            </w:pPr>
          </w:p>
        </w:tc>
      </w:tr>
      <w:tr w:rsidR="00E827C7" w:rsidRPr="00E827C7" w14:paraId="0C11AFE6" w14:textId="77777777" w:rsidTr="008924CA">
        <w:tc>
          <w:tcPr>
            <w:tcW w:w="1843" w:type="dxa"/>
            <w:vAlign w:val="center"/>
          </w:tcPr>
          <w:p w14:paraId="577CDDCD"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5. Source of Information</w:t>
            </w:r>
          </w:p>
        </w:tc>
        <w:tc>
          <w:tcPr>
            <w:tcW w:w="993" w:type="dxa"/>
            <w:vAlign w:val="center"/>
          </w:tcPr>
          <w:p w14:paraId="6C55E80C"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r w:rsidRPr="00E827C7">
              <w:rPr>
                <w:rFonts w:ascii="Times New Roman" w:eastAsia="Georgia" w:hAnsi="Times New Roman" w:cs="Times New Roman"/>
                <w:color w:val="000000" w:themeColor="text1"/>
                <w:sz w:val="24"/>
                <w:szCs w:val="24"/>
              </w:rPr>
              <w:t xml:space="preserve"> (.</w:t>
            </w:r>
            <w:proofErr w:type="gramStart"/>
            <w:r w:rsidRPr="00E827C7">
              <w:rPr>
                <w:rFonts w:ascii="Times New Roman" w:eastAsia="Georgia" w:hAnsi="Times New Roman" w:cs="Times New Roman"/>
                <w:color w:val="000000" w:themeColor="text1"/>
                <w:sz w:val="24"/>
                <w:szCs w:val="24"/>
              </w:rPr>
              <w:t>708)*</w:t>
            </w:r>
            <w:proofErr w:type="gramEnd"/>
            <w:r w:rsidRPr="00E827C7">
              <w:rPr>
                <w:rFonts w:ascii="Times New Roman" w:eastAsia="Georgia" w:hAnsi="Times New Roman" w:cs="Times New Roman"/>
                <w:color w:val="000000" w:themeColor="text1"/>
                <w:sz w:val="24"/>
                <w:szCs w:val="24"/>
              </w:rPr>
              <w:t>*</w:t>
            </w:r>
          </w:p>
        </w:tc>
        <w:tc>
          <w:tcPr>
            <w:tcW w:w="1417" w:type="dxa"/>
            <w:vAlign w:val="center"/>
          </w:tcPr>
          <w:p w14:paraId="36B407C0"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p>
        </w:tc>
        <w:tc>
          <w:tcPr>
            <w:tcW w:w="1035" w:type="dxa"/>
            <w:vAlign w:val="center"/>
          </w:tcPr>
          <w:p w14:paraId="339A201A"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p>
        </w:tc>
        <w:tc>
          <w:tcPr>
            <w:tcW w:w="1498" w:type="dxa"/>
            <w:vAlign w:val="center"/>
          </w:tcPr>
          <w:p w14:paraId="3ACE46A2"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r w:rsidRPr="00E827C7">
              <w:rPr>
                <w:rFonts w:ascii="Times New Roman" w:eastAsia="Georgia" w:hAnsi="Times New Roman" w:cs="Times New Roman"/>
                <w:color w:val="000000" w:themeColor="text1"/>
                <w:sz w:val="24"/>
                <w:szCs w:val="24"/>
              </w:rPr>
              <w:t xml:space="preserve"> (.</w:t>
            </w:r>
            <w:proofErr w:type="gramStart"/>
            <w:r w:rsidRPr="00E827C7">
              <w:rPr>
                <w:rFonts w:ascii="Times New Roman" w:eastAsia="Georgia" w:hAnsi="Times New Roman" w:cs="Times New Roman"/>
                <w:color w:val="000000" w:themeColor="text1"/>
                <w:sz w:val="24"/>
                <w:szCs w:val="24"/>
              </w:rPr>
              <w:t>569)*</w:t>
            </w:r>
            <w:proofErr w:type="gramEnd"/>
            <w:r w:rsidRPr="00E827C7">
              <w:rPr>
                <w:rFonts w:ascii="Times New Roman" w:eastAsia="Georgia" w:hAnsi="Times New Roman" w:cs="Times New Roman"/>
                <w:color w:val="000000" w:themeColor="text1"/>
                <w:sz w:val="24"/>
                <w:szCs w:val="24"/>
              </w:rPr>
              <w:t>*</w:t>
            </w:r>
          </w:p>
        </w:tc>
        <w:tc>
          <w:tcPr>
            <w:tcW w:w="1294" w:type="dxa"/>
            <w:vAlign w:val="center"/>
          </w:tcPr>
          <w:p w14:paraId="16788FBE"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w:t>
            </w:r>
          </w:p>
        </w:tc>
        <w:tc>
          <w:tcPr>
            <w:tcW w:w="1418" w:type="dxa"/>
            <w:vAlign w:val="center"/>
          </w:tcPr>
          <w:p w14:paraId="2A2F2C2A" w14:textId="77777777" w:rsidR="00A57B34" w:rsidRPr="00E827C7" w:rsidRDefault="00A57B34" w:rsidP="008924CA">
            <w:pPr>
              <w:rPr>
                <w:rFonts w:ascii="Times New Roman" w:hAnsi="Times New Roman" w:cs="Times New Roman"/>
                <w:color w:val="000000" w:themeColor="text1"/>
                <w:sz w:val="24"/>
                <w:szCs w:val="24"/>
              </w:rPr>
            </w:pPr>
          </w:p>
        </w:tc>
        <w:tc>
          <w:tcPr>
            <w:tcW w:w="1276" w:type="dxa"/>
            <w:vAlign w:val="center"/>
          </w:tcPr>
          <w:p w14:paraId="6EBE0D50" w14:textId="77777777" w:rsidR="00A57B34" w:rsidRPr="00E827C7" w:rsidRDefault="00A57B34" w:rsidP="008924CA">
            <w:pPr>
              <w:rPr>
                <w:rFonts w:ascii="Times New Roman" w:hAnsi="Times New Roman" w:cs="Times New Roman"/>
                <w:color w:val="000000" w:themeColor="text1"/>
                <w:sz w:val="24"/>
                <w:szCs w:val="24"/>
              </w:rPr>
            </w:pPr>
          </w:p>
        </w:tc>
      </w:tr>
      <w:tr w:rsidR="00E827C7" w:rsidRPr="00E827C7" w14:paraId="0BA79B11" w14:textId="77777777" w:rsidTr="008924CA">
        <w:tc>
          <w:tcPr>
            <w:tcW w:w="1843" w:type="dxa"/>
            <w:vAlign w:val="center"/>
          </w:tcPr>
          <w:p w14:paraId="1D95CB85"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6. Knowledge of Govt. Schemes</w:t>
            </w:r>
          </w:p>
        </w:tc>
        <w:tc>
          <w:tcPr>
            <w:tcW w:w="993" w:type="dxa"/>
            <w:vAlign w:val="center"/>
          </w:tcPr>
          <w:p w14:paraId="16AD734D"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r w:rsidRPr="00E827C7">
              <w:rPr>
                <w:rFonts w:ascii="Times New Roman" w:eastAsia="Georgia" w:hAnsi="Times New Roman" w:cs="Times New Roman"/>
                <w:color w:val="000000" w:themeColor="text1"/>
                <w:sz w:val="24"/>
                <w:szCs w:val="24"/>
              </w:rPr>
              <w:t xml:space="preserve"> (.</w:t>
            </w:r>
            <w:proofErr w:type="gramStart"/>
            <w:r w:rsidRPr="00E827C7">
              <w:rPr>
                <w:rFonts w:ascii="Times New Roman" w:eastAsia="Georgia" w:hAnsi="Times New Roman" w:cs="Times New Roman"/>
                <w:color w:val="000000" w:themeColor="text1"/>
                <w:sz w:val="24"/>
                <w:szCs w:val="24"/>
              </w:rPr>
              <w:t>236)*</w:t>
            </w:r>
            <w:proofErr w:type="gramEnd"/>
          </w:p>
        </w:tc>
        <w:tc>
          <w:tcPr>
            <w:tcW w:w="1417" w:type="dxa"/>
            <w:vAlign w:val="center"/>
          </w:tcPr>
          <w:p w14:paraId="172D1D7A"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p>
        </w:tc>
        <w:tc>
          <w:tcPr>
            <w:tcW w:w="1035" w:type="dxa"/>
            <w:vAlign w:val="center"/>
          </w:tcPr>
          <w:p w14:paraId="38D09641"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p>
        </w:tc>
        <w:tc>
          <w:tcPr>
            <w:tcW w:w="1498" w:type="dxa"/>
            <w:vAlign w:val="center"/>
          </w:tcPr>
          <w:p w14:paraId="352119A6"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p>
        </w:tc>
        <w:tc>
          <w:tcPr>
            <w:tcW w:w="1294" w:type="dxa"/>
            <w:vAlign w:val="center"/>
          </w:tcPr>
          <w:p w14:paraId="51E1CD92"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p>
        </w:tc>
        <w:tc>
          <w:tcPr>
            <w:tcW w:w="1418" w:type="dxa"/>
            <w:vAlign w:val="center"/>
          </w:tcPr>
          <w:p w14:paraId="5E9832D4"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w:t>
            </w:r>
          </w:p>
        </w:tc>
        <w:tc>
          <w:tcPr>
            <w:tcW w:w="1276" w:type="dxa"/>
            <w:vAlign w:val="center"/>
          </w:tcPr>
          <w:p w14:paraId="0FE2D239" w14:textId="77777777" w:rsidR="00A57B34" w:rsidRPr="00E827C7" w:rsidRDefault="00A57B34" w:rsidP="008924CA">
            <w:pPr>
              <w:rPr>
                <w:rFonts w:ascii="Times New Roman" w:hAnsi="Times New Roman" w:cs="Times New Roman"/>
                <w:color w:val="000000" w:themeColor="text1"/>
                <w:sz w:val="24"/>
                <w:szCs w:val="24"/>
              </w:rPr>
            </w:pPr>
          </w:p>
        </w:tc>
      </w:tr>
      <w:tr w:rsidR="00E827C7" w:rsidRPr="00E827C7" w14:paraId="06B06D53" w14:textId="77777777" w:rsidTr="008924CA">
        <w:tc>
          <w:tcPr>
            <w:tcW w:w="1843" w:type="dxa"/>
            <w:vAlign w:val="center"/>
          </w:tcPr>
          <w:p w14:paraId="37F4A428"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7. Overall Perception &amp; Attitude</w:t>
            </w:r>
          </w:p>
        </w:tc>
        <w:tc>
          <w:tcPr>
            <w:tcW w:w="993" w:type="dxa"/>
            <w:vAlign w:val="center"/>
          </w:tcPr>
          <w:p w14:paraId="3F4A6939"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r w:rsidRPr="00E827C7">
              <w:rPr>
                <w:rFonts w:ascii="Times New Roman" w:eastAsia="Georgia" w:hAnsi="Times New Roman" w:cs="Times New Roman"/>
                <w:color w:val="000000" w:themeColor="text1"/>
                <w:sz w:val="24"/>
                <w:szCs w:val="24"/>
              </w:rPr>
              <w:t xml:space="preserve"> (.141)</w:t>
            </w:r>
          </w:p>
        </w:tc>
        <w:tc>
          <w:tcPr>
            <w:tcW w:w="1417" w:type="dxa"/>
            <w:vAlign w:val="center"/>
          </w:tcPr>
          <w:p w14:paraId="24B38F9E"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r w:rsidRPr="00E827C7">
              <w:rPr>
                <w:rFonts w:ascii="Times New Roman" w:eastAsia="Georgia" w:hAnsi="Times New Roman" w:cs="Times New Roman"/>
                <w:color w:val="000000" w:themeColor="text1"/>
                <w:sz w:val="24"/>
                <w:szCs w:val="24"/>
              </w:rPr>
              <w:t xml:space="preserve"> (−.053)</w:t>
            </w:r>
          </w:p>
        </w:tc>
        <w:tc>
          <w:tcPr>
            <w:tcW w:w="1035" w:type="dxa"/>
            <w:vAlign w:val="center"/>
          </w:tcPr>
          <w:p w14:paraId="1799670F"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r w:rsidRPr="00E827C7">
              <w:rPr>
                <w:rFonts w:ascii="Times New Roman" w:eastAsia="Georgia" w:hAnsi="Times New Roman" w:cs="Times New Roman"/>
                <w:color w:val="000000" w:themeColor="text1"/>
                <w:sz w:val="24"/>
                <w:szCs w:val="24"/>
              </w:rPr>
              <w:t xml:space="preserve"> (.025)</w:t>
            </w:r>
          </w:p>
        </w:tc>
        <w:tc>
          <w:tcPr>
            <w:tcW w:w="1498" w:type="dxa"/>
            <w:vAlign w:val="center"/>
          </w:tcPr>
          <w:p w14:paraId="731368F0"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r w:rsidRPr="00E827C7">
              <w:rPr>
                <w:rFonts w:ascii="Times New Roman" w:eastAsia="Georgia" w:hAnsi="Times New Roman" w:cs="Times New Roman"/>
                <w:color w:val="000000" w:themeColor="text1"/>
                <w:sz w:val="24"/>
                <w:szCs w:val="24"/>
              </w:rPr>
              <w:t xml:space="preserve"> (.</w:t>
            </w:r>
            <w:proofErr w:type="gramStart"/>
            <w:r w:rsidRPr="00E827C7">
              <w:rPr>
                <w:rFonts w:ascii="Times New Roman" w:eastAsia="Georgia" w:hAnsi="Times New Roman" w:cs="Times New Roman"/>
                <w:color w:val="000000" w:themeColor="text1"/>
                <w:sz w:val="24"/>
                <w:szCs w:val="24"/>
              </w:rPr>
              <w:t>708)*</w:t>
            </w:r>
            <w:proofErr w:type="gramEnd"/>
            <w:r w:rsidRPr="00E827C7">
              <w:rPr>
                <w:rFonts w:ascii="Times New Roman" w:eastAsia="Georgia" w:hAnsi="Times New Roman" w:cs="Times New Roman"/>
                <w:color w:val="000000" w:themeColor="text1"/>
                <w:sz w:val="24"/>
                <w:szCs w:val="24"/>
              </w:rPr>
              <w:t>*</w:t>
            </w:r>
          </w:p>
        </w:tc>
        <w:tc>
          <w:tcPr>
            <w:tcW w:w="1294" w:type="dxa"/>
            <w:vAlign w:val="center"/>
          </w:tcPr>
          <w:p w14:paraId="4AADABC2"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r w:rsidRPr="00E827C7">
              <w:rPr>
                <w:rFonts w:ascii="Times New Roman" w:eastAsia="Georgia" w:hAnsi="Times New Roman" w:cs="Times New Roman"/>
                <w:color w:val="000000" w:themeColor="text1"/>
                <w:sz w:val="24"/>
                <w:szCs w:val="24"/>
              </w:rPr>
              <w:t xml:space="preserve"> (.</w:t>
            </w:r>
            <w:proofErr w:type="gramStart"/>
            <w:r w:rsidRPr="00E827C7">
              <w:rPr>
                <w:rFonts w:ascii="Times New Roman" w:eastAsia="Georgia" w:hAnsi="Times New Roman" w:cs="Times New Roman"/>
                <w:color w:val="000000" w:themeColor="text1"/>
                <w:sz w:val="24"/>
                <w:szCs w:val="24"/>
              </w:rPr>
              <w:t>569)*</w:t>
            </w:r>
            <w:proofErr w:type="gramEnd"/>
            <w:r w:rsidRPr="00E827C7">
              <w:rPr>
                <w:rFonts w:ascii="Times New Roman" w:eastAsia="Georgia" w:hAnsi="Times New Roman" w:cs="Times New Roman"/>
                <w:color w:val="000000" w:themeColor="text1"/>
                <w:sz w:val="24"/>
                <w:szCs w:val="24"/>
              </w:rPr>
              <w:t>*</w:t>
            </w:r>
          </w:p>
        </w:tc>
        <w:tc>
          <w:tcPr>
            <w:tcW w:w="1418" w:type="dxa"/>
            <w:vAlign w:val="center"/>
          </w:tcPr>
          <w:p w14:paraId="03A312F6" w14:textId="77777777" w:rsidR="00A57B34" w:rsidRPr="00E827C7" w:rsidRDefault="00A57B34" w:rsidP="008924CA">
            <w:pPr>
              <w:rPr>
                <w:rFonts w:ascii="Times New Roman" w:hAnsi="Times New Roman" w:cs="Times New Roman"/>
                <w:color w:val="000000" w:themeColor="text1"/>
                <w:sz w:val="24"/>
                <w:szCs w:val="24"/>
              </w:rPr>
            </w:pPr>
            <w:r w:rsidRPr="00E827C7">
              <w:rPr>
                <w:rFonts w:ascii="Segoe UI Emoji" w:eastAsia="Georgia" w:hAnsi="Segoe UI Emoji" w:cs="Segoe UI Emoji"/>
                <w:color w:val="000000" w:themeColor="text1"/>
                <w:sz w:val="24"/>
                <w:szCs w:val="24"/>
              </w:rPr>
              <w:t>🟨</w:t>
            </w:r>
            <w:r w:rsidRPr="00E827C7">
              <w:rPr>
                <w:rFonts w:ascii="Times New Roman" w:eastAsia="Georgia" w:hAnsi="Times New Roman" w:cs="Times New Roman"/>
                <w:color w:val="000000" w:themeColor="text1"/>
                <w:sz w:val="24"/>
                <w:szCs w:val="24"/>
              </w:rPr>
              <w:t xml:space="preserve"> (.</w:t>
            </w:r>
            <w:proofErr w:type="gramStart"/>
            <w:r w:rsidRPr="00E827C7">
              <w:rPr>
                <w:rFonts w:ascii="Times New Roman" w:eastAsia="Georgia" w:hAnsi="Times New Roman" w:cs="Times New Roman"/>
                <w:color w:val="000000" w:themeColor="text1"/>
                <w:sz w:val="24"/>
                <w:szCs w:val="24"/>
              </w:rPr>
              <w:t>236)*</w:t>
            </w:r>
            <w:proofErr w:type="gramEnd"/>
          </w:p>
        </w:tc>
        <w:tc>
          <w:tcPr>
            <w:tcW w:w="1276" w:type="dxa"/>
            <w:vAlign w:val="center"/>
          </w:tcPr>
          <w:p w14:paraId="221B26E9" w14:textId="77777777" w:rsidR="00A57B34" w:rsidRPr="00E827C7" w:rsidRDefault="00A57B34" w:rsidP="008924CA">
            <w:pPr>
              <w:rPr>
                <w:rFonts w:ascii="Times New Roman" w:hAnsi="Times New Roman" w:cs="Times New Roman"/>
                <w:color w:val="000000" w:themeColor="text1"/>
                <w:sz w:val="24"/>
                <w:szCs w:val="24"/>
              </w:rPr>
            </w:pPr>
            <w:r w:rsidRPr="00E827C7">
              <w:rPr>
                <w:rFonts w:ascii="Times New Roman" w:eastAsia="Georgia" w:hAnsi="Times New Roman" w:cs="Times New Roman"/>
                <w:color w:val="000000" w:themeColor="text1"/>
                <w:sz w:val="24"/>
                <w:szCs w:val="24"/>
              </w:rPr>
              <w:t>---</w:t>
            </w:r>
          </w:p>
        </w:tc>
      </w:tr>
    </w:tbl>
    <w:p w14:paraId="395EB0DD" w14:textId="77777777" w:rsidR="00A57B34" w:rsidRPr="00E827C7" w:rsidRDefault="00A57B34" w:rsidP="00A57B34">
      <w:pPr>
        <w:spacing w:before="240" w:after="0" w:line="240" w:lineRule="auto"/>
        <w:jc w:val="both"/>
        <w:rPr>
          <w:rFonts w:ascii="Times New Roman" w:hAnsi="Times New Roman" w:cs="Times New Roman"/>
          <w:i/>
          <w:iCs/>
          <w:color w:val="000000" w:themeColor="text1"/>
          <w:sz w:val="24"/>
          <w:szCs w:val="24"/>
          <w:lang w:val="en-IN"/>
        </w:rPr>
      </w:pPr>
      <w:r w:rsidRPr="00E827C7">
        <w:rPr>
          <w:rFonts w:ascii="Times New Roman" w:hAnsi="Times New Roman" w:cs="Times New Roman"/>
          <w:i/>
          <w:iCs/>
          <w:color w:val="000000" w:themeColor="text1"/>
          <w:sz w:val="24"/>
          <w:szCs w:val="24"/>
          <w:lang w:val="en-IN"/>
        </w:rPr>
        <w:t>*Notes on the Heat-Map Table</w:t>
      </w:r>
    </w:p>
    <w:p w14:paraId="00B3F278" w14:textId="77777777" w:rsidR="00A57B34" w:rsidRPr="00E827C7" w:rsidRDefault="00A57B34" w:rsidP="00A57B34">
      <w:pPr>
        <w:spacing w:after="0" w:line="240" w:lineRule="auto"/>
        <w:jc w:val="both"/>
        <w:rPr>
          <w:rFonts w:ascii="Times New Roman" w:hAnsi="Times New Roman" w:cs="Times New Roman"/>
          <w:i/>
          <w:iCs/>
          <w:color w:val="000000" w:themeColor="text1"/>
          <w:sz w:val="24"/>
          <w:szCs w:val="24"/>
          <w:lang w:val="en-IN"/>
        </w:rPr>
      </w:pPr>
      <w:r w:rsidRPr="00E827C7">
        <w:rPr>
          <w:rFonts w:ascii="Times New Roman" w:hAnsi="Times New Roman" w:cs="Times New Roman"/>
          <w:i/>
          <w:iCs/>
          <w:color w:val="000000" w:themeColor="text1"/>
          <w:sz w:val="24"/>
          <w:szCs w:val="24"/>
          <w:lang w:val="en-IN"/>
        </w:rPr>
        <w:t xml:space="preserve">The highest correlation (strong) is between awareness and perception → </w:t>
      </w:r>
      <w:r w:rsidRPr="00E827C7">
        <w:rPr>
          <w:rFonts w:ascii="Segoe UI Emoji" w:hAnsi="Segoe UI Emoji" w:cs="Segoe UI Emoji"/>
          <w:i/>
          <w:iCs/>
          <w:color w:val="000000" w:themeColor="text1"/>
          <w:sz w:val="24"/>
          <w:szCs w:val="24"/>
          <w:lang w:val="en-IN"/>
        </w:rPr>
        <w:t>🟥</w:t>
      </w:r>
      <w:r w:rsidRPr="00E827C7">
        <w:rPr>
          <w:rFonts w:ascii="Times New Roman" w:hAnsi="Times New Roman" w:cs="Times New Roman"/>
          <w:i/>
          <w:iCs/>
          <w:color w:val="000000" w:themeColor="text1"/>
          <w:sz w:val="24"/>
          <w:szCs w:val="24"/>
          <w:lang w:val="en-IN"/>
        </w:rPr>
        <w:t xml:space="preserve"> (.708).</w:t>
      </w:r>
    </w:p>
    <w:p w14:paraId="12699374" w14:textId="77777777" w:rsidR="00A57B34" w:rsidRPr="00E827C7" w:rsidRDefault="00A57B34" w:rsidP="00A57B34">
      <w:pPr>
        <w:spacing w:after="0" w:line="240" w:lineRule="auto"/>
        <w:jc w:val="both"/>
        <w:rPr>
          <w:rFonts w:ascii="Times New Roman" w:hAnsi="Times New Roman" w:cs="Times New Roman"/>
          <w:i/>
          <w:iCs/>
          <w:color w:val="000000" w:themeColor="text1"/>
          <w:sz w:val="24"/>
          <w:szCs w:val="24"/>
          <w:lang w:val="en-IN"/>
        </w:rPr>
      </w:pPr>
      <w:r w:rsidRPr="00E827C7">
        <w:rPr>
          <w:rFonts w:ascii="Times New Roman" w:hAnsi="Times New Roman" w:cs="Times New Roman"/>
          <w:i/>
          <w:iCs/>
          <w:color w:val="000000" w:themeColor="text1"/>
          <w:sz w:val="24"/>
          <w:szCs w:val="24"/>
          <w:lang w:val="en-IN"/>
        </w:rPr>
        <w:t xml:space="preserve">The second highest (moderate) is source of information → </w:t>
      </w:r>
      <w:r w:rsidRPr="00E827C7">
        <w:rPr>
          <w:rFonts w:ascii="Segoe UI Emoji" w:hAnsi="Segoe UI Emoji" w:cs="Segoe UI Emoji"/>
          <w:i/>
          <w:iCs/>
          <w:color w:val="000000" w:themeColor="text1"/>
          <w:sz w:val="24"/>
          <w:szCs w:val="24"/>
          <w:lang w:val="en-IN"/>
        </w:rPr>
        <w:t>🟧</w:t>
      </w:r>
      <w:r w:rsidRPr="00E827C7">
        <w:rPr>
          <w:rFonts w:ascii="Times New Roman" w:hAnsi="Times New Roman" w:cs="Times New Roman"/>
          <w:i/>
          <w:iCs/>
          <w:color w:val="000000" w:themeColor="text1"/>
          <w:sz w:val="24"/>
          <w:szCs w:val="24"/>
          <w:lang w:val="en-IN"/>
        </w:rPr>
        <w:t xml:space="preserve"> (.569).</w:t>
      </w:r>
    </w:p>
    <w:p w14:paraId="774A82E9" w14:textId="77777777" w:rsidR="00A57B34" w:rsidRPr="00E827C7" w:rsidRDefault="00A57B34" w:rsidP="00A57B34">
      <w:pPr>
        <w:spacing w:after="0" w:line="240" w:lineRule="auto"/>
        <w:jc w:val="both"/>
        <w:rPr>
          <w:rFonts w:ascii="Times New Roman" w:hAnsi="Times New Roman" w:cs="Times New Roman"/>
          <w:i/>
          <w:iCs/>
          <w:color w:val="000000" w:themeColor="text1"/>
          <w:sz w:val="24"/>
          <w:szCs w:val="24"/>
          <w:lang w:val="en-IN"/>
        </w:rPr>
      </w:pPr>
      <w:r w:rsidRPr="00E827C7">
        <w:rPr>
          <w:rFonts w:ascii="Times New Roman" w:hAnsi="Times New Roman" w:cs="Times New Roman"/>
          <w:i/>
          <w:iCs/>
          <w:color w:val="000000" w:themeColor="text1"/>
          <w:sz w:val="24"/>
          <w:szCs w:val="24"/>
          <w:lang w:val="en-IN"/>
        </w:rPr>
        <w:t xml:space="preserve">Knowledge of government schemes shows a weak but significant relationship → </w:t>
      </w:r>
      <w:r w:rsidRPr="00E827C7">
        <w:rPr>
          <w:rFonts w:ascii="Segoe UI Emoji" w:hAnsi="Segoe UI Emoji" w:cs="Segoe UI Emoji"/>
          <w:i/>
          <w:iCs/>
          <w:color w:val="000000" w:themeColor="text1"/>
          <w:sz w:val="24"/>
          <w:szCs w:val="24"/>
          <w:lang w:val="en-IN"/>
        </w:rPr>
        <w:t>🟨</w:t>
      </w:r>
      <w:r w:rsidRPr="00E827C7">
        <w:rPr>
          <w:rFonts w:ascii="Times New Roman" w:hAnsi="Times New Roman" w:cs="Times New Roman"/>
          <w:i/>
          <w:iCs/>
          <w:color w:val="000000" w:themeColor="text1"/>
          <w:sz w:val="24"/>
          <w:szCs w:val="24"/>
          <w:lang w:val="en-IN"/>
        </w:rPr>
        <w:t xml:space="preserve"> (.236).</w:t>
      </w:r>
    </w:p>
    <w:p w14:paraId="008D0BB6" w14:textId="77777777" w:rsidR="00A57B34" w:rsidRPr="00E827C7" w:rsidRDefault="00A57B34" w:rsidP="00A57B34">
      <w:pPr>
        <w:spacing w:after="0" w:line="240" w:lineRule="auto"/>
        <w:jc w:val="both"/>
        <w:rPr>
          <w:rFonts w:ascii="Times New Roman" w:hAnsi="Times New Roman" w:cs="Times New Roman"/>
          <w:i/>
          <w:iCs/>
          <w:color w:val="000000" w:themeColor="text1"/>
          <w:sz w:val="24"/>
          <w:szCs w:val="24"/>
          <w:lang w:val="en-IN"/>
        </w:rPr>
      </w:pPr>
      <w:r w:rsidRPr="00E827C7">
        <w:rPr>
          <w:rFonts w:ascii="Times New Roman" w:hAnsi="Times New Roman" w:cs="Times New Roman"/>
          <w:i/>
          <w:iCs/>
          <w:color w:val="000000" w:themeColor="text1"/>
          <w:sz w:val="24"/>
          <w:szCs w:val="24"/>
          <w:lang w:val="en-IN"/>
        </w:rPr>
        <w:t>All demographic variables fall into weak or near-zero correlation ranges, showing they do not meaningfully influence perception.</w:t>
      </w:r>
    </w:p>
    <w:p w14:paraId="3E0705EE" w14:textId="77777777" w:rsidR="00A57B34" w:rsidRPr="00E827C7" w:rsidRDefault="00A57B34" w:rsidP="00A57B34">
      <w:pPr>
        <w:spacing w:after="0" w:line="240" w:lineRule="auto"/>
        <w:jc w:val="both"/>
        <w:rPr>
          <w:rFonts w:ascii="Times New Roman" w:hAnsi="Times New Roman" w:cs="Times New Roman"/>
          <w:i/>
          <w:iCs/>
          <w:color w:val="000000" w:themeColor="text1"/>
          <w:sz w:val="24"/>
          <w:szCs w:val="24"/>
          <w:lang w:val="en-IN"/>
        </w:rPr>
      </w:pPr>
      <w:r w:rsidRPr="00E827C7">
        <w:rPr>
          <w:rFonts w:ascii="Times New Roman" w:hAnsi="Times New Roman" w:cs="Times New Roman"/>
          <w:color w:val="000000" w:themeColor="text1"/>
          <w:sz w:val="24"/>
          <w:szCs w:val="24"/>
        </w:rPr>
        <w:t xml:space="preserve">Values represent Pearson correlation coefficients; p-values in parentheses. </w:t>
      </w:r>
      <w:r w:rsidRPr="00E827C7">
        <w:rPr>
          <w:rFonts w:ascii="Times New Roman" w:hAnsi="Times New Roman" w:cs="Times New Roman"/>
          <w:i/>
          <w:iCs/>
          <w:color w:val="000000" w:themeColor="text1"/>
          <w:sz w:val="24"/>
          <w:szCs w:val="24"/>
        </w:rPr>
        <w:t>p &lt; .05, p &lt; .001.</w:t>
      </w:r>
    </w:p>
    <w:p w14:paraId="2E7B59E0"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 xml:space="preserve">The correlations show that gender, family background, and place of residence are not significantly associated with perception and attitude. Specifically, gender (r = .141, p = .162), family background (r = −.053, p = .601), and place of residence (r = .025, p = .806) exhibit very weak relationships. These results suggest that inherent demographic traits do not meaningfully shape </w:t>
      </w:r>
      <w:proofErr w:type="spellStart"/>
      <w:r w:rsidRPr="00E827C7">
        <w:rPr>
          <w:rFonts w:ascii="Times New Roman" w:hAnsi="Times New Roman" w:cs="Times New Roman"/>
          <w:color w:val="000000" w:themeColor="text1"/>
          <w:sz w:val="24"/>
          <w:szCs w:val="24"/>
          <w:lang w:val="en-IN"/>
        </w:rPr>
        <w:t>agripreneurial</w:t>
      </w:r>
      <w:proofErr w:type="spellEnd"/>
      <w:r w:rsidRPr="00E827C7">
        <w:rPr>
          <w:rFonts w:ascii="Times New Roman" w:hAnsi="Times New Roman" w:cs="Times New Roman"/>
          <w:color w:val="000000" w:themeColor="text1"/>
          <w:sz w:val="24"/>
          <w:szCs w:val="24"/>
          <w:lang w:val="en-IN"/>
        </w:rPr>
        <w:t xml:space="preserve"> orientation, reinforcing the perspective that entrepreneurial disposition in agriculture is a learned rather than innate attribute. In contrast, variables reflecting awareness, exposure, and knowledge demonstrate stronger and statistically significant associations. Awareness of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stands out with a strong positive correlation (r = .708, p &lt; .001), indicating that students who have prior familiarity with the concept tend to possess substantially more </w:t>
      </w:r>
      <w:proofErr w:type="spellStart"/>
      <w:r w:rsidRPr="00E827C7">
        <w:rPr>
          <w:rFonts w:ascii="Times New Roman" w:hAnsi="Times New Roman" w:cs="Times New Roman"/>
          <w:color w:val="000000" w:themeColor="text1"/>
          <w:sz w:val="24"/>
          <w:szCs w:val="24"/>
          <w:lang w:val="en-IN"/>
        </w:rPr>
        <w:t>favorable</w:t>
      </w:r>
      <w:proofErr w:type="spellEnd"/>
      <w:r w:rsidRPr="00E827C7">
        <w:rPr>
          <w:rFonts w:ascii="Times New Roman" w:hAnsi="Times New Roman" w:cs="Times New Roman"/>
          <w:color w:val="000000" w:themeColor="text1"/>
          <w:sz w:val="24"/>
          <w:szCs w:val="24"/>
          <w:lang w:val="en-IN"/>
        </w:rPr>
        <w:t xml:space="preserve"> perceptions and attitudes. </w:t>
      </w:r>
      <w:r w:rsidRPr="00E827C7">
        <w:rPr>
          <w:rFonts w:ascii="Times New Roman" w:hAnsi="Times New Roman" w:cs="Times New Roman"/>
          <w:color w:val="000000" w:themeColor="text1"/>
          <w:sz w:val="24"/>
          <w:szCs w:val="24"/>
          <w:lang w:val="en-IN"/>
        </w:rPr>
        <w:lastRenderedPageBreak/>
        <w:t xml:space="preserve">The source of information shows a moderate positive correlation (r = .569, p &lt; .001), implying that access to diverse information channels such as media, extension programs, or academic institutions—supports the development of positive </w:t>
      </w:r>
      <w:proofErr w:type="spellStart"/>
      <w:r w:rsidRPr="00E827C7">
        <w:rPr>
          <w:rFonts w:ascii="Times New Roman" w:hAnsi="Times New Roman" w:cs="Times New Roman"/>
          <w:color w:val="000000" w:themeColor="text1"/>
          <w:sz w:val="24"/>
          <w:szCs w:val="24"/>
          <w:lang w:val="en-IN"/>
        </w:rPr>
        <w:t>agripreneurial</w:t>
      </w:r>
      <w:proofErr w:type="spellEnd"/>
      <w:r w:rsidRPr="00E827C7">
        <w:rPr>
          <w:rFonts w:ascii="Times New Roman" w:hAnsi="Times New Roman" w:cs="Times New Roman"/>
          <w:color w:val="000000" w:themeColor="text1"/>
          <w:sz w:val="24"/>
          <w:szCs w:val="24"/>
          <w:lang w:val="en-IN"/>
        </w:rPr>
        <w:t xml:space="preserve"> perceptions. Knowledge of government schemes also displays a weak yet significant association (r = .236, p = .018), suggesting that awareness of institutional support structures plays a role in shaping students’ inclination toward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w:t>
      </w:r>
    </w:p>
    <w:p w14:paraId="4D33A038" w14:textId="1EEB20F2"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 xml:space="preserve">To enhance interpretation, a heat-map visualization of these correlations is presented in Figure </w:t>
      </w:r>
      <w:r w:rsidR="00D8434B" w:rsidRPr="00E827C7">
        <w:rPr>
          <w:rFonts w:ascii="Times New Roman" w:hAnsi="Times New Roman" w:cs="Times New Roman"/>
          <w:color w:val="000000" w:themeColor="text1"/>
          <w:sz w:val="24"/>
          <w:szCs w:val="24"/>
          <w:lang w:val="en-IN"/>
        </w:rPr>
        <w:t>2</w:t>
      </w:r>
      <w:r w:rsidRPr="00E827C7">
        <w:rPr>
          <w:rFonts w:ascii="Times New Roman" w:hAnsi="Times New Roman" w:cs="Times New Roman"/>
          <w:color w:val="000000" w:themeColor="text1"/>
          <w:sz w:val="24"/>
          <w:szCs w:val="24"/>
          <w:lang w:val="en-IN"/>
        </w:rPr>
        <w:t xml:space="preserve">, allowing readers to quickly identify influential variables through </w:t>
      </w:r>
      <w:proofErr w:type="spellStart"/>
      <w:r w:rsidRPr="00E827C7">
        <w:rPr>
          <w:rFonts w:ascii="Times New Roman" w:hAnsi="Times New Roman" w:cs="Times New Roman"/>
          <w:color w:val="000000" w:themeColor="text1"/>
          <w:sz w:val="24"/>
          <w:szCs w:val="24"/>
          <w:lang w:val="en-IN"/>
        </w:rPr>
        <w:t>color</w:t>
      </w:r>
      <w:proofErr w:type="spellEnd"/>
      <w:r w:rsidRPr="00E827C7">
        <w:rPr>
          <w:rFonts w:ascii="Times New Roman" w:hAnsi="Times New Roman" w:cs="Times New Roman"/>
          <w:color w:val="000000" w:themeColor="text1"/>
          <w:sz w:val="24"/>
          <w:szCs w:val="24"/>
          <w:lang w:val="en-IN"/>
        </w:rPr>
        <w:t xml:space="preserve"> intensity and significance markers. </w:t>
      </w:r>
    </w:p>
    <w:p w14:paraId="509666E0"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rPr>
      </w:pPr>
      <w:r w:rsidRPr="00E827C7">
        <w:rPr>
          <w:noProof/>
          <w:color w:val="000000" w:themeColor="text1"/>
        </w:rPr>
        <w:drawing>
          <wp:inline distT="0" distB="0" distL="0" distR="0" wp14:anchorId="048F99F2" wp14:editId="141194DC">
            <wp:extent cx="5731510" cy="4855845"/>
            <wp:effectExtent l="0" t="0" r="2540" b="1905"/>
            <wp:docPr id="1517160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855845"/>
                    </a:xfrm>
                    <a:prstGeom prst="rect">
                      <a:avLst/>
                    </a:prstGeom>
                    <a:noFill/>
                    <a:ln>
                      <a:noFill/>
                    </a:ln>
                  </pic:spPr>
                </pic:pic>
              </a:graphicData>
            </a:graphic>
          </wp:inline>
        </w:drawing>
      </w:r>
    </w:p>
    <w:p w14:paraId="34F573BF" w14:textId="09006B73" w:rsidR="00A57B34" w:rsidRPr="00E827C7" w:rsidRDefault="00A57B34" w:rsidP="00A57B34">
      <w:pPr>
        <w:spacing w:before="240" w:line="360" w:lineRule="auto"/>
        <w:jc w:val="both"/>
        <w:rPr>
          <w:rFonts w:ascii="Times New Roman" w:hAnsi="Times New Roman" w:cs="Times New Roman"/>
          <w:i/>
          <w:iCs/>
          <w:color w:val="000000" w:themeColor="text1"/>
          <w:sz w:val="24"/>
          <w:szCs w:val="24"/>
        </w:rPr>
      </w:pPr>
      <w:r w:rsidRPr="00E827C7">
        <w:rPr>
          <w:rFonts w:ascii="Times New Roman" w:hAnsi="Times New Roman" w:cs="Times New Roman"/>
          <w:b/>
          <w:bCs/>
          <w:color w:val="000000" w:themeColor="text1"/>
          <w:sz w:val="24"/>
          <w:szCs w:val="24"/>
        </w:rPr>
        <w:t xml:space="preserve">Figure </w:t>
      </w:r>
      <w:r w:rsidR="00D8434B" w:rsidRPr="00E827C7">
        <w:rPr>
          <w:rFonts w:ascii="Times New Roman" w:hAnsi="Times New Roman" w:cs="Times New Roman"/>
          <w:b/>
          <w:bCs/>
          <w:color w:val="000000" w:themeColor="text1"/>
          <w:sz w:val="24"/>
          <w:szCs w:val="24"/>
        </w:rPr>
        <w:t>2</w:t>
      </w:r>
      <w:r w:rsidRPr="00E827C7">
        <w:rPr>
          <w:rFonts w:ascii="Times New Roman" w:hAnsi="Times New Roman" w:cs="Times New Roman"/>
          <w:b/>
          <w:bCs/>
          <w:color w:val="000000" w:themeColor="text1"/>
          <w:sz w:val="24"/>
          <w:szCs w:val="24"/>
        </w:rPr>
        <w:t xml:space="preserve">: *Correlation heatmap illustrating the relationships between background and exposure variables and overall perception and attitude towards </w:t>
      </w:r>
      <w:proofErr w:type="spellStart"/>
      <w:r w:rsidRPr="00E827C7">
        <w:rPr>
          <w:rFonts w:ascii="Times New Roman" w:hAnsi="Times New Roman" w:cs="Times New Roman"/>
          <w:b/>
          <w:bCs/>
          <w:color w:val="000000" w:themeColor="text1"/>
          <w:sz w:val="24"/>
          <w:szCs w:val="24"/>
        </w:rPr>
        <w:t>agripreneurship</w:t>
      </w:r>
      <w:proofErr w:type="spellEnd"/>
      <w:r w:rsidRPr="00E827C7">
        <w:rPr>
          <w:rFonts w:ascii="Times New Roman" w:hAnsi="Times New Roman" w:cs="Times New Roman"/>
          <w:b/>
          <w:bCs/>
          <w:color w:val="000000" w:themeColor="text1"/>
          <w:sz w:val="24"/>
          <w:szCs w:val="24"/>
        </w:rPr>
        <w:t xml:space="preserve"> among </w:t>
      </w:r>
      <w:r w:rsidRPr="00E827C7">
        <w:rPr>
          <w:rFonts w:ascii="Times New Roman" w:hAnsi="Times New Roman" w:cs="Times New Roman"/>
          <w:b/>
          <w:bCs/>
          <w:color w:val="000000" w:themeColor="text1"/>
          <w:sz w:val="24"/>
          <w:szCs w:val="24"/>
        </w:rPr>
        <w:lastRenderedPageBreak/>
        <w:t>agricultural students (N = 100). Pearson correlation coefficients are displayed within cells, with significance levels indicated by asterisks (*p &lt; .05; *</w:t>
      </w:r>
      <w:r w:rsidRPr="00E827C7">
        <w:rPr>
          <w:rFonts w:ascii="Times New Roman" w:hAnsi="Times New Roman" w:cs="Times New Roman"/>
          <w:b/>
          <w:bCs/>
          <w:i/>
          <w:iCs/>
          <w:color w:val="000000" w:themeColor="text1"/>
          <w:sz w:val="24"/>
          <w:szCs w:val="24"/>
        </w:rPr>
        <w:t>p &lt; .001).</w:t>
      </w:r>
      <w:r w:rsidRPr="00E827C7">
        <w:rPr>
          <w:rFonts w:ascii="Times New Roman" w:hAnsi="Times New Roman" w:cs="Times New Roman"/>
          <w:i/>
          <w:iCs/>
          <w:color w:val="000000" w:themeColor="text1"/>
          <w:sz w:val="24"/>
          <w:szCs w:val="24"/>
        </w:rPr>
        <w:t xml:space="preserve"> Strong positive correlations are indicated by darker shading, while weak or non-significant correlations appear lighter. Only significant associations—awareness of </w:t>
      </w:r>
      <w:proofErr w:type="spellStart"/>
      <w:r w:rsidRPr="00E827C7">
        <w:rPr>
          <w:rFonts w:ascii="Times New Roman" w:hAnsi="Times New Roman" w:cs="Times New Roman"/>
          <w:i/>
          <w:iCs/>
          <w:color w:val="000000" w:themeColor="text1"/>
          <w:sz w:val="24"/>
          <w:szCs w:val="24"/>
        </w:rPr>
        <w:t>agripreneurship</w:t>
      </w:r>
      <w:proofErr w:type="spellEnd"/>
      <w:r w:rsidRPr="00E827C7">
        <w:rPr>
          <w:rFonts w:ascii="Times New Roman" w:hAnsi="Times New Roman" w:cs="Times New Roman"/>
          <w:i/>
          <w:iCs/>
          <w:color w:val="000000" w:themeColor="text1"/>
          <w:sz w:val="24"/>
          <w:szCs w:val="24"/>
        </w:rPr>
        <w:t>, source of information, and knowledge of government schemes—show meaningful positive relationships with overall perception and attitude.</w:t>
      </w:r>
    </w:p>
    <w:p w14:paraId="47662E18"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Collectively, these findings underscore the importance of exposure, awareness, and knowledge dissemination mechanisms in shaping </w:t>
      </w:r>
      <w:proofErr w:type="spellStart"/>
      <w:r w:rsidRPr="00E827C7">
        <w:rPr>
          <w:rFonts w:ascii="Times New Roman" w:hAnsi="Times New Roman" w:cs="Times New Roman"/>
          <w:color w:val="000000" w:themeColor="text1"/>
          <w:sz w:val="24"/>
          <w:szCs w:val="24"/>
        </w:rPr>
        <w:t>agripreneurial</w:t>
      </w:r>
      <w:proofErr w:type="spellEnd"/>
      <w:r w:rsidRPr="00E827C7">
        <w:rPr>
          <w:rFonts w:ascii="Times New Roman" w:hAnsi="Times New Roman" w:cs="Times New Roman"/>
          <w:color w:val="000000" w:themeColor="text1"/>
          <w:sz w:val="24"/>
          <w:szCs w:val="24"/>
        </w:rPr>
        <w:t xml:space="preserve"> attitudes providing valuable guidance for extension education and curriculum design efforts aimed at fostering entrepreneurial mindsets among youth.</w:t>
      </w:r>
    </w:p>
    <w:p w14:paraId="3603220A" w14:textId="77777777" w:rsidR="00A57B34" w:rsidRPr="00E827C7" w:rsidRDefault="00A57B34" w:rsidP="00A57B34">
      <w:pPr>
        <w:spacing w:before="240" w:line="360" w:lineRule="auto"/>
        <w:jc w:val="both"/>
        <w:rPr>
          <w:rFonts w:ascii="Times New Roman" w:hAnsi="Times New Roman" w:cs="Times New Roman"/>
          <w:b/>
          <w:bCs/>
          <w:color w:val="000000" w:themeColor="text1"/>
          <w:sz w:val="24"/>
          <w:szCs w:val="24"/>
          <w:lang w:val="en-IN"/>
        </w:rPr>
      </w:pPr>
      <w:r w:rsidRPr="00E827C7">
        <w:rPr>
          <w:rFonts w:ascii="Times New Roman" w:hAnsi="Times New Roman" w:cs="Times New Roman"/>
          <w:b/>
          <w:bCs/>
          <w:color w:val="000000" w:themeColor="text1"/>
          <w:sz w:val="24"/>
          <w:szCs w:val="24"/>
          <w:lang w:val="en-IN"/>
        </w:rPr>
        <w:t xml:space="preserve">3.3 Multiple Linear Regression Analysis </w:t>
      </w:r>
    </w:p>
    <w:p w14:paraId="313DB2E0"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 xml:space="preserve">A multiple linear regression model was developed to identify the strongest predictors of agricultural students’ perception and attitude toward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The model incorporated eight predictors gender, age, year of study, family background, place of residence, prior awareness of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source of information, and knowledge about government schemes to determine their unique contributions to explaining variance in perception scores. The summary of the model outputs is provided in Table 3.</w:t>
      </w:r>
    </w:p>
    <w:p w14:paraId="2703FBAA" w14:textId="026BF3B9"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 xml:space="preserve">A multiple linear regression model was constructed to identify the strongest predictors of agricultural students’ overall perception and attitude toward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The model incorporated eight predictors: gender, age, year of study, family background, place of residence, prior awareness of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source of information, and knowledge of government schemes. This analytical approach allows for the simultaneous assessment of each variable’s unique contribution while controlling for other factors. The complete regression output is presented in Table 3, with graphical representations shown in Figures </w:t>
      </w:r>
      <w:r w:rsidR="00D8434B" w:rsidRPr="00E827C7">
        <w:rPr>
          <w:rFonts w:ascii="Times New Roman" w:hAnsi="Times New Roman" w:cs="Times New Roman"/>
          <w:color w:val="000000" w:themeColor="text1"/>
          <w:sz w:val="24"/>
          <w:szCs w:val="24"/>
          <w:lang w:val="en-IN"/>
        </w:rPr>
        <w:t>3</w:t>
      </w:r>
      <w:r w:rsidRPr="00E827C7">
        <w:rPr>
          <w:rFonts w:ascii="Times New Roman" w:hAnsi="Times New Roman" w:cs="Times New Roman"/>
          <w:color w:val="000000" w:themeColor="text1"/>
          <w:sz w:val="24"/>
          <w:szCs w:val="24"/>
          <w:lang w:val="en-IN"/>
        </w:rPr>
        <w:t>.</w:t>
      </w:r>
    </w:p>
    <w:p w14:paraId="5EDA7CC0" w14:textId="77777777" w:rsidR="00A57B34" w:rsidRPr="00E827C7" w:rsidRDefault="00A57B34" w:rsidP="00A57B34">
      <w:pPr>
        <w:spacing w:before="240" w:line="360" w:lineRule="auto"/>
        <w:jc w:val="both"/>
        <w:rPr>
          <w:rFonts w:ascii="Times New Roman" w:hAnsi="Times New Roman" w:cs="Times New Roman"/>
          <w:b/>
          <w:bCs/>
          <w:color w:val="000000" w:themeColor="text1"/>
          <w:sz w:val="24"/>
          <w:szCs w:val="24"/>
          <w:lang w:val="en-IN"/>
        </w:rPr>
      </w:pPr>
      <w:r w:rsidRPr="00E827C7">
        <w:rPr>
          <w:rFonts w:ascii="Times New Roman" w:hAnsi="Times New Roman" w:cs="Times New Roman"/>
          <w:b/>
          <w:bCs/>
          <w:color w:val="000000" w:themeColor="text1"/>
          <w:sz w:val="24"/>
          <w:szCs w:val="24"/>
          <w:lang w:val="en-IN"/>
        </w:rPr>
        <w:t xml:space="preserve">Table 3. Multiple Linear Regression Predicting Overall Perception and Attitude Towards </w:t>
      </w:r>
      <w:proofErr w:type="spellStart"/>
      <w:r w:rsidRPr="00E827C7">
        <w:rPr>
          <w:rFonts w:ascii="Times New Roman" w:hAnsi="Times New Roman" w:cs="Times New Roman"/>
          <w:b/>
          <w:bCs/>
          <w:color w:val="000000" w:themeColor="text1"/>
          <w:sz w:val="24"/>
          <w:szCs w:val="24"/>
          <w:lang w:val="en-IN"/>
        </w:rPr>
        <w:t>Agripreneurship</w:t>
      </w:r>
      <w:proofErr w:type="spellEnd"/>
      <w:r w:rsidRPr="00E827C7">
        <w:rPr>
          <w:rFonts w:ascii="Times New Roman" w:hAnsi="Times New Roman" w:cs="Times New Roman"/>
          <w:b/>
          <w:bCs/>
          <w:color w:val="000000" w:themeColor="text1"/>
          <w:sz w:val="24"/>
          <w:szCs w:val="24"/>
          <w:lang w:val="en-IN"/>
        </w:rPr>
        <w:t xml:space="preserve"> (N = 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1022"/>
        <w:gridCol w:w="969"/>
        <w:gridCol w:w="968"/>
        <w:gridCol w:w="968"/>
        <w:gridCol w:w="1041"/>
      </w:tblGrid>
      <w:tr w:rsidR="00E827C7" w:rsidRPr="00E827C7" w14:paraId="08D65245" w14:textId="77777777" w:rsidTr="008924CA">
        <w:tc>
          <w:tcPr>
            <w:tcW w:w="2356" w:type="pct"/>
            <w:shd w:val="clear" w:color="auto" w:fill="D9E2F3" w:themeFill="accent1" w:themeFillTint="33"/>
            <w:hideMark/>
          </w:tcPr>
          <w:p w14:paraId="7EF0C356" w14:textId="77777777" w:rsidR="00A57B34" w:rsidRPr="00E827C7" w:rsidRDefault="00A57B34" w:rsidP="008924CA">
            <w:pPr>
              <w:spacing w:line="360" w:lineRule="auto"/>
              <w:jc w:val="both"/>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Predictor</w:t>
            </w:r>
          </w:p>
        </w:tc>
        <w:tc>
          <w:tcPr>
            <w:tcW w:w="544" w:type="pct"/>
            <w:shd w:val="clear" w:color="auto" w:fill="D9E2F3" w:themeFill="accent1" w:themeFillTint="33"/>
            <w:hideMark/>
          </w:tcPr>
          <w:p w14:paraId="7582C887" w14:textId="77777777" w:rsidR="00A57B34" w:rsidRPr="00E827C7" w:rsidRDefault="00A57B34" w:rsidP="008924CA">
            <w:pPr>
              <w:spacing w:line="360" w:lineRule="auto"/>
              <w:jc w:val="center"/>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B</w:t>
            </w:r>
          </w:p>
        </w:tc>
        <w:tc>
          <w:tcPr>
            <w:tcW w:w="516" w:type="pct"/>
            <w:shd w:val="clear" w:color="auto" w:fill="D9E2F3" w:themeFill="accent1" w:themeFillTint="33"/>
            <w:hideMark/>
          </w:tcPr>
          <w:p w14:paraId="3553E0D9" w14:textId="77777777" w:rsidR="00A57B34" w:rsidRPr="00E827C7" w:rsidRDefault="00A57B34" w:rsidP="008924CA">
            <w:pPr>
              <w:spacing w:line="360" w:lineRule="auto"/>
              <w:jc w:val="center"/>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SE B</w:t>
            </w:r>
          </w:p>
        </w:tc>
        <w:tc>
          <w:tcPr>
            <w:tcW w:w="515" w:type="pct"/>
            <w:shd w:val="clear" w:color="auto" w:fill="D9E2F3" w:themeFill="accent1" w:themeFillTint="33"/>
            <w:hideMark/>
          </w:tcPr>
          <w:p w14:paraId="6DE5BDC5" w14:textId="77777777" w:rsidR="00A57B34" w:rsidRPr="00E827C7" w:rsidRDefault="00A57B34" w:rsidP="008924CA">
            <w:pPr>
              <w:spacing w:line="360" w:lineRule="auto"/>
              <w:jc w:val="center"/>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β</w:t>
            </w:r>
          </w:p>
        </w:tc>
        <w:tc>
          <w:tcPr>
            <w:tcW w:w="515" w:type="pct"/>
            <w:shd w:val="clear" w:color="auto" w:fill="D9E2F3" w:themeFill="accent1" w:themeFillTint="33"/>
            <w:hideMark/>
          </w:tcPr>
          <w:p w14:paraId="21AE1FB6" w14:textId="77777777" w:rsidR="00A57B34" w:rsidRPr="00E827C7" w:rsidRDefault="00A57B34" w:rsidP="008924CA">
            <w:pPr>
              <w:spacing w:line="360" w:lineRule="auto"/>
              <w:jc w:val="center"/>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t</w:t>
            </w:r>
          </w:p>
        </w:tc>
        <w:tc>
          <w:tcPr>
            <w:tcW w:w="555" w:type="pct"/>
            <w:shd w:val="clear" w:color="auto" w:fill="D9E2F3" w:themeFill="accent1" w:themeFillTint="33"/>
            <w:hideMark/>
          </w:tcPr>
          <w:p w14:paraId="30034762" w14:textId="77777777" w:rsidR="00A57B34" w:rsidRPr="00E827C7" w:rsidRDefault="00A57B34" w:rsidP="008924CA">
            <w:pPr>
              <w:spacing w:line="360" w:lineRule="auto"/>
              <w:jc w:val="center"/>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p</w:t>
            </w:r>
          </w:p>
        </w:tc>
      </w:tr>
      <w:tr w:rsidR="00E827C7" w:rsidRPr="00E827C7" w14:paraId="64DA36AF" w14:textId="77777777" w:rsidTr="008924CA">
        <w:tc>
          <w:tcPr>
            <w:tcW w:w="2356" w:type="pct"/>
            <w:shd w:val="clear" w:color="auto" w:fill="D9E2F3" w:themeFill="accent1" w:themeFillTint="33"/>
            <w:hideMark/>
          </w:tcPr>
          <w:p w14:paraId="211EE87A" w14:textId="77777777" w:rsidR="00A57B34" w:rsidRPr="00E827C7" w:rsidRDefault="00A57B34" w:rsidP="008924CA">
            <w:pPr>
              <w:spacing w:line="360" w:lineRule="auto"/>
              <w:jc w:val="both"/>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Constant</w:t>
            </w:r>
          </w:p>
        </w:tc>
        <w:tc>
          <w:tcPr>
            <w:tcW w:w="544" w:type="pct"/>
            <w:hideMark/>
          </w:tcPr>
          <w:p w14:paraId="39C947C5"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22.63</w:t>
            </w:r>
          </w:p>
        </w:tc>
        <w:tc>
          <w:tcPr>
            <w:tcW w:w="516" w:type="pct"/>
            <w:hideMark/>
          </w:tcPr>
          <w:p w14:paraId="79D313EC"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2.70</w:t>
            </w:r>
          </w:p>
        </w:tc>
        <w:tc>
          <w:tcPr>
            <w:tcW w:w="515" w:type="pct"/>
            <w:hideMark/>
          </w:tcPr>
          <w:p w14:paraId="31B05041"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w:t>
            </w:r>
          </w:p>
        </w:tc>
        <w:tc>
          <w:tcPr>
            <w:tcW w:w="515" w:type="pct"/>
            <w:hideMark/>
          </w:tcPr>
          <w:p w14:paraId="5403897B"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8.38</w:t>
            </w:r>
          </w:p>
        </w:tc>
        <w:tc>
          <w:tcPr>
            <w:tcW w:w="555" w:type="pct"/>
            <w:hideMark/>
          </w:tcPr>
          <w:p w14:paraId="26BE128B"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&lt;.001</w:t>
            </w:r>
          </w:p>
        </w:tc>
      </w:tr>
      <w:tr w:rsidR="00E827C7" w:rsidRPr="00E827C7" w14:paraId="6329C3E9" w14:textId="77777777" w:rsidTr="008924CA">
        <w:tc>
          <w:tcPr>
            <w:tcW w:w="2356" w:type="pct"/>
            <w:shd w:val="clear" w:color="auto" w:fill="D9E2F3" w:themeFill="accent1" w:themeFillTint="33"/>
            <w:hideMark/>
          </w:tcPr>
          <w:p w14:paraId="2270CFC3" w14:textId="77777777" w:rsidR="00A57B34" w:rsidRPr="00E827C7" w:rsidRDefault="00A57B34" w:rsidP="008924CA">
            <w:pPr>
              <w:spacing w:line="360" w:lineRule="auto"/>
              <w:jc w:val="both"/>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lastRenderedPageBreak/>
              <w:t>Gender</w:t>
            </w:r>
          </w:p>
        </w:tc>
        <w:tc>
          <w:tcPr>
            <w:tcW w:w="544" w:type="pct"/>
            <w:hideMark/>
          </w:tcPr>
          <w:p w14:paraId="5CDF2CCD"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0.48</w:t>
            </w:r>
          </w:p>
        </w:tc>
        <w:tc>
          <w:tcPr>
            <w:tcW w:w="516" w:type="pct"/>
            <w:hideMark/>
          </w:tcPr>
          <w:p w14:paraId="78C6A0D1"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0.49</w:t>
            </w:r>
          </w:p>
        </w:tc>
        <w:tc>
          <w:tcPr>
            <w:tcW w:w="515" w:type="pct"/>
            <w:hideMark/>
          </w:tcPr>
          <w:p w14:paraId="771464CA"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0.07</w:t>
            </w:r>
          </w:p>
        </w:tc>
        <w:tc>
          <w:tcPr>
            <w:tcW w:w="515" w:type="pct"/>
            <w:hideMark/>
          </w:tcPr>
          <w:p w14:paraId="646B84C1"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0.97</w:t>
            </w:r>
          </w:p>
        </w:tc>
        <w:tc>
          <w:tcPr>
            <w:tcW w:w="555" w:type="pct"/>
            <w:hideMark/>
          </w:tcPr>
          <w:p w14:paraId="0BD0C532"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.336</w:t>
            </w:r>
          </w:p>
        </w:tc>
      </w:tr>
      <w:tr w:rsidR="00E827C7" w:rsidRPr="00E827C7" w14:paraId="71783C8D" w14:textId="77777777" w:rsidTr="008924CA">
        <w:tc>
          <w:tcPr>
            <w:tcW w:w="2356" w:type="pct"/>
            <w:shd w:val="clear" w:color="auto" w:fill="D9E2F3" w:themeFill="accent1" w:themeFillTint="33"/>
            <w:hideMark/>
          </w:tcPr>
          <w:p w14:paraId="544DBD0D" w14:textId="77777777" w:rsidR="00A57B34" w:rsidRPr="00E827C7" w:rsidRDefault="00A57B34" w:rsidP="008924CA">
            <w:pPr>
              <w:spacing w:line="360" w:lineRule="auto"/>
              <w:jc w:val="both"/>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Age</w:t>
            </w:r>
          </w:p>
        </w:tc>
        <w:tc>
          <w:tcPr>
            <w:tcW w:w="544" w:type="pct"/>
            <w:hideMark/>
          </w:tcPr>
          <w:p w14:paraId="455A7BC8"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-0.01</w:t>
            </w:r>
          </w:p>
        </w:tc>
        <w:tc>
          <w:tcPr>
            <w:tcW w:w="516" w:type="pct"/>
            <w:hideMark/>
          </w:tcPr>
          <w:p w14:paraId="3B4B7C40"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0.15</w:t>
            </w:r>
          </w:p>
        </w:tc>
        <w:tc>
          <w:tcPr>
            <w:tcW w:w="515" w:type="pct"/>
            <w:hideMark/>
          </w:tcPr>
          <w:p w14:paraId="59EA7FDC"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-0.01</w:t>
            </w:r>
          </w:p>
        </w:tc>
        <w:tc>
          <w:tcPr>
            <w:tcW w:w="515" w:type="pct"/>
            <w:hideMark/>
          </w:tcPr>
          <w:p w14:paraId="1438083F"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-0.09</w:t>
            </w:r>
          </w:p>
        </w:tc>
        <w:tc>
          <w:tcPr>
            <w:tcW w:w="555" w:type="pct"/>
            <w:hideMark/>
          </w:tcPr>
          <w:p w14:paraId="44A10CE3"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.925</w:t>
            </w:r>
          </w:p>
        </w:tc>
      </w:tr>
      <w:tr w:rsidR="00E827C7" w:rsidRPr="00E827C7" w14:paraId="33A14B80" w14:textId="77777777" w:rsidTr="008924CA">
        <w:tc>
          <w:tcPr>
            <w:tcW w:w="2356" w:type="pct"/>
            <w:shd w:val="clear" w:color="auto" w:fill="D9E2F3" w:themeFill="accent1" w:themeFillTint="33"/>
            <w:hideMark/>
          </w:tcPr>
          <w:p w14:paraId="2CB7D021" w14:textId="77777777" w:rsidR="00A57B34" w:rsidRPr="00E827C7" w:rsidRDefault="00A57B34" w:rsidP="008924CA">
            <w:pPr>
              <w:spacing w:line="360" w:lineRule="auto"/>
              <w:jc w:val="both"/>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Year of study</w:t>
            </w:r>
          </w:p>
        </w:tc>
        <w:tc>
          <w:tcPr>
            <w:tcW w:w="544" w:type="pct"/>
            <w:hideMark/>
          </w:tcPr>
          <w:p w14:paraId="22B852D7"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-0.53</w:t>
            </w:r>
          </w:p>
        </w:tc>
        <w:tc>
          <w:tcPr>
            <w:tcW w:w="516" w:type="pct"/>
            <w:hideMark/>
          </w:tcPr>
          <w:p w14:paraId="144EB536"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0.59</w:t>
            </w:r>
          </w:p>
        </w:tc>
        <w:tc>
          <w:tcPr>
            <w:tcW w:w="515" w:type="pct"/>
            <w:hideMark/>
          </w:tcPr>
          <w:p w14:paraId="2A8A8773"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-0.08</w:t>
            </w:r>
          </w:p>
        </w:tc>
        <w:tc>
          <w:tcPr>
            <w:tcW w:w="515" w:type="pct"/>
            <w:hideMark/>
          </w:tcPr>
          <w:p w14:paraId="1F7B0E69"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-0.89</w:t>
            </w:r>
          </w:p>
        </w:tc>
        <w:tc>
          <w:tcPr>
            <w:tcW w:w="555" w:type="pct"/>
            <w:hideMark/>
          </w:tcPr>
          <w:p w14:paraId="4EE49E7F"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.376</w:t>
            </w:r>
          </w:p>
        </w:tc>
      </w:tr>
      <w:tr w:rsidR="00E827C7" w:rsidRPr="00E827C7" w14:paraId="06CECE16" w14:textId="77777777" w:rsidTr="008924CA">
        <w:tc>
          <w:tcPr>
            <w:tcW w:w="2356" w:type="pct"/>
            <w:shd w:val="clear" w:color="auto" w:fill="D9E2F3" w:themeFill="accent1" w:themeFillTint="33"/>
            <w:hideMark/>
          </w:tcPr>
          <w:p w14:paraId="4DDA2D6A" w14:textId="77777777" w:rsidR="00A57B34" w:rsidRPr="00E827C7" w:rsidRDefault="00A57B34" w:rsidP="008924CA">
            <w:pPr>
              <w:spacing w:line="360" w:lineRule="auto"/>
              <w:jc w:val="both"/>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Family background</w:t>
            </w:r>
          </w:p>
        </w:tc>
        <w:tc>
          <w:tcPr>
            <w:tcW w:w="544" w:type="pct"/>
            <w:hideMark/>
          </w:tcPr>
          <w:p w14:paraId="460D1306"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-0.29</w:t>
            </w:r>
          </w:p>
        </w:tc>
        <w:tc>
          <w:tcPr>
            <w:tcW w:w="516" w:type="pct"/>
            <w:hideMark/>
          </w:tcPr>
          <w:p w14:paraId="7E9FAD02"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0.59</w:t>
            </w:r>
          </w:p>
        </w:tc>
        <w:tc>
          <w:tcPr>
            <w:tcW w:w="515" w:type="pct"/>
            <w:hideMark/>
          </w:tcPr>
          <w:p w14:paraId="4EBD3224"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-0.04</w:t>
            </w:r>
          </w:p>
        </w:tc>
        <w:tc>
          <w:tcPr>
            <w:tcW w:w="515" w:type="pct"/>
            <w:hideMark/>
          </w:tcPr>
          <w:p w14:paraId="4B397834"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-0.49</w:t>
            </w:r>
          </w:p>
        </w:tc>
        <w:tc>
          <w:tcPr>
            <w:tcW w:w="555" w:type="pct"/>
            <w:hideMark/>
          </w:tcPr>
          <w:p w14:paraId="76C536A8"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.622</w:t>
            </w:r>
          </w:p>
        </w:tc>
      </w:tr>
      <w:tr w:rsidR="00E827C7" w:rsidRPr="00E827C7" w14:paraId="1306C890" w14:textId="77777777" w:rsidTr="008924CA">
        <w:tc>
          <w:tcPr>
            <w:tcW w:w="2356" w:type="pct"/>
            <w:shd w:val="clear" w:color="auto" w:fill="D9E2F3" w:themeFill="accent1" w:themeFillTint="33"/>
            <w:hideMark/>
          </w:tcPr>
          <w:p w14:paraId="46C4C9A1" w14:textId="77777777" w:rsidR="00A57B34" w:rsidRPr="00E827C7" w:rsidRDefault="00A57B34" w:rsidP="008924CA">
            <w:pPr>
              <w:spacing w:line="360" w:lineRule="auto"/>
              <w:jc w:val="both"/>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Place of residence</w:t>
            </w:r>
          </w:p>
        </w:tc>
        <w:tc>
          <w:tcPr>
            <w:tcW w:w="544" w:type="pct"/>
            <w:hideMark/>
          </w:tcPr>
          <w:p w14:paraId="067802B4"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0.59</w:t>
            </w:r>
          </w:p>
        </w:tc>
        <w:tc>
          <w:tcPr>
            <w:tcW w:w="516" w:type="pct"/>
            <w:hideMark/>
          </w:tcPr>
          <w:p w14:paraId="450C655E"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0.34</w:t>
            </w:r>
          </w:p>
        </w:tc>
        <w:tc>
          <w:tcPr>
            <w:tcW w:w="515" w:type="pct"/>
            <w:hideMark/>
          </w:tcPr>
          <w:p w14:paraId="0799A6E9"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0.16</w:t>
            </w:r>
          </w:p>
        </w:tc>
        <w:tc>
          <w:tcPr>
            <w:tcW w:w="515" w:type="pct"/>
            <w:hideMark/>
          </w:tcPr>
          <w:p w14:paraId="2CA4F15E"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1.72</w:t>
            </w:r>
          </w:p>
        </w:tc>
        <w:tc>
          <w:tcPr>
            <w:tcW w:w="555" w:type="pct"/>
            <w:hideMark/>
          </w:tcPr>
          <w:p w14:paraId="4ECC69E1"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.088</w:t>
            </w:r>
          </w:p>
        </w:tc>
      </w:tr>
      <w:tr w:rsidR="00E827C7" w:rsidRPr="00E827C7" w14:paraId="46CD5B22" w14:textId="77777777" w:rsidTr="008924CA">
        <w:tc>
          <w:tcPr>
            <w:tcW w:w="2356" w:type="pct"/>
            <w:shd w:val="clear" w:color="auto" w:fill="D9E2F3" w:themeFill="accent1" w:themeFillTint="33"/>
            <w:hideMark/>
          </w:tcPr>
          <w:p w14:paraId="0648FE67" w14:textId="77777777" w:rsidR="00A57B34" w:rsidRPr="00E827C7" w:rsidRDefault="00A57B34" w:rsidP="008924CA">
            <w:pPr>
              <w:spacing w:line="360" w:lineRule="auto"/>
              <w:jc w:val="both"/>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 xml:space="preserve">Heard about </w:t>
            </w:r>
            <w:proofErr w:type="spellStart"/>
            <w:r w:rsidRPr="00E827C7">
              <w:rPr>
                <w:rFonts w:ascii="Times New Roman" w:hAnsi="Times New Roman" w:cs="Times New Roman"/>
                <w:b/>
                <w:bCs/>
                <w:color w:val="000000" w:themeColor="text1"/>
                <w:sz w:val="24"/>
                <w:szCs w:val="24"/>
              </w:rPr>
              <w:t>agripreneurship</w:t>
            </w:r>
            <w:proofErr w:type="spellEnd"/>
          </w:p>
        </w:tc>
        <w:tc>
          <w:tcPr>
            <w:tcW w:w="544" w:type="pct"/>
            <w:hideMark/>
          </w:tcPr>
          <w:p w14:paraId="395470D6"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6.04</w:t>
            </w:r>
          </w:p>
        </w:tc>
        <w:tc>
          <w:tcPr>
            <w:tcW w:w="516" w:type="pct"/>
            <w:hideMark/>
          </w:tcPr>
          <w:p w14:paraId="77799D27"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1.14</w:t>
            </w:r>
          </w:p>
        </w:tc>
        <w:tc>
          <w:tcPr>
            <w:tcW w:w="515" w:type="pct"/>
            <w:hideMark/>
          </w:tcPr>
          <w:p w14:paraId="0F8ED217"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0.70</w:t>
            </w:r>
          </w:p>
        </w:tc>
        <w:tc>
          <w:tcPr>
            <w:tcW w:w="515" w:type="pct"/>
            <w:hideMark/>
          </w:tcPr>
          <w:p w14:paraId="751E65A3"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5.31</w:t>
            </w:r>
          </w:p>
        </w:tc>
        <w:tc>
          <w:tcPr>
            <w:tcW w:w="555" w:type="pct"/>
            <w:hideMark/>
          </w:tcPr>
          <w:p w14:paraId="2A2E21A4"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&lt;.001</w:t>
            </w:r>
          </w:p>
        </w:tc>
      </w:tr>
      <w:tr w:rsidR="00E827C7" w:rsidRPr="00E827C7" w14:paraId="14A320E0" w14:textId="77777777" w:rsidTr="008924CA">
        <w:tc>
          <w:tcPr>
            <w:tcW w:w="2356" w:type="pct"/>
            <w:shd w:val="clear" w:color="auto" w:fill="D9E2F3" w:themeFill="accent1" w:themeFillTint="33"/>
            <w:hideMark/>
          </w:tcPr>
          <w:p w14:paraId="4F2DF6ED" w14:textId="77777777" w:rsidR="00A57B34" w:rsidRPr="00E827C7" w:rsidRDefault="00A57B34" w:rsidP="008924CA">
            <w:pPr>
              <w:spacing w:line="360" w:lineRule="auto"/>
              <w:jc w:val="both"/>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Source of information</w:t>
            </w:r>
          </w:p>
        </w:tc>
        <w:tc>
          <w:tcPr>
            <w:tcW w:w="544" w:type="pct"/>
            <w:hideMark/>
          </w:tcPr>
          <w:p w14:paraId="3166B831"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0.09</w:t>
            </w:r>
          </w:p>
        </w:tc>
        <w:tc>
          <w:tcPr>
            <w:tcW w:w="516" w:type="pct"/>
            <w:hideMark/>
          </w:tcPr>
          <w:p w14:paraId="4CB4FE53"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0.31</w:t>
            </w:r>
          </w:p>
        </w:tc>
        <w:tc>
          <w:tcPr>
            <w:tcW w:w="515" w:type="pct"/>
            <w:hideMark/>
          </w:tcPr>
          <w:p w14:paraId="568D9DC7"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0.04</w:t>
            </w:r>
          </w:p>
        </w:tc>
        <w:tc>
          <w:tcPr>
            <w:tcW w:w="515" w:type="pct"/>
            <w:hideMark/>
          </w:tcPr>
          <w:p w14:paraId="11EABD27"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0.29</w:t>
            </w:r>
          </w:p>
        </w:tc>
        <w:tc>
          <w:tcPr>
            <w:tcW w:w="555" w:type="pct"/>
            <w:hideMark/>
          </w:tcPr>
          <w:p w14:paraId="75673D2F"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.770</w:t>
            </w:r>
          </w:p>
        </w:tc>
      </w:tr>
      <w:tr w:rsidR="00E827C7" w:rsidRPr="00E827C7" w14:paraId="7A196D25" w14:textId="77777777" w:rsidTr="008924CA">
        <w:tc>
          <w:tcPr>
            <w:tcW w:w="2356" w:type="pct"/>
            <w:shd w:val="clear" w:color="auto" w:fill="D9E2F3" w:themeFill="accent1" w:themeFillTint="33"/>
            <w:hideMark/>
          </w:tcPr>
          <w:p w14:paraId="5130DAF6" w14:textId="77777777" w:rsidR="00A57B34" w:rsidRPr="00E827C7" w:rsidRDefault="00A57B34" w:rsidP="008924CA">
            <w:pPr>
              <w:spacing w:line="360" w:lineRule="auto"/>
              <w:jc w:val="both"/>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Knowledge about govt schemes</w:t>
            </w:r>
          </w:p>
        </w:tc>
        <w:tc>
          <w:tcPr>
            <w:tcW w:w="544" w:type="pct"/>
            <w:hideMark/>
          </w:tcPr>
          <w:p w14:paraId="5A4CE1F0"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0.13</w:t>
            </w:r>
          </w:p>
        </w:tc>
        <w:tc>
          <w:tcPr>
            <w:tcW w:w="516" w:type="pct"/>
            <w:hideMark/>
          </w:tcPr>
          <w:p w14:paraId="52849478"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0.59</w:t>
            </w:r>
          </w:p>
        </w:tc>
        <w:tc>
          <w:tcPr>
            <w:tcW w:w="515" w:type="pct"/>
            <w:hideMark/>
          </w:tcPr>
          <w:p w14:paraId="4340A918"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0.02</w:t>
            </w:r>
          </w:p>
        </w:tc>
        <w:tc>
          <w:tcPr>
            <w:tcW w:w="515" w:type="pct"/>
            <w:hideMark/>
          </w:tcPr>
          <w:p w14:paraId="22A3CDF8"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0.22</w:t>
            </w:r>
          </w:p>
        </w:tc>
        <w:tc>
          <w:tcPr>
            <w:tcW w:w="555" w:type="pct"/>
            <w:hideMark/>
          </w:tcPr>
          <w:p w14:paraId="01216B2E" w14:textId="77777777" w:rsidR="00A57B34" w:rsidRPr="00E827C7" w:rsidRDefault="00A57B34" w:rsidP="008924CA">
            <w:pPr>
              <w:spacing w:line="360" w:lineRule="auto"/>
              <w:jc w:val="center"/>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.830</w:t>
            </w:r>
          </w:p>
        </w:tc>
      </w:tr>
    </w:tbl>
    <w:p w14:paraId="3C7D0F71"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i/>
          <w:iCs/>
          <w:color w:val="000000" w:themeColor="text1"/>
          <w:sz w:val="24"/>
          <w:szCs w:val="24"/>
          <w:lang w:val="en-IN"/>
        </w:rPr>
        <w:t>Note. B = unstandardized coefficient; SE B = standard error; β = standardized coefficient; p = significance level.</w:t>
      </w:r>
    </w:p>
    <w:p w14:paraId="24C62FC1"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 xml:space="preserve">The overall regression model was statistically significant, </w:t>
      </w:r>
      <w:proofErr w:type="gramStart"/>
      <w:r w:rsidRPr="00E827C7">
        <w:rPr>
          <w:rFonts w:ascii="Times New Roman" w:hAnsi="Times New Roman" w:cs="Times New Roman"/>
          <w:color w:val="000000" w:themeColor="text1"/>
          <w:sz w:val="24"/>
          <w:szCs w:val="24"/>
          <w:lang w:val="en-IN"/>
        </w:rPr>
        <w:t>F(</w:t>
      </w:r>
      <w:proofErr w:type="gramEnd"/>
      <w:r w:rsidRPr="00E827C7">
        <w:rPr>
          <w:rFonts w:ascii="Times New Roman" w:hAnsi="Times New Roman" w:cs="Times New Roman"/>
          <w:color w:val="000000" w:themeColor="text1"/>
          <w:sz w:val="24"/>
          <w:szCs w:val="24"/>
          <w:lang w:val="en-IN"/>
        </w:rPr>
        <w:t xml:space="preserve">8, 91) = 12.43, p &lt; .001, and explained a substantial proportion of variance with R² = 0.523 and Adjusted R² = 0.481. This indicates that the included predictors collectively account for 52.3% of the variability in perception and attitude. Among all predictors, prior awareness of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emerged as the only statistically significant variable (B = 6.04, β = 0.70, p &lt; .001). This exceptionally strong standardized coefficient indicates that awareness is the dominant predictor, far outweighing demographic or informational variables. A one-unit increase in awareness results in an estimated 6.04-point rise in perception scores, emphasizing awareness as the most influential determinant.</w:t>
      </w:r>
    </w:p>
    <w:p w14:paraId="6222C073"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 xml:space="preserve">Place of residence demonstrated a marginal effect (B = 0.59, p = .088), suggesting that students from urban or semi-urban areas may exhibit slightly more </w:t>
      </w:r>
      <w:proofErr w:type="spellStart"/>
      <w:r w:rsidRPr="00E827C7">
        <w:rPr>
          <w:rFonts w:ascii="Times New Roman" w:hAnsi="Times New Roman" w:cs="Times New Roman"/>
          <w:color w:val="000000" w:themeColor="text1"/>
          <w:sz w:val="24"/>
          <w:szCs w:val="24"/>
          <w:lang w:val="en-IN"/>
        </w:rPr>
        <w:t>favorable</w:t>
      </w:r>
      <w:proofErr w:type="spellEnd"/>
      <w:r w:rsidRPr="00E827C7">
        <w:rPr>
          <w:rFonts w:ascii="Times New Roman" w:hAnsi="Times New Roman" w:cs="Times New Roman"/>
          <w:color w:val="000000" w:themeColor="text1"/>
          <w:sz w:val="24"/>
          <w:szCs w:val="24"/>
          <w:lang w:val="en-IN"/>
        </w:rPr>
        <w:t xml:space="preserve"> views, likely due to greater exposure to entrepreneurial activity or better access to support infrastructure. Although this effect does not reach statistical significance, it may signal an emerging pattern worthy of further investigation. All other predictors gender, age, year of study, family background, source of information, and knowledge of schemes showed non-significant effects (p &gt; .05), indicating that neither demographic characteristics nor general informational exposure independently influence perceptions unless paired with deeper conceptual awareness.</w:t>
      </w:r>
    </w:p>
    <w:p w14:paraId="6A3DE49A" w14:textId="5D7A6418" w:rsidR="00A57B34" w:rsidRPr="00E827C7" w:rsidRDefault="00A57B34" w:rsidP="00A57B34">
      <w:pPr>
        <w:spacing w:before="240" w:line="48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rPr>
        <w:lastRenderedPageBreak/>
        <w:t xml:space="preserve">Graphical interpretation of the regression model is presented in Figure </w:t>
      </w:r>
      <w:r w:rsidR="00D8434B" w:rsidRPr="00E827C7">
        <w:rPr>
          <w:rFonts w:ascii="Times New Roman" w:hAnsi="Times New Roman" w:cs="Times New Roman"/>
          <w:color w:val="000000" w:themeColor="text1"/>
          <w:sz w:val="24"/>
          <w:szCs w:val="24"/>
        </w:rPr>
        <w:t>3</w:t>
      </w:r>
      <w:r w:rsidRPr="00E827C7">
        <w:rPr>
          <w:rFonts w:ascii="Times New Roman" w:hAnsi="Times New Roman" w:cs="Times New Roman"/>
          <w:color w:val="000000" w:themeColor="text1"/>
          <w:sz w:val="24"/>
          <w:szCs w:val="24"/>
        </w:rPr>
        <w:t xml:space="preserve">, which depicts the unstandardized regression coefficients along with their variability estimates. The visualization clearly highlights that awareness of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 xml:space="preserve"> is the only statistically significant predictor influencing students’ perceptions and attitudes, as its coefficient remains distinctly above zero, while the variability intervals for all other predictors cross zero, indicating non-significance.</w:t>
      </w:r>
      <w:r w:rsidRPr="00E827C7">
        <w:rPr>
          <w:noProof/>
          <w:color w:val="000000" w:themeColor="text1"/>
        </w:rPr>
        <w:drawing>
          <wp:inline distT="0" distB="0" distL="0" distR="0" wp14:anchorId="01887B64" wp14:editId="6BF25908">
            <wp:extent cx="5730875" cy="3025140"/>
            <wp:effectExtent l="0" t="0" r="3175" b="3810"/>
            <wp:docPr id="18402037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3602" cy="3026579"/>
                    </a:xfrm>
                    <a:prstGeom prst="rect">
                      <a:avLst/>
                    </a:prstGeom>
                    <a:noFill/>
                    <a:ln>
                      <a:noFill/>
                    </a:ln>
                  </pic:spPr>
                </pic:pic>
              </a:graphicData>
            </a:graphic>
          </wp:inline>
        </w:drawing>
      </w:r>
    </w:p>
    <w:p w14:paraId="6377C634" w14:textId="2107F650" w:rsidR="00A57B34" w:rsidRPr="00E827C7" w:rsidRDefault="00A57B34" w:rsidP="00A57B34">
      <w:pPr>
        <w:spacing w:before="240" w:line="360" w:lineRule="auto"/>
        <w:jc w:val="both"/>
        <w:rPr>
          <w:rFonts w:ascii="Times New Roman" w:hAnsi="Times New Roman" w:cs="Times New Roman"/>
          <w:i/>
          <w:iCs/>
          <w:color w:val="000000" w:themeColor="text1"/>
          <w:sz w:val="24"/>
          <w:szCs w:val="24"/>
        </w:rPr>
      </w:pPr>
      <w:r w:rsidRPr="00E827C7">
        <w:rPr>
          <w:rFonts w:ascii="Times New Roman" w:hAnsi="Times New Roman" w:cs="Times New Roman"/>
          <w:b/>
          <w:bCs/>
          <w:color w:val="000000" w:themeColor="text1"/>
          <w:sz w:val="24"/>
          <w:szCs w:val="24"/>
        </w:rPr>
        <w:t xml:space="preserve">Figure </w:t>
      </w:r>
      <w:r w:rsidR="00D8434B" w:rsidRPr="00E827C7">
        <w:rPr>
          <w:rFonts w:ascii="Times New Roman" w:hAnsi="Times New Roman" w:cs="Times New Roman"/>
          <w:b/>
          <w:bCs/>
          <w:color w:val="000000" w:themeColor="text1"/>
          <w:sz w:val="24"/>
          <w:szCs w:val="24"/>
        </w:rPr>
        <w:t>3:</w:t>
      </w:r>
      <w:r w:rsidRPr="00E827C7">
        <w:rPr>
          <w:rFonts w:ascii="Times New Roman" w:hAnsi="Times New Roman" w:cs="Times New Roman"/>
          <w:b/>
          <w:bCs/>
          <w:color w:val="000000" w:themeColor="text1"/>
          <w:sz w:val="24"/>
          <w:szCs w:val="24"/>
        </w:rPr>
        <w:t xml:space="preserve"> Forest plot illustrating the unstandardized regression coefficients and their associated variability for the predictors included in the multiple linear regression model. </w:t>
      </w:r>
      <w:r w:rsidRPr="00E827C7">
        <w:rPr>
          <w:rFonts w:ascii="Times New Roman" w:hAnsi="Times New Roman" w:cs="Times New Roman"/>
          <w:i/>
          <w:iCs/>
          <w:color w:val="000000" w:themeColor="text1"/>
          <w:sz w:val="24"/>
          <w:szCs w:val="24"/>
        </w:rPr>
        <w:t xml:space="preserve">The plot shows that awareness of </w:t>
      </w:r>
      <w:proofErr w:type="spellStart"/>
      <w:r w:rsidRPr="00E827C7">
        <w:rPr>
          <w:rFonts w:ascii="Times New Roman" w:hAnsi="Times New Roman" w:cs="Times New Roman"/>
          <w:i/>
          <w:iCs/>
          <w:color w:val="000000" w:themeColor="text1"/>
          <w:sz w:val="24"/>
          <w:szCs w:val="24"/>
        </w:rPr>
        <w:t>agripreneurship</w:t>
      </w:r>
      <w:proofErr w:type="spellEnd"/>
      <w:r w:rsidRPr="00E827C7">
        <w:rPr>
          <w:rFonts w:ascii="Times New Roman" w:hAnsi="Times New Roman" w:cs="Times New Roman"/>
          <w:i/>
          <w:iCs/>
          <w:color w:val="000000" w:themeColor="text1"/>
          <w:sz w:val="24"/>
          <w:szCs w:val="24"/>
        </w:rPr>
        <w:t xml:space="preserve"> is the only significant determinant of perception and attitude, whereas the intervals for all other predictors cross zero, indicating non-significance.</w:t>
      </w:r>
    </w:p>
    <w:p w14:paraId="04FBA611" w14:textId="77777777" w:rsidR="00A57B34" w:rsidRPr="00E827C7" w:rsidRDefault="00A57B34" w:rsidP="00A57B34">
      <w:pPr>
        <w:spacing w:before="240" w:line="360" w:lineRule="auto"/>
        <w:jc w:val="both"/>
        <w:rPr>
          <w:rFonts w:ascii="Times New Roman" w:hAnsi="Times New Roman" w:cs="Times New Roman"/>
          <w:b/>
          <w:bCs/>
          <w:color w:val="000000" w:themeColor="text1"/>
          <w:sz w:val="24"/>
          <w:szCs w:val="24"/>
          <w:lang w:val="en-IN"/>
        </w:rPr>
      </w:pPr>
      <w:bookmarkStart w:id="14" w:name="bm_4_5_implications_for_extension_5b5fff"/>
      <w:bookmarkStart w:id="15" w:name="bm_5_conclusions_and_recommendations"/>
      <w:bookmarkEnd w:id="13"/>
      <w:r w:rsidRPr="00E827C7">
        <w:rPr>
          <w:rFonts w:ascii="Times New Roman" w:hAnsi="Times New Roman" w:cs="Times New Roman"/>
          <w:b/>
          <w:bCs/>
          <w:color w:val="000000" w:themeColor="text1"/>
          <w:sz w:val="24"/>
          <w:szCs w:val="24"/>
          <w:lang w:val="en-IN"/>
        </w:rPr>
        <w:t>4. Discussion</w:t>
      </w:r>
    </w:p>
    <w:p w14:paraId="451E803D" w14:textId="77777777" w:rsidR="00A57B34" w:rsidRPr="00E827C7" w:rsidRDefault="00A57B34" w:rsidP="00A57B34">
      <w:pPr>
        <w:spacing w:before="240" w:line="360" w:lineRule="auto"/>
        <w:jc w:val="both"/>
        <w:rPr>
          <w:rFonts w:ascii="Times New Roman" w:hAnsi="Times New Roman" w:cs="Times New Roman"/>
          <w:b/>
          <w:bCs/>
          <w:color w:val="000000" w:themeColor="text1"/>
          <w:sz w:val="24"/>
          <w:szCs w:val="24"/>
          <w:lang w:val="en-IN"/>
        </w:rPr>
      </w:pPr>
      <w:r w:rsidRPr="00E827C7">
        <w:rPr>
          <w:rFonts w:ascii="Times New Roman" w:hAnsi="Times New Roman" w:cs="Times New Roman"/>
          <w:b/>
          <w:bCs/>
          <w:color w:val="000000" w:themeColor="text1"/>
          <w:sz w:val="24"/>
          <w:szCs w:val="24"/>
          <w:lang w:val="en-IN"/>
        </w:rPr>
        <w:t>4.1 Interpretation of Descriptive Statistics of Sample Characteristics</w:t>
      </w:r>
    </w:p>
    <w:p w14:paraId="3E2A887D"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 xml:space="preserve">The sample consists of young agricultural students who are largely at an early stage of their professional and academic journey. Most respondents were in the early years of study, and a majority came from agricultural households, indicating familiarity with agricultural practices. Gender distribution was slightly female-skewed. General awareness of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was very </w:t>
      </w:r>
      <w:r w:rsidRPr="00E827C7">
        <w:rPr>
          <w:rFonts w:ascii="Times New Roman" w:hAnsi="Times New Roman" w:cs="Times New Roman"/>
          <w:color w:val="000000" w:themeColor="text1"/>
          <w:sz w:val="24"/>
          <w:szCs w:val="24"/>
          <w:lang w:val="en-IN"/>
        </w:rPr>
        <w:lastRenderedPageBreak/>
        <w:t xml:space="preserve">high across the group, although knowledge of government schemes remained only moderate. Sources of information about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varied widely among students. This pattern aligns with entrepreneurship literature, which highlights awareness and knowledge as foundational cognitive elements influencing entrepreneurial intention and </w:t>
      </w:r>
      <w:proofErr w:type="spellStart"/>
      <w:r w:rsidRPr="00E827C7">
        <w:rPr>
          <w:rFonts w:ascii="Times New Roman" w:hAnsi="Times New Roman" w:cs="Times New Roman"/>
          <w:color w:val="000000" w:themeColor="text1"/>
          <w:sz w:val="24"/>
          <w:szCs w:val="24"/>
          <w:lang w:val="en-IN"/>
        </w:rPr>
        <w:t>behavior</w:t>
      </w:r>
      <w:proofErr w:type="spellEnd"/>
      <w:r w:rsidRPr="00E827C7">
        <w:rPr>
          <w:rFonts w:ascii="Times New Roman" w:hAnsi="Times New Roman" w:cs="Times New Roman"/>
          <w:color w:val="000000" w:themeColor="text1"/>
          <w:sz w:val="24"/>
          <w:szCs w:val="24"/>
          <w:lang w:val="en-IN"/>
        </w:rPr>
        <w:t xml:space="preserve"> [14] [15].</w:t>
      </w:r>
    </w:p>
    <w:p w14:paraId="00C30592"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 xml:space="preserve">For SAIRAM, these descriptive patterns suggest a strong opportunity for targeted intervention: students are young, receptive, and have some agricultural exposure, yet lack clarity on how to navigate support mechanisms. In Manipur’s broader context characterized by a predominantly rural economy and limited agribusiness infrastructure the combination of agricultural family backgrounds and high conceptual awareness signals readiness for capacity-building initiatives. However, the moderate level of scheme knowledge highlights a communication gap: students may know about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conceptually but may not fully understand how to operationalize government programs such as incubation and credit-linkage schemes. To address this, SAIRAM can integrate practical modules, scheme walkthroughs, and local internship placements that mirror Manipur’s </w:t>
      </w:r>
      <w:proofErr w:type="spellStart"/>
      <w:r w:rsidRPr="00E827C7">
        <w:rPr>
          <w:rFonts w:ascii="Times New Roman" w:hAnsi="Times New Roman" w:cs="Times New Roman"/>
          <w:color w:val="000000" w:themeColor="text1"/>
          <w:sz w:val="24"/>
          <w:szCs w:val="24"/>
          <w:lang w:val="en-IN"/>
        </w:rPr>
        <w:t>agro</w:t>
      </w:r>
      <w:proofErr w:type="spellEnd"/>
      <w:r w:rsidRPr="00E827C7">
        <w:rPr>
          <w:rFonts w:ascii="Times New Roman" w:hAnsi="Times New Roman" w:cs="Times New Roman"/>
          <w:color w:val="000000" w:themeColor="text1"/>
          <w:sz w:val="24"/>
          <w:szCs w:val="24"/>
          <w:lang w:val="en-IN"/>
        </w:rPr>
        <w:t>-ecological strengths, including horticulture, floriculture, aquaculture, and small-scale food processing.</w:t>
      </w:r>
    </w:p>
    <w:p w14:paraId="54B96391" w14:textId="77777777" w:rsidR="00A57B34" w:rsidRPr="00E827C7" w:rsidRDefault="00A57B34" w:rsidP="00A57B34">
      <w:pPr>
        <w:spacing w:before="240" w:line="360" w:lineRule="auto"/>
        <w:jc w:val="both"/>
        <w:rPr>
          <w:rFonts w:ascii="Times New Roman" w:hAnsi="Times New Roman" w:cs="Times New Roman"/>
          <w:b/>
          <w:bCs/>
          <w:color w:val="000000" w:themeColor="text1"/>
          <w:sz w:val="24"/>
          <w:szCs w:val="24"/>
          <w:lang w:val="en-IN"/>
        </w:rPr>
      </w:pPr>
      <w:r w:rsidRPr="00E827C7">
        <w:rPr>
          <w:rFonts w:ascii="Times New Roman" w:hAnsi="Times New Roman" w:cs="Times New Roman"/>
          <w:b/>
          <w:bCs/>
          <w:color w:val="000000" w:themeColor="text1"/>
          <w:sz w:val="24"/>
          <w:szCs w:val="24"/>
          <w:lang w:val="en-IN"/>
        </w:rPr>
        <w:t>4.2 Interpretation of Correlation Findings</w:t>
      </w:r>
    </w:p>
    <w:p w14:paraId="672D8DFD"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 xml:space="preserve">The correlation patterns reveal that demographic variables such as gender, family background, and place of residence show no meaningful association with students’ perceptions and attitudes toward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In contrast, exposure-related variables such as awareness, information sources, and scheme knowledge show positive associations of varying strength, with awareness demonstrating the strongest relationship. This pattern differs from earlier studies that attributed entrepreneurial differences primarily to demographic factors [16].</w:t>
      </w:r>
    </w:p>
    <w:p w14:paraId="59ACFFD2"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 xml:space="preserve">These findings indicate that cognitive exposure, rather than demographic background, plays a more influential role in shaping </w:t>
      </w:r>
      <w:proofErr w:type="spellStart"/>
      <w:r w:rsidRPr="00E827C7">
        <w:rPr>
          <w:rFonts w:ascii="Times New Roman" w:hAnsi="Times New Roman" w:cs="Times New Roman"/>
          <w:color w:val="000000" w:themeColor="text1"/>
          <w:sz w:val="24"/>
          <w:szCs w:val="24"/>
          <w:lang w:val="en-IN"/>
        </w:rPr>
        <w:t>agripreneurial</w:t>
      </w:r>
      <w:proofErr w:type="spellEnd"/>
      <w:r w:rsidRPr="00E827C7">
        <w:rPr>
          <w:rFonts w:ascii="Times New Roman" w:hAnsi="Times New Roman" w:cs="Times New Roman"/>
          <w:color w:val="000000" w:themeColor="text1"/>
          <w:sz w:val="24"/>
          <w:szCs w:val="24"/>
          <w:lang w:val="en-IN"/>
        </w:rPr>
        <w:t xml:space="preserve"> attitudes. When students know what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entails and have access to reliable sources of information, they are more likely to develop positive perceptions. For SAIRAM, this suggests that efforts aimed at improving conceptual clarity through case studies, laboratory sessions, guest lectures, or interactions with entrepreneurs may be more effective than demographic-targeted strategies.</w:t>
      </w:r>
    </w:p>
    <w:p w14:paraId="5CDEFE1E"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lastRenderedPageBreak/>
        <w:t>In Manipur, the strong relationship between awareness and perception suggests that statewide awareness initiatives, including collaboration with KVKs, extension units, and targeted digital outreach, could meaningfully shift attitudes at scale [17]. However, the comparatively weaker association with scheme knowledge indicates that simply informing students about schemes is insufficient; communications must provide practical, localized illustrations of how these schemes work in real contexts (such as small processing units in the Imphal Valley) to improve perceived utility and adoption.</w:t>
      </w:r>
    </w:p>
    <w:p w14:paraId="71C7B523" w14:textId="77777777" w:rsidR="00A57B34" w:rsidRPr="00E827C7" w:rsidRDefault="00A57B34" w:rsidP="00A57B34">
      <w:pPr>
        <w:spacing w:before="240" w:line="360" w:lineRule="auto"/>
        <w:jc w:val="both"/>
        <w:rPr>
          <w:rFonts w:ascii="Times New Roman" w:hAnsi="Times New Roman" w:cs="Times New Roman"/>
          <w:b/>
          <w:bCs/>
          <w:color w:val="000000" w:themeColor="text1"/>
          <w:sz w:val="24"/>
          <w:szCs w:val="24"/>
          <w:lang w:val="en-IN"/>
        </w:rPr>
      </w:pPr>
      <w:r w:rsidRPr="00E827C7">
        <w:rPr>
          <w:rFonts w:ascii="Times New Roman" w:hAnsi="Times New Roman" w:cs="Times New Roman"/>
          <w:b/>
          <w:bCs/>
          <w:color w:val="000000" w:themeColor="text1"/>
          <w:sz w:val="24"/>
          <w:szCs w:val="24"/>
          <w:lang w:val="en-IN"/>
        </w:rPr>
        <w:t>4.3 Interpretation of Multiple Regression Findings</w:t>
      </w:r>
    </w:p>
    <w:p w14:paraId="157D03AB"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 xml:space="preserve">The regression model demonstrates that awareness of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is the only meaningful predictor of students’ perceptions and attitudes, as shown in Table 3 and Figure 2. A slight trend related to place of residence suggests small differences in readiness across locations, but this remains secondary compared to the dominant influence of awareness. All other variables gender, age, year of study, family background, source of information, and knowledge of schemes do not meaningfully contribute to prediction once awareness is considered.</w:t>
      </w:r>
    </w:p>
    <w:p w14:paraId="780265A6"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These findings suggest that although several factors show positive associations at the bivariate level, awareness acts as the primary causal lever when controlling for other variables. For SAIRAM, this underscores the importance of structured pathways that move students from conceptual awareness to practical skills through modules on business planning, entrepreneurship workshops, mentorship programs, and enterprise exposure visits.</w:t>
      </w:r>
    </w:p>
    <w:p w14:paraId="0F0289CB"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 xml:space="preserve">In Manipur, where </w:t>
      </w:r>
      <w:proofErr w:type="spellStart"/>
      <w:r w:rsidRPr="00E827C7">
        <w:rPr>
          <w:rFonts w:ascii="Times New Roman" w:hAnsi="Times New Roman" w:cs="Times New Roman"/>
          <w:color w:val="000000" w:themeColor="text1"/>
          <w:sz w:val="24"/>
          <w:szCs w:val="24"/>
          <w:lang w:val="en-IN"/>
        </w:rPr>
        <w:t>agripreneurial</w:t>
      </w:r>
      <w:proofErr w:type="spellEnd"/>
      <w:r w:rsidRPr="00E827C7">
        <w:rPr>
          <w:rFonts w:ascii="Times New Roman" w:hAnsi="Times New Roman" w:cs="Times New Roman"/>
          <w:color w:val="000000" w:themeColor="text1"/>
          <w:sz w:val="24"/>
          <w:szCs w:val="24"/>
          <w:lang w:val="en-IN"/>
        </w:rPr>
        <w:t xml:space="preserve"> opportunities exist but are not widely visible, policy and extension bodies should pair awareness campaigns with localized support mechanisms, such as improved market linkages, access to micro-credit, and demonstration enterprises. This approach ensures that strong awareness translates into actual entrepreneurial </w:t>
      </w:r>
      <w:proofErr w:type="spellStart"/>
      <w:r w:rsidRPr="00E827C7">
        <w:rPr>
          <w:rFonts w:ascii="Times New Roman" w:hAnsi="Times New Roman" w:cs="Times New Roman"/>
          <w:color w:val="000000" w:themeColor="text1"/>
          <w:sz w:val="24"/>
          <w:szCs w:val="24"/>
          <w:lang w:val="en-IN"/>
        </w:rPr>
        <w:t>behavior</w:t>
      </w:r>
      <w:proofErr w:type="spellEnd"/>
      <w:r w:rsidRPr="00E827C7">
        <w:rPr>
          <w:rFonts w:ascii="Times New Roman" w:hAnsi="Times New Roman" w:cs="Times New Roman"/>
          <w:color w:val="000000" w:themeColor="text1"/>
          <w:sz w:val="24"/>
          <w:szCs w:val="24"/>
          <w:lang w:val="en-IN"/>
        </w:rPr>
        <w:t>. The slight effect related to place of residence suggests that semi-urban areas may provide initial advantages due to better access to markets and infrastructure, offering strategic locations for pilot interventions.</w:t>
      </w:r>
    </w:p>
    <w:p w14:paraId="6F6CE737"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5. Implications for Extension Education</w:t>
      </w:r>
      <w:bookmarkEnd w:id="14"/>
    </w:p>
    <w:p w14:paraId="3FEF2B35"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bookmarkStart w:id="16" w:name="bm_4_6_context_specific_relevance_2be497"/>
      <w:r w:rsidRPr="00E827C7">
        <w:rPr>
          <w:rFonts w:ascii="Times New Roman" w:hAnsi="Times New Roman" w:cs="Times New Roman"/>
          <w:color w:val="000000" w:themeColor="text1"/>
          <w:sz w:val="24"/>
          <w:szCs w:val="24"/>
          <w:lang w:val="en-IN"/>
        </w:rPr>
        <w:t>Based on our findings, the following priority actions are recommended:</w:t>
      </w:r>
    </w:p>
    <w:p w14:paraId="55595E67" w14:textId="77777777" w:rsidR="00A57B34" w:rsidRPr="00E827C7" w:rsidRDefault="00A57B34" w:rsidP="00A57B34">
      <w:pPr>
        <w:numPr>
          <w:ilvl w:val="0"/>
          <w:numId w:val="7"/>
        </w:num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b/>
          <w:bCs/>
          <w:color w:val="000000" w:themeColor="text1"/>
          <w:sz w:val="24"/>
          <w:szCs w:val="24"/>
          <w:lang w:val="en-IN"/>
        </w:rPr>
        <w:lastRenderedPageBreak/>
        <w:t>Scale up awareness campaigns:</w:t>
      </w:r>
      <w:r w:rsidRPr="00E827C7">
        <w:rPr>
          <w:rFonts w:ascii="Times New Roman" w:hAnsi="Times New Roman" w:cs="Times New Roman"/>
          <w:color w:val="000000" w:themeColor="text1"/>
          <w:sz w:val="24"/>
          <w:szCs w:val="24"/>
          <w:lang w:val="en-IN"/>
        </w:rPr>
        <w:t xml:space="preserve"> Use multimedia, campus outreach, and extension networks to communicate </w:t>
      </w:r>
      <w:proofErr w:type="spellStart"/>
      <w:r w:rsidRPr="00E827C7">
        <w:rPr>
          <w:rFonts w:ascii="Times New Roman" w:hAnsi="Times New Roman" w:cs="Times New Roman"/>
          <w:color w:val="000000" w:themeColor="text1"/>
          <w:sz w:val="24"/>
          <w:szCs w:val="24"/>
          <w:lang w:val="en-IN"/>
        </w:rPr>
        <w:t>agripreneurial</w:t>
      </w:r>
      <w:proofErr w:type="spellEnd"/>
      <w:r w:rsidRPr="00E827C7">
        <w:rPr>
          <w:rFonts w:ascii="Times New Roman" w:hAnsi="Times New Roman" w:cs="Times New Roman"/>
          <w:color w:val="000000" w:themeColor="text1"/>
          <w:sz w:val="24"/>
          <w:szCs w:val="24"/>
          <w:lang w:val="en-IN"/>
        </w:rPr>
        <w:t xml:space="preserve"> concepts and success stories [18].</w:t>
      </w:r>
    </w:p>
    <w:p w14:paraId="60878090" w14:textId="77777777" w:rsidR="00A57B34" w:rsidRPr="00E827C7" w:rsidRDefault="00A57B34" w:rsidP="00A57B34">
      <w:pPr>
        <w:numPr>
          <w:ilvl w:val="0"/>
          <w:numId w:val="7"/>
        </w:num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b/>
          <w:bCs/>
          <w:color w:val="000000" w:themeColor="text1"/>
          <w:sz w:val="24"/>
          <w:szCs w:val="24"/>
          <w:lang w:val="en-IN"/>
        </w:rPr>
        <w:t>Curriculum integration:</w:t>
      </w:r>
      <w:r w:rsidRPr="00E827C7">
        <w:rPr>
          <w:rFonts w:ascii="Times New Roman" w:hAnsi="Times New Roman" w:cs="Times New Roman"/>
          <w:color w:val="000000" w:themeColor="text1"/>
          <w:sz w:val="24"/>
          <w:szCs w:val="24"/>
          <w:lang w:val="en-IN"/>
        </w:rPr>
        <w:t xml:space="preserve"> Embed practical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modules, case studies and business plan assignments into undergraduate and postgraduate curricula.</w:t>
      </w:r>
    </w:p>
    <w:p w14:paraId="495C0AC6" w14:textId="77777777" w:rsidR="00A57B34" w:rsidRPr="00E827C7" w:rsidRDefault="00A57B34" w:rsidP="00A57B34">
      <w:pPr>
        <w:numPr>
          <w:ilvl w:val="0"/>
          <w:numId w:val="7"/>
        </w:num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b/>
          <w:bCs/>
          <w:color w:val="000000" w:themeColor="text1"/>
          <w:sz w:val="24"/>
          <w:szCs w:val="24"/>
          <w:lang w:val="en-IN"/>
        </w:rPr>
        <w:t>Experiential learning:</w:t>
      </w:r>
      <w:r w:rsidRPr="00E827C7">
        <w:rPr>
          <w:rFonts w:ascii="Times New Roman" w:hAnsi="Times New Roman" w:cs="Times New Roman"/>
          <w:color w:val="000000" w:themeColor="text1"/>
          <w:sz w:val="24"/>
          <w:szCs w:val="24"/>
          <w:lang w:val="en-IN"/>
        </w:rPr>
        <w:t xml:space="preserve"> Facilitate field visits, internships, incubation projects and mentorship linking students to local agribusinesses [19].</w:t>
      </w:r>
    </w:p>
    <w:p w14:paraId="6B162E6F" w14:textId="77777777" w:rsidR="00A57B34" w:rsidRPr="00E827C7" w:rsidRDefault="00A57B34" w:rsidP="00A57B34">
      <w:pPr>
        <w:numPr>
          <w:ilvl w:val="0"/>
          <w:numId w:val="7"/>
        </w:num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b/>
          <w:bCs/>
          <w:color w:val="000000" w:themeColor="text1"/>
          <w:sz w:val="24"/>
          <w:szCs w:val="24"/>
          <w:lang w:val="en-IN"/>
        </w:rPr>
        <w:t>Scheme facilitation:</w:t>
      </w:r>
      <w:r w:rsidRPr="00E827C7">
        <w:rPr>
          <w:rFonts w:ascii="Times New Roman" w:hAnsi="Times New Roman" w:cs="Times New Roman"/>
          <w:color w:val="000000" w:themeColor="text1"/>
          <w:sz w:val="24"/>
          <w:szCs w:val="24"/>
          <w:lang w:val="en-IN"/>
        </w:rPr>
        <w:t xml:space="preserve"> Conduct hands-on workshops on navigating government schemes (eligibility, application, benefit examples) and provide one-on-one scheme advisory clinics.</w:t>
      </w:r>
    </w:p>
    <w:p w14:paraId="4D0056BA" w14:textId="77777777" w:rsidR="00A57B34" w:rsidRPr="00E827C7" w:rsidRDefault="00A57B34" w:rsidP="00A57B34">
      <w:pPr>
        <w:numPr>
          <w:ilvl w:val="0"/>
          <w:numId w:val="7"/>
        </w:num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b/>
          <w:bCs/>
          <w:color w:val="000000" w:themeColor="text1"/>
          <w:sz w:val="24"/>
          <w:szCs w:val="24"/>
          <w:lang w:val="en-IN"/>
        </w:rPr>
        <w:t>Campus incubation hubs:</w:t>
      </w:r>
      <w:r w:rsidRPr="00E827C7">
        <w:rPr>
          <w:rFonts w:ascii="Times New Roman" w:hAnsi="Times New Roman" w:cs="Times New Roman"/>
          <w:color w:val="000000" w:themeColor="text1"/>
          <w:sz w:val="24"/>
          <w:szCs w:val="24"/>
          <w:lang w:val="en-IN"/>
        </w:rPr>
        <w:t xml:space="preserve"> Establish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hubs that offer mentorship, market linkages, and assistance to access credit and inputs [20].</w:t>
      </w:r>
    </w:p>
    <w:p w14:paraId="210C07E5" w14:textId="77777777" w:rsidR="00A57B34" w:rsidRPr="00E827C7" w:rsidRDefault="00A57B34" w:rsidP="00A57B34">
      <w:pPr>
        <w:numPr>
          <w:ilvl w:val="0"/>
          <w:numId w:val="7"/>
        </w:num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b/>
          <w:bCs/>
          <w:color w:val="000000" w:themeColor="text1"/>
          <w:sz w:val="24"/>
          <w:szCs w:val="24"/>
          <w:lang w:val="en-IN"/>
        </w:rPr>
        <w:t>Targeted outreach:</w:t>
      </w:r>
      <w:r w:rsidRPr="00E827C7">
        <w:rPr>
          <w:rFonts w:ascii="Times New Roman" w:hAnsi="Times New Roman" w:cs="Times New Roman"/>
          <w:color w:val="000000" w:themeColor="text1"/>
          <w:sz w:val="24"/>
          <w:szCs w:val="24"/>
          <w:lang w:val="en-IN"/>
        </w:rPr>
        <w:t xml:space="preserve"> Provide tailored support for students from non-agricultural backgrounds or first-generation farm families to ensure inclusivity.</w:t>
      </w:r>
    </w:p>
    <w:p w14:paraId="6597AC5D" w14:textId="77777777" w:rsidR="00A57B34" w:rsidRPr="00E827C7" w:rsidRDefault="00A57B34" w:rsidP="00A57B34">
      <w:pPr>
        <w:numPr>
          <w:ilvl w:val="0"/>
          <w:numId w:val="7"/>
        </w:num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b/>
          <w:bCs/>
          <w:color w:val="000000" w:themeColor="text1"/>
          <w:sz w:val="24"/>
          <w:szCs w:val="24"/>
          <w:lang w:val="en-IN"/>
        </w:rPr>
        <w:t>Monitoring &amp; evaluation:</w:t>
      </w:r>
      <w:r w:rsidRPr="00E827C7">
        <w:rPr>
          <w:rFonts w:ascii="Times New Roman" w:hAnsi="Times New Roman" w:cs="Times New Roman"/>
          <w:color w:val="000000" w:themeColor="text1"/>
          <w:sz w:val="24"/>
          <w:szCs w:val="24"/>
          <w:lang w:val="en-IN"/>
        </w:rPr>
        <w:t xml:space="preserve"> Implement M&amp;E for awareness initiatives to measure changes in knowledge, attitudes and subsequent entrepreneurial actions.</w:t>
      </w:r>
    </w:p>
    <w:p w14:paraId="06BC5344"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6. Context-Specific Relevance for Manipur</w:t>
      </w:r>
      <w:bookmarkEnd w:id="16"/>
    </w:p>
    <w:p w14:paraId="01D30543"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 xml:space="preserve">Manipur presents diverse </w:t>
      </w:r>
      <w:proofErr w:type="spellStart"/>
      <w:r w:rsidRPr="00E827C7">
        <w:rPr>
          <w:rFonts w:ascii="Times New Roman" w:hAnsi="Times New Roman" w:cs="Times New Roman"/>
          <w:color w:val="000000" w:themeColor="text1"/>
          <w:sz w:val="24"/>
          <w:szCs w:val="24"/>
          <w:lang w:val="en-IN"/>
        </w:rPr>
        <w:t>agro</w:t>
      </w:r>
      <w:proofErr w:type="spellEnd"/>
      <w:r w:rsidRPr="00E827C7">
        <w:rPr>
          <w:rFonts w:ascii="Times New Roman" w:hAnsi="Times New Roman" w:cs="Times New Roman"/>
          <w:color w:val="000000" w:themeColor="text1"/>
          <w:sz w:val="24"/>
          <w:szCs w:val="24"/>
          <w:lang w:val="en-IN"/>
        </w:rPr>
        <w:t xml:space="preserve">-ecological strengths that offer significant potential for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development. The state’s varied terrain and climate enable profitable ventures across sectors such as high-value horticulture, including vegetables and fruits that are increasingly demanded in urban markets; floriculture, particularly orchids and ornamental plants for which Manipur is well known; and medicinal and aromatic plants, which thrive in the hill districts and offer opportunities for essential oil extraction and herbal product development [21] [22] [23] [24] [25]. Aquaculture also represents a major opportunity, with the valley regions supporting fish production and growing demand for farmed and processed fish products [26]. Additionally, there is expanding potential in value-added food processing, including traditional fermented foods, dried products, herbal teas, and spices, which can be commercialized with appropriate packaging and branding support [27] [28]. The rising interest in organic farming, especially crops such as black rice (</w:t>
      </w:r>
      <w:proofErr w:type="spellStart"/>
      <w:r w:rsidRPr="00E827C7">
        <w:rPr>
          <w:rFonts w:ascii="Times New Roman" w:hAnsi="Times New Roman" w:cs="Times New Roman"/>
          <w:i/>
          <w:iCs/>
          <w:color w:val="000000" w:themeColor="text1"/>
          <w:sz w:val="24"/>
          <w:szCs w:val="24"/>
          <w:lang w:val="en-IN"/>
        </w:rPr>
        <w:t>Chakhao</w:t>
      </w:r>
      <w:proofErr w:type="spellEnd"/>
      <w:r w:rsidRPr="00E827C7">
        <w:rPr>
          <w:rFonts w:ascii="Times New Roman" w:hAnsi="Times New Roman" w:cs="Times New Roman"/>
          <w:color w:val="000000" w:themeColor="text1"/>
          <w:sz w:val="24"/>
          <w:szCs w:val="24"/>
          <w:lang w:val="en-IN"/>
        </w:rPr>
        <w:t xml:space="preserve">), ginger, turmeric, and indigenous pulses, further positions Manipur as an emerging </w:t>
      </w:r>
      <w:r w:rsidRPr="00E827C7">
        <w:rPr>
          <w:rFonts w:ascii="Times New Roman" w:hAnsi="Times New Roman" w:cs="Times New Roman"/>
          <w:color w:val="000000" w:themeColor="text1"/>
          <w:sz w:val="24"/>
          <w:szCs w:val="24"/>
          <w:lang w:val="en-IN"/>
        </w:rPr>
        <w:lastRenderedPageBreak/>
        <w:t xml:space="preserve">niche-agriculture hub [29]. Other promising sectors—such as beekeeping, honey-based enterprises, and </w:t>
      </w:r>
      <w:proofErr w:type="spellStart"/>
      <w:r w:rsidRPr="00E827C7">
        <w:rPr>
          <w:rFonts w:ascii="Times New Roman" w:hAnsi="Times New Roman" w:cs="Times New Roman"/>
          <w:color w:val="000000" w:themeColor="text1"/>
          <w:sz w:val="24"/>
          <w:szCs w:val="24"/>
          <w:lang w:val="en-IN"/>
        </w:rPr>
        <w:t>agro</w:t>
      </w:r>
      <w:proofErr w:type="spellEnd"/>
      <w:r w:rsidRPr="00E827C7">
        <w:rPr>
          <w:rFonts w:ascii="Times New Roman" w:hAnsi="Times New Roman" w:cs="Times New Roman"/>
          <w:color w:val="000000" w:themeColor="text1"/>
          <w:sz w:val="24"/>
          <w:szCs w:val="24"/>
          <w:lang w:val="en-IN"/>
        </w:rPr>
        <w:t>-tourism—provide youth-friendly, low-investment agribusiness pathways [30] [31].</w:t>
      </w:r>
    </w:p>
    <w:p w14:paraId="177D9F9A"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 xml:space="preserve">Awareness is especially critical in Manipur’s predominantly hilly and remote areas, where limited market connectivity, fragmented value chains, and infrastructure constraints often restrict information flow. Enhanced awareness can reduce information asymmetry, improve students’ understanding of market opportunities, and encourage adoption of value-addition techniques suited to small and medium-scale enterprises. It also helps rural youth understand government schemes, credit channels, and incubation opportunities that they may otherwise overlook. Exposure to successful </w:t>
      </w:r>
      <w:proofErr w:type="spellStart"/>
      <w:r w:rsidRPr="00E827C7">
        <w:rPr>
          <w:rFonts w:ascii="Times New Roman" w:hAnsi="Times New Roman" w:cs="Times New Roman"/>
          <w:color w:val="000000" w:themeColor="text1"/>
          <w:sz w:val="24"/>
          <w:szCs w:val="24"/>
          <w:lang w:val="en-IN"/>
        </w:rPr>
        <w:t>agripreneurial</w:t>
      </w:r>
      <w:proofErr w:type="spellEnd"/>
      <w:r w:rsidRPr="00E827C7">
        <w:rPr>
          <w:rFonts w:ascii="Times New Roman" w:hAnsi="Times New Roman" w:cs="Times New Roman"/>
          <w:color w:val="000000" w:themeColor="text1"/>
          <w:sz w:val="24"/>
          <w:szCs w:val="24"/>
          <w:lang w:val="en-IN"/>
        </w:rPr>
        <w:t xml:space="preserve"> models within the state or region can lower perceived risk and improve entrepreneurial confidence, making awareness a foundational driver of agribusiness initiation.</w:t>
      </w:r>
    </w:p>
    <w:p w14:paraId="49609CA1"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lang w:val="en-IN"/>
        </w:rPr>
        <w:t xml:space="preserve">Manipur’s agrarian economy, characterized by fragmented markets, limited value addition, and high youth unemployment, creates both a pressing need and an enabling context for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[1]. While students demonstrate high conceptual awareness, this must translate into practical, actionable knowledge for entrepreneurship to materialize.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development aligns directly with Manipur’s broader development goals, including livelihood diversification, rural enterprise growth, and sustainable agricultural modernization [22]. SAIRAM, as a key academic institution, is strategically positioned to function as an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incubation node working with extension agencies, government departments, private partners, and financial institutions to deliver opportunity-driven training and exposure. Strengthening awareness through targeted communication, entrepreneurship clubs, mentorship programs, and regional demonstration models can significantly accelerate youth participation in agribusiness ventures. Thus,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promotion in Manipur is not merely an educational recommendation but a strategic pathway for rural transformation, enabling young agricultural professionals to engage with emerging sectors and contribute to the state’s economic resilience.</w:t>
      </w:r>
    </w:p>
    <w:p w14:paraId="1A65BA7C"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7. Conclusions</w:t>
      </w:r>
      <w:bookmarkEnd w:id="15"/>
    </w:p>
    <w:p w14:paraId="4BAFF366"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lang w:val="en-IN"/>
        </w:rPr>
      </w:pPr>
      <w:bookmarkStart w:id="17" w:name="bm_5_1_key_recommendations"/>
      <w:r w:rsidRPr="00E827C7">
        <w:rPr>
          <w:rFonts w:ascii="Times New Roman" w:hAnsi="Times New Roman" w:cs="Times New Roman"/>
          <w:color w:val="000000" w:themeColor="text1"/>
          <w:sz w:val="24"/>
          <w:szCs w:val="24"/>
          <w:lang w:val="en-IN"/>
        </w:rPr>
        <w:t xml:space="preserve">This study shows that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awareness is the strongest influence on agricultural students’ perceptions and attitudes in Manipur, exceeding the contribution of demographic or background factors. The findings indicate that positive entrepreneurial orientation emerges when students gain meaningful insight into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opportunities, suggesting that informed understanding is </w:t>
      </w:r>
      <w:r w:rsidRPr="00E827C7">
        <w:rPr>
          <w:rFonts w:ascii="Times New Roman" w:hAnsi="Times New Roman" w:cs="Times New Roman"/>
          <w:color w:val="000000" w:themeColor="text1"/>
          <w:sz w:val="24"/>
          <w:szCs w:val="24"/>
          <w:lang w:val="en-IN"/>
        </w:rPr>
        <w:lastRenderedPageBreak/>
        <w:t xml:space="preserve">more decisive than characteristics such as gender, age, or family background. This highlights the need to shift institutional efforts toward deepening awareness and strengthening practical exposure. Two actionable recommendations follow from these results. First, institutions such as SAIRAM should establish structured awareness-to-skill pathways, including hands-on modules, enterprise demonstrations, and mentorship programs that guide students toward real agribusiness application. Second, state agencies should invest in localized awareness ecosystems, using community demonstrations, digital outreach, and coordinated extension messaging to make </w:t>
      </w:r>
      <w:proofErr w:type="spellStart"/>
      <w:r w:rsidRPr="00E827C7">
        <w:rPr>
          <w:rFonts w:ascii="Times New Roman" w:hAnsi="Times New Roman" w:cs="Times New Roman"/>
          <w:color w:val="000000" w:themeColor="text1"/>
          <w:sz w:val="24"/>
          <w:szCs w:val="24"/>
          <w:lang w:val="en-IN"/>
        </w:rPr>
        <w:t>agripreneurship</w:t>
      </w:r>
      <w:proofErr w:type="spellEnd"/>
      <w:r w:rsidRPr="00E827C7">
        <w:rPr>
          <w:rFonts w:ascii="Times New Roman" w:hAnsi="Times New Roman" w:cs="Times New Roman"/>
          <w:color w:val="000000" w:themeColor="text1"/>
          <w:sz w:val="24"/>
          <w:szCs w:val="24"/>
          <w:lang w:val="en-IN"/>
        </w:rPr>
        <w:t xml:space="preserve"> opportunities visible and accessible across diverse regions. Overall, the study positions awareness-building as a strategic entry point for expanding youth participation in agribusiness and supporting long-term rural transformation in Manipur.</w:t>
      </w:r>
    </w:p>
    <w:p w14:paraId="38196D6B"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8. Key Recommendations</w:t>
      </w:r>
      <w:bookmarkEnd w:id="17"/>
    </w:p>
    <w:p w14:paraId="428761C9"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8.1. For Extension Education Programs:</w:t>
      </w:r>
    </w:p>
    <w:p w14:paraId="5EBF3389" w14:textId="77777777" w:rsidR="00A57B34" w:rsidRPr="00E827C7" w:rsidRDefault="00A57B34" w:rsidP="00A57B34">
      <w:pPr>
        <w:numPr>
          <w:ilvl w:val="0"/>
          <w:numId w:val="3"/>
        </w:num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Develop Comprehensive Awareness Campaigns:</w:t>
      </w:r>
      <w:r w:rsidRPr="00E827C7">
        <w:rPr>
          <w:rFonts w:ascii="Times New Roman" w:hAnsi="Times New Roman" w:cs="Times New Roman"/>
          <w:color w:val="000000" w:themeColor="text1"/>
          <w:sz w:val="24"/>
          <w:szCs w:val="24"/>
        </w:rPr>
        <w:t xml:space="preserve"> Design and implement targeted awareness campaigns highlighting the diversity of </w:t>
      </w:r>
      <w:proofErr w:type="spellStart"/>
      <w:r w:rsidRPr="00E827C7">
        <w:rPr>
          <w:rFonts w:ascii="Times New Roman" w:hAnsi="Times New Roman" w:cs="Times New Roman"/>
          <w:color w:val="000000" w:themeColor="text1"/>
          <w:sz w:val="24"/>
          <w:szCs w:val="24"/>
        </w:rPr>
        <w:t>agripreneurial</w:t>
      </w:r>
      <w:proofErr w:type="spellEnd"/>
      <w:r w:rsidRPr="00E827C7">
        <w:rPr>
          <w:rFonts w:ascii="Times New Roman" w:hAnsi="Times New Roman" w:cs="Times New Roman"/>
          <w:color w:val="000000" w:themeColor="text1"/>
          <w:sz w:val="24"/>
          <w:szCs w:val="24"/>
        </w:rPr>
        <w:t xml:space="preserve"> opportunities, including value-added agriculture, precision farming, agricultural technology services, and agrotourism.</w:t>
      </w:r>
    </w:p>
    <w:p w14:paraId="6828EE9A" w14:textId="77777777" w:rsidR="00A57B34" w:rsidRPr="00E827C7" w:rsidRDefault="00A57B34" w:rsidP="00A57B34">
      <w:pPr>
        <w:numPr>
          <w:ilvl w:val="0"/>
          <w:numId w:val="3"/>
        </w:num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 xml:space="preserve">Establish </w:t>
      </w:r>
      <w:proofErr w:type="spellStart"/>
      <w:r w:rsidRPr="00E827C7">
        <w:rPr>
          <w:rFonts w:ascii="Times New Roman" w:hAnsi="Times New Roman" w:cs="Times New Roman"/>
          <w:b/>
          <w:color w:val="000000" w:themeColor="text1"/>
          <w:sz w:val="24"/>
          <w:szCs w:val="24"/>
        </w:rPr>
        <w:t>Agripreneurship</w:t>
      </w:r>
      <w:proofErr w:type="spellEnd"/>
      <w:r w:rsidRPr="00E827C7">
        <w:rPr>
          <w:rFonts w:ascii="Times New Roman" w:hAnsi="Times New Roman" w:cs="Times New Roman"/>
          <w:b/>
          <w:color w:val="000000" w:themeColor="text1"/>
          <w:sz w:val="24"/>
          <w:szCs w:val="24"/>
        </w:rPr>
        <w:t xml:space="preserve"> Hubs:</w:t>
      </w:r>
      <w:r w:rsidRPr="00E827C7">
        <w:rPr>
          <w:rFonts w:ascii="Times New Roman" w:hAnsi="Times New Roman" w:cs="Times New Roman"/>
          <w:color w:val="000000" w:themeColor="text1"/>
          <w:sz w:val="24"/>
          <w:szCs w:val="24"/>
        </w:rPr>
        <w:t xml:space="preserve"> Create campus-based or community-based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 xml:space="preserve"> hubs providing mentorship, business planning support, market linkages, and access to financial resources.</w:t>
      </w:r>
    </w:p>
    <w:p w14:paraId="05567000" w14:textId="77777777" w:rsidR="00A57B34" w:rsidRPr="00E827C7" w:rsidRDefault="00A57B34" w:rsidP="00A57B34">
      <w:pPr>
        <w:numPr>
          <w:ilvl w:val="0"/>
          <w:numId w:val="3"/>
        </w:num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Integrate Entrepreneurship into Agricultural Curricula:</w:t>
      </w:r>
      <w:r w:rsidRPr="00E827C7">
        <w:rPr>
          <w:rFonts w:ascii="Times New Roman" w:hAnsi="Times New Roman" w:cs="Times New Roman"/>
          <w:color w:val="000000" w:themeColor="text1"/>
          <w:sz w:val="24"/>
          <w:szCs w:val="24"/>
        </w:rPr>
        <w:t xml:space="preserve"> Mandate inclusion of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 xml:space="preserve"> modules in undergraduate and postgraduate agricultural programs, with emphasis on practical skill-building and experiential learning.</w:t>
      </w:r>
    </w:p>
    <w:p w14:paraId="6013729C" w14:textId="77777777" w:rsidR="00A57B34" w:rsidRPr="00E827C7" w:rsidRDefault="00A57B34" w:rsidP="00A57B34">
      <w:pPr>
        <w:numPr>
          <w:ilvl w:val="0"/>
          <w:numId w:val="3"/>
        </w:num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Facilitate Entrepreneur Mentorship:</w:t>
      </w:r>
      <w:r w:rsidRPr="00E827C7">
        <w:rPr>
          <w:rFonts w:ascii="Times New Roman" w:hAnsi="Times New Roman" w:cs="Times New Roman"/>
          <w:color w:val="000000" w:themeColor="text1"/>
          <w:sz w:val="24"/>
          <w:szCs w:val="24"/>
        </w:rPr>
        <w:t xml:space="preserve"> Connect agricultural students with successful </w:t>
      </w:r>
      <w:proofErr w:type="spellStart"/>
      <w:r w:rsidRPr="00E827C7">
        <w:rPr>
          <w:rFonts w:ascii="Times New Roman" w:hAnsi="Times New Roman" w:cs="Times New Roman"/>
          <w:color w:val="000000" w:themeColor="text1"/>
          <w:sz w:val="24"/>
          <w:szCs w:val="24"/>
        </w:rPr>
        <w:t>agripreneurs</w:t>
      </w:r>
      <w:proofErr w:type="spellEnd"/>
      <w:r w:rsidRPr="00E827C7">
        <w:rPr>
          <w:rFonts w:ascii="Times New Roman" w:hAnsi="Times New Roman" w:cs="Times New Roman"/>
          <w:color w:val="000000" w:themeColor="text1"/>
          <w:sz w:val="24"/>
          <w:szCs w:val="24"/>
        </w:rPr>
        <w:t xml:space="preserve"> for mentoring, knowledge transfer, and motivation.</w:t>
      </w:r>
    </w:p>
    <w:p w14:paraId="6520B6DE" w14:textId="77777777" w:rsidR="00A57B34" w:rsidRPr="00E827C7" w:rsidRDefault="00A57B34" w:rsidP="00A57B34">
      <w:pPr>
        <w:numPr>
          <w:ilvl w:val="0"/>
          <w:numId w:val="3"/>
        </w:num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Strengthen Communication of Government Support Schemes:</w:t>
      </w:r>
      <w:r w:rsidRPr="00E827C7">
        <w:rPr>
          <w:rFonts w:ascii="Times New Roman" w:hAnsi="Times New Roman" w:cs="Times New Roman"/>
          <w:color w:val="000000" w:themeColor="text1"/>
          <w:sz w:val="24"/>
          <w:szCs w:val="24"/>
        </w:rPr>
        <w:t xml:space="preserve"> Conduct targeted workshops and webinars to educate students about relevant government schemes, eligibility criteria, application processes, and success stories of beneficiaries.</w:t>
      </w:r>
    </w:p>
    <w:p w14:paraId="33144794"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lastRenderedPageBreak/>
        <w:t>8.2. For Policy and Agricultural Development:</w:t>
      </w:r>
    </w:p>
    <w:p w14:paraId="2C0AC5F1" w14:textId="77777777" w:rsidR="00A57B34" w:rsidRPr="00E827C7" w:rsidRDefault="00A57B34" w:rsidP="00A57B34">
      <w:pPr>
        <w:numPr>
          <w:ilvl w:val="0"/>
          <w:numId w:val="4"/>
        </w:num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Fund Extension Education Initiatives:</w:t>
      </w:r>
      <w:r w:rsidRPr="00E827C7">
        <w:rPr>
          <w:rFonts w:ascii="Times New Roman" w:hAnsi="Times New Roman" w:cs="Times New Roman"/>
          <w:color w:val="000000" w:themeColor="text1"/>
          <w:sz w:val="24"/>
          <w:szCs w:val="24"/>
        </w:rPr>
        <w:t xml:space="preserve"> Allocate dedicated funding to extension services for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 xml:space="preserve"> awareness campaigns and capacity-building programs.</w:t>
      </w:r>
    </w:p>
    <w:p w14:paraId="34588BD6" w14:textId="77777777" w:rsidR="00A57B34" w:rsidRPr="00E827C7" w:rsidRDefault="00A57B34" w:rsidP="00A57B34">
      <w:pPr>
        <w:numPr>
          <w:ilvl w:val="0"/>
          <w:numId w:val="4"/>
        </w:num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Create Student Entrepreneur Incentives:</w:t>
      </w:r>
      <w:r w:rsidRPr="00E827C7">
        <w:rPr>
          <w:rFonts w:ascii="Times New Roman" w:hAnsi="Times New Roman" w:cs="Times New Roman"/>
          <w:color w:val="000000" w:themeColor="text1"/>
          <w:sz w:val="24"/>
          <w:szCs w:val="24"/>
        </w:rPr>
        <w:t xml:space="preserve"> Develop specific incentive programs (grants, concessional credit, tax benefits) for agricultural students and recent graduates entering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w:t>
      </w:r>
    </w:p>
    <w:p w14:paraId="43F9700D" w14:textId="77777777" w:rsidR="00A57B34" w:rsidRPr="00E827C7" w:rsidRDefault="00A57B34" w:rsidP="00A57B34">
      <w:pPr>
        <w:numPr>
          <w:ilvl w:val="0"/>
          <w:numId w:val="4"/>
        </w:num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Establish Market Linkages:</w:t>
      </w:r>
      <w:r w:rsidRPr="00E827C7">
        <w:rPr>
          <w:rFonts w:ascii="Times New Roman" w:hAnsi="Times New Roman" w:cs="Times New Roman"/>
          <w:color w:val="000000" w:themeColor="text1"/>
          <w:sz w:val="24"/>
          <w:szCs w:val="24"/>
        </w:rPr>
        <w:t xml:space="preserve"> Facilitate connections between </w:t>
      </w:r>
      <w:proofErr w:type="spellStart"/>
      <w:r w:rsidRPr="00E827C7">
        <w:rPr>
          <w:rFonts w:ascii="Times New Roman" w:hAnsi="Times New Roman" w:cs="Times New Roman"/>
          <w:color w:val="000000" w:themeColor="text1"/>
          <w:sz w:val="24"/>
          <w:szCs w:val="24"/>
        </w:rPr>
        <w:t>agripreneur</w:t>
      </w:r>
      <w:proofErr w:type="spellEnd"/>
      <w:r w:rsidRPr="00E827C7">
        <w:rPr>
          <w:rFonts w:ascii="Times New Roman" w:hAnsi="Times New Roman" w:cs="Times New Roman"/>
          <w:color w:val="000000" w:themeColor="text1"/>
          <w:sz w:val="24"/>
          <w:szCs w:val="24"/>
        </w:rPr>
        <w:t xml:space="preserve"> initiatives and markets, supply chains, and distribution networks to enhance viability and sustainability.</w:t>
      </w:r>
    </w:p>
    <w:p w14:paraId="534C7E5C"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8.3. For Future Research:</w:t>
      </w:r>
    </w:p>
    <w:p w14:paraId="38986EE2" w14:textId="77777777" w:rsidR="00A57B34" w:rsidRPr="00E827C7" w:rsidRDefault="00A57B34" w:rsidP="00A57B34">
      <w:pPr>
        <w:numPr>
          <w:ilvl w:val="0"/>
          <w:numId w:val="5"/>
        </w:num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Longitudinal Studies:</w:t>
      </w:r>
      <w:r w:rsidRPr="00E827C7">
        <w:rPr>
          <w:rFonts w:ascii="Times New Roman" w:hAnsi="Times New Roman" w:cs="Times New Roman"/>
          <w:color w:val="000000" w:themeColor="text1"/>
          <w:sz w:val="24"/>
          <w:szCs w:val="24"/>
        </w:rPr>
        <w:t xml:space="preserve"> Conduct follow-up studies tracking changes in attitudes and actual entrepreneurial behavior over time.</w:t>
      </w:r>
    </w:p>
    <w:p w14:paraId="4AE29750" w14:textId="77777777" w:rsidR="00A57B34" w:rsidRPr="00E827C7" w:rsidRDefault="00A57B34" w:rsidP="00A57B34">
      <w:pPr>
        <w:numPr>
          <w:ilvl w:val="0"/>
          <w:numId w:val="5"/>
        </w:num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Qualitative Investigations:</w:t>
      </w:r>
      <w:r w:rsidRPr="00E827C7">
        <w:rPr>
          <w:rFonts w:ascii="Times New Roman" w:hAnsi="Times New Roman" w:cs="Times New Roman"/>
          <w:color w:val="000000" w:themeColor="text1"/>
          <w:sz w:val="24"/>
          <w:szCs w:val="24"/>
        </w:rPr>
        <w:t xml:space="preserve"> Employ qualitative methods to gain deeper understanding of how awareness translates into behavioral intention and actual entrepreneurial action.</w:t>
      </w:r>
    </w:p>
    <w:p w14:paraId="71D3AF47" w14:textId="77777777" w:rsidR="00A57B34" w:rsidRPr="00E827C7" w:rsidRDefault="00A57B34" w:rsidP="00A57B34">
      <w:pPr>
        <w:numPr>
          <w:ilvl w:val="0"/>
          <w:numId w:val="5"/>
        </w:num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Intervention Evaluations:</w:t>
      </w:r>
      <w:r w:rsidRPr="00E827C7">
        <w:rPr>
          <w:rFonts w:ascii="Times New Roman" w:hAnsi="Times New Roman" w:cs="Times New Roman"/>
          <w:color w:val="000000" w:themeColor="text1"/>
          <w:sz w:val="24"/>
          <w:szCs w:val="24"/>
        </w:rPr>
        <w:t xml:space="preserve"> Evaluate the effectiveness of specific awareness-building interventions in changing attitudes and fostering entrepreneurial behavior.</w:t>
      </w:r>
    </w:p>
    <w:p w14:paraId="0697FEFF" w14:textId="39E2F484" w:rsidR="00E827C7" w:rsidRPr="00E827C7" w:rsidRDefault="00E827C7" w:rsidP="00A57B34">
      <w:pPr>
        <w:spacing w:after="210" w:line="360" w:lineRule="auto"/>
        <w:jc w:val="both"/>
        <w:rPr>
          <w:rFonts w:ascii="Times New Roman" w:hAnsi="Times New Roman" w:cs="Times New Roman"/>
          <w:b/>
          <w:bCs/>
          <w:color w:val="000000" w:themeColor="text1"/>
          <w:sz w:val="24"/>
          <w:szCs w:val="24"/>
        </w:rPr>
      </w:pPr>
    </w:p>
    <w:p w14:paraId="5F8CDA1F" w14:textId="06EDC700" w:rsidR="00E827C7" w:rsidRPr="00E827C7" w:rsidRDefault="00E827C7" w:rsidP="00E827C7">
      <w:pPr>
        <w:spacing w:before="24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 xml:space="preserve">Ethical </w:t>
      </w:r>
      <w:r w:rsidRPr="00E827C7">
        <w:rPr>
          <w:rFonts w:ascii="Times New Roman" w:hAnsi="Times New Roman" w:cs="Times New Roman"/>
          <w:b/>
          <w:color w:val="000000" w:themeColor="text1"/>
          <w:sz w:val="24"/>
          <w:szCs w:val="24"/>
        </w:rPr>
        <w:t>Approval and Consent:</w:t>
      </w:r>
    </w:p>
    <w:p w14:paraId="3998C7F4" w14:textId="77777777" w:rsidR="00E827C7" w:rsidRPr="00E827C7" w:rsidRDefault="00E827C7" w:rsidP="00E827C7">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The study protocol was reviewed and approved by the Institutional Ethics Committee, South Asian Institute of Rural and Agricultural Management. Participation was voluntary and informed written consent was obtained from all respondents prior to data collection. Confidentiality and anonymity were maintained, data were collected without personal identifiers and stored on password-protected devices accessible only to the research team.</w:t>
      </w:r>
    </w:p>
    <w:p w14:paraId="52CB45A4" w14:textId="77777777" w:rsidR="00E827C7" w:rsidRPr="00E827C7" w:rsidRDefault="00E827C7" w:rsidP="00A57B34">
      <w:pPr>
        <w:spacing w:after="210" w:line="360" w:lineRule="auto"/>
        <w:jc w:val="both"/>
        <w:rPr>
          <w:rFonts w:ascii="Times New Roman" w:hAnsi="Times New Roman" w:cs="Times New Roman"/>
          <w:b/>
          <w:bCs/>
          <w:color w:val="000000" w:themeColor="text1"/>
          <w:sz w:val="24"/>
          <w:szCs w:val="24"/>
        </w:rPr>
      </w:pPr>
    </w:p>
    <w:p w14:paraId="7059A384" w14:textId="77777777" w:rsidR="00E827C7" w:rsidRPr="00E827C7" w:rsidRDefault="00E827C7" w:rsidP="00A57B34">
      <w:pPr>
        <w:spacing w:after="210" w:line="360" w:lineRule="auto"/>
        <w:jc w:val="both"/>
        <w:rPr>
          <w:rFonts w:ascii="Times New Roman" w:hAnsi="Times New Roman" w:cs="Times New Roman"/>
          <w:b/>
          <w:bCs/>
          <w:color w:val="000000" w:themeColor="text1"/>
          <w:sz w:val="24"/>
          <w:szCs w:val="24"/>
        </w:rPr>
      </w:pPr>
    </w:p>
    <w:p w14:paraId="60F8211D" w14:textId="101E2AB9" w:rsidR="00A57B34" w:rsidRPr="00E827C7" w:rsidRDefault="00A57B34" w:rsidP="00A57B34">
      <w:pPr>
        <w:spacing w:after="210" w:line="360" w:lineRule="auto"/>
        <w:jc w:val="both"/>
        <w:rPr>
          <w:rFonts w:ascii="Times New Roman" w:hAnsi="Times New Roman" w:cs="Times New Roman"/>
          <w:b/>
          <w:bCs/>
          <w:color w:val="000000" w:themeColor="text1"/>
          <w:sz w:val="24"/>
          <w:szCs w:val="24"/>
        </w:rPr>
      </w:pPr>
      <w:r w:rsidRPr="00E827C7">
        <w:rPr>
          <w:rFonts w:ascii="Times New Roman" w:hAnsi="Times New Roman" w:cs="Times New Roman"/>
          <w:b/>
          <w:bCs/>
          <w:color w:val="000000" w:themeColor="text1"/>
          <w:sz w:val="24"/>
          <w:szCs w:val="24"/>
        </w:rPr>
        <w:t>DISCLAIMER (ARTIFICIAL INTELLIGENCE)</w:t>
      </w:r>
    </w:p>
    <w:p w14:paraId="2A1B4C26"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lastRenderedPageBreak/>
        <w:t>Author(s) hereby declare that NO generative AI technologies such as Large Language Models (</w:t>
      </w:r>
      <w:proofErr w:type="spellStart"/>
      <w:r w:rsidRPr="00E827C7">
        <w:rPr>
          <w:rFonts w:ascii="Times New Roman" w:hAnsi="Times New Roman" w:cs="Times New Roman"/>
          <w:color w:val="000000" w:themeColor="text1"/>
          <w:sz w:val="24"/>
          <w:szCs w:val="24"/>
        </w:rPr>
        <w:t>ChatGPT</w:t>
      </w:r>
      <w:proofErr w:type="spellEnd"/>
      <w:r w:rsidRPr="00E827C7">
        <w:rPr>
          <w:rFonts w:ascii="Times New Roman" w:hAnsi="Times New Roman" w:cs="Times New Roman"/>
          <w:color w:val="000000" w:themeColor="text1"/>
          <w:sz w:val="24"/>
          <w:szCs w:val="24"/>
        </w:rPr>
        <w:t xml:space="preserve">, COPILOT, </w:t>
      </w:r>
      <w:proofErr w:type="spellStart"/>
      <w:r w:rsidRPr="00E827C7">
        <w:rPr>
          <w:rFonts w:ascii="Times New Roman" w:hAnsi="Times New Roman" w:cs="Times New Roman"/>
          <w:color w:val="000000" w:themeColor="text1"/>
          <w:sz w:val="24"/>
          <w:szCs w:val="24"/>
        </w:rPr>
        <w:t>etc</w:t>
      </w:r>
      <w:proofErr w:type="spellEnd"/>
      <w:r w:rsidRPr="00E827C7">
        <w:rPr>
          <w:rFonts w:ascii="Times New Roman" w:hAnsi="Times New Roman" w:cs="Times New Roman"/>
          <w:color w:val="000000" w:themeColor="text1"/>
          <w:sz w:val="24"/>
          <w:szCs w:val="24"/>
        </w:rPr>
        <w:t>) and   text-to-image generators have been used during writing or editing of this manuscript.</w:t>
      </w:r>
    </w:p>
    <w:p w14:paraId="6A3C16D7" w14:textId="77777777" w:rsidR="00A57B34" w:rsidRPr="00E827C7" w:rsidRDefault="00A57B34" w:rsidP="00A57B34">
      <w:pPr>
        <w:spacing w:before="24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b/>
          <w:color w:val="000000" w:themeColor="text1"/>
          <w:sz w:val="24"/>
          <w:szCs w:val="24"/>
        </w:rPr>
        <w:t>References</w:t>
      </w:r>
    </w:p>
    <w:p w14:paraId="1E453436"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[1] </w:t>
      </w:r>
      <w:proofErr w:type="spellStart"/>
      <w:r w:rsidRPr="00E827C7">
        <w:rPr>
          <w:rFonts w:ascii="Times New Roman" w:hAnsi="Times New Roman" w:cs="Times New Roman"/>
          <w:color w:val="000000" w:themeColor="text1"/>
          <w:sz w:val="24"/>
          <w:szCs w:val="24"/>
        </w:rPr>
        <w:t>Chungkham</w:t>
      </w:r>
      <w:proofErr w:type="spellEnd"/>
      <w:r w:rsidRPr="00E827C7">
        <w:rPr>
          <w:rFonts w:ascii="Times New Roman" w:hAnsi="Times New Roman" w:cs="Times New Roman"/>
          <w:color w:val="000000" w:themeColor="text1"/>
          <w:sz w:val="24"/>
          <w:szCs w:val="24"/>
        </w:rPr>
        <w:t xml:space="preserve">, D., Singh, S. R., Ram, D., &amp; </w:t>
      </w:r>
      <w:proofErr w:type="spellStart"/>
      <w:r w:rsidRPr="00E827C7">
        <w:rPr>
          <w:rFonts w:ascii="Times New Roman" w:hAnsi="Times New Roman" w:cs="Times New Roman"/>
          <w:color w:val="000000" w:themeColor="text1"/>
          <w:sz w:val="24"/>
          <w:szCs w:val="24"/>
        </w:rPr>
        <w:t>Leishangthem</w:t>
      </w:r>
      <w:proofErr w:type="spellEnd"/>
      <w:r w:rsidRPr="00E827C7">
        <w:rPr>
          <w:rFonts w:ascii="Times New Roman" w:hAnsi="Times New Roman" w:cs="Times New Roman"/>
          <w:color w:val="000000" w:themeColor="text1"/>
          <w:sz w:val="24"/>
          <w:szCs w:val="24"/>
        </w:rPr>
        <w:t xml:space="preserve">, B. S. (2025). Prospects of </w:t>
      </w:r>
      <w:proofErr w:type="spellStart"/>
      <w:r w:rsidRPr="00E827C7">
        <w:rPr>
          <w:rFonts w:ascii="Times New Roman" w:hAnsi="Times New Roman" w:cs="Times New Roman"/>
          <w:color w:val="000000" w:themeColor="text1"/>
          <w:sz w:val="24"/>
          <w:szCs w:val="24"/>
        </w:rPr>
        <w:t>agripreneurship</w:t>
      </w:r>
      <w:proofErr w:type="spellEnd"/>
      <w:r w:rsidRPr="00E827C7">
        <w:rPr>
          <w:rFonts w:ascii="Times New Roman" w:hAnsi="Times New Roman" w:cs="Times New Roman"/>
          <w:color w:val="000000" w:themeColor="text1"/>
          <w:sz w:val="24"/>
          <w:szCs w:val="24"/>
        </w:rPr>
        <w:t xml:space="preserve"> in Manipur, India. </w:t>
      </w:r>
      <w:r w:rsidRPr="00E827C7">
        <w:rPr>
          <w:rFonts w:ascii="Times New Roman" w:hAnsi="Times New Roman" w:cs="Times New Roman"/>
          <w:i/>
          <w:iCs/>
          <w:color w:val="000000" w:themeColor="text1"/>
          <w:sz w:val="24"/>
          <w:szCs w:val="24"/>
        </w:rPr>
        <w:t>Journal of Scientific Research and Reports</w:t>
      </w:r>
      <w:r w:rsidRPr="00E827C7">
        <w:rPr>
          <w:rFonts w:ascii="Times New Roman" w:hAnsi="Times New Roman" w:cs="Times New Roman"/>
          <w:color w:val="000000" w:themeColor="text1"/>
          <w:sz w:val="24"/>
          <w:szCs w:val="24"/>
        </w:rPr>
        <w:t>, </w:t>
      </w:r>
      <w:r w:rsidRPr="00E827C7">
        <w:rPr>
          <w:rFonts w:ascii="Times New Roman" w:hAnsi="Times New Roman" w:cs="Times New Roman"/>
          <w:i/>
          <w:iCs/>
          <w:color w:val="000000" w:themeColor="text1"/>
          <w:sz w:val="24"/>
          <w:szCs w:val="24"/>
        </w:rPr>
        <w:t>31</w:t>
      </w:r>
      <w:r w:rsidRPr="00E827C7">
        <w:rPr>
          <w:rFonts w:ascii="Times New Roman" w:hAnsi="Times New Roman" w:cs="Times New Roman"/>
          <w:color w:val="000000" w:themeColor="text1"/>
          <w:sz w:val="24"/>
          <w:szCs w:val="24"/>
        </w:rPr>
        <w:t>(6), 1015–1032. </w:t>
      </w:r>
      <w:hyperlink r:id="rId10" w:history="1">
        <w:r w:rsidRPr="00E827C7">
          <w:rPr>
            <w:rStyle w:val="Hyperlink"/>
            <w:rFonts w:ascii="Times New Roman" w:hAnsi="Times New Roman" w:cs="Times New Roman"/>
            <w:color w:val="000000" w:themeColor="text1"/>
            <w:sz w:val="24"/>
            <w:szCs w:val="24"/>
          </w:rPr>
          <w:t>https://doi.org/10.9734/jsrr/2025/v31i63194</w:t>
        </w:r>
      </w:hyperlink>
      <w:r w:rsidRPr="00E827C7">
        <w:rPr>
          <w:rFonts w:ascii="Times New Roman" w:hAnsi="Times New Roman" w:cs="Times New Roman"/>
          <w:color w:val="000000" w:themeColor="text1"/>
          <w:sz w:val="24"/>
          <w:szCs w:val="24"/>
        </w:rPr>
        <w:t xml:space="preserve">.  </w:t>
      </w:r>
    </w:p>
    <w:p w14:paraId="5FF0C9FE"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[2] NABARD. (2019). National Bank for Agriculture and Rural Development. </w:t>
      </w:r>
      <w:r w:rsidRPr="00E827C7">
        <w:rPr>
          <w:rFonts w:ascii="Times New Roman" w:hAnsi="Times New Roman" w:cs="Times New Roman"/>
          <w:i/>
          <w:iCs/>
          <w:color w:val="000000" w:themeColor="text1"/>
          <w:sz w:val="24"/>
          <w:szCs w:val="24"/>
        </w:rPr>
        <w:t>State Focus Paper: Manipur State Focus Paper 2019–20</w:t>
      </w:r>
      <w:r w:rsidRPr="00E827C7">
        <w:rPr>
          <w:rFonts w:ascii="Times New Roman" w:hAnsi="Times New Roman" w:cs="Times New Roman"/>
          <w:color w:val="000000" w:themeColor="text1"/>
          <w:sz w:val="24"/>
          <w:szCs w:val="24"/>
        </w:rPr>
        <w:t xml:space="preserve">. </w:t>
      </w:r>
      <w:hyperlink r:id="rId11" w:history="1">
        <w:r w:rsidRPr="00E827C7">
          <w:rPr>
            <w:rStyle w:val="Hyperlink"/>
            <w:rFonts w:ascii="Times New Roman" w:hAnsi="Times New Roman" w:cs="Times New Roman"/>
            <w:color w:val="000000" w:themeColor="text1"/>
            <w:sz w:val="24"/>
            <w:szCs w:val="24"/>
          </w:rPr>
          <w:t>https://www.nabard.org/auth/writereaddata/tender/1702201825Manipur.pdf</w:t>
        </w:r>
      </w:hyperlink>
      <w:r w:rsidRPr="00E827C7">
        <w:rPr>
          <w:rFonts w:ascii="Times New Roman" w:hAnsi="Times New Roman" w:cs="Times New Roman"/>
          <w:color w:val="000000" w:themeColor="text1"/>
          <w:sz w:val="24"/>
          <w:szCs w:val="24"/>
        </w:rPr>
        <w:t xml:space="preserve"> </w:t>
      </w:r>
    </w:p>
    <w:p w14:paraId="3381EEF7"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[3] Ajzen, I. (1991). The theory of planned behavior. </w:t>
      </w:r>
      <w:r w:rsidRPr="00E827C7">
        <w:rPr>
          <w:rFonts w:ascii="Times New Roman" w:hAnsi="Times New Roman" w:cs="Times New Roman"/>
          <w:i/>
          <w:iCs/>
          <w:color w:val="000000" w:themeColor="text1"/>
          <w:sz w:val="24"/>
          <w:szCs w:val="24"/>
        </w:rPr>
        <w:t>Organizational Behavior and Human Decision Processes</w:t>
      </w:r>
      <w:r w:rsidRPr="00E827C7">
        <w:rPr>
          <w:rFonts w:ascii="Times New Roman" w:hAnsi="Times New Roman" w:cs="Times New Roman"/>
          <w:color w:val="000000" w:themeColor="text1"/>
          <w:sz w:val="24"/>
          <w:szCs w:val="24"/>
        </w:rPr>
        <w:t>, </w:t>
      </w:r>
      <w:r w:rsidRPr="00E827C7">
        <w:rPr>
          <w:rFonts w:ascii="Times New Roman" w:hAnsi="Times New Roman" w:cs="Times New Roman"/>
          <w:i/>
          <w:iCs/>
          <w:color w:val="000000" w:themeColor="text1"/>
          <w:sz w:val="24"/>
          <w:szCs w:val="24"/>
        </w:rPr>
        <w:t>50</w:t>
      </w:r>
      <w:r w:rsidRPr="00E827C7">
        <w:rPr>
          <w:rFonts w:ascii="Times New Roman" w:hAnsi="Times New Roman" w:cs="Times New Roman"/>
          <w:color w:val="000000" w:themeColor="text1"/>
          <w:sz w:val="24"/>
          <w:szCs w:val="24"/>
        </w:rPr>
        <w:t>(2), 179–211. </w:t>
      </w:r>
      <w:hyperlink r:id="rId12" w:history="1">
        <w:r w:rsidRPr="00E827C7">
          <w:rPr>
            <w:rStyle w:val="Hyperlink"/>
            <w:rFonts w:ascii="Times New Roman" w:hAnsi="Times New Roman" w:cs="Times New Roman"/>
            <w:color w:val="000000" w:themeColor="text1"/>
            <w:sz w:val="24"/>
            <w:szCs w:val="24"/>
          </w:rPr>
          <w:t>https://doi.org/10.1016/0749-5978(91)90020-t</w:t>
        </w:r>
      </w:hyperlink>
      <w:r w:rsidRPr="00E827C7">
        <w:rPr>
          <w:rFonts w:ascii="Times New Roman" w:hAnsi="Times New Roman" w:cs="Times New Roman"/>
          <w:color w:val="000000" w:themeColor="text1"/>
          <w:sz w:val="24"/>
          <w:szCs w:val="24"/>
        </w:rPr>
        <w:t xml:space="preserve">  </w:t>
      </w:r>
    </w:p>
    <w:p w14:paraId="1AB93D78"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[4] Licht, A. N., &amp; Siegel, J. I. (2009). The social dimensions of entrepreneurship. In </w:t>
      </w:r>
      <w:r w:rsidRPr="00E827C7">
        <w:rPr>
          <w:rFonts w:ascii="Times New Roman" w:hAnsi="Times New Roman" w:cs="Times New Roman"/>
          <w:i/>
          <w:iCs/>
          <w:color w:val="000000" w:themeColor="text1"/>
          <w:sz w:val="24"/>
          <w:szCs w:val="24"/>
        </w:rPr>
        <w:t>Oxford University Press eBooks</w:t>
      </w:r>
      <w:r w:rsidRPr="00E827C7">
        <w:rPr>
          <w:rFonts w:ascii="Times New Roman" w:hAnsi="Times New Roman" w:cs="Times New Roman"/>
          <w:color w:val="000000" w:themeColor="text1"/>
          <w:sz w:val="24"/>
          <w:szCs w:val="24"/>
        </w:rPr>
        <w:t> (pp. 511–539). </w:t>
      </w:r>
      <w:hyperlink r:id="rId13" w:history="1">
        <w:r w:rsidRPr="00E827C7">
          <w:rPr>
            <w:rStyle w:val="Hyperlink"/>
            <w:rFonts w:ascii="Times New Roman" w:hAnsi="Times New Roman" w:cs="Times New Roman"/>
            <w:color w:val="000000" w:themeColor="text1"/>
            <w:sz w:val="24"/>
            <w:szCs w:val="24"/>
          </w:rPr>
          <w:t>https://doi.org/10.1093/oxfordhb/9780199546992.003.0019</w:t>
        </w:r>
      </w:hyperlink>
      <w:r w:rsidRPr="00E827C7">
        <w:rPr>
          <w:rFonts w:ascii="Times New Roman" w:hAnsi="Times New Roman" w:cs="Times New Roman"/>
          <w:color w:val="000000" w:themeColor="text1"/>
          <w:sz w:val="24"/>
          <w:szCs w:val="24"/>
        </w:rPr>
        <w:t xml:space="preserve">  </w:t>
      </w:r>
    </w:p>
    <w:p w14:paraId="4F77DFDD"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[5] Kadirvel, G., </w:t>
      </w:r>
      <w:proofErr w:type="spellStart"/>
      <w:r w:rsidRPr="00E827C7">
        <w:rPr>
          <w:rFonts w:ascii="Times New Roman" w:hAnsi="Times New Roman" w:cs="Times New Roman"/>
          <w:color w:val="000000" w:themeColor="text1"/>
          <w:sz w:val="24"/>
          <w:szCs w:val="24"/>
        </w:rPr>
        <w:t>Gangmei</w:t>
      </w:r>
      <w:proofErr w:type="spellEnd"/>
      <w:r w:rsidRPr="00E827C7">
        <w:rPr>
          <w:rFonts w:ascii="Times New Roman" w:hAnsi="Times New Roman" w:cs="Times New Roman"/>
          <w:color w:val="000000" w:themeColor="text1"/>
          <w:sz w:val="24"/>
          <w:szCs w:val="24"/>
        </w:rPr>
        <w:t xml:space="preserve">, D. L., Banerjee, B. B., </w:t>
      </w:r>
      <w:proofErr w:type="spellStart"/>
      <w:r w:rsidRPr="00E827C7">
        <w:rPr>
          <w:rFonts w:ascii="Times New Roman" w:hAnsi="Times New Roman" w:cs="Times New Roman"/>
          <w:color w:val="000000" w:themeColor="text1"/>
          <w:sz w:val="24"/>
          <w:szCs w:val="24"/>
        </w:rPr>
        <w:t>Assumi</w:t>
      </w:r>
      <w:proofErr w:type="spellEnd"/>
      <w:r w:rsidRPr="00E827C7">
        <w:rPr>
          <w:rFonts w:ascii="Times New Roman" w:hAnsi="Times New Roman" w:cs="Times New Roman"/>
          <w:color w:val="000000" w:themeColor="text1"/>
          <w:sz w:val="24"/>
          <w:szCs w:val="24"/>
        </w:rPr>
        <w:t xml:space="preserve">, S. R., </w:t>
      </w:r>
      <w:proofErr w:type="spellStart"/>
      <w:r w:rsidRPr="00E827C7">
        <w:rPr>
          <w:rFonts w:ascii="Times New Roman" w:hAnsi="Times New Roman" w:cs="Times New Roman"/>
          <w:color w:val="000000" w:themeColor="text1"/>
          <w:sz w:val="24"/>
          <w:szCs w:val="24"/>
        </w:rPr>
        <w:t>Dkhar</w:t>
      </w:r>
      <w:proofErr w:type="spellEnd"/>
      <w:r w:rsidRPr="00E827C7">
        <w:rPr>
          <w:rFonts w:ascii="Times New Roman" w:hAnsi="Times New Roman" w:cs="Times New Roman"/>
          <w:color w:val="000000" w:themeColor="text1"/>
          <w:sz w:val="24"/>
          <w:szCs w:val="24"/>
        </w:rPr>
        <w:t>, S. E., &amp; Mukherjee, A. (2020). Agri-business in North East India: current status, potential ventures and strategies. </w:t>
      </w:r>
      <w:r w:rsidRPr="00E827C7">
        <w:rPr>
          <w:rFonts w:ascii="Times New Roman" w:hAnsi="Times New Roman" w:cs="Times New Roman"/>
          <w:i/>
          <w:iCs/>
          <w:color w:val="000000" w:themeColor="text1"/>
          <w:sz w:val="24"/>
          <w:szCs w:val="24"/>
        </w:rPr>
        <w:t>Current Journal of Applied Science and Technology</w:t>
      </w:r>
      <w:r w:rsidRPr="00E827C7">
        <w:rPr>
          <w:rFonts w:ascii="Times New Roman" w:hAnsi="Times New Roman" w:cs="Times New Roman"/>
          <w:color w:val="000000" w:themeColor="text1"/>
          <w:sz w:val="24"/>
          <w:szCs w:val="24"/>
        </w:rPr>
        <w:t>, 74–85. </w:t>
      </w:r>
      <w:hyperlink r:id="rId14" w:history="1">
        <w:r w:rsidRPr="00E827C7">
          <w:rPr>
            <w:rStyle w:val="Hyperlink"/>
            <w:rFonts w:ascii="Times New Roman" w:hAnsi="Times New Roman" w:cs="Times New Roman"/>
            <w:color w:val="000000" w:themeColor="text1"/>
            <w:sz w:val="24"/>
            <w:szCs w:val="24"/>
          </w:rPr>
          <w:t>https://doi.org/10.9734/cjast/2020/v39i3331021</w:t>
        </w:r>
      </w:hyperlink>
      <w:r w:rsidRPr="00E827C7">
        <w:rPr>
          <w:rFonts w:ascii="Times New Roman" w:hAnsi="Times New Roman" w:cs="Times New Roman"/>
          <w:color w:val="000000" w:themeColor="text1"/>
          <w:sz w:val="24"/>
          <w:szCs w:val="24"/>
        </w:rPr>
        <w:t xml:space="preserve">  </w:t>
      </w:r>
    </w:p>
    <w:p w14:paraId="44D3EEC3"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[6] </w:t>
      </w:r>
      <w:proofErr w:type="spellStart"/>
      <w:r w:rsidRPr="00E827C7">
        <w:rPr>
          <w:rFonts w:ascii="Times New Roman" w:hAnsi="Times New Roman" w:cs="Times New Roman"/>
          <w:color w:val="000000" w:themeColor="text1"/>
          <w:sz w:val="24"/>
          <w:szCs w:val="24"/>
        </w:rPr>
        <w:t>Hijam</w:t>
      </w:r>
      <w:proofErr w:type="spellEnd"/>
      <w:r w:rsidRPr="00E827C7">
        <w:rPr>
          <w:rFonts w:ascii="Times New Roman" w:hAnsi="Times New Roman" w:cs="Times New Roman"/>
          <w:color w:val="000000" w:themeColor="text1"/>
          <w:sz w:val="24"/>
          <w:szCs w:val="24"/>
        </w:rPr>
        <w:t xml:space="preserve">, K., &amp; </w:t>
      </w:r>
      <w:proofErr w:type="spellStart"/>
      <w:r w:rsidRPr="00E827C7">
        <w:rPr>
          <w:rFonts w:ascii="Times New Roman" w:hAnsi="Times New Roman" w:cs="Times New Roman"/>
          <w:color w:val="000000" w:themeColor="text1"/>
          <w:sz w:val="24"/>
          <w:szCs w:val="24"/>
        </w:rPr>
        <w:t>Meetei</w:t>
      </w:r>
      <w:proofErr w:type="spellEnd"/>
      <w:r w:rsidRPr="00E827C7">
        <w:rPr>
          <w:rFonts w:ascii="Times New Roman" w:hAnsi="Times New Roman" w:cs="Times New Roman"/>
          <w:color w:val="000000" w:themeColor="text1"/>
          <w:sz w:val="24"/>
          <w:szCs w:val="24"/>
        </w:rPr>
        <w:t xml:space="preserve">, K. D. (2025). </w:t>
      </w:r>
      <w:r w:rsidRPr="00E827C7">
        <w:rPr>
          <w:rFonts w:ascii="Times New Roman" w:hAnsi="Times New Roman" w:cs="Times New Roman"/>
          <w:i/>
          <w:iCs/>
          <w:color w:val="000000" w:themeColor="text1"/>
          <w:sz w:val="24"/>
          <w:szCs w:val="24"/>
        </w:rPr>
        <w:t>A study on growth progress of start-ups in the North East India</w:t>
      </w:r>
      <w:r w:rsidRPr="00E827C7">
        <w:rPr>
          <w:rFonts w:ascii="Times New Roman" w:hAnsi="Times New Roman" w:cs="Times New Roman"/>
          <w:color w:val="000000" w:themeColor="text1"/>
          <w:sz w:val="24"/>
          <w:szCs w:val="24"/>
        </w:rPr>
        <w:t xml:space="preserve">. </w:t>
      </w:r>
      <w:r w:rsidRPr="00E827C7">
        <w:rPr>
          <w:rFonts w:ascii="Times New Roman" w:hAnsi="Times New Roman" w:cs="Times New Roman"/>
          <w:i/>
          <w:iCs/>
          <w:color w:val="000000" w:themeColor="text1"/>
          <w:sz w:val="24"/>
          <w:szCs w:val="24"/>
        </w:rPr>
        <w:t>International Journal of Creative Research Thoughts</w:t>
      </w:r>
      <w:r w:rsidRPr="00E827C7">
        <w:rPr>
          <w:rFonts w:ascii="Times New Roman" w:hAnsi="Times New Roman" w:cs="Times New Roman"/>
          <w:color w:val="000000" w:themeColor="text1"/>
          <w:sz w:val="24"/>
          <w:szCs w:val="24"/>
        </w:rPr>
        <w:t xml:space="preserve">, 13(2), [pages]. International Journal of Creative Research Thoughts. </w:t>
      </w:r>
      <w:hyperlink r:id="rId15" w:history="1">
        <w:r w:rsidRPr="00E827C7">
          <w:rPr>
            <w:rStyle w:val="Hyperlink"/>
            <w:rFonts w:ascii="Times New Roman" w:hAnsi="Times New Roman" w:cs="Times New Roman"/>
            <w:color w:val="000000" w:themeColor="text1"/>
            <w:sz w:val="24"/>
            <w:szCs w:val="24"/>
          </w:rPr>
          <w:t>https://www.ijcrt.org/papers/IJCRT2502081.pdf</w:t>
        </w:r>
      </w:hyperlink>
      <w:r w:rsidRPr="00E827C7">
        <w:rPr>
          <w:rFonts w:ascii="Times New Roman" w:hAnsi="Times New Roman" w:cs="Times New Roman"/>
          <w:color w:val="000000" w:themeColor="text1"/>
          <w:sz w:val="24"/>
          <w:szCs w:val="24"/>
        </w:rPr>
        <w:t xml:space="preserve"> </w:t>
      </w:r>
    </w:p>
    <w:p w14:paraId="117B81A4"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[7] Creswell, J. W. (2009). </w:t>
      </w:r>
      <w:r w:rsidRPr="00E827C7">
        <w:rPr>
          <w:rFonts w:ascii="Times New Roman" w:hAnsi="Times New Roman" w:cs="Times New Roman"/>
          <w:i/>
          <w:iCs/>
          <w:color w:val="000000" w:themeColor="text1"/>
          <w:sz w:val="24"/>
          <w:szCs w:val="24"/>
        </w:rPr>
        <w:t>Research design: Qualitative, quantitative, and mixed methods approaches</w:t>
      </w:r>
      <w:r w:rsidRPr="00E827C7">
        <w:rPr>
          <w:rFonts w:ascii="Times New Roman" w:hAnsi="Times New Roman" w:cs="Times New Roman"/>
          <w:color w:val="000000" w:themeColor="text1"/>
          <w:sz w:val="24"/>
          <w:szCs w:val="24"/>
        </w:rPr>
        <w:t xml:space="preserve"> (3rd ed.). SAGE Publications. </w:t>
      </w:r>
      <w:hyperlink r:id="rId16" w:history="1">
        <w:r w:rsidRPr="00E827C7">
          <w:rPr>
            <w:rStyle w:val="Hyperlink"/>
            <w:rFonts w:ascii="Times New Roman" w:hAnsi="Times New Roman" w:cs="Times New Roman"/>
            <w:color w:val="000000" w:themeColor="text1"/>
            <w:sz w:val="24"/>
            <w:szCs w:val="24"/>
          </w:rPr>
          <w:t>https://www.ucg.ac.me/sklad</w:t>
        </w:r>
      </w:hyperlink>
      <w:r w:rsidRPr="00E827C7">
        <w:rPr>
          <w:rFonts w:ascii="Times New Roman" w:hAnsi="Times New Roman" w:cs="Times New Roman"/>
          <w:color w:val="000000" w:themeColor="text1"/>
          <w:sz w:val="24"/>
          <w:szCs w:val="24"/>
        </w:rPr>
        <w:t xml:space="preserve"> </w:t>
      </w:r>
    </w:p>
    <w:p w14:paraId="4A29190A"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[8] Bryman, A. (2016). Social research methods (5th ed.). Oxford University Press. </w:t>
      </w:r>
      <w:hyperlink r:id="rId17" w:history="1">
        <w:r w:rsidRPr="00E827C7">
          <w:rPr>
            <w:rStyle w:val="Hyperlink"/>
            <w:rFonts w:ascii="Times New Roman" w:hAnsi="Times New Roman" w:cs="Times New Roman"/>
            <w:color w:val="000000" w:themeColor="text1"/>
            <w:sz w:val="24"/>
            <w:szCs w:val="24"/>
          </w:rPr>
          <w:t>https://ktpu.kpi.ua/wp-content/uploads/2014/02/social-research-methods-alan-bryman.pdf</w:t>
        </w:r>
      </w:hyperlink>
      <w:r w:rsidRPr="00E827C7">
        <w:rPr>
          <w:rFonts w:ascii="Times New Roman" w:hAnsi="Times New Roman" w:cs="Times New Roman"/>
          <w:color w:val="000000" w:themeColor="text1"/>
          <w:sz w:val="24"/>
          <w:szCs w:val="24"/>
        </w:rPr>
        <w:t xml:space="preserve"> </w:t>
      </w:r>
    </w:p>
    <w:p w14:paraId="25B271C5"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lastRenderedPageBreak/>
        <w:t xml:space="preserve">[9] </w:t>
      </w:r>
      <w:proofErr w:type="spellStart"/>
      <w:r w:rsidRPr="00E827C7">
        <w:rPr>
          <w:rFonts w:ascii="Times New Roman" w:hAnsi="Times New Roman" w:cs="Times New Roman"/>
          <w:color w:val="000000" w:themeColor="text1"/>
          <w:sz w:val="24"/>
          <w:szCs w:val="24"/>
        </w:rPr>
        <w:t>Etikan</w:t>
      </w:r>
      <w:proofErr w:type="spellEnd"/>
      <w:r w:rsidRPr="00E827C7">
        <w:rPr>
          <w:rFonts w:ascii="Times New Roman" w:hAnsi="Times New Roman" w:cs="Times New Roman"/>
          <w:color w:val="000000" w:themeColor="text1"/>
          <w:sz w:val="24"/>
          <w:szCs w:val="24"/>
        </w:rPr>
        <w:t>, I. (2016). Comparison of convenience sampling and purposive sampling. </w:t>
      </w:r>
      <w:r w:rsidRPr="00E827C7">
        <w:rPr>
          <w:rFonts w:ascii="Times New Roman" w:hAnsi="Times New Roman" w:cs="Times New Roman"/>
          <w:i/>
          <w:iCs/>
          <w:color w:val="000000" w:themeColor="text1"/>
          <w:sz w:val="24"/>
          <w:szCs w:val="24"/>
        </w:rPr>
        <w:t>American Journal of Theoretical and Applied Statistics</w:t>
      </w:r>
      <w:r w:rsidRPr="00E827C7">
        <w:rPr>
          <w:rFonts w:ascii="Times New Roman" w:hAnsi="Times New Roman" w:cs="Times New Roman"/>
          <w:color w:val="000000" w:themeColor="text1"/>
          <w:sz w:val="24"/>
          <w:szCs w:val="24"/>
        </w:rPr>
        <w:t>, </w:t>
      </w:r>
      <w:r w:rsidRPr="00E827C7">
        <w:rPr>
          <w:rFonts w:ascii="Times New Roman" w:hAnsi="Times New Roman" w:cs="Times New Roman"/>
          <w:i/>
          <w:iCs/>
          <w:color w:val="000000" w:themeColor="text1"/>
          <w:sz w:val="24"/>
          <w:szCs w:val="24"/>
        </w:rPr>
        <w:t>5</w:t>
      </w:r>
      <w:r w:rsidRPr="00E827C7">
        <w:rPr>
          <w:rFonts w:ascii="Times New Roman" w:hAnsi="Times New Roman" w:cs="Times New Roman"/>
          <w:color w:val="000000" w:themeColor="text1"/>
          <w:sz w:val="24"/>
          <w:szCs w:val="24"/>
        </w:rPr>
        <w:t>(1), 1. </w:t>
      </w:r>
      <w:hyperlink r:id="rId18" w:history="1">
        <w:r w:rsidRPr="00E827C7">
          <w:rPr>
            <w:rStyle w:val="Hyperlink"/>
            <w:rFonts w:ascii="Times New Roman" w:hAnsi="Times New Roman" w:cs="Times New Roman"/>
            <w:color w:val="000000" w:themeColor="text1"/>
            <w:sz w:val="24"/>
            <w:szCs w:val="24"/>
          </w:rPr>
          <w:t>https://doi.org/10.11648/j.ajtas.20160501.11</w:t>
        </w:r>
      </w:hyperlink>
      <w:r w:rsidRPr="00E827C7">
        <w:rPr>
          <w:rFonts w:ascii="Times New Roman" w:hAnsi="Times New Roman" w:cs="Times New Roman"/>
          <w:color w:val="000000" w:themeColor="text1"/>
          <w:sz w:val="24"/>
          <w:szCs w:val="24"/>
        </w:rPr>
        <w:t xml:space="preserve">  </w:t>
      </w:r>
    </w:p>
    <w:p w14:paraId="49C363F0"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[10] Palinkas, L. A., Horwitz, S. M., Green, C. A., Wisdom, J. P., Duan, N., &amp; </w:t>
      </w:r>
      <w:proofErr w:type="spellStart"/>
      <w:r w:rsidRPr="00E827C7">
        <w:rPr>
          <w:rFonts w:ascii="Times New Roman" w:hAnsi="Times New Roman" w:cs="Times New Roman"/>
          <w:color w:val="000000" w:themeColor="text1"/>
          <w:sz w:val="24"/>
          <w:szCs w:val="24"/>
        </w:rPr>
        <w:t>Hoagwood</w:t>
      </w:r>
      <w:proofErr w:type="spellEnd"/>
      <w:r w:rsidRPr="00E827C7">
        <w:rPr>
          <w:rFonts w:ascii="Times New Roman" w:hAnsi="Times New Roman" w:cs="Times New Roman"/>
          <w:color w:val="000000" w:themeColor="text1"/>
          <w:sz w:val="24"/>
          <w:szCs w:val="24"/>
        </w:rPr>
        <w:t>, K. (2013). Purposeful sampling for qualitative data collection and analysis in mixed method implementation research. </w:t>
      </w:r>
      <w:r w:rsidRPr="00E827C7">
        <w:rPr>
          <w:rFonts w:ascii="Times New Roman" w:hAnsi="Times New Roman" w:cs="Times New Roman"/>
          <w:i/>
          <w:iCs/>
          <w:color w:val="000000" w:themeColor="text1"/>
          <w:sz w:val="24"/>
          <w:szCs w:val="24"/>
        </w:rPr>
        <w:t>Administration and Policy in Mental Health and Mental Health Services Research</w:t>
      </w:r>
      <w:r w:rsidRPr="00E827C7">
        <w:rPr>
          <w:rFonts w:ascii="Times New Roman" w:hAnsi="Times New Roman" w:cs="Times New Roman"/>
          <w:color w:val="000000" w:themeColor="text1"/>
          <w:sz w:val="24"/>
          <w:szCs w:val="24"/>
        </w:rPr>
        <w:t>, </w:t>
      </w:r>
      <w:r w:rsidRPr="00E827C7">
        <w:rPr>
          <w:rFonts w:ascii="Times New Roman" w:hAnsi="Times New Roman" w:cs="Times New Roman"/>
          <w:i/>
          <w:iCs/>
          <w:color w:val="000000" w:themeColor="text1"/>
          <w:sz w:val="24"/>
          <w:szCs w:val="24"/>
        </w:rPr>
        <w:t>42</w:t>
      </w:r>
      <w:r w:rsidRPr="00E827C7">
        <w:rPr>
          <w:rFonts w:ascii="Times New Roman" w:hAnsi="Times New Roman" w:cs="Times New Roman"/>
          <w:color w:val="000000" w:themeColor="text1"/>
          <w:sz w:val="24"/>
          <w:szCs w:val="24"/>
        </w:rPr>
        <w:t>(5), 533–544. </w:t>
      </w:r>
      <w:hyperlink r:id="rId19" w:history="1">
        <w:r w:rsidRPr="00E827C7">
          <w:rPr>
            <w:rStyle w:val="Hyperlink"/>
            <w:rFonts w:ascii="Times New Roman" w:hAnsi="Times New Roman" w:cs="Times New Roman"/>
            <w:color w:val="000000" w:themeColor="text1"/>
            <w:sz w:val="24"/>
            <w:szCs w:val="24"/>
          </w:rPr>
          <w:t>https://doi.org/10.1007/s10488-013-0528-y</w:t>
        </w:r>
      </w:hyperlink>
      <w:r w:rsidRPr="00E827C7">
        <w:rPr>
          <w:rFonts w:ascii="Times New Roman" w:hAnsi="Times New Roman" w:cs="Times New Roman"/>
          <w:color w:val="000000" w:themeColor="text1"/>
          <w:sz w:val="24"/>
          <w:szCs w:val="24"/>
        </w:rPr>
        <w:t xml:space="preserve">  </w:t>
      </w:r>
    </w:p>
    <w:p w14:paraId="67DDD211"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[11] </w:t>
      </w:r>
      <w:proofErr w:type="spellStart"/>
      <w:r w:rsidRPr="00E827C7">
        <w:rPr>
          <w:rFonts w:ascii="Times New Roman" w:hAnsi="Times New Roman" w:cs="Times New Roman"/>
          <w:color w:val="000000" w:themeColor="text1"/>
          <w:sz w:val="24"/>
          <w:szCs w:val="24"/>
        </w:rPr>
        <w:t>Tavakol</w:t>
      </w:r>
      <w:proofErr w:type="spellEnd"/>
      <w:r w:rsidRPr="00E827C7">
        <w:rPr>
          <w:rFonts w:ascii="Times New Roman" w:hAnsi="Times New Roman" w:cs="Times New Roman"/>
          <w:color w:val="000000" w:themeColor="text1"/>
          <w:sz w:val="24"/>
          <w:szCs w:val="24"/>
        </w:rPr>
        <w:t>, M., &amp; Dennick, R. (2011). Making sense of Cronbach’s alpha. </w:t>
      </w:r>
      <w:r w:rsidRPr="00E827C7">
        <w:rPr>
          <w:rFonts w:ascii="Times New Roman" w:hAnsi="Times New Roman" w:cs="Times New Roman"/>
          <w:i/>
          <w:iCs/>
          <w:color w:val="000000" w:themeColor="text1"/>
          <w:sz w:val="24"/>
          <w:szCs w:val="24"/>
        </w:rPr>
        <w:t>International Journal of Medical Education</w:t>
      </w:r>
      <w:r w:rsidRPr="00E827C7">
        <w:rPr>
          <w:rFonts w:ascii="Times New Roman" w:hAnsi="Times New Roman" w:cs="Times New Roman"/>
          <w:color w:val="000000" w:themeColor="text1"/>
          <w:sz w:val="24"/>
          <w:szCs w:val="24"/>
        </w:rPr>
        <w:t>, </w:t>
      </w:r>
      <w:r w:rsidRPr="00E827C7">
        <w:rPr>
          <w:rFonts w:ascii="Times New Roman" w:hAnsi="Times New Roman" w:cs="Times New Roman"/>
          <w:i/>
          <w:iCs/>
          <w:color w:val="000000" w:themeColor="text1"/>
          <w:sz w:val="24"/>
          <w:szCs w:val="24"/>
        </w:rPr>
        <w:t>2</w:t>
      </w:r>
      <w:r w:rsidRPr="00E827C7">
        <w:rPr>
          <w:rFonts w:ascii="Times New Roman" w:hAnsi="Times New Roman" w:cs="Times New Roman"/>
          <w:color w:val="000000" w:themeColor="text1"/>
          <w:sz w:val="24"/>
          <w:szCs w:val="24"/>
        </w:rPr>
        <w:t>, 53–55. </w:t>
      </w:r>
      <w:hyperlink r:id="rId20" w:history="1">
        <w:r w:rsidRPr="00E827C7">
          <w:rPr>
            <w:rStyle w:val="Hyperlink"/>
            <w:rFonts w:ascii="Times New Roman" w:hAnsi="Times New Roman" w:cs="Times New Roman"/>
            <w:color w:val="000000" w:themeColor="text1"/>
            <w:sz w:val="24"/>
            <w:szCs w:val="24"/>
          </w:rPr>
          <w:t>https://doi.org/10.5116/ijme.4dfb.8dfd</w:t>
        </w:r>
      </w:hyperlink>
      <w:r w:rsidRPr="00E827C7">
        <w:rPr>
          <w:rFonts w:ascii="Times New Roman" w:hAnsi="Times New Roman" w:cs="Times New Roman"/>
          <w:color w:val="000000" w:themeColor="text1"/>
          <w:sz w:val="24"/>
          <w:szCs w:val="24"/>
        </w:rPr>
        <w:t xml:space="preserve">  </w:t>
      </w:r>
    </w:p>
    <w:p w14:paraId="43D0B4E3"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[12] Creswell, J. W., &amp; Creswell, J. D. (2018). </w:t>
      </w:r>
      <w:r w:rsidRPr="00E827C7">
        <w:rPr>
          <w:rFonts w:ascii="Times New Roman" w:hAnsi="Times New Roman" w:cs="Times New Roman"/>
          <w:i/>
          <w:iCs/>
          <w:color w:val="000000" w:themeColor="text1"/>
          <w:sz w:val="24"/>
          <w:szCs w:val="24"/>
        </w:rPr>
        <w:t>Research design: Qualitative, quantitative, and mixed methods approaches</w:t>
      </w:r>
      <w:r w:rsidRPr="00E827C7">
        <w:rPr>
          <w:rFonts w:ascii="Times New Roman" w:hAnsi="Times New Roman" w:cs="Times New Roman"/>
          <w:color w:val="000000" w:themeColor="text1"/>
          <w:sz w:val="24"/>
          <w:szCs w:val="24"/>
        </w:rPr>
        <w:t xml:space="preserve"> (5th ed.). SAGE Publications. </w:t>
      </w:r>
      <w:hyperlink r:id="rId21" w:history="1">
        <w:r w:rsidRPr="00E827C7">
          <w:rPr>
            <w:rStyle w:val="Hyperlink"/>
            <w:rFonts w:ascii="Times New Roman" w:hAnsi="Times New Roman" w:cs="Times New Roman"/>
            <w:color w:val="000000" w:themeColor="text1"/>
            <w:sz w:val="24"/>
            <w:szCs w:val="24"/>
          </w:rPr>
          <w:t>https://edge.sagepub.com/field5e</w:t>
        </w:r>
      </w:hyperlink>
      <w:r w:rsidRPr="00E827C7">
        <w:rPr>
          <w:rFonts w:ascii="Times New Roman" w:hAnsi="Times New Roman" w:cs="Times New Roman"/>
          <w:color w:val="000000" w:themeColor="text1"/>
          <w:sz w:val="24"/>
          <w:szCs w:val="24"/>
        </w:rPr>
        <w:t xml:space="preserve"> </w:t>
      </w:r>
    </w:p>
    <w:p w14:paraId="38B832B8"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[13] Osborne, J. W., &amp; Waters, E. (2002). Four assumptions of multiple regression that researchers should always test. </w:t>
      </w:r>
      <w:r w:rsidRPr="00E827C7">
        <w:rPr>
          <w:rFonts w:ascii="Times New Roman" w:hAnsi="Times New Roman" w:cs="Times New Roman"/>
          <w:i/>
          <w:iCs/>
          <w:color w:val="000000" w:themeColor="text1"/>
          <w:sz w:val="24"/>
          <w:szCs w:val="24"/>
        </w:rPr>
        <w:t>Practical Assessment, Research &amp; Evaluation</w:t>
      </w:r>
      <w:r w:rsidRPr="00E827C7">
        <w:rPr>
          <w:rFonts w:ascii="Times New Roman" w:hAnsi="Times New Roman" w:cs="Times New Roman"/>
          <w:color w:val="000000" w:themeColor="text1"/>
          <w:sz w:val="24"/>
          <w:szCs w:val="24"/>
        </w:rPr>
        <w:t xml:space="preserve">, 8(2). </w:t>
      </w:r>
      <w:hyperlink r:id="rId22" w:history="1">
        <w:r w:rsidRPr="00E827C7">
          <w:rPr>
            <w:rStyle w:val="Hyperlink"/>
            <w:rFonts w:ascii="Times New Roman" w:hAnsi="Times New Roman" w:cs="Times New Roman"/>
            <w:color w:val="000000" w:themeColor="text1"/>
            <w:sz w:val="24"/>
            <w:szCs w:val="24"/>
          </w:rPr>
          <w:t>https://www.researchgate.net/publication/234616195_Four_Assumptions_of_Multiple_Regression_That_Researchers_Should_Always_Test</w:t>
        </w:r>
      </w:hyperlink>
      <w:r w:rsidRPr="00E827C7">
        <w:rPr>
          <w:rFonts w:ascii="Times New Roman" w:hAnsi="Times New Roman" w:cs="Times New Roman"/>
          <w:color w:val="000000" w:themeColor="text1"/>
          <w:sz w:val="24"/>
          <w:szCs w:val="24"/>
        </w:rPr>
        <w:t xml:space="preserve"> </w:t>
      </w:r>
    </w:p>
    <w:p w14:paraId="0D7E96E9"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[14] </w:t>
      </w:r>
      <w:proofErr w:type="spellStart"/>
      <w:r w:rsidRPr="00E827C7">
        <w:rPr>
          <w:rFonts w:ascii="Times New Roman" w:hAnsi="Times New Roman" w:cs="Times New Roman"/>
          <w:color w:val="000000" w:themeColor="text1"/>
          <w:sz w:val="24"/>
          <w:szCs w:val="24"/>
        </w:rPr>
        <w:t>Megaladevi</w:t>
      </w:r>
      <w:proofErr w:type="spellEnd"/>
      <w:r w:rsidRPr="00E827C7">
        <w:rPr>
          <w:rFonts w:ascii="Times New Roman" w:hAnsi="Times New Roman" w:cs="Times New Roman"/>
          <w:color w:val="000000" w:themeColor="text1"/>
          <w:sz w:val="24"/>
          <w:szCs w:val="24"/>
        </w:rPr>
        <w:t>, P., Malini, D. H., Nagi, M. S., Kumar, S. a. S., &amp; Muthukrishnan, B. (2024). Entrepreneurial Intentions among the Agricultural Graduates in Rural Location [English]. In </w:t>
      </w:r>
      <w:r w:rsidRPr="00E827C7">
        <w:rPr>
          <w:rFonts w:ascii="Times New Roman" w:hAnsi="Times New Roman" w:cs="Times New Roman"/>
          <w:i/>
          <w:iCs/>
          <w:color w:val="000000" w:themeColor="text1"/>
          <w:sz w:val="24"/>
          <w:szCs w:val="24"/>
        </w:rPr>
        <w:t>ORGANIZATION, PURPOSE, AND VALUES</w:t>
      </w:r>
      <w:r w:rsidRPr="00E827C7">
        <w:rPr>
          <w:rFonts w:ascii="Times New Roman" w:hAnsi="Times New Roman" w:cs="Times New Roman"/>
          <w:color w:val="000000" w:themeColor="text1"/>
          <w:sz w:val="24"/>
          <w:szCs w:val="24"/>
        </w:rPr>
        <w:t> (1st ed., Vol. 1, pp. 456–468). Taylor &amp; Francis. </w:t>
      </w:r>
      <w:hyperlink r:id="rId23" w:history="1">
        <w:r w:rsidRPr="00E827C7">
          <w:rPr>
            <w:rStyle w:val="Hyperlink"/>
            <w:rFonts w:ascii="Times New Roman" w:hAnsi="Times New Roman" w:cs="Times New Roman"/>
            <w:color w:val="000000" w:themeColor="text1"/>
            <w:sz w:val="24"/>
            <w:szCs w:val="24"/>
          </w:rPr>
          <w:t>https://doi.org/10.4324/9781003501374-34</w:t>
        </w:r>
      </w:hyperlink>
      <w:r w:rsidRPr="00E827C7">
        <w:rPr>
          <w:rFonts w:ascii="Times New Roman" w:hAnsi="Times New Roman" w:cs="Times New Roman"/>
          <w:color w:val="000000" w:themeColor="text1"/>
          <w:sz w:val="24"/>
          <w:szCs w:val="24"/>
        </w:rPr>
        <w:t>.</w:t>
      </w:r>
    </w:p>
    <w:p w14:paraId="4C7028DC"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[15] Nath, D., </w:t>
      </w:r>
      <w:proofErr w:type="spellStart"/>
      <w:r w:rsidRPr="00E827C7">
        <w:rPr>
          <w:rFonts w:ascii="Times New Roman" w:hAnsi="Times New Roman" w:cs="Times New Roman"/>
          <w:color w:val="000000" w:themeColor="text1"/>
          <w:sz w:val="24"/>
          <w:szCs w:val="24"/>
        </w:rPr>
        <w:t>Tamuk</w:t>
      </w:r>
      <w:proofErr w:type="spellEnd"/>
      <w:r w:rsidRPr="00E827C7">
        <w:rPr>
          <w:rFonts w:ascii="Times New Roman" w:hAnsi="Times New Roman" w:cs="Times New Roman"/>
          <w:color w:val="000000" w:themeColor="text1"/>
          <w:sz w:val="24"/>
          <w:szCs w:val="24"/>
        </w:rPr>
        <w:t>, Y., &amp; Gohain, I. (2024). Constraints encountered by the KVK beneficiaries of Manipur and their suggestions. </w:t>
      </w:r>
      <w:r w:rsidRPr="00E827C7">
        <w:rPr>
          <w:rFonts w:ascii="Times New Roman" w:hAnsi="Times New Roman" w:cs="Times New Roman"/>
          <w:i/>
          <w:iCs/>
          <w:color w:val="000000" w:themeColor="text1"/>
          <w:sz w:val="24"/>
          <w:szCs w:val="24"/>
        </w:rPr>
        <w:t>Journal of Experimental Agriculture International</w:t>
      </w:r>
      <w:r w:rsidRPr="00E827C7">
        <w:rPr>
          <w:rFonts w:ascii="Times New Roman" w:hAnsi="Times New Roman" w:cs="Times New Roman"/>
          <w:color w:val="000000" w:themeColor="text1"/>
          <w:sz w:val="24"/>
          <w:szCs w:val="24"/>
        </w:rPr>
        <w:t>, </w:t>
      </w:r>
      <w:r w:rsidRPr="00E827C7">
        <w:rPr>
          <w:rFonts w:ascii="Times New Roman" w:hAnsi="Times New Roman" w:cs="Times New Roman"/>
          <w:i/>
          <w:iCs/>
          <w:color w:val="000000" w:themeColor="text1"/>
          <w:sz w:val="24"/>
          <w:szCs w:val="24"/>
        </w:rPr>
        <w:t>46</w:t>
      </w:r>
      <w:r w:rsidRPr="00E827C7">
        <w:rPr>
          <w:rFonts w:ascii="Times New Roman" w:hAnsi="Times New Roman" w:cs="Times New Roman"/>
          <w:color w:val="000000" w:themeColor="text1"/>
          <w:sz w:val="24"/>
          <w:szCs w:val="24"/>
        </w:rPr>
        <w:t>(9), 1061–1067. </w:t>
      </w:r>
      <w:hyperlink r:id="rId24" w:history="1">
        <w:r w:rsidRPr="00E827C7">
          <w:rPr>
            <w:rStyle w:val="Hyperlink"/>
            <w:rFonts w:ascii="Times New Roman" w:hAnsi="Times New Roman" w:cs="Times New Roman"/>
            <w:color w:val="000000" w:themeColor="text1"/>
            <w:sz w:val="24"/>
            <w:szCs w:val="24"/>
          </w:rPr>
          <w:t>https://doi.org/10.9734/jeai/2024/v46i92902</w:t>
        </w:r>
      </w:hyperlink>
      <w:r w:rsidRPr="00E827C7">
        <w:rPr>
          <w:rFonts w:ascii="Times New Roman" w:hAnsi="Times New Roman" w:cs="Times New Roman"/>
          <w:color w:val="000000" w:themeColor="text1"/>
          <w:sz w:val="24"/>
          <w:szCs w:val="24"/>
        </w:rPr>
        <w:t xml:space="preserve">.  </w:t>
      </w:r>
    </w:p>
    <w:p w14:paraId="05DC4CF4"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[16] Condor, R. (2020). Entrepreneurship in agriculture: a literature review. </w:t>
      </w:r>
      <w:r w:rsidRPr="00E827C7">
        <w:rPr>
          <w:rFonts w:ascii="Times New Roman" w:hAnsi="Times New Roman" w:cs="Times New Roman"/>
          <w:i/>
          <w:iCs/>
          <w:color w:val="000000" w:themeColor="text1"/>
          <w:sz w:val="24"/>
          <w:szCs w:val="24"/>
        </w:rPr>
        <w:t>International Journal of Entrepreneurship and Small Business</w:t>
      </w:r>
      <w:r w:rsidRPr="00E827C7">
        <w:rPr>
          <w:rFonts w:ascii="Times New Roman" w:hAnsi="Times New Roman" w:cs="Times New Roman"/>
          <w:color w:val="000000" w:themeColor="text1"/>
          <w:sz w:val="24"/>
          <w:szCs w:val="24"/>
        </w:rPr>
        <w:t>, </w:t>
      </w:r>
      <w:r w:rsidRPr="00E827C7">
        <w:rPr>
          <w:rFonts w:ascii="Times New Roman" w:hAnsi="Times New Roman" w:cs="Times New Roman"/>
          <w:i/>
          <w:iCs/>
          <w:color w:val="000000" w:themeColor="text1"/>
          <w:sz w:val="24"/>
          <w:szCs w:val="24"/>
        </w:rPr>
        <w:t>40</w:t>
      </w:r>
      <w:r w:rsidRPr="00E827C7">
        <w:rPr>
          <w:rFonts w:ascii="Times New Roman" w:hAnsi="Times New Roman" w:cs="Times New Roman"/>
          <w:color w:val="000000" w:themeColor="text1"/>
          <w:sz w:val="24"/>
          <w:szCs w:val="24"/>
        </w:rPr>
        <w:t>(4), 516. </w:t>
      </w:r>
      <w:hyperlink r:id="rId25" w:history="1">
        <w:r w:rsidRPr="00E827C7">
          <w:rPr>
            <w:rStyle w:val="Hyperlink"/>
            <w:rFonts w:ascii="Times New Roman" w:hAnsi="Times New Roman" w:cs="Times New Roman"/>
            <w:color w:val="000000" w:themeColor="text1"/>
            <w:sz w:val="24"/>
            <w:szCs w:val="24"/>
          </w:rPr>
          <w:t>https://doi.org/10.1504/ijesb.2020.10031117</w:t>
        </w:r>
      </w:hyperlink>
      <w:r w:rsidRPr="00E827C7">
        <w:rPr>
          <w:rFonts w:ascii="Times New Roman" w:hAnsi="Times New Roman" w:cs="Times New Roman"/>
          <w:color w:val="000000" w:themeColor="text1"/>
          <w:sz w:val="24"/>
          <w:szCs w:val="24"/>
        </w:rPr>
        <w:t xml:space="preserve">.  </w:t>
      </w:r>
    </w:p>
    <w:p w14:paraId="6F80D5A0"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[17] Verheul, I., </w:t>
      </w:r>
      <w:proofErr w:type="spellStart"/>
      <w:r w:rsidRPr="00E827C7">
        <w:rPr>
          <w:rFonts w:ascii="Times New Roman" w:hAnsi="Times New Roman" w:cs="Times New Roman"/>
          <w:color w:val="000000" w:themeColor="text1"/>
          <w:sz w:val="24"/>
          <w:szCs w:val="24"/>
        </w:rPr>
        <w:t>Thurik</w:t>
      </w:r>
      <w:proofErr w:type="spellEnd"/>
      <w:r w:rsidRPr="00E827C7">
        <w:rPr>
          <w:rFonts w:ascii="Times New Roman" w:hAnsi="Times New Roman" w:cs="Times New Roman"/>
          <w:color w:val="000000" w:themeColor="text1"/>
          <w:sz w:val="24"/>
          <w:szCs w:val="24"/>
        </w:rPr>
        <w:t>, R., Grilo, I., &amp; Van Der Zwan, P. (2011). Explaining preferences and actual involvement in self-employment: Gender and the entrepreneurial personality. </w:t>
      </w:r>
      <w:r w:rsidRPr="00E827C7">
        <w:rPr>
          <w:rFonts w:ascii="Times New Roman" w:hAnsi="Times New Roman" w:cs="Times New Roman"/>
          <w:i/>
          <w:iCs/>
          <w:color w:val="000000" w:themeColor="text1"/>
          <w:sz w:val="24"/>
          <w:szCs w:val="24"/>
        </w:rPr>
        <w:t>Journal of Economic Psychology</w:t>
      </w:r>
      <w:r w:rsidRPr="00E827C7">
        <w:rPr>
          <w:rFonts w:ascii="Times New Roman" w:hAnsi="Times New Roman" w:cs="Times New Roman"/>
          <w:color w:val="000000" w:themeColor="text1"/>
          <w:sz w:val="24"/>
          <w:szCs w:val="24"/>
        </w:rPr>
        <w:t>, </w:t>
      </w:r>
      <w:r w:rsidRPr="00E827C7">
        <w:rPr>
          <w:rFonts w:ascii="Times New Roman" w:hAnsi="Times New Roman" w:cs="Times New Roman"/>
          <w:i/>
          <w:iCs/>
          <w:color w:val="000000" w:themeColor="text1"/>
          <w:sz w:val="24"/>
          <w:szCs w:val="24"/>
        </w:rPr>
        <w:t>33</w:t>
      </w:r>
      <w:r w:rsidRPr="00E827C7">
        <w:rPr>
          <w:rFonts w:ascii="Times New Roman" w:hAnsi="Times New Roman" w:cs="Times New Roman"/>
          <w:color w:val="000000" w:themeColor="text1"/>
          <w:sz w:val="24"/>
          <w:szCs w:val="24"/>
        </w:rPr>
        <w:t>(2), 325–341. </w:t>
      </w:r>
      <w:hyperlink r:id="rId26" w:history="1">
        <w:r w:rsidRPr="00E827C7">
          <w:rPr>
            <w:rStyle w:val="Hyperlink"/>
            <w:rFonts w:ascii="Times New Roman" w:hAnsi="Times New Roman" w:cs="Times New Roman"/>
            <w:color w:val="000000" w:themeColor="text1"/>
            <w:sz w:val="24"/>
            <w:szCs w:val="24"/>
          </w:rPr>
          <w:t>https://doi.org/10.1016/j.joep.2011.02.009</w:t>
        </w:r>
      </w:hyperlink>
      <w:r w:rsidRPr="00E827C7">
        <w:rPr>
          <w:rFonts w:ascii="Times New Roman" w:hAnsi="Times New Roman" w:cs="Times New Roman"/>
          <w:color w:val="000000" w:themeColor="text1"/>
          <w:sz w:val="24"/>
          <w:szCs w:val="24"/>
        </w:rPr>
        <w:t xml:space="preserve">. </w:t>
      </w:r>
    </w:p>
    <w:p w14:paraId="3C9042AD"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lastRenderedPageBreak/>
        <w:t xml:space="preserve">[18] </w:t>
      </w:r>
      <w:r w:rsidRPr="00E827C7">
        <w:rPr>
          <w:rFonts w:ascii="Times New Roman" w:eastAsia="Georgia" w:hAnsi="Times New Roman" w:cs="Times New Roman"/>
          <w:color w:val="000000" w:themeColor="text1"/>
          <w:sz w:val="24"/>
          <w:szCs w:val="24"/>
        </w:rPr>
        <w:t>Pan, Y., Zhang, S., &amp; Zhang, M. (2023). The impact of entrepreneurship of farmers on agriculture and rural economic growth: Innovation-driven perspective. </w:t>
      </w:r>
      <w:r w:rsidRPr="00E827C7">
        <w:rPr>
          <w:rFonts w:ascii="Times New Roman" w:eastAsia="Georgia" w:hAnsi="Times New Roman" w:cs="Times New Roman"/>
          <w:i/>
          <w:iCs/>
          <w:color w:val="000000" w:themeColor="text1"/>
          <w:sz w:val="24"/>
          <w:szCs w:val="24"/>
        </w:rPr>
        <w:t>Innovation and Green Development</w:t>
      </w:r>
      <w:r w:rsidRPr="00E827C7">
        <w:rPr>
          <w:rFonts w:ascii="Times New Roman" w:eastAsia="Georgia" w:hAnsi="Times New Roman" w:cs="Times New Roman"/>
          <w:color w:val="000000" w:themeColor="text1"/>
          <w:sz w:val="24"/>
          <w:szCs w:val="24"/>
        </w:rPr>
        <w:t>, </w:t>
      </w:r>
      <w:r w:rsidRPr="00E827C7">
        <w:rPr>
          <w:rFonts w:ascii="Times New Roman" w:eastAsia="Georgia" w:hAnsi="Times New Roman" w:cs="Times New Roman"/>
          <w:i/>
          <w:iCs/>
          <w:color w:val="000000" w:themeColor="text1"/>
          <w:sz w:val="24"/>
          <w:szCs w:val="24"/>
        </w:rPr>
        <w:t>3</w:t>
      </w:r>
      <w:r w:rsidRPr="00E827C7">
        <w:rPr>
          <w:rFonts w:ascii="Times New Roman" w:eastAsia="Georgia" w:hAnsi="Times New Roman" w:cs="Times New Roman"/>
          <w:color w:val="000000" w:themeColor="text1"/>
          <w:sz w:val="24"/>
          <w:szCs w:val="24"/>
        </w:rPr>
        <w:t>(1), 100093. </w:t>
      </w:r>
      <w:hyperlink r:id="rId27" w:history="1">
        <w:r w:rsidRPr="00E827C7">
          <w:rPr>
            <w:rStyle w:val="Hyperlink"/>
            <w:rFonts w:ascii="Times New Roman" w:eastAsia="Georgia" w:hAnsi="Times New Roman" w:cs="Times New Roman"/>
            <w:color w:val="000000" w:themeColor="text1"/>
            <w:sz w:val="24"/>
            <w:szCs w:val="24"/>
          </w:rPr>
          <w:t>https://doi.org/10.1016/j.igd.2023.100093</w:t>
        </w:r>
      </w:hyperlink>
      <w:r w:rsidRPr="00E827C7">
        <w:rPr>
          <w:rFonts w:ascii="Times New Roman" w:eastAsia="Georgia" w:hAnsi="Times New Roman" w:cs="Times New Roman"/>
          <w:color w:val="000000" w:themeColor="text1"/>
          <w:sz w:val="24"/>
          <w:szCs w:val="24"/>
        </w:rPr>
        <w:t xml:space="preserve">. </w:t>
      </w:r>
    </w:p>
    <w:p w14:paraId="055AC1E4"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[19] Neck, H. M., &amp; Greene, P. G. (2010). Entrepreneurship Education: known worlds and new frontiers. </w:t>
      </w:r>
      <w:r w:rsidRPr="00E827C7">
        <w:rPr>
          <w:rFonts w:ascii="Times New Roman" w:hAnsi="Times New Roman" w:cs="Times New Roman"/>
          <w:i/>
          <w:iCs/>
          <w:color w:val="000000" w:themeColor="text1"/>
          <w:sz w:val="24"/>
          <w:szCs w:val="24"/>
        </w:rPr>
        <w:t>Journal of Small Business Management</w:t>
      </w:r>
      <w:r w:rsidRPr="00E827C7">
        <w:rPr>
          <w:rFonts w:ascii="Times New Roman" w:hAnsi="Times New Roman" w:cs="Times New Roman"/>
          <w:color w:val="000000" w:themeColor="text1"/>
          <w:sz w:val="24"/>
          <w:szCs w:val="24"/>
        </w:rPr>
        <w:t>, </w:t>
      </w:r>
      <w:r w:rsidRPr="00E827C7">
        <w:rPr>
          <w:rFonts w:ascii="Times New Roman" w:hAnsi="Times New Roman" w:cs="Times New Roman"/>
          <w:i/>
          <w:iCs/>
          <w:color w:val="000000" w:themeColor="text1"/>
          <w:sz w:val="24"/>
          <w:szCs w:val="24"/>
        </w:rPr>
        <w:t>49</w:t>
      </w:r>
      <w:r w:rsidRPr="00E827C7">
        <w:rPr>
          <w:rFonts w:ascii="Times New Roman" w:hAnsi="Times New Roman" w:cs="Times New Roman"/>
          <w:color w:val="000000" w:themeColor="text1"/>
          <w:sz w:val="24"/>
          <w:szCs w:val="24"/>
        </w:rPr>
        <w:t>(1), 55–70. </w:t>
      </w:r>
      <w:hyperlink r:id="rId28" w:history="1">
        <w:r w:rsidRPr="00E827C7">
          <w:rPr>
            <w:rStyle w:val="Hyperlink"/>
            <w:rFonts w:ascii="Times New Roman" w:hAnsi="Times New Roman" w:cs="Times New Roman"/>
            <w:color w:val="000000" w:themeColor="text1"/>
            <w:sz w:val="24"/>
            <w:szCs w:val="24"/>
          </w:rPr>
          <w:t>https://doi.org/10.1111/j.1540-627x.2010.00314.x</w:t>
        </w:r>
      </w:hyperlink>
      <w:r w:rsidRPr="00E827C7">
        <w:rPr>
          <w:rFonts w:ascii="Times New Roman" w:hAnsi="Times New Roman" w:cs="Times New Roman"/>
          <w:color w:val="000000" w:themeColor="text1"/>
          <w:sz w:val="24"/>
          <w:szCs w:val="24"/>
        </w:rPr>
        <w:t xml:space="preserve">. </w:t>
      </w:r>
    </w:p>
    <w:p w14:paraId="05CCEF8B"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[20] United Nations. (2015). </w:t>
      </w:r>
      <w:r w:rsidRPr="00E827C7">
        <w:rPr>
          <w:rFonts w:ascii="Times New Roman" w:hAnsi="Times New Roman" w:cs="Times New Roman"/>
          <w:i/>
          <w:color w:val="000000" w:themeColor="text1"/>
          <w:sz w:val="24"/>
          <w:szCs w:val="24"/>
        </w:rPr>
        <w:t>Transforming our world: The 2030 agenda for sustainable development</w:t>
      </w:r>
      <w:r w:rsidRPr="00E827C7">
        <w:rPr>
          <w:rFonts w:ascii="Times New Roman" w:hAnsi="Times New Roman" w:cs="Times New Roman"/>
          <w:color w:val="000000" w:themeColor="text1"/>
          <w:sz w:val="24"/>
          <w:szCs w:val="24"/>
        </w:rPr>
        <w:t>. UN Sustainable Development Goals 1 (No Poverty), 8 (Decent Work and Economic Growth), and 12 (Responsible Consumption and Production).</w:t>
      </w:r>
      <w:r w:rsidRPr="00E827C7">
        <w:rPr>
          <w:color w:val="000000" w:themeColor="text1"/>
        </w:rPr>
        <w:t xml:space="preserve"> </w:t>
      </w:r>
      <w:hyperlink r:id="rId29" w:history="1">
        <w:r w:rsidRPr="00E827C7">
          <w:rPr>
            <w:rStyle w:val="Hyperlink"/>
            <w:rFonts w:ascii="Times New Roman" w:hAnsi="Times New Roman" w:cs="Times New Roman"/>
            <w:color w:val="000000" w:themeColor="text1"/>
            <w:sz w:val="24"/>
            <w:szCs w:val="24"/>
          </w:rPr>
          <w:t>https://sdgs.un.org/publications/transforming-our-world-2030-agenda-sustainable-development-17981</w:t>
        </w:r>
      </w:hyperlink>
      <w:r w:rsidRPr="00E827C7">
        <w:rPr>
          <w:rFonts w:ascii="Times New Roman" w:hAnsi="Times New Roman" w:cs="Times New Roman"/>
          <w:color w:val="000000" w:themeColor="text1"/>
          <w:sz w:val="24"/>
          <w:szCs w:val="24"/>
        </w:rPr>
        <w:t xml:space="preserve">. </w:t>
      </w:r>
    </w:p>
    <w:p w14:paraId="220E6550"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[21] </w:t>
      </w:r>
      <w:proofErr w:type="spellStart"/>
      <w:r w:rsidRPr="00E827C7">
        <w:rPr>
          <w:rFonts w:ascii="Times New Roman" w:hAnsi="Times New Roman" w:cs="Times New Roman"/>
          <w:color w:val="000000" w:themeColor="text1"/>
          <w:sz w:val="24"/>
          <w:szCs w:val="24"/>
        </w:rPr>
        <w:t>Panmei</w:t>
      </w:r>
      <w:proofErr w:type="spellEnd"/>
      <w:r w:rsidRPr="00E827C7">
        <w:rPr>
          <w:rFonts w:ascii="Times New Roman" w:hAnsi="Times New Roman" w:cs="Times New Roman"/>
          <w:color w:val="000000" w:themeColor="text1"/>
          <w:sz w:val="24"/>
          <w:szCs w:val="24"/>
        </w:rPr>
        <w:t xml:space="preserve">, R. R., &amp; </w:t>
      </w:r>
      <w:proofErr w:type="spellStart"/>
      <w:r w:rsidRPr="00E827C7">
        <w:rPr>
          <w:rFonts w:ascii="Times New Roman" w:hAnsi="Times New Roman" w:cs="Times New Roman"/>
          <w:color w:val="000000" w:themeColor="text1"/>
          <w:sz w:val="24"/>
          <w:szCs w:val="24"/>
        </w:rPr>
        <w:t>Sorokhaibam</w:t>
      </w:r>
      <w:proofErr w:type="spellEnd"/>
      <w:r w:rsidRPr="00E827C7">
        <w:rPr>
          <w:rFonts w:ascii="Times New Roman" w:hAnsi="Times New Roman" w:cs="Times New Roman"/>
          <w:color w:val="000000" w:themeColor="text1"/>
          <w:sz w:val="24"/>
          <w:szCs w:val="24"/>
        </w:rPr>
        <w:t xml:space="preserve">, R. (2024). </w:t>
      </w:r>
      <w:r w:rsidRPr="00E827C7">
        <w:rPr>
          <w:rFonts w:ascii="Times New Roman" w:hAnsi="Times New Roman" w:cs="Times New Roman"/>
          <w:i/>
          <w:iCs/>
          <w:color w:val="000000" w:themeColor="text1"/>
          <w:sz w:val="24"/>
          <w:szCs w:val="24"/>
        </w:rPr>
        <w:t>Exploring regional growth and variations in horticultural production: The case of Manipur</w:t>
      </w:r>
      <w:r w:rsidRPr="00E827C7">
        <w:rPr>
          <w:rFonts w:ascii="Times New Roman" w:hAnsi="Times New Roman" w:cs="Times New Roman"/>
          <w:color w:val="000000" w:themeColor="text1"/>
          <w:sz w:val="24"/>
          <w:szCs w:val="24"/>
        </w:rPr>
        <w:t xml:space="preserve">. International Journal of Creative Research Thoughts, 12(11). </w:t>
      </w:r>
      <w:hyperlink r:id="rId30" w:history="1">
        <w:r w:rsidRPr="00E827C7">
          <w:rPr>
            <w:rStyle w:val="Hyperlink"/>
            <w:rFonts w:ascii="Times New Roman" w:hAnsi="Times New Roman" w:cs="Times New Roman"/>
            <w:color w:val="000000" w:themeColor="text1"/>
            <w:sz w:val="24"/>
            <w:szCs w:val="24"/>
          </w:rPr>
          <w:t>https://www.ijcrt.org/papers/IJCRT2411769.pdf</w:t>
        </w:r>
      </w:hyperlink>
      <w:r w:rsidRPr="00E827C7">
        <w:rPr>
          <w:rFonts w:ascii="Times New Roman" w:hAnsi="Times New Roman" w:cs="Times New Roman"/>
          <w:color w:val="000000" w:themeColor="text1"/>
          <w:sz w:val="24"/>
          <w:szCs w:val="24"/>
        </w:rPr>
        <w:t xml:space="preserve"> </w:t>
      </w:r>
    </w:p>
    <w:p w14:paraId="1D518249"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rPr>
        <w:t xml:space="preserve">[22] </w:t>
      </w:r>
      <w:r w:rsidRPr="00E827C7">
        <w:rPr>
          <w:rFonts w:ascii="Times New Roman" w:hAnsi="Times New Roman" w:cs="Times New Roman"/>
          <w:color w:val="000000" w:themeColor="text1"/>
          <w:sz w:val="24"/>
          <w:szCs w:val="24"/>
          <w:lang w:val="en-IN"/>
        </w:rPr>
        <w:t xml:space="preserve">Behera, T.K. and Dubey, R.K. (2023). </w:t>
      </w:r>
      <w:r w:rsidRPr="00E827C7">
        <w:rPr>
          <w:rFonts w:ascii="Times New Roman" w:hAnsi="Times New Roman" w:cs="Times New Roman"/>
          <w:i/>
          <w:iCs/>
          <w:color w:val="000000" w:themeColor="text1"/>
          <w:sz w:val="24"/>
          <w:szCs w:val="24"/>
          <w:lang w:val="en-IN"/>
        </w:rPr>
        <w:t>Prospects of Vegetable Crop Production in Northeast Region</w:t>
      </w:r>
      <w:r w:rsidRPr="00E827C7">
        <w:rPr>
          <w:rFonts w:ascii="Times New Roman" w:hAnsi="Times New Roman" w:cs="Times New Roman"/>
          <w:color w:val="000000" w:themeColor="text1"/>
          <w:sz w:val="24"/>
          <w:szCs w:val="24"/>
          <w:lang w:val="en-IN"/>
        </w:rPr>
        <w:t xml:space="preserve">. Indian Council of Agricultural Research-Indian Horticulture, 45-49. </w:t>
      </w:r>
      <w:hyperlink r:id="rId31" w:history="1">
        <w:r w:rsidRPr="00E827C7">
          <w:rPr>
            <w:rStyle w:val="Hyperlink"/>
            <w:rFonts w:ascii="Times New Roman" w:hAnsi="Times New Roman" w:cs="Times New Roman"/>
            <w:color w:val="000000" w:themeColor="text1"/>
            <w:sz w:val="24"/>
            <w:szCs w:val="24"/>
            <w:lang w:val="en-IN"/>
          </w:rPr>
          <w:t>https://epubs.icar.org.in/index.php/IndHort/article/download/148516/53879/472664</w:t>
        </w:r>
      </w:hyperlink>
      <w:r w:rsidRPr="00E827C7">
        <w:rPr>
          <w:rFonts w:ascii="Times New Roman" w:hAnsi="Times New Roman" w:cs="Times New Roman"/>
          <w:color w:val="000000" w:themeColor="text1"/>
          <w:sz w:val="24"/>
          <w:szCs w:val="24"/>
          <w:lang w:val="en-IN"/>
        </w:rPr>
        <w:t xml:space="preserve"> </w:t>
      </w:r>
    </w:p>
    <w:p w14:paraId="5AFFE44A"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[23] Sadananda K., </w:t>
      </w:r>
      <w:proofErr w:type="spellStart"/>
      <w:r w:rsidRPr="00E827C7">
        <w:rPr>
          <w:rFonts w:ascii="Times New Roman" w:hAnsi="Times New Roman" w:cs="Times New Roman"/>
          <w:color w:val="000000" w:themeColor="text1"/>
          <w:sz w:val="24"/>
          <w:szCs w:val="24"/>
        </w:rPr>
        <w:t>Thongam</w:t>
      </w:r>
      <w:proofErr w:type="spellEnd"/>
      <w:r w:rsidRPr="00E827C7">
        <w:rPr>
          <w:rFonts w:ascii="Times New Roman" w:hAnsi="Times New Roman" w:cs="Times New Roman"/>
          <w:color w:val="000000" w:themeColor="text1"/>
          <w:sz w:val="24"/>
          <w:szCs w:val="24"/>
        </w:rPr>
        <w:t xml:space="preserve"> B. and </w:t>
      </w:r>
      <w:proofErr w:type="spellStart"/>
      <w:r w:rsidRPr="00E827C7">
        <w:rPr>
          <w:rFonts w:ascii="Times New Roman" w:hAnsi="Times New Roman" w:cs="Times New Roman"/>
          <w:color w:val="000000" w:themeColor="text1"/>
          <w:sz w:val="24"/>
          <w:szCs w:val="24"/>
        </w:rPr>
        <w:t>Konsam</w:t>
      </w:r>
      <w:proofErr w:type="spellEnd"/>
      <w:r w:rsidRPr="00E827C7">
        <w:rPr>
          <w:rFonts w:ascii="Times New Roman" w:hAnsi="Times New Roman" w:cs="Times New Roman"/>
          <w:color w:val="000000" w:themeColor="text1"/>
          <w:sz w:val="24"/>
          <w:szCs w:val="24"/>
        </w:rPr>
        <w:t xml:space="preserve"> B. (2019). Orchid species of Manipur and its commercial aspect. International Journal of Pharmacy and Life Sciences, 10(7-8): 6302-6314. </w:t>
      </w:r>
      <w:hyperlink r:id="rId32" w:history="1">
        <w:r w:rsidRPr="00E827C7">
          <w:rPr>
            <w:rStyle w:val="Hyperlink"/>
            <w:rFonts w:ascii="Times New Roman" w:hAnsi="Times New Roman" w:cs="Times New Roman"/>
            <w:color w:val="000000" w:themeColor="text1"/>
            <w:sz w:val="24"/>
            <w:szCs w:val="24"/>
          </w:rPr>
          <w:t>https://ijplsjournal.com/index.php/ijpls/article/view/426/410</w:t>
        </w:r>
      </w:hyperlink>
      <w:r w:rsidRPr="00E827C7">
        <w:rPr>
          <w:rFonts w:ascii="Times New Roman" w:hAnsi="Times New Roman" w:cs="Times New Roman"/>
          <w:color w:val="000000" w:themeColor="text1"/>
          <w:sz w:val="24"/>
          <w:szCs w:val="24"/>
        </w:rPr>
        <w:t xml:space="preserve"> </w:t>
      </w:r>
    </w:p>
    <w:p w14:paraId="25E5C672"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rPr>
        <w:t xml:space="preserve">[24] </w:t>
      </w:r>
      <w:proofErr w:type="spellStart"/>
      <w:r w:rsidRPr="00E827C7">
        <w:rPr>
          <w:rFonts w:ascii="Times New Roman" w:hAnsi="Times New Roman" w:cs="Times New Roman"/>
          <w:color w:val="000000" w:themeColor="text1"/>
          <w:sz w:val="24"/>
          <w:szCs w:val="24"/>
        </w:rPr>
        <w:t>Maibam</w:t>
      </w:r>
      <w:proofErr w:type="spellEnd"/>
      <w:r w:rsidRPr="00E827C7">
        <w:rPr>
          <w:rFonts w:ascii="Times New Roman" w:hAnsi="Times New Roman" w:cs="Times New Roman"/>
          <w:color w:val="000000" w:themeColor="text1"/>
          <w:sz w:val="24"/>
          <w:szCs w:val="24"/>
        </w:rPr>
        <w:t>, P., Sahi, V. P., &amp; Singh, T. G. (2022). A Review of Medicinal Plants Commonly Used in Manipur: with Special Reference Against COVID-19. </w:t>
      </w:r>
      <w:r w:rsidRPr="00E827C7">
        <w:rPr>
          <w:rFonts w:ascii="Times New Roman" w:hAnsi="Times New Roman" w:cs="Times New Roman"/>
          <w:i/>
          <w:iCs/>
          <w:color w:val="000000" w:themeColor="text1"/>
          <w:sz w:val="24"/>
          <w:szCs w:val="24"/>
        </w:rPr>
        <w:t>Journal of Ayurvedic and Herbal Medicine</w:t>
      </w:r>
      <w:r w:rsidRPr="00E827C7">
        <w:rPr>
          <w:rFonts w:ascii="Times New Roman" w:hAnsi="Times New Roman" w:cs="Times New Roman"/>
          <w:color w:val="000000" w:themeColor="text1"/>
          <w:sz w:val="24"/>
          <w:szCs w:val="24"/>
        </w:rPr>
        <w:t>, </w:t>
      </w:r>
      <w:r w:rsidRPr="00E827C7">
        <w:rPr>
          <w:rFonts w:ascii="Times New Roman" w:hAnsi="Times New Roman" w:cs="Times New Roman"/>
          <w:i/>
          <w:iCs/>
          <w:color w:val="000000" w:themeColor="text1"/>
          <w:sz w:val="24"/>
          <w:szCs w:val="24"/>
        </w:rPr>
        <w:t>8</w:t>
      </w:r>
      <w:r w:rsidRPr="00E827C7">
        <w:rPr>
          <w:rFonts w:ascii="Times New Roman" w:hAnsi="Times New Roman" w:cs="Times New Roman"/>
          <w:color w:val="000000" w:themeColor="text1"/>
          <w:sz w:val="24"/>
          <w:szCs w:val="24"/>
        </w:rPr>
        <w:t>(3), 204–208. </w:t>
      </w:r>
      <w:hyperlink r:id="rId33" w:history="1">
        <w:r w:rsidRPr="00E827C7">
          <w:rPr>
            <w:rStyle w:val="Hyperlink"/>
            <w:rFonts w:ascii="Times New Roman" w:hAnsi="Times New Roman" w:cs="Times New Roman"/>
            <w:color w:val="000000" w:themeColor="text1"/>
            <w:sz w:val="24"/>
            <w:szCs w:val="24"/>
          </w:rPr>
          <w:t>https://doi.org/10.31254/jahm.2022.8312</w:t>
        </w:r>
      </w:hyperlink>
      <w:r w:rsidRPr="00E827C7">
        <w:rPr>
          <w:rFonts w:ascii="Times New Roman" w:hAnsi="Times New Roman" w:cs="Times New Roman"/>
          <w:color w:val="000000" w:themeColor="text1"/>
          <w:sz w:val="24"/>
          <w:szCs w:val="24"/>
        </w:rPr>
        <w:t xml:space="preserve"> </w:t>
      </w:r>
    </w:p>
    <w:p w14:paraId="7AFADBE7"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rPr>
        <w:t>[25] Singh, N. B., Devi, M. L., Biona, T., Sharma, N., Das, S., Chakravorty, J., Mukherjee, P. K., &amp; Rajashekar, Y. (2023). Phytochemical Composition and Antimicrobial Activity of Essential Oil from the Leaves of Artemisia vulgaris L. </w:t>
      </w:r>
      <w:r w:rsidRPr="00E827C7">
        <w:rPr>
          <w:rFonts w:ascii="Times New Roman" w:hAnsi="Times New Roman" w:cs="Times New Roman"/>
          <w:i/>
          <w:iCs/>
          <w:color w:val="000000" w:themeColor="text1"/>
          <w:sz w:val="24"/>
          <w:szCs w:val="24"/>
        </w:rPr>
        <w:t>Molecules</w:t>
      </w:r>
      <w:r w:rsidRPr="00E827C7">
        <w:rPr>
          <w:rFonts w:ascii="Times New Roman" w:hAnsi="Times New Roman" w:cs="Times New Roman"/>
          <w:color w:val="000000" w:themeColor="text1"/>
          <w:sz w:val="24"/>
          <w:szCs w:val="24"/>
        </w:rPr>
        <w:t>, </w:t>
      </w:r>
      <w:r w:rsidRPr="00E827C7">
        <w:rPr>
          <w:rFonts w:ascii="Times New Roman" w:hAnsi="Times New Roman" w:cs="Times New Roman"/>
          <w:i/>
          <w:iCs/>
          <w:color w:val="000000" w:themeColor="text1"/>
          <w:sz w:val="24"/>
          <w:szCs w:val="24"/>
        </w:rPr>
        <w:t>28</w:t>
      </w:r>
      <w:r w:rsidRPr="00E827C7">
        <w:rPr>
          <w:rFonts w:ascii="Times New Roman" w:hAnsi="Times New Roman" w:cs="Times New Roman"/>
          <w:color w:val="000000" w:themeColor="text1"/>
          <w:sz w:val="24"/>
          <w:szCs w:val="24"/>
        </w:rPr>
        <w:t>(5), 2279. </w:t>
      </w:r>
      <w:hyperlink r:id="rId34" w:history="1">
        <w:r w:rsidRPr="00E827C7">
          <w:rPr>
            <w:rStyle w:val="Hyperlink"/>
            <w:rFonts w:ascii="Times New Roman" w:hAnsi="Times New Roman" w:cs="Times New Roman"/>
            <w:color w:val="000000" w:themeColor="text1"/>
            <w:sz w:val="24"/>
            <w:szCs w:val="24"/>
          </w:rPr>
          <w:t>https://doi.org/10.3390/molecules28052279</w:t>
        </w:r>
      </w:hyperlink>
      <w:r w:rsidRPr="00E827C7">
        <w:rPr>
          <w:rFonts w:ascii="Times New Roman" w:hAnsi="Times New Roman" w:cs="Times New Roman"/>
          <w:color w:val="000000" w:themeColor="text1"/>
          <w:sz w:val="24"/>
          <w:szCs w:val="24"/>
        </w:rPr>
        <w:t xml:space="preserve"> </w:t>
      </w:r>
    </w:p>
    <w:p w14:paraId="04D31A9E"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rPr>
        <w:lastRenderedPageBreak/>
        <w:t xml:space="preserve">[26] Dorothy, M.S., </w:t>
      </w:r>
      <w:proofErr w:type="spellStart"/>
      <w:r w:rsidRPr="00E827C7">
        <w:rPr>
          <w:rFonts w:ascii="Times New Roman" w:hAnsi="Times New Roman" w:cs="Times New Roman"/>
          <w:color w:val="000000" w:themeColor="text1"/>
          <w:sz w:val="24"/>
          <w:szCs w:val="24"/>
        </w:rPr>
        <w:t>Monsang</w:t>
      </w:r>
      <w:proofErr w:type="spellEnd"/>
      <w:r w:rsidRPr="00E827C7">
        <w:rPr>
          <w:rFonts w:ascii="Times New Roman" w:hAnsi="Times New Roman" w:cs="Times New Roman"/>
          <w:color w:val="000000" w:themeColor="text1"/>
          <w:sz w:val="24"/>
          <w:szCs w:val="24"/>
        </w:rPr>
        <w:t xml:space="preserve">, S.J., </w:t>
      </w:r>
      <w:proofErr w:type="spellStart"/>
      <w:r w:rsidRPr="00E827C7">
        <w:rPr>
          <w:rFonts w:ascii="Times New Roman" w:hAnsi="Times New Roman" w:cs="Times New Roman"/>
          <w:color w:val="000000" w:themeColor="text1"/>
          <w:sz w:val="24"/>
          <w:szCs w:val="24"/>
        </w:rPr>
        <w:t>Sribidya</w:t>
      </w:r>
      <w:proofErr w:type="spellEnd"/>
      <w:r w:rsidRPr="00E827C7">
        <w:rPr>
          <w:rFonts w:ascii="Times New Roman" w:hAnsi="Times New Roman" w:cs="Times New Roman"/>
          <w:color w:val="000000" w:themeColor="text1"/>
          <w:sz w:val="24"/>
          <w:szCs w:val="24"/>
        </w:rPr>
        <w:t xml:space="preserve">, W., </w:t>
      </w:r>
      <w:proofErr w:type="spellStart"/>
      <w:r w:rsidRPr="00E827C7">
        <w:rPr>
          <w:rFonts w:ascii="Times New Roman" w:hAnsi="Times New Roman" w:cs="Times New Roman"/>
          <w:color w:val="000000" w:themeColor="text1"/>
          <w:sz w:val="24"/>
          <w:szCs w:val="24"/>
        </w:rPr>
        <w:t>Parhi</w:t>
      </w:r>
      <w:proofErr w:type="spellEnd"/>
      <w:r w:rsidRPr="00E827C7">
        <w:rPr>
          <w:rFonts w:ascii="Times New Roman" w:hAnsi="Times New Roman" w:cs="Times New Roman"/>
          <w:color w:val="000000" w:themeColor="text1"/>
          <w:sz w:val="24"/>
          <w:szCs w:val="24"/>
        </w:rPr>
        <w:t xml:space="preserve">, J. and </w:t>
      </w:r>
      <w:proofErr w:type="spellStart"/>
      <w:r w:rsidRPr="00E827C7">
        <w:rPr>
          <w:rFonts w:ascii="Times New Roman" w:hAnsi="Times New Roman" w:cs="Times New Roman"/>
          <w:color w:val="000000" w:themeColor="text1"/>
          <w:sz w:val="24"/>
          <w:szCs w:val="24"/>
        </w:rPr>
        <w:t>Bidyasagar</w:t>
      </w:r>
      <w:proofErr w:type="spellEnd"/>
      <w:r w:rsidRPr="00E827C7">
        <w:rPr>
          <w:rFonts w:ascii="Times New Roman" w:hAnsi="Times New Roman" w:cs="Times New Roman"/>
          <w:color w:val="000000" w:themeColor="text1"/>
          <w:sz w:val="24"/>
          <w:szCs w:val="24"/>
          <w:lang w:val="en-IN"/>
        </w:rPr>
        <w:t xml:space="preserve">, S. (2018). </w:t>
      </w:r>
      <w:r w:rsidRPr="00E827C7">
        <w:rPr>
          <w:rFonts w:ascii="Times New Roman" w:hAnsi="Times New Roman" w:cs="Times New Roman"/>
          <w:i/>
          <w:iCs/>
          <w:color w:val="000000" w:themeColor="text1"/>
          <w:sz w:val="24"/>
          <w:szCs w:val="24"/>
        </w:rPr>
        <w:t xml:space="preserve">Present Status and Future Prospects of Fisheries </w:t>
      </w:r>
      <w:proofErr w:type="gramStart"/>
      <w:r w:rsidRPr="00E827C7">
        <w:rPr>
          <w:rFonts w:ascii="Times New Roman" w:hAnsi="Times New Roman" w:cs="Times New Roman"/>
          <w:i/>
          <w:iCs/>
          <w:color w:val="000000" w:themeColor="text1"/>
          <w:sz w:val="24"/>
          <w:szCs w:val="24"/>
        </w:rPr>
        <w:t>In</w:t>
      </w:r>
      <w:proofErr w:type="gramEnd"/>
      <w:r w:rsidRPr="00E827C7">
        <w:rPr>
          <w:rFonts w:ascii="Times New Roman" w:hAnsi="Times New Roman" w:cs="Times New Roman"/>
          <w:i/>
          <w:iCs/>
          <w:color w:val="000000" w:themeColor="text1"/>
          <w:sz w:val="24"/>
          <w:szCs w:val="24"/>
        </w:rPr>
        <w:t xml:space="preserve"> Manipur</w:t>
      </w:r>
      <w:r w:rsidRPr="00E827C7">
        <w:rPr>
          <w:rFonts w:ascii="Times New Roman" w:hAnsi="Times New Roman" w:cs="Times New Roman"/>
          <w:color w:val="000000" w:themeColor="text1"/>
          <w:sz w:val="24"/>
          <w:szCs w:val="24"/>
          <w:lang w:val="en-IN"/>
        </w:rPr>
        <w:t xml:space="preserve">. </w:t>
      </w:r>
      <w:r w:rsidRPr="00E827C7">
        <w:rPr>
          <w:rFonts w:ascii="Times New Roman" w:hAnsi="Times New Roman" w:cs="Times New Roman"/>
          <w:color w:val="000000" w:themeColor="text1"/>
          <w:sz w:val="24"/>
          <w:szCs w:val="24"/>
        </w:rPr>
        <w:t>Indian Journal of Ecology (2018) 45(1): 222-226</w:t>
      </w:r>
      <w:r w:rsidRPr="00E827C7">
        <w:rPr>
          <w:rFonts w:ascii="Times New Roman" w:hAnsi="Times New Roman" w:cs="Times New Roman"/>
          <w:color w:val="000000" w:themeColor="text1"/>
          <w:sz w:val="24"/>
          <w:szCs w:val="24"/>
          <w:lang w:val="en-IN"/>
        </w:rPr>
        <w:t xml:space="preserve">. </w:t>
      </w:r>
      <w:hyperlink r:id="rId35" w:history="1">
        <w:r w:rsidRPr="00E827C7">
          <w:rPr>
            <w:rStyle w:val="Hyperlink"/>
            <w:rFonts w:ascii="Times New Roman" w:hAnsi="Times New Roman" w:cs="Times New Roman"/>
            <w:color w:val="000000" w:themeColor="text1"/>
            <w:sz w:val="24"/>
            <w:szCs w:val="24"/>
            <w:lang w:val="en-IN"/>
          </w:rPr>
          <w:t>https://indianecologicalsociety.com/wp-content/themes/ecology/volume_pdfs/abstract37.pdf</w:t>
        </w:r>
      </w:hyperlink>
      <w:r w:rsidRPr="00E827C7">
        <w:rPr>
          <w:rFonts w:ascii="Times New Roman" w:hAnsi="Times New Roman" w:cs="Times New Roman"/>
          <w:color w:val="000000" w:themeColor="text1"/>
          <w:sz w:val="24"/>
          <w:szCs w:val="24"/>
          <w:lang w:val="en-IN"/>
        </w:rPr>
        <w:t xml:space="preserve"> </w:t>
      </w:r>
    </w:p>
    <w:p w14:paraId="31B0CFE1"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rPr>
        <w:t xml:space="preserve">[27] Kabui, K. K., Rawson, A., &amp; </w:t>
      </w:r>
      <w:proofErr w:type="spellStart"/>
      <w:r w:rsidRPr="00E827C7">
        <w:rPr>
          <w:rFonts w:ascii="Times New Roman" w:hAnsi="Times New Roman" w:cs="Times New Roman"/>
          <w:color w:val="000000" w:themeColor="text1"/>
          <w:sz w:val="24"/>
          <w:szCs w:val="24"/>
        </w:rPr>
        <w:t>Athmaselvi</w:t>
      </w:r>
      <w:proofErr w:type="spellEnd"/>
      <w:r w:rsidRPr="00E827C7">
        <w:rPr>
          <w:rFonts w:ascii="Times New Roman" w:hAnsi="Times New Roman" w:cs="Times New Roman"/>
          <w:color w:val="000000" w:themeColor="text1"/>
          <w:sz w:val="24"/>
          <w:szCs w:val="24"/>
        </w:rPr>
        <w:t>, K. (2024). Selected fermented foods of Manipur, India: Traditional preparation methods, nutritional profile, and health benefits. </w:t>
      </w:r>
      <w:r w:rsidRPr="00E827C7">
        <w:rPr>
          <w:rFonts w:ascii="Times New Roman" w:hAnsi="Times New Roman" w:cs="Times New Roman"/>
          <w:i/>
          <w:iCs/>
          <w:color w:val="000000" w:themeColor="text1"/>
          <w:sz w:val="24"/>
          <w:szCs w:val="24"/>
        </w:rPr>
        <w:t>Food Chemistry Advances</w:t>
      </w:r>
      <w:r w:rsidRPr="00E827C7">
        <w:rPr>
          <w:rFonts w:ascii="Times New Roman" w:hAnsi="Times New Roman" w:cs="Times New Roman"/>
          <w:color w:val="000000" w:themeColor="text1"/>
          <w:sz w:val="24"/>
          <w:szCs w:val="24"/>
        </w:rPr>
        <w:t>, </w:t>
      </w:r>
      <w:r w:rsidRPr="00E827C7">
        <w:rPr>
          <w:rFonts w:ascii="Times New Roman" w:hAnsi="Times New Roman" w:cs="Times New Roman"/>
          <w:i/>
          <w:iCs/>
          <w:color w:val="000000" w:themeColor="text1"/>
          <w:sz w:val="24"/>
          <w:szCs w:val="24"/>
        </w:rPr>
        <w:t>6</w:t>
      </w:r>
      <w:r w:rsidRPr="00E827C7">
        <w:rPr>
          <w:rFonts w:ascii="Times New Roman" w:hAnsi="Times New Roman" w:cs="Times New Roman"/>
          <w:color w:val="000000" w:themeColor="text1"/>
          <w:sz w:val="24"/>
          <w:szCs w:val="24"/>
        </w:rPr>
        <w:t>, 100864. </w:t>
      </w:r>
      <w:hyperlink r:id="rId36" w:history="1">
        <w:r w:rsidRPr="00E827C7">
          <w:rPr>
            <w:rStyle w:val="Hyperlink"/>
            <w:rFonts w:ascii="Times New Roman" w:hAnsi="Times New Roman" w:cs="Times New Roman"/>
            <w:color w:val="000000" w:themeColor="text1"/>
            <w:sz w:val="24"/>
            <w:szCs w:val="24"/>
          </w:rPr>
          <w:t>https://doi.org/10.1016/j.focha.2024.100864</w:t>
        </w:r>
      </w:hyperlink>
      <w:r w:rsidRPr="00E827C7">
        <w:rPr>
          <w:rFonts w:ascii="Times New Roman" w:hAnsi="Times New Roman" w:cs="Times New Roman"/>
          <w:color w:val="000000" w:themeColor="text1"/>
          <w:sz w:val="24"/>
          <w:szCs w:val="24"/>
        </w:rPr>
        <w:t xml:space="preserve"> </w:t>
      </w:r>
    </w:p>
    <w:p w14:paraId="6723B238"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rPr>
        <w:t xml:space="preserve">[28] Singh, H. N., Devi, M. L., &amp; </w:t>
      </w:r>
      <w:proofErr w:type="spellStart"/>
      <w:r w:rsidRPr="00E827C7">
        <w:rPr>
          <w:rFonts w:ascii="Times New Roman" w:hAnsi="Times New Roman" w:cs="Times New Roman"/>
          <w:color w:val="000000" w:themeColor="text1"/>
          <w:sz w:val="24"/>
          <w:szCs w:val="24"/>
        </w:rPr>
        <w:t>Thongam</w:t>
      </w:r>
      <w:proofErr w:type="spellEnd"/>
      <w:r w:rsidRPr="00E827C7">
        <w:rPr>
          <w:rFonts w:ascii="Times New Roman" w:hAnsi="Times New Roman" w:cs="Times New Roman"/>
          <w:color w:val="000000" w:themeColor="text1"/>
          <w:sz w:val="24"/>
          <w:szCs w:val="24"/>
        </w:rPr>
        <w:t>, H. (2025). Indigenous spices of Manipur: traditional practices, health benefits, and economic potential. </w:t>
      </w:r>
      <w:proofErr w:type="spellStart"/>
      <w:r w:rsidRPr="00E827C7">
        <w:rPr>
          <w:rFonts w:ascii="Times New Roman" w:hAnsi="Times New Roman" w:cs="Times New Roman"/>
          <w:i/>
          <w:iCs/>
          <w:color w:val="000000" w:themeColor="text1"/>
          <w:sz w:val="24"/>
          <w:szCs w:val="24"/>
        </w:rPr>
        <w:t>Zenodo</w:t>
      </w:r>
      <w:proofErr w:type="spellEnd"/>
      <w:r w:rsidRPr="00E827C7">
        <w:rPr>
          <w:rFonts w:ascii="Times New Roman" w:hAnsi="Times New Roman" w:cs="Times New Roman"/>
          <w:i/>
          <w:iCs/>
          <w:color w:val="000000" w:themeColor="text1"/>
          <w:sz w:val="24"/>
          <w:szCs w:val="24"/>
        </w:rPr>
        <w:t xml:space="preserve"> (CERN European Organization for Nuclear Research)</w:t>
      </w:r>
      <w:r w:rsidRPr="00E827C7">
        <w:rPr>
          <w:rFonts w:ascii="Times New Roman" w:hAnsi="Times New Roman" w:cs="Times New Roman"/>
          <w:color w:val="000000" w:themeColor="text1"/>
          <w:sz w:val="24"/>
          <w:szCs w:val="24"/>
        </w:rPr>
        <w:t>. </w:t>
      </w:r>
      <w:hyperlink r:id="rId37" w:history="1">
        <w:r w:rsidRPr="00E827C7">
          <w:rPr>
            <w:rStyle w:val="Hyperlink"/>
            <w:rFonts w:ascii="Times New Roman" w:hAnsi="Times New Roman" w:cs="Times New Roman"/>
            <w:color w:val="000000" w:themeColor="text1"/>
            <w:sz w:val="24"/>
            <w:szCs w:val="24"/>
          </w:rPr>
          <w:t>https://doi.org/10.5281/zenodo.14603049</w:t>
        </w:r>
      </w:hyperlink>
      <w:r w:rsidRPr="00E827C7">
        <w:rPr>
          <w:rFonts w:ascii="Times New Roman" w:hAnsi="Times New Roman" w:cs="Times New Roman"/>
          <w:color w:val="000000" w:themeColor="text1"/>
          <w:sz w:val="24"/>
          <w:szCs w:val="24"/>
        </w:rPr>
        <w:t xml:space="preserve"> </w:t>
      </w:r>
    </w:p>
    <w:p w14:paraId="5F78F31F"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r w:rsidRPr="00E827C7">
        <w:rPr>
          <w:rFonts w:ascii="Times New Roman" w:hAnsi="Times New Roman" w:cs="Times New Roman"/>
          <w:color w:val="000000" w:themeColor="text1"/>
          <w:sz w:val="24"/>
          <w:szCs w:val="24"/>
        </w:rPr>
        <w:t xml:space="preserve">[29] </w:t>
      </w:r>
      <w:proofErr w:type="spellStart"/>
      <w:r w:rsidRPr="00E827C7">
        <w:rPr>
          <w:rFonts w:ascii="Times New Roman" w:hAnsi="Times New Roman" w:cs="Times New Roman"/>
          <w:color w:val="000000" w:themeColor="text1"/>
          <w:sz w:val="24"/>
          <w:szCs w:val="24"/>
        </w:rPr>
        <w:t>Konjengbam</w:t>
      </w:r>
      <w:proofErr w:type="spellEnd"/>
      <w:r w:rsidRPr="00E827C7">
        <w:rPr>
          <w:rFonts w:ascii="Times New Roman" w:hAnsi="Times New Roman" w:cs="Times New Roman"/>
          <w:color w:val="000000" w:themeColor="text1"/>
          <w:sz w:val="24"/>
          <w:szCs w:val="24"/>
        </w:rPr>
        <w:t>, M. D., Singh, D., Yadav, R. N., Singh, D. K., Singh, L. B., Kumar, M., Sachan, D. K., &amp; Pandey, M. K. (2023). Impact of organic farming on the livelihood of organic farmers in Manipur. </w:t>
      </w:r>
      <w:r w:rsidRPr="00E827C7">
        <w:rPr>
          <w:rFonts w:ascii="Times New Roman" w:hAnsi="Times New Roman" w:cs="Times New Roman"/>
          <w:i/>
          <w:iCs/>
          <w:color w:val="000000" w:themeColor="text1"/>
          <w:sz w:val="24"/>
          <w:szCs w:val="24"/>
        </w:rPr>
        <w:t>Asian Journal of Agricultural Extension Economics &amp; Sociology</w:t>
      </w:r>
      <w:r w:rsidRPr="00E827C7">
        <w:rPr>
          <w:rFonts w:ascii="Times New Roman" w:hAnsi="Times New Roman" w:cs="Times New Roman"/>
          <w:color w:val="000000" w:themeColor="text1"/>
          <w:sz w:val="24"/>
          <w:szCs w:val="24"/>
        </w:rPr>
        <w:t>, </w:t>
      </w:r>
      <w:r w:rsidRPr="00E827C7">
        <w:rPr>
          <w:rFonts w:ascii="Times New Roman" w:hAnsi="Times New Roman" w:cs="Times New Roman"/>
          <w:i/>
          <w:iCs/>
          <w:color w:val="000000" w:themeColor="text1"/>
          <w:sz w:val="24"/>
          <w:szCs w:val="24"/>
        </w:rPr>
        <w:t>41</w:t>
      </w:r>
      <w:r w:rsidRPr="00E827C7">
        <w:rPr>
          <w:rFonts w:ascii="Times New Roman" w:hAnsi="Times New Roman" w:cs="Times New Roman"/>
          <w:color w:val="000000" w:themeColor="text1"/>
          <w:sz w:val="24"/>
          <w:szCs w:val="24"/>
        </w:rPr>
        <w:t>(10), 350–356. </w:t>
      </w:r>
      <w:hyperlink r:id="rId38" w:history="1">
        <w:r w:rsidRPr="00E827C7">
          <w:rPr>
            <w:rStyle w:val="Hyperlink"/>
            <w:rFonts w:ascii="Times New Roman" w:hAnsi="Times New Roman" w:cs="Times New Roman"/>
            <w:color w:val="000000" w:themeColor="text1"/>
            <w:sz w:val="24"/>
            <w:szCs w:val="24"/>
          </w:rPr>
          <w:t>https://doi.org/10.9734/ajaees/2023/v41i102178</w:t>
        </w:r>
      </w:hyperlink>
      <w:r w:rsidRPr="00E827C7">
        <w:rPr>
          <w:rFonts w:ascii="Times New Roman" w:hAnsi="Times New Roman" w:cs="Times New Roman"/>
          <w:color w:val="000000" w:themeColor="text1"/>
          <w:sz w:val="24"/>
          <w:szCs w:val="24"/>
        </w:rPr>
        <w:t xml:space="preserve">  </w:t>
      </w:r>
    </w:p>
    <w:p w14:paraId="3E13D1DD"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rPr>
        <w:t xml:space="preserve">[30] </w:t>
      </w:r>
      <w:proofErr w:type="spellStart"/>
      <w:r w:rsidRPr="00E827C7">
        <w:rPr>
          <w:rFonts w:ascii="Times New Roman" w:hAnsi="Times New Roman" w:cs="Times New Roman"/>
          <w:color w:val="000000" w:themeColor="text1"/>
          <w:sz w:val="24"/>
          <w:szCs w:val="24"/>
          <w:lang w:val="en-IN"/>
        </w:rPr>
        <w:t>Patle</w:t>
      </w:r>
      <w:proofErr w:type="spellEnd"/>
      <w:r w:rsidRPr="00E827C7">
        <w:rPr>
          <w:rFonts w:ascii="Times New Roman" w:hAnsi="Times New Roman" w:cs="Times New Roman"/>
          <w:color w:val="000000" w:themeColor="text1"/>
          <w:sz w:val="24"/>
          <w:szCs w:val="24"/>
          <w:lang w:val="en-IN"/>
        </w:rPr>
        <w:t xml:space="preserve">, N.K. and </w:t>
      </w:r>
      <w:proofErr w:type="spellStart"/>
      <w:r w:rsidRPr="00E827C7">
        <w:rPr>
          <w:rFonts w:ascii="Times New Roman" w:hAnsi="Times New Roman" w:cs="Times New Roman"/>
          <w:color w:val="000000" w:themeColor="text1"/>
          <w:sz w:val="24"/>
          <w:szCs w:val="24"/>
          <w:lang w:val="en-IN"/>
        </w:rPr>
        <w:t>Shitiri</w:t>
      </w:r>
      <w:proofErr w:type="spellEnd"/>
      <w:r w:rsidRPr="00E827C7">
        <w:rPr>
          <w:rFonts w:ascii="Times New Roman" w:hAnsi="Times New Roman" w:cs="Times New Roman"/>
          <w:color w:val="000000" w:themeColor="text1"/>
          <w:sz w:val="24"/>
          <w:szCs w:val="24"/>
          <w:lang w:val="en-IN"/>
        </w:rPr>
        <w:t xml:space="preserve">, M. (2019). </w:t>
      </w:r>
      <w:r w:rsidRPr="00E827C7">
        <w:rPr>
          <w:rFonts w:ascii="Times New Roman" w:hAnsi="Times New Roman" w:cs="Times New Roman"/>
          <w:i/>
          <w:iCs/>
          <w:color w:val="000000" w:themeColor="text1"/>
          <w:sz w:val="24"/>
          <w:szCs w:val="24"/>
          <w:lang w:val="en-IN"/>
        </w:rPr>
        <w:t>Beekeeping in Northeast Region of India</w:t>
      </w:r>
      <w:r w:rsidRPr="00E827C7">
        <w:rPr>
          <w:rFonts w:ascii="Times New Roman" w:hAnsi="Times New Roman" w:cs="Times New Roman"/>
          <w:color w:val="000000" w:themeColor="text1"/>
          <w:sz w:val="24"/>
          <w:szCs w:val="24"/>
          <w:lang w:val="en-IN"/>
        </w:rPr>
        <w:t xml:space="preserve">. Indian Council of Agricultural Research-Indian Horticulture, 102–104. </w:t>
      </w:r>
      <w:hyperlink r:id="rId39" w:history="1">
        <w:r w:rsidRPr="00E827C7">
          <w:rPr>
            <w:rStyle w:val="Hyperlink"/>
            <w:rFonts w:ascii="Times New Roman" w:hAnsi="Times New Roman" w:cs="Times New Roman"/>
            <w:color w:val="000000" w:themeColor="text1"/>
            <w:sz w:val="24"/>
            <w:szCs w:val="24"/>
            <w:lang w:val="en-IN"/>
          </w:rPr>
          <w:t>https://epubs.icar.org.in/index.php/IndHort/article/download/148537/53891/472683</w:t>
        </w:r>
      </w:hyperlink>
      <w:r w:rsidRPr="00E827C7">
        <w:rPr>
          <w:rFonts w:ascii="Times New Roman" w:hAnsi="Times New Roman" w:cs="Times New Roman"/>
          <w:color w:val="000000" w:themeColor="text1"/>
          <w:sz w:val="24"/>
          <w:szCs w:val="24"/>
          <w:lang w:val="en-IN"/>
        </w:rPr>
        <w:t xml:space="preserve"> </w:t>
      </w:r>
    </w:p>
    <w:p w14:paraId="1966F0D1"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lang w:val="en-IN"/>
        </w:rPr>
      </w:pPr>
      <w:r w:rsidRPr="00E827C7">
        <w:rPr>
          <w:rFonts w:ascii="Times New Roman" w:hAnsi="Times New Roman" w:cs="Times New Roman"/>
          <w:color w:val="000000" w:themeColor="text1"/>
          <w:sz w:val="24"/>
          <w:szCs w:val="24"/>
        </w:rPr>
        <w:t xml:space="preserve">[31] </w:t>
      </w:r>
      <w:proofErr w:type="spellStart"/>
      <w:r w:rsidRPr="00E827C7">
        <w:rPr>
          <w:rFonts w:ascii="Times New Roman" w:hAnsi="Times New Roman" w:cs="Times New Roman"/>
          <w:color w:val="000000" w:themeColor="text1"/>
          <w:sz w:val="24"/>
          <w:szCs w:val="24"/>
        </w:rPr>
        <w:t>Rubita</w:t>
      </w:r>
      <w:proofErr w:type="spellEnd"/>
      <w:r w:rsidRPr="00E827C7">
        <w:rPr>
          <w:rFonts w:ascii="Times New Roman" w:hAnsi="Times New Roman" w:cs="Times New Roman"/>
          <w:color w:val="000000" w:themeColor="text1"/>
          <w:sz w:val="24"/>
          <w:szCs w:val="24"/>
        </w:rPr>
        <w:t>, I. (2024). The concept of Agri-Tourism and the traditional farming in Manipur. </w:t>
      </w:r>
      <w:r w:rsidRPr="00E827C7">
        <w:rPr>
          <w:rFonts w:ascii="Times New Roman" w:hAnsi="Times New Roman" w:cs="Times New Roman"/>
          <w:i/>
          <w:iCs/>
          <w:color w:val="000000" w:themeColor="text1"/>
          <w:sz w:val="24"/>
          <w:szCs w:val="24"/>
        </w:rPr>
        <w:t>International Journal of Research and Scientific Innovation</w:t>
      </w:r>
      <w:r w:rsidRPr="00E827C7">
        <w:rPr>
          <w:rFonts w:ascii="Times New Roman" w:hAnsi="Times New Roman" w:cs="Times New Roman"/>
          <w:color w:val="000000" w:themeColor="text1"/>
          <w:sz w:val="24"/>
          <w:szCs w:val="24"/>
        </w:rPr>
        <w:t>, </w:t>
      </w:r>
      <w:r w:rsidRPr="00E827C7">
        <w:rPr>
          <w:rFonts w:ascii="Times New Roman" w:hAnsi="Times New Roman" w:cs="Times New Roman"/>
          <w:i/>
          <w:iCs/>
          <w:color w:val="000000" w:themeColor="text1"/>
          <w:sz w:val="24"/>
          <w:szCs w:val="24"/>
        </w:rPr>
        <w:t>XI</w:t>
      </w:r>
      <w:r w:rsidRPr="00E827C7">
        <w:rPr>
          <w:rFonts w:ascii="Times New Roman" w:hAnsi="Times New Roman" w:cs="Times New Roman"/>
          <w:color w:val="000000" w:themeColor="text1"/>
          <w:sz w:val="24"/>
          <w:szCs w:val="24"/>
        </w:rPr>
        <w:t>(VIII), 694–697. </w:t>
      </w:r>
      <w:hyperlink r:id="rId40" w:history="1">
        <w:r w:rsidRPr="00E827C7">
          <w:rPr>
            <w:rStyle w:val="Hyperlink"/>
            <w:rFonts w:ascii="Times New Roman" w:hAnsi="Times New Roman" w:cs="Times New Roman"/>
            <w:color w:val="000000" w:themeColor="text1"/>
            <w:sz w:val="24"/>
            <w:szCs w:val="24"/>
          </w:rPr>
          <w:t>https://doi.org/10.51244/ijrsi.2024.1108056</w:t>
        </w:r>
      </w:hyperlink>
      <w:r w:rsidRPr="00E827C7">
        <w:rPr>
          <w:rFonts w:ascii="Times New Roman" w:hAnsi="Times New Roman" w:cs="Times New Roman"/>
          <w:color w:val="000000" w:themeColor="text1"/>
          <w:sz w:val="24"/>
          <w:szCs w:val="24"/>
        </w:rPr>
        <w:t xml:space="preserve"> </w:t>
      </w:r>
    </w:p>
    <w:p w14:paraId="1D313A20" w14:textId="77777777" w:rsidR="00A57B34" w:rsidRPr="00E827C7" w:rsidRDefault="00A57B34" w:rsidP="00A57B34">
      <w:pPr>
        <w:spacing w:after="210" w:line="360" w:lineRule="auto"/>
        <w:jc w:val="both"/>
        <w:rPr>
          <w:rFonts w:ascii="Times New Roman" w:hAnsi="Times New Roman" w:cs="Times New Roman"/>
          <w:color w:val="000000" w:themeColor="text1"/>
          <w:sz w:val="24"/>
          <w:szCs w:val="24"/>
        </w:rPr>
      </w:pPr>
    </w:p>
    <w:p w14:paraId="57EB2FA1" w14:textId="0A1B5768" w:rsidR="00A46310" w:rsidRPr="00E827C7" w:rsidRDefault="00A46310" w:rsidP="00A57B34">
      <w:pPr>
        <w:spacing w:before="240" w:line="360" w:lineRule="auto"/>
        <w:jc w:val="both"/>
        <w:rPr>
          <w:rFonts w:ascii="Times New Roman" w:hAnsi="Times New Roman" w:cs="Times New Roman"/>
          <w:color w:val="000000" w:themeColor="text1"/>
          <w:sz w:val="24"/>
          <w:szCs w:val="24"/>
        </w:rPr>
      </w:pPr>
    </w:p>
    <w:sectPr w:rsidR="00A46310" w:rsidRPr="00E827C7" w:rsidSect="00AD4936">
      <w:headerReference w:type="even" r:id="rId41"/>
      <w:headerReference w:type="default" r:id="rId42"/>
      <w:footerReference w:type="even" r:id="rId43"/>
      <w:footerReference w:type="default" r:id="rId44"/>
      <w:headerReference w:type="first" r:id="rId45"/>
      <w:footerReference w:type="first" r:id="rId46"/>
      <w:pgSz w:w="12240" w:h="15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7B138" w14:textId="77777777" w:rsidR="004A6B8B" w:rsidRDefault="004A6B8B" w:rsidP="00110E21">
      <w:pPr>
        <w:spacing w:after="0" w:line="240" w:lineRule="auto"/>
      </w:pPr>
      <w:r>
        <w:separator/>
      </w:r>
    </w:p>
  </w:endnote>
  <w:endnote w:type="continuationSeparator" w:id="0">
    <w:p w14:paraId="277C97DE" w14:textId="77777777" w:rsidR="004A6B8B" w:rsidRDefault="004A6B8B" w:rsidP="00110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8A214" w14:textId="77777777" w:rsidR="00110E21" w:rsidRDefault="00110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A745" w14:textId="77777777" w:rsidR="00110E21" w:rsidRDefault="00110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19B5E" w14:textId="77777777" w:rsidR="00110E21" w:rsidRDefault="00110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056A7" w14:textId="77777777" w:rsidR="004A6B8B" w:rsidRDefault="004A6B8B" w:rsidP="00110E21">
      <w:pPr>
        <w:spacing w:after="0" w:line="240" w:lineRule="auto"/>
      </w:pPr>
      <w:r>
        <w:separator/>
      </w:r>
    </w:p>
  </w:footnote>
  <w:footnote w:type="continuationSeparator" w:id="0">
    <w:p w14:paraId="30FE880A" w14:textId="77777777" w:rsidR="004A6B8B" w:rsidRDefault="004A6B8B" w:rsidP="00110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E1B3F" w14:textId="179531AE" w:rsidR="00110E21" w:rsidRDefault="004A6B8B">
    <w:pPr>
      <w:pStyle w:val="Header"/>
    </w:pPr>
    <w:r>
      <w:rPr>
        <w:noProof/>
      </w:rPr>
      <w:pict w14:anchorId="03DED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668672" o:spid="_x0000_s2050" type="#_x0000_t136" style="position:absolute;margin-left:0;margin-top:0;width:598.75pt;height:64.05pt;rotation:315;z-index:-251655168;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F6EC" w14:textId="73934CA8" w:rsidR="00110E21" w:rsidRDefault="004A6B8B">
    <w:pPr>
      <w:pStyle w:val="Header"/>
    </w:pPr>
    <w:r>
      <w:rPr>
        <w:noProof/>
      </w:rPr>
      <w:pict w14:anchorId="52ADE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668673" o:spid="_x0000_s2051" type="#_x0000_t136" style="position:absolute;margin-left:0;margin-top:0;width:598.75pt;height:64.05pt;rotation:315;z-index:-251653120;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76C74" w14:textId="673527A2" w:rsidR="00110E21" w:rsidRDefault="004A6B8B">
    <w:pPr>
      <w:pStyle w:val="Header"/>
    </w:pPr>
    <w:r>
      <w:rPr>
        <w:noProof/>
      </w:rPr>
      <w:pict w14:anchorId="7717C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668671" o:spid="_x0000_s2049" type="#_x0000_t136" style="position:absolute;margin-left:0;margin-top:0;width:598.75pt;height:64.05pt;rotation:315;z-index:-251657216;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E1128"/>
    <w:multiLevelType w:val="hybridMultilevel"/>
    <w:tmpl w:val="D9DEB13C"/>
    <w:lvl w:ilvl="0" w:tplc="F1E2F5BA">
      <w:start w:val="1"/>
      <w:numFmt w:val="decimal"/>
      <w:lvlText w:val="%1."/>
      <w:lvlJc w:val="left"/>
      <w:pPr>
        <w:tabs>
          <w:tab w:val="num" w:pos="1080"/>
        </w:tabs>
        <w:ind w:left="720" w:hanging="360"/>
      </w:pPr>
    </w:lvl>
    <w:lvl w:ilvl="1" w:tplc="A5E83606">
      <w:numFmt w:val="decimal"/>
      <w:lvlText w:val=""/>
      <w:lvlJc w:val="left"/>
    </w:lvl>
    <w:lvl w:ilvl="2" w:tplc="E364F858">
      <w:numFmt w:val="decimal"/>
      <w:lvlText w:val=""/>
      <w:lvlJc w:val="left"/>
    </w:lvl>
    <w:lvl w:ilvl="3" w:tplc="06427008">
      <w:numFmt w:val="decimal"/>
      <w:lvlText w:val=""/>
      <w:lvlJc w:val="left"/>
    </w:lvl>
    <w:lvl w:ilvl="4" w:tplc="5F20AE92">
      <w:numFmt w:val="decimal"/>
      <w:lvlText w:val=""/>
      <w:lvlJc w:val="left"/>
    </w:lvl>
    <w:lvl w:ilvl="5" w:tplc="8CB0DBB2">
      <w:numFmt w:val="decimal"/>
      <w:lvlText w:val=""/>
      <w:lvlJc w:val="left"/>
    </w:lvl>
    <w:lvl w:ilvl="6" w:tplc="F74004F6">
      <w:numFmt w:val="decimal"/>
      <w:lvlText w:val=""/>
      <w:lvlJc w:val="left"/>
    </w:lvl>
    <w:lvl w:ilvl="7" w:tplc="D0A60D54">
      <w:numFmt w:val="decimal"/>
      <w:lvlText w:val=""/>
      <w:lvlJc w:val="left"/>
    </w:lvl>
    <w:lvl w:ilvl="8" w:tplc="A442F148">
      <w:numFmt w:val="decimal"/>
      <w:lvlText w:val=""/>
      <w:lvlJc w:val="left"/>
    </w:lvl>
  </w:abstractNum>
  <w:abstractNum w:abstractNumId="1" w15:restartNumberingAfterBreak="0">
    <w:nsid w:val="0B5325B3"/>
    <w:multiLevelType w:val="hybridMultilevel"/>
    <w:tmpl w:val="1D3E46E0"/>
    <w:lvl w:ilvl="0" w:tplc="4C163EC4">
      <w:start w:val="1"/>
      <w:numFmt w:val="decimal"/>
      <w:lvlText w:val="%1."/>
      <w:lvlJc w:val="left"/>
      <w:pPr>
        <w:tabs>
          <w:tab w:val="num" w:pos="1080"/>
        </w:tabs>
        <w:ind w:left="720" w:hanging="360"/>
      </w:pPr>
    </w:lvl>
    <w:lvl w:ilvl="1" w:tplc="6F7E8FD0">
      <w:numFmt w:val="decimal"/>
      <w:lvlText w:val=""/>
      <w:lvlJc w:val="left"/>
    </w:lvl>
    <w:lvl w:ilvl="2" w:tplc="C4627734">
      <w:numFmt w:val="decimal"/>
      <w:lvlText w:val=""/>
      <w:lvlJc w:val="left"/>
    </w:lvl>
    <w:lvl w:ilvl="3" w:tplc="646055E0">
      <w:numFmt w:val="decimal"/>
      <w:lvlText w:val=""/>
      <w:lvlJc w:val="left"/>
    </w:lvl>
    <w:lvl w:ilvl="4" w:tplc="FB92DA26">
      <w:numFmt w:val="decimal"/>
      <w:lvlText w:val=""/>
      <w:lvlJc w:val="left"/>
    </w:lvl>
    <w:lvl w:ilvl="5" w:tplc="A79A5A3C">
      <w:numFmt w:val="decimal"/>
      <w:lvlText w:val=""/>
      <w:lvlJc w:val="left"/>
    </w:lvl>
    <w:lvl w:ilvl="6" w:tplc="2F88C682">
      <w:numFmt w:val="decimal"/>
      <w:lvlText w:val=""/>
      <w:lvlJc w:val="left"/>
    </w:lvl>
    <w:lvl w:ilvl="7" w:tplc="1A3CAFEE">
      <w:numFmt w:val="decimal"/>
      <w:lvlText w:val=""/>
      <w:lvlJc w:val="left"/>
    </w:lvl>
    <w:lvl w:ilvl="8" w:tplc="B8E6C8C8">
      <w:numFmt w:val="decimal"/>
      <w:lvlText w:val=""/>
      <w:lvlJc w:val="left"/>
    </w:lvl>
  </w:abstractNum>
  <w:abstractNum w:abstractNumId="2" w15:restartNumberingAfterBreak="0">
    <w:nsid w:val="19DE0544"/>
    <w:multiLevelType w:val="hybridMultilevel"/>
    <w:tmpl w:val="84A88ED6"/>
    <w:lvl w:ilvl="0" w:tplc="48287960">
      <w:start w:val="1"/>
      <w:numFmt w:val="decimal"/>
      <w:lvlText w:val="%1."/>
      <w:lvlJc w:val="left"/>
      <w:pPr>
        <w:tabs>
          <w:tab w:val="num" w:pos="1080"/>
        </w:tabs>
        <w:ind w:left="720" w:hanging="360"/>
      </w:pPr>
    </w:lvl>
    <w:lvl w:ilvl="1" w:tplc="C7467C1E">
      <w:numFmt w:val="decimal"/>
      <w:lvlText w:val=""/>
      <w:lvlJc w:val="left"/>
    </w:lvl>
    <w:lvl w:ilvl="2" w:tplc="1E108D02">
      <w:numFmt w:val="decimal"/>
      <w:lvlText w:val=""/>
      <w:lvlJc w:val="left"/>
    </w:lvl>
    <w:lvl w:ilvl="3" w:tplc="03542424">
      <w:numFmt w:val="decimal"/>
      <w:lvlText w:val=""/>
      <w:lvlJc w:val="left"/>
    </w:lvl>
    <w:lvl w:ilvl="4" w:tplc="C09A8E6C">
      <w:numFmt w:val="decimal"/>
      <w:lvlText w:val=""/>
      <w:lvlJc w:val="left"/>
    </w:lvl>
    <w:lvl w:ilvl="5" w:tplc="3EDE36C2">
      <w:numFmt w:val="decimal"/>
      <w:lvlText w:val=""/>
      <w:lvlJc w:val="left"/>
    </w:lvl>
    <w:lvl w:ilvl="6" w:tplc="2B304AB8">
      <w:numFmt w:val="decimal"/>
      <w:lvlText w:val=""/>
      <w:lvlJc w:val="left"/>
    </w:lvl>
    <w:lvl w:ilvl="7" w:tplc="024434F0">
      <w:numFmt w:val="decimal"/>
      <w:lvlText w:val=""/>
      <w:lvlJc w:val="left"/>
    </w:lvl>
    <w:lvl w:ilvl="8" w:tplc="216C878A">
      <w:numFmt w:val="decimal"/>
      <w:lvlText w:val=""/>
      <w:lvlJc w:val="left"/>
    </w:lvl>
  </w:abstractNum>
  <w:abstractNum w:abstractNumId="3" w15:restartNumberingAfterBreak="0">
    <w:nsid w:val="352C272A"/>
    <w:multiLevelType w:val="multilevel"/>
    <w:tmpl w:val="7FF0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B5804"/>
    <w:multiLevelType w:val="hybridMultilevel"/>
    <w:tmpl w:val="9B5EF7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31762FA"/>
    <w:multiLevelType w:val="hybridMultilevel"/>
    <w:tmpl w:val="BC0EFE26"/>
    <w:lvl w:ilvl="0" w:tplc="9F9469D8">
      <w:start w:val="1"/>
      <w:numFmt w:val="decimal"/>
      <w:lvlText w:val="%1."/>
      <w:lvlJc w:val="left"/>
      <w:pPr>
        <w:tabs>
          <w:tab w:val="num" w:pos="1080"/>
        </w:tabs>
        <w:ind w:left="720" w:hanging="360"/>
      </w:pPr>
    </w:lvl>
    <w:lvl w:ilvl="1" w:tplc="DFEAAD40">
      <w:numFmt w:val="decimal"/>
      <w:lvlText w:val=""/>
      <w:lvlJc w:val="left"/>
    </w:lvl>
    <w:lvl w:ilvl="2" w:tplc="0BD09660">
      <w:numFmt w:val="decimal"/>
      <w:lvlText w:val=""/>
      <w:lvlJc w:val="left"/>
    </w:lvl>
    <w:lvl w:ilvl="3" w:tplc="491AD1D4">
      <w:numFmt w:val="decimal"/>
      <w:lvlText w:val=""/>
      <w:lvlJc w:val="left"/>
    </w:lvl>
    <w:lvl w:ilvl="4" w:tplc="363CF0BE">
      <w:numFmt w:val="decimal"/>
      <w:lvlText w:val=""/>
      <w:lvlJc w:val="left"/>
    </w:lvl>
    <w:lvl w:ilvl="5" w:tplc="2760F488">
      <w:numFmt w:val="decimal"/>
      <w:lvlText w:val=""/>
      <w:lvlJc w:val="left"/>
    </w:lvl>
    <w:lvl w:ilvl="6" w:tplc="AFD062CA">
      <w:numFmt w:val="decimal"/>
      <w:lvlText w:val=""/>
      <w:lvlJc w:val="left"/>
    </w:lvl>
    <w:lvl w:ilvl="7" w:tplc="7E7E0D7E">
      <w:numFmt w:val="decimal"/>
      <w:lvlText w:val=""/>
      <w:lvlJc w:val="left"/>
    </w:lvl>
    <w:lvl w:ilvl="8" w:tplc="D5C0C178">
      <w:numFmt w:val="decimal"/>
      <w:lvlText w:val=""/>
      <w:lvlJc w:val="left"/>
    </w:lvl>
  </w:abstractNum>
  <w:abstractNum w:abstractNumId="6" w15:restartNumberingAfterBreak="0">
    <w:nsid w:val="76A73991"/>
    <w:multiLevelType w:val="hybridMultilevel"/>
    <w:tmpl w:val="39ACF744"/>
    <w:lvl w:ilvl="0" w:tplc="AE440A30">
      <w:start w:val="1"/>
      <w:numFmt w:val="decimal"/>
      <w:lvlText w:val="%1."/>
      <w:lvlJc w:val="left"/>
      <w:pPr>
        <w:tabs>
          <w:tab w:val="num" w:pos="1080"/>
        </w:tabs>
        <w:ind w:left="720" w:hanging="360"/>
      </w:pPr>
    </w:lvl>
    <w:lvl w:ilvl="1" w:tplc="41C0BA70">
      <w:numFmt w:val="decimal"/>
      <w:lvlText w:val=""/>
      <w:lvlJc w:val="left"/>
    </w:lvl>
    <w:lvl w:ilvl="2" w:tplc="12E641CA">
      <w:numFmt w:val="decimal"/>
      <w:lvlText w:val=""/>
      <w:lvlJc w:val="left"/>
    </w:lvl>
    <w:lvl w:ilvl="3" w:tplc="549EAC18">
      <w:numFmt w:val="decimal"/>
      <w:lvlText w:val=""/>
      <w:lvlJc w:val="left"/>
    </w:lvl>
    <w:lvl w:ilvl="4" w:tplc="94609428">
      <w:numFmt w:val="decimal"/>
      <w:lvlText w:val=""/>
      <w:lvlJc w:val="left"/>
    </w:lvl>
    <w:lvl w:ilvl="5" w:tplc="3238E040">
      <w:numFmt w:val="decimal"/>
      <w:lvlText w:val=""/>
      <w:lvlJc w:val="left"/>
    </w:lvl>
    <w:lvl w:ilvl="6" w:tplc="7DF6EE2A">
      <w:numFmt w:val="decimal"/>
      <w:lvlText w:val=""/>
      <w:lvlJc w:val="left"/>
    </w:lvl>
    <w:lvl w:ilvl="7" w:tplc="5FC6A68E">
      <w:numFmt w:val="decimal"/>
      <w:lvlText w:val=""/>
      <w:lvlJc w:val="left"/>
    </w:lvl>
    <w:lvl w:ilvl="8" w:tplc="0BE6E5DA">
      <w:numFmt w:val="decimal"/>
      <w:lvlText w:val=""/>
      <w:lvlJc w:val="left"/>
    </w:lvl>
  </w:abstractNum>
  <w:num w:numId="1">
    <w:abstractNumId w:val="1"/>
  </w:num>
  <w:num w:numId="2">
    <w:abstractNumId w:val="0"/>
  </w:num>
  <w:num w:numId="3">
    <w:abstractNumId w:val="5"/>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310"/>
    <w:rsid w:val="00072CFD"/>
    <w:rsid w:val="000925B3"/>
    <w:rsid w:val="000A099C"/>
    <w:rsid w:val="000A6E9D"/>
    <w:rsid w:val="000E0787"/>
    <w:rsid w:val="000E5A57"/>
    <w:rsid w:val="000F1935"/>
    <w:rsid w:val="00110E21"/>
    <w:rsid w:val="001127FE"/>
    <w:rsid w:val="00141F7C"/>
    <w:rsid w:val="00155FFA"/>
    <w:rsid w:val="00164D90"/>
    <w:rsid w:val="00187BEB"/>
    <w:rsid w:val="001A3EEE"/>
    <w:rsid w:val="001C19E4"/>
    <w:rsid w:val="001E6A2C"/>
    <w:rsid w:val="00247A98"/>
    <w:rsid w:val="002A32C1"/>
    <w:rsid w:val="002C6831"/>
    <w:rsid w:val="002D249C"/>
    <w:rsid w:val="002E0011"/>
    <w:rsid w:val="003101FA"/>
    <w:rsid w:val="00364E3E"/>
    <w:rsid w:val="00434F33"/>
    <w:rsid w:val="00436E46"/>
    <w:rsid w:val="0046580A"/>
    <w:rsid w:val="004A6B8B"/>
    <w:rsid w:val="004A7829"/>
    <w:rsid w:val="004C2C1B"/>
    <w:rsid w:val="00534DBE"/>
    <w:rsid w:val="005633A8"/>
    <w:rsid w:val="005866A5"/>
    <w:rsid w:val="00621E88"/>
    <w:rsid w:val="00642BDB"/>
    <w:rsid w:val="006A1323"/>
    <w:rsid w:val="006F3917"/>
    <w:rsid w:val="007160D5"/>
    <w:rsid w:val="00753EFB"/>
    <w:rsid w:val="00770217"/>
    <w:rsid w:val="007A7FF6"/>
    <w:rsid w:val="007D22C5"/>
    <w:rsid w:val="007D4E82"/>
    <w:rsid w:val="00803A7D"/>
    <w:rsid w:val="0081075A"/>
    <w:rsid w:val="00860676"/>
    <w:rsid w:val="00863C0C"/>
    <w:rsid w:val="00885337"/>
    <w:rsid w:val="009003F6"/>
    <w:rsid w:val="009019DC"/>
    <w:rsid w:val="009063EF"/>
    <w:rsid w:val="00917130"/>
    <w:rsid w:val="00935021"/>
    <w:rsid w:val="00994B44"/>
    <w:rsid w:val="009D0225"/>
    <w:rsid w:val="009D27E7"/>
    <w:rsid w:val="00A06497"/>
    <w:rsid w:val="00A070EB"/>
    <w:rsid w:val="00A46310"/>
    <w:rsid w:val="00A57B34"/>
    <w:rsid w:val="00A60994"/>
    <w:rsid w:val="00A92EFC"/>
    <w:rsid w:val="00AA4561"/>
    <w:rsid w:val="00AD4936"/>
    <w:rsid w:val="00AF3997"/>
    <w:rsid w:val="00AF3A00"/>
    <w:rsid w:val="00B676CE"/>
    <w:rsid w:val="00B80AE9"/>
    <w:rsid w:val="00B92404"/>
    <w:rsid w:val="00B965A8"/>
    <w:rsid w:val="00BA4B8B"/>
    <w:rsid w:val="00BB4503"/>
    <w:rsid w:val="00BD321F"/>
    <w:rsid w:val="00C0521F"/>
    <w:rsid w:val="00C75519"/>
    <w:rsid w:val="00C83E0A"/>
    <w:rsid w:val="00CA72EA"/>
    <w:rsid w:val="00CB10D4"/>
    <w:rsid w:val="00CC6F99"/>
    <w:rsid w:val="00D17766"/>
    <w:rsid w:val="00D8434B"/>
    <w:rsid w:val="00DB57B6"/>
    <w:rsid w:val="00DB6F70"/>
    <w:rsid w:val="00DD39C0"/>
    <w:rsid w:val="00E25B15"/>
    <w:rsid w:val="00E2703C"/>
    <w:rsid w:val="00E74CD6"/>
    <w:rsid w:val="00E827C7"/>
    <w:rsid w:val="00ED57BD"/>
    <w:rsid w:val="00ED7850"/>
    <w:rsid w:val="00EE0257"/>
    <w:rsid w:val="00EF74E8"/>
    <w:rsid w:val="00F6502B"/>
    <w:rsid w:val="00FE4F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3BBB2A"/>
  <w15:docId w15:val="{61ACD20B-03FF-4326-910C-8AAF5536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table" w:styleId="TableGrid">
    <w:name w:val="Table Grid"/>
    <w:basedOn w:val="TableNormal"/>
    <w:uiPriority w:val="39"/>
    <w:rsid w:val="000A099C"/>
    <w:pPr>
      <w:spacing w:after="0" w:line="240" w:lineRule="auto"/>
    </w:pPr>
    <w:rPr>
      <w:rFonts w:asciiTheme="minorHAnsi"/>
      <w:kern w:val="2"/>
      <w:sz w:val="2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57B6"/>
    <w:pPr>
      <w:ind w:left="720"/>
      <w:contextualSpacing/>
    </w:pPr>
  </w:style>
  <w:style w:type="character" w:styleId="Hyperlink">
    <w:name w:val="Hyperlink"/>
    <w:basedOn w:val="DefaultParagraphFont"/>
    <w:uiPriority w:val="99"/>
    <w:unhideWhenUsed/>
    <w:rsid w:val="00BD321F"/>
    <w:rPr>
      <w:color w:val="0563C1" w:themeColor="hyperlink"/>
      <w:u w:val="single"/>
    </w:rPr>
  </w:style>
  <w:style w:type="character" w:customStyle="1" w:styleId="UnresolvedMention1">
    <w:name w:val="Unresolved Mention1"/>
    <w:basedOn w:val="DefaultParagraphFont"/>
    <w:uiPriority w:val="99"/>
    <w:semiHidden/>
    <w:unhideWhenUsed/>
    <w:rsid w:val="00BD321F"/>
    <w:rPr>
      <w:color w:val="605E5C"/>
      <w:shd w:val="clear" w:color="auto" w:fill="E1DFDD"/>
    </w:rPr>
  </w:style>
  <w:style w:type="paragraph" w:styleId="Header">
    <w:name w:val="header"/>
    <w:basedOn w:val="Normal"/>
    <w:link w:val="HeaderChar"/>
    <w:uiPriority w:val="99"/>
    <w:unhideWhenUsed/>
    <w:rsid w:val="00110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E21"/>
  </w:style>
  <w:style w:type="paragraph" w:styleId="Footer">
    <w:name w:val="footer"/>
    <w:basedOn w:val="Normal"/>
    <w:link w:val="FooterChar"/>
    <w:uiPriority w:val="99"/>
    <w:unhideWhenUsed/>
    <w:rsid w:val="00110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93/oxfordhb/9780199546992.003.0019" TargetMode="External"/><Relationship Id="rId18" Type="http://schemas.openxmlformats.org/officeDocument/2006/relationships/hyperlink" Target="https://doi.org/10.11648/j.ajtas.20160501.11" TargetMode="External"/><Relationship Id="rId26" Type="http://schemas.openxmlformats.org/officeDocument/2006/relationships/hyperlink" Target="https://doi.org/10.1016/j.joep.2011.02.009" TargetMode="External"/><Relationship Id="rId39" Type="http://schemas.openxmlformats.org/officeDocument/2006/relationships/hyperlink" Target="https://epubs.icar.org.in/index.php/IndHort/article/download/148537/53891/472683" TargetMode="External"/><Relationship Id="rId21" Type="http://schemas.openxmlformats.org/officeDocument/2006/relationships/hyperlink" Target="https://edge.sagepub.com/field5e" TargetMode="External"/><Relationship Id="rId34" Type="http://schemas.openxmlformats.org/officeDocument/2006/relationships/hyperlink" Target="https://doi.org/10.3390/molecules28052279"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ucg.ac.me/sklad" TargetMode="External"/><Relationship Id="rId29" Type="http://schemas.openxmlformats.org/officeDocument/2006/relationships/hyperlink" Target="https://sdgs.un.org/publications/transforming-our-world-2030-agenda-sustainable-development-179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bard.org/auth/writereaddata/tender/1702201825Manipur.pdf" TargetMode="External"/><Relationship Id="rId24" Type="http://schemas.openxmlformats.org/officeDocument/2006/relationships/hyperlink" Target="https://doi.org/10.9734/jeai/2024/v46i92902" TargetMode="External"/><Relationship Id="rId32" Type="http://schemas.openxmlformats.org/officeDocument/2006/relationships/hyperlink" Target="https://ijplsjournal.com/index.php/ijpls/article/view/426/410" TargetMode="External"/><Relationship Id="rId37" Type="http://schemas.openxmlformats.org/officeDocument/2006/relationships/hyperlink" Target="https://doi.org/10.5281/zenodo.14603049" TargetMode="External"/><Relationship Id="rId40" Type="http://schemas.openxmlformats.org/officeDocument/2006/relationships/hyperlink" Target="https://doi.org/10.51244/ijrsi.2024.1108056"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ijcrt.org/papers/IJCRT2502081.pdf" TargetMode="External"/><Relationship Id="rId23" Type="http://schemas.openxmlformats.org/officeDocument/2006/relationships/hyperlink" Target="https://doi.org/10.4324/9781003501374-34" TargetMode="External"/><Relationship Id="rId28" Type="http://schemas.openxmlformats.org/officeDocument/2006/relationships/hyperlink" Target="https://doi.org/10.1111/j.1540-627x.2010.00314.x" TargetMode="External"/><Relationship Id="rId36" Type="http://schemas.openxmlformats.org/officeDocument/2006/relationships/hyperlink" Target="https://doi.org/10.1016/j.focha.2024.100864" TargetMode="External"/><Relationship Id="rId10" Type="http://schemas.openxmlformats.org/officeDocument/2006/relationships/hyperlink" Target="https://doi.org/10.9734/jsrr/2025/v31i63194" TargetMode="External"/><Relationship Id="rId19" Type="http://schemas.openxmlformats.org/officeDocument/2006/relationships/hyperlink" Target="https://doi.org/10.1007/s10488-013-0528-y" TargetMode="External"/><Relationship Id="rId31" Type="http://schemas.openxmlformats.org/officeDocument/2006/relationships/hyperlink" Target="https://epubs.icar.org.in/index.php/IndHort/article/download/148516/53879/472664"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9734/cjast/2020/v39i3331021" TargetMode="External"/><Relationship Id="rId22" Type="http://schemas.openxmlformats.org/officeDocument/2006/relationships/hyperlink" Target="https://www.researchgate.net/publication/234616195_Four_Assumptions_of_Multiple_Regression_That_Researchers_Should_Always_Test" TargetMode="External"/><Relationship Id="rId27" Type="http://schemas.openxmlformats.org/officeDocument/2006/relationships/hyperlink" Target="https://doi.org/10.1016/j.igd.2023.100093" TargetMode="External"/><Relationship Id="rId30" Type="http://schemas.openxmlformats.org/officeDocument/2006/relationships/hyperlink" Target="https://www.ijcrt.org/papers/IJCRT2411769.pdf" TargetMode="External"/><Relationship Id="rId35" Type="http://schemas.openxmlformats.org/officeDocument/2006/relationships/hyperlink" Target="https://indianecologicalsociety.com/wp-content/themes/ecology/volume_pdfs/abstract37.pdf"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016/0749-5978(91)90020-t" TargetMode="External"/><Relationship Id="rId17" Type="http://schemas.openxmlformats.org/officeDocument/2006/relationships/hyperlink" Target="https://ktpu.kpi.ua/wp-content/uploads/2014/02/social-research-methods-alan-bryman.pdf" TargetMode="External"/><Relationship Id="rId25" Type="http://schemas.openxmlformats.org/officeDocument/2006/relationships/hyperlink" Target="https://doi.org/10.1504/ijesb.2020.10031117" TargetMode="External"/><Relationship Id="rId33" Type="http://schemas.openxmlformats.org/officeDocument/2006/relationships/hyperlink" Target="https://doi.org/10.31254/jahm.2022.8312" TargetMode="External"/><Relationship Id="rId38" Type="http://schemas.openxmlformats.org/officeDocument/2006/relationships/hyperlink" Target="https://doi.org/10.9734/ajaees/2023/v41i102178" TargetMode="External"/><Relationship Id="rId46" Type="http://schemas.openxmlformats.org/officeDocument/2006/relationships/footer" Target="footer3.xml"/><Relationship Id="rId20" Type="http://schemas.openxmlformats.org/officeDocument/2006/relationships/hyperlink" Target="https://doi.org/10.5116/ijme.4dfb.8dfd"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23</Pages>
  <Words>7022</Words>
  <Characters>40032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Editor-1183</cp:lastModifiedBy>
  <cp:revision>82</cp:revision>
  <dcterms:created xsi:type="dcterms:W3CDTF">2025-12-05T12:09:00Z</dcterms:created>
  <dcterms:modified xsi:type="dcterms:W3CDTF">2025-12-15T06:59:00Z</dcterms:modified>
</cp:coreProperties>
</file>