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0444" w14:textId="2B9FE532" w:rsidR="00F5238B" w:rsidRPr="002E07E0" w:rsidRDefault="006B1674" w:rsidP="00070E31">
      <w:pPr>
        <w:pStyle w:val="Heading5"/>
        <w:tabs>
          <w:tab w:val="left" w:pos="7421"/>
        </w:tabs>
        <w:spacing w:line="360" w:lineRule="auto"/>
        <w:ind w:left="0" w:firstLine="0"/>
        <w:jc w:val="center"/>
        <w:rPr>
          <w:bCs w:val="0"/>
        </w:rPr>
      </w:pPr>
      <w:r w:rsidRPr="002E07E0">
        <w:t>Effect of Plant Growth Regulators on Growth, Yield and Quality of Cluster Bean [</w:t>
      </w:r>
      <w:r w:rsidRPr="002E07E0">
        <w:rPr>
          <w:i/>
          <w:iCs/>
        </w:rPr>
        <w:t xml:space="preserve">Cyamopsis </w:t>
      </w:r>
      <w:proofErr w:type="spellStart"/>
      <w:r w:rsidRPr="002E07E0">
        <w:rPr>
          <w:i/>
          <w:iCs/>
        </w:rPr>
        <w:t>tetragonoloba</w:t>
      </w:r>
      <w:proofErr w:type="spellEnd"/>
      <w:r w:rsidRPr="002E07E0">
        <w:t xml:space="preserve"> (L.) Taub.]</w:t>
      </w:r>
    </w:p>
    <w:p w14:paraId="145994C2" w14:textId="77777777" w:rsidR="00166262" w:rsidRDefault="00166262" w:rsidP="0022447D">
      <w:pPr>
        <w:pStyle w:val="BodyText"/>
        <w:pBdr>
          <w:bottom w:val="single" w:sz="4" w:space="1" w:color="auto"/>
        </w:pBdr>
        <w:spacing w:line="276" w:lineRule="auto"/>
        <w:ind w:left="0" w:right="27" w:firstLine="720"/>
        <w:jc w:val="center"/>
        <w:rPr>
          <w:b/>
          <w:bCs/>
        </w:rPr>
      </w:pPr>
    </w:p>
    <w:p w14:paraId="3914DAB2" w14:textId="77777777" w:rsidR="00166262" w:rsidRDefault="00166262" w:rsidP="0022447D">
      <w:pPr>
        <w:pStyle w:val="BodyText"/>
        <w:pBdr>
          <w:bottom w:val="single" w:sz="4" w:space="1" w:color="auto"/>
        </w:pBdr>
        <w:spacing w:line="276" w:lineRule="auto"/>
        <w:ind w:left="0" w:right="27" w:firstLine="720"/>
        <w:jc w:val="center"/>
        <w:rPr>
          <w:b/>
          <w:bCs/>
        </w:rPr>
      </w:pPr>
    </w:p>
    <w:p w14:paraId="3246A352" w14:textId="77777777" w:rsidR="00166262" w:rsidRDefault="00166262" w:rsidP="0022447D">
      <w:pPr>
        <w:pStyle w:val="BodyText"/>
        <w:pBdr>
          <w:bottom w:val="single" w:sz="4" w:space="1" w:color="auto"/>
        </w:pBdr>
        <w:spacing w:line="276" w:lineRule="auto"/>
        <w:ind w:left="0" w:right="27" w:firstLine="720"/>
        <w:jc w:val="center"/>
        <w:rPr>
          <w:b/>
          <w:bCs/>
        </w:rPr>
      </w:pPr>
    </w:p>
    <w:p w14:paraId="566F8B22" w14:textId="7016B5BA" w:rsidR="0022447D" w:rsidRPr="002E07E0" w:rsidRDefault="0022447D" w:rsidP="0022447D">
      <w:pPr>
        <w:pStyle w:val="BodyText"/>
        <w:pBdr>
          <w:bottom w:val="single" w:sz="4" w:space="1" w:color="auto"/>
        </w:pBdr>
        <w:spacing w:line="276" w:lineRule="auto"/>
        <w:ind w:left="0" w:right="27" w:firstLine="720"/>
        <w:jc w:val="center"/>
        <w:rPr>
          <w:b/>
          <w:bCs/>
        </w:rPr>
      </w:pPr>
      <w:r w:rsidRPr="002E07E0">
        <w:rPr>
          <w:b/>
          <w:bCs/>
        </w:rPr>
        <w:t>ABSTRACT</w:t>
      </w:r>
    </w:p>
    <w:p w14:paraId="10396BB9" w14:textId="77777777" w:rsidR="00AF379B" w:rsidRPr="002E07E0" w:rsidRDefault="00692598" w:rsidP="000F3940">
      <w:pPr>
        <w:spacing w:after="0" w:line="276" w:lineRule="auto"/>
        <w:jc w:val="both"/>
        <w:rPr>
          <w:rFonts w:ascii="Times New Roman" w:hAnsi="Times New Roman" w:cs="Times New Roman"/>
          <w:spacing w:val="-1"/>
          <w:sz w:val="24"/>
          <w:szCs w:val="24"/>
        </w:rPr>
      </w:pPr>
      <w:r w:rsidRPr="002E07E0">
        <w:rPr>
          <w:rFonts w:ascii="Times New Roman" w:hAnsi="Times New Roman" w:cs="Times New Roman"/>
          <w:spacing w:val="-1"/>
          <w:sz w:val="24"/>
          <w:szCs w:val="24"/>
        </w:rPr>
        <w:t xml:space="preserve"> </w:t>
      </w:r>
    </w:p>
    <w:p w14:paraId="05E65FEB" w14:textId="761DF69E" w:rsidR="006B1674" w:rsidRDefault="00070E31" w:rsidP="000C37BF">
      <w:pPr>
        <w:spacing w:after="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 xml:space="preserve"> </w:t>
      </w:r>
      <w:bookmarkStart w:id="0" w:name="_Hlk216955518"/>
      <w:r w:rsidR="00D034D5" w:rsidRPr="00D034D5">
        <w:rPr>
          <w:rFonts w:ascii="Times New Roman" w:hAnsi="Times New Roman" w:cs="Times New Roman"/>
          <w:sz w:val="24"/>
          <w:szCs w:val="24"/>
        </w:rPr>
        <w:t xml:space="preserve">A field experiment was conducted during the kharif season of 2024–25 at the Agricultural Research Farm, Suresh Gyan Vihar University, Jaipur (Rajasthan), to evaluate the response of cluster bean [Cyamopsis </w:t>
      </w:r>
      <w:proofErr w:type="spellStart"/>
      <w:r w:rsidR="00D034D5" w:rsidRPr="00D034D5">
        <w:rPr>
          <w:rFonts w:ascii="Times New Roman" w:hAnsi="Times New Roman" w:cs="Times New Roman"/>
          <w:sz w:val="24"/>
          <w:szCs w:val="24"/>
        </w:rPr>
        <w:t>tetragonol</w:t>
      </w:r>
      <w:r w:rsidR="00A34577">
        <w:rPr>
          <w:rFonts w:ascii="Times New Roman" w:hAnsi="Times New Roman" w:cs="Times New Roman"/>
          <w:sz w:val="24"/>
          <w:szCs w:val="24"/>
        </w:rPr>
        <w:fldChar w:fldCharType="begin"/>
      </w:r>
      <w:r w:rsidR="00A34577">
        <w:rPr>
          <w:rFonts w:ascii="Times New Roman" w:hAnsi="Times New Roman" w:cs="Times New Roman"/>
          <w:sz w:val="24"/>
          <w:szCs w:val="24"/>
        </w:rPr>
        <w:instrText xml:space="preserve">  </w:instrText>
      </w:r>
      <w:r w:rsidR="00A34577">
        <w:rPr>
          <w:rFonts w:ascii="Times New Roman" w:hAnsi="Times New Roman" w:cs="Times New Roman"/>
          <w:sz w:val="24"/>
          <w:szCs w:val="24"/>
        </w:rPr>
        <w:fldChar w:fldCharType="separate"/>
      </w:r>
      <w:r w:rsidR="00A34577">
        <w:rPr>
          <w:rFonts w:ascii="Times New Roman" w:hAnsi="Times New Roman" w:cs="Times New Roman"/>
          <w:sz w:val="24"/>
          <w:szCs w:val="24"/>
        </w:rPr>
        <w:fldChar w:fldCharType="end"/>
      </w:r>
      <w:r w:rsidR="00D034D5" w:rsidRPr="00D034D5">
        <w:rPr>
          <w:rFonts w:ascii="Times New Roman" w:hAnsi="Times New Roman" w:cs="Times New Roman"/>
          <w:sz w:val="24"/>
          <w:szCs w:val="24"/>
        </w:rPr>
        <w:t>oba</w:t>
      </w:r>
      <w:proofErr w:type="spellEnd"/>
      <w:r w:rsidR="00D034D5" w:rsidRPr="00D034D5">
        <w:rPr>
          <w:rFonts w:ascii="Times New Roman" w:hAnsi="Times New Roman" w:cs="Times New Roman"/>
          <w:sz w:val="24"/>
          <w:szCs w:val="24"/>
        </w:rPr>
        <w:t xml:space="preserve"> (L.) Taub.] to foliar application of plant growth regulators (PGRs). Ten treatments—control (T1), NAA at 50, 100 and 150 ppm (T2–T4), GA₃ at 50, 100 and 150 ppm (T5–T7), and </w:t>
      </w:r>
      <w:proofErr w:type="spellStart"/>
      <w:r w:rsidR="00D034D5" w:rsidRPr="00D034D5">
        <w:rPr>
          <w:rFonts w:ascii="Times New Roman" w:hAnsi="Times New Roman" w:cs="Times New Roman"/>
          <w:sz w:val="24"/>
          <w:szCs w:val="24"/>
        </w:rPr>
        <w:t>cycocel</w:t>
      </w:r>
      <w:proofErr w:type="spellEnd"/>
      <w:r w:rsidR="00D034D5" w:rsidRPr="00D034D5">
        <w:rPr>
          <w:rFonts w:ascii="Times New Roman" w:hAnsi="Times New Roman" w:cs="Times New Roman"/>
          <w:sz w:val="24"/>
          <w:szCs w:val="24"/>
        </w:rPr>
        <w:t xml:space="preserve">/CCC at 750, 1500 and 2250 ppm (T8–T10)—were tested in a randomized block design with three replications using cv. Pusa Navbahar. GA₃ at 150 ppm (T7) produced the tallest plants at 30, 60 and 90 DAS (21.84, 47.32 and 82.38 cm, respectively). CCC at 750 ppm (T8) recorded the highest number of clusters per plant (13.87) and pods per cluster (4.33), and also improved yield attributes, including pods per plant (60.06) and pod length (9.53 cm). Early flowering was observed under NAA at 100 ppm (T3), with 50% flowering in 45.85 days. The maximum seed yield (62.46 g plant⁻¹, 2775.97 g plot⁻¹ and 9253.24 kg ha⁻¹), protein content (24.22%), net return (₹124,008) and </w:t>
      </w:r>
      <w:proofErr w:type="spellStart"/>
      <w:r w:rsidR="00D034D5" w:rsidRPr="00D034D5">
        <w:rPr>
          <w:rFonts w:ascii="Times New Roman" w:hAnsi="Times New Roman" w:cs="Times New Roman"/>
          <w:sz w:val="24"/>
          <w:szCs w:val="24"/>
        </w:rPr>
        <w:t>benefit:cost</w:t>
      </w:r>
      <w:proofErr w:type="spellEnd"/>
      <w:r w:rsidR="00D034D5" w:rsidRPr="00D034D5">
        <w:rPr>
          <w:rFonts w:ascii="Times New Roman" w:hAnsi="Times New Roman" w:cs="Times New Roman"/>
          <w:sz w:val="24"/>
          <w:szCs w:val="24"/>
        </w:rPr>
        <w:t xml:space="preserve"> ratio (3.91) were obtained with CCC at 750 ppm (T8). Overall, CCC at 750 ppm was the most effective treatment for enhancing productivity, seed quality and profitability of cluster bean under the semi-arid conditions of Jaipur.</w:t>
      </w:r>
    </w:p>
    <w:bookmarkEnd w:id="0"/>
    <w:p w14:paraId="3D2C91BC" w14:textId="77777777" w:rsidR="00AB344C" w:rsidRPr="002E07E0" w:rsidRDefault="00AB344C" w:rsidP="000C37BF">
      <w:pPr>
        <w:spacing w:after="0" w:line="360" w:lineRule="auto"/>
        <w:jc w:val="both"/>
        <w:rPr>
          <w:rFonts w:ascii="Times New Roman" w:hAnsi="Times New Roman" w:cs="Times New Roman"/>
          <w:sz w:val="24"/>
          <w:szCs w:val="24"/>
        </w:rPr>
      </w:pPr>
    </w:p>
    <w:p w14:paraId="71FA6753" w14:textId="285C7DDC" w:rsidR="006B1674" w:rsidRPr="002E07E0" w:rsidRDefault="00AF379B" w:rsidP="00070E31">
      <w:pPr>
        <w:rPr>
          <w:rFonts w:ascii="Times New Roman" w:hAnsi="Times New Roman" w:cs="Times New Roman"/>
          <w:i/>
          <w:iCs/>
          <w:sz w:val="24"/>
          <w:szCs w:val="24"/>
        </w:rPr>
      </w:pPr>
      <w:r w:rsidRPr="002E07E0">
        <w:rPr>
          <w:rFonts w:ascii="Times New Roman" w:eastAsia="Times New Roman" w:hAnsi="Times New Roman" w:cs="Times New Roman"/>
          <w:i/>
          <w:iCs/>
          <w:sz w:val="24"/>
          <w:szCs w:val="24"/>
          <w:lang w:val="en-US" w:bidi="ar-SA"/>
        </w:rPr>
        <w:t xml:space="preserve"> </w:t>
      </w:r>
      <w:r w:rsidR="00DD6553" w:rsidRPr="002E07E0">
        <w:rPr>
          <w:rFonts w:ascii="Times New Roman" w:hAnsi="Times New Roman" w:cs="Times New Roman"/>
          <w:b/>
          <w:bCs/>
          <w:i/>
          <w:iCs/>
          <w:sz w:val="24"/>
          <w:szCs w:val="24"/>
        </w:rPr>
        <w:t xml:space="preserve">Keywords: </w:t>
      </w:r>
      <w:r w:rsidR="00D62E24" w:rsidRPr="002E07E0">
        <w:rPr>
          <w:rFonts w:ascii="Times New Roman" w:hAnsi="Times New Roman" w:cs="Times New Roman"/>
          <w:b/>
          <w:bCs/>
          <w:i/>
          <w:iCs/>
          <w:sz w:val="24"/>
          <w:szCs w:val="24"/>
        </w:rPr>
        <w:t xml:space="preserve"> </w:t>
      </w:r>
      <w:r w:rsidR="00D034D5" w:rsidRPr="00D034D5">
        <w:rPr>
          <w:rFonts w:ascii="Times New Roman" w:hAnsi="Times New Roman" w:cs="Times New Roman"/>
          <w:b/>
          <w:bCs/>
          <w:i/>
          <w:iCs/>
          <w:sz w:val="24"/>
          <w:szCs w:val="24"/>
        </w:rPr>
        <w:t xml:space="preserve">cluster bean; plant growth regulators; GA₃; </w:t>
      </w:r>
      <w:proofErr w:type="spellStart"/>
      <w:r w:rsidR="00D034D5" w:rsidRPr="00D034D5">
        <w:rPr>
          <w:rFonts w:ascii="Times New Roman" w:hAnsi="Times New Roman" w:cs="Times New Roman"/>
          <w:b/>
          <w:bCs/>
          <w:i/>
          <w:iCs/>
          <w:sz w:val="24"/>
          <w:szCs w:val="24"/>
        </w:rPr>
        <w:t>cycocel</w:t>
      </w:r>
      <w:proofErr w:type="spellEnd"/>
      <w:r w:rsidR="00D034D5" w:rsidRPr="00D034D5">
        <w:rPr>
          <w:rFonts w:ascii="Times New Roman" w:hAnsi="Times New Roman" w:cs="Times New Roman"/>
          <w:b/>
          <w:bCs/>
          <w:i/>
          <w:iCs/>
          <w:sz w:val="24"/>
          <w:szCs w:val="24"/>
        </w:rPr>
        <w:t xml:space="preserve"> (CCC); seed yield; protein content.</w:t>
      </w:r>
    </w:p>
    <w:p w14:paraId="387D3DFD" w14:textId="77777777" w:rsidR="00F63A91" w:rsidRDefault="00F63A91" w:rsidP="00670A3B">
      <w:pPr>
        <w:autoSpaceDE w:val="0"/>
        <w:autoSpaceDN w:val="0"/>
        <w:adjustRightInd w:val="0"/>
        <w:spacing w:after="0" w:line="360" w:lineRule="auto"/>
        <w:jc w:val="both"/>
        <w:rPr>
          <w:rFonts w:ascii="Times New Roman" w:hAnsi="Times New Roman" w:cs="Times New Roman"/>
          <w:b/>
          <w:bCs/>
          <w:sz w:val="24"/>
          <w:szCs w:val="24"/>
        </w:rPr>
      </w:pPr>
    </w:p>
    <w:p w14:paraId="2E5ADAC2" w14:textId="50BE883C" w:rsidR="008C1F34" w:rsidRPr="002E07E0" w:rsidRDefault="00977147" w:rsidP="00670A3B">
      <w:pPr>
        <w:autoSpaceDE w:val="0"/>
        <w:autoSpaceDN w:val="0"/>
        <w:adjustRightInd w:val="0"/>
        <w:spacing w:after="0" w:line="360" w:lineRule="auto"/>
        <w:jc w:val="both"/>
        <w:rPr>
          <w:rFonts w:ascii="Times New Roman" w:hAnsi="Times New Roman" w:cs="Times New Roman"/>
          <w:b/>
          <w:bCs/>
          <w:sz w:val="24"/>
          <w:szCs w:val="24"/>
        </w:rPr>
      </w:pPr>
      <w:r w:rsidRPr="002E07E0">
        <w:rPr>
          <w:rFonts w:ascii="Times New Roman" w:hAnsi="Times New Roman" w:cs="Times New Roman"/>
          <w:b/>
          <w:bCs/>
          <w:sz w:val="24"/>
          <w:szCs w:val="24"/>
        </w:rPr>
        <w:t>INTRODUCTION</w:t>
      </w:r>
    </w:p>
    <w:p w14:paraId="6E8704D6" w14:textId="7F552601" w:rsidR="006B1674" w:rsidRPr="002E07E0" w:rsidRDefault="005C7D0B"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Cluster bean (</w:t>
      </w:r>
      <w:r w:rsidR="006B1674" w:rsidRPr="002E07E0">
        <w:rPr>
          <w:rFonts w:ascii="Times New Roman" w:hAnsi="Times New Roman" w:cs="Times New Roman"/>
          <w:i/>
          <w:iCs/>
          <w:sz w:val="24"/>
          <w:szCs w:val="24"/>
        </w:rPr>
        <w:t xml:space="preserve">Cyamopsis </w:t>
      </w:r>
      <w:proofErr w:type="spellStart"/>
      <w:r w:rsidR="006B1674" w:rsidRPr="002E07E0">
        <w:rPr>
          <w:rFonts w:ascii="Times New Roman" w:hAnsi="Times New Roman" w:cs="Times New Roman"/>
          <w:i/>
          <w:iCs/>
          <w:sz w:val="24"/>
          <w:szCs w:val="24"/>
        </w:rPr>
        <w:t>tetragonoloba</w:t>
      </w:r>
      <w:proofErr w:type="spellEnd"/>
      <w:r w:rsidR="006B1674" w:rsidRPr="002E07E0">
        <w:rPr>
          <w:rFonts w:ascii="Times New Roman" w:hAnsi="Times New Roman" w:cs="Times New Roman"/>
          <w:sz w:val="24"/>
          <w:szCs w:val="24"/>
        </w:rPr>
        <w:t xml:space="preserve"> (L.) popularly known as guar belongs to the family </w:t>
      </w:r>
      <w:proofErr w:type="spellStart"/>
      <w:r w:rsidR="00AB344C" w:rsidRPr="00AB344C">
        <w:rPr>
          <w:rFonts w:ascii="Times New Roman" w:hAnsi="Times New Roman" w:cs="Times New Roman"/>
          <w:sz w:val="24"/>
          <w:szCs w:val="24"/>
        </w:rPr>
        <w:t>leguminosae</w:t>
      </w:r>
      <w:proofErr w:type="spellEnd"/>
      <w:r w:rsidR="006B1674" w:rsidRPr="002E07E0">
        <w:rPr>
          <w:rFonts w:ascii="Times New Roman" w:hAnsi="Times New Roman" w:cs="Times New Roman"/>
          <w:sz w:val="24"/>
          <w:szCs w:val="24"/>
        </w:rPr>
        <w:t xml:space="preserve">, it is grown for its young tender green immature pods, which are used as a nutritive vegetable. In spite of commercial importance of cluster bean crop in our daily diet and wide spread cultivation; availability of good quality cluster bean is not satisfactory. Several attempts have been made to increase the yield potential of pulses, but they are primarily concerned with the use of fertilizers, pesticides and better management practices coupled with genetic improvement. </w:t>
      </w:r>
      <w:proofErr w:type="gramStart"/>
      <w:r w:rsidR="006B1674" w:rsidRPr="002E07E0">
        <w:rPr>
          <w:rFonts w:ascii="Times New Roman" w:hAnsi="Times New Roman" w:cs="Times New Roman"/>
          <w:sz w:val="24"/>
          <w:szCs w:val="24"/>
        </w:rPr>
        <w:t>But,</w:t>
      </w:r>
      <w:proofErr w:type="gramEnd"/>
      <w:r w:rsidR="006B1674" w:rsidRPr="002E07E0">
        <w:rPr>
          <w:rFonts w:ascii="Times New Roman" w:hAnsi="Times New Roman" w:cs="Times New Roman"/>
          <w:sz w:val="24"/>
          <w:szCs w:val="24"/>
        </w:rPr>
        <w:t xml:space="preserve"> very little attention has been given to the physiological processes, which limit the crop productivity. </w:t>
      </w:r>
    </w:p>
    <w:p w14:paraId="4CD18711" w14:textId="71B505F1" w:rsidR="00342FD8" w:rsidRPr="002E07E0" w:rsidRDefault="00342FD8" w:rsidP="00342FD8">
      <w:pPr>
        <w:spacing w:line="360" w:lineRule="auto"/>
        <w:jc w:val="both"/>
        <w:rPr>
          <w:rFonts w:ascii="Times New Roman" w:hAnsi="Times New Roman" w:cs="Times New Roman"/>
          <w:b/>
          <w:bCs/>
          <w:sz w:val="24"/>
          <w:szCs w:val="24"/>
        </w:rPr>
      </w:pPr>
      <w:r w:rsidRPr="002E07E0">
        <w:rPr>
          <w:rFonts w:ascii="Times New Roman" w:hAnsi="Times New Roman" w:cs="Times New Roman"/>
          <w:sz w:val="24"/>
          <w:szCs w:val="24"/>
        </w:rPr>
        <w:lastRenderedPageBreak/>
        <w:tab/>
        <w:t xml:space="preserve">Cluster beans are the most significant commercial crops grown in dry and semi-arid regions. This tropical crop needs a temperature range of 30 °C to 35 °C to ensure optimal germination during seeding and a temperature range of 35 °C to 38 °C to promote healthy vegetative growth. The plant needs long days for vegetative growth and short days for flowering because it cannot withstand. A crop with a short growing season, cluster beans can be planted in the rainy and summer </w:t>
      </w:r>
      <w:r w:rsidR="00AB344C">
        <w:rPr>
          <w:rFonts w:ascii="Times New Roman" w:hAnsi="Times New Roman" w:cs="Times New Roman"/>
          <w:sz w:val="24"/>
          <w:szCs w:val="24"/>
        </w:rPr>
        <w:t xml:space="preserve">seasons </w:t>
      </w:r>
      <w:r w:rsidRPr="002E07E0">
        <w:rPr>
          <w:rFonts w:ascii="Times New Roman" w:hAnsi="Times New Roman" w:cs="Times New Roman"/>
          <w:sz w:val="24"/>
          <w:szCs w:val="24"/>
        </w:rPr>
        <w:t>with assured irrigation. This crop can tolerate a pH of up to 8.0 in the soil, although water logging conditions negatively impact the crops development and growth. Cluster beans have well-developed lateral roots and a lengthy tap root</w:t>
      </w:r>
      <w:r w:rsidR="008A2036" w:rsidRPr="002E07E0">
        <w:rPr>
          <w:rFonts w:ascii="Times New Roman" w:hAnsi="Times New Roman" w:cs="Times New Roman"/>
          <w:sz w:val="24"/>
          <w:szCs w:val="24"/>
        </w:rPr>
        <w:t xml:space="preserve"> (Deshmukh </w:t>
      </w:r>
      <w:r w:rsidR="008A2036" w:rsidRPr="002E07E0">
        <w:rPr>
          <w:rFonts w:ascii="Times New Roman" w:hAnsi="Times New Roman" w:cs="Times New Roman"/>
          <w:i/>
          <w:iCs/>
          <w:sz w:val="24"/>
          <w:szCs w:val="24"/>
        </w:rPr>
        <w:t>et al</w:t>
      </w:r>
      <w:r w:rsidR="008A2036" w:rsidRPr="002E07E0">
        <w:rPr>
          <w:rFonts w:ascii="Times New Roman" w:hAnsi="Times New Roman" w:cs="Times New Roman"/>
          <w:sz w:val="24"/>
          <w:szCs w:val="24"/>
        </w:rPr>
        <w:t>.2024)</w:t>
      </w:r>
    </w:p>
    <w:p w14:paraId="1D3784CC" w14:textId="77777777" w:rsidR="00342FD8" w:rsidRPr="002E07E0" w:rsidRDefault="006B1674"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r w:rsidR="00342FD8" w:rsidRPr="002E07E0">
        <w:rPr>
          <w:rFonts w:ascii="Times New Roman" w:eastAsia="Times New Roman" w:hAnsi="Times New Roman" w:cs="Times New Roman"/>
          <w:sz w:val="24"/>
          <w:szCs w:val="24"/>
        </w:rPr>
        <w:t xml:space="preserve">The given nutritional composition provides 35 kcal of energy, with 31 g of carbohydrates, 3 g of proteins, and 31 g of lipids, along with 7 g of dietary fibre and 2 g of sugar. It is also a rich source of minerals, supplying 156 mg of calcium and an exceptionally high amount of 96 mg of iron, while offering moderate vitamins such as 3 mg of Vitamin C and 200 IU of Vitamin A. This profile indicates a nutrient-dense food item that supports energy requirements, contributes to bone health, boosts haemoglobin formation, and aids in maintaining immunity and overall wellbeing </w:t>
      </w:r>
      <w:r w:rsidR="00342FD8" w:rsidRPr="002E07E0">
        <w:rPr>
          <w:rFonts w:ascii="Times New Roman" w:hAnsi="Times New Roman" w:cs="Times New Roman"/>
          <w:sz w:val="24"/>
          <w:szCs w:val="24"/>
        </w:rPr>
        <w:t>(</w:t>
      </w:r>
      <w:proofErr w:type="spellStart"/>
      <w:r w:rsidR="00342FD8" w:rsidRPr="002E07E0">
        <w:rPr>
          <w:rFonts w:ascii="Times New Roman" w:hAnsi="Times New Roman" w:cs="Times New Roman"/>
          <w:sz w:val="24"/>
          <w:szCs w:val="24"/>
        </w:rPr>
        <w:t>Delvadiya</w:t>
      </w:r>
      <w:proofErr w:type="spellEnd"/>
      <w:r w:rsidR="00342FD8" w:rsidRPr="002E07E0">
        <w:rPr>
          <w:rFonts w:ascii="Times New Roman" w:hAnsi="Times New Roman" w:cs="Times New Roman"/>
          <w:sz w:val="24"/>
          <w:szCs w:val="24"/>
        </w:rPr>
        <w:t xml:space="preserve"> </w:t>
      </w:r>
      <w:r w:rsidR="00342FD8" w:rsidRPr="002E07E0">
        <w:rPr>
          <w:rFonts w:ascii="Times New Roman" w:hAnsi="Times New Roman" w:cs="Times New Roman"/>
          <w:i/>
          <w:iCs/>
          <w:sz w:val="24"/>
          <w:szCs w:val="24"/>
        </w:rPr>
        <w:t>et al</w:t>
      </w:r>
      <w:r w:rsidR="00342FD8" w:rsidRPr="002E07E0">
        <w:rPr>
          <w:rFonts w:ascii="Times New Roman" w:hAnsi="Times New Roman" w:cs="Times New Roman"/>
          <w:sz w:val="24"/>
          <w:szCs w:val="24"/>
        </w:rPr>
        <w:t>., 2018).</w:t>
      </w:r>
      <w:r w:rsidR="00342FD8" w:rsidRPr="002E07E0">
        <w:rPr>
          <w:rFonts w:ascii="Times New Roman" w:eastAsia="Times New Roman" w:hAnsi="Times New Roman" w:cs="Times New Roman"/>
          <w:b/>
          <w:bCs/>
          <w:kern w:val="24"/>
          <w:sz w:val="24"/>
          <w:szCs w:val="24"/>
        </w:rPr>
        <w:t xml:space="preserve"> </w:t>
      </w:r>
    </w:p>
    <w:p w14:paraId="75EE55FB" w14:textId="77777777" w:rsidR="00342FD8" w:rsidRPr="002E07E0" w:rsidRDefault="00342FD8"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proofErr w:type="spellStart"/>
      <w:r w:rsidRPr="002E07E0">
        <w:rPr>
          <w:rFonts w:ascii="Times New Roman" w:hAnsi="Times New Roman" w:cs="Times New Roman"/>
          <w:sz w:val="24"/>
          <w:szCs w:val="24"/>
        </w:rPr>
        <w:t>Clusterbean</w:t>
      </w:r>
      <w:proofErr w:type="spellEnd"/>
      <w:r w:rsidRPr="002E07E0">
        <w:rPr>
          <w:rFonts w:ascii="Times New Roman" w:hAnsi="Times New Roman" w:cs="Times New Roman"/>
          <w:sz w:val="24"/>
          <w:szCs w:val="24"/>
        </w:rPr>
        <w:t xml:space="preserve"> (</w:t>
      </w:r>
      <w:r w:rsidRPr="002E07E0">
        <w:rPr>
          <w:rFonts w:ascii="Times New Roman" w:hAnsi="Times New Roman" w:cs="Times New Roman"/>
          <w:i/>
          <w:iCs/>
          <w:sz w:val="24"/>
          <w:szCs w:val="24"/>
        </w:rPr>
        <w:t xml:space="preserve">Cyamopsis </w:t>
      </w:r>
      <w:proofErr w:type="spellStart"/>
      <w:r w:rsidRPr="002E07E0">
        <w:rPr>
          <w:rFonts w:ascii="Times New Roman" w:hAnsi="Times New Roman" w:cs="Times New Roman"/>
          <w:i/>
          <w:iCs/>
          <w:sz w:val="24"/>
          <w:szCs w:val="24"/>
        </w:rPr>
        <w:t>tetragonoloba</w:t>
      </w:r>
      <w:proofErr w:type="spellEnd"/>
      <w:r w:rsidRPr="002E07E0">
        <w:rPr>
          <w:rFonts w:ascii="Times New Roman" w:hAnsi="Times New Roman" w:cs="Times New Roman"/>
          <w:sz w:val="24"/>
          <w:szCs w:val="24"/>
        </w:rPr>
        <w:t xml:space="preserve"> L.) is a legume species cultivated mainly in India and, to a lesser extent in Pakistan and the USA. Guar gum and its derivatives are extensively used as an emulsifier, thicker, strengthener and stabilizer in a wide range of industrial activities such as food, paper printing, textiles, cosmetics and oil industries (</w:t>
      </w:r>
      <w:proofErr w:type="spellStart"/>
      <w:r w:rsidRPr="002E07E0">
        <w:rPr>
          <w:rFonts w:ascii="Times New Roman" w:hAnsi="Times New Roman" w:cs="Times New Roman"/>
          <w:sz w:val="24"/>
          <w:szCs w:val="24"/>
        </w:rPr>
        <w:t>Mudgil</w:t>
      </w:r>
      <w:proofErr w:type="spellEnd"/>
      <w:r w:rsidRPr="002E07E0">
        <w:rPr>
          <w:rFonts w:ascii="Times New Roman" w:hAnsi="Times New Roman" w:cs="Times New Roman"/>
          <w:sz w:val="24"/>
          <w:szCs w:val="24"/>
        </w:rPr>
        <w:t xml:space="preserve">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2014). India is a major producer of cluster bean and contributes to 80% of the world’s total production of cluster bean.</w:t>
      </w:r>
    </w:p>
    <w:p w14:paraId="53657026" w14:textId="009FE057" w:rsidR="006B1674" w:rsidRPr="002E07E0" w:rsidRDefault="006B1674"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 xml:space="preserve">Application of growth promoting hormones i.e., Plant Growth Regulators (PGRs) is a recent technique in this direction. Plant growth regulators are known to influence growth and development at very low concentrations but inhibit plant growth and development at high concentration (Ibrahim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2007) Such substances are therefore potentially useful in horticulture, because suitable concentrations applied at appropriate times will increase the yield either by altering dry matter distribution in the plant or by regulating growth. Thus, application of plant growth substances on various leguminous crops were found effective for increasing growth and yield parameters. </w:t>
      </w:r>
    </w:p>
    <w:p w14:paraId="758C4648" w14:textId="77777777" w:rsidR="00070E31" w:rsidRPr="002E07E0" w:rsidRDefault="006B1674"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t xml:space="preserve">Thus, application of plant growth substances on various leguminous crops which were found effective for increasing growth, yield and biochemical parameters have been attempted </w:t>
      </w:r>
      <w:r w:rsidRPr="002E07E0">
        <w:rPr>
          <w:rFonts w:ascii="Times New Roman" w:hAnsi="Times New Roman" w:cs="Times New Roman"/>
          <w:sz w:val="24"/>
          <w:szCs w:val="24"/>
        </w:rPr>
        <w:lastRenderedPageBreak/>
        <w:t xml:space="preserve">in present investigation to study the response of cluster bean to foliar application of plant growth regulators on different parameters. Such substances therefore potentially useful in agriculture, because suitable concentrations applied at appropriate times would increase the yield either by altering dry matter distribution in the plant or by regulating growth. However, studies on the effect of plant growth regulators would provide useful information regarding manipulations of growth and yield. Therefore, this experiment was designed to study the effect of different plant growth regulators in modifying the morphological, physiological and the yield (Patel </w:t>
      </w:r>
      <w:r w:rsidRPr="002E07E0">
        <w:rPr>
          <w:rFonts w:ascii="Times New Roman" w:hAnsi="Times New Roman" w:cs="Times New Roman"/>
          <w:i/>
          <w:iCs/>
          <w:sz w:val="24"/>
          <w:szCs w:val="24"/>
        </w:rPr>
        <w:t>et al</w:t>
      </w:r>
      <w:r w:rsidR="00070E31" w:rsidRPr="002E07E0">
        <w:rPr>
          <w:rFonts w:ascii="Times New Roman" w:hAnsi="Times New Roman" w:cs="Times New Roman"/>
          <w:sz w:val="24"/>
          <w:szCs w:val="24"/>
        </w:rPr>
        <w:t>., 2018).</w:t>
      </w:r>
    </w:p>
    <w:p w14:paraId="21712840" w14:textId="77777777" w:rsidR="0060295F" w:rsidRPr="002E07E0" w:rsidRDefault="00977147"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MATERIALS AND METHODS</w:t>
      </w:r>
    </w:p>
    <w:p w14:paraId="0D21EEE7" w14:textId="50AE8654" w:rsidR="006B1674" w:rsidRPr="002E07E0" w:rsidRDefault="00821AA5" w:rsidP="006B1674">
      <w:pPr>
        <w:pStyle w:val="BodyText"/>
        <w:tabs>
          <w:tab w:val="left" w:pos="0"/>
        </w:tabs>
        <w:spacing w:before="193" w:line="360" w:lineRule="auto"/>
        <w:ind w:right="27" w:firstLine="720"/>
      </w:pPr>
      <w:r w:rsidRPr="002E07E0">
        <w:t xml:space="preserve"> </w:t>
      </w:r>
      <w:r w:rsidR="006B1674" w:rsidRPr="002E07E0">
        <w:t xml:space="preserve"> </w:t>
      </w:r>
      <w:r w:rsidR="006B1674" w:rsidRPr="002E07E0">
        <w:tab/>
        <w:t>The experiment was conducted at the Agricultural Research Farm, Suresh Gyan Vihar</w:t>
      </w:r>
      <w:r w:rsidR="006B1674" w:rsidRPr="002E07E0">
        <w:rPr>
          <w:b/>
          <w:bCs/>
        </w:rPr>
        <w:t xml:space="preserve"> </w:t>
      </w:r>
      <w:r w:rsidR="006B1674" w:rsidRPr="002E07E0">
        <w:t xml:space="preserve">University, </w:t>
      </w:r>
      <w:proofErr w:type="gramStart"/>
      <w:r w:rsidR="006B1674" w:rsidRPr="002E07E0">
        <w:t>Mahal  Road</w:t>
      </w:r>
      <w:proofErr w:type="gramEnd"/>
      <w:r w:rsidR="006B1674" w:rsidRPr="002E07E0">
        <w:t xml:space="preserve">, </w:t>
      </w:r>
      <w:proofErr w:type="spellStart"/>
      <w:r w:rsidR="006B1674" w:rsidRPr="002E07E0">
        <w:t>Jagatpura</w:t>
      </w:r>
      <w:proofErr w:type="spellEnd"/>
      <w:r w:rsidR="006B1674" w:rsidRPr="002E07E0">
        <w:t xml:space="preserve">, Jaipur during </w:t>
      </w:r>
      <w:r w:rsidR="00AB344C">
        <w:t xml:space="preserve">the </w:t>
      </w:r>
      <w:r w:rsidR="006B1674" w:rsidRPr="002E07E0">
        <w:t>kharif</w:t>
      </w:r>
      <w:r w:rsidR="006B1674" w:rsidRPr="002E07E0">
        <w:rPr>
          <w:i/>
          <w:iCs/>
        </w:rPr>
        <w:t xml:space="preserve"> </w:t>
      </w:r>
      <w:r w:rsidR="006B1674" w:rsidRPr="002E07E0">
        <w:t>season 2024-2025. Geographically</w:t>
      </w:r>
      <w:r w:rsidR="00AB344C">
        <w:t>,</w:t>
      </w:r>
      <w:r w:rsidR="006B1674" w:rsidRPr="002E07E0">
        <w:t xml:space="preserve"> this place is situated at 26</w:t>
      </w:r>
      <w:r w:rsidR="006B1674" w:rsidRPr="002E07E0">
        <w:rPr>
          <w:vertAlign w:val="superscript"/>
        </w:rPr>
        <w:t>o</w:t>
      </w:r>
      <w:r w:rsidR="006B1674" w:rsidRPr="002E07E0">
        <w:t>51' North latitude, 75</w:t>
      </w:r>
      <w:r w:rsidR="006B1674" w:rsidRPr="002E07E0">
        <w:rPr>
          <w:vertAlign w:val="superscript"/>
        </w:rPr>
        <w:t>o</w:t>
      </w:r>
      <w:r w:rsidR="006B1674" w:rsidRPr="002E07E0">
        <w:t xml:space="preserve">47' East longitudes and at altitudes of 390 m above mean sea level in </w:t>
      </w:r>
      <w:r w:rsidR="00AB344C">
        <w:t xml:space="preserve">the </w:t>
      </w:r>
      <w:r w:rsidR="006B1674" w:rsidRPr="002E07E0">
        <w:t xml:space="preserve">Jaipur district of Rajasthan. According to NARP, this region falls under </w:t>
      </w:r>
      <w:proofErr w:type="spellStart"/>
      <w:r w:rsidR="006B1674" w:rsidRPr="002E07E0">
        <w:t>Agro</w:t>
      </w:r>
      <w:proofErr w:type="spellEnd"/>
      <w:r w:rsidR="006B1674" w:rsidRPr="002E07E0">
        <w:t>-climatic zone III-A (Semi-arid eastern plain zone) of Rajasthan.</w:t>
      </w:r>
      <w:r w:rsidR="00131EAD" w:rsidRPr="002E07E0">
        <w:t xml:space="preserve"> The meteorological observations for the period of experimentation </w:t>
      </w:r>
      <w:r w:rsidR="00131EAD" w:rsidRPr="002E07E0">
        <w:rPr>
          <w:i/>
          <w:iCs/>
        </w:rPr>
        <w:t>i.e</w:t>
      </w:r>
      <w:r w:rsidR="00131EAD" w:rsidRPr="002E07E0">
        <w:t>. July 2024 to October 2024 were obtained from meteorological observatory situated at Rajasthan Agricultural Research Institute (RARI), Jaipur (Rajasthan)</w:t>
      </w:r>
      <w:r w:rsidR="00413561" w:rsidRPr="002E07E0">
        <w:t xml:space="preserve">. </w:t>
      </w:r>
      <w:r w:rsidR="00D12FEA" w:rsidRPr="002E07E0">
        <w:t xml:space="preserve">The </w:t>
      </w:r>
      <w:r w:rsidR="00D12FEA" w:rsidRPr="002E07E0">
        <w:rPr>
          <w:position w:val="2"/>
        </w:rPr>
        <w:t xml:space="preserve">experiment comprised of ten treatments </w:t>
      </w:r>
      <w:r w:rsidR="00D12FEA" w:rsidRPr="002E07E0">
        <w:rPr>
          <w:i/>
          <w:position w:val="2"/>
        </w:rPr>
        <w:t>viz.</w:t>
      </w:r>
      <w:r w:rsidR="00D12FEA" w:rsidRPr="002E07E0">
        <w:rPr>
          <w:position w:val="2"/>
        </w:rPr>
        <w:t>, T</w:t>
      </w:r>
      <w:r w:rsidR="00D12FEA" w:rsidRPr="002E07E0">
        <w:rPr>
          <w:vertAlign w:val="subscript"/>
        </w:rPr>
        <w:t>1</w:t>
      </w:r>
      <w:r w:rsidR="00D12FEA" w:rsidRPr="002E07E0">
        <w:rPr>
          <w:spacing w:val="23"/>
        </w:rPr>
        <w:t xml:space="preserve"> </w:t>
      </w:r>
      <w:r w:rsidR="00D12FEA" w:rsidRPr="002E07E0">
        <w:rPr>
          <w:position w:val="2"/>
        </w:rPr>
        <w:t>(Control), T</w:t>
      </w:r>
      <w:r w:rsidR="00D12FEA" w:rsidRPr="002E07E0">
        <w:rPr>
          <w:vertAlign w:val="subscript"/>
        </w:rPr>
        <w:t>2</w:t>
      </w:r>
      <w:r w:rsidR="00D12FEA" w:rsidRPr="002E07E0">
        <w:rPr>
          <w:spacing w:val="23"/>
        </w:rPr>
        <w:t xml:space="preserve"> </w:t>
      </w:r>
      <w:r w:rsidR="00D12FEA" w:rsidRPr="002E07E0">
        <w:rPr>
          <w:position w:val="2"/>
        </w:rPr>
        <w:t>(</w:t>
      </w:r>
      <w:r w:rsidR="00D12FEA" w:rsidRPr="002E07E0">
        <w:t xml:space="preserve">NAA </w:t>
      </w:r>
      <w:proofErr w:type="gramStart"/>
      <w:r w:rsidR="00D12FEA" w:rsidRPr="002E07E0">
        <w:t>50  ppm</w:t>
      </w:r>
      <w:proofErr w:type="gramEnd"/>
      <w:r w:rsidR="00D12FEA" w:rsidRPr="002E07E0">
        <w:rPr>
          <w:position w:val="2"/>
        </w:rPr>
        <w:t xml:space="preserve"> ), T</w:t>
      </w:r>
      <w:r w:rsidR="00D12FEA" w:rsidRPr="002E07E0">
        <w:rPr>
          <w:vertAlign w:val="subscript"/>
        </w:rPr>
        <w:t>3</w:t>
      </w:r>
      <w:r w:rsidR="00D12FEA" w:rsidRPr="002E07E0">
        <w:rPr>
          <w:spacing w:val="36"/>
        </w:rPr>
        <w:t xml:space="preserve"> </w:t>
      </w:r>
      <w:r w:rsidR="00D12FEA" w:rsidRPr="002E07E0">
        <w:rPr>
          <w:position w:val="2"/>
        </w:rPr>
        <w:t>(</w:t>
      </w:r>
      <w:r w:rsidR="00D12FEA" w:rsidRPr="002E07E0">
        <w:t>NAA 100 ppm</w:t>
      </w:r>
      <w:r w:rsidR="00D12FEA" w:rsidRPr="002E07E0">
        <w:rPr>
          <w:position w:val="2"/>
        </w:rPr>
        <w:t>), T</w:t>
      </w:r>
      <w:r w:rsidR="00D12FEA" w:rsidRPr="002E07E0">
        <w:rPr>
          <w:vertAlign w:val="subscript"/>
        </w:rPr>
        <w:t>4</w:t>
      </w:r>
      <w:r w:rsidR="00D12FEA" w:rsidRPr="002E07E0">
        <w:rPr>
          <w:spacing w:val="16"/>
        </w:rPr>
        <w:t xml:space="preserve"> </w:t>
      </w:r>
      <w:r w:rsidR="00D12FEA" w:rsidRPr="002E07E0">
        <w:rPr>
          <w:position w:val="2"/>
        </w:rPr>
        <w:t>(</w:t>
      </w:r>
      <w:r w:rsidR="00D12FEA" w:rsidRPr="002E07E0">
        <w:t xml:space="preserve">NAA </w:t>
      </w:r>
      <w:proofErr w:type="gramStart"/>
      <w:r w:rsidR="00D12FEA" w:rsidRPr="002E07E0">
        <w:t>150  ppm</w:t>
      </w:r>
      <w:proofErr w:type="gramEnd"/>
      <w:r w:rsidR="00D12FEA" w:rsidRPr="002E07E0">
        <w:rPr>
          <w:position w:val="2"/>
        </w:rPr>
        <w:t>),</w:t>
      </w:r>
      <w:r w:rsidR="00D12FEA" w:rsidRPr="002E07E0">
        <w:rPr>
          <w:spacing w:val="40"/>
          <w:position w:val="2"/>
        </w:rPr>
        <w:t xml:space="preserve"> </w:t>
      </w:r>
      <w:r w:rsidR="00D12FEA" w:rsidRPr="002E07E0">
        <w:rPr>
          <w:position w:val="2"/>
        </w:rPr>
        <w:t>T</w:t>
      </w:r>
      <w:r w:rsidR="00D12FEA" w:rsidRPr="002E07E0">
        <w:rPr>
          <w:vertAlign w:val="subscript"/>
        </w:rPr>
        <w:t>5</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w:t>
      </w:r>
      <w:proofErr w:type="gramStart"/>
      <w:r w:rsidR="00D12FEA" w:rsidRPr="002E07E0">
        <w:t>50  ppm</w:t>
      </w:r>
      <w:proofErr w:type="gramEnd"/>
      <w:r w:rsidR="00D12FEA" w:rsidRPr="002E07E0">
        <w:t>)</w:t>
      </w:r>
      <w:r w:rsidR="00D12FEA" w:rsidRPr="002E07E0">
        <w:rPr>
          <w:position w:val="2"/>
        </w:rPr>
        <w:t>, T</w:t>
      </w:r>
      <w:r w:rsidR="00D12FEA" w:rsidRPr="002E07E0">
        <w:rPr>
          <w:vertAlign w:val="subscript"/>
        </w:rPr>
        <w:t>6</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w:t>
      </w:r>
      <w:proofErr w:type="gramStart"/>
      <w:r w:rsidR="00D12FEA" w:rsidRPr="002E07E0">
        <w:t>100  ppm</w:t>
      </w:r>
      <w:proofErr w:type="gramEnd"/>
      <w:r w:rsidR="00D12FEA" w:rsidRPr="002E07E0">
        <w:t>)</w:t>
      </w:r>
      <w:r w:rsidR="00D12FEA" w:rsidRPr="002E07E0">
        <w:rPr>
          <w:position w:val="2"/>
        </w:rPr>
        <w:t>, T</w:t>
      </w:r>
      <w:r w:rsidR="00D12FEA" w:rsidRPr="002E07E0">
        <w:rPr>
          <w:vertAlign w:val="subscript"/>
        </w:rPr>
        <w:t>7</w:t>
      </w:r>
      <w:r w:rsidR="00D12FEA" w:rsidRPr="002E07E0">
        <w:rPr>
          <w:spacing w:val="19"/>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w:t>
      </w:r>
      <w:proofErr w:type="gramStart"/>
      <w:r w:rsidR="00D12FEA" w:rsidRPr="002E07E0">
        <w:t>150  ppm</w:t>
      </w:r>
      <w:proofErr w:type="gramEnd"/>
      <w:r w:rsidR="00D12FEA" w:rsidRPr="002E07E0">
        <w:rPr>
          <w:position w:val="2"/>
        </w:rPr>
        <w:t>)</w:t>
      </w:r>
      <w:r w:rsidR="00D12FEA" w:rsidRPr="002E07E0">
        <w:rPr>
          <w:spacing w:val="-3"/>
          <w:position w:val="2"/>
        </w:rPr>
        <w:t xml:space="preserve">, </w:t>
      </w:r>
      <w:r w:rsidR="00D12FEA" w:rsidRPr="002E07E0">
        <w:rPr>
          <w:position w:val="2"/>
        </w:rPr>
        <w:t>T</w:t>
      </w:r>
      <w:r w:rsidR="00D12FEA" w:rsidRPr="002E07E0">
        <w:rPr>
          <w:vertAlign w:val="subscript"/>
        </w:rPr>
        <w:t>8</w:t>
      </w:r>
      <w:r w:rsidR="00D12FEA" w:rsidRPr="002E07E0">
        <w:rPr>
          <w:spacing w:val="40"/>
        </w:rPr>
        <w:t xml:space="preserve"> </w:t>
      </w:r>
      <w:r w:rsidR="00D12FEA" w:rsidRPr="002E07E0">
        <w:t>[</w:t>
      </w:r>
      <w:proofErr w:type="spellStart"/>
      <w:r w:rsidR="00D12FEA" w:rsidRPr="002E07E0">
        <w:t>Cycocel</w:t>
      </w:r>
      <w:proofErr w:type="spellEnd"/>
      <w:r w:rsidR="00D12FEA" w:rsidRPr="002E07E0">
        <w:t xml:space="preserve"> 750 ppm), T</w:t>
      </w:r>
      <w:r w:rsidR="00D12FEA" w:rsidRPr="002E07E0">
        <w:rPr>
          <w:vertAlign w:val="subscript"/>
        </w:rPr>
        <w:t>9</w:t>
      </w:r>
      <w:r w:rsidR="00D12FEA" w:rsidRPr="002E07E0">
        <w:t xml:space="preserve"> (</w:t>
      </w:r>
      <w:proofErr w:type="spellStart"/>
      <w:r w:rsidR="00D12FEA" w:rsidRPr="002E07E0">
        <w:t>Cycocel</w:t>
      </w:r>
      <w:proofErr w:type="spellEnd"/>
      <w:r w:rsidR="00D12FEA" w:rsidRPr="002E07E0">
        <w:t xml:space="preserve"> 1500 ppm)</w:t>
      </w:r>
      <w:r w:rsidR="00D12FEA" w:rsidRPr="002E07E0">
        <w:rPr>
          <w:position w:val="2"/>
        </w:rPr>
        <w:t xml:space="preserve"> and</w:t>
      </w:r>
      <w:r w:rsidR="00D12FEA" w:rsidRPr="002E07E0">
        <w:t xml:space="preserve"> T</w:t>
      </w:r>
      <w:r w:rsidR="00D12FEA" w:rsidRPr="002E07E0">
        <w:rPr>
          <w:vertAlign w:val="subscript"/>
        </w:rPr>
        <w:t>10</w:t>
      </w:r>
      <w:r w:rsidR="00D12FEA" w:rsidRPr="002E07E0">
        <w:t xml:space="preserve"> </w:t>
      </w:r>
      <w:proofErr w:type="gramStart"/>
      <w:r w:rsidR="00D12FEA" w:rsidRPr="002E07E0">
        <w:t xml:space="preserve">( </w:t>
      </w:r>
      <w:proofErr w:type="spellStart"/>
      <w:r w:rsidR="00D12FEA" w:rsidRPr="002E07E0">
        <w:t>Cycocel</w:t>
      </w:r>
      <w:proofErr w:type="spellEnd"/>
      <w:proofErr w:type="gramEnd"/>
      <w:r w:rsidR="00D12FEA" w:rsidRPr="002E07E0">
        <w:t xml:space="preserve"> 2250 ppm) with replicated three in Randomized Block Design. </w:t>
      </w:r>
      <w:r w:rsidR="009F1260" w:rsidRPr="002E07E0">
        <w:t xml:space="preserve">As per treatments, the sowing </w:t>
      </w:r>
      <w:r w:rsidR="00AB344C">
        <w:t xml:space="preserve">of </w:t>
      </w:r>
      <w:r w:rsidR="00AB344C" w:rsidRPr="002E07E0">
        <w:t xml:space="preserve">seeds of healthy </w:t>
      </w:r>
      <w:proofErr w:type="spellStart"/>
      <w:r w:rsidR="00AB344C" w:rsidRPr="002E07E0">
        <w:t>culsterbean</w:t>
      </w:r>
      <w:proofErr w:type="spellEnd"/>
      <w:r w:rsidR="00AB344C">
        <w:t xml:space="preserve"> </w:t>
      </w:r>
      <w:r w:rsidR="009F1260" w:rsidRPr="002E07E0">
        <w:t xml:space="preserve">was done in rows at 45 cm x 15 </w:t>
      </w:r>
      <w:proofErr w:type="gramStart"/>
      <w:r w:rsidR="009F1260" w:rsidRPr="002E07E0">
        <w:t>cm,  3</w:t>
      </w:r>
      <w:proofErr w:type="gramEnd"/>
      <w:r w:rsidR="009F1260" w:rsidRPr="002E07E0">
        <w:t>-4 cm deep</w:t>
      </w:r>
      <w:r w:rsidR="00AB344C">
        <w:t>,</w:t>
      </w:r>
      <w:r w:rsidR="009F1260" w:rsidRPr="002E07E0">
        <w:t xml:space="preserve"> keeping their growing ends upwards</w:t>
      </w:r>
      <w:r w:rsidR="00413561" w:rsidRPr="002E07E0">
        <w:t>.</w:t>
      </w:r>
      <w:r w:rsidR="00AB344C">
        <w:t xml:space="preserve"> </w:t>
      </w:r>
      <w:r w:rsidR="00AB344C" w:rsidRPr="00AB344C">
        <w:t xml:space="preserve">Cluster Bean variety Pusa </w:t>
      </w:r>
      <w:proofErr w:type="spellStart"/>
      <w:r w:rsidR="00AB344C" w:rsidRPr="00AB344C">
        <w:t>Navbahar</w:t>
      </w:r>
      <w:proofErr w:type="spellEnd"/>
      <w:r w:rsidR="00AB344C" w:rsidRPr="00AB344C">
        <w:t xml:space="preserve"> was used as a test crop. </w:t>
      </w:r>
    </w:p>
    <w:p w14:paraId="69D6CA9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b/>
          <w:bCs/>
          <w:sz w:val="24"/>
          <w:szCs w:val="24"/>
        </w:rPr>
        <w:t>Protein content (%)</w:t>
      </w:r>
    </w:p>
    <w:p w14:paraId="7027D9CD" w14:textId="22419145"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sz w:val="24"/>
          <w:szCs w:val="24"/>
        </w:rPr>
        <w:t xml:space="preserve">Crude Protein content (%) The nitrogen content of grains was estimated in per cent, through </w:t>
      </w:r>
      <w:r w:rsidR="00AB344C">
        <w:rPr>
          <w:rFonts w:ascii="Times New Roman" w:hAnsi="Times New Roman" w:cs="Times New Roman"/>
          <w:sz w:val="24"/>
          <w:szCs w:val="24"/>
        </w:rPr>
        <w:t>the M</w:t>
      </w:r>
      <w:r w:rsidRPr="002E07E0">
        <w:rPr>
          <w:rFonts w:ascii="Times New Roman" w:hAnsi="Times New Roman" w:cs="Times New Roman"/>
          <w:sz w:val="24"/>
          <w:szCs w:val="24"/>
        </w:rPr>
        <w:t xml:space="preserve">icro </w:t>
      </w:r>
      <w:r w:rsidR="00AB344C">
        <w:rPr>
          <w:rFonts w:ascii="Times New Roman" w:hAnsi="Times New Roman" w:cs="Times New Roman"/>
          <w:sz w:val="24"/>
          <w:szCs w:val="24"/>
        </w:rPr>
        <w:t>Kjeldah</w:t>
      </w:r>
      <w:r w:rsidR="00AB344C" w:rsidRPr="002E07E0">
        <w:rPr>
          <w:rFonts w:ascii="Times New Roman" w:hAnsi="Times New Roman" w:cs="Times New Roman"/>
          <w:sz w:val="24"/>
          <w:szCs w:val="24"/>
        </w:rPr>
        <w:t xml:space="preserve">l </w:t>
      </w:r>
      <w:r w:rsidRPr="002E07E0">
        <w:rPr>
          <w:rFonts w:ascii="Times New Roman" w:hAnsi="Times New Roman" w:cs="Times New Roman"/>
          <w:sz w:val="24"/>
          <w:szCs w:val="24"/>
        </w:rPr>
        <w:t xml:space="preserve">method (Kjeldahl method) and the value was multiplied </w:t>
      </w:r>
      <w:r w:rsidR="00AB344C">
        <w:rPr>
          <w:rFonts w:ascii="Times New Roman" w:hAnsi="Times New Roman" w:cs="Times New Roman"/>
          <w:sz w:val="24"/>
          <w:szCs w:val="24"/>
        </w:rPr>
        <w:t>by</w:t>
      </w:r>
      <w:r w:rsidR="00AB344C" w:rsidRPr="002E07E0">
        <w:rPr>
          <w:rFonts w:ascii="Times New Roman" w:hAnsi="Times New Roman" w:cs="Times New Roman"/>
          <w:sz w:val="24"/>
          <w:szCs w:val="24"/>
        </w:rPr>
        <w:t xml:space="preserve"> </w:t>
      </w:r>
      <w:r w:rsidRPr="002E07E0">
        <w:rPr>
          <w:rFonts w:ascii="Times New Roman" w:hAnsi="Times New Roman" w:cs="Times New Roman"/>
          <w:sz w:val="24"/>
          <w:szCs w:val="24"/>
        </w:rPr>
        <w:t xml:space="preserve">a factor </w:t>
      </w:r>
      <w:r w:rsidR="00AB344C">
        <w:rPr>
          <w:rFonts w:ascii="Times New Roman" w:hAnsi="Times New Roman" w:cs="Times New Roman"/>
          <w:sz w:val="24"/>
          <w:szCs w:val="24"/>
        </w:rPr>
        <w:t xml:space="preserve">of </w:t>
      </w:r>
      <w:r w:rsidRPr="002E07E0">
        <w:rPr>
          <w:rFonts w:ascii="Times New Roman" w:hAnsi="Times New Roman" w:cs="Times New Roman"/>
          <w:sz w:val="24"/>
          <w:szCs w:val="24"/>
        </w:rPr>
        <w:t xml:space="preserve">6.25 to arrive at the protein content (Juliano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1973).</w:t>
      </w:r>
    </w:p>
    <w:p w14:paraId="43DB7579" w14:textId="77777777" w:rsidR="009D461A" w:rsidRPr="002E07E0" w:rsidRDefault="00977147" w:rsidP="00582807">
      <w:pPr>
        <w:autoSpaceDE w:val="0"/>
        <w:autoSpaceDN w:val="0"/>
        <w:adjustRightInd w:val="0"/>
        <w:spacing w:after="0" w:line="360" w:lineRule="auto"/>
        <w:jc w:val="both"/>
        <w:rPr>
          <w:rFonts w:ascii="Times New Roman" w:hAnsi="Times New Roman" w:cs="Times New Roman"/>
          <w:b/>
          <w:bCs/>
          <w:color w:val="1F1A17"/>
          <w:sz w:val="24"/>
          <w:szCs w:val="24"/>
        </w:rPr>
      </w:pPr>
      <w:r w:rsidRPr="002E07E0">
        <w:rPr>
          <w:rFonts w:ascii="Times New Roman" w:hAnsi="Times New Roman" w:cs="Times New Roman"/>
          <w:b/>
          <w:bCs/>
          <w:color w:val="1F1A17"/>
          <w:sz w:val="24"/>
          <w:szCs w:val="24"/>
        </w:rPr>
        <w:t>RESULTS AND DISCUSSION</w:t>
      </w:r>
    </w:p>
    <w:p w14:paraId="5536814A" w14:textId="77777777" w:rsidR="00D62CC3" w:rsidRPr="002E07E0" w:rsidRDefault="00D62CC3" w:rsidP="00582807">
      <w:pPr>
        <w:spacing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Growth parameters</w:t>
      </w:r>
    </w:p>
    <w:p w14:paraId="4ACE4A16" w14:textId="5E62613C" w:rsidR="00277AD0" w:rsidRPr="00277AD0" w:rsidRDefault="00070E31" w:rsidP="00277AD0">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r>
      <w:r w:rsidR="00277AD0" w:rsidRPr="00277AD0">
        <w:rPr>
          <w:rFonts w:ascii="Times New Roman" w:hAnsi="Times New Roman" w:cs="Times New Roman"/>
          <w:sz w:val="24"/>
          <w:szCs w:val="24"/>
        </w:rPr>
        <w:t xml:space="preserve">Data presented in Table 1 show that foliar application of plant growth regulators (PGRs) produced clear and statistically testable differences in growth and phenology of cluster bean. Plant height increased progressively from 30 to 90 DAS across treatments, and the tallest plants at all stages were recorded under GA₃ 150 ppm (T7) (21.81, 47.32 and 82.38 cm at 30, 60 and 90 DAS, respectively). This response is consistent with the established role of gibberellins in promoting stem elongation through enhanced cell expansion and growth-related </w:t>
      </w:r>
      <w:proofErr w:type="spellStart"/>
      <w:r w:rsidR="00277AD0" w:rsidRPr="00277AD0">
        <w:rPr>
          <w:rFonts w:ascii="Times New Roman" w:hAnsi="Times New Roman" w:cs="Times New Roman"/>
          <w:sz w:val="24"/>
          <w:szCs w:val="24"/>
        </w:rPr>
        <w:t>signaling</w:t>
      </w:r>
      <w:proofErr w:type="spellEnd"/>
      <w:r w:rsidR="00277AD0" w:rsidRPr="00277AD0">
        <w:rPr>
          <w:rFonts w:ascii="Times New Roman" w:hAnsi="Times New Roman" w:cs="Times New Roman"/>
          <w:sz w:val="24"/>
          <w:szCs w:val="24"/>
        </w:rPr>
        <w:t xml:space="preserve"> (Olszewski et al., 2002). Similar GA₃-associated improvements in cluster bean growth and yield traits have also been reported</w:t>
      </w:r>
      <w:r w:rsidR="00277AD0">
        <w:rPr>
          <w:rFonts w:ascii="Times New Roman" w:hAnsi="Times New Roman" w:cs="Times New Roman"/>
          <w:sz w:val="24"/>
          <w:szCs w:val="24"/>
        </w:rPr>
        <w:t xml:space="preserve"> by </w:t>
      </w:r>
      <w:r w:rsidR="00277AD0" w:rsidRPr="00277AD0">
        <w:rPr>
          <w:rFonts w:ascii="Times New Roman" w:hAnsi="Times New Roman" w:cs="Times New Roman"/>
          <w:sz w:val="24"/>
          <w:szCs w:val="24"/>
        </w:rPr>
        <w:t>Alan Dev &amp; Dawson</w:t>
      </w:r>
      <w:r w:rsidR="00277AD0">
        <w:rPr>
          <w:rFonts w:ascii="Times New Roman" w:hAnsi="Times New Roman" w:cs="Times New Roman"/>
          <w:sz w:val="24"/>
          <w:szCs w:val="24"/>
        </w:rPr>
        <w:t xml:space="preserve"> </w:t>
      </w:r>
      <w:r w:rsidR="00277AD0" w:rsidRPr="00277AD0">
        <w:rPr>
          <w:rFonts w:ascii="Times New Roman" w:hAnsi="Times New Roman" w:cs="Times New Roman"/>
          <w:sz w:val="24"/>
          <w:szCs w:val="24"/>
        </w:rPr>
        <w:t>(Alan Dev &amp; Dawson, 2023)</w:t>
      </w:r>
      <w:r w:rsidR="00277AD0">
        <w:rPr>
          <w:rFonts w:ascii="Times New Roman" w:hAnsi="Times New Roman" w:cs="Times New Roman"/>
          <w:sz w:val="24"/>
          <w:szCs w:val="24"/>
        </w:rPr>
        <w:t xml:space="preserve">. </w:t>
      </w:r>
      <w:r w:rsidR="00277AD0" w:rsidRPr="00277AD0">
        <w:rPr>
          <w:rFonts w:ascii="Times New Roman" w:hAnsi="Times New Roman" w:cs="Times New Roman"/>
          <w:sz w:val="24"/>
          <w:szCs w:val="24"/>
        </w:rPr>
        <w:t xml:space="preserve">In contrast, </w:t>
      </w:r>
      <w:proofErr w:type="spellStart"/>
      <w:r w:rsidR="00277AD0" w:rsidRPr="00277AD0">
        <w:rPr>
          <w:rFonts w:ascii="Times New Roman" w:hAnsi="Times New Roman" w:cs="Times New Roman"/>
          <w:sz w:val="24"/>
          <w:szCs w:val="24"/>
        </w:rPr>
        <w:t>Cycocel</w:t>
      </w:r>
      <w:proofErr w:type="spellEnd"/>
      <w:r w:rsidR="00277AD0" w:rsidRPr="00277AD0">
        <w:rPr>
          <w:rFonts w:ascii="Times New Roman" w:hAnsi="Times New Roman" w:cs="Times New Roman"/>
          <w:sz w:val="24"/>
          <w:szCs w:val="24"/>
        </w:rPr>
        <w:t xml:space="preserve"> (CCC) treatments reduced plant height relative to GA₃, particularly at higher CCC doses (e.g., T10), which aligns with the known action of </w:t>
      </w:r>
      <w:proofErr w:type="spellStart"/>
      <w:r w:rsidR="00277AD0" w:rsidRPr="00277AD0">
        <w:rPr>
          <w:rFonts w:ascii="Times New Roman" w:hAnsi="Times New Roman" w:cs="Times New Roman"/>
          <w:sz w:val="24"/>
          <w:szCs w:val="24"/>
        </w:rPr>
        <w:t>chlormequat</w:t>
      </w:r>
      <w:proofErr w:type="spellEnd"/>
      <w:r w:rsidR="00277AD0" w:rsidRPr="00277AD0">
        <w:rPr>
          <w:rFonts w:ascii="Times New Roman" w:hAnsi="Times New Roman" w:cs="Times New Roman"/>
          <w:sz w:val="24"/>
          <w:szCs w:val="24"/>
        </w:rPr>
        <w:t>-type growth retardants as inhibitors of gibberellin biosynthesis and hence internode elongation (Rademacher, 2000).</w:t>
      </w:r>
    </w:p>
    <w:p w14:paraId="66FCFE9D" w14:textId="77777777" w:rsidR="00277AD0" w:rsidRPr="00277AD0" w:rsidRDefault="00277AD0" w:rsidP="00277AD0">
      <w:pPr>
        <w:spacing w:line="360" w:lineRule="auto"/>
        <w:jc w:val="both"/>
        <w:rPr>
          <w:rFonts w:ascii="Times New Roman" w:hAnsi="Times New Roman" w:cs="Times New Roman"/>
          <w:sz w:val="24"/>
          <w:szCs w:val="24"/>
        </w:rPr>
      </w:pPr>
    </w:p>
    <w:p w14:paraId="12C0B7F6" w14:textId="77777777" w:rsidR="00277AD0" w:rsidRPr="00277AD0" w:rsidRDefault="00277AD0" w:rsidP="00277AD0">
      <w:pPr>
        <w:spacing w:line="360" w:lineRule="auto"/>
        <w:jc w:val="both"/>
        <w:rPr>
          <w:rFonts w:ascii="Times New Roman" w:hAnsi="Times New Roman" w:cs="Times New Roman"/>
          <w:sz w:val="24"/>
          <w:szCs w:val="24"/>
        </w:rPr>
      </w:pPr>
      <w:r w:rsidRPr="00277AD0">
        <w:rPr>
          <w:rFonts w:ascii="Times New Roman" w:hAnsi="Times New Roman" w:cs="Times New Roman"/>
          <w:sz w:val="24"/>
          <w:szCs w:val="24"/>
        </w:rPr>
        <w:t xml:space="preserve">Interestingly, while CCC reduced plant height, it markedly improved architectural components linked to branching and reproductive site formation. The maximum number of clusters per plant was observed under CCC 750 ppm (T8) (13.87), and this advantage was significant at the 5% level compared with the next best treatment, as the mean difference exceeded the CD value. Similarly, pods per cluster were highest in T8 (4.33), which was statistically at par with GA₃ 150 ppm (T7; 4.31) based on the CD at 5%. Physiologically, such responses are explainable through shifts in apical dominance and assimilate partitioning: reduced gibberellin activity can suppress excessive elongation and </w:t>
      </w:r>
      <w:proofErr w:type="spellStart"/>
      <w:r w:rsidRPr="00277AD0">
        <w:rPr>
          <w:rFonts w:ascii="Times New Roman" w:hAnsi="Times New Roman" w:cs="Times New Roman"/>
          <w:sz w:val="24"/>
          <w:szCs w:val="24"/>
        </w:rPr>
        <w:t>favor</w:t>
      </w:r>
      <w:proofErr w:type="spellEnd"/>
      <w:r w:rsidRPr="00277AD0">
        <w:rPr>
          <w:rFonts w:ascii="Times New Roman" w:hAnsi="Times New Roman" w:cs="Times New Roman"/>
          <w:sz w:val="24"/>
          <w:szCs w:val="24"/>
        </w:rPr>
        <w:t xml:space="preserve"> branching/axillary development, while shoot branching itself is governed by coordinated hormone </w:t>
      </w:r>
      <w:proofErr w:type="spellStart"/>
      <w:r w:rsidRPr="00277AD0">
        <w:rPr>
          <w:rFonts w:ascii="Times New Roman" w:hAnsi="Times New Roman" w:cs="Times New Roman"/>
          <w:sz w:val="24"/>
          <w:szCs w:val="24"/>
        </w:rPr>
        <w:t>signaling</w:t>
      </w:r>
      <w:proofErr w:type="spellEnd"/>
      <w:r w:rsidRPr="00277AD0">
        <w:rPr>
          <w:rFonts w:ascii="Times New Roman" w:hAnsi="Times New Roman" w:cs="Times New Roman"/>
          <w:sz w:val="24"/>
          <w:szCs w:val="24"/>
        </w:rPr>
        <w:t xml:space="preserve"> involving auxin–cytokinin crosstalk and systemic regulation of bud outgrowth (Leyser, 2003; Shimizu-Sato et al., 2009; Dun et al., 2006). Comparable improvements in growth and yield-related traits following PGR use in legumes have also been reported under field conditions, supporting the practical relevance of these hormone-mediated responses (</w:t>
      </w:r>
      <w:proofErr w:type="spellStart"/>
      <w:r w:rsidRPr="00277AD0">
        <w:rPr>
          <w:rFonts w:ascii="Times New Roman" w:hAnsi="Times New Roman" w:cs="Times New Roman"/>
          <w:sz w:val="24"/>
          <w:szCs w:val="24"/>
        </w:rPr>
        <w:t>Bhadane</w:t>
      </w:r>
      <w:proofErr w:type="spellEnd"/>
      <w:r w:rsidRPr="00277AD0">
        <w:rPr>
          <w:rFonts w:ascii="Times New Roman" w:hAnsi="Times New Roman" w:cs="Times New Roman"/>
          <w:sz w:val="24"/>
          <w:szCs w:val="24"/>
        </w:rPr>
        <w:t xml:space="preserve"> et al., 2022; Patel et al., 2018).</w:t>
      </w:r>
    </w:p>
    <w:p w14:paraId="065E1390" w14:textId="77777777" w:rsidR="00277AD0" w:rsidRPr="00277AD0" w:rsidRDefault="00277AD0" w:rsidP="00277AD0">
      <w:pPr>
        <w:spacing w:line="360" w:lineRule="auto"/>
        <w:jc w:val="both"/>
        <w:rPr>
          <w:rFonts w:ascii="Times New Roman" w:hAnsi="Times New Roman" w:cs="Times New Roman"/>
          <w:sz w:val="24"/>
          <w:szCs w:val="24"/>
        </w:rPr>
      </w:pPr>
    </w:p>
    <w:p w14:paraId="270AE806" w14:textId="5847B119" w:rsidR="00874083" w:rsidRPr="002E07E0" w:rsidRDefault="00277AD0" w:rsidP="00277AD0">
      <w:pPr>
        <w:spacing w:line="360" w:lineRule="auto"/>
        <w:jc w:val="both"/>
        <w:rPr>
          <w:rFonts w:ascii="Times New Roman" w:hAnsi="Times New Roman" w:cs="Times New Roman"/>
          <w:sz w:val="24"/>
          <w:szCs w:val="24"/>
        </w:rPr>
      </w:pPr>
      <w:r w:rsidRPr="00277AD0">
        <w:rPr>
          <w:rFonts w:ascii="Times New Roman" w:hAnsi="Times New Roman" w:cs="Times New Roman"/>
          <w:sz w:val="24"/>
          <w:szCs w:val="24"/>
        </w:rPr>
        <w:t xml:space="preserve">Regarding crop phenology, days to 50% flowering decreased substantially with PGR application compared with the control (52.32 days). The earliest flowering was recorded with NAA 150 ppm (T4) (45.76 days), which was statistically at par with NAA 100 ppm (T3) (46.22 days) based on the CD at 5%. Although auxin is classically associated with apical </w:t>
      </w:r>
      <w:r w:rsidRPr="00277AD0">
        <w:rPr>
          <w:rFonts w:ascii="Times New Roman" w:hAnsi="Times New Roman" w:cs="Times New Roman"/>
          <w:sz w:val="24"/>
          <w:szCs w:val="24"/>
        </w:rPr>
        <w:lastRenderedPageBreak/>
        <w:t xml:space="preserve">dominance, exogenous auxin can also modify developmental timing and source–sink relationships, and its downstream effects interact with other hormonal pathways that regulate shoot development and transition processes (Leyser, 2003; Shimizu-Sato et al., 2009). Overall, the present results indicate that GA₃ 150 ppm was most effective for maximizing plant height, whereas CCC 750 ppm optimized branching-associated traits (clusters per plant and pods per cluster), and NAA 150 ppm promoted earlier flowering—highlighting that the “best” PGR depends on whether the target is vegetative </w:t>
      </w:r>
      <w:proofErr w:type="spellStart"/>
      <w:r w:rsidRPr="00277AD0">
        <w:rPr>
          <w:rFonts w:ascii="Times New Roman" w:hAnsi="Times New Roman" w:cs="Times New Roman"/>
          <w:sz w:val="24"/>
          <w:szCs w:val="24"/>
        </w:rPr>
        <w:t>vigor</w:t>
      </w:r>
      <w:proofErr w:type="spellEnd"/>
      <w:r w:rsidRPr="00277AD0">
        <w:rPr>
          <w:rFonts w:ascii="Times New Roman" w:hAnsi="Times New Roman" w:cs="Times New Roman"/>
          <w:sz w:val="24"/>
          <w:szCs w:val="24"/>
        </w:rPr>
        <w:t>, architecture/reproductive sites, or phenological advancement.</w:t>
      </w:r>
    </w:p>
    <w:p w14:paraId="6873F67C" w14:textId="77777777" w:rsidR="00C27407" w:rsidRDefault="00C27407"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5B12FC40" w14:textId="77777777" w:rsidR="00693797" w:rsidRPr="002E07E0" w:rsidRDefault="009B6ABD" w:rsidP="00582807">
      <w:pPr>
        <w:autoSpaceDE w:val="0"/>
        <w:autoSpaceDN w:val="0"/>
        <w:adjustRightInd w:val="0"/>
        <w:spacing w:after="0" w:line="360" w:lineRule="auto"/>
        <w:jc w:val="both"/>
        <w:rPr>
          <w:rFonts w:ascii="Times New Roman" w:hAnsi="Times New Roman" w:cs="Times New Roman"/>
          <w:b/>
          <w:bCs/>
          <w:i/>
          <w:iCs/>
          <w:color w:val="1F1A17"/>
          <w:sz w:val="24"/>
          <w:szCs w:val="24"/>
        </w:rPr>
      </w:pPr>
      <w:r w:rsidRPr="002E07E0">
        <w:rPr>
          <w:rFonts w:ascii="Times New Roman" w:hAnsi="Times New Roman" w:cs="Times New Roman"/>
          <w:b/>
          <w:bCs/>
          <w:i/>
          <w:iCs/>
          <w:color w:val="1F1A17"/>
          <w:sz w:val="24"/>
          <w:szCs w:val="24"/>
        </w:rPr>
        <w:t>Yield</w:t>
      </w:r>
      <w:r w:rsidR="00FD5730" w:rsidRPr="002E07E0">
        <w:rPr>
          <w:rFonts w:ascii="Times New Roman" w:hAnsi="Times New Roman" w:cs="Times New Roman"/>
          <w:b/>
          <w:bCs/>
          <w:i/>
          <w:iCs/>
          <w:color w:val="1F1A17"/>
          <w:sz w:val="24"/>
          <w:szCs w:val="24"/>
        </w:rPr>
        <w:t xml:space="preserve"> parameter</w:t>
      </w:r>
    </w:p>
    <w:p w14:paraId="1C98A53B" w14:textId="77777777" w:rsidR="00AB344C" w:rsidRDefault="00070E31" w:rsidP="00AB344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AB344C" w:rsidRPr="00AB344C">
        <w:rPr>
          <w:rFonts w:ascii="Times New Roman" w:hAnsi="Times New Roman" w:cs="Times New Roman"/>
          <w:sz w:val="24"/>
          <w:szCs w:val="24"/>
        </w:rPr>
        <w:t xml:space="preserve">Marked treatment effects were observed for yield attributes and economic returns (Table 2). </w:t>
      </w:r>
      <w:proofErr w:type="spellStart"/>
      <w:r w:rsidR="00AB344C" w:rsidRPr="00AB344C">
        <w:rPr>
          <w:rFonts w:ascii="Times New Roman" w:hAnsi="Times New Roman" w:cs="Times New Roman"/>
          <w:sz w:val="24"/>
          <w:szCs w:val="24"/>
        </w:rPr>
        <w:t>Cycocel</w:t>
      </w:r>
      <w:proofErr w:type="spellEnd"/>
      <w:r w:rsidR="00AB344C" w:rsidRPr="00AB344C">
        <w:rPr>
          <w:rFonts w:ascii="Times New Roman" w:hAnsi="Times New Roman" w:cs="Times New Roman"/>
          <w:sz w:val="24"/>
          <w:szCs w:val="24"/>
        </w:rPr>
        <w:t xml:space="preserve"> (CCC) @ 750 ppm (T8) produced the highest number of pods plant⁻¹ (60.06), pod length (9.53 cm) and seed yield (9253.24 kg ha⁻¹), along with the maximum net return (₹124,008) and B:C ratio (3.91), and it was statistically superior to other treatments (CD</w:t>
      </w:r>
      <w:proofErr w:type="gramStart"/>
      <w:r w:rsidR="00AB344C" w:rsidRPr="00AB344C">
        <w:rPr>
          <w:rFonts w:ascii="Times New Roman" w:hAnsi="Times New Roman" w:cs="Times New Roman"/>
          <w:sz w:val="24"/>
          <w:szCs w:val="24"/>
        </w:rPr>
        <w:t>_{</w:t>
      </w:r>
      <w:proofErr w:type="gramEnd"/>
      <w:r w:rsidR="00AB344C" w:rsidRPr="00AB344C">
        <w:rPr>
          <w:rFonts w:ascii="Times New Roman" w:hAnsi="Times New Roman" w:cs="Times New Roman"/>
          <w:sz w:val="24"/>
          <w:szCs w:val="24"/>
        </w:rPr>
        <w:t xml:space="preserve">5%} for seed yield = 283.09 kg ha⁻¹).  Compared with the control (T1), T8 increased seed yield from 4048.42 to 9253.24 kg ha⁻¹ (≈+128.5%), indicating substantial improvement in productivity and profitability. GA₃ @ 150 ppm (T7) ranked next (7981.99 kg ha⁻¹; net return ₹109,057; B:C 3.61), followed by salicylic acid @ 100 ppm (T6) (6682.33 kg ha⁻¹; net return ₹91,790; B:C 3.26). </w:t>
      </w:r>
    </w:p>
    <w:p w14:paraId="02640170" w14:textId="2A38DD1C" w:rsidR="0006568C" w:rsidRPr="002E07E0" w:rsidRDefault="00AB344C" w:rsidP="00AB344C">
      <w:pPr>
        <w:spacing w:line="360" w:lineRule="auto"/>
        <w:jc w:val="both"/>
        <w:rPr>
          <w:rFonts w:ascii="Times New Roman" w:hAnsi="Times New Roman" w:cs="Times New Roman"/>
          <w:sz w:val="24"/>
          <w:szCs w:val="24"/>
        </w:rPr>
      </w:pPr>
      <w:r w:rsidRPr="00AB344C">
        <w:rPr>
          <w:rFonts w:ascii="Times New Roman" w:hAnsi="Times New Roman" w:cs="Times New Roman"/>
          <w:sz w:val="24"/>
          <w:szCs w:val="24"/>
        </w:rPr>
        <w:t xml:space="preserve">The superiority of CCC can be explained by its anti-gibberellin action, which suppresses excessive elongation and tends to </w:t>
      </w:r>
      <w:proofErr w:type="spellStart"/>
      <w:r w:rsidRPr="00AB344C">
        <w:rPr>
          <w:rFonts w:ascii="Times New Roman" w:hAnsi="Times New Roman" w:cs="Times New Roman"/>
          <w:sz w:val="24"/>
          <w:szCs w:val="24"/>
        </w:rPr>
        <w:t>favor</w:t>
      </w:r>
      <w:proofErr w:type="spellEnd"/>
      <w:r w:rsidRPr="00AB344C">
        <w:rPr>
          <w:rFonts w:ascii="Times New Roman" w:hAnsi="Times New Roman" w:cs="Times New Roman"/>
          <w:sz w:val="24"/>
          <w:szCs w:val="24"/>
        </w:rPr>
        <w:t xml:space="preserve"> assimilate partitioning and reproductive sink development, thereby improving yield formation (</w:t>
      </w:r>
      <w:proofErr w:type="spellStart"/>
      <w:r w:rsidRPr="00AB344C">
        <w:rPr>
          <w:rFonts w:ascii="Times New Roman" w:hAnsi="Times New Roman" w:cs="Times New Roman"/>
          <w:sz w:val="24"/>
          <w:szCs w:val="24"/>
        </w:rPr>
        <w:t>PirastehAnosheh</w:t>
      </w:r>
      <w:proofErr w:type="spellEnd"/>
      <w:r w:rsidRPr="00AB344C">
        <w:rPr>
          <w:rFonts w:ascii="Times New Roman" w:hAnsi="Times New Roman" w:cs="Times New Roman"/>
          <w:sz w:val="24"/>
          <w:szCs w:val="24"/>
        </w:rPr>
        <w:t xml:space="preserve"> et al., 2016). Similar yield-enhancing responses to bioregulators/PGR interventions have been reported in cluster bean and other legumes (</w:t>
      </w:r>
      <w:proofErr w:type="spellStart"/>
      <w:r w:rsidRPr="00AB344C">
        <w:rPr>
          <w:rFonts w:ascii="Times New Roman" w:hAnsi="Times New Roman" w:cs="Times New Roman"/>
          <w:sz w:val="24"/>
          <w:szCs w:val="24"/>
        </w:rPr>
        <w:t>Bhadane</w:t>
      </w:r>
      <w:proofErr w:type="spellEnd"/>
      <w:r w:rsidRPr="00AB344C">
        <w:rPr>
          <w:rFonts w:ascii="Times New Roman" w:hAnsi="Times New Roman" w:cs="Times New Roman"/>
          <w:sz w:val="24"/>
          <w:szCs w:val="24"/>
        </w:rPr>
        <w:t xml:space="preserve"> et al., 2022; Meena et al., 2016; Meena et al., 2018; Deshmukh et al., 2024)</w:t>
      </w:r>
      <w:r w:rsidR="0006568C" w:rsidRPr="002E07E0">
        <w:rPr>
          <w:rFonts w:ascii="Times New Roman" w:hAnsi="Times New Roman" w:cs="Times New Roman"/>
          <w:sz w:val="24"/>
          <w:szCs w:val="24"/>
        </w:rPr>
        <w:t xml:space="preserve">. Same results were also observed by Rathod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(2015) in French bean and Prajapati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(2016) in green gram. </w:t>
      </w:r>
      <w:r>
        <w:rPr>
          <w:rFonts w:ascii="Times New Roman" w:hAnsi="Times New Roman" w:cs="Times New Roman"/>
          <w:sz w:val="24"/>
          <w:szCs w:val="24"/>
        </w:rPr>
        <w:t>The p</w:t>
      </w:r>
      <w:r w:rsidR="0006568C" w:rsidRPr="002E07E0">
        <w:rPr>
          <w:rFonts w:ascii="Times New Roman" w:hAnsi="Times New Roman" w:cs="Times New Roman"/>
          <w:sz w:val="24"/>
          <w:szCs w:val="24"/>
        </w:rPr>
        <w:t xml:space="preserve">resent study was also supported by Sharma and Lashkari (2009) in cluster bean, Pawar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in soybean, Patel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and Naik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(2019) in cluster bean.</w:t>
      </w:r>
      <w:r>
        <w:rPr>
          <w:rFonts w:ascii="Times New Roman" w:hAnsi="Times New Roman" w:cs="Times New Roman"/>
          <w:sz w:val="24"/>
          <w:szCs w:val="24"/>
        </w:rPr>
        <w:t xml:space="preserve"> </w:t>
      </w:r>
      <w:r w:rsidRPr="00AB344C">
        <w:rPr>
          <w:rFonts w:ascii="Times New Roman" w:hAnsi="Times New Roman" w:cs="Times New Roman"/>
          <w:sz w:val="24"/>
          <w:szCs w:val="24"/>
        </w:rPr>
        <w:t>The strong performance of GA₃ (T7) agrees with reports showing that GA₃-based interventions can enhance cluster bean yield under field conditions (Alan Dev &amp; Dawson, 2023). Overall, these results reaffirm that optimized PGR dose selection can substantially improve legume productivity and farm profitability (</w:t>
      </w:r>
      <w:proofErr w:type="spellStart"/>
      <w:r w:rsidRPr="00AB344C">
        <w:rPr>
          <w:rFonts w:ascii="Times New Roman" w:hAnsi="Times New Roman" w:cs="Times New Roman"/>
          <w:sz w:val="24"/>
          <w:szCs w:val="24"/>
        </w:rPr>
        <w:t>Bhadane</w:t>
      </w:r>
      <w:proofErr w:type="spellEnd"/>
      <w:r w:rsidRPr="00AB344C">
        <w:rPr>
          <w:rFonts w:ascii="Times New Roman" w:hAnsi="Times New Roman" w:cs="Times New Roman"/>
          <w:sz w:val="24"/>
          <w:szCs w:val="24"/>
        </w:rPr>
        <w:t xml:space="preserve"> et al., 2022).</w:t>
      </w:r>
    </w:p>
    <w:p w14:paraId="5197E587" w14:textId="77777777" w:rsidR="00E939B1" w:rsidRPr="002E07E0" w:rsidRDefault="00E939B1" w:rsidP="0006568C">
      <w:pPr>
        <w:rPr>
          <w:rFonts w:ascii="Times New Roman" w:hAnsi="Times New Roman" w:cs="Times New Roman"/>
          <w:b/>
          <w:bCs/>
          <w:i/>
          <w:iCs/>
          <w:sz w:val="24"/>
          <w:szCs w:val="24"/>
        </w:rPr>
      </w:pPr>
      <w:r w:rsidRPr="002E07E0">
        <w:rPr>
          <w:rFonts w:ascii="Times New Roman" w:hAnsi="Times New Roman" w:cs="Times New Roman"/>
          <w:b/>
          <w:bCs/>
          <w:i/>
          <w:iCs/>
          <w:sz w:val="24"/>
          <w:szCs w:val="24"/>
        </w:rPr>
        <w:lastRenderedPageBreak/>
        <w:t>Quality parameter</w:t>
      </w:r>
    </w:p>
    <w:p w14:paraId="065D5524" w14:textId="6AEB4480" w:rsidR="00AB344C" w:rsidRDefault="00070E31" w:rsidP="00AB344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AB344C" w:rsidRPr="00AB344C">
        <w:rPr>
          <w:rFonts w:ascii="Times New Roman" w:hAnsi="Times New Roman" w:cs="Times New Roman"/>
          <w:sz w:val="24"/>
          <w:szCs w:val="24"/>
        </w:rPr>
        <w:t>Protein content (%) of cluster bean seed was significantly influenced by foliar application of plant growth regulators (Table 2). Protein content ranged from 20.12% in the control (T1) to 24.22% under CCC (</w:t>
      </w:r>
      <w:proofErr w:type="spellStart"/>
      <w:r w:rsidR="00AB344C" w:rsidRPr="00AB344C">
        <w:rPr>
          <w:rFonts w:ascii="Times New Roman" w:hAnsi="Times New Roman" w:cs="Times New Roman"/>
          <w:sz w:val="24"/>
          <w:szCs w:val="24"/>
        </w:rPr>
        <w:t>Cycocel</w:t>
      </w:r>
      <w:proofErr w:type="spellEnd"/>
      <w:r w:rsidR="00AB344C" w:rsidRPr="00AB344C">
        <w:rPr>
          <w:rFonts w:ascii="Times New Roman" w:hAnsi="Times New Roman" w:cs="Times New Roman"/>
          <w:sz w:val="24"/>
          <w:szCs w:val="24"/>
        </w:rPr>
        <w:t>) 750 ppm (T8), indicating an overall improvement in seed quality with PGR use. All PGR treatments recorded higher protein than the control, as the observed increases exceeded the CD (5%) = 1.06 for protein content.</w:t>
      </w:r>
      <w:r w:rsidR="00AB344C">
        <w:rPr>
          <w:rFonts w:ascii="Times New Roman" w:hAnsi="Times New Roman" w:cs="Times New Roman"/>
          <w:sz w:val="24"/>
          <w:szCs w:val="24"/>
        </w:rPr>
        <w:t xml:space="preserve"> </w:t>
      </w:r>
      <w:r w:rsidR="00AB344C" w:rsidRPr="00AB344C">
        <w:rPr>
          <w:rFonts w:ascii="Times New Roman" w:hAnsi="Times New Roman" w:cs="Times New Roman"/>
          <w:sz w:val="24"/>
          <w:szCs w:val="24"/>
        </w:rPr>
        <w:t>Among treatments, T8 (CCC 750 ppm) produced the highest protein content (24.22%) and remained statistically at par with GA₃ 150 ppm (T7; 23.87%), GA₃ 100 ppm (T6; 23.56%), NAA 150 ppm (T4; 23.50%), and CCC 2250 ppm (T10; 23.31%), suggesting that moderate CCC and higher GA₃ doses were most effective for improving protein concentration. Notably, increasing CCC beyond 750 ppm did not consistently enhance protein further (e.g., T9 = 23.14%; T10 = 23.31%), implying a dose ceiling for quality response under the present conditions.</w:t>
      </w:r>
      <w:r w:rsidR="0006568C" w:rsidRPr="002E07E0">
        <w:rPr>
          <w:rFonts w:ascii="Times New Roman" w:hAnsi="Times New Roman" w:cs="Times New Roman"/>
          <w:sz w:val="24"/>
          <w:szCs w:val="24"/>
        </w:rPr>
        <w:t xml:space="preserve"> </w:t>
      </w:r>
    </w:p>
    <w:p w14:paraId="4B4D3C98" w14:textId="73C27D83" w:rsidR="00EC182D" w:rsidRPr="002E07E0" w:rsidRDefault="00AB344C" w:rsidP="003D32C7">
      <w:pPr>
        <w:spacing w:line="360" w:lineRule="auto"/>
        <w:jc w:val="both"/>
        <w:rPr>
          <w:rFonts w:ascii="Times New Roman" w:hAnsi="Times New Roman" w:cs="Times New Roman"/>
          <w:sz w:val="24"/>
          <w:szCs w:val="24"/>
        </w:rPr>
      </w:pPr>
      <w:r w:rsidRPr="00AB344C">
        <w:rPr>
          <w:rFonts w:ascii="Times New Roman" w:hAnsi="Times New Roman" w:cs="Times New Roman"/>
          <w:sz w:val="24"/>
          <w:szCs w:val="24"/>
        </w:rPr>
        <w:t>Physiologically, CCC (</w:t>
      </w:r>
      <w:proofErr w:type="spellStart"/>
      <w:r w:rsidRPr="00AB344C">
        <w:rPr>
          <w:rFonts w:ascii="Times New Roman" w:hAnsi="Times New Roman" w:cs="Times New Roman"/>
          <w:sz w:val="24"/>
          <w:szCs w:val="24"/>
        </w:rPr>
        <w:t>chlormequat</w:t>
      </w:r>
      <w:proofErr w:type="spellEnd"/>
      <w:r w:rsidRPr="00AB344C">
        <w:rPr>
          <w:rFonts w:ascii="Times New Roman" w:hAnsi="Times New Roman" w:cs="Times New Roman"/>
          <w:sz w:val="24"/>
          <w:szCs w:val="24"/>
        </w:rPr>
        <w:t xml:space="preserve"> chloride) is a gibberellin-biosynthesis inhibitor that can shift source–sink balance and strengthen assimilate partitioning towards reproductive organs (Rademacher, 2000). Empirically, CCC has also been reported to increase seed protein content alongside yield improvements in other crops (Prasad &amp; Shukla, 1991). Protein estimation in the present study followed the standard Kjeldahl-based approach (Juliano et al., 1973), supporting comparability with earlier quality studies.</w:t>
      </w:r>
      <w:r>
        <w:rPr>
          <w:rFonts w:ascii="Times New Roman" w:hAnsi="Times New Roman" w:cs="Times New Roman"/>
          <w:sz w:val="24"/>
          <w:szCs w:val="24"/>
        </w:rPr>
        <w:t xml:space="preserve"> </w:t>
      </w:r>
      <w:r w:rsidR="0006568C" w:rsidRPr="002E07E0">
        <w:rPr>
          <w:rFonts w:ascii="Times New Roman" w:hAnsi="Times New Roman" w:cs="Times New Roman"/>
          <w:sz w:val="24"/>
          <w:szCs w:val="24"/>
        </w:rPr>
        <w:t xml:space="preserve">Similarly, </w:t>
      </w:r>
      <w:r w:rsidR="00CD4D9D" w:rsidRPr="00CD4D9D">
        <w:rPr>
          <w:rFonts w:ascii="Times New Roman" w:hAnsi="Times New Roman" w:cs="Times New Roman"/>
          <w:sz w:val="24"/>
          <w:szCs w:val="22"/>
        </w:rPr>
        <w:t xml:space="preserve">Devi </w:t>
      </w:r>
      <w:r w:rsidR="00CD4D9D" w:rsidRPr="00417109">
        <w:rPr>
          <w:rFonts w:ascii="Times New Roman" w:hAnsi="Times New Roman" w:cs="Times New Roman"/>
          <w:sz w:val="24"/>
          <w:szCs w:val="22"/>
        </w:rPr>
        <w:t>et al</w:t>
      </w:r>
      <w:r>
        <w:rPr>
          <w:rFonts w:ascii="Times New Roman" w:hAnsi="Times New Roman" w:cs="Times New Roman"/>
          <w:sz w:val="24"/>
          <w:szCs w:val="22"/>
        </w:rPr>
        <w:t>.</w:t>
      </w:r>
      <w:r w:rsidR="00CD4D9D" w:rsidRPr="00CD4D9D">
        <w:rPr>
          <w:rFonts w:ascii="Times New Roman" w:hAnsi="Times New Roman" w:cs="Times New Roman"/>
          <w:sz w:val="24"/>
          <w:szCs w:val="22"/>
        </w:rPr>
        <w:t xml:space="preserve"> (2015)</w:t>
      </w:r>
      <w:r>
        <w:rPr>
          <w:rFonts w:ascii="Times New Roman" w:hAnsi="Times New Roman" w:cs="Times New Roman"/>
          <w:sz w:val="24"/>
          <w:szCs w:val="22"/>
        </w:rPr>
        <w:t xml:space="preserve"> and</w:t>
      </w:r>
      <w:r w:rsidR="00CD4D9D" w:rsidRPr="00CD4D9D">
        <w:rPr>
          <w:rFonts w:ascii="Times New Roman" w:hAnsi="Times New Roman" w:cs="Times New Roman"/>
          <w:sz w:val="24"/>
          <w:szCs w:val="22"/>
        </w:rPr>
        <w:t xml:space="preserve"> </w:t>
      </w:r>
      <w:r w:rsidR="0006568C" w:rsidRPr="002E07E0">
        <w:rPr>
          <w:rFonts w:ascii="Times New Roman" w:hAnsi="Times New Roman" w:cs="Times New Roman"/>
          <w:sz w:val="24"/>
          <w:szCs w:val="24"/>
        </w:rPr>
        <w:t xml:space="preserve">Lawlor and Fock (1975) suggested that </w:t>
      </w:r>
      <w:r w:rsidR="00D12D84" w:rsidRPr="002E07E0">
        <w:rPr>
          <w:rFonts w:ascii="Times New Roman" w:hAnsi="Times New Roman" w:cs="Times New Roman"/>
          <w:sz w:val="24"/>
          <w:szCs w:val="24"/>
        </w:rPr>
        <w:t>CCC</w:t>
      </w:r>
      <w:r w:rsidR="00D12D84">
        <w:rPr>
          <w:rFonts w:ascii="Times New Roman" w:hAnsi="Times New Roman" w:cs="Times New Roman"/>
          <w:sz w:val="24"/>
          <w:szCs w:val="24"/>
        </w:rPr>
        <w:t>-</w:t>
      </w:r>
      <w:r w:rsidR="0006568C" w:rsidRPr="002E07E0">
        <w:rPr>
          <w:rFonts w:ascii="Times New Roman" w:hAnsi="Times New Roman" w:cs="Times New Roman"/>
          <w:sz w:val="24"/>
          <w:szCs w:val="24"/>
        </w:rPr>
        <w:t>induced increase in photosynthesis was associated with an increase in the enzyme activity and nucleic acid metabolism.</w:t>
      </w:r>
    </w:p>
    <w:p w14:paraId="6D1A67CF" w14:textId="77777777" w:rsidR="006C45C1" w:rsidRPr="00F63A91" w:rsidRDefault="006C45C1" w:rsidP="00582807">
      <w:pPr>
        <w:spacing w:line="360" w:lineRule="auto"/>
        <w:ind w:left="90"/>
        <w:jc w:val="both"/>
        <w:rPr>
          <w:rFonts w:ascii="Times New Roman" w:eastAsia="Times New Roman" w:hAnsi="Times New Roman" w:cs="Times New Roman"/>
          <w:b/>
          <w:bCs/>
          <w:sz w:val="24"/>
          <w:szCs w:val="24"/>
          <w:lang w:eastAsia="en-IN"/>
        </w:rPr>
      </w:pPr>
      <w:r w:rsidRPr="00F63A91">
        <w:rPr>
          <w:rFonts w:ascii="Times New Roman" w:eastAsia="Times New Roman" w:hAnsi="Times New Roman" w:cs="Times New Roman"/>
          <w:b/>
          <w:bCs/>
          <w:sz w:val="24"/>
          <w:szCs w:val="24"/>
          <w:lang w:eastAsia="en-IN"/>
        </w:rPr>
        <w:t>Economics</w:t>
      </w:r>
    </w:p>
    <w:p w14:paraId="290D732D" w14:textId="47CEA84A" w:rsidR="0086116E" w:rsidRPr="002E07E0" w:rsidRDefault="00737190" w:rsidP="00D034D5">
      <w:pPr>
        <w:spacing w:line="360" w:lineRule="auto"/>
        <w:ind w:right="26"/>
        <w:jc w:val="both"/>
        <w:rPr>
          <w:rFonts w:ascii="Times New Roman" w:eastAsia="Times New Roman" w:hAnsi="Times New Roman" w:cs="Times New Roman"/>
          <w:sz w:val="24"/>
          <w:szCs w:val="24"/>
          <w:lang w:eastAsia="en-IN"/>
        </w:rPr>
      </w:pPr>
      <w:r w:rsidRPr="002E07E0">
        <w:rPr>
          <w:rFonts w:ascii="Times New Roman" w:eastAsia="Times New Roman" w:hAnsi="Times New Roman" w:cs="Times New Roman"/>
          <w:sz w:val="24"/>
          <w:szCs w:val="24"/>
          <w:lang w:eastAsia="en-IN"/>
        </w:rPr>
        <w:tab/>
      </w:r>
      <w:r w:rsidR="00D034D5" w:rsidRPr="00D034D5">
        <w:rPr>
          <w:rFonts w:ascii="Times New Roman" w:eastAsia="Times New Roman" w:hAnsi="Times New Roman" w:cs="Times New Roman"/>
          <w:sz w:val="24"/>
          <w:szCs w:val="24"/>
          <w:lang w:eastAsia="en-IN"/>
        </w:rPr>
        <w:t xml:space="preserve">Economic analysis (Table 2) showed that foliar application of plant growth regulators significantly improved </w:t>
      </w:r>
      <w:r w:rsidR="00D12D84">
        <w:rPr>
          <w:rFonts w:ascii="Times New Roman" w:eastAsia="Times New Roman" w:hAnsi="Times New Roman" w:cs="Times New Roman"/>
          <w:sz w:val="24"/>
          <w:szCs w:val="24"/>
          <w:lang w:eastAsia="en-IN"/>
        </w:rPr>
        <w:t xml:space="preserve">the </w:t>
      </w:r>
      <w:r w:rsidR="00D034D5" w:rsidRPr="00D034D5">
        <w:rPr>
          <w:rFonts w:ascii="Times New Roman" w:eastAsia="Times New Roman" w:hAnsi="Times New Roman" w:cs="Times New Roman"/>
          <w:sz w:val="24"/>
          <w:szCs w:val="24"/>
          <w:lang w:eastAsia="en-IN"/>
        </w:rPr>
        <w:t xml:space="preserve">profitability of cluster bean over the control. The highest net return (₹124,008 ha⁻¹) and </w:t>
      </w:r>
      <w:proofErr w:type="spellStart"/>
      <w:proofErr w:type="gramStart"/>
      <w:r w:rsidR="00D034D5" w:rsidRPr="00D034D5">
        <w:rPr>
          <w:rFonts w:ascii="Times New Roman" w:eastAsia="Times New Roman" w:hAnsi="Times New Roman" w:cs="Times New Roman"/>
          <w:sz w:val="24"/>
          <w:szCs w:val="24"/>
          <w:lang w:eastAsia="en-IN"/>
        </w:rPr>
        <w:t>benefit:cost</w:t>
      </w:r>
      <w:proofErr w:type="spellEnd"/>
      <w:proofErr w:type="gramEnd"/>
      <w:r w:rsidR="00D034D5" w:rsidRPr="00D034D5">
        <w:rPr>
          <w:rFonts w:ascii="Times New Roman" w:eastAsia="Times New Roman" w:hAnsi="Times New Roman" w:cs="Times New Roman"/>
          <w:sz w:val="24"/>
          <w:szCs w:val="24"/>
          <w:lang w:eastAsia="en-IN"/>
        </w:rPr>
        <w:t xml:space="preserve"> (B:C) ratio (3.91) were recorded with CCC (</w:t>
      </w:r>
      <w:proofErr w:type="spellStart"/>
      <w:r w:rsidR="00D034D5" w:rsidRPr="00D034D5">
        <w:rPr>
          <w:rFonts w:ascii="Times New Roman" w:eastAsia="Times New Roman" w:hAnsi="Times New Roman" w:cs="Times New Roman"/>
          <w:sz w:val="24"/>
          <w:szCs w:val="24"/>
          <w:lang w:eastAsia="en-IN"/>
        </w:rPr>
        <w:t>Cycocel</w:t>
      </w:r>
      <w:proofErr w:type="spellEnd"/>
      <w:r w:rsidR="00D034D5" w:rsidRPr="00D034D5">
        <w:rPr>
          <w:rFonts w:ascii="Times New Roman" w:eastAsia="Times New Roman" w:hAnsi="Times New Roman" w:cs="Times New Roman"/>
          <w:sz w:val="24"/>
          <w:szCs w:val="24"/>
          <w:lang w:eastAsia="en-IN"/>
        </w:rPr>
        <w:t>) 750 ppm (T8), corresponding to the maximum seed yield (9253.24 kg ha⁻¹). This treatment was statistically superior to all others, including the next-best GA₃ 150 ppm (T7) (net return ₹96,776; B:C 3.06), as the differences exceeded CD</w:t>
      </w:r>
      <w:proofErr w:type="gramStart"/>
      <w:r w:rsidR="00D034D5" w:rsidRPr="00D034D5">
        <w:rPr>
          <w:rFonts w:ascii="Times New Roman" w:eastAsia="Times New Roman" w:hAnsi="Times New Roman" w:cs="Times New Roman"/>
          <w:sz w:val="24"/>
          <w:szCs w:val="24"/>
          <w:lang w:eastAsia="en-IN"/>
        </w:rPr>
        <w:t>_{</w:t>
      </w:r>
      <w:proofErr w:type="gramEnd"/>
      <w:r w:rsidR="00D034D5" w:rsidRPr="00D034D5">
        <w:rPr>
          <w:rFonts w:ascii="Times New Roman" w:eastAsia="Times New Roman" w:hAnsi="Times New Roman" w:cs="Times New Roman"/>
          <w:sz w:val="24"/>
          <w:szCs w:val="24"/>
          <w:lang w:eastAsia="en-IN"/>
        </w:rPr>
        <w:t xml:space="preserve">5%} = ₹3,893 for net return and 0.11 for B:C ratio. Compared with the control (T1), CCC 750 ppm increased net return from ₹33,467 to ₹124,008 and improved B:C ratio from 1.84 to 3.91, indicating a large gain in economic efficiency.  Notably, increasing CCC beyond 750 ppm reduced profitability (T9: ₹80,308; B:C 2.78; T10: ₹71,088; B:C 2.49), suggesting 750 ppm as the economically </w:t>
      </w:r>
      <w:r w:rsidR="00D034D5" w:rsidRPr="00D034D5">
        <w:rPr>
          <w:rFonts w:ascii="Times New Roman" w:eastAsia="Times New Roman" w:hAnsi="Times New Roman" w:cs="Times New Roman"/>
          <w:sz w:val="24"/>
          <w:szCs w:val="24"/>
          <w:lang w:eastAsia="en-IN"/>
        </w:rPr>
        <w:lastRenderedPageBreak/>
        <w:t>optimal dose under the present conditions.</w:t>
      </w:r>
      <w:r w:rsidR="00D034D5">
        <w:rPr>
          <w:rFonts w:ascii="Times New Roman" w:eastAsia="Times New Roman" w:hAnsi="Times New Roman" w:cs="Times New Roman"/>
          <w:sz w:val="24"/>
          <w:szCs w:val="24"/>
          <w:lang w:eastAsia="en-IN"/>
        </w:rPr>
        <w:t xml:space="preserve"> </w:t>
      </w:r>
      <w:r w:rsidR="00D034D5">
        <w:rPr>
          <w:rFonts w:ascii="Times New Roman" w:hAnsi="Times New Roman" w:cs="Times New Roman"/>
          <w:sz w:val="24"/>
          <w:szCs w:val="24"/>
        </w:rPr>
        <w:t>S</w:t>
      </w:r>
      <w:r w:rsidR="0006568C" w:rsidRPr="002E07E0">
        <w:rPr>
          <w:rFonts w:ascii="Times New Roman" w:hAnsi="Times New Roman" w:cs="Times New Roman"/>
          <w:sz w:val="24"/>
          <w:szCs w:val="24"/>
        </w:rPr>
        <w:t>imilar result was recorded</w:t>
      </w:r>
      <w:r w:rsidR="0006568C" w:rsidRPr="002E07E0">
        <w:rPr>
          <w:rFonts w:ascii="Times New Roman" w:hAnsi="Times New Roman" w:cs="Times New Roman"/>
          <w:sz w:val="24"/>
          <w:szCs w:val="24"/>
          <w:shd w:val="clear" w:color="auto" w:fill="FFFFFF"/>
        </w:rPr>
        <w:t xml:space="preserve"> (Bhardwaj </w:t>
      </w:r>
      <w:r w:rsidR="0006568C" w:rsidRPr="002E07E0">
        <w:rPr>
          <w:rFonts w:ascii="Times New Roman" w:hAnsi="Times New Roman" w:cs="Times New Roman"/>
          <w:i/>
          <w:iCs/>
          <w:sz w:val="24"/>
          <w:szCs w:val="24"/>
          <w:shd w:val="clear" w:color="auto" w:fill="FFFFFF"/>
        </w:rPr>
        <w:t>et al</w:t>
      </w:r>
      <w:r w:rsidR="0006568C" w:rsidRPr="002E07E0">
        <w:rPr>
          <w:rFonts w:ascii="Times New Roman" w:hAnsi="Times New Roman" w:cs="Times New Roman"/>
          <w:sz w:val="24"/>
          <w:szCs w:val="24"/>
          <w:shd w:val="clear" w:color="auto" w:fill="FFFFFF"/>
        </w:rPr>
        <w:t>.</w:t>
      </w:r>
      <w:r w:rsidR="00D12D84">
        <w:rPr>
          <w:rFonts w:ascii="Times New Roman" w:hAnsi="Times New Roman" w:cs="Times New Roman"/>
          <w:sz w:val="24"/>
          <w:szCs w:val="24"/>
          <w:shd w:val="clear" w:color="auto" w:fill="FFFFFF"/>
        </w:rPr>
        <w:t xml:space="preserve">, </w:t>
      </w:r>
      <w:r w:rsidR="0006568C" w:rsidRPr="002E07E0">
        <w:rPr>
          <w:rFonts w:ascii="Times New Roman" w:hAnsi="Times New Roman" w:cs="Times New Roman"/>
          <w:sz w:val="24"/>
          <w:szCs w:val="24"/>
          <w:shd w:val="clear" w:color="auto" w:fill="FFFFFF"/>
        </w:rPr>
        <w:t>2019)</w:t>
      </w:r>
      <w:r w:rsidR="0006568C" w:rsidRPr="002E07E0">
        <w:rPr>
          <w:rFonts w:ascii="Times New Roman" w:hAnsi="Times New Roman" w:cs="Times New Roman"/>
          <w:sz w:val="24"/>
          <w:szCs w:val="24"/>
        </w:rPr>
        <w:t>.</w:t>
      </w:r>
    </w:p>
    <w:p w14:paraId="04084C4F" w14:textId="77777777" w:rsidR="00B06F83" w:rsidRPr="002E07E0" w:rsidRDefault="00C22694" w:rsidP="00582807">
      <w:pPr>
        <w:spacing w:line="360" w:lineRule="auto"/>
        <w:jc w:val="both"/>
        <w:rPr>
          <w:rFonts w:ascii="Times New Roman" w:eastAsia="Times New Roman" w:hAnsi="Times New Roman" w:cs="Times New Roman"/>
          <w:b/>
          <w:bCs/>
          <w:sz w:val="24"/>
          <w:szCs w:val="24"/>
          <w:lang w:eastAsia="en-IN"/>
        </w:rPr>
      </w:pPr>
      <w:r w:rsidRPr="002E07E0">
        <w:rPr>
          <w:rFonts w:ascii="Times New Roman" w:eastAsia="Times New Roman" w:hAnsi="Times New Roman" w:cs="Times New Roman"/>
          <w:b/>
          <w:bCs/>
          <w:sz w:val="24"/>
          <w:szCs w:val="24"/>
          <w:lang w:eastAsia="en-IN"/>
        </w:rPr>
        <w:t>CONCLUSION</w:t>
      </w:r>
    </w:p>
    <w:p w14:paraId="0D5A12A4" w14:textId="7C9D6822" w:rsidR="00D12D84" w:rsidRDefault="001A40EE" w:rsidP="00D12D84">
      <w:pPr>
        <w:spacing w:line="360" w:lineRule="auto"/>
        <w:jc w:val="both"/>
        <w:rPr>
          <w:rFonts w:ascii="Times New Roman" w:hAnsi="Times New Roman" w:cs="Times New Roman"/>
          <w:sz w:val="24"/>
          <w:szCs w:val="24"/>
        </w:rPr>
      </w:pPr>
      <w:r w:rsidRPr="002E07E0">
        <w:rPr>
          <w:rFonts w:ascii="Times New Roman" w:hAnsi="Times New Roman" w:cs="Times New Roman"/>
          <w:b/>
          <w:bCs/>
          <w:i/>
          <w:iCs/>
          <w:sz w:val="24"/>
          <w:szCs w:val="24"/>
        </w:rPr>
        <w:tab/>
      </w:r>
      <w:r w:rsidR="00D12D84" w:rsidRPr="00D12D84">
        <w:rPr>
          <w:rFonts w:ascii="Times New Roman" w:hAnsi="Times New Roman" w:cs="Times New Roman"/>
          <w:sz w:val="24"/>
          <w:szCs w:val="24"/>
        </w:rPr>
        <w:t xml:space="preserve">Foliar application of plant growth regulators significantly influenced the growth, yield, quality and profitability of cluster bean. Among the treatments, </w:t>
      </w:r>
      <w:proofErr w:type="spellStart"/>
      <w:r w:rsidR="00D12D84" w:rsidRPr="00D12D84">
        <w:rPr>
          <w:rFonts w:ascii="Times New Roman" w:hAnsi="Times New Roman" w:cs="Times New Roman"/>
          <w:sz w:val="24"/>
          <w:szCs w:val="24"/>
        </w:rPr>
        <w:t>Cycocel</w:t>
      </w:r>
      <w:proofErr w:type="spellEnd"/>
      <w:r w:rsidR="00D12D84" w:rsidRPr="00D12D84">
        <w:rPr>
          <w:rFonts w:ascii="Times New Roman" w:hAnsi="Times New Roman" w:cs="Times New Roman"/>
          <w:sz w:val="24"/>
          <w:szCs w:val="24"/>
        </w:rPr>
        <w:t xml:space="preserve"> (CCC) @ 750 ppm (T8) proved most effective overall, recording the maximum reproductive performance (clusters and pods), the highest yield attributes and seed yield (9253.24 kg ha⁻¹), along with improved protein content (24.22%), net return (₹124,008 ha⁻¹) and the highest B:C ratio (3.91). GA₃ @ 150 ppm (T7) produced the maximum plant height at 30, 60 and 90 DAS, indicating its superiority for vegetative growth, while NAA @ 150 ppm (T4) resulted in the earliest 50% flowering. On the basis of one-season evidence under the present </w:t>
      </w:r>
      <w:proofErr w:type="spellStart"/>
      <w:r w:rsidR="00D12D84" w:rsidRPr="00D12D84">
        <w:rPr>
          <w:rFonts w:ascii="Times New Roman" w:hAnsi="Times New Roman" w:cs="Times New Roman"/>
          <w:sz w:val="24"/>
          <w:szCs w:val="24"/>
        </w:rPr>
        <w:t>agro</w:t>
      </w:r>
      <w:proofErr w:type="spellEnd"/>
      <w:r w:rsidR="00D12D84" w:rsidRPr="00D12D84">
        <w:rPr>
          <w:rFonts w:ascii="Times New Roman" w:hAnsi="Times New Roman" w:cs="Times New Roman"/>
          <w:sz w:val="24"/>
          <w:szCs w:val="24"/>
        </w:rPr>
        <w:t>-climatic conditions, CCC @ 750 ppm may be recommended for achieving higher yield, better seed quality and greater economic returns in cluster bean.</w:t>
      </w:r>
    </w:p>
    <w:p w14:paraId="64BB11F0" w14:textId="77777777" w:rsidR="00D12D84" w:rsidRPr="00417109" w:rsidRDefault="00D12D84" w:rsidP="00D12D84">
      <w:pPr>
        <w:spacing w:line="360" w:lineRule="auto"/>
        <w:jc w:val="both"/>
        <w:rPr>
          <w:rFonts w:ascii="Times New Roman" w:eastAsia="Times New Roman" w:hAnsi="Times New Roman" w:cs="Times New Roman"/>
          <w:b/>
          <w:bCs/>
          <w:sz w:val="24"/>
          <w:szCs w:val="24"/>
          <w:lang w:eastAsia="en-IN"/>
        </w:rPr>
      </w:pPr>
      <w:r w:rsidRPr="00417109">
        <w:rPr>
          <w:rFonts w:ascii="Times New Roman" w:eastAsia="Times New Roman" w:hAnsi="Times New Roman" w:cs="Times New Roman"/>
          <w:b/>
          <w:bCs/>
          <w:sz w:val="24"/>
          <w:szCs w:val="24"/>
          <w:lang w:eastAsia="en-IN"/>
        </w:rPr>
        <w:t>Limitations</w:t>
      </w:r>
    </w:p>
    <w:p w14:paraId="0CC99DFA" w14:textId="1CEF5C33" w:rsidR="00D12D84" w:rsidRPr="002E07E0" w:rsidRDefault="00D12D84" w:rsidP="00D12D84">
      <w:pPr>
        <w:spacing w:line="360" w:lineRule="auto"/>
        <w:jc w:val="both"/>
        <w:rPr>
          <w:rFonts w:ascii="Times New Roman" w:hAnsi="Times New Roman" w:cs="Times New Roman"/>
          <w:sz w:val="24"/>
          <w:szCs w:val="24"/>
        </w:rPr>
      </w:pPr>
      <w:r w:rsidRPr="00D12D84">
        <w:rPr>
          <w:rFonts w:ascii="Times New Roman" w:hAnsi="Times New Roman" w:cs="Times New Roman"/>
          <w:sz w:val="24"/>
          <w:szCs w:val="24"/>
        </w:rPr>
        <w:t>This study was conducted for a single season and single location with one variety; therefore, treatment responses may vary under different environments, soils, seasons and genotypes. The work evaluated a fixed set of PGR doses, but did not test alternative spray schedules (timing, number of sprays, spray volume), which can influence consistency of field performance. Quality assessment was limited mainly to protein content, while additional quality traits relevant to cluster bean seed and market preference were not examined. Moreover, residue/safety and regulatory compliance aspects for CCC use in edible legume systems were not assessed and should be verified before broad on-farm recommendations. Finally, the economics are based on the cost and price assumptions used during the study period; profitability may change with fluctuations in input costs and market prices.</w:t>
      </w:r>
    </w:p>
    <w:p w14:paraId="6A25A470" w14:textId="77777777" w:rsidR="00FB290C" w:rsidRPr="002E07E0" w:rsidRDefault="00FB290C" w:rsidP="00D12D84">
      <w:pPr>
        <w:spacing w:line="360" w:lineRule="auto"/>
        <w:jc w:val="both"/>
        <w:rPr>
          <w:rFonts w:ascii="Times New Roman" w:hAnsi="Times New Roman" w:cs="Times New Roman"/>
          <w:b/>
          <w:bCs/>
          <w:i/>
          <w:iCs/>
          <w:sz w:val="24"/>
          <w:szCs w:val="24"/>
        </w:rPr>
      </w:pPr>
      <w:r w:rsidRPr="002E07E0">
        <w:rPr>
          <w:rFonts w:ascii="Times New Roman" w:hAnsi="Times New Roman" w:cs="Times New Roman"/>
          <w:b/>
          <w:bCs/>
          <w:i/>
          <w:iCs/>
          <w:sz w:val="24"/>
          <w:szCs w:val="24"/>
        </w:rPr>
        <w:t>References</w:t>
      </w:r>
    </w:p>
    <w:p w14:paraId="7ED456CD" w14:textId="7F878DC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Bhardwaj, R. L., </w:t>
      </w:r>
      <w:proofErr w:type="spellStart"/>
      <w:r w:rsidRPr="00DC3BA9">
        <w:rPr>
          <w:rFonts w:ascii="Times New Roman" w:hAnsi="Times New Roman" w:cs="Times New Roman"/>
          <w:sz w:val="24"/>
          <w:szCs w:val="24"/>
        </w:rPr>
        <w:t>Maheriya</w:t>
      </w:r>
      <w:proofErr w:type="spellEnd"/>
      <w:r w:rsidRPr="00DC3BA9">
        <w:rPr>
          <w:rFonts w:ascii="Times New Roman" w:hAnsi="Times New Roman" w:cs="Times New Roman"/>
          <w:sz w:val="24"/>
          <w:szCs w:val="24"/>
        </w:rPr>
        <w:t xml:space="preserve">, M. L., </w:t>
      </w:r>
      <w:proofErr w:type="spellStart"/>
      <w:r w:rsidRPr="00DC3BA9">
        <w:rPr>
          <w:rFonts w:ascii="Times New Roman" w:hAnsi="Times New Roman" w:cs="Times New Roman"/>
          <w:sz w:val="24"/>
          <w:szCs w:val="24"/>
        </w:rPr>
        <w:t>Ratnoo</w:t>
      </w:r>
      <w:proofErr w:type="spellEnd"/>
      <w:r w:rsidRPr="00DC3BA9">
        <w:rPr>
          <w:rFonts w:ascii="Times New Roman" w:hAnsi="Times New Roman" w:cs="Times New Roman"/>
          <w:sz w:val="24"/>
          <w:szCs w:val="24"/>
        </w:rPr>
        <w:t xml:space="preserve">, S. D., &amp; Kumar, V. (2019). Effect of NAA, GA, on growth, yield and quality of cluster bean, okra and cowpea in arid condition of south-western Rajasthan. Indian Journal of Arid Horticulture, 1(2), 50-58. </w:t>
      </w:r>
      <w:hyperlink r:id="rId7" w:history="1">
        <w:r w:rsidRPr="00C533ED">
          <w:rPr>
            <w:rStyle w:val="Hyperlink"/>
            <w:rFonts w:ascii="Times New Roman" w:hAnsi="Times New Roman" w:cs="Times New Roman"/>
            <w:sz w:val="24"/>
            <w:szCs w:val="24"/>
          </w:rPr>
          <w:t>https://acsjournals.com/index.php/ijah/article/view/10</w:t>
        </w:r>
      </w:hyperlink>
    </w:p>
    <w:p w14:paraId="39A2532C" w14:textId="0F25F85D"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Deshmukh, M. P., Dharmik, Y. B., </w:t>
      </w:r>
      <w:proofErr w:type="spellStart"/>
      <w:r w:rsidRPr="00DC3BA9">
        <w:rPr>
          <w:rFonts w:ascii="Times New Roman" w:hAnsi="Times New Roman" w:cs="Times New Roman"/>
          <w:sz w:val="24"/>
          <w:szCs w:val="22"/>
        </w:rPr>
        <w:t>Baviskar</w:t>
      </w:r>
      <w:proofErr w:type="spellEnd"/>
      <w:r w:rsidRPr="00DC3BA9">
        <w:rPr>
          <w:rFonts w:ascii="Times New Roman" w:hAnsi="Times New Roman" w:cs="Times New Roman"/>
          <w:sz w:val="24"/>
          <w:szCs w:val="22"/>
        </w:rPr>
        <w:t xml:space="preserve">, S. B., Thakre, S. A., </w:t>
      </w:r>
      <w:proofErr w:type="spellStart"/>
      <w:r w:rsidRPr="00DC3BA9">
        <w:rPr>
          <w:rFonts w:ascii="Times New Roman" w:hAnsi="Times New Roman" w:cs="Times New Roman"/>
          <w:sz w:val="24"/>
          <w:szCs w:val="22"/>
        </w:rPr>
        <w:t>Dhembare</w:t>
      </w:r>
      <w:proofErr w:type="spellEnd"/>
      <w:r w:rsidRPr="00DC3BA9">
        <w:rPr>
          <w:rFonts w:ascii="Times New Roman" w:hAnsi="Times New Roman" w:cs="Times New Roman"/>
          <w:sz w:val="24"/>
          <w:szCs w:val="22"/>
        </w:rPr>
        <w:t xml:space="preserve">, A. C., Otari, B. V., &amp; </w:t>
      </w:r>
      <w:proofErr w:type="spellStart"/>
      <w:r w:rsidRPr="00DC3BA9">
        <w:rPr>
          <w:rFonts w:ascii="Times New Roman" w:hAnsi="Times New Roman" w:cs="Times New Roman"/>
          <w:sz w:val="24"/>
          <w:szCs w:val="22"/>
        </w:rPr>
        <w:t>Yeul</w:t>
      </w:r>
      <w:proofErr w:type="spellEnd"/>
      <w:r w:rsidRPr="00DC3BA9">
        <w:rPr>
          <w:rFonts w:ascii="Times New Roman" w:hAnsi="Times New Roman" w:cs="Times New Roman"/>
          <w:sz w:val="24"/>
          <w:szCs w:val="22"/>
        </w:rPr>
        <w:t xml:space="preserve">, R. D. (2024). Effect of plant growth regulators on growth, yield and quality of </w:t>
      </w:r>
      <w:r w:rsidRPr="00DC3BA9">
        <w:rPr>
          <w:rFonts w:ascii="Times New Roman" w:hAnsi="Times New Roman" w:cs="Times New Roman"/>
          <w:sz w:val="24"/>
          <w:szCs w:val="22"/>
        </w:rPr>
        <w:lastRenderedPageBreak/>
        <w:t xml:space="preserve">cluster bean. International Journal of Advanced Biochemistry Research, 8(10S), 387-392. </w:t>
      </w:r>
      <w:hyperlink r:id="rId8" w:history="1">
        <w:r w:rsidRPr="00C533ED">
          <w:rPr>
            <w:rStyle w:val="Hyperlink"/>
            <w:rFonts w:ascii="Times New Roman" w:hAnsi="Times New Roman" w:cs="Times New Roman"/>
            <w:sz w:val="24"/>
            <w:szCs w:val="22"/>
          </w:rPr>
          <w:t>https://doi.org/10.33545/26174693.2024.v8.i10Se.2473</w:t>
        </w:r>
      </w:hyperlink>
    </w:p>
    <w:p w14:paraId="7F1885CB" w14:textId="1AFF4598"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Devi, S. S., Patel, P. T., &amp; Choudhary, K. M. (2015). Effect of application of SH-compounds on yield, protein and economics of summer green gram [Vigna radiata (L.) WILCZEK] under moisture stress in north Gujarat conditions. Legume Research, 38(4), 542-545. </w:t>
      </w:r>
      <w:hyperlink r:id="rId9" w:history="1">
        <w:r w:rsidRPr="00C533ED">
          <w:rPr>
            <w:rStyle w:val="Hyperlink"/>
            <w:rFonts w:ascii="Times New Roman" w:hAnsi="Times New Roman" w:cs="Times New Roman"/>
            <w:sz w:val="24"/>
            <w:szCs w:val="22"/>
          </w:rPr>
          <w:t>https://doi.org/10.5958/0976-0571.2015.00135.6</w:t>
        </w:r>
      </w:hyperlink>
    </w:p>
    <w:p w14:paraId="594E8AD0" w14:textId="42E04490"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 J. P. A., &amp; Dawson, J. (2023). Influence of Sulphur and Gibberellic Acid on Growth and Yield of Cluster Bean (Cyamopsis </w:t>
      </w:r>
      <w:proofErr w:type="spellStart"/>
      <w:r w:rsidRPr="00DC3BA9">
        <w:rPr>
          <w:rFonts w:ascii="Times New Roman" w:hAnsi="Times New Roman" w:cs="Times New Roman"/>
          <w:sz w:val="24"/>
          <w:szCs w:val="22"/>
        </w:rPr>
        <w:t>tetragonoloba</w:t>
      </w:r>
      <w:proofErr w:type="spellEnd"/>
      <w:r w:rsidRPr="00DC3BA9">
        <w:rPr>
          <w:rFonts w:ascii="Times New Roman" w:hAnsi="Times New Roman" w:cs="Times New Roman"/>
          <w:sz w:val="24"/>
          <w:szCs w:val="22"/>
        </w:rPr>
        <w:t xml:space="preserve"> L.). International Journal of Environment and Climate Change, 13(9), 2946-2950. </w:t>
      </w:r>
      <w:hyperlink r:id="rId10" w:history="1">
        <w:r w:rsidRPr="00C533ED">
          <w:rPr>
            <w:rStyle w:val="Hyperlink"/>
            <w:rFonts w:ascii="Times New Roman" w:hAnsi="Times New Roman" w:cs="Times New Roman"/>
            <w:sz w:val="24"/>
            <w:szCs w:val="22"/>
          </w:rPr>
          <w:t>https://doi.org/10.9734/ijecc/2023/v13i92533</w:t>
        </w:r>
      </w:hyperlink>
    </w:p>
    <w:p w14:paraId="59708160" w14:textId="3B874E93"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Ibrahim, M. E., </w:t>
      </w:r>
      <w:proofErr w:type="spellStart"/>
      <w:r w:rsidRPr="00DC3BA9">
        <w:rPr>
          <w:rFonts w:ascii="Times New Roman" w:hAnsi="Times New Roman" w:cs="Times New Roman"/>
          <w:sz w:val="24"/>
          <w:szCs w:val="24"/>
        </w:rPr>
        <w:t>Bekheta</w:t>
      </w:r>
      <w:proofErr w:type="spellEnd"/>
      <w:r w:rsidRPr="00DC3BA9">
        <w:rPr>
          <w:rFonts w:ascii="Times New Roman" w:hAnsi="Times New Roman" w:cs="Times New Roman"/>
          <w:sz w:val="24"/>
          <w:szCs w:val="24"/>
        </w:rPr>
        <w:t>, M. A., El-</w:t>
      </w:r>
      <w:proofErr w:type="spellStart"/>
      <w:r w:rsidRPr="00DC3BA9">
        <w:rPr>
          <w:rFonts w:ascii="Times New Roman" w:hAnsi="Times New Roman" w:cs="Times New Roman"/>
          <w:sz w:val="24"/>
          <w:szCs w:val="24"/>
        </w:rPr>
        <w:t>Moursi</w:t>
      </w:r>
      <w:proofErr w:type="spellEnd"/>
      <w:r w:rsidRPr="00DC3BA9">
        <w:rPr>
          <w:rFonts w:ascii="Times New Roman" w:hAnsi="Times New Roman" w:cs="Times New Roman"/>
          <w:sz w:val="24"/>
          <w:szCs w:val="24"/>
        </w:rPr>
        <w:t xml:space="preserve">, A., &amp; Gaafar, N. A. (2007). Improvement of Growth and Seed Yield Quality of Vicia faba L. Plants as Affected by Application of Some Bioregulators. Australian Journal of Basic and Applied Sciences, 1(4), 657-666. </w:t>
      </w:r>
      <w:hyperlink r:id="rId11" w:history="1">
        <w:r w:rsidRPr="00C533ED">
          <w:rPr>
            <w:rStyle w:val="Hyperlink"/>
            <w:rFonts w:ascii="Times New Roman" w:hAnsi="Times New Roman" w:cs="Times New Roman"/>
            <w:sz w:val="24"/>
            <w:szCs w:val="24"/>
          </w:rPr>
          <w:t>http://www.ajbasweb.com/</w:t>
        </w:r>
      </w:hyperlink>
    </w:p>
    <w:p w14:paraId="35465850" w14:textId="296D393B"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Juliano, B. O., Antonio, A. A., &amp; </w:t>
      </w:r>
      <w:proofErr w:type="spellStart"/>
      <w:r w:rsidRPr="00DC3BA9">
        <w:rPr>
          <w:rFonts w:ascii="Times New Roman" w:hAnsi="Times New Roman" w:cs="Times New Roman"/>
          <w:sz w:val="24"/>
          <w:szCs w:val="22"/>
        </w:rPr>
        <w:t>Esmama</w:t>
      </w:r>
      <w:proofErr w:type="spellEnd"/>
      <w:r w:rsidRPr="00DC3BA9">
        <w:rPr>
          <w:rFonts w:ascii="Times New Roman" w:hAnsi="Times New Roman" w:cs="Times New Roman"/>
          <w:sz w:val="24"/>
          <w:szCs w:val="22"/>
        </w:rPr>
        <w:t xml:space="preserve">, B. V. (1973). Effects of protein content on the distribution and properties of rice protein. Journal of the Science of Food and Agriculture, 24, 295-306. </w:t>
      </w:r>
      <w:hyperlink r:id="rId12" w:history="1">
        <w:r w:rsidRPr="00C533ED">
          <w:rPr>
            <w:rStyle w:val="Hyperlink"/>
            <w:rFonts w:ascii="Times New Roman" w:hAnsi="Times New Roman" w:cs="Times New Roman"/>
            <w:sz w:val="24"/>
            <w:szCs w:val="22"/>
          </w:rPr>
          <w:t>https://doi.org/10.1002/jsfa.2740240306</w:t>
        </w:r>
      </w:hyperlink>
    </w:p>
    <w:p w14:paraId="2778753C" w14:textId="39250CFB" w:rsidR="00DC3BA9" w:rsidRDefault="00DC3BA9" w:rsidP="00DC3BA9">
      <w:pPr>
        <w:spacing w:line="360" w:lineRule="auto"/>
        <w:rPr>
          <w:rFonts w:ascii="Times New Roman" w:hAnsi="Times New Roman" w:cs="Times New Roman"/>
          <w:sz w:val="24"/>
          <w:szCs w:val="24"/>
        </w:rPr>
      </w:pPr>
      <w:proofErr w:type="spellStart"/>
      <w:r w:rsidRPr="00DC3BA9">
        <w:rPr>
          <w:rFonts w:ascii="Times New Roman" w:hAnsi="Times New Roman" w:cs="Times New Roman"/>
          <w:sz w:val="24"/>
          <w:szCs w:val="24"/>
        </w:rPr>
        <w:t>Premaradhya</w:t>
      </w:r>
      <w:proofErr w:type="spellEnd"/>
      <w:r w:rsidRPr="00DC3BA9">
        <w:rPr>
          <w:rFonts w:ascii="Times New Roman" w:hAnsi="Times New Roman" w:cs="Times New Roman"/>
          <w:sz w:val="24"/>
          <w:szCs w:val="24"/>
        </w:rPr>
        <w:t xml:space="preserve">, N., Shashidhar, K. S., </w:t>
      </w:r>
      <w:proofErr w:type="spellStart"/>
      <w:r w:rsidRPr="00DC3BA9">
        <w:rPr>
          <w:rFonts w:ascii="Times New Roman" w:hAnsi="Times New Roman" w:cs="Times New Roman"/>
          <w:sz w:val="24"/>
          <w:szCs w:val="24"/>
        </w:rPr>
        <w:t>Jeberson</w:t>
      </w:r>
      <w:proofErr w:type="spellEnd"/>
      <w:r w:rsidRPr="00DC3BA9">
        <w:rPr>
          <w:rFonts w:ascii="Times New Roman" w:hAnsi="Times New Roman" w:cs="Times New Roman"/>
          <w:sz w:val="24"/>
          <w:szCs w:val="24"/>
        </w:rPr>
        <w:t xml:space="preserve">, S., Krishnappa, R., &amp; Singh, N. (2018). Effect and profitability of foliar application of thiourea on growth and yield attributes of lentil (Lens culinaris L.) under Manipur conditions of North-East India. International Journal of Current Microbiology and Applied Sciences, 7(5), 1040-1050. </w:t>
      </w:r>
      <w:hyperlink r:id="rId13" w:history="1">
        <w:r w:rsidRPr="00C533ED">
          <w:rPr>
            <w:rStyle w:val="Hyperlink"/>
            <w:rFonts w:ascii="Times New Roman" w:hAnsi="Times New Roman" w:cs="Times New Roman"/>
            <w:sz w:val="24"/>
            <w:szCs w:val="24"/>
          </w:rPr>
          <w:t>https://doi.org/10.20546/ijcmas.2018.705.129</w:t>
        </w:r>
      </w:hyperlink>
    </w:p>
    <w:p w14:paraId="52531ACE" w14:textId="0B9F06DB" w:rsidR="00DC3BA9" w:rsidRDefault="00DC3BA9" w:rsidP="00DC3BA9">
      <w:pPr>
        <w:spacing w:line="360" w:lineRule="auto"/>
        <w:rPr>
          <w:rFonts w:ascii="Times New Roman" w:hAnsi="Times New Roman" w:cs="Times New Roman"/>
          <w:sz w:val="24"/>
          <w:szCs w:val="24"/>
        </w:rPr>
      </w:pPr>
      <w:r w:rsidRPr="00DC3BA9">
        <w:rPr>
          <w:rFonts w:ascii="Times New Roman" w:hAnsi="Times New Roman" w:cs="Times New Roman"/>
          <w:sz w:val="24"/>
          <w:szCs w:val="24"/>
        </w:rPr>
        <w:t xml:space="preserve">Lawlor, D. W., &amp; Fock, H. (1975). Photosynthesis and photorespiratory CO2 evolution of water-stressed sunflower leaves. Planta. </w:t>
      </w:r>
      <w:hyperlink r:id="rId14" w:history="1">
        <w:r w:rsidRPr="00C533ED">
          <w:rPr>
            <w:rStyle w:val="Hyperlink"/>
            <w:rFonts w:ascii="Times New Roman" w:hAnsi="Times New Roman" w:cs="Times New Roman"/>
            <w:sz w:val="24"/>
            <w:szCs w:val="24"/>
          </w:rPr>
          <w:t>https://doi.org/10.1007/BF00388966</w:t>
        </w:r>
      </w:hyperlink>
    </w:p>
    <w:p w14:paraId="7BFC1ED5" w14:textId="29D2AB08" w:rsidR="00DC3BA9" w:rsidRDefault="00DC3BA9" w:rsidP="00DC3BA9">
      <w:pPr>
        <w:spacing w:line="360" w:lineRule="auto"/>
        <w:rPr>
          <w:rFonts w:ascii="Times New Roman" w:hAnsi="Times New Roman" w:cs="Times New Roman"/>
          <w:color w:val="222222"/>
          <w:sz w:val="24"/>
          <w:szCs w:val="24"/>
          <w:shd w:val="clear" w:color="auto" w:fill="FFFFFF"/>
        </w:rPr>
      </w:pPr>
      <w:r w:rsidRPr="00DC3BA9">
        <w:rPr>
          <w:rFonts w:ascii="Times New Roman" w:hAnsi="Times New Roman" w:cs="Times New Roman"/>
          <w:color w:val="222222"/>
          <w:sz w:val="24"/>
          <w:szCs w:val="24"/>
          <w:shd w:val="clear" w:color="auto" w:fill="FFFFFF"/>
        </w:rPr>
        <w:t xml:space="preserve">Naik, M. T., Srihari, D., </w:t>
      </w:r>
      <w:proofErr w:type="spellStart"/>
      <w:r w:rsidRPr="00DC3BA9">
        <w:rPr>
          <w:rFonts w:ascii="Times New Roman" w:hAnsi="Times New Roman" w:cs="Times New Roman"/>
          <w:color w:val="222222"/>
          <w:sz w:val="24"/>
          <w:szCs w:val="24"/>
          <w:shd w:val="clear" w:color="auto" w:fill="FFFFFF"/>
        </w:rPr>
        <w:t>Dorajeerao</w:t>
      </w:r>
      <w:proofErr w:type="spellEnd"/>
      <w:r w:rsidRPr="00DC3BA9">
        <w:rPr>
          <w:rFonts w:ascii="Times New Roman" w:hAnsi="Times New Roman" w:cs="Times New Roman"/>
          <w:color w:val="222222"/>
          <w:sz w:val="24"/>
          <w:szCs w:val="24"/>
          <w:shd w:val="clear" w:color="auto" w:fill="FFFFFF"/>
        </w:rPr>
        <w:t xml:space="preserve">, A. V. D., Sasikala, K., Umakrishna, K., Suneetha, D. R. S., &amp; Pradeepkumar, C. M. (2019). Influence of plant growth regulators on growth and development of cluster bean varieties. Plant Archives, 19(2), 2551-2555. </w:t>
      </w:r>
      <w:hyperlink r:id="rId15" w:history="1">
        <w:r w:rsidRPr="00C533ED">
          <w:rPr>
            <w:rStyle w:val="Hyperlink"/>
            <w:rFonts w:ascii="Times New Roman" w:hAnsi="Times New Roman" w:cs="Times New Roman"/>
            <w:sz w:val="24"/>
            <w:szCs w:val="24"/>
            <w:shd w:val="clear" w:color="auto" w:fill="FFFFFF"/>
          </w:rPr>
          <w:t>https://www.plantarchives.org</w:t>
        </w:r>
      </w:hyperlink>
    </w:p>
    <w:p w14:paraId="75B0413F" w14:textId="5A474A59" w:rsidR="005C28C6" w:rsidRPr="00DC3BA9" w:rsidRDefault="005C28C6" w:rsidP="00DC3BA9">
      <w:pPr>
        <w:spacing w:line="360" w:lineRule="auto"/>
        <w:rPr>
          <w:rFonts w:ascii="Times New Roman" w:hAnsi="Times New Roman" w:cs="Times New Roman"/>
          <w:sz w:val="24"/>
          <w:szCs w:val="24"/>
        </w:rPr>
      </w:pPr>
      <w:hyperlink r:id="rId16" w:history="1">
        <w:r w:rsidRPr="00417109">
          <w:rPr>
            <w:rFonts w:ascii="Times New Roman" w:hAnsi="Times New Roman" w:cs="Times New Roman"/>
            <w:sz w:val="24"/>
            <w:szCs w:val="24"/>
            <w:highlight w:val="yellow"/>
          </w:rPr>
          <w:t>National Agricultural Research Project (ICAR-IBRD)</w:t>
        </w:r>
      </w:hyperlink>
      <w:r w:rsidRPr="00417109">
        <w:rPr>
          <w:rFonts w:ascii="Times New Roman" w:hAnsi="Times New Roman" w:cs="Times New Roman"/>
          <w:sz w:val="24"/>
          <w:szCs w:val="24"/>
          <w:highlight w:val="yellow"/>
        </w:rPr>
        <w:t>1985</w:t>
      </w:r>
      <w:r w:rsidRPr="00417109">
        <w:rPr>
          <w:rFonts w:ascii="Times New Roman" w:hAnsi="Times New Roman" w:cs="Times New Roman"/>
          <w:i/>
          <w:iCs/>
          <w:sz w:val="24"/>
          <w:szCs w:val="24"/>
          <w:highlight w:val="yellow"/>
        </w:rPr>
        <w:t>.</w:t>
      </w:r>
    </w:p>
    <w:p w14:paraId="4B31068E" w14:textId="7F6BF89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Patel, H.B., </w:t>
      </w:r>
      <w:proofErr w:type="spellStart"/>
      <w:r w:rsidRPr="00DC3BA9">
        <w:rPr>
          <w:rFonts w:ascii="Times New Roman" w:hAnsi="Times New Roman" w:cs="Times New Roman"/>
          <w:sz w:val="24"/>
          <w:szCs w:val="24"/>
        </w:rPr>
        <w:t>Saravaiya</w:t>
      </w:r>
      <w:proofErr w:type="spellEnd"/>
      <w:r w:rsidRPr="00DC3BA9">
        <w:rPr>
          <w:rFonts w:ascii="Times New Roman" w:hAnsi="Times New Roman" w:cs="Times New Roman"/>
          <w:sz w:val="24"/>
          <w:szCs w:val="24"/>
        </w:rPr>
        <w:t xml:space="preserve">, S.N., Patil, S.J., Raj, D., Suthar, H., &amp; </w:t>
      </w:r>
      <w:proofErr w:type="spellStart"/>
      <w:r w:rsidRPr="00DC3BA9">
        <w:rPr>
          <w:rFonts w:ascii="Times New Roman" w:hAnsi="Times New Roman" w:cs="Times New Roman"/>
          <w:sz w:val="24"/>
          <w:szCs w:val="24"/>
        </w:rPr>
        <w:t>Bhanderi</w:t>
      </w:r>
      <w:proofErr w:type="spellEnd"/>
      <w:r w:rsidRPr="00DC3BA9">
        <w:rPr>
          <w:rFonts w:ascii="Times New Roman" w:hAnsi="Times New Roman" w:cs="Times New Roman"/>
          <w:sz w:val="24"/>
          <w:szCs w:val="24"/>
        </w:rPr>
        <w:t xml:space="preserve">, D.R. (2018). Response of Cluster Bean to Foliar Application of PGRs on Biochemical Parameters. </w:t>
      </w:r>
      <w:r w:rsidRPr="00DC3BA9">
        <w:rPr>
          <w:rFonts w:ascii="Times New Roman" w:hAnsi="Times New Roman" w:cs="Times New Roman"/>
          <w:sz w:val="24"/>
          <w:szCs w:val="24"/>
        </w:rPr>
        <w:lastRenderedPageBreak/>
        <w:t xml:space="preserve">International Journal of Pure and Applied Bioscience, 6(2), 1494-1498. </w:t>
      </w:r>
      <w:hyperlink r:id="rId17" w:history="1">
        <w:r w:rsidRPr="00C533ED">
          <w:rPr>
            <w:rStyle w:val="Hyperlink"/>
            <w:rFonts w:ascii="Times New Roman" w:hAnsi="Times New Roman" w:cs="Times New Roman"/>
            <w:sz w:val="24"/>
            <w:szCs w:val="24"/>
          </w:rPr>
          <w:t>https://doi.org/10.18782/2320-7051.6482</w:t>
        </w:r>
      </w:hyperlink>
    </w:p>
    <w:p w14:paraId="334D9B8F" w14:textId="0E859F78"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Solanke, A. P., Pawar, G. S., </w:t>
      </w:r>
      <w:proofErr w:type="spellStart"/>
      <w:r w:rsidRPr="00DC3BA9">
        <w:rPr>
          <w:rFonts w:ascii="Times New Roman" w:hAnsi="Times New Roman" w:cs="Times New Roman"/>
          <w:sz w:val="24"/>
          <w:szCs w:val="24"/>
        </w:rPr>
        <w:t>Dhadge</w:t>
      </w:r>
      <w:proofErr w:type="spellEnd"/>
      <w:r w:rsidRPr="00DC3BA9">
        <w:rPr>
          <w:rFonts w:ascii="Times New Roman" w:hAnsi="Times New Roman" w:cs="Times New Roman"/>
          <w:sz w:val="24"/>
          <w:szCs w:val="24"/>
        </w:rPr>
        <w:t xml:space="preserve">, S. R., &amp; Kamble, B. G. (2018). Effect of plant growth regulators on growth and yield of soybean (Glycine max. (L.) Merrill.) applied at different stages. International Journal of Chemical Studies, 6(5), 2962-2966. </w:t>
      </w:r>
      <w:hyperlink r:id="rId18" w:history="1">
        <w:r w:rsidRPr="00C533ED">
          <w:rPr>
            <w:rStyle w:val="Hyperlink"/>
            <w:rFonts w:ascii="Times New Roman" w:hAnsi="Times New Roman" w:cs="Times New Roman"/>
            <w:sz w:val="24"/>
            <w:szCs w:val="24"/>
          </w:rPr>
          <w:t>https://www.chemijournal.com/</w:t>
        </w:r>
      </w:hyperlink>
    </w:p>
    <w:p w14:paraId="4BF8E68D" w14:textId="628DD07E" w:rsidR="00DC3BA9" w:rsidRDefault="00DC3BA9" w:rsidP="00DC3BA9">
      <w:pPr>
        <w:spacing w:line="360" w:lineRule="auto"/>
        <w:jc w:val="both"/>
        <w:rPr>
          <w:rFonts w:ascii="Times New Roman" w:hAnsi="Times New Roman" w:cs="Times New Roman"/>
          <w:sz w:val="24"/>
          <w:szCs w:val="24"/>
        </w:rPr>
      </w:pPr>
      <w:proofErr w:type="spellStart"/>
      <w:r w:rsidRPr="00DC3BA9">
        <w:rPr>
          <w:rFonts w:ascii="Times New Roman" w:hAnsi="Times New Roman" w:cs="Times New Roman"/>
          <w:sz w:val="24"/>
          <w:szCs w:val="24"/>
        </w:rPr>
        <w:t>Bhadane</w:t>
      </w:r>
      <w:proofErr w:type="spellEnd"/>
      <w:r w:rsidRPr="00DC3BA9">
        <w:rPr>
          <w:rFonts w:ascii="Times New Roman" w:hAnsi="Times New Roman" w:cs="Times New Roman"/>
          <w:sz w:val="24"/>
          <w:szCs w:val="24"/>
        </w:rPr>
        <w:t xml:space="preserve">, R.S., Prajapati, K.R., </w:t>
      </w:r>
      <w:proofErr w:type="spellStart"/>
      <w:r w:rsidRPr="00DC3BA9">
        <w:rPr>
          <w:rFonts w:ascii="Times New Roman" w:hAnsi="Times New Roman" w:cs="Times New Roman"/>
          <w:sz w:val="24"/>
          <w:szCs w:val="24"/>
        </w:rPr>
        <w:t>Ombase</w:t>
      </w:r>
      <w:proofErr w:type="spellEnd"/>
      <w:r w:rsidRPr="00DC3BA9">
        <w:rPr>
          <w:rFonts w:ascii="Times New Roman" w:hAnsi="Times New Roman" w:cs="Times New Roman"/>
          <w:sz w:val="24"/>
          <w:szCs w:val="24"/>
        </w:rPr>
        <w:t xml:space="preserve">, K.C., &amp; Patel, D.B. (2022). Effect of Seed Priming and Foliar Spraying of PGRs on Morpho-Physiology, Growth and Yield in Green gram (Vigna radiata L.). Legume Research - An International Journal, 45(4), 435-444. </w:t>
      </w:r>
      <w:hyperlink r:id="rId19" w:history="1">
        <w:r w:rsidRPr="00C533ED">
          <w:rPr>
            <w:rStyle w:val="Hyperlink"/>
            <w:rFonts w:ascii="Times New Roman" w:hAnsi="Times New Roman" w:cs="Times New Roman"/>
            <w:sz w:val="24"/>
            <w:szCs w:val="24"/>
          </w:rPr>
          <w:t>https://doi.org/10.18805/LR-4434</w:t>
        </w:r>
      </w:hyperlink>
    </w:p>
    <w:p w14:paraId="4B3DF6C3" w14:textId="4DD858E7" w:rsidR="00DC3BA9" w:rsidRDefault="00DC3BA9">
      <w:r w:rsidRPr="00DC3BA9">
        <w:rPr>
          <w:rFonts w:ascii="Times New Roman" w:hAnsi="Times New Roman" w:cs="Times New Roman"/>
          <w:sz w:val="24"/>
          <w:szCs w:val="24"/>
        </w:rPr>
        <w:t xml:space="preserve">Rathod, R. R., Gore, R. V., &amp; </w:t>
      </w:r>
      <w:proofErr w:type="spellStart"/>
      <w:r w:rsidRPr="00DC3BA9">
        <w:rPr>
          <w:rFonts w:ascii="Times New Roman" w:hAnsi="Times New Roman" w:cs="Times New Roman"/>
          <w:sz w:val="24"/>
          <w:szCs w:val="24"/>
        </w:rPr>
        <w:t>Bothikar</w:t>
      </w:r>
      <w:proofErr w:type="spellEnd"/>
      <w:r w:rsidRPr="00DC3BA9">
        <w:rPr>
          <w:rFonts w:ascii="Times New Roman" w:hAnsi="Times New Roman" w:cs="Times New Roman"/>
          <w:sz w:val="24"/>
          <w:szCs w:val="24"/>
        </w:rPr>
        <w:t xml:space="preserve">, P. A. (2015). Effect of Growth Regulators on Growth and Yield of French bean (Phaseolus vulgaris L.) Var. Arka Komal. IOSR Journal of Agriculture and Veterinary Science, 8(5), 36-39. </w:t>
      </w:r>
      <w:hyperlink r:id="rId20" w:history="1">
        <w:r w:rsidRPr="00C533ED">
          <w:rPr>
            <w:rStyle w:val="Hyperlink"/>
            <w:rFonts w:ascii="Times New Roman" w:hAnsi="Times New Roman" w:cs="Times New Roman"/>
            <w:sz w:val="24"/>
            <w:szCs w:val="24"/>
          </w:rPr>
          <w:t>https://doi.org/10.9790/2380-08513639</w:t>
        </w:r>
      </w:hyperlink>
    </w:p>
    <w:p w14:paraId="10F0D59C" w14:textId="2BB2A045" w:rsidR="00277AD0" w:rsidRDefault="00277AD0" w:rsidP="00277AD0">
      <w:pPr>
        <w:pStyle w:val="NormalWeb"/>
      </w:pPr>
      <w:r w:rsidRPr="00277AD0">
        <w:t xml:space="preserve">Alan Dev, J. P., &amp; Dawson, J. (2023). Influence of </w:t>
      </w:r>
      <w:proofErr w:type="spellStart"/>
      <w:r w:rsidRPr="00277AD0">
        <w:t>sulphur</w:t>
      </w:r>
      <w:proofErr w:type="spellEnd"/>
      <w:r w:rsidRPr="00277AD0">
        <w:t xml:space="preserve"> and gibberellic acid on growth and yield of cluster bean (Cyamopsis </w:t>
      </w:r>
      <w:proofErr w:type="spellStart"/>
      <w:r w:rsidRPr="00277AD0">
        <w:t>tetragonoloba</w:t>
      </w:r>
      <w:proofErr w:type="spellEnd"/>
      <w:r w:rsidRPr="00277AD0">
        <w:t xml:space="preserve"> L.). International Journal of Environment and Climate Change, 13(9), 2946–2950. </w:t>
      </w:r>
      <w:hyperlink r:id="rId21" w:history="1">
        <w:r w:rsidR="00417109" w:rsidRPr="002005F5">
          <w:rPr>
            <w:rStyle w:val="Hyperlink"/>
          </w:rPr>
          <w:t>https://</w:t>
        </w:r>
        <w:r w:rsidR="00417109" w:rsidRPr="002005F5">
          <w:rPr>
            <w:rStyle w:val="Hyperlink"/>
          </w:rPr>
          <w:t>doi:10.9734/ijecc/2023/v13i92533</w:t>
        </w:r>
      </w:hyperlink>
      <w:r w:rsidR="00417109">
        <w:t xml:space="preserve">  </w:t>
      </w:r>
    </w:p>
    <w:p w14:paraId="5324C3ED" w14:textId="13FE9ACB" w:rsidR="00277AD0" w:rsidRDefault="00277AD0" w:rsidP="00277AD0">
      <w:pPr>
        <w:pStyle w:val="NormalWeb"/>
      </w:pPr>
      <w:r>
        <w:t xml:space="preserve">Dun, E. A., Ferguson, B. J., &amp; Beveridge, C. A. (2006). Apical dominance and shoot branching: Divergent opinions or divergent mechanisms? </w:t>
      </w:r>
      <w:r>
        <w:rPr>
          <w:rStyle w:val="Emphasis"/>
        </w:rPr>
        <w:t>Plant Physiology, 142</w:t>
      </w:r>
      <w:r>
        <w:t xml:space="preserve">(3), 812–819. </w:t>
      </w:r>
      <w:hyperlink r:id="rId22" w:history="1">
        <w:r w:rsidR="00417109" w:rsidRPr="002005F5">
          <w:rPr>
            <w:rStyle w:val="Hyperlink"/>
          </w:rPr>
          <w:t>https://doi.org/10.1104/pp.106.086868</w:t>
        </w:r>
      </w:hyperlink>
      <w:r w:rsidR="00417109">
        <w:t xml:space="preserve"> </w:t>
      </w:r>
      <w:r>
        <w:t xml:space="preserve"> </w:t>
      </w:r>
    </w:p>
    <w:p w14:paraId="56793323" w14:textId="157171B5" w:rsidR="00277AD0" w:rsidRDefault="00277AD0" w:rsidP="00277AD0">
      <w:pPr>
        <w:pStyle w:val="NormalWeb"/>
      </w:pPr>
      <w:r>
        <w:t xml:space="preserve">Leyser, O. (2003). Regulation of shoot branching by auxin. </w:t>
      </w:r>
      <w:r>
        <w:rPr>
          <w:rStyle w:val="Emphasis"/>
        </w:rPr>
        <w:t>Trends in Plant Science, 8</w:t>
      </w:r>
      <w:r>
        <w:t xml:space="preserve">(11), 541–545. </w:t>
      </w:r>
      <w:hyperlink r:id="rId23" w:history="1">
        <w:r w:rsidR="00417109" w:rsidRPr="002005F5">
          <w:rPr>
            <w:rStyle w:val="Hyperlink"/>
          </w:rPr>
          <w:t>https://doi.org/10.1016/j.tplants.2003.09.008</w:t>
        </w:r>
      </w:hyperlink>
      <w:r w:rsidR="00417109">
        <w:t xml:space="preserve"> </w:t>
      </w:r>
      <w:r>
        <w:t xml:space="preserve"> </w:t>
      </w:r>
    </w:p>
    <w:p w14:paraId="5E79C1B6" w14:textId="1FCD5413" w:rsidR="00277AD0" w:rsidRDefault="00277AD0" w:rsidP="00277AD0">
      <w:pPr>
        <w:pStyle w:val="NormalWeb"/>
      </w:pPr>
      <w:r>
        <w:t xml:space="preserve">Olszewski, N., Sun, T.-P., &amp; Gubler, F. (2002). Gibberellin signaling: Biosynthesis, catabolism, and response pathways. </w:t>
      </w:r>
      <w:r>
        <w:rPr>
          <w:rStyle w:val="Emphasis"/>
        </w:rPr>
        <w:t>The Plant Cell, 14</w:t>
      </w:r>
      <w:r>
        <w:t xml:space="preserve">(Suppl), S61–S80. </w:t>
      </w:r>
      <w:hyperlink r:id="rId24" w:history="1">
        <w:r w:rsidR="00417109" w:rsidRPr="002005F5">
          <w:rPr>
            <w:rStyle w:val="Hyperlink"/>
          </w:rPr>
          <w:t>https://doi.org/10.1105/tpc.010476</w:t>
        </w:r>
      </w:hyperlink>
      <w:r w:rsidR="00417109">
        <w:t xml:space="preserve"> </w:t>
      </w:r>
      <w:r>
        <w:t xml:space="preserve"> </w:t>
      </w:r>
      <w:r w:rsidR="00417109">
        <w:t xml:space="preserve"> </w:t>
      </w:r>
    </w:p>
    <w:p w14:paraId="24D7D7D3" w14:textId="2F2E6F3B" w:rsidR="00277AD0" w:rsidRDefault="00277AD0" w:rsidP="00277AD0">
      <w:pPr>
        <w:pStyle w:val="NormalWeb"/>
      </w:pPr>
      <w:r>
        <w:t xml:space="preserve">Rademacher, W. (2000). Growth retardants: Effects on gibberellin biosynthesis and other metabolic pathways. </w:t>
      </w:r>
      <w:r>
        <w:rPr>
          <w:rStyle w:val="Emphasis"/>
        </w:rPr>
        <w:t>Annual Review of Plant Physiology and Plant Molecular Biology, 51</w:t>
      </w:r>
      <w:r>
        <w:t xml:space="preserve">, 501–531. </w:t>
      </w:r>
      <w:hyperlink r:id="rId25" w:history="1">
        <w:r w:rsidR="00417109" w:rsidRPr="002005F5">
          <w:rPr>
            <w:rStyle w:val="Hyperlink"/>
          </w:rPr>
          <w:t>https://doi.org/10.1146/annurev.arplant.51.1.501</w:t>
        </w:r>
      </w:hyperlink>
      <w:r w:rsidR="00417109">
        <w:t xml:space="preserve"> </w:t>
      </w:r>
      <w:r>
        <w:t xml:space="preserve"> </w:t>
      </w:r>
    </w:p>
    <w:p w14:paraId="7FC3977E" w14:textId="32718D7D" w:rsidR="00AB344C" w:rsidRDefault="00277AD0" w:rsidP="00277AD0">
      <w:pPr>
        <w:pStyle w:val="NormalWeb"/>
      </w:pPr>
      <w:r>
        <w:t xml:space="preserve">Shimizu-Sato, S., Tanaka, M., &amp; Mori, H. (2009). Auxin–cytokinin interactions in the control of shoot branching. </w:t>
      </w:r>
      <w:r>
        <w:rPr>
          <w:rStyle w:val="Emphasis"/>
        </w:rPr>
        <w:t>Plant Molecular Biology, 69</w:t>
      </w:r>
      <w:r>
        <w:t xml:space="preserve">(4), 429–435. </w:t>
      </w:r>
      <w:hyperlink r:id="rId26" w:history="1">
        <w:r w:rsidR="00AB344C" w:rsidRPr="00971341">
          <w:rPr>
            <w:rStyle w:val="Hyperlink"/>
          </w:rPr>
          <w:t>https://doi.org/10.1007/s11103-008-9416-3</w:t>
        </w:r>
      </w:hyperlink>
    </w:p>
    <w:p w14:paraId="29E3022B" w14:textId="5FDD89F5" w:rsidR="00AB344C" w:rsidRDefault="00AB344C" w:rsidP="00AB344C">
      <w:pPr>
        <w:pStyle w:val="NormalWeb"/>
      </w:pPr>
      <w:r>
        <w:t xml:space="preserve">Deshmukh, M. P., Dharmik, Y. B., </w:t>
      </w:r>
      <w:proofErr w:type="spellStart"/>
      <w:r>
        <w:t>Baviskar</w:t>
      </w:r>
      <w:proofErr w:type="spellEnd"/>
      <w:r>
        <w:t xml:space="preserve">, S. B., Thakre, S. A., </w:t>
      </w:r>
      <w:proofErr w:type="spellStart"/>
      <w:r>
        <w:t>Dhembare</w:t>
      </w:r>
      <w:proofErr w:type="spellEnd"/>
      <w:r>
        <w:t xml:space="preserve">, A. C., Otari, B. V., &amp; </w:t>
      </w:r>
      <w:proofErr w:type="spellStart"/>
      <w:r>
        <w:t>Yeul</w:t>
      </w:r>
      <w:proofErr w:type="spellEnd"/>
      <w:r>
        <w:t xml:space="preserve">, R. D. (2024). Effect of plant growth regulators on growth, yield and quality of cluster bean. </w:t>
      </w:r>
      <w:r>
        <w:rPr>
          <w:rStyle w:val="Emphasis"/>
        </w:rPr>
        <w:t>International Journal of Advanced Biochemistry Research, 8</w:t>
      </w:r>
      <w:r>
        <w:t xml:space="preserve">(10S), 387–392. </w:t>
      </w:r>
      <w:hyperlink r:id="rId27" w:tgtFrame="_new" w:history="1">
        <w:r>
          <w:rPr>
            <w:rStyle w:val="Hyperlink"/>
          </w:rPr>
          <w:t>https://doi.org/10.33545/26174693.2024.v8.i10Se.2473</w:t>
        </w:r>
      </w:hyperlink>
      <w:r>
        <w:t xml:space="preserve"> </w:t>
      </w:r>
    </w:p>
    <w:p w14:paraId="04D6EF96" w14:textId="02CD799F" w:rsidR="00AB344C" w:rsidRDefault="00AB344C" w:rsidP="00AB344C">
      <w:pPr>
        <w:pStyle w:val="NormalWeb"/>
      </w:pPr>
      <w:r>
        <w:lastRenderedPageBreak/>
        <w:t xml:space="preserve">Meena, H., Meena, R. S., Lal, R., Yadav, G. S., Mitran, T., </w:t>
      </w:r>
      <w:proofErr w:type="spellStart"/>
      <w:r>
        <w:t>Layek</w:t>
      </w:r>
      <w:proofErr w:type="spellEnd"/>
      <w:r>
        <w:t xml:space="preserve">, J., Patil, S. B., Kumar, S., &amp; Verma, T. (2018). Response of sowing dates and bio regulators on yield of </w:t>
      </w:r>
      <w:proofErr w:type="spellStart"/>
      <w:r>
        <w:t>clusterbean</w:t>
      </w:r>
      <w:proofErr w:type="spellEnd"/>
      <w:r>
        <w:t xml:space="preserve"> under current climate in alley cropping system in eastern U.P., India. </w:t>
      </w:r>
      <w:r>
        <w:rPr>
          <w:rStyle w:val="Emphasis"/>
        </w:rPr>
        <w:t>Legume Research, 41</w:t>
      </w:r>
      <w:r>
        <w:t xml:space="preserve">(4), 563–571. </w:t>
      </w:r>
      <w:hyperlink r:id="rId28" w:history="1">
        <w:r w:rsidR="00417109" w:rsidRPr="002005F5">
          <w:rPr>
            <w:rStyle w:val="Hyperlink"/>
          </w:rPr>
          <w:t>https://doi.org/10.18805/LR-3759</w:t>
        </w:r>
      </w:hyperlink>
      <w:r w:rsidR="00417109">
        <w:t xml:space="preserve"> </w:t>
      </w:r>
      <w:r>
        <w:t xml:space="preserve"> </w:t>
      </w:r>
    </w:p>
    <w:p w14:paraId="150C742E" w14:textId="72B6FF86" w:rsidR="00AB344C" w:rsidRDefault="00AB344C" w:rsidP="00AB344C">
      <w:pPr>
        <w:pStyle w:val="NormalWeb"/>
      </w:pPr>
      <w:r>
        <w:t xml:space="preserve">Meena, V. K., Kaushik, M. K., Kumar, R., Meena, B. L., Meena, B. P., Kumar, R., Kumar, U., &amp; Kumar, S. (2016). Influence of growth regulators on nutrient concentrations, nutrient uptake and quality parameters of cluster bean varieties. </w:t>
      </w:r>
      <w:r>
        <w:rPr>
          <w:rStyle w:val="Emphasis"/>
        </w:rPr>
        <w:t>Legume Research, 39</w:t>
      </w:r>
      <w:r>
        <w:t xml:space="preserve">(5), 797–801. </w:t>
      </w:r>
      <w:hyperlink r:id="rId29" w:history="1">
        <w:r w:rsidR="00417109" w:rsidRPr="002005F5">
          <w:rPr>
            <w:rStyle w:val="Hyperlink"/>
          </w:rPr>
          <w:t>https://doi.org/10.18805/lr.v0iOF.3764</w:t>
        </w:r>
      </w:hyperlink>
      <w:r w:rsidR="00417109">
        <w:t xml:space="preserve"> </w:t>
      </w:r>
      <w:r>
        <w:t xml:space="preserve"> </w:t>
      </w:r>
    </w:p>
    <w:p w14:paraId="411B3C82" w14:textId="6EC6E6AF" w:rsidR="00AB344C" w:rsidRDefault="00AB344C" w:rsidP="00277AD0">
      <w:pPr>
        <w:pStyle w:val="NormalWeb"/>
      </w:pPr>
      <w:proofErr w:type="spellStart"/>
      <w:r>
        <w:t>PirastehAnosheh</w:t>
      </w:r>
      <w:proofErr w:type="spellEnd"/>
      <w:r>
        <w:t xml:space="preserve">, H., Emam, Y., &amp; Khaliq, A. (2016). Response of cereals to </w:t>
      </w:r>
      <w:proofErr w:type="spellStart"/>
      <w:r>
        <w:t>cycocel</w:t>
      </w:r>
      <w:proofErr w:type="spellEnd"/>
      <w:r>
        <w:t xml:space="preserve"> application (Review article). </w:t>
      </w:r>
      <w:r>
        <w:rPr>
          <w:rStyle w:val="Emphasis"/>
        </w:rPr>
        <w:t>Iranian Journal of Agronomy and Plant Breeding (IAR)</w:t>
      </w:r>
      <w:r>
        <w:t xml:space="preserve">. </w:t>
      </w:r>
      <w:hyperlink r:id="rId30" w:history="1">
        <w:r w:rsidR="00417109" w:rsidRPr="002005F5">
          <w:rPr>
            <w:rStyle w:val="Hyperlink"/>
          </w:rPr>
          <w:t>https://doi.org/10.22099/iar.2016.3652</w:t>
        </w:r>
      </w:hyperlink>
      <w:r w:rsidR="00417109">
        <w:t xml:space="preserve"> </w:t>
      </w:r>
    </w:p>
    <w:p w14:paraId="76E4255E" w14:textId="686665E4" w:rsidR="00AB344C" w:rsidRPr="00AB344C" w:rsidRDefault="00AB344C" w:rsidP="00AB344C">
      <w:pPr>
        <w:rPr>
          <w:rFonts w:ascii="Times New Roman" w:hAnsi="Times New Roman" w:cs="Times New Roman"/>
          <w:sz w:val="24"/>
          <w:szCs w:val="24"/>
        </w:rPr>
      </w:pPr>
      <w:r w:rsidRPr="00AB344C">
        <w:rPr>
          <w:rFonts w:ascii="Times New Roman" w:hAnsi="Times New Roman" w:cs="Times New Roman"/>
          <w:sz w:val="24"/>
          <w:szCs w:val="24"/>
        </w:rPr>
        <w:t xml:space="preserve">Juliano, B. O., Antonio, A. A., &amp; </w:t>
      </w:r>
      <w:proofErr w:type="spellStart"/>
      <w:r w:rsidRPr="00AB344C">
        <w:rPr>
          <w:rFonts w:ascii="Times New Roman" w:hAnsi="Times New Roman" w:cs="Times New Roman"/>
          <w:sz w:val="24"/>
          <w:szCs w:val="24"/>
        </w:rPr>
        <w:t>Esmama</w:t>
      </w:r>
      <w:proofErr w:type="spellEnd"/>
      <w:r w:rsidRPr="00AB344C">
        <w:rPr>
          <w:rFonts w:ascii="Times New Roman" w:hAnsi="Times New Roman" w:cs="Times New Roman"/>
          <w:sz w:val="24"/>
          <w:szCs w:val="24"/>
        </w:rPr>
        <w:t xml:space="preserve">, B. V. (1973). Effects of protein content on the distribution and properties of rice protein. Journal of the Science of Food and Agriculture, 24(3), 295–306. </w:t>
      </w:r>
      <w:hyperlink r:id="rId31" w:history="1">
        <w:r w:rsidR="00417109" w:rsidRPr="002005F5">
          <w:rPr>
            <w:rStyle w:val="Hyperlink"/>
            <w:rFonts w:ascii="Times New Roman" w:hAnsi="Times New Roman" w:cs="Times New Roman"/>
            <w:sz w:val="24"/>
            <w:szCs w:val="24"/>
          </w:rPr>
          <w:t>https://</w:t>
        </w:r>
        <w:r w:rsidR="00417109" w:rsidRPr="002005F5">
          <w:rPr>
            <w:rStyle w:val="Hyperlink"/>
            <w:rFonts w:ascii="Times New Roman" w:hAnsi="Times New Roman" w:cs="Times New Roman"/>
            <w:sz w:val="24"/>
            <w:szCs w:val="24"/>
          </w:rPr>
          <w:t>doi:10.1002/jsfa.2740240306</w:t>
        </w:r>
      </w:hyperlink>
      <w:r w:rsidR="00417109">
        <w:rPr>
          <w:rFonts w:ascii="Times New Roman" w:hAnsi="Times New Roman" w:cs="Times New Roman"/>
          <w:sz w:val="24"/>
          <w:szCs w:val="24"/>
        </w:rPr>
        <w:t xml:space="preserve">  </w:t>
      </w:r>
      <w:r w:rsidRPr="00AB344C">
        <w:rPr>
          <w:rFonts w:ascii="Times New Roman" w:hAnsi="Times New Roman" w:cs="Times New Roman"/>
          <w:sz w:val="24"/>
          <w:szCs w:val="24"/>
        </w:rPr>
        <w:t xml:space="preserve"> </w:t>
      </w:r>
    </w:p>
    <w:p w14:paraId="48E82787" w14:textId="6D0371D7" w:rsidR="00AB344C" w:rsidRPr="00AB344C" w:rsidRDefault="00AB344C" w:rsidP="00AB344C">
      <w:pPr>
        <w:rPr>
          <w:rFonts w:ascii="Times New Roman" w:hAnsi="Times New Roman" w:cs="Times New Roman"/>
          <w:sz w:val="24"/>
          <w:szCs w:val="24"/>
        </w:rPr>
      </w:pPr>
      <w:r w:rsidRPr="00AB344C">
        <w:rPr>
          <w:rFonts w:ascii="Times New Roman" w:hAnsi="Times New Roman" w:cs="Times New Roman"/>
          <w:sz w:val="24"/>
          <w:szCs w:val="24"/>
        </w:rPr>
        <w:t xml:space="preserve">Prasad, S., &amp; Shukla, D. N. (1991). Effect of nitrogen and </w:t>
      </w:r>
      <w:proofErr w:type="spellStart"/>
      <w:r w:rsidRPr="00AB344C">
        <w:rPr>
          <w:rFonts w:ascii="Times New Roman" w:hAnsi="Times New Roman" w:cs="Times New Roman"/>
          <w:sz w:val="24"/>
          <w:szCs w:val="24"/>
        </w:rPr>
        <w:t>chlormequat</w:t>
      </w:r>
      <w:proofErr w:type="spellEnd"/>
      <w:r w:rsidRPr="00AB344C">
        <w:rPr>
          <w:rFonts w:ascii="Times New Roman" w:hAnsi="Times New Roman" w:cs="Times New Roman"/>
          <w:sz w:val="24"/>
          <w:szCs w:val="24"/>
        </w:rPr>
        <w:t xml:space="preserve"> chloride on the seed yield and oil content of mustard (Brassica juncea L. </w:t>
      </w:r>
      <w:proofErr w:type="spellStart"/>
      <w:r w:rsidRPr="00AB344C">
        <w:rPr>
          <w:rFonts w:ascii="Times New Roman" w:hAnsi="Times New Roman" w:cs="Times New Roman"/>
          <w:sz w:val="24"/>
          <w:szCs w:val="24"/>
        </w:rPr>
        <w:t>Czern</w:t>
      </w:r>
      <w:proofErr w:type="spellEnd"/>
      <w:r w:rsidRPr="00AB344C">
        <w:rPr>
          <w:rFonts w:ascii="Times New Roman" w:hAnsi="Times New Roman" w:cs="Times New Roman"/>
          <w:sz w:val="24"/>
          <w:szCs w:val="24"/>
        </w:rPr>
        <w:t xml:space="preserve"> &amp; Coss). Plant Growth Regulation, 10(3), 185–195. </w:t>
      </w:r>
      <w:hyperlink r:id="rId32" w:history="1">
        <w:r w:rsidR="00417109" w:rsidRPr="002005F5">
          <w:rPr>
            <w:rStyle w:val="Hyperlink"/>
            <w:rFonts w:ascii="Times New Roman" w:hAnsi="Times New Roman" w:cs="Times New Roman"/>
            <w:sz w:val="24"/>
            <w:szCs w:val="24"/>
          </w:rPr>
          <w:t>https://</w:t>
        </w:r>
        <w:r w:rsidR="00417109" w:rsidRPr="002005F5">
          <w:rPr>
            <w:rStyle w:val="Hyperlink"/>
            <w:rFonts w:ascii="Times New Roman" w:hAnsi="Times New Roman" w:cs="Times New Roman"/>
            <w:sz w:val="24"/>
            <w:szCs w:val="24"/>
          </w:rPr>
          <w:t>doi:10.1007/BF00024409</w:t>
        </w:r>
      </w:hyperlink>
      <w:r w:rsidR="00417109">
        <w:rPr>
          <w:rFonts w:ascii="Times New Roman" w:hAnsi="Times New Roman" w:cs="Times New Roman"/>
          <w:sz w:val="24"/>
          <w:szCs w:val="24"/>
        </w:rPr>
        <w:t xml:space="preserve">  </w:t>
      </w:r>
    </w:p>
    <w:p w14:paraId="04178F66" w14:textId="33C91304" w:rsidR="00277AD0" w:rsidRDefault="00AB344C" w:rsidP="00AB344C">
      <w:pPr>
        <w:rPr>
          <w:rFonts w:ascii="Times New Roman" w:hAnsi="Times New Roman" w:cs="Times New Roman"/>
          <w:sz w:val="24"/>
          <w:szCs w:val="24"/>
        </w:rPr>
      </w:pPr>
      <w:r w:rsidRPr="00AB344C">
        <w:rPr>
          <w:rFonts w:ascii="Times New Roman" w:hAnsi="Times New Roman" w:cs="Times New Roman"/>
          <w:sz w:val="24"/>
          <w:szCs w:val="24"/>
        </w:rPr>
        <w:t xml:space="preserve">Rademacher, W. (2000). Growth retardants: Effects on gibberellin biosynthesis and other metabolic pathways. Annual Review of Plant Biology, 51, 501–531. </w:t>
      </w:r>
      <w:hyperlink r:id="rId33" w:history="1">
        <w:r w:rsidR="00417109" w:rsidRPr="002005F5">
          <w:rPr>
            <w:rStyle w:val="Hyperlink"/>
            <w:rFonts w:ascii="Times New Roman" w:hAnsi="Times New Roman" w:cs="Times New Roman"/>
            <w:sz w:val="24"/>
            <w:szCs w:val="24"/>
          </w:rPr>
          <w:t>https://</w:t>
        </w:r>
        <w:r w:rsidR="00417109" w:rsidRPr="002005F5">
          <w:rPr>
            <w:rStyle w:val="Hyperlink"/>
            <w:rFonts w:ascii="Times New Roman" w:hAnsi="Times New Roman" w:cs="Times New Roman"/>
            <w:sz w:val="24"/>
            <w:szCs w:val="24"/>
          </w:rPr>
          <w:t>doi:10.1146/annurev.arplant.51.1.501</w:t>
        </w:r>
      </w:hyperlink>
      <w:r w:rsidR="00417109">
        <w:rPr>
          <w:rFonts w:ascii="Times New Roman" w:hAnsi="Times New Roman" w:cs="Times New Roman"/>
          <w:sz w:val="24"/>
          <w:szCs w:val="24"/>
        </w:rPr>
        <w:t xml:space="preserve"> </w:t>
      </w:r>
    </w:p>
    <w:p w14:paraId="1A6E212D" w14:textId="3C134B56" w:rsidR="00FB290C" w:rsidRPr="002E07E0" w:rsidRDefault="00FB290C">
      <w:pPr>
        <w:rPr>
          <w:rFonts w:ascii="Times New Roman" w:eastAsia="Times New Roman" w:hAnsi="Times New Roman" w:cs="Times New Roman"/>
          <w:b/>
          <w:bCs/>
          <w:i/>
          <w:iCs/>
          <w:sz w:val="24"/>
          <w:szCs w:val="24"/>
          <w:lang w:val="en-US" w:bidi="ar-SA"/>
        </w:rPr>
      </w:pPr>
      <w:r w:rsidRPr="002E07E0">
        <w:rPr>
          <w:rFonts w:ascii="Times New Roman" w:hAnsi="Times New Roman" w:cs="Times New Roman"/>
          <w:b/>
          <w:bCs/>
          <w:i/>
          <w:iCs/>
          <w:sz w:val="24"/>
          <w:szCs w:val="24"/>
        </w:rPr>
        <w:br w:type="page"/>
      </w:r>
    </w:p>
    <w:p w14:paraId="0DFB6CBB" w14:textId="77777777" w:rsidR="00E54ADA" w:rsidRPr="002E07E0" w:rsidRDefault="00E54ADA" w:rsidP="00FB290C">
      <w:pPr>
        <w:pStyle w:val="BodyText"/>
        <w:spacing w:line="360" w:lineRule="auto"/>
        <w:ind w:right="27"/>
        <w:rPr>
          <w:b/>
          <w:bCs/>
          <w:i/>
          <w:iCs/>
        </w:rPr>
        <w:sectPr w:rsidR="00E54ADA" w:rsidRPr="002E07E0" w:rsidSect="00BD63C8">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pPr>
    </w:p>
    <w:p w14:paraId="0186E9F3" w14:textId="77777777" w:rsidR="00FB290C" w:rsidRPr="002E07E0" w:rsidRDefault="00D13728" w:rsidP="00FB290C">
      <w:pPr>
        <w:pStyle w:val="BodyText"/>
        <w:spacing w:line="360" w:lineRule="auto"/>
        <w:ind w:right="27"/>
        <w:rPr>
          <w:b/>
          <w:bCs/>
        </w:rPr>
      </w:pPr>
      <w:r w:rsidRPr="002E07E0">
        <w:rPr>
          <w:b/>
          <w:bCs/>
          <w:i/>
          <w:iCs/>
        </w:rPr>
        <w:lastRenderedPageBreak/>
        <w:t xml:space="preserve"> </w:t>
      </w:r>
      <w:r w:rsidR="00E54ADA" w:rsidRPr="002E07E0">
        <w:rPr>
          <w:b/>
          <w:bCs/>
        </w:rPr>
        <w:t xml:space="preserve">Table </w:t>
      </w:r>
      <w:r w:rsidR="00FB290C" w:rsidRPr="002E07E0">
        <w:rPr>
          <w:b/>
          <w:bCs/>
        </w:rPr>
        <w:t xml:space="preserve">1 Effect of plant growth regulators on growth </w:t>
      </w:r>
      <w:r w:rsidR="002E07E0" w:rsidRPr="002E07E0">
        <w:rPr>
          <w:b/>
          <w:bCs/>
        </w:rPr>
        <w:t>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1"/>
        <w:gridCol w:w="2767"/>
        <w:gridCol w:w="1442"/>
        <w:gridCol w:w="1438"/>
        <w:gridCol w:w="1621"/>
        <w:gridCol w:w="1795"/>
        <w:gridCol w:w="1810"/>
        <w:gridCol w:w="1807"/>
      </w:tblGrid>
      <w:tr w:rsidR="007B25DE" w:rsidRPr="002E07E0" w14:paraId="03F987E7" w14:textId="77777777" w:rsidTr="008E747A">
        <w:trPr>
          <w:trHeight w:val="497"/>
        </w:trPr>
        <w:tc>
          <w:tcPr>
            <w:tcW w:w="494" w:type="pct"/>
            <w:vMerge w:val="restart"/>
            <w:tcMar>
              <w:top w:w="15" w:type="dxa"/>
              <w:left w:w="108" w:type="dxa"/>
              <w:bottom w:w="0" w:type="dxa"/>
              <w:right w:w="108" w:type="dxa"/>
            </w:tcMar>
            <w:vAlign w:val="center"/>
            <w:hideMark/>
          </w:tcPr>
          <w:p w14:paraId="2FC9C29B" w14:textId="77777777" w:rsidR="007B25DE" w:rsidRPr="002E07E0" w:rsidRDefault="007B25DE" w:rsidP="00BF38A9">
            <w:pPr>
              <w:pStyle w:val="BodyText"/>
              <w:tabs>
                <w:tab w:val="left" w:pos="0"/>
              </w:tabs>
              <w:spacing w:line="360" w:lineRule="auto"/>
              <w:ind w:right="27"/>
              <w:jc w:val="center"/>
            </w:pPr>
            <w:r w:rsidRPr="002E07E0">
              <w:rPr>
                <w:b/>
                <w:bCs/>
              </w:rPr>
              <w:t>Notations</w:t>
            </w:r>
          </w:p>
        </w:tc>
        <w:tc>
          <w:tcPr>
            <w:tcW w:w="983" w:type="pct"/>
            <w:vMerge w:val="restart"/>
            <w:tcMar>
              <w:top w:w="15" w:type="dxa"/>
              <w:left w:w="108" w:type="dxa"/>
              <w:bottom w:w="0" w:type="dxa"/>
              <w:right w:w="108" w:type="dxa"/>
            </w:tcMar>
            <w:vAlign w:val="center"/>
            <w:hideMark/>
          </w:tcPr>
          <w:p w14:paraId="6A3B780B" w14:textId="77777777" w:rsidR="007B25DE" w:rsidRPr="002E07E0" w:rsidRDefault="007B25DE" w:rsidP="00BF38A9">
            <w:pPr>
              <w:pStyle w:val="BodyText"/>
              <w:tabs>
                <w:tab w:val="left" w:pos="0"/>
              </w:tabs>
              <w:spacing w:line="360" w:lineRule="auto"/>
              <w:ind w:right="27"/>
              <w:jc w:val="center"/>
            </w:pPr>
            <w:r w:rsidRPr="002E07E0">
              <w:rPr>
                <w:b/>
                <w:bCs/>
              </w:rPr>
              <w:t>Treatments</w:t>
            </w:r>
          </w:p>
        </w:tc>
        <w:tc>
          <w:tcPr>
            <w:tcW w:w="1599" w:type="pct"/>
            <w:gridSpan w:val="3"/>
            <w:vAlign w:val="center"/>
          </w:tcPr>
          <w:p w14:paraId="06792B22" w14:textId="77777777" w:rsidR="007B25DE" w:rsidRPr="002E07E0" w:rsidRDefault="007B25DE" w:rsidP="00BF38A9">
            <w:pPr>
              <w:pStyle w:val="BodyText"/>
              <w:tabs>
                <w:tab w:val="left" w:pos="0"/>
              </w:tabs>
              <w:spacing w:line="360" w:lineRule="auto"/>
              <w:ind w:right="27"/>
              <w:jc w:val="center"/>
              <w:rPr>
                <w:b/>
                <w:bCs/>
              </w:rPr>
            </w:pPr>
            <w:r w:rsidRPr="002E07E0">
              <w:rPr>
                <w:b/>
                <w:bCs/>
              </w:rPr>
              <w:t>Plant height (cm)</w:t>
            </w:r>
          </w:p>
        </w:tc>
        <w:tc>
          <w:tcPr>
            <w:tcW w:w="638" w:type="pct"/>
            <w:vMerge w:val="restart"/>
          </w:tcPr>
          <w:p w14:paraId="71786D26" w14:textId="77777777" w:rsidR="007B25DE" w:rsidRPr="002E07E0" w:rsidRDefault="007B25DE" w:rsidP="001D37B5">
            <w:pPr>
              <w:pStyle w:val="BodyText"/>
              <w:tabs>
                <w:tab w:val="left" w:pos="0"/>
              </w:tabs>
              <w:spacing w:line="360" w:lineRule="auto"/>
              <w:ind w:right="27"/>
              <w:jc w:val="center"/>
              <w:rPr>
                <w:b/>
                <w:bCs/>
              </w:rPr>
            </w:pPr>
            <w:r w:rsidRPr="002E07E0">
              <w:rPr>
                <w:b/>
                <w:bCs/>
              </w:rPr>
              <w:t xml:space="preserve">Number of </w:t>
            </w:r>
            <w:proofErr w:type="gramStart"/>
            <w:r w:rsidRPr="002E07E0">
              <w:rPr>
                <w:b/>
                <w:bCs/>
              </w:rPr>
              <w:t>cluster</w:t>
            </w:r>
            <w:proofErr w:type="gramEnd"/>
            <w:r w:rsidRPr="002E07E0">
              <w:rPr>
                <w:b/>
                <w:bCs/>
              </w:rPr>
              <w:t xml:space="preserve"> per plant</w:t>
            </w:r>
          </w:p>
        </w:tc>
        <w:tc>
          <w:tcPr>
            <w:tcW w:w="643" w:type="pct"/>
            <w:vMerge w:val="restart"/>
          </w:tcPr>
          <w:p w14:paraId="340034AE"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pods per cluster</w:t>
            </w:r>
          </w:p>
        </w:tc>
        <w:tc>
          <w:tcPr>
            <w:tcW w:w="642" w:type="pct"/>
            <w:vMerge w:val="restart"/>
          </w:tcPr>
          <w:p w14:paraId="06F1C404" w14:textId="77777777" w:rsidR="007B25DE" w:rsidRPr="002E07E0" w:rsidRDefault="00FE4C45" w:rsidP="00BF38A9">
            <w:pPr>
              <w:pStyle w:val="BodyText"/>
              <w:tabs>
                <w:tab w:val="left" w:pos="0"/>
              </w:tabs>
              <w:spacing w:line="360" w:lineRule="auto"/>
              <w:ind w:right="27"/>
              <w:jc w:val="center"/>
              <w:rPr>
                <w:b/>
                <w:bCs/>
              </w:rPr>
            </w:pPr>
            <w:r w:rsidRPr="002E07E0">
              <w:rPr>
                <w:b/>
                <w:bCs/>
              </w:rPr>
              <w:t>Days taken to 50 per cent flowering</w:t>
            </w:r>
          </w:p>
        </w:tc>
      </w:tr>
      <w:tr w:rsidR="007B25DE" w:rsidRPr="002E07E0" w14:paraId="0512E11B" w14:textId="77777777" w:rsidTr="008E747A">
        <w:trPr>
          <w:trHeight w:val="192"/>
        </w:trPr>
        <w:tc>
          <w:tcPr>
            <w:tcW w:w="494" w:type="pct"/>
            <w:vMerge/>
            <w:tcMar>
              <w:top w:w="15" w:type="dxa"/>
              <w:left w:w="108" w:type="dxa"/>
              <w:bottom w:w="0" w:type="dxa"/>
              <w:right w:w="108" w:type="dxa"/>
            </w:tcMar>
            <w:vAlign w:val="center"/>
          </w:tcPr>
          <w:p w14:paraId="16DF501C" w14:textId="77777777" w:rsidR="007B25DE" w:rsidRPr="002E07E0" w:rsidRDefault="007B25DE" w:rsidP="00BF38A9">
            <w:pPr>
              <w:pStyle w:val="BodyText"/>
              <w:tabs>
                <w:tab w:val="left" w:pos="0"/>
              </w:tabs>
              <w:spacing w:line="360" w:lineRule="auto"/>
              <w:ind w:right="27"/>
              <w:jc w:val="center"/>
              <w:rPr>
                <w:b/>
                <w:bCs/>
              </w:rPr>
            </w:pPr>
          </w:p>
        </w:tc>
        <w:tc>
          <w:tcPr>
            <w:tcW w:w="983" w:type="pct"/>
            <w:vMerge/>
            <w:tcMar>
              <w:top w:w="15" w:type="dxa"/>
              <w:left w:w="108" w:type="dxa"/>
              <w:bottom w:w="0" w:type="dxa"/>
              <w:right w:w="108" w:type="dxa"/>
            </w:tcMar>
            <w:vAlign w:val="center"/>
          </w:tcPr>
          <w:p w14:paraId="1010F593" w14:textId="77777777" w:rsidR="007B25DE" w:rsidRPr="002E07E0" w:rsidRDefault="007B25DE" w:rsidP="00BF38A9">
            <w:pPr>
              <w:pStyle w:val="BodyText"/>
              <w:tabs>
                <w:tab w:val="left" w:pos="0"/>
              </w:tabs>
              <w:spacing w:line="360" w:lineRule="auto"/>
              <w:ind w:right="27"/>
              <w:jc w:val="center"/>
              <w:rPr>
                <w:b/>
                <w:bCs/>
              </w:rPr>
            </w:pPr>
          </w:p>
        </w:tc>
        <w:tc>
          <w:tcPr>
            <w:tcW w:w="512" w:type="pct"/>
            <w:vAlign w:val="center"/>
          </w:tcPr>
          <w:p w14:paraId="75A9D31A" w14:textId="77777777" w:rsidR="007B25DE" w:rsidRPr="002E07E0" w:rsidRDefault="007B25DE" w:rsidP="00BF38A9">
            <w:pPr>
              <w:pStyle w:val="BodyText"/>
              <w:tabs>
                <w:tab w:val="left" w:pos="0"/>
              </w:tabs>
              <w:spacing w:line="360" w:lineRule="auto"/>
              <w:ind w:right="27"/>
              <w:jc w:val="center"/>
              <w:rPr>
                <w:b/>
                <w:bCs/>
              </w:rPr>
            </w:pPr>
            <w:r w:rsidRPr="002E07E0">
              <w:rPr>
                <w:b/>
                <w:bCs/>
              </w:rPr>
              <w:t xml:space="preserve">At </w:t>
            </w:r>
            <w:proofErr w:type="gramStart"/>
            <w:r w:rsidRPr="002E07E0">
              <w:rPr>
                <w:b/>
                <w:bCs/>
              </w:rPr>
              <w:t>30  DAS</w:t>
            </w:r>
            <w:proofErr w:type="gramEnd"/>
          </w:p>
        </w:tc>
        <w:tc>
          <w:tcPr>
            <w:tcW w:w="511" w:type="pct"/>
            <w:vAlign w:val="center"/>
          </w:tcPr>
          <w:p w14:paraId="0F149053" w14:textId="77777777" w:rsidR="007B25DE" w:rsidRPr="002E07E0" w:rsidRDefault="007B25DE" w:rsidP="00BF38A9">
            <w:pPr>
              <w:pStyle w:val="BodyText"/>
              <w:tabs>
                <w:tab w:val="left" w:pos="0"/>
              </w:tabs>
              <w:spacing w:line="360" w:lineRule="auto"/>
              <w:ind w:right="27"/>
              <w:jc w:val="center"/>
              <w:rPr>
                <w:b/>
                <w:bCs/>
              </w:rPr>
            </w:pPr>
            <w:r w:rsidRPr="002E07E0">
              <w:rPr>
                <w:b/>
                <w:bCs/>
              </w:rPr>
              <w:t>At 60 DAS</w:t>
            </w:r>
          </w:p>
        </w:tc>
        <w:tc>
          <w:tcPr>
            <w:tcW w:w="576" w:type="pct"/>
            <w:vAlign w:val="center"/>
          </w:tcPr>
          <w:p w14:paraId="22F167A4" w14:textId="77777777" w:rsidR="007B25DE" w:rsidRPr="002E07E0" w:rsidRDefault="007B25DE" w:rsidP="00BF38A9">
            <w:pPr>
              <w:pStyle w:val="BodyText"/>
              <w:tabs>
                <w:tab w:val="left" w:pos="0"/>
              </w:tabs>
              <w:spacing w:line="360" w:lineRule="auto"/>
              <w:ind w:right="27"/>
              <w:jc w:val="center"/>
              <w:rPr>
                <w:b/>
                <w:bCs/>
              </w:rPr>
            </w:pPr>
            <w:r w:rsidRPr="002E07E0">
              <w:rPr>
                <w:b/>
                <w:bCs/>
              </w:rPr>
              <w:t>At 90 DAS</w:t>
            </w:r>
          </w:p>
        </w:tc>
        <w:tc>
          <w:tcPr>
            <w:tcW w:w="638" w:type="pct"/>
            <w:vMerge/>
            <w:vAlign w:val="center"/>
          </w:tcPr>
          <w:p w14:paraId="2221CDDB" w14:textId="77777777" w:rsidR="007B25DE" w:rsidRPr="002E07E0" w:rsidRDefault="007B25DE" w:rsidP="001D37B5">
            <w:pPr>
              <w:pStyle w:val="BodyText"/>
              <w:tabs>
                <w:tab w:val="left" w:pos="0"/>
              </w:tabs>
              <w:spacing w:line="360" w:lineRule="auto"/>
              <w:ind w:right="27"/>
              <w:jc w:val="center"/>
              <w:rPr>
                <w:b/>
                <w:bCs/>
              </w:rPr>
            </w:pPr>
          </w:p>
        </w:tc>
        <w:tc>
          <w:tcPr>
            <w:tcW w:w="643" w:type="pct"/>
            <w:vMerge/>
            <w:vAlign w:val="center"/>
          </w:tcPr>
          <w:p w14:paraId="05E304C8" w14:textId="77777777" w:rsidR="007B25DE" w:rsidRPr="002E07E0" w:rsidRDefault="007B25DE" w:rsidP="001D37B5">
            <w:pPr>
              <w:pStyle w:val="BodyText"/>
              <w:tabs>
                <w:tab w:val="left" w:pos="0"/>
              </w:tabs>
              <w:spacing w:line="360" w:lineRule="auto"/>
              <w:ind w:right="27"/>
              <w:jc w:val="center"/>
              <w:rPr>
                <w:b/>
                <w:bCs/>
              </w:rPr>
            </w:pPr>
          </w:p>
        </w:tc>
        <w:tc>
          <w:tcPr>
            <w:tcW w:w="642" w:type="pct"/>
            <w:vMerge/>
          </w:tcPr>
          <w:p w14:paraId="713B254D" w14:textId="77777777" w:rsidR="007B25DE" w:rsidRPr="002E07E0" w:rsidRDefault="007B25DE" w:rsidP="00BF38A9">
            <w:pPr>
              <w:pStyle w:val="BodyText"/>
              <w:tabs>
                <w:tab w:val="left" w:pos="0"/>
              </w:tabs>
              <w:spacing w:line="360" w:lineRule="auto"/>
              <w:ind w:right="27"/>
              <w:jc w:val="center"/>
              <w:rPr>
                <w:b/>
                <w:bCs/>
              </w:rPr>
            </w:pPr>
          </w:p>
        </w:tc>
      </w:tr>
      <w:tr w:rsidR="002E07E0" w:rsidRPr="002E07E0" w14:paraId="78C7A200" w14:textId="77777777" w:rsidTr="008E747A">
        <w:trPr>
          <w:trHeight w:val="549"/>
        </w:trPr>
        <w:tc>
          <w:tcPr>
            <w:tcW w:w="494" w:type="pct"/>
            <w:tcMar>
              <w:top w:w="15" w:type="dxa"/>
              <w:left w:w="108" w:type="dxa"/>
              <w:bottom w:w="0" w:type="dxa"/>
              <w:right w:w="108" w:type="dxa"/>
            </w:tcMar>
            <w:vAlign w:val="center"/>
            <w:hideMark/>
          </w:tcPr>
          <w:p w14:paraId="40526C1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w:t>
            </w:r>
          </w:p>
        </w:tc>
        <w:tc>
          <w:tcPr>
            <w:tcW w:w="983" w:type="pct"/>
            <w:tcMar>
              <w:top w:w="15" w:type="dxa"/>
              <w:left w:w="108" w:type="dxa"/>
              <w:bottom w:w="0" w:type="dxa"/>
              <w:right w:w="108" w:type="dxa"/>
            </w:tcMar>
            <w:vAlign w:val="center"/>
            <w:hideMark/>
          </w:tcPr>
          <w:p w14:paraId="3509EA20" w14:textId="77777777" w:rsidR="00FE4C45" w:rsidRPr="002E07E0" w:rsidRDefault="00FE4C45" w:rsidP="00BF38A9">
            <w:pPr>
              <w:pStyle w:val="BodyText"/>
              <w:tabs>
                <w:tab w:val="left" w:pos="0"/>
              </w:tabs>
              <w:spacing w:line="360" w:lineRule="auto"/>
              <w:ind w:right="27"/>
            </w:pPr>
            <w:r w:rsidRPr="002E07E0">
              <w:t>Control</w:t>
            </w:r>
          </w:p>
        </w:tc>
        <w:tc>
          <w:tcPr>
            <w:tcW w:w="512" w:type="pct"/>
            <w:vAlign w:val="center"/>
          </w:tcPr>
          <w:p w14:paraId="5867AEC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15.33</w:t>
            </w:r>
          </w:p>
        </w:tc>
        <w:tc>
          <w:tcPr>
            <w:tcW w:w="511" w:type="pct"/>
            <w:vAlign w:val="center"/>
          </w:tcPr>
          <w:p w14:paraId="1CAA053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42.34</w:t>
            </w:r>
          </w:p>
        </w:tc>
        <w:tc>
          <w:tcPr>
            <w:tcW w:w="576" w:type="pct"/>
            <w:vAlign w:val="center"/>
          </w:tcPr>
          <w:p w14:paraId="41976D9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69.62</w:t>
            </w:r>
          </w:p>
        </w:tc>
        <w:tc>
          <w:tcPr>
            <w:tcW w:w="638" w:type="pct"/>
            <w:vAlign w:val="center"/>
          </w:tcPr>
          <w:p w14:paraId="69542CC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7.53</w:t>
            </w:r>
          </w:p>
        </w:tc>
        <w:tc>
          <w:tcPr>
            <w:tcW w:w="643" w:type="pct"/>
            <w:vAlign w:val="center"/>
          </w:tcPr>
          <w:p w14:paraId="5D475A0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3.08</w:t>
            </w:r>
          </w:p>
        </w:tc>
        <w:tc>
          <w:tcPr>
            <w:tcW w:w="642" w:type="pct"/>
            <w:vAlign w:val="center"/>
          </w:tcPr>
          <w:p w14:paraId="1554FF0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52.32</w:t>
            </w:r>
          </w:p>
        </w:tc>
      </w:tr>
      <w:tr w:rsidR="002E07E0" w:rsidRPr="002E07E0" w14:paraId="06316703" w14:textId="77777777" w:rsidTr="008E747A">
        <w:trPr>
          <w:trHeight w:val="549"/>
        </w:trPr>
        <w:tc>
          <w:tcPr>
            <w:tcW w:w="494" w:type="pct"/>
            <w:tcMar>
              <w:top w:w="15" w:type="dxa"/>
              <w:left w:w="108" w:type="dxa"/>
              <w:bottom w:w="0" w:type="dxa"/>
              <w:right w:w="108" w:type="dxa"/>
            </w:tcMar>
            <w:vAlign w:val="center"/>
            <w:hideMark/>
          </w:tcPr>
          <w:p w14:paraId="1D9ED5A2"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2</w:t>
            </w:r>
          </w:p>
        </w:tc>
        <w:tc>
          <w:tcPr>
            <w:tcW w:w="983" w:type="pct"/>
            <w:tcMar>
              <w:top w:w="15" w:type="dxa"/>
              <w:left w:w="108" w:type="dxa"/>
              <w:bottom w:w="0" w:type="dxa"/>
              <w:right w:w="108" w:type="dxa"/>
            </w:tcMar>
            <w:vAlign w:val="center"/>
            <w:hideMark/>
          </w:tcPr>
          <w:p w14:paraId="71767699"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50  ppm</w:t>
            </w:r>
            <w:proofErr w:type="gramEnd"/>
          </w:p>
        </w:tc>
        <w:tc>
          <w:tcPr>
            <w:tcW w:w="512" w:type="pct"/>
            <w:vAlign w:val="center"/>
          </w:tcPr>
          <w:p w14:paraId="68B0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16.29</w:t>
            </w:r>
          </w:p>
        </w:tc>
        <w:tc>
          <w:tcPr>
            <w:tcW w:w="511" w:type="pct"/>
            <w:vAlign w:val="center"/>
          </w:tcPr>
          <w:p w14:paraId="60F9D62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43.50</w:t>
            </w:r>
          </w:p>
        </w:tc>
        <w:tc>
          <w:tcPr>
            <w:tcW w:w="576" w:type="pct"/>
            <w:vAlign w:val="center"/>
          </w:tcPr>
          <w:p w14:paraId="6B9A6DC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72.72</w:t>
            </w:r>
          </w:p>
        </w:tc>
        <w:tc>
          <w:tcPr>
            <w:tcW w:w="638" w:type="pct"/>
            <w:vAlign w:val="center"/>
          </w:tcPr>
          <w:p w14:paraId="1E72B86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8.58</w:t>
            </w:r>
          </w:p>
        </w:tc>
        <w:tc>
          <w:tcPr>
            <w:tcW w:w="643" w:type="pct"/>
            <w:vAlign w:val="center"/>
          </w:tcPr>
          <w:p w14:paraId="3217F43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3.41</w:t>
            </w:r>
          </w:p>
        </w:tc>
        <w:tc>
          <w:tcPr>
            <w:tcW w:w="642" w:type="pct"/>
            <w:vAlign w:val="center"/>
          </w:tcPr>
          <w:p w14:paraId="5BFFFA4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46.85</w:t>
            </w:r>
          </w:p>
        </w:tc>
      </w:tr>
      <w:tr w:rsidR="002E07E0" w:rsidRPr="002E07E0" w14:paraId="66D19B1A" w14:textId="77777777" w:rsidTr="008E747A">
        <w:trPr>
          <w:trHeight w:val="549"/>
        </w:trPr>
        <w:tc>
          <w:tcPr>
            <w:tcW w:w="494" w:type="pct"/>
            <w:tcMar>
              <w:top w:w="15" w:type="dxa"/>
              <w:left w:w="108" w:type="dxa"/>
              <w:bottom w:w="0" w:type="dxa"/>
              <w:right w:w="108" w:type="dxa"/>
            </w:tcMar>
            <w:vAlign w:val="center"/>
            <w:hideMark/>
          </w:tcPr>
          <w:p w14:paraId="3049A32D"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3</w:t>
            </w:r>
          </w:p>
        </w:tc>
        <w:tc>
          <w:tcPr>
            <w:tcW w:w="983" w:type="pct"/>
            <w:tcMar>
              <w:top w:w="15" w:type="dxa"/>
              <w:left w:w="108" w:type="dxa"/>
              <w:bottom w:w="0" w:type="dxa"/>
              <w:right w:w="108" w:type="dxa"/>
            </w:tcMar>
            <w:vAlign w:val="center"/>
            <w:hideMark/>
          </w:tcPr>
          <w:p w14:paraId="1405BAF6"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100  ppm</w:t>
            </w:r>
            <w:proofErr w:type="gramEnd"/>
          </w:p>
        </w:tc>
        <w:tc>
          <w:tcPr>
            <w:tcW w:w="512" w:type="pct"/>
            <w:vAlign w:val="center"/>
          </w:tcPr>
          <w:p w14:paraId="3AE219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17.54</w:t>
            </w:r>
          </w:p>
        </w:tc>
        <w:tc>
          <w:tcPr>
            <w:tcW w:w="511" w:type="pct"/>
            <w:vAlign w:val="center"/>
          </w:tcPr>
          <w:p w14:paraId="0EE6FB16"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43.59</w:t>
            </w:r>
          </w:p>
        </w:tc>
        <w:tc>
          <w:tcPr>
            <w:tcW w:w="576" w:type="pct"/>
            <w:vAlign w:val="center"/>
          </w:tcPr>
          <w:p w14:paraId="4E3B30C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75.34</w:t>
            </w:r>
          </w:p>
        </w:tc>
        <w:tc>
          <w:tcPr>
            <w:tcW w:w="638" w:type="pct"/>
            <w:vAlign w:val="center"/>
          </w:tcPr>
          <w:p w14:paraId="4FCB9F4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w:t>
            </w:r>
          </w:p>
        </w:tc>
        <w:tc>
          <w:tcPr>
            <w:tcW w:w="643" w:type="pct"/>
            <w:vAlign w:val="center"/>
          </w:tcPr>
          <w:p w14:paraId="51A973B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4.02</w:t>
            </w:r>
          </w:p>
        </w:tc>
        <w:tc>
          <w:tcPr>
            <w:tcW w:w="642" w:type="pct"/>
            <w:vAlign w:val="center"/>
          </w:tcPr>
          <w:p w14:paraId="6CC89A3A"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46.22</w:t>
            </w:r>
          </w:p>
        </w:tc>
      </w:tr>
      <w:tr w:rsidR="002E07E0" w:rsidRPr="002E07E0" w14:paraId="329F2D6A" w14:textId="77777777" w:rsidTr="008E747A">
        <w:trPr>
          <w:trHeight w:val="530"/>
        </w:trPr>
        <w:tc>
          <w:tcPr>
            <w:tcW w:w="494" w:type="pct"/>
            <w:tcMar>
              <w:top w:w="15" w:type="dxa"/>
              <w:left w:w="108" w:type="dxa"/>
              <w:bottom w:w="0" w:type="dxa"/>
              <w:right w:w="108" w:type="dxa"/>
            </w:tcMar>
            <w:vAlign w:val="center"/>
            <w:hideMark/>
          </w:tcPr>
          <w:p w14:paraId="1238345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4</w:t>
            </w:r>
          </w:p>
        </w:tc>
        <w:tc>
          <w:tcPr>
            <w:tcW w:w="983" w:type="pct"/>
            <w:tcMar>
              <w:top w:w="15" w:type="dxa"/>
              <w:left w:w="108" w:type="dxa"/>
              <w:bottom w:w="0" w:type="dxa"/>
              <w:right w:w="108" w:type="dxa"/>
            </w:tcMar>
            <w:vAlign w:val="center"/>
            <w:hideMark/>
          </w:tcPr>
          <w:p w14:paraId="113D167F" w14:textId="77777777" w:rsidR="00FE4C45" w:rsidRPr="002E07E0" w:rsidRDefault="00FE4C45" w:rsidP="00BF38A9">
            <w:pPr>
              <w:pStyle w:val="BodyText"/>
              <w:tabs>
                <w:tab w:val="left" w:pos="0"/>
              </w:tabs>
              <w:spacing w:line="360" w:lineRule="auto"/>
              <w:ind w:right="27"/>
            </w:pPr>
            <w:r w:rsidRPr="002E07E0">
              <w:t>NAA 150 ppm</w:t>
            </w:r>
          </w:p>
        </w:tc>
        <w:tc>
          <w:tcPr>
            <w:tcW w:w="512" w:type="pct"/>
            <w:vAlign w:val="center"/>
          </w:tcPr>
          <w:p w14:paraId="6F94C9A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18.34</w:t>
            </w:r>
          </w:p>
        </w:tc>
        <w:tc>
          <w:tcPr>
            <w:tcW w:w="511" w:type="pct"/>
            <w:vAlign w:val="center"/>
          </w:tcPr>
          <w:p w14:paraId="3A08B20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44.68</w:t>
            </w:r>
          </w:p>
        </w:tc>
        <w:tc>
          <w:tcPr>
            <w:tcW w:w="576" w:type="pct"/>
            <w:vAlign w:val="center"/>
          </w:tcPr>
          <w:p w14:paraId="7AA2B6B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76.20</w:t>
            </w:r>
          </w:p>
        </w:tc>
        <w:tc>
          <w:tcPr>
            <w:tcW w:w="638" w:type="pct"/>
            <w:vAlign w:val="center"/>
          </w:tcPr>
          <w:p w14:paraId="4F498F0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10.32</w:t>
            </w:r>
          </w:p>
        </w:tc>
        <w:tc>
          <w:tcPr>
            <w:tcW w:w="643" w:type="pct"/>
            <w:vAlign w:val="center"/>
          </w:tcPr>
          <w:p w14:paraId="54020BF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4.12</w:t>
            </w:r>
          </w:p>
        </w:tc>
        <w:tc>
          <w:tcPr>
            <w:tcW w:w="642" w:type="pct"/>
            <w:vAlign w:val="center"/>
          </w:tcPr>
          <w:p w14:paraId="6D92C51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45.76</w:t>
            </w:r>
          </w:p>
        </w:tc>
      </w:tr>
      <w:tr w:rsidR="002E07E0" w:rsidRPr="002E07E0" w14:paraId="599268C7" w14:textId="77777777" w:rsidTr="008E747A">
        <w:trPr>
          <w:trHeight w:val="549"/>
        </w:trPr>
        <w:tc>
          <w:tcPr>
            <w:tcW w:w="494" w:type="pct"/>
            <w:tcMar>
              <w:top w:w="15" w:type="dxa"/>
              <w:left w:w="108" w:type="dxa"/>
              <w:bottom w:w="0" w:type="dxa"/>
              <w:right w:w="108" w:type="dxa"/>
            </w:tcMar>
            <w:vAlign w:val="center"/>
            <w:hideMark/>
          </w:tcPr>
          <w:p w14:paraId="1F9E0850"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5</w:t>
            </w:r>
          </w:p>
        </w:tc>
        <w:tc>
          <w:tcPr>
            <w:tcW w:w="983" w:type="pct"/>
            <w:tcMar>
              <w:top w:w="15" w:type="dxa"/>
              <w:left w:w="108" w:type="dxa"/>
              <w:bottom w:w="0" w:type="dxa"/>
              <w:right w:w="108" w:type="dxa"/>
            </w:tcMar>
            <w:vAlign w:val="center"/>
            <w:hideMark/>
          </w:tcPr>
          <w:p w14:paraId="0CB19F83"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50  ppm</w:t>
            </w:r>
            <w:proofErr w:type="gramEnd"/>
          </w:p>
        </w:tc>
        <w:tc>
          <w:tcPr>
            <w:tcW w:w="512" w:type="pct"/>
            <w:vAlign w:val="center"/>
          </w:tcPr>
          <w:p w14:paraId="15410BC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18.66</w:t>
            </w:r>
          </w:p>
        </w:tc>
        <w:tc>
          <w:tcPr>
            <w:tcW w:w="511" w:type="pct"/>
            <w:vAlign w:val="center"/>
          </w:tcPr>
          <w:p w14:paraId="7B6DAB0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44.85</w:t>
            </w:r>
          </w:p>
        </w:tc>
        <w:tc>
          <w:tcPr>
            <w:tcW w:w="576" w:type="pct"/>
            <w:vAlign w:val="center"/>
          </w:tcPr>
          <w:p w14:paraId="3948292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77.21</w:t>
            </w:r>
          </w:p>
        </w:tc>
        <w:tc>
          <w:tcPr>
            <w:tcW w:w="638" w:type="pct"/>
            <w:vAlign w:val="center"/>
          </w:tcPr>
          <w:p w14:paraId="205F9A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9.13</w:t>
            </w:r>
          </w:p>
        </w:tc>
        <w:tc>
          <w:tcPr>
            <w:tcW w:w="643" w:type="pct"/>
            <w:vAlign w:val="center"/>
          </w:tcPr>
          <w:p w14:paraId="0EC0B2E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3.68</w:t>
            </w:r>
          </w:p>
        </w:tc>
        <w:tc>
          <w:tcPr>
            <w:tcW w:w="642" w:type="pct"/>
            <w:vAlign w:val="center"/>
          </w:tcPr>
          <w:p w14:paraId="119D45FB"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49.62</w:t>
            </w:r>
          </w:p>
        </w:tc>
      </w:tr>
      <w:tr w:rsidR="002E07E0" w:rsidRPr="002E07E0" w14:paraId="26BDD753" w14:textId="77777777" w:rsidTr="008E747A">
        <w:trPr>
          <w:trHeight w:val="549"/>
        </w:trPr>
        <w:tc>
          <w:tcPr>
            <w:tcW w:w="494" w:type="pct"/>
            <w:tcMar>
              <w:top w:w="15" w:type="dxa"/>
              <w:left w:w="108" w:type="dxa"/>
              <w:bottom w:w="0" w:type="dxa"/>
              <w:right w:w="108" w:type="dxa"/>
            </w:tcMar>
            <w:vAlign w:val="center"/>
            <w:hideMark/>
          </w:tcPr>
          <w:p w14:paraId="60CA75C7"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6</w:t>
            </w:r>
          </w:p>
        </w:tc>
        <w:tc>
          <w:tcPr>
            <w:tcW w:w="983" w:type="pct"/>
            <w:tcMar>
              <w:top w:w="15" w:type="dxa"/>
              <w:left w:w="108" w:type="dxa"/>
              <w:bottom w:w="0" w:type="dxa"/>
              <w:right w:w="108" w:type="dxa"/>
            </w:tcMar>
            <w:vAlign w:val="center"/>
            <w:hideMark/>
          </w:tcPr>
          <w:p w14:paraId="52154B2D"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100  ppm</w:t>
            </w:r>
            <w:proofErr w:type="gramEnd"/>
          </w:p>
        </w:tc>
        <w:tc>
          <w:tcPr>
            <w:tcW w:w="512" w:type="pct"/>
            <w:vAlign w:val="center"/>
          </w:tcPr>
          <w:p w14:paraId="15F1E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19.97</w:t>
            </w:r>
          </w:p>
        </w:tc>
        <w:tc>
          <w:tcPr>
            <w:tcW w:w="511" w:type="pct"/>
            <w:vAlign w:val="center"/>
          </w:tcPr>
          <w:p w14:paraId="7D70F4B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45.91</w:t>
            </w:r>
          </w:p>
        </w:tc>
        <w:tc>
          <w:tcPr>
            <w:tcW w:w="576" w:type="pct"/>
            <w:vAlign w:val="center"/>
          </w:tcPr>
          <w:p w14:paraId="71694E9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78.15</w:t>
            </w:r>
          </w:p>
        </w:tc>
        <w:tc>
          <w:tcPr>
            <w:tcW w:w="638" w:type="pct"/>
            <w:vAlign w:val="center"/>
          </w:tcPr>
          <w:p w14:paraId="6FF830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10.54</w:t>
            </w:r>
          </w:p>
        </w:tc>
        <w:tc>
          <w:tcPr>
            <w:tcW w:w="643" w:type="pct"/>
            <w:vAlign w:val="center"/>
          </w:tcPr>
          <w:p w14:paraId="1F6962E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4.23</w:t>
            </w:r>
          </w:p>
        </w:tc>
        <w:tc>
          <w:tcPr>
            <w:tcW w:w="642" w:type="pct"/>
            <w:vAlign w:val="center"/>
          </w:tcPr>
          <w:p w14:paraId="2904585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49.35</w:t>
            </w:r>
          </w:p>
        </w:tc>
      </w:tr>
      <w:tr w:rsidR="002E07E0" w:rsidRPr="002E07E0" w14:paraId="044B3D32" w14:textId="77777777" w:rsidTr="008E747A">
        <w:trPr>
          <w:trHeight w:val="549"/>
        </w:trPr>
        <w:tc>
          <w:tcPr>
            <w:tcW w:w="494" w:type="pct"/>
            <w:tcMar>
              <w:top w:w="15" w:type="dxa"/>
              <w:left w:w="108" w:type="dxa"/>
              <w:bottom w:w="0" w:type="dxa"/>
              <w:right w:w="108" w:type="dxa"/>
            </w:tcMar>
            <w:vAlign w:val="center"/>
            <w:hideMark/>
          </w:tcPr>
          <w:p w14:paraId="5BFA5D33"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7</w:t>
            </w:r>
          </w:p>
        </w:tc>
        <w:tc>
          <w:tcPr>
            <w:tcW w:w="983" w:type="pct"/>
            <w:tcMar>
              <w:top w:w="15" w:type="dxa"/>
              <w:left w:w="108" w:type="dxa"/>
              <w:bottom w:w="0" w:type="dxa"/>
              <w:right w:w="108" w:type="dxa"/>
            </w:tcMar>
            <w:vAlign w:val="center"/>
            <w:hideMark/>
          </w:tcPr>
          <w:p w14:paraId="2ED64366"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w:t>
            </w:r>
            <w:proofErr w:type="gramStart"/>
            <w:r w:rsidRPr="002E07E0">
              <w:t>150  ppm</w:t>
            </w:r>
            <w:proofErr w:type="gramEnd"/>
          </w:p>
        </w:tc>
        <w:tc>
          <w:tcPr>
            <w:tcW w:w="512" w:type="pct"/>
            <w:vAlign w:val="center"/>
          </w:tcPr>
          <w:p w14:paraId="6CE459A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21.81</w:t>
            </w:r>
          </w:p>
        </w:tc>
        <w:tc>
          <w:tcPr>
            <w:tcW w:w="511" w:type="pct"/>
            <w:vAlign w:val="center"/>
          </w:tcPr>
          <w:p w14:paraId="0F510F7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47.32</w:t>
            </w:r>
          </w:p>
        </w:tc>
        <w:tc>
          <w:tcPr>
            <w:tcW w:w="576" w:type="pct"/>
            <w:vAlign w:val="center"/>
          </w:tcPr>
          <w:p w14:paraId="33CB75B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82.38</w:t>
            </w:r>
          </w:p>
        </w:tc>
        <w:tc>
          <w:tcPr>
            <w:tcW w:w="638" w:type="pct"/>
            <w:vAlign w:val="center"/>
          </w:tcPr>
          <w:p w14:paraId="1F6ECDE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12.02</w:t>
            </w:r>
          </w:p>
        </w:tc>
        <w:tc>
          <w:tcPr>
            <w:tcW w:w="643" w:type="pct"/>
            <w:vAlign w:val="center"/>
          </w:tcPr>
          <w:p w14:paraId="78DD34FC"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4.31</w:t>
            </w:r>
          </w:p>
        </w:tc>
        <w:tc>
          <w:tcPr>
            <w:tcW w:w="642" w:type="pct"/>
            <w:vAlign w:val="center"/>
          </w:tcPr>
          <w:p w14:paraId="5946983D"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49.00</w:t>
            </w:r>
          </w:p>
        </w:tc>
      </w:tr>
      <w:tr w:rsidR="002E07E0" w:rsidRPr="002E07E0" w14:paraId="16820B9E" w14:textId="77777777" w:rsidTr="008E747A">
        <w:trPr>
          <w:trHeight w:hRule="exact" w:val="563"/>
        </w:trPr>
        <w:tc>
          <w:tcPr>
            <w:tcW w:w="494" w:type="pct"/>
            <w:tcMar>
              <w:top w:w="15" w:type="dxa"/>
              <w:left w:w="108" w:type="dxa"/>
              <w:bottom w:w="0" w:type="dxa"/>
              <w:right w:w="108" w:type="dxa"/>
            </w:tcMar>
            <w:vAlign w:val="center"/>
            <w:hideMark/>
          </w:tcPr>
          <w:p w14:paraId="55776341"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8</w:t>
            </w:r>
          </w:p>
        </w:tc>
        <w:tc>
          <w:tcPr>
            <w:tcW w:w="983" w:type="pct"/>
            <w:tcMar>
              <w:top w:w="15" w:type="dxa"/>
              <w:left w:w="108" w:type="dxa"/>
              <w:bottom w:w="0" w:type="dxa"/>
              <w:right w:w="108" w:type="dxa"/>
            </w:tcMar>
            <w:vAlign w:val="center"/>
            <w:hideMark/>
          </w:tcPr>
          <w:p w14:paraId="6027A86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2" w:type="pct"/>
            <w:vAlign w:val="center"/>
          </w:tcPr>
          <w:p w14:paraId="6C735D1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15.12</w:t>
            </w:r>
          </w:p>
        </w:tc>
        <w:tc>
          <w:tcPr>
            <w:tcW w:w="511" w:type="pct"/>
            <w:vAlign w:val="center"/>
          </w:tcPr>
          <w:p w14:paraId="20C6282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40.54</w:t>
            </w:r>
          </w:p>
        </w:tc>
        <w:tc>
          <w:tcPr>
            <w:tcW w:w="576" w:type="pct"/>
            <w:vAlign w:val="center"/>
          </w:tcPr>
          <w:p w14:paraId="6CFE0A1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67.64</w:t>
            </w:r>
          </w:p>
        </w:tc>
        <w:tc>
          <w:tcPr>
            <w:tcW w:w="638" w:type="pct"/>
            <w:vAlign w:val="center"/>
          </w:tcPr>
          <w:p w14:paraId="68D63CF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13.87</w:t>
            </w:r>
          </w:p>
        </w:tc>
        <w:tc>
          <w:tcPr>
            <w:tcW w:w="643" w:type="pct"/>
            <w:vAlign w:val="center"/>
          </w:tcPr>
          <w:p w14:paraId="7DECDE1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4.33</w:t>
            </w:r>
          </w:p>
        </w:tc>
        <w:tc>
          <w:tcPr>
            <w:tcW w:w="642" w:type="pct"/>
            <w:vAlign w:val="center"/>
          </w:tcPr>
          <w:p w14:paraId="030FF6F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48.75</w:t>
            </w:r>
          </w:p>
        </w:tc>
      </w:tr>
      <w:tr w:rsidR="002E07E0" w:rsidRPr="002E07E0" w14:paraId="1F739A4D" w14:textId="77777777" w:rsidTr="008E747A">
        <w:trPr>
          <w:trHeight w:val="549"/>
        </w:trPr>
        <w:tc>
          <w:tcPr>
            <w:tcW w:w="494" w:type="pct"/>
            <w:tcMar>
              <w:top w:w="15" w:type="dxa"/>
              <w:left w:w="108" w:type="dxa"/>
              <w:bottom w:w="0" w:type="dxa"/>
              <w:right w:w="108" w:type="dxa"/>
            </w:tcMar>
            <w:vAlign w:val="center"/>
            <w:hideMark/>
          </w:tcPr>
          <w:p w14:paraId="1604747C"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9</w:t>
            </w:r>
          </w:p>
        </w:tc>
        <w:tc>
          <w:tcPr>
            <w:tcW w:w="983" w:type="pct"/>
            <w:tcMar>
              <w:top w:w="15" w:type="dxa"/>
              <w:left w:w="108" w:type="dxa"/>
              <w:bottom w:w="0" w:type="dxa"/>
              <w:right w:w="108" w:type="dxa"/>
            </w:tcMar>
            <w:vAlign w:val="center"/>
            <w:hideMark/>
          </w:tcPr>
          <w:p w14:paraId="43F5797C"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2" w:type="pct"/>
            <w:vAlign w:val="center"/>
          </w:tcPr>
          <w:p w14:paraId="3B426BF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15.04</w:t>
            </w:r>
          </w:p>
        </w:tc>
        <w:tc>
          <w:tcPr>
            <w:tcW w:w="511" w:type="pct"/>
            <w:vAlign w:val="center"/>
          </w:tcPr>
          <w:p w14:paraId="7E353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39.75</w:t>
            </w:r>
          </w:p>
        </w:tc>
        <w:tc>
          <w:tcPr>
            <w:tcW w:w="576" w:type="pct"/>
            <w:vAlign w:val="center"/>
          </w:tcPr>
          <w:p w14:paraId="5BC53D4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65.28</w:t>
            </w:r>
          </w:p>
        </w:tc>
        <w:tc>
          <w:tcPr>
            <w:tcW w:w="638" w:type="pct"/>
            <w:vAlign w:val="center"/>
          </w:tcPr>
          <w:p w14:paraId="38CD5D0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10.59</w:t>
            </w:r>
          </w:p>
        </w:tc>
        <w:tc>
          <w:tcPr>
            <w:tcW w:w="643" w:type="pct"/>
            <w:vAlign w:val="center"/>
          </w:tcPr>
          <w:p w14:paraId="3975EBB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4.27</w:t>
            </w:r>
          </w:p>
        </w:tc>
        <w:tc>
          <w:tcPr>
            <w:tcW w:w="642" w:type="pct"/>
            <w:vAlign w:val="center"/>
          </w:tcPr>
          <w:p w14:paraId="7BE1C5F1"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48.26</w:t>
            </w:r>
          </w:p>
        </w:tc>
      </w:tr>
      <w:tr w:rsidR="002E07E0" w:rsidRPr="002E07E0" w14:paraId="012341A2" w14:textId="77777777" w:rsidTr="008E747A">
        <w:trPr>
          <w:trHeight w:val="549"/>
        </w:trPr>
        <w:tc>
          <w:tcPr>
            <w:tcW w:w="494" w:type="pct"/>
            <w:tcMar>
              <w:top w:w="15" w:type="dxa"/>
              <w:left w:w="108" w:type="dxa"/>
              <w:bottom w:w="0" w:type="dxa"/>
              <w:right w:w="108" w:type="dxa"/>
            </w:tcMar>
            <w:vAlign w:val="center"/>
            <w:hideMark/>
          </w:tcPr>
          <w:p w14:paraId="30F3373E"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10</w:t>
            </w:r>
          </w:p>
        </w:tc>
        <w:tc>
          <w:tcPr>
            <w:tcW w:w="983" w:type="pct"/>
            <w:tcMar>
              <w:top w:w="15" w:type="dxa"/>
              <w:left w:w="108" w:type="dxa"/>
              <w:bottom w:w="0" w:type="dxa"/>
              <w:right w:w="108" w:type="dxa"/>
            </w:tcMar>
            <w:vAlign w:val="center"/>
            <w:hideMark/>
          </w:tcPr>
          <w:p w14:paraId="7D9B12FF" w14:textId="77777777" w:rsidR="00FE4C45" w:rsidRPr="002E07E0" w:rsidRDefault="00FE4C45" w:rsidP="00BF38A9">
            <w:pPr>
              <w:pStyle w:val="BodyText"/>
              <w:tabs>
                <w:tab w:val="left" w:pos="0"/>
              </w:tabs>
              <w:spacing w:line="360" w:lineRule="auto"/>
              <w:ind w:right="27"/>
            </w:pPr>
            <w:proofErr w:type="spellStart"/>
            <w:proofErr w:type="gramStart"/>
            <w:r w:rsidRPr="002E07E0">
              <w:t>Cycocel</w:t>
            </w:r>
            <w:proofErr w:type="spellEnd"/>
            <w:r w:rsidRPr="002E07E0">
              <w:t xml:space="preserve">  2250</w:t>
            </w:r>
            <w:proofErr w:type="gramEnd"/>
            <w:r w:rsidRPr="002E07E0">
              <w:t xml:space="preserve"> ppm</w:t>
            </w:r>
          </w:p>
        </w:tc>
        <w:tc>
          <w:tcPr>
            <w:tcW w:w="512" w:type="pct"/>
            <w:vAlign w:val="center"/>
          </w:tcPr>
          <w:p w14:paraId="4134B9CC"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14.19</w:t>
            </w:r>
          </w:p>
        </w:tc>
        <w:tc>
          <w:tcPr>
            <w:tcW w:w="511" w:type="pct"/>
            <w:vAlign w:val="center"/>
          </w:tcPr>
          <w:p w14:paraId="1EC89603"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38.86</w:t>
            </w:r>
          </w:p>
        </w:tc>
        <w:tc>
          <w:tcPr>
            <w:tcW w:w="576" w:type="pct"/>
            <w:vAlign w:val="center"/>
          </w:tcPr>
          <w:p w14:paraId="102FAED6"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63.18</w:t>
            </w:r>
          </w:p>
        </w:tc>
        <w:tc>
          <w:tcPr>
            <w:tcW w:w="638" w:type="pct"/>
            <w:vAlign w:val="center"/>
          </w:tcPr>
          <w:p w14:paraId="1052EEA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9.98</w:t>
            </w:r>
          </w:p>
        </w:tc>
        <w:tc>
          <w:tcPr>
            <w:tcW w:w="643" w:type="pct"/>
            <w:vAlign w:val="center"/>
          </w:tcPr>
          <w:p w14:paraId="58997AB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4.29</w:t>
            </w:r>
          </w:p>
        </w:tc>
        <w:tc>
          <w:tcPr>
            <w:tcW w:w="642" w:type="pct"/>
            <w:vAlign w:val="center"/>
          </w:tcPr>
          <w:p w14:paraId="1306A63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47.00</w:t>
            </w:r>
          </w:p>
        </w:tc>
      </w:tr>
      <w:tr w:rsidR="002E07E0" w:rsidRPr="002E07E0" w14:paraId="2815CA3A" w14:textId="77777777" w:rsidTr="008E747A">
        <w:trPr>
          <w:trHeight w:val="511"/>
        </w:trPr>
        <w:tc>
          <w:tcPr>
            <w:tcW w:w="494" w:type="pct"/>
            <w:tcMar>
              <w:top w:w="15" w:type="dxa"/>
              <w:left w:w="108" w:type="dxa"/>
              <w:bottom w:w="0" w:type="dxa"/>
              <w:right w:w="108" w:type="dxa"/>
            </w:tcMar>
            <w:vAlign w:val="center"/>
          </w:tcPr>
          <w:p w14:paraId="4099996D"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5F9FBF91"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2" w:type="pct"/>
            <w:vAlign w:val="center"/>
          </w:tcPr>
          <w:p w14:paraId="0E85023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0.98</w:t>
            </w:r>
          </w:p>
        </w:tc>
        <w:tc>
          <w:tcPr>
            <w:tcW w:w="511" w:type="pct"/>
            <w:vAlign w:val="center"/>
          </w:tcPr>
          <w:p w14:paraId="1FB3622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w:t>
            </w:r>
          </w:p>
        </w:tc>
        <w:tc>
          <w:tcPr>
            <w:tcW w:w="576" w:type="pct"/>
            <w:vAlign w:val="center"/>
          </w:tcPr>
          <w:p w14:paraId="3FC87DE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3.60</w:t>
            </w:r>
          </w:p>
        </w:tc>
        <w:tc>
          <w:tcPr>
            <w:tcW w:w="638" w:type="pct"/>
            <w:vAlign w:val="center"/>
          </w:tcPr>
          <w:p w14:paraId="0991FE2D"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0.47</w:t>
            </w:r>
          </w:p>
        </w:tc>
        <w:tc>
          <w:tcPr>
            <w:tcW w:w="643" w:type="pct"/>
            <w:vAlign w:val="center"/>
          </w:tcPr>
          <w:p w14:paraId="40D0CB3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0.06</w:t>
            </w:r>
          </w:p>
        </w:tc>
        <w:tc>
          <w:tcPr>
            <w:tcW w:w="642" w:type="pct"/>
            <w:vAlign w:val="center"/>
          </w:tcPr>
          <w:p w14:paraId="251169D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0.62</w:t>
            </w:r>
          </w:p>
        </w:tc>
      </w:tr>
      <w:tr w:rsidR="002E07E0" w:rsidRPr="002E07E0" w14:paraId="26ACE305" w14:textId="77777777" w:rsidTr="008E747A">
        <w:trPr>
          <w:trHeight w:val="569"/>
        </w:trPr>
        <w:tc>
          <w:tcPr>
            <w:tcW w:w="494" w:type="pct"/>
            <w:tcMar>
              <w:top w:w="15" w:type="dxa"/>
              <w:left w:w="108" w:type="dxa"/>
              <w:bottom w:w="0" w:type="dxa"/>
              <w:right w:w="108" w:type="dxa"/>
            </w:tcMar>
            <w:vAlign w:val="center"/>
          </w:tcPr>
          <w:p w14:paraId="66FBCF3C"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654A2B87" w14:textId="77777777" w:rsidR="00FE4C45" w:rsidRPr="002E07E0" w:rsidRDefault="00FE4C45" w:rsidP="00BF38A9">
            <w:pPr>
              <w:pStyle w:val="BodyText"/>
              <w:tabs>
                <w:tab w:val="left" w:pos="0"/>
              </w:tabs>
              <w:spacing w:line="360" w:lineRule="auto"/>
              <w:ind w:right="27"/>
            </w:pPr>
            <w:r w:rsidRPr="002E07E0">
              <w:t>CD at 5 %</w:t>
            </w:r>
          </w:p>
        </w:tc>
        <w:tc>
          <w:tcPr>
            <w:tcW w:w="512" w:type="pct"/>
            <w:vAlign w:val="center"/>
          </w:tcPr>
          <w:p w14:paraId="6974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2.92</w:t>
            </w:r>
          </w:p>
        </w:tc>
        <w:tc>
          <w:tcPr>
            <w:tcW w:w="511" w:type="pct"/>
            <w:vAlign w:val="center"/>
          </w:tcPr>
          <w:p w14:paraId="402DD3D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6.48</w:t>
            </w:r>
          </w:p>
        </w:tc>
        <w:tc>
          <w:tcPr>
            <w:tcW w:w="576" w:type="pct"/>
            <w:vAlign w:val="center"/>
          </w:tcPr>
          <w:p w14:paraId="392551C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10.69</w:t>
            </w:r>
          </w:p>
        </w:tc>
        <w:tc>
          <w:tcPr>
            <w:tcW w:w="638" w:type="pct"/>
            <w:vAlign w:val="center"/>
          </w:tcPr>
          <w:p w14:paraId="67BFE5C2"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1.40</w:t>
            </w:r>
          </w:p>
        </w:tc>
        <w:tc>
          <w:tcPr>
            <w:tcW w:w="643" w:type="pct"/>
            <w:vAlign w:val="center"/>
          </w:tcPr>
          <w:p w14:paraId="47DE3DD6"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0.18</w:t>
            </w:r>
          </w:p>
        </w:tc>
        <w:tc>
          <w:tcPr>
            <w:tcW w:w="642" w:type="pct"/>
            <w:vAlign w:val="center"/>
          </w:tcPr>
          <w:p w14:paraId="33F705F9"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1.85</w:t>
            </w:r>
          </w:p>
        </w:tc>
      </w:tr>
    </w:tbl>
    <w:p w14:paraId="518E0E2F" w14:textId="77777777" w:rsidR="00FE4C45" w:rsidRPr="002E07E0" w:rsidRDefault="00FE4C45" w:rsidP="00FB290C">
      <w:pPr>
        <w:spacing w:line="358" w:lineRule="auto"/>
        <w:rPr>
          <w:rFonts w:ascii="Times New Roman" w:eastAsia="Times New Roman" w:hAnsi="Times New Roman" w:cs="Times New Roman"/>
          <w:b/>
          <w:bCs/>
          <w:sz w:val="24"/>
          <w:szCs w:val="24"/>
          <w:lang w:val="en-US" w:bidi="ar-SA"/>
        </w:rPr>
      </w:pPr>
    </w:p>
    <w:p w14:paraId="51C2F2F8" w14:textId="77777777" w:rsidR="00FB290C" w:rsidRPr="002E07E0" w:rsidRDefault="00E54ADA" w:rsidP="00FB290C">
      <w:pPr>
        <w:spacing w:line="358" w:lineRule="auto"/>
        <w:rPr>
          <w:rFonts w:ascii="Times New Roman" w:hAnsi="Times New Roman" w:cs="Times New Roman"/>
          <w:b/>
          <w:bCs/>
          <w:sz w:val="24"/>
          <w:szCs w:val="24"/>
        </w:rPr>
      </w:pPr>
      <w:r w:rsidRPr="002E07E0">
        <w:rPr>
          <w:rFonts w:ascii="Times New Roman" w:hAnsi="Times New Roman" w:cs="Times New Roman"/>
          <w:b/>
          <w:bCs/>
          <w:sz w:val="24"/>
          <w:szCs w:val="24"/>
        </w:rPr>
        <w:lastRenderedPageBreak/>
        <w:t xml:space="preserve">Table </w:t>
      </w:r>
      <w:r w:rsidR="00FE4C45" w:rsidRPr="002E07E0">
        <w:rPr>
          <w:rFonts w:ascii="Times New Roman" w:hAnsi="Times New Roman" w:cs="Times New Roman"/>
          <w:b/>
          <w:bCs/>
          <w:sz w:val="24"/>
          <w:szCs w:val="24"/>
        </w:rPr>
        <w:t>2</w:t>
      </w:r>
      <w:r w:rsidR="00FB290C" w:rsidRPr="002E07E0">
        <w:rPr>
          <w:rFonts w:ascii="Times New Roman" w:hAnsi="Times New Roman" w:cs="Times New Roman"/>
          <w:b/>
          <w:bCs/>
          <w:sz w:val="24"/>
          <w:szCs w:val="24"/>
        </w:rPr>
        <w:t xml:space="preserve"> Effect of plant growth regulators on </w:t>
      </w:r>
      <w:r w:rsidR="00FE4C45" w:rsidRPr="002E07E0">
        <w:rPr>
          <w:rFonts w:ascii="Times New Roman" w:hAnsi="Times New Roman" w:cs="Times New Roman"/>
          <w:b/>
          <w:bCs/>
          <w:sz w:val="24"/>
          <w:szCs w:val="24"/>
        </w:rPr>
        <w:t>yield, quality and economics</w:t>
      </w:r>
      <w:r w:rsidR="002E07E0" w:rsidRPr="002E07E0">
        <w:rPr>
          <w:rFonts w:ascii="Times New Roman" w:hAnsi="Times New Roman" w:cs="Times New Roman"/>
          <w:b/>
          <w:bCs/>
          <w:sz w:val="24"/>
          <w:szCs w:val="24"/>
        </w:rPr>
        <w:t xml:space="preserve">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7"/>
        <w:gridCol w:w="2522"/>
        <w:gridCol w:w="1438"/>
        <w:gridCol w:w="1081"/>
        <w:gridCol w:w="1531"/>
        <w:gridCol w:w="1258"/>
        <w:gridCol w:w="1261"/>
        <w:gridCol w:w="1531"/>
        <w:gridCol w:w="1041"/>
        <w:gridCol w:w="1221"/>
      </w:tblGrid>
      <w:tr w:rsidR="002E07E0" w:rsidRPr="002E07E0" w14:paraId="5F2849F2" w14:textId="77777777" w:rsidTr="00FE4C45">
        <w:trPr>
          <w:trHeight w:val="634"/>
        </w:trPr>
        <w:tc>
          <w:tcPr>
            <w:tcW w:w="422" w:type="pct"/>
            <w:tcMar>
              <w:top w:w="15" w:type="dxa"/>
              <w:left w:w="108" w:type="dxa"/>
              <w:bottom w:w="0" w:type="dxa"/>
              <w:right w:w="108" w:type="dxa"/>
            </w:tcMar>
            <w:vAlign w:val="center"/>
            <w:hideMark/>
          </w:tcPr>
          <w:p w14:paraId="3EF00263" w14:textId="77777777" w:rsidR="00FE4C45" w:rsidRPr="002E07E0" w:rsidRDefault="00FE4C45" w:rsidP="00BF38A9">
            <w:pPr>
              <w:pStyle w:val="BodyText"/>
              <w:tabs>
                <w:tab w:val="left" w:pos="0"/>
              </w:tabs>
              <w:spacing w:line="360" w:lineRule="auto"/>
              <w:ind w:right="27"/>
              <w:jc w:val="center"/>
              <w:rPr>
                <w:b/>
                <w:bCs/>
              </w:rPr>
            </w:pPr>
            <w:r w:rsidRPr="002E07E0">
              <w:rPr>
                <w:b/>
                <w:bCs/>
              </w:rPr>
              <w:t>Notations</w:t>
            </w:r>
          </w:p>
        </w:tc>
        <w:tc>
          <w:tcPr>
            <w:tcW w:w="896" w:type="pct"/>
            <w:tcMar>
              <w:top w:w="15" w:type="dxa"/>
              <w:left w:w="108" w:type="dxa"/>
              <w:bottom w:w="0" w:type="dxa"/>
              <w:right w:w="108" w:type="dxa"/>
            </w:tcMar>
            <w:vAlign w:val="center"/>
            <w:hideMark/>
          </w:tcPr>
          <w:p w14:paraId="18987831" w14:textId="77777777" w:rsidR="00FE4C45" w:rsidRPr="002E07E0" w:rsidRDefault="00FE4C45" w:rsidP="00BF38A9">
            <w:pPr>
              <w:pStyle w:val="BodyText"/>
              <w:tabs>
                <w:tab w:val="left" w:pos="0"/>
              </w:tabs>
              <w:spacing w:line="360" w:lineRule="auto"/>
              <w:ind w:right="27"/>
              <w:jc w:val="center"/>
              <w:rPr>
                <w:b/>
                <w:bCs/>
              </w:rPr>
            </w:pPr>
            <w:r w:rsidRPr="002E07E0">
              <w:rPr>
                <w:b/>
                <w:bCs/>
              </w:rPr>
              <w:t>Treatments</w:t>
            </w:r>
          </w:p>
        </w:tc>
        <w:tc>
          <w:tcPr>
            <w:tcW w:w="511" w:type="pct"/>
            <w:vAlign w:val="center"/>
          </w:tcPr>
          <w:p w14:paraId="2C47BCAE" w14:textId="77777777" w:rsidR="00FE4C45" w:rsidRPr="002E07E0" w:rsidRDefault="00FE4C45" w:rsidP="00BF38A9">
            <w:pPr>
              <w:pStyle w:val="BodyText"/>
              <w:tabs>
                <w:tab w:val="left" w:pos="0"/>
              </w:tabs>
              <w:spacing w:line="360" w:lineRule="auto"/>
              <w:ind w:right="27"/>
              <w:jc w:val="center"/>
              <w:rPr>
                <w:b/>
                <w:bCs/>
              </w:rPr>
            </w:pPr>
            <w:r w:rsidRPr="002E07E0">
              <w:rPr>
                <w:b/>
                <w:bCs/>
              </w:rPr>
              <w:t xml:space="preserve">Number of </w:t>
            </w:r>
            <w:proofErr w:type="gramStart"/>
            <w:r w:rsidRPr="002E07E0">
              <w:rPr>
                <w:b/>
                <w:bCs/>
              </w:rPr>
              <w:t>pod</w:t>
            </w:r>
            <w:proofErr w:type="gramEnd"/>
            <w:r w:rsidRPr="002E07E0">
              <w:rPr>
                <w:b/>
                <w:bCs/>
              </w:rPr>
              <w:t xml:space="preserve"> per plant</w:t>
            </w:r>
          </w:p>
        </w:tc>
        <w:tc>
          <w:tcPr>
            <w:tcW w:w="384" w:type="pct"/>
            <w:vAlign w:val="center"/>
          </w:tcPr>
          <w:p w14:paraId="571E209F" w14:textId="77777777" w:rsidR="00FE4C45" w:rsidRPr="002E07E0" w:rsidRDefault="00FE4C45" w:rsidP="00BF38A9">
            <w:pPr>
              <w:pStyle w:val="BodyText"/>
              <w:tabs>
                <w:tab w:val="left" w:pos="0"/>
              </w:tabs>
              <w:spacing w:line="360" w:lineRule="auto"/>
              <w:ind w:right="27"/>
              <w:jc w:val="center"/>
              <w:rPr>
                <w:b/>
                <w:bCs/>
              </w:rPr>
            </w:pPr>
            <w:r w:rsidRPr="002E07E0">
              <w:rPr>
                <w:b/>
                <w:bCs/>
              </w:rPr>
              <w:t>Pod length (cm)</w:t>
            </w:r>
          </w:p>
        </w:tc>
        <w:tc>
          <w:tcPr>
            <w:tcW w:w="544" w:type="pct"/>
            <w:vAlign w:val="center"/>
          </w:tcPr>
          <w:p w14:paraId="39D6638E"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plant (g)</w:t>
            </w:r>
          </w:p>
        </w:tc>
        <w:tc>
          <w:tcPr>
            <w:tcW w:w="447" w:type="pct"/>
            <w:vAlign w:val="center"/>
          </w:tcPr>
          <w:p w14:paraId="70B618B9" w14:textId="77777777" w:rsidR="00FE4C45" w:rsidRPr="002E07E0" w:rsidRDefault="00FE4C45" w:rsidP="001D37B5">
            <w:pPr>
              <w:pStyle w:val="BodyText"/>
              <w:tabs>
                <w:tab w:val="left" w:pos="0"/>
              </w:tabs>
              <w:spacing w:line="360" w:lineRule="auto"/>
              <w:ind w:right="27"/>
              <w:jc w:val="center"/>
              <w:rPr>
                <w:b/>
                <w:bCs/>
              </w:rPr>
            </w:pPr>
            <w:r w:rsidRPr="002E07E0">
              <w:rPr>
                <w:b/>
                <w:bCs/>
              </w:rPr>
              <w:t xml:space="preserve">Seed yield per </w:t>
            </w:r>
            <w:proofErr w:type="gramStart"/>
            <w:r w:rsidRPr="002E07E0">
              <w:rPr>
                <w:b/>
                <w:bCs/>
              </w:rPr>
              <w:t>plot  (</w:t>
            </w:r>
            <w:proofErr w:type="gramEnd"/>
            <w:r w:rsidRPr="002E07E0">
              <w:rPr>
                <w:b/>
                <w:bCs/>
              </w:rPr>
              <w:t>g)</w:t>
            </w:r>
          </w:p>
        </w:tc>
        <w:tc>
          <w:tcPr>
            <w:tcW w:w="448" w:type="pct"/>
            <w:vAlign w:val="center"/>
          </w:tcPr>
          <w:p w14:paraId="14DF5EC1"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ha</w:t>
            </w:r>
            <w:r w:rsidRPr="002E07E0">
              <w:rPr>
                <w:b/>
                <w:bCs/>
                <w:vertAlign w:val="superscript"/>
              </w:rPr>
              <w:t xml:space="preserve">-1 </w:t>
            </w:r>
            <w:r w:rsidRPr="002E07E0">
              <w:rPr>
                <w:b/>
                <w:bCs/>
              </w:rPr>
              <w:t>(kg)</w:t>
            </w:r>
          </w:p>
        </w:tc>
        <w:tc>
          <w:tcPr>
            <w:tcW w:w="544" w:type="pct"/>
          </w:tcPr>
          <w:p w14:paraId="5842DB2B" w14:textId="77777777" w:rsidR="00FE4C45" w:rsidRPr="002E07E0" w:rsidRDefault="00FE4C45" w:rsidP="001D37B5">
            <w:pPr>
              <w:pStyle w:val="BodyText"/>
              <w:tabs>
                <w:tab w:val="left" w:pos="0"/>
              </w:tabs>
              <w:spacing w:line="360" w:lineRule="auto"/>
              <w:ind w:right="27"/>
              <w:jc w:val="center"/>
              <w:rPr>
                <w:b/>
                <w:bCs/>
              </w:rPr>
            </w:pPr>
            <w:r w:rsidRPr="002E07E0">
              <w:rPr>
                <w:b/>
                <w:bCs/>
              </w:rPr>
              <w:t>Protein content (%)</w:t>
            </w:r>
          </w:p>
        </w:tc>
        <w:tc>
          <w:tcPr>
            <w:tcW w:w="370" w:type="pct"/>
            <w:vAlign w:val="center"/>
          </w:tcPr>
          <w:p w14:paraId="17DEDE49" w14:textId="77777777" w:rsidR="00FE4C45" w:rsidRPr="002E07E0" w:rsidRDefault="00FE4C45" w:rsidP="001D37B5">
            <w:pPr>
              <w:pStyle w:val="BodyText"/>
              <w:tabs>
                <w:tab w:val="left" w:pos="0"/>
              </w:tabs>
              <w:spacing w:line="360" w:lineRule="auto"/>
              <w:ind w:right="27"/>
              <w:jc w:val="center"/>
              <w:rPr>
                <w:b/>
                <w:bCs/>
              </w:rPr>
            </w:pPr>
            <w:r w:rsidRPr="002E07E0">
              <w:rPr>
                <w:b/>
                <w:bCs/>
              </w:rPr>
              <w:t>Net return</w:t>
            </w:r>
          </w:p>
        </w:tc>
        <w:tc>
          <w:tcPr>
            <w:tcW w:w="434" w:type="pct"/>
            <w:vAlign w:val="center"/>
          </w:tcPr>
          <w:p w14:paraId="5C024BF1" w14:textId="77777777" w:rsidR="00FE4C45" w:rsidRPr="002E07E0" w:rsidRDefault="00FE4C45" w:rsidP="001D37B5">
            <w:pPr>
              <w:pStyle w:val="BodyText"/>
              <w:tabs>
                <w:tab w:val="left" w:pos="0"/>
              </w:tabs>
              <w:spacing w:line="360" w:lineRule="auto"/>
              <w:ind w:right="27"/>
              <w:jc w:val="center"/>
              <w:rPr>
                <w:b/>
                <w:bCs/>
              </w:rPr>
            </w:pPr>
            <w:r w:rsidRPr="002E07E0">
              <w:rPr>
                <w:b/>
                <w:bCs/>
              </w:rPr>
              <w:t>B:C ratio</w:t>
            </w:r>
          </w:p>
        </w:tc>
      </w:tr>
      <w:tr w:rsidR="002E07E0" w:rsidRPr="002E07E0" w14:paraId="105B03C4" w14:textId="77777777" w:rsidTr="00FE4C45">
        <w:trPr>
          <w:trHeight w:val="549"/>
        </w:trPr>
        <w:tc>
          <w:tcPr>
            <w:tcW w:w="422" w:type="pct"/>
            <w:tcMar>
              <w:top w:w="15" w:type="dxa"/>
              <w:left w:w="108" w:type="dxa"/>
              <w:bottom w:w="0" w:type="dxa"/>
              <w:right w:w="108" w:type="dxa"/>
            </w:tcMar>
            <w:vAlign w:val="center"/>
            <w:hideMark/>
          </w:tcPr>
          <w:p w14:paraId="27A9AA3F"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w:t>
            </w:r>
          </w:p>
        </w:tc>
        <w:tc>
          <w:tcPr>
            <w:tcW w:w="896" w:type="pct"/>
            <w:tcMar>
              <w:top w:w="15" w:type="dxa"/>
              <w:left w:w="108" w:type="dxa"/>
              <w:bottom w:w="0" w:type="dxa"/>
              <w:right w:w="108" w:type="dxa"/>
            </w:tcMar>
            <w:vAlign w:val="center"/>
            <w:hideMark/>
          </w:tcPr>
          <w:p w14:paraId="32F50ADB" w14:textId="77777777" w:rsidR="00FE4C45" w:rsidRPr="002E07E0" w:rsidRDefault="00FE4C45" w:rsidP="00BF38A9">
            <w:pPr>
              <w:pStyle w:val="BodyText"/>
              <w:tabs>
                <w:tab w:val="left" w:pos="0"/>
              </w:tabs>
              <w:spacing w:line="360" w:lineRule="auto"/>
              <w:ind w:right="27"/>
            </w:pPr>
            <w:r w:rsidRPr="002E07E0">
              <w:t>Control</w:t>
            </w:r>
          </w:p>
        </w:tc>
        <w:tc>
          <w:tcPr>
            <w:tcW w:w="511" w:type="pct"/>
            <w:vAlign w:val="center"/>
          </w:tcPr>
          <w:p w14:paraId="7DAE307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23.19</w:t>
            </w:r>
          </w:p>
        </w:tc>
        <w:tc>
          <w:tcPr>
            <w:tcW w:w="384" w:type="pct"/>
            <w:vAlign w:val="center"/>
          </w:tcPr>
          <w:p w14:paraId="1E8685A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6.23</w:t>
            </w:r>
          </w:p>
        </w:tc>
        <w:tc>
          <w:tcPr>
            <w:tcW w:w="544" w:type="pct"/>
            <w:vAlign w:val="center"/>
          </w:tcPr>
          <w:p w14:paraId="29C1F62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27.55</w:t>
            </w:r>
          </w:p>
        </w:tc>
        <w:tc>
          <w:tcPr>
            <w:tcW w:w="447" w:type="pct"/>
            <w:vAlign w:val="center"/>
          </w:tcPr>
          <w:p w14:paraId="110D805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1224.44</w:t>
            </w:r>
          </w:p>
        </w:tc>
        <w:tc>
          <w:tcPr>
            <w:tcW w:w="448" w:type="pct"/>
            <w:vAlign w:val="center"/>
          </w:tcPr>
          <w:p w14:paraId="4E00CC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4081.48</w:t>
            </w:r>
          </w:p>
        </w:tc>
        <w:tc>
          <w:tcPr>
            <w:tcW w:w="544" w:type="pct"/>
            <w:vAlign w:val="center"/>
          </w:tcPr>
          <w:p w14:paraId="0FB3A28D"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20.12</w:t>
            </w:r>
          </w:p>
        </w:tc>
        <w:tc>
          <w:tcPr>
            <w:tcW w:w="370" w:type="pct"/>
            <w:vAlign w:val="center"/>
          </w:tcPr>
          <w:p w14:paraId="796FBB9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33467</w:t>
            </w:r>
          </w:p>
        </w:tc>
        <w:tc>
          <w:tcPr>
            <w:tcW w:w="434" w:type="pct"/>
            <w:vAlign w:val="center"/>
          </w:tcPr>
          <w:p w14:paraId="4E7C447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1.84</w:t>
            </w:r>
          </w:p>
        </w:tc>
      </w:tr>
      <w:tr w:rsidR="002E07E0" w:rsidRPr="002E07E0" w14:paraId="213FD534" w14:textId="77777777" w:rsidTr="00FE4C45">
        <w:trPr>
          <w:trHeight w:val="549"/>
        </w:trPr>
        <w:tc>
          <w:tcPr>
            <w:tcW w:w="422" w:type="pct"/>
            <w:tcMar>
              <w:top w:w="15" w:type="dxa"/>
              <w:left w:w="108" w:type="dxa"/>
              <w:bottom w:w="0" w:type="dxa"/>
              <w:right w:w="108" w:type="dxa"/>
            </w:tcMar>
            <w:vAlign w:val="center"/>
            <w:hideMark/>
          </w:tcPr>
          <w:p w14:paraId="0EAC1FB7"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2</w:t>
            </w:r>
          </w:p>
        </w:tc>
        <w:tc>
          <w:tcPr>
            <w:tcW w:w="896" w:type="pct"/>
            <w:tcMar>
              <w:top w:w="15" w:type="dxa"/>
              <w:left w:w="108" w:type="dxa"/>
              <w:bottom w:w="0" w:type="dxa"/>
              <w:right w:w="108" w:type="dxa"/>
            </w:tcMar>
            <w:vAlign w:val="center"/>
            <w:hideMark/>
          </w:tcPr>
          <w:p w14:paraId="7C497B14"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50  ppm</w:t>
            </w:r>
            <w:proofErr w:type="gramEnd"/>
          </w:p>
        </w:tc>
        <w:tc>
          <w:tcPr>
            <w:tcW w:w="511" w:type="pct"/>
            <w:vAlign w:val="center"/>
          </w:tcPr>
          <w:p w14:paraId="2A03B90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29.26</w:t>
            </w:r>
          </w:p>
        </w:tc>
        <w:tc>
          <w:tcPr>
            <w:tcW w:w="384" w:type="pct"/>
            <w:vAlign w:val="center"/>
          </w:tcPr>
          <w:p w14:paraId="6BDE510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6.47</w:t>
            </w:r>
          </w:p>
        </w:tc>
        <w:tc>
          <w:tcPr>
            <w:tcW w:w="544" w:type="pct"/>
            <w:vAlign w:val="center"/>
          </w:tcPr>
          <w:p w14:paraId="4AD773A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30.43</w:t>
            </w:r>
          </w:p>
        </w:tc>
        <w:tc>
          <w:tcPr>
            <w:tcW w:w="447" w:type="pct"/>
            <w:vAlign w:val="center"/>
          </w:tcPr>
          <w:p w14:paraId="467D90A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1352.36</w:t>
            </w:r>
          </w:p>
        </w:tc>
        <w:tc>
          <w:tcPr>
            <w:tcW w:w="448" w:type="pct"/>
            <w:vAlign w:val="center"/>
          </w:tcPr>
          <w:p w14:paraId="5A2465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4507.87</w:t>
            </w:r>
          </w:p>
        </w:tc>
        <w:tc>
          <w:tcPr>
            <w:tcW w:w="544" w:type="pct"/>
            <w:vAlign w:val="center"/>
          </w:tcPr>
          <w:p w14:paraId="415447B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21.35</w:t>
            </w:r>
          </w:p>
        </w:tc>
        <w:tc>
          <w:tcPr>
            <w:tcW w:w="370" w:type="pct"/>
            <w:vAlign w:val="center"/>
          </w:tcPr>
          <w:p w14:paraId="594F082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38942</w:t>
            </w:r>
          </w:p>
        </w:tc>
        <w:tc>
          <w:tcPr>
            <w:tcW w:w="434" w:type="pct"/>
            <w:vAlign w:val="center"/>
          </w:tcPr>
          <w:p w14:paraId="47F8722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1.92</w:t>
            </w:r>
          </w:p>
        </w:tc>
      </w:tr>
      <w:tr w:rsidR="002E07E0" w:rsidRPr="002E07E0" w14:paraId="059458B2" w14:textId="77777777" w:rsidTr="00FE4C45">
        <w:trPr>
          <w:trHeight w:val="549"/>
        </w:trPr>
        <w:tc>
          <w:tcPr>
            <w:tcW w:w="422" w:type="pct"/>
            <w:tcMar>
              <w:top w:w="15" w:type="dxa"/>
              <w:left w:w="108" w:type="dxa"/>
              <w:bottom w:w="0" w:type="dxa"/>
              <w:right w:w="108" w:type="dxa"/>
            </w:tcMar>
            <w:vAlign w:val="center"/>
            <w:hideMark/>
          </w:tcPr>
          <w:p w14:paraId="28E2E49D"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3</w:t>
            </w:r>
          </w:p>
        </w:tc>
        <w:tc>
          <w:tcPr>
            <w:tcW w:w="896" w:type="pct"/>
            <w:tcMar>
              <w:top w:w="15" w:type="dxa"/>
              <w:left w:w="108" w:type="dxa"/>
              <w:bottom w:w="0" w:type="dxa"/>
              <w:right w:w="108" w:type="dxa"/>
            </w:tcMar>
            <w:vAlign w:val="center"/>
            <w:hideMark/>
          </w:tcPr>
          <w:p w14:paraId="236921C5" w14:textId="77777777" w:rsidR="00FE4C45" w:rsidRPr="002E07E0" w:rsidRDefault="00FE4C45" w:rsidP="00BF38A9">
            <w:pPr>
              <w:pStyle w:val="BodyText"/>
              <w:tabs>
                <w:tab w:val="left" w:pos="0"/>
              </w:tabs>
              <w:spacing w:line="360" w:lineRule="auto"/>
              <w:ind w:right="27"/>
            </w:pPr>
            <w:r w:rsidRPr="002E07E0">
              <w:t xml:space="preserve">NAA </w:t>
            </w:r>
            <w:proofErr w:type="gramStart"/>
            <w:r w:rsidRPr="002E07E0">
              <w:t>100  ppm</w:t>
            </w:r>
            <w:proofErr w:type="gramEnd"/>
          </w:p>
        </w:tc>
        <w:tc>
          <w:tcPr>
            <w:tcW w:w="511" w:type="pct"/>
            <w:vAlign w:val="center"/>
          </w:tcPr>
          <w:p w14:paraId="134148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37.19</w:t>
            </w:r>
          </w:p>
        </w:tc>
        <w:tc>
          <w:tcPr>
            <w:tcW w:w="384" w:type="pct"/>
            <w:vAlign w:val="center"/>
          </w:tcPr>
          <w:p w14:paraId="4A74F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7.28</w:t>
            </w:r>
          </w:p>
        </w:tc>
        <w:tc>
          <w:tcPr>
            <w:tcW w:w="544" w:type="pct"/>
            <w:vAlign w:val="center"/>
          </w:tcPr>
          <w:p w14:paraId="042660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38.67</w:t>
            </w:r>
          </w:p>
        </w:tc>
        <w:tc>
          <w:tcPr>
            <w:tcW w:w="447" w:type="pct"/>
            <w:vAlign w:val="center"/>
          </w:tcPr>
          <w:p w14:paraId="4F48127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1718.77</w:t>
            </w:r>
          </w:p>
        </w:tc>
        <w:tc>
          <w:tcPr>
            <w:tcW w:w="448" w:type="pct"/>
            <w:vAlign w:val="center"/>
          </w:tcPr>
          <w:p w14:paraId="1AF9C33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5729.24</w:t>
            </w:r>
          </w:p>
        </w:tc>
        <w:tc>
          <w:tcPr>
            <w:tcW w:w="544" w:type="pct"/>
            <w:vAlign w:val="center"/>
          </w:tcPr>
          <w:p w14:paraId="7AC3CABB"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22.54</w:t>
            </w:r>
          </w:p>
        </w:tc>
        <w:tc>
          <w:tcPr>
            <w:tcW w:w="370" w:type="pct"/>
            <w:vAlign w:val="center"/>
          </w:tcPr>
          <w:p w14:paraId="4445646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58726</w:t>
            </w:r>
          </w:p>
        </w:tc>
        <w:tc>
          <w:tcPr>
            <w:tcW w:w="434" w:type="pct"/>
            <w:vAlign w:val="center"/>
          </w:tcPr>
          <w:p w14:paraId="35291EE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2.32</w:t>
            </w:r>
          </w:p>
        </w:tc>
      </w:tr>
      <w:tr w:rsidR="002E07E0" w:rsidRPr="002E07E0" w14:paraId="2BB90BD5" w14:textId="77777777" w:rsidTr="00FE4C45">
        <w:trPr>
          <w:trHeight w:val="530"/>
        </w:trPr>
        <w:tc>
          <w:tcPr>
            <w:tcW w:w="422" w:type="pct"/>
            <w:tcMar>
              <w:top w:w="15" w:type="dxa"/>
              <w:left w:w="108" w:type="dxa"/>
              <w:bottom w:w="0" w:type="dxa"/>
              <w:right w:w="108" w:type="dxa"/>
            </w:tcMar>
            <w:vAlign w:val="center"/>
            <w:hideMark/>
          </w:tcPr>
          <w:p w14:paraId="271B5C0A"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4</w:t>
            </w:r>
          </w:p>
        </w:tc>
        <w:tc>
          <w:tcPr>
            <w:tcW w:w="896" w:type="pct"/>
            <w:tcMar>
              <w:top w:w="15" w:type="dxa"/>
              <w:left w:w="108" w:type="dxa"/>
              <w:bottom w:w="0" w:type="dxa"/>
              <w:right w:w="108" w:type="dxa"/>
            </w:tcMar>
            <w:vAlign w:val="center"/>
            <w:hideMark/>
          </w:tcPr>
          <w:p w14:paraId="5FA6A806" w14:textId="77777777" w:rsidR="00FE4C45" w:rsidRPr="002E07E0" w:rsidRDefault="00FE4C45" w:rsidP="00BF38A9">
            <w:pPr>
              <w:pStyle w:val="BodyText"/>
              <w:tabs>
                <w:tab w:val="left" w:pos="0"/>
              </w:tabs>
              <w:spacing w:line="360" w:lineRule="auto"/>
              <w:ind w:right="27"/>
            </w:pPr>
            <w:r w:rsidRPr="002E07E0">
              <w:t>NAA 150 ppm</w:t>
            </w:r>
          </w:p>
        </w:tc>
        <w:tc>
          <w:tcPr>
            <w:tcW w:w="511" w:type="pct"/>
            <w:vAlign w:val="center"/>
          </w:tcPr>
          <w:p w14:paraId="1788D77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42.52</w:t>
            </w:r>
          </w:p>
        </w:tc>
        <w:tc>
          <w:tcPr>
            <w:tcW w:w="384" w:type="pct"/>
            <w:vAlign w:val="center"/>
          </w:tcPr>
          <w:p w14:paraId="77BE5ED8"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7.65</w:t>
            </w:r>
          </w:p>
        </w:tc>
        <w:tc>
          <w:tcPr>
            <w:tcW w:w="544" w:type="pct"/>
            <w:vAlign w:val="center"/>
          </w:tcPr>
          <w:p w14:paraId="5D497F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44.22</w:t>
            </w:r>
          </w:p>
        </w:tc>
        <w:tc>
          <w:tcPr>
            <w:tcW w:w="447" w:type="pct"/>
            <w:vAlign w:val="center"/>
          </w:tcPr>
          <w:p w14:paraId="67A495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1965.29</w:t>
            </w:r>
          </w:p>
        </w:tc>
        <w:tc>
          <w:tcPr>
            <w:tcW w:w="448" w:type="pct"/>
            <w:vAlign w:val="center"/>
          </w:tcPr>
          <w:p w14:paraId="3009CBA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6550.98</w:t>
            </w:r>
          </w:p>
        </w:tc>
        <w:tc>
          <w:tcPr>
            <w:tcW w:w="544" w:type="pct"/>
            <w:vAlign w:val="center"/>
          </w:tcPr>
          <w:p w14:paraId="02D70E41"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23.50</w:t>
            </w:r>
          </w:p>
        </w:tc>
        <w:tc>
          <w:tcPr>
            <w:tcW w:w="370" w:type="pct"/>
            <w:vAlign w:val="center"/>
          </w:tcPr>
          <w:p w14:paraId="0F4A90C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71318</w:t>
            </w:r>
          </w:p>
        </w:tc>
        <w:tc>
          <w:tcPr>
            <w:tcW w:w="434" w:type="pct"/>
            <w:vAlign w:val="center"/>
          </w:tcPr>
          <w:p w14:paraId="3AA01E5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2.53</w:t>
            </w:r>
          </w:p>
        </w:tc>
      </w:tr>
      <w:tr w:rsidR="002E07E0" w:rsidRPr="002E07E0" w14:paraId="78021BB9" w14:textId="77777777" w:rsidTr="00FE4C45">
        <w:trPr>
          <w:trHeight w:val="549"/>
        </w:trPr>
        <w:tc>
          <w:tcPr>
            <w:tcW w:w="422" w:type="pct"/>
            <w:tcMar>
              <w:top w:w="15" w:type="dxa"/>
              <w:left w:w="108" w:type="dxa"/>
              <w:bottom w:w="0" w:type="dxa"/>
              <w:right w:w="108" w:type="dxa"/>
            </w:tcMar>
            <w:vAlign w:val="center"/>
            <w:hideMark/>
          </w:tcPr>
          <w:p w14:paraId="7507B980"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5</w:t>
            </w:r>
          </w:p>
        </w:tc>
        <w:tc>
          <w:tcPr>
            <w:tcW w:w="896" w:type="pct"/>
            <w:tcMar>
              <w:top w:w="15" w:type="dxa"/>
              <w:left w:w="108" w:type="dxa"/>
              <w:bottom w:w="0" w:type="dxa"/>
              <w:right w:w="108" w:type="dxa"/>
            </w:tcMar>
            <w:vAlign w:val="center"/>
            <w:hideMark/>
          </w:tcPr>
          <w:p w14:paraId="44645C82"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50  ppm</w:t>
            </w:r>
            <w:proofErr w:type="gramEnd"/>
          </w:p>
        </w:tc>
        <w:tc>
          <w:tcPr>
            <w:tcW w:w="511" w:type="pct"/>
            <w:vAlign w:val="center"/>
          </w:tcPr>
          <w:p w14:paraId="593DCE8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33.60</w:t>
            </w:r>
          </w:p>
        </w:tc>
        <w:tc>
          <w:tcPr>
            <w:tcW w:w="384" w:type="pct"/>
            <w:vAlign w:val="center"/>
          </w:tcPr>
          <w:p w14:paraId="3329E392"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7.90</w:t>
            </w:r>
          </w:p>
        </w:tc>
        <w:tc>
          <w:tcPr>
            <w:tcW w:w="544" w:type="pct"/>
            <w:vAlign w:val="center"/>
          </w:tcPr>
          <w:p w14:paraId="690C24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34.94</w:t>
            </w:r>
          </w:p>
        </w:tc>
        <w:tc>
          <w:tcPr>
            <w:tcW w:w="447" w:type="pct"/>
            <w:vAlign w:val="center"/>
          </w:tcPr>
          <w:p w14:paraId="11E2AD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1552.99</w:t>
            </w:r>
          </w:p>
        </w:tc>
        <w:tc>
          <w:tcPr>
            <w:tcW w:w="448" w:type="pct"/>
            <w:vAlign w:val="center"/>
          </w:tcPr>
          <w:p w14:paraId="402432F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5176.64</w:t>
            </w:r>
          </w:p>
        </w:tc>
        <w:tc>
          <w:tcPr>
            <w:tcW w:w="544" w:type="pct"/>
            <w:vAlign w:val="center"/>
          </w:tcPr>
          <w:p w14:paraId="47C538E7"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22.35</w:t>
            </w:r>
          </w:p>
        </w:tc>
        <w:tc>
          <w:tcPr>
            <w:tcW w:w="370" w:type="pct"/>
            <w:vAlign w:val="center"/>
          </w:tcPr>
          <w:p w14:paraId="7424CEB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50880</w:t>
            </w:r>
          </w:p>
        </w:tc>
        <w:tc>
          <w:tcPr>
            <w:tcW w:w="434" w:type="pct"/>
            <w:vAlign w:val="center"/>
          </w:tcPr>
          <w:p w14:paraId="431AD8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2.20</w:t>
            </w:r>
          </w:p>
        </w:tc>
      </w:tr>
      <w:tr w:rsidR="002E07E0" w:rsidRPr="002E07E0" w14:paraId="57176179" w14:textId="77777777" w:rsidTr="00FE4C45">
        <w:trPr>
          <w:trHeight w:val="549"/>
        </w:trPr>
        <w:tc>
          <w:tcPr>
            <w:tcW w:w="422" w:type="pct"/>
            <w:tcMar>
              <w:top w:w="15" w:type="dxa"/>
              <w:left w:w="108" w:type="dxa"/>
              <w:bottom w:w="0" w:type="dxa"/>
              <w:right w:w="108" w:type="dxa"/>
            </w:tcMar>
            <w:vAlign w:val="center"/>
            <w:hideMark/>
          </w:tcPr>
          <w:p w14:paraId="03EE778E"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6</w:t>
            </w:r>
          </w:p>
        </w:tc>
        <w:tc>
          <w:tcPr>
            <w:tcW w:w="896" w:type="pct"/>
            <w:tcMar>
              <w:top w:w="15" w:type="dxa"/>
              <w:left w:w="108" w:type="dxa"/>
              <w:bottom w:w="0" w:type="dxa"/>
              <w:right w:w="108" w:type="dxa"/>
            </w:tcMar>
            <w:vAlign w:val="center"/>
            <w:hideMark/>
          </w:tcPr>
          <w:p w14:paraId="6E6D3310"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100  ppm</w:t>
            </w:r>
            <w:proofErr w:type="gramEnd"/>
          </w:p>
        </w:tc>
        <w:tc>
          <w:tcPr>
            <w:tcW w:w="511" w:type="pct"/>
            <w:vAlign w:val="center"/>
          </w:tcPr>
          <w:p w14:paraId="6E4CDAA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44.58</w:t>
            </w:r>
          </w:p>
        </w:tc>
        <w:tc>
          <w:tcPr>
            <w:tcW w:w="384" w:type="pct"/>
            <w:vAlign w:val="center"/>
          </w:tcPr>
          <w:p w14:paraId="156D43F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8.23</w:t>
            </w:r>
          </w:p>
        </w:tc>
        <w:tc>
          <w:tcPr>
            <w:tcW w:w="544" w:type="pct"/>
            <w:vAlign w:val="center"/>
          </w:tcPr>
          <w:p w14:paraId="1BD5019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46.37</w:t>
            </w:r>
          </w:p>
        </w:tc>
        <w:tc>
          <w:tcPr>
            <w:tcW w:w="447" w:type="pct"/>
            <w:vAlign w:val="center"/>
          </w:tcPr>
          <w:p w14:paraId="55ABEEA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2060.78</w:t>
            </w:r>
          </w:p>
        </w:tc>
        <w:tc>
          <w:tcPr>
            <w:tcW w:w="448" w:type="pct"/>
            <w:vAlign w:val="center"/>
          </w:tcPr>
          <w:p w14:paraId="3FEF57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6869.27</w:t>
            </w:r>
          </w:p>
        </w:tc>
        <w:tc>
          <w:tcPr>
            <w:tcW w:w="544" w:type="pct"/>
            <w:vAlign w:val="center"/>
          </w:tcPr>
          <w:p w14:paraId="5C0A4892"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23.56</w:t>
            </w:r>
          </w:p>
        </w:tc>
        <w:tc>
          <w:tcPr>
            <w:tcW w:w="370" w:type="pct"/>
            <w:vAlign w:val="center"/>
          </w:tcPr>
          <w:p w14:paraId="118EE4F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79047</w:t>
            </w:r>
          </w:p>
        </w:tc>
        <w:tc>
          <w:tcPr>
            <w:tcW w:w="434" w:type="pct"/>
            <w:vAlign w:val="center"/>
          </w:tcPr>
          <w:p w14:paraId="31F31FC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w:t>
            </w:r>
          </w:p>
        </w:tc>
      </w:tr>
      <w:tr w:rsidR="002E07E0" w:rsidRPr="002E07E0" w14:paraId="3CFD036B" w14:textId="77777777" w:rsidTr="00FE4C45">
        <w:trPr>
          <w:trHeight w:val="549"/>
        </w:trPr>
        <w:tc>
          <w:tcPr>
            <w:tcW w:w="422" w:type="pct"/>
            <w:tcMar>
              <w:top w:w="15" w:type="dxa"/>
              <w:left w:w="108" w:type="dxa"/>
              <w:bottom w:w="0" w:type="dxa"/>
              <w:right w:w="108" w:type="dxa"/>
            </w:tcMar>
            <w:vAlign w:val="center"/>
            <w:hideMark/>
          </w:tcPr>
          <w:p w14:paraId="370337AC"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7</w:t>
            </w:r>
          </w:p>
        </w:tc>
        <w:tc>
          <w:tcPr>
            <w:tcW w:w="896" w:type="pct"/>
            <w:tcMar>
              <w:top w:w="15" w:type="dxa"/>
              <w:left w:w="108" w:type="dxa"/>
              <w:bottom w:w="0" w:type="dxa"/>
              <w:right w:w="108" w:type="dxa"/>
            </w:tcMar>
            <w:vAlign w:val="center"/>
            <w:hideMark/>
          </w:tcPr>
          <w:p w14:paraId="117B9DB9" w14:textId="77777777" w:rsidR="00FE4C45" w:rsidRPr="002E07E0" w:rsidRDefault="00FE4C45" w:rsidP="00BF38A9">
            <w:pPr>
              <w:pStyle w:val="BodyText"/>
              <w:tabs>
                <w:tab w:val="left" w:pos="0"/>
              </w:tabs>
              <w:spacing w:line="360" w:lineRule="auto"/>
              <w:ind w:right="27"/>
            </w:pPr>
            <w:r w:rsidRPr="002E07E0">
              <w:t xml:space="preserve">GA3 </w:t>
            </w:r>
            <w:proofErr w:type="gramStart"/>
            <w:r w:rsidRPr="002E07E0">
              <w:t>150  ppm</w:t>
            </w:r>
            <w:proofErr w:type="gramEnd"/>
          </w:p>
        </w:tc>
        <w:tc>
          <w:tcPr>
            <w:tcW w:w="511" w:type="pct"/>
            <w:vAlign w:val="center"/>
          </w:tcPr>
          <w:p w14:paraId="4E5E8CA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51.81</w:t>
            </w:r>
          </w:p>
        </w:tc>
        <w:tc>
          <w:tcPr>
            <w:tcW w:w="384" w:type="pct"/>
            <w:vAlign w:val="center"/>
          </w:tcPr>
          <w:p w14:paraId="1C48048C"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9.14</w:t>
            </w:r>
          </w:p>
        </w:tc>
        <w:tc>
          <w:tcPr>
            <w:tcW w:w="544" w:type="pct"/>
            <w:vAlign w:val="center"/>
          </w:tcPr>
          <w:p w14:paraId="11E322B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53.88</w:t>
            </w:r>
          </w:p>
        </w:tc>
        <w:tc>
          <w:tcPr>
            <w:tcW w:w="447" w:type="pct"/>
            <w:vAlign w:val="center"/>
          </w:tcPr>
          <w:p w14:paraId="51B76E4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2394.60</w:t>
            </w:r>
          </w:p>
        </w:tc>
        <w:tc>
          <w:tcPr>
            <w:tcW w:w="448" w:type="pct"/>
            <w:vAlign w:val="center"/>
          </w:tcPr>
          <w:p w14:paraId="050E11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7981.99</w:t>
            </w:r>
          </w:p>
        </w:tc>
        <w:tc>
          <w:tcPr>
            <w:tcW w:w="544" w:type="pct"/>
            <w:vAlign w:val="center"/>
          </w:tcPr>
          <w:p w14:paraId="07CFA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23.87</w:t>
            </w:r>
          </w:p>
        </w:tc>
        <w:tc>
          <w:tcPr>
            <w:tcW w:w="370" w:type="pct"/>
            <w:vAlign w:val="center"/>
          </w:tcPr>
          <w:p w14:paraId="447825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96776</w:t>
            </w:r>
          </w:p>
        </w:tc>
        <w:tc>
          <w:tcPr>
            <w:tcW w:w="434" w:type="pct"/>
            <w:vAlign w:val="center"/>
          </w:tcPr>
          <w:p w14:paraId="504D35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3.06</w:t>
            </w:r>
          </w:p>
        </w:tc>
      </w:tr>
      <w:tr w:rsidR="002E07E0" w:rsidRPr="002E07E0" w14:paraId="327EF612" w14:textId="77777777" w:rsidTr="00FE4C45">
        <w:trPr>
          <w:trHeight w:hRule="exact" w:val="563"/>
        </w:trPr>
        <w:tc>
          <w:tcPr>
            <w:tcW w:w="422" w:type="pct"/>
            <w:tcMar>
              <w:top w:w="15" w:type="dxa"/>
              <w:left w:w="108" w:type="dxa"/>
              <w:bottom w:w="0" w:type="dxa"/>
              <w:right w:w="108" w:type="dxa"/>
            </w:tcMar>
            <w:vAlign w:val="center"/>
            <w:hideMark/>
          </w:tcPr>
          <w:p w14:paraId="5178E913"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8</w:t>
            </w:r>
          </w:p>
        </w:tc>
        <w:tc>
          <w:tcPr>
            <w:tcW w:w="896" w:type="pct"/>
            <w:tcMar>
              <w:top w:w="15" w:type="dxa"/>
              <w:left w:w="108" w:type="dxa"/>
              <w:bottom w:w="0" w:type="dxa"/>
              <w:right w:w="108" w:type="dxa"/>
            </w:tcMar>
            <w:vAlign w:val="center"/>
            <w:hideMark/>
          </w:tcPr>
          <w:p w14:paraId="2692698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1" w:type="pct"/>
            <w:vAlign w:val="center"/>
          </w:tcPr>
          <w:p w14:paraId="59E6270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60.06</w:t>
            </w:r>
          </w:p>
        </w:tc>
        <w:tc>
          <w:tcPr>
            <w:tcW w:w="384" w:type="pct"/>
            <w:vAlign w:val="center"/>
          </w:tcPr>
          <w:p w14:paraId="6D74BF23"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9.53</w:t>
            </w:r>
          </w:p>
        </w:tc>
        <w:tc>
          <w:tcPr>
            <w:tcW w:w="544" w:type="pct"/>
            <w:vAlign w:val="center"/>
          </w:tcPr>
          <w:p w14:paraId="32D5A25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62.46</w:t>
            </w:r>
          </w:p>
        </w:tc>
        <w:tc>
          <w:tcPr>
            <w:tcW w:w="447" w:type="pct"/>
            <w:vAlign w:val="center"/>
          </w:tcPr>
          <w:p w14:paraId="48C2C55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2775.97</w:t>
            </w:r>
          </w:p>
        </w:tc>
        <w:tc>
          <w:tcPr>
            <w:tcW w:w="448" w:type="pct"/>
            <w:vAlign w:val="center"/>
          </w:tcPr>
          <w:p w14:paraId="7319889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9253.24</w:t>
            </w:r>
          </w:p>
        </w:tc>
        <w:tc>
          <w:tcPr>
            <w:tcW w:w="544" w:type="pct"/>
            <w:vAlign w:val="center"/>
          </w:tcPr>
          <w:p w14:paraId="359A4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24.22</w:t>
            </w:r>
          </w:p>
        </w:tc>
        <w:tc>
          <w:tcPr>
            <w:tcW w:w="370" w:type="pct"/>
            <w:vAlign w:val="center"/>
          </w:tcPr>
          <w:p w14:paraId="7AD4690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124008</w:t>
            </w:r>
          </w:p>
        </w:tc>
        <w:tc>
          <w:tcPr>
            <w:tcW w:w="434" w:type="pct"/>
            <w:vAlign w:val="center"/>
          </w:tcPr>
          <w:p w14:paraId="41CEB83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3.91</w:t>
            </w:r>
          </w:p>
        </w:tc>
      </w:tr>
      <w:tr w:rsidR="002E07E0" w:rsidRPr="002E07E0" w14:paraId="56C0B524" w14:textId="77777777" w:rsidTr="00FE4C45">
        <w:trPr>
          <w:trHeight w:val="549"/>
        </w:trPr>
        <w:tc>
          <w:tcPr>
            <w:tcW w:w="422" w:type="pct"/>
            <w:tcMar>
              <w:top w:w="15" w:type="dxa"/>
              <w:left w:w="108" w:type="dxa"/>
              <w:bottom w:w="0" w:type="dxa"/>
              <w:right w:w="108" w:type="dxa"/>
            </w:tcMar>
            <w:vAlign w:val="center"/>
            <w:hideMark/>
          </w:tcPr>
          <w:p w14:paraId="4BB2D852"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9</w:t>
            </w:r>
          </w:p>
        </w:tc>
        <w:tc>
          <w:tcPr>
            <w:tcW w:w="896" w:type="pct"/>
            <w:tcMar>
              <w:top w:w="15" w:type="dxa"/>
              <w:left w:w="108" w:type="dxa"/>
              <w:bottom w:w="0" w:type="dxa"/>
              <w:right w:w="108" w:type="dxa"/>
            </w:tcMar>
            <w:vAlign w:val="center"/>
            <w:hideMark/>
          </w:tcPr>
          <w:p w14:paraId="27219C14"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1" w:type="pct"/>
            <w:vAlign w:val="center"/>
          </w:tcPr>
          <w:p w14:paraId="4F6D806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45.22</w:t>
            </w:r>
          </w:p>
        </w:tc>
        <w:tc>
          <w:tcPr>
            <w:tcW w:w="384" w:type="pct"/>
            <w:vAlign w:val="center"/>
          </w:tcPr>
          <w:p w14:paraId="36E31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8.56</w:t>
            </w:r>
          </w:p>
        </w:tc>
        <w:tc>
          <w:tcPr>
            <w:tcW w:w="544" w:type="pct"/>
            <w:vAlign w:val="center"/>
          </w:tcPr>
          <w:p w14:paraId="40E7EE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47.03</w:t>
            </w:r>
          </w:p>
        </w:tc>
        <w:tc>
          <w:tcPr>
            <w:tcW w:w="447" w:type="pct"/>
            <w:vAlign w:val="center"/>
          </w:tcPr>
          <w:p w14:paraId="1CC7305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2090.14</w:t>
            </w:r>
          </w:p>
        </w:tc>
        <w:tc>
          <w:tcPr>
            <w:tcW w:w="448" w:type="pct"/>
            <w:vAlign w:val="center"/>
          </w:tcPr>
          <w:p w14:paraId="2096D6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6967.12</w:t>
            </w:r>
          </w:p>
        </w:tc>
        <w:tc>
          <w:tcPr>
            <w:tcW w:w="544" w:type="pct"/>
            <w:vAlign w:val="center"/>
          </w:tcPr>
          <w:p w14:paraId="55AF8BE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23.14</w:t>
            </w:r>
          </w:p>
        </w:tc>
        <w:tc>
          <w:tcPr>
            <w:tcW w:w="370" w:type="pct"/>
            <w:vAlign w:val="center"/>
          </w:tcPr>
          <w:p w14:paraId="4A96AE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80308</w:t>
            </w:r>
          </w:p>
        </w:tc>
        <w:tc>
          <w:tcPr>
            <w:tcW w:w="434" w:type="pct"/>
            <w:vAlign w:val="center"/>
          </w:tcPr>
          <w:p w14:paraId="11A3DF78"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2.78</w:t>
            </w:r>
          </w:p>
        </w:tc>
      </w:tr>
      <w:tr w:rsidR="002E07E0" w:rsidRPr="002E07E0" w14:paraId="276B0BF6" w14:textId="77777777" w:rsidTr="00FE4C45">
        <w:trPr>
          <w:trHeight w:val="549"/>
        </w:trPr>
        <w:tc>
          <w:tcPr>
            <w:tcW w:w="422" w:type="pct"/>
            <w:tcMar>
              <w:top w:w="15" w:type="dxa"/>
              <w:left w:w="108" w:type="dxa"/>
              <w:bottom w:w="0" w:type="dxa"/>
              <w:right w:w="108" w:type="dxa"/>
            </w:tcMar>
            <w:vAlign w:val="center"/>
            <w:hideMark/>
          </w:tcPr>
          <w:p w14:paraId="39F208E9"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10</w:t>
            </w:r>
          </w:p>
        </w:tc>
        <w:tc>
          <w:tcPr>
            <w:tcW w:w="896" w:type="pct"/>
            <w:tcMar>
              <w:top w:w="15" w:type="dxa"/>
              <w:left w:w="108" w:type="dxa"/>
              <w:bottom w:w="0" w:type="dxa"/>
              <w:right w:w="108" w:type="dxa"/>
            </w:tcMar>
            <w:vAlign w:val="center"/>
            <w:hideMark/>
          </w:tcPr>
          <w:p w14:paraId="154C9C87" w14:textId="77777777" w:rsidR="00FE4C45" w:rsidRPr="002E07E0" w:rsidRDefault="00FE4C45" w:rsidP="00BF38A9">
            <w:pPr>
              <w:pStyle w:val="BodyText"/>
              <w:tabs>
                <w:tab w:val="left" w:pos="0"/>
              </w:tabs>
              <w:spacing w:line="360" w:lineRule="auto"/>
              <w:ind w:right="27"/>
            </w:pPr>
            <w:proofErr w:type="spellStart"/>
            <w:proofErr w:type="gramStart"/>
            <w:r w:rsidRPr="002E07E0">
              <w:t>Cycocel</w:t>
            </w:r>
            <w:proofErr w:type="spellEnd"/>
            <w:r w:rsidRPr="002E07E0">
              <w:t xml:space="preserve">  2250</w:t>
            </w:r>
            <w:proofErr w:type="gramEnd"/>
            <w:r w:rsidRPr="002E07E0">
              <w:t xml:space="preserve"> ppm</w:t>
            </w:r>
          </w:p>
        </w:tc>
        <w:tc>
          <w:tcPr>
            <w:tcW w:w="511" w:type="pct"/>
            <w:vAlign w:val="center"/>
          </w:tcPr>
          <w:p w14:paraId="371D9E4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42.81</w:t>
            </w:r>
          </w:p>
        </w:tc>
        <w:tc>
          <w:tcPr>
            <w:tcW w:w="384" w:type="pct"/>
            <w:vAlign w:val="center"/>
          </w:tcPr>
          <w:p w14:paraId="064D6B8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7.45</w:t>
            </w:r>
          </w:p>
        </w:tc>
        <w:tc>
          <w:tcPr>
            <w:tcW w:w="544" w:type="pct"/>
            <w:vAlign w:val="center"/>
          </w:tcPr>
          <w:p w14:paraId="6322BED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44.53</w:t>
            </w:r>
          </w:p>
        </w:tc>
        <w:tc>
          <w:tcPr>
            <w:tcW w:w="447" w:type="pct"/>
            <w:vAlign w:val="center"/>
          </w:tcPr>
          <w:p w14:paraId="46FFD25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1978.97</w:t>
            </w:r>
          </w:p>
        </w:tc>
        <w:tc>
          <w:tcPr>
            <w:tcW w:w="448" w:type="pct"/>
            <w:vAlign w:val="center"/>
          </w:tcPr>
          <w:p w14:paraId="5F3508B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6596.56</w:t>
            </w:r>
          </w:p>
        </w:tc>
        <w:tc>
          <w:tcPr>
            <w:tcW w:w="544" w:type="pct"/>
            <w:vAlign w:val="center"/>
          </w:tcPr>
          <w:p w14:paraId="109CBF7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23.31</w:t>
            </w:r>
          </w:p>
        </w:tc>
        <w:tc>
          <w:tcPr>
            <w:tcW w:w="370" w:type="pct"/>
            <w:vAlign w:val="center"/>
          </w:tcPr>
          <w:p w14:paraId="6869B6F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71088</w:t>
            </w:r>
          </w:p>
        </w:tc>
        <w:tc>
          <w:tcPr>
            <w:tcW w:w="434" w:type="pct"/>
            <w:vAlign w:val="center"/>
          </w:tcPr>
          <w:p w14:paraId="3A9CAB7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2.49</w:t>
            </w:r>
          </w:p>
        </w:tc>
      </w:tr>
      <w:tr w:rsidR="002E07E0" w:rsidRPr="002E07E0" w14:paraId="09BFB218" w14:textId="77777777" w:rsidTr="00FE4C45">
        <w:trPr>
          <w:trHeight w:val="511"/>
        </w:trPr>
        <w:tc>
          <w:tcPr>
            <w:tcW w:w="422" w:type="pct"/>
            <w:tcMar>
              <w:top w:w="15" w:type="dxa"/>
              <w:left w:w="108" w:type="dxa"/>
              <w:bottom w:w="0" w:type="dxa"/>
              <w:right w:w="108" w:type="dxa"/>
            </w:tcMar>
            <w:vAlign w:val="center"/>
          </w:tcPr>
          <w:p w14:paraId="50B6AF6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0B734CB3"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1" w:type="pct"/>
            <w:vAlign w:val="center"/>
          </w:tcPr>
          <w:p w14:paraId="6152196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1.60</w:t>
            </w:r>
          </w:p>
        </w:tc>
        <w:tc>
          <w:tcPr>
            <w:tcW w:w="384" w:type="pct"/>
            <w:vAlign w:val="center"/>
          </w:tcPr>
          <w:p w14:paraId="25A6B02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0.27</w:t>
            </w:r>
          </w:p>
        </w:tc>
        <w:tc>
          <w:tcPr>
            <w:tcW w:w="544" w:type="pct"/>
            <w:vAlign w:val="center"/>
          </w:tcPr>
          <w:p w14:paraId="06C1D464"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1.51</w:t>
            </w:r>
          </w:p>
        </w:tc>
        <w:tc>
          <w:tcPr>
            <w:tcW w:w="447" w:type="pct"/>
            <w:vAlign w:val="center"/>
          </w:tcPr>
          <w:p w14:paraId="54FDC79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32.84</w:t>
            </w:r>
          </w:p>
        </w:tc>
        <w:tc>
          <w:tcPr>
            <w:tcW w:w="448" w:type="pct"/>
            <w:vAlign w:val="center"/>
          </w:tcPr>
          <w:p w14:paraId="26DE955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95.32</w:t>
            </w:r>
          </w:p>
        </w:tc>
        <w:tc>
          <w:tcPr>
            <w:tcW w:w="544" w:type="pct"/>
            <w:vAlign w:val="center"/>
          </w:tcPr>
          <w:p w14:paraId="441502C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0.36</w:t>
            </w:r>
          </w:p>
        </w:tc>
        <w:tc>
          <w:tcPr>
            <w:tcW w:w="370" w:type="pct"/>
            <w:vAlign w:val="center"/>
          </w:tcPr>
          <w:p w14:paraId="75176427"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1310</w:t>
            </w:r>
          </w:p>
        </w:tc>
        <w:tc>
          <w:tcPr>
            <w:tcW w:w="434" w:type="pct"/>
            <w:vAlign w:val="center"/>
          </w:tcPr>
          <w:p w14:paraId="1D6A154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0.04</w:t>
            </w:r>
          </w:p>
        </w:tc>
      </w:tr>
      <w:tr w:rsidR="002E07E0" w:rsidRPr="002E07E0" w14:paraId="53ADB130" w14:textId="77777777" w:rsidTr="00FE4C45">
        <w:trPr>
          <w:trHeight w:val="569"/>
        </w:trPr>
        <w:tc>
          <w:tcPr>
            <w:tcW w:w="422" w:type="pct"/>
            <w:tcMar>
              <w:top w:w="15" w:type="dxa"/>
              <w:left w:w="108" w:type="dxa"/>
              <w:bottom w:w="0" w:type="dxa"/>
              <w:right w:w="108" w:type="dxa"/>
            </w:tcMar>
            <w:vAlign w:val="center"/>
          </w:tcPr>
          <w:p w14:paraId="1A20000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58AD3CE5" w14:textId="77777777" w:rsidR="00FE4C45" w:rsidRPr="002E07E0" w:rsidRDefault="00FE4C45" w:rsidP="00BF38A9">
            <w:pPr>
              <w:pStyle w:val="BodyText"/>
              <w:tabs>
                <w:tab w:val="left" w:pos="0"/>
              </w:tabs>
              <w:spacing w:line="360" w:lineRule="auto"/>
              <w:ind w:right="27"/>
            </w:pPr>
            <w:r w:rsidRPr="002E07E0">
              <w:t>CD at 5 %</w:t>
            </w:r>
          </w:p>
        </w:tc>
        <w:tc>
          <w:tcPr>
            <w:tcW w:w="511" w:type="pct"/>
            <w:vAlign w:val="center"/>
          </w:tcPr>
          <w:p w14:paraId="0905F3D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4.75</w:t>
            </w:r>
          </w:p>
        </w:tc>
        <w:tc>
          <w:tcPr>
            <w:tcW w:w="384" w:type="pct"/>
            <w:vAlign w:val="center"/>
          </w:tcPr>
          <w:p w14:paraId="4467252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0.80</w:t>
            </w:r>
          </w:p>
        </w:tc>
        <w:tc>
          <w:tcPr>
            <w:tcW w:w="544" w:type="pct"/>
            <w:vAlign w:val="center"/>
          </w:tcPr>
          <w:p w14:paraId="4408A0D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4.48</w:t>
            </w:r>
          </w:p>
        </w:tc>
        <w:tc>
          <w:tcPr>
            <w:tcW w:w="447" w:type="pct"/>
            <w:vAlign w:val="center"/>
          </w:tcPr>
          <w:p w14:paraId="1A0FD60A"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97.56</w:t>
            </w:r>
          </w:p>
        </w:tc>
        <w:tc>
          <w:tcPr>
            <w:tcW w:w="448" w:type="pct"/>
            <w:vAlign w:val="center"/>
          </w:tcPr>
          <w:p w14:paraId="6C93075C"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283.23</w:t>
            </w:r>
          </w:p>
        </w:tc>
        <w:tc>
          <w:tcPr>
            <w:tcW w:w="544" w:type="pct"/>
            <w:vAlign w:val="center"/>
          </w:tcPr>
          <w:p w14:paraId="5F8E4A6F"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1.06</w:t>
            </w:r>
          </w:p>
        </w:tc>
        <w:tc>
          <w:tcPr>
            <w:tcW w:w="370" w:type="pct"/>
            <w:vAlign w:val="center"/>
          </w:tcPr>
          <w:p w14:paraId="70CA617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3893</w:t>
            </w:r>
          </w:p>
        </w:tc>
        <w:tc>
          <w:tcPr>
            <w:tcW w:w="434" w:type="pct"/>
            <w:vAlign w:val="center"/>
          </w:tcPr>
          <w:p w14:paraId="1F09BD3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0.11</w:t>
            </w:r>
          </w:p>
        </w:tc>
      </w:tr>
    </w:tbl>
    <w:p w14:paraId="49736B15" w14:textId="77777777" w:rsidR="0023572E" w:rsidRPr="002E07E0" w:rsidRDefault="0023572E" w:rsidP="002E314B">
      <w:pPr>
        <w:pStyle w:val="BodyText"/>
        <w:spacing w:line="360" w:lineRule="auto"/>
        <w:ind w:right="10"/>
      </w:pPr>
    </w:p>
    <w:sectPr w:rsidR="0023572E" w:rsidRPr="002E07E0" w:rsidSect="00E54ADA">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994E" w14:textId="77777777" w:rsidR="005E3995" w:rsidRDefault="005E3995" w:rsidP="00D5138F">
      <w:pPr>
        <w:spacing w:after="0" w:line="240" w:lineRule="auto"/>
      </w:pPr>
      <w:r>
        <w:separator/>
      </w:r>
    </w:p>
  </w:endnote>
  <w:endnote w:type="continuationSeparator" w:id="0">
    <w:p w14:paraId="5C48E9C8" w14:textId="77777777" w:rsidR="005E3995" w:rsidRDefault="005E3995" w:rsidP="00D5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682" w14:textId="77777777" w:rsidR="00D5138F" w:rsidRDefault="00D5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CE02" w14:textId="77777777" w:rsidR="00D5138F" w:rsidRDefault="00D5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1797" w14:textId="77777777" w:rsidR="00D5138F" w:rsidRDefault="00D5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E198" w14:textId="77777777" w:rsidR="005E3995" w:rsidRDefault="005E3995" w:rsidP="00D5138F">
      <w:pPr>
        <w:spacing w:after="0" w:line="240" w:lineRule="auto"/>
      </w:pPr>
      <w:r>
        <w:separator/>
      </w:r>
    </w:p>
  </w:footnote>
  <w:footnote w:type="continuationSeparator" w:id="0">
    <w:p w14:paraId="4AE4AD4B" w14:textId="77777777" w:rsidR="005E3995" w:rsidRDefault="005E3995" w:rsidP="00D5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A576" w14:textId="31EDB585" w:rsidR="00D5138F" w:rsidRDefault="00000000">
    <w:pPr>
      <w:pStyle w:val="Header"/>
    </w:pPr>
    <w:r>
      <w:rPr>
        <w:noProof/>
      </w:rPr>
      <w:pict w14:anchorId="29E78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2387" w14:textId="274CA5FB" w:rsidR="00D5138F" w:rsidRDefault="00000000">
    <w:pPr>
      <w:pStyle w:val="Header"/>
    </w:pPr>
    <w:r>
      <w:rPr>
        <w:noProof/>
      </w:rPr>
      <w:pict w14:anchorId="0432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7391" w14:textId="328AB579" w:rsidR="00D5138F" w:rsidRDefault="00000000">
    <w:pPr>
      <w:pStyle w:val="Header"/>
    </w:pPr>
    <w:r>
      <w:rPr>
        <w:noProof/>
      </w:rPr>
      <w:pict w14:anchorId="563B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1D0"/>
    <w:multiLevelType w:val="hybridMultilevel"/>
    <w:tmpl w:val="8C4CC002"/>
    <w:lvl w:ilvl="0" w:tplc="8D0C99A6">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1E2DE7"/>
    <w:multiLevelType w:val="hybridMultilevel"/>
    <w:tmpl w:val="63F6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1772">
    <w:abstractNumId w:val="0"/>
  </w:num>
  <w:num w:numId="2" w16cid:durableId="98581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TYwMjA3NTMyMTdS0lEKTi0uzszPAykwrgUAUU+aECwAAAA="/>
  </w:docVars>
  <w:rsids>
    <w:rsidRoot w:val="00AB13F7"/>
    <w:rsid w:val="0000325B"/>
    <w:rsid w:val="00005BA5"/>
    <w:rsid w:val="000068D0"/>
    <w:rsid w:val="00007356"/>
    <w:rsid w:val="00023590"/>
    <w:rsid w:val="00024C12"/>
    <w:rsid w:val="000262EE"/>
    <w:rsid w:val="000303A6"/>
    <w:rsid w:val="000320B5"/>
    <w:rsid w:val="00036194"/>
    <w:rsid w:val="0003643B"/>
    <w:rsid w:val="00037362"/>
    <w:rsid w:val="00037A21"/>
    <w:rsid w:val="0004495B"/>
    <w:rsid w:val="00051CFA"/>
    <w:rsid w:val="00055CBC"/>
    <w:rsid w:val="00057AA3"/>
    <w:rsid w:val="000620DE"/>
    <w:rsid w:val="000645EB"/>
    <w:rsid w:val="0006568C"/>
    <w:rsid w:val="0007003D"/>
    <w:rsid w:val="00070E31"/>
    <w:rsid w:val="00071A2E"/>
    <w:rsid w:val="0007275A"/>
    <w:rsid w:val="00072EC0"/>
    <w:rsid w:val="00075C70"/>
    <w:rsid w:val="00086CF5"/>
    <w:rsid w:val="00090535"/>
    <w:rsid w:val="00092BFF"/>
    <w:rsid w:val="000A0D16"/>
    <w:rsid w:val="000A11BC"/>
    <w:rsid w:val="000A76D7"/>
    <w:rsid w:val="000B04CF"/>
    <w:rsid w:val="000B20E1"/>
    <w:rsid w:val="000C37BF"/>
    <w:rsid w:val="000C5CA5"/>
    <w:rsid w:val="000C692C"/>
    <w:rsid w:val="000C7578"/>
    <w:rsid w:val="000D2C67"/>
    <w:rsid w:val="000E4BCF"/>
    <w:rsid w:val="000F2707"/>
    <w:rsid w:val="000F3940"/>
    <w:rsid w:val="00102209"/>
    <w:rsid w:val="00102DD0"/>
    <w:rsid w:val="00104BF9"/>
    <w:rsid w:val="00107CE0"/>
    <w:rsid w:val="001107A0"/>
    <w:rsid w:val="00113D4D"/>
    <w:rsid w:val="001159E7"/>
    <w:rsid w:val="0012196B"/>
    <w:rsid w:val="001220EB"/>
    <w:rsid w:val="00124E14"/>
    <w:rsid w:val="00130E16"/>
    <w:rsid w:val="00131EAD"/>
    <w:rsid w:val="001337F0"/>
    <w:rsid w:val="00133E15"/>
    <w:rsid w:val="0013429C"/>
    <w:rsid w:val="001348E6"/>
    <w:rsid w:val="001361EF"/>
    <w:rsid w:val="00137CC5"/>
    <w:rsid w:val="0014279F"/>
    <w:rsid w:val="00143D82"/>
    <w:rsid w:val="0014475A"/>
    <w:rsid w:val="0015091F"/>
    <w:rsid w:val="001518ED"/>
    <w:rsid w:val="00151A5A"/>
    <w:rsid w:val="00154524"/>
    <w:rsid w:val="001634FF"/>
    <w:rsid w:val="00163556"/>
    <w:rsid w:val="00166262"/>
    <w:rsid w:val="0016779B"/>
    <w:rsid w:val="00170F00"/>
    <w:rsid w:val="00175911"/>
    <w:rsid w:val="0018465E"/>
    <w:rsid w:val="001913BC"/>
    <w:rsid w:val="00192CFE"/>
    <w:rsid w:val="0019324A"/>
    <w:rsid w:val="0019496F"/>
    <w:rsid w:val="001A1520"/>
    <w:rsid w:val="001A40EE"/>
    <w:rsid w:val="001A4EBC"/>
    <w:rsid w:val="001A685A"/>
    <w:rsid w:val="001B083D"/>
    <w:rsid w:val="001B08AC"/>
    <w:rsid w:val="001B45EC"/>
    <w:rsid w:val="001B54CB"/>
    <w:rsid w:val="001C084A"/>
    <w:rsid w:val="001C2734"/>
    <w:rsid w:val="001C7B06"/>
    <w:rsid w:val="001C7F22"/>
    <w:rsid w:val="001D1E4F"/>
    <w:rsid w:val="001D584A"/>
    <w:rsid w:val="001D6769"/>
    <w:rsid w:val="001D795B"/>
    <w:rsid w:val="001E0568"/>
    <w:rsid w:val="001E3D2D"/>
    <w:rsid w:val="001E3F3B"/>
    <w:rsid w:val="001E79DA"/>
    <w:rsid w:val="001E7DA4"/>
    <w:rsid w:val="001F4376"/>
    <w:rsid w:val="001F64F9"/>
    <w:rsid w:val="0020004E"/>
    <w:rsid w:val="00201AA4"/>
    <w:rsid w:val="00204F33"/>
    <w:rsid w:val="00205560"/>
    <w:rsid w:val="00210F19"/>
    <w:rsid w:val="002128F6"/>
    <w:rsid w:val="00213785"/>
    <w:rsid w:val="00214234"/>
    <w:rsid w:val="002152B8"/>
    <w:rsid w:val="00222500"/>
    <w:rsid w:val="002228F4"/>
    <w:rsid w:val="00222CB5"/>
    <w:rsid w:val="002230FA"/>
    <w:rsid w:val="0022447D"/>
    <w:rsid w:val="002265E1"/>
    <w:rsid w:val="0022788A"/>
    <w:rsid w:val="0023006F"/>
    <w:rsid w:val="0023030F"/>
    <w:rsid w:val="0023572E"/>
    <w:rsid w:val="0024153D"/>
    <w:rsid w:val="00241DA8"/>
    <w:rsid w:val="0024287B"/>
    <w:rsid w:val="002475FF"/>
    <w:rsid w:val="002514CE"/>
    <w:rsid w:val="00252B9D"/>
    <w:rsid w:val="00256CD4"/>
    <w:rsid w:val="00260AC2"/>
    <w:rsid w:val="00262401"/>
    <w:rsid w:val="002656F9"/>
    <w:rsid w:val="00266120"/>
    <w:rsid w:val="00266DF3"/>
    <w:rsid w:val="0027711C"/>
    <w:rsid w:val="00277AD0"/>
    <w:rsid w:val="00277E3B"/>
    <w:rsid w:val="0028376E"/>
    <w:rsid w:val="00283B34"/>
    <w:rsid w:val="0028555B"/>
    <w:rsid w:val="002869D3"/>
    <w:rsid w:val="00291A6A"/>
    <w:rsid w:val="0029376C"/>
    <w:rsid w:val="00294554"/>
    <w:rsid w:val="00297380"/>
    <w:rsid w:val="00297D9A"/>
    <w:rsid w:val="00297F9A"/>
    <w:rsid w:val="002A07B8"/>
    <w:rsid w:val="002A0CA1"/>
    <w:rsid w:val="002A2785"/>
    <w:rsid w:val="002A34AD"/>
    <w:rsid w:val="002A7F44"/>
    <w:rsid w:val="002B5A36"/>
    <w:rsid w:val="002B6C56"/>
    <w:rsid w:val="002B6F89"/>
    <w:rsid w:val="002C023F"/>
    <w:rsid w:val="002C0A23"/>
    <w:rsid w:val="002C10D3"/>
    <w:rsid w:val="002C3038"/>
    <w:rsid w:val="002C52BC"/>
    <w:rsid w:val="002C6723"/>
    <w:rsid w:val="002C7BC6"/>
    <w:rsid w:val="002D0751"/>
    <w:rsid w:val="002D2A93"/>
    <w:rsid w:val="002D46A6"/>
    <w:rsid w:val="002D5911"/>
    <w:rsid w:val="002D59A1"/>
    <w:rsid w:val="002D5AD2"/>
    <w:rsid w:val="002D7EF2"/>
    <w:rsid w:val="002E07E0"/>
    <w:rsid w:val="002E0D76"/>
    <w:rsid w:val="002E314B"/>
    <w:rsid w:val="002F23FC"/>
    <w:rsid w:val="002F453B"/>
    <w:rsid w:val="003001E2"/>
    <w:rsid w:val="00301D7E"/>
    <w:rsid w:val="00317A04"/>
    <w:rsid w:val="00327739"/>
    <w:rsid w:val="00342FD8"/>
    <w:rsid w:val="00351215"/>
    <w:rsid w:val="00352965"/>
    <w:rsid w:val="00352B28"/>
    <w:rsid w:val="00353690"/>
    <w:rsid w:val="00355344"/>
    <w:rsid w:val="003564A5"/>
    <w:rsid w:val="003617AE"/>
    <w:rsid w:val="00363692"/>
    <w:rsid w:val="00366007"/>
    <w:rsid w:val="003738BA"/>
    <w:rsid w:val="00376360"/>
    <w:rsid w:val="00376429"/>
    <w:rsid w:val="003772DB"/>
    <w:rsid w:val="00380A14"/>
    <w:rsid w:val="00381DEC"/>
    <w:rsid w:val="00384099"/>
    <w:rsid w:val="00387618"/>
    <w:rsid w:val="00394C7D"/>
    <w:rsid w:val="00395C0D"/>
    <w:rsid w:val="00397E57"/>
    <w:rsid w:val="003A248B"/>
    <w:rsid w:val="003A329B"/>
    <w:rsid w:val="003A4139"/>
    <w:rsid w:val="003B00C3"/>
    <w:rsid w:val="003B2A34"/>
    <w:rsid w:val="003B3007"/>
    <w:rsid w:val="003B4A9E"/>
    <w:rsid w:val="003B4E34"/>
    <w:rsid w:val="003B6F04"/>
    <w:rsid w:val="003C341B"/>
    <w:rsid w:val="003C4136"/>
    <w:rsid w:val="003D2A23"/>
    <w:rsid w:val="003D32C7"/>
    <w:rsid w:val="003D4860"/>
    <w:rsid w:val="003E07A0"/>
    <w:rsid w:val="003E3F35"/>
    <w:rsid w:val="003E4275"/>
    <w:rsid w:val="003F1951"/>
    <w:rsid w:val="003F1B1C"/>
    <w:rsid w:val="003F20EA"/>
    <w:rsid w:val="003F27BA"/>
    <w:rsid w:val="003F3C4E"/>
    <w:rsid w:val="003F45AC"/>
    <w:rsid w:val="00402458"/>
    <w:rsid w:val="00402742"/>
    <w:rsid w:val="00407CB3"/>
    <w:rsid w:val="00407E0C"/>
    <w:rsid w:val="00407E75"/>
    <w:rsid w:val="00413561"/>
    <w:rsid w:val="00417109"/>
    <w:rsid w:val="004176CA"/>
    <w:rsid w:val="00417FBC"/>
    <w:rsid w:val="00421B78"/>
    <w:rsid w:val="00422528"/>
    <w:rsid w:val="00424207"/>
    <w:rsid w:val="00425822"/>
    <w:rsid w:val="004279FD"/>
    <w:rsid w:val="00432262"/>
    <w:rsid w:val="00432E98"/>
    <w:rsid w:val="00436DF9"/>
    <w:rsid w:val="00441869"/>
    <w:rsid w:val="00450CE4"/>
    <w:rsid w:val="004553D5"/>
    <w:rsid w:val="00460C43"/>
    <w:rsid w:val="00460CAA"/>
    <w:rsid w:val="00464289"/>
    <w:rsid w:val="0046521B"/>
    <w:rsid w:val="00465E4C"/>
    <w:rsid w:val="00466814"/>
    <w:rsid w:val="00466881"/>
    <w:rsid w:val="00475F36"/>
    <w:rsid w:val="00481F40"/>
    <w:rsid w:val="00483846"/>
    <w:rsid w:val="00484F51"/>
    <w:rsid w:val="00486AC7"/>
    <w:rsid w:val="00487A8C"/>
    <w:rsid w:val="00487F6F"/>
    <w:rsid w:val="00494A73"/>
    <w:rsid w:val="004959B0"/>
    <w:rsid w:val="00497D5F"/>
    <w:rsid w:val="004A05AC"/>
    <w:rsid w:val="004A063F"/>
    <w:rsid w:val="004A2229"/>
    <w:rsid w:val="004B3692"/>
    <w:rsid w:val="004C1484"/>
    <w:rsid w:val="004C5C5B"/>
    <w:rsid w:val="004D316A"/>
    <w:rsid w:val="004D38C6"/>
    <w:rsid w:val="004D3F16"/>
    <w:rsid w:val="004D4E15"/>
    <w:rsid w:val="004D54E4"/>
    <w:rsid w:val="004D5BF6"/>
    <w:rsid w:val="004E1BD3"/>
    <w:rsid w:val="004E223D"/>
    <w:rsid w:val="004E35AA"/>
    <w:rsid w:val="004F438A"/>
    <w:rsid w:val="0050148E"/>
    <w:rsid w:val="00503775"/>
    <w:rsid w:val="00503CF6"/>
    <w:rsid w:val="00506FC4"/>
    <w:rsid w:val="00513F80"/>
    <w:rsid w:val="0051637B"/>
    <w:rsid w:val="00517F41"/>
    <w:rsid w:val="00535B81"/>
    <w:rsid w:val="005439DF"/>
    <w:rsid w:val="00543CD7"/>
    <w:rsid w:val="00545691"/>
    <w:rsid w:val="00550D6A"/>
    <w:rsid w:val="00551243"/>
    <w:rsid w:val="005577D4"/>
    <w:rsid w:val="0056544F"/>
    <w:rsid w:val="0056748A"/>
    <w:rsid w:val="0056786D"/>
    <w:rsid w:val="0057166C"/>
    <w:rsid w:val="00574F98"/>
    <w:rsid w:val="00582807"/>
    <w:rsid w:val="00585FA7"/>
    <w:rsid w:val="00587CDE"/>
    <w:rsid w:val="0059027F"/>
    <w:rsid w:val="00593A81"/>
    <w:rsid w:val="00596231"/>
    <w:rsid w:val="005A0D43"/>
    <w:rsid w:val="005A269D"/>
    <w:rsid w:val="005A2BF0"/>
    <w:rsid w:val="005A64D1"/>
    <w:rsid w:val="005A7907"/>
    <w:rsid w:val="005B23E0"/>
    <w:rsid w:val="005B6F39"/>
    <w:rsid w:val="005B7766"/>
    <w:rsid w:val="005B79F4"/>
    <w:rsid w:val="005C1D7A"/>
    <w:rsid w:val="005C28C6"/>
    <w:rsid w:val="005C390C"/>
    <w:rsid w:val="005C5D19"/>
    <w:rsid w:val="005C77F1"/>
    <w:rsid w:val="005C7D0B"/>
    <w:rsid w:val="005D5170"/>
    <w:rsid w:val="005D7784"/>
    <w:rsid w:val="005E14C5"/>
    <w:rsid w:val="005E248E"/>
    <w:rsid w:val="005E35E9"/>
    <w:rsid w:val="005E3995"/>
    <w:rsid w:val="005E43B5"/>
    <w:rsid w:val="005F0FF6"/>
    <w:rsid w:val="005F1F82"/>
    <w:rsid w:val="005F72BD"/>
    <w:rsid w:val="0060295F"/>
    <w:rsid w:val="006148BB"/>
    <w:rsid w:val="00617CFF"/>
    <w:rsid w:val="006210B0"/>
    <w:rsid w:val="00621B2F"/>
    <w:rsid w:val="00624109"/>
    <w:rsid w:val="00631003"/>
    <w:rsid w:val="00631C59"/>
    <w:rsid w:val="0063384F"/>
    <w:rsid w:val="00636E36"/>
    <w:rsid w:val="00643BFE"/>
    <w:rsid w:val="00644CAA"/>
    <w:rsid w:val="00646B0E"/>
    <w:rsid w:val="00650278"/>
    <w:rsid w:val="00652F60"/>
    <w:rsid w:val="00654B20"/>
    <w:rsid w:val="00656130"/>
    <w:rsid w:val="006646FF"/>
    <w:rsid w:val="00670A3B"/>
    <w:rsid w:val="006719FA"/>
    <w:rsid w:val="00672A80"/>
    <w:rsid w:val="00672A90"/>
    <w:rsid w:val="00672F48"/>
    <w:rsid w:val="006749AC"/>
    <w:rsid w:val="00676CCC"/>
    <w:rsid w:val="00677A96"/>
    <w:rsid w:val="00681C46"/>
    <w:rsid w:val="00686CC9"/>
    <w:rsid w:val="00687B91"/>
    <w:rsid w:val="00692598"/>
    <w:rsid w:val="00693797"/>
    <w:rsid w:val="006938FC"/>
    <w:rsid w:val="00693924"/>
    <w:rsid w:val="006955ED"/>
    <w:rsid w:val="00695E76"/>
    <w:rsid w:val="006969B8"/>
    <w:rsid w:val="00697BD9"/>
    <w:rsid w:val="006A008A"/>
    <w:rsid w:val="006A16CC"/>
    <w:rsid w:val="006A218D"/>
    <w:rsid w:val="006A540B"/>
    <w:rsid w:val="006A6273"/>
    <w:rsid w:val="006A7C00"/>
    <w:rsid w:val="006A7DC1"/>
    <w:rsid w:val="006B1674"/>
    <w:rsid w:val="006B3330"/>
    <w:rsid w:val="006B4CAA"/>
    <w:rsid w:val="006B67DE"/>
    <w:rsid w:val="006B6955"/>
    <w:rsid w:val="006C007F"/>
    <w:rsid w:val="006C45C1"/>
    <w:rsid w:val="006D23EF"/>
    <w:rsid w:val="006D29CC"/>
    <w:rsid w:val="006D2F34"/>
    <w:rsid w:val="006D3D83"/>
    <w:rsid w:val="006E22EB"/>
    <w:rsid w:val="006E59F8"/>
    <w:rsid w:val="006E662F"/>
    <w:rsid w:val="006E6938"/>
    <w:rsid w:val="006E7A4C"/>
    <w:rsid w:val="006E7FB3"/>
    <w:rsid w:val="006F1F8D"/>
    <w:rsid w:val="006F5129"/>
    <w:rsid w:val="00701423"/>
    <w:rsid w:val="007028D5"/>
    <w:rsid w:val="00703443"/>
    <w:rsid w:val="00704C61"/>
    <w:rsid w:val="0070559D"/>
    <w:rsid w:val="00706CE6"/>
    <w:rsid w:val="00713C78"/>
    <w:rsid w:val="007145FE"/>
    <w:rsid w:val="00716507"/>
    <w:rsid w:val="00717CEF"/>
    <w:rsid w:val="00725842"/>
    <w:rsid w:val="00732EF0"/>
    <w:rsid w:val="00733CED"/>
    <w:rsid w:val="007352AA"/>
    <w:rsid w:val="00737190"/>
    <w:rsid w:val="00742743"/>
    <w:rsid w:val="00742ABF"/>
    <w:rsid w:val="0074410E"/>
    <w:rsid w:val="00746AC1"/>
    <w:rsid w:val="0074730D"/>
    <w:rsid w:val="00752BB8"/>
    <w:rsid w:val="00754EE7"/>
    <w:rsid w:val="00756717"/>
    <w:rsid w:val="00757043"/>
    <w:rsid w:val="00757E47"/>
    <w:rsid w:val="0076006F"/>
    <w:rsid w:val="0077338F"/>
    <w:rsid w:val="0077475A"/>
    <w:rsid w:val="00780BE8"/>
    <w:rsid w:val="0078147D"/>
    <w:rsid w:val="00782D68"/>
    <w:rsid w:val="007832FD"/>
    <w:rsid w:val="00785855"/>
    <w:rsid w:val="007870D4"/>
    <w:rsid w:val="007956B5"/>
    <w:rsid w:val="007958A1"/>
    <w:rsid w:val="007979B3"/>
    <w:rsid w:val="007A00D9"/>
    <w:rsid w:val="007A0A6A"/>
    <w:rsid w:val="007A2104"/>
    <w:rsid w:val="007A6078"/>
    <w:rsid w:val="007A65B5"/>
    <w:rsid w:val="007A7B76"/>
    <w:rsid w:val="007B0708"/>
    <w:rsid w:val="007B1CA8"/>
    <w:rsid w:val="007B25DE"/>
    <w:rsid w:val="007B2EA7"/>
    <w:rsid w:val="007B3A44"/>
    <w:rsid w:val="007B6E8F"/>
    <w:rsid w:val="007B729D"/>
    <w:rsid w:val="007C16A0"/>
    <w:rsid w:val="007C5393"/>
    <w:rsid w:val="007C7CCA"/>
    <w:rsid w:val="007D1A05"/>
    <w:rsid w:val="007D1E0D"/>
    <w:rsid w:val="007D1F5A"/>
    <w:rsid w:val="007D7AC3"/>
    <w:rsid w:val="007E04C0"/>
    <w:rsid w:val="007E16F9"/>
    <w:rsid w:val="007F0ED9"/>
    <w:rsid w:val="00800655"/>
    <w:rsid w:val="00801035"/>
    <w:rsid w:val="00813957"/>
    <w:rsid w:val="00814EE0"/>
    <w:rsid w:val="0081566E"/>
    <w:rsid w:val="00815ACF"/>
    <w:rsid w:val="00821AA5"/>
    <w:rsid w:val="00827DBA"/>
    <w:rsid w:val="008407F6"/>
    <w:rsid w:val="00841559"/>
    <w:rsid w:val="00845A53"/>
    <w:rsid w:val="008518BC"/>
    <w:rsid w:val="00851E19"/>
    <w:rsid w:val="00852222"/>
    <w:rsid w:val="00855EAB"/>
    <w:rsid w:val="00860256"/>
    <w:rsid w:val="0086116E"/>
    <w:rsid w:val="00872B35"/>
    <w:rsid w:val="00872E08"/>
    <w:rsid w:val="00873C27"/>
    <w:rsid w:val="00874083"/>
    <w:rsid w:val="00874F35"/>
    <w:rsid w:val="00876EE0"/>
    <w:rsid w:val="00882F41"/>
    <w:rsid w:val="008844E3"/>
    <w:rsid w:val="00885318"/>
    <w:rsid w:val="00886D8C"/>
    <w:rsid w:val="0088728E"/>
    <w:rsid w:val="0089146D"/>
    <w:rsid w:val="00893BEB"/>
    <w:rsid w:val="008A03F5"/>
    <w:rsid w:val="008A09F2"/>
    <w:rsid w:val="008A2036"/>
    <w:rsid w:val="008A3092"/>
    <w:rsid w:val="008A4939"/>
    <w:rsid w:val="008A61EE"/>
    <w:rsid w:val="008B461D"/>
    <w:rsid w:val="008B5050"/>
    <w:rsid w:val="008B6B83"/>
    <w:rsid w:val="008C0DC4"/>
    <w:rsid w:val="008C1F34"/>
    <w:rsid w:val="008C596E"/>
    <w:rsid w:val="008D0629"/>
    <w:rsid w:val="008D0634"/>
    <w:rsid w:val="008D55F6"/>
    <w:rsid w:val="008E2D17"/>
    <w:rsid w:val="008E747A"/>
    <w:rsid w:val="008F1DA1"/>
    <w:rsid w:val="008F45E0"/>
    <w:rsid w:val="009161E6"/>
    <w:rsid w:val="0091653F"/>
    <w:rsid w:val="00917B06"/>
    <w:rsid w:val="00921014"/>
    <w:rsid w:val="0092555E"/>
    <w:rsid w:val="0093190D"/>
    <w:rsid w:val="00933482"/>
    <w:rsid w:val="00935401"/>
    <w:rsid w:val="00937297"/>
    <w:rsid w:val="009405FD"/>
    <w:rsid w:val="00942EA3"/>
    <w:rsid w:val="0094483B"/>
    <w:rsid w:val="00947896"/>
    <w:rsid w:val="009549A3"/>
    <w:rsid w:val="00955194"/>
    <w:rsid w:val="00960B59"/>
    <w:rsid w:val="009630A9"/>
    <w:rsid w:val="009662B2"/>
    <w:rsid w:val="0097414E"/>
    <w:rsid w:val="00975042"/>
    <w:rsid w:val="00977147"/>
    <w:rsid w:val="00982ED5"/>
    <w:rsid w:val="00983D4F"/>
    <w:rsid w:val="00986B05"/>
    <w:rsid w:val="00993ABA"/>
    <w:rsid w:val="00996CE2"/>
    <w:rsid w:val="009A0FFE"/>
    <w:rsid w:val="009A5D62"/>
    <w:rsid w:val="009B0E84"/>
    <w:rsid w:val="009B4FCA"/>
    <w:rsid w:val="009B69C9"/>
    <w:rsid w:val="009B6ABD"/>
    <w:rsid w:val="009B6F4E"/>
    <w:rsid w:val="009C01AE"/>
    <w:rsid w:val="009C0420"/>
    <w:rsid w:val="009C3A97"/>
    <w:rsid w:val="009D0F56"/>
    <w:rsid w:val="009D18B2"/>
    <w:rsid w:val="009D18C3"/>
    <w:rsid w:val="009D414B"/>
    <w:rsid w:val="009D461A"/>
    <w:rsid w:val="009D6469"/>
    <w:rsid w:val="009E0DDC"/>
    <w:rsid w:val="009F087D"/>
    <w:rsid w:val="009F09B9"/>
    <w:rsid w:val="009F1260"/>
    <w:rsid w:val="00A00F03"/>
    <w:rsid w:val="00A01278"/>
    <w:rsid w:val="00A0159B"/>
    <w:rsid w:val="00A06114"/>
    <w:rsid w:val="00A07872"/>
    <w:rsid w:val="00A125A2"/>
    <w:rsid w:val="00A21D80"/>
    <w:rsid w:val="00A221D5"/>
    <w:rsid w:val="00A22AD7"/>
    <w:rsid w:val="00A26619"/>
    <w:rsid w:val="00A275C7"/>
    <w:rsid w:val="00A33A85"/>
    <w:rsid w:val="00A34577"/>
    <w:rsid w:val="00A3572E"/>
    <w:rsid w:val="00A42708"/>
    <w:rsid w:val="00A43692"/>
    <w:rsid w:val="00A476D8"/>
    <w:rsid w:val="00A51D8B"/>
    <w:rsid w:val="00A521E4"/>
    <w:rsid w:val="00A554CD"/>
    <w:rsid w:val="00A60AE1"/>
    <w:rsid w:val="00A7095C"/>
    <w:rsid w:val="00A77610"/>
    <w:rsid w:val="00A77F46"/>
    <w:rsid w:val="00A82019"/>
    <w:rsid w:val="00A832E0"/>
    <w:rsid w:val="00A87038"/>
    <w:rsid w:val="00A925EA"/>
    <w:rsid w:val="00A94249"/>
    <w:rsid w:val="00A97CD1"/>
    <w:rsid w:val="00AA2F33"/>
    <w:rsid w:val="00AB03BF"/>
    <w:rsid w:val="00AB06A0"/>
    <w:rsid w:val="00AB13F7"/>
    <w:rsid w:val="00AB344C"/>
    <w:rsid w:val="00AB5F86"/>
    <w:rsid w:val="00AD0EBD"/>
    <w:rsid w:val="00AD31CD"/>
    <w:rsid w:val="00AE1AAE"/>
    <w:rsid w:val="00AE34D3"/>
    <w:rsid w:val="00AE3F35"/>
    <w:rsid w:val="00AE5186"/>
    <w:rsid w:val="00AE5C39"/>
    <w:rsid w:val="00AF379B"/>
    <w:rsid w:val="00AF56CC"/>
    <w:rsid w:val="00AF5711"/>
    <w:rsid w:val="00B06F83"/>
    <w:rsid w:val="00B1049C"/>
    <w:rsid w:val="00B11892"/>
    <w:rsid w:val="00B11CD6"/>
    <w:rsid w:val="00B13903"/>
    <w:rsid w:val="00B209E1"/>
    <w:rsid w:val="00B2615D"/>
    <w:rsid w:val="00B370EC"/>
    <w:rsid w:val="00B4051F"/>
    <w:rsid w:val="00B43A9B"/>
    <w:rsid w:val="00B50586"/>
    <w:rsid w:val="00B5161D"/>
    <w:rsid w:val="00B5191C"/>
    <w:rsid w:val="00B52323"/>
    <w:rsid w:val="00B53EB5"/>
    <w:rsid w:val="00B54BDA"/>
    <w:rsid w:val="00B625A4"/>
    <w:rsid w:val="00B628D3"/>
    <w:rsid w:val="00B63945"/>
    <w:rsid w:val="00B6471A"/>
    <w:rsid w:val="00B64F14"/>
    <w:rsid w:val="00B64F93"/>
    <w:rsid w:val="00B65861"/>
    <w:rsid w:val="00B66169"/>
    <w:rsid w:val="00B66B9C"/>
    <w:rsid w:val="00B67B11"/>
    <w:rsid w:val="00B71AA8"/>
    <w:rsid w:val="00B71B35"/>
    <w:rsid w:val="00B73C30"/>
    <w:rsid w:val="00B91869"/>
    <w:rsid w:val="00B9268A"/>
    <w:rsid w:val="00B9311A"/>
    <w:rsid w:val="00BA404E"/>
    <w:rsid w:val="00BA5FE8"/>
    <w:rsid w:val="00BB1346"/>
    <w:rsid w:val="00BB3AE4"/>
    <w:rsid w:val="00BB4BE1"/>
    <w:rsid w:val="00BC08B8"/>
    <w:rsid w:val="00BC0B7F"/>
    <w:rsid w:val="00BC21D4"/>
    <w:rsid w:val="00BC389C"/>
    <w:rsid w:val="00BD03B6"/>
    <w:rsid w:val="00BD0FF6"/>
    <w:rsid w:val="00BD1ED9"/>
    <w:rsid w:val="00BD209B"/>
    <w:rsid w:val="00BD41D9"/>
    <w:rsid w:val="00BD46E9"/>
    <w:rsid w:val="00BD60F0"/>
    <w:rsid w:val="00BD63C8"/>
    <w:rsid w:val="00BD7C7B"/>
    <w:rsid w:val="00BE382D"/>
    <w:rsid w:val="00BE3A1E"/>
    <w:rsid w:val="00BE3A31"/>
    <w:rsid w:val="00BE660B"/>
    <w:rsid w:val="00BF075C"/>
    <w:rsid w:val="00BF447A"/>
    <w:rsid w:val="00BF4E17"/>
    <w:rsid w:val="00BF702C"/>
    <w:rsid w:val="00C01516"/>
    <w:rsid w:val="00C04029"/>
    <w:rsid w:val="00C11C4D"/>
    <w:rsid w:val="00C12794"/>
    <w:rsid w:val="00C14742"/>
    <w:rsid w:val="00C16CBC"/>
    <w:rsid w:val="00C2178F"/>
    <w:rsid w:val="00C21CF5"/>
    <w:rsid w:val="00C22694"/>
    <w:rsid w:val="00C2505D"/>
    <w:rsid w:val="00C25B2C"/>
    <w:rsid w:val="00C2684F"/>
    <w:rsid w:val="00C27407"/>
    <w:rsid w:val="00C34533"/>
    <w:rsid w:val="00C467DE"/>
    <w:rsid w:val="00C46EFB"/>
    <w:rsid w:val="00C5111C"/>
    <w:rsid w:val="00C57B8B"/>
    <w:rsid w:val="00C633D6"/>
    <w:rsid w:val="00C634F2"/>
    <w:rsid w:val="00C77F23"/>
    <w:rsid w:val="00C8296A"/>
    <w:rsid w:val="00C84064"/>
    <w:rsid w:val="00C866C2"/>
    <w:rsid w:val="00C904C2"/>
    <w:rsid w:val="00C93D95"/>
    <w:rsid w:val="00C95F01"/>
    <w:rsid w:val="00C9660B"/>
    <w:rsid w:val="00C9741A"/>
    <w:rsid w:val="00CA373B"/>
    <w:rsid w:val="00CA4AFA"/>
    <w:rsid w:val="00CA7450"/>
    <w:rsid w:val="00CB16B6"/>
    <w:rsid w:val="00CB7313"/>
    <w:rsid w:val="00CC27A7"/>
    <w:rsid w:val="00CC2A09"/>
    <w:rsid w:val="00CC78AC"/>
    <w:rsid w:val="00CD4D9D"/>
    <w:rsid w:val="00CD4E9D"/>
    <w:rsid w:val="00CD6952"/>
    <w:rsid w:val="00CD710F"/>
    <w:rsid w:val="00CE2FC9"/>
    <w:rsid w:val="00CE5FAC"/>
    <w:rsid w:val="00CE73E2"/>
    <w:rsid w:val="00CE7BD8"/>
    <w:rsid w:val="00CF0289"/>
    <w:rsid w:val="00CF1983"/>
    <w:rsid w:val="00CF5282"/>
    <w:rsid w:val="00CF5662"/>
    <w:rsid w:val="00D034D5"/>
    <w:rsid w:val="00D12329"/>
    <w:rsid w:val="00D12D84"/>
    <w:rsid w:val="00D12FEA"/>
    <w:rsid w:val="00D13339"/>
    <w:rsid w:val="00D13728"/>
    <w:rsid w:val="00D1575C"/>
    <w:rsid w:val="00D2502B"/>
    <w:rsid w:val="00D33686"/>
    <w:rsid w:val="00D35746"/>
    <w:rsid w:val="00D35E37"/>
    <w:rsid w:val="00D42BF4"/>
    <w:rsid w:val="00D471A2"/>
    <w:rsid w:val="00D5138F"/>
    <w:rsid w:val="00D52ECD"/>
    <w:rsid w:val="00D55FAC"/>
    <w:rsid w:val="00D56B76"/>
    <w:rsid w:val="00D60948"/>
    <w:rsid w:val="00D61467"/>
    <w:rsid w:val="00D62C02"/>
    <w:rsid w:val="00D62CC3"/>
    <w:rsid w:val="00D62E24"/>
    <w:rsid w:val="00D72D6D"/>
    <w:rsid w:val="00D75EAE"/>
    <w:rsid w:val="00D8282B"/>
    <w:rsid w:val="00D91B41"/>
    <w:rsid w:val="00D969AB"/>
    <w:rsid w:val="00DA0041"/>
    <w:rsid w:val="00DA128C"/>
    <w:rsid w:val="00DA3E25"/>
    <w:rsid w:val="00DA6269"/>
    <w:rsid w:val="00DA6854"/>
    <w:rsid w:val="00DA7311"/>
    <w:rsid w:val="00DB1EDD"/>
    <w:rsid w:val="00DB49B8"/>
    <w:rsid w:val="00DB78C4"/>
    <w:rsid w:val="00DC32DE"/>
    <w:rsid w:val="00DC3BA9"/>
    <w:rsid w:val="00DC4E12"/>
    <w:rsid w:val="00DD100C"/>
    <w:rsid w:val="00DD5AD2"/>
    <w:rsid w:val="00DD6553"/>
    <w:rsid w:val="00DD6B66"/>
    <w:rsid w:val="00DD6CB1"/>
    <w:rsid w:val="00DE291C"/>
    <w:rsid w:val="00DF1861"/>
    <w:rsid w:val="00DF1A5D"/>
    <w:rsid w:val="00DF2F87"/>
    <w:rsid w:val="00DF425C"/>
    <w:rsid w:val="00DF7D6D"/>
    <w:rsid w:val="00E01857"/>
    <w:rsid w:val="00E044C0"/>
    <w:rsid w:val="00E04850"/>
    <w:rsid w:val="00E056CB"/>
    <w:rsid w:val="00E05F5C"/>
    <w:rsid w:val="00E067AD"/>
    <w:rsid w:val="00E07954"/>
    <w:rsid w:val="00E07FA6"/>
    <w:rsid w:val="00E110BD"/>
    <w:rsid w:val="00E165EC"/>
    <w:rsid w:val="00E17C93"/>
    <w:rsid w:val="00E2623D"/>
    <w:rsid w:val="00E27A4A"/>
    <w:rsid w:val="00E30DCA"/>
    <w:rsid w:val="00E31138"/>
    <w:rsid w:val="00E31476"/>
    <w:rsid w:val="00E34142"/>
    <w:rsid w:val="00E3536D"/>
    <w:rsid w:val="00E421C0"/>
    <w:rsid w:val="00E4350F"/>
    <w:rsid w:val="00E45C2D"/>
    <w:rsid w:val="00E473A1"/>
    <w:rsid w:val="00E4746C"/>
    <w:rsid w:val="00E5297A"/>
    <w:rsid w:val="00E54ADA"/>
    <w:rsid w:val="00E701CA"/>
    <w:rsid w:val="00E725B2"/>
    <w:rsid w:val="00E732DD"/>
    <w:rsid w:val="00E75DF7"/>
    <w:rsid w:val="00E836D6"/>
    <w:rsid w:val="00E8379C"/>
    <w:rsid w:val="00E83A0F"/>
    <w:rsid w:val="00E939B1"/>
    <w:rsid w:val="00E950F8"/>
    <w:rsid w:val="00E9536A"/>
    <w:rsid w:val="00EA2DA4"/>
    <w:rsid w:val="00EA690B"/>
    <w:rsid w:val="00EB53EE"/>
    <w:rsid w:val="00EC182D"/>
    <w:rsid w:val="00EC2C37"/>
    <w:rsid w:val="00EC3D57"/>
    <w:rsid w:val="00EC45B1"/>
    <w:rsid w:val="00EC75E9"/>
    <w:rsid w:val="00ED2998"/>
    <w:rsid w:val="00ED7E91"/>
    <w:rsid w:val="00EE20E3"/>
    <w:rsid w:val="00EE3686"/>
    <w:rsid w:val="00EE63CF"/>
    <w:rsid w:val="00EE6F32"/>
    <w:rsid w:val="00EF121A"/>
    <w:rsid w:val="00F06D09"/>
    <w:rsid w:val="00F129EE"/>
    <w:rsid w:val="00F131F3"/>
    <w:rsid w:val="00F15DCD"/>
    <w:rsid w:val="00F176A0"/>
    <w:rsid w:val="00F23775"/>
    <w:rsid w:val="00F24B51"/>
    <w:rsid w:val="00F33A24"/>
    <w:rsid w:val="00F33B77"/>
    <w:rsid w:val="00F33D22"/>
    <w:rsid w:val="00F34FA7"/>
    <w:rsid w:val="00F4631A"/>
    <w:rsid w:val="00F50B34"/>
    <w:rsid w:val="00F5238B"/>
    <w:rsid w:val="00F62E5D"/>
    <w:rsid w:val="00F63A91"/>
    <w:rsid w:val="00F6574A"/>
    <w:rsid w:val="00F67198"/>
    <w:rsid w:val="00F711A5"/>
    <w:rsid w:val="00F93ACA"/>
    <w:rsid w:val="00FA5188"/>
    <w:rsid w:val="00FB08F8"/>
    <w:rsid w:val="00FB1296"/>
    <w:rsid w:val="00FB1667"/>
    <w:rsid w:val="00FB19DD"/>
    <w:rsid w:val="00FB290C"/>
    <w:rsid w:val="00FC3693"/>
    <w:rsid w:val="00FC43CF"/>
    <w:rsid w:val="00FC6550"/>
    <w:rsid w:val="00FC68CD"/>
    <w:rsid w:val="00FD4FA2"/>
    <w:rsid w:val="00FD5730"/>
    <w:rsid w:val="00FE4876"/>
    <w:rsid w:val="00FE4C45"/>
    <w:rsid w:val="00FF51C4"/>
    <w:rsid w:val="00FF60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1B48"/>
  <w15:docId w15:val="{7FE50A9B-470F-4940-A3FE-E6E0C235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6F"/>
    <w:rPr>
      <w:rFonts w:cs="Mangal"/>
    </w:rPr>
  </w:style>
  <w:style w:type="paragraph" w:styleId="Heading5">
    <w:name w:val="heading 5"/>
    <w:basedOn w:val="Normal"/>
    <w:link w:val="Heading5Char"/>
    <w:uiPriority w:val="1"/>
    <w:qFormat/>
    <w:rsid w:val="005C77F1"/>
    <w:pPr>
      <w:widowControl w:val="0"/>
      <w:autoSpaceDE w:val="0"/>
      <w:autoSpaceDN w:val="0"/>
      <w:spacing w:after="0" w:line="240" w:lineRule="auto"/>
      <w:ind w:left="879" w:hanging="719"/>
      <w:jc w:val="both"/>
      <w:outlineLvl w:val="4"/>
    </w:pPr>
    <w:rPr>
      <w:rFonts w:ascii="Times New Roman" w:eastAsia="Times New Roman" w:hAnsi="Times New Roman" w:cs="Times New Roman"/>
      <w:b/>
      <w:bCs/>
      <w:sz w:val="24"/>
      <w:szCs w:val="24"/>
      <w:lang w:val="en-US" w:bidi="ar-SA"/>
    </w:rPr>
  </w:style>
  <w:style w:type="paragraph" w:styleId="Heading7">
    <w:name w:val="heading 7"/>
    <w:basedOn w:val="Normal"/>
    <w:next w:val="Normal"/>
    <w:link w:val="Heading7Char"/>
    <w:uiPriority w:val="9"/>
    <w:semiHidden/>
    <w:unhideWhenUsed/>
    <w:qFormat/>
    <w:rsid w:val="00F34F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82D"/>
    <w:rPr>
      <w:color w:val="0563C1" w:themeColor="hyperlink"/>
      <w:u w:val="single"/>
    </w:rPr>
  </w:style>
  <w:style w:type="paragraph" w:customStyle="1" w:styleId="Default">
    <w:name w:val="Default"/>
    <w:rsid w:val="00672F4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D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6AC7"/>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Emphasis">
    <w:name w:val="Emphasis"/>
    <w:basedOn w:val="DefaultParagraphFont"/>
    <w:uiPriority w:val="20"/>
    <w:qFormat/>
    <w:rsid w:val="002A7F44"/>
    <w:rPr>
      <w:i/>
      <w:iCs/>
    </w:rPr>
  </w:style>
  <w:style w:type="paragraph" w:styleId="ListParagraph">
    <w:name w:val="List Paragraph"/>
    <w:basedOn w:val="Normal"/>
    <w:uiPriority w:val="34"/>
    <w:qFormat/>
    <w:rsid w:val="00C2505D"/>
    <w:pPr>
      <w:ind w:left="720"/>
      <w:contextualSpacing/>
    </w:pPr>
  </w:style>
  <w:style w:type="character" w:customStyle="1" w:styleId="Heading5Char">
    <w:name w:val="Heading 5 Char"/>
    <w:basedOn w:val="DefaultParagraphFont"/>
    <w:link w:val="Heading5"/>
    <w:uiPriority w:val="1"/>
    <w:rsid w:val="005C77F1"/>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C77F1"/>
    <w:pPr>
      <w:widowControl w:val="0"/>
      <w:autoSpaceDE w:val="0"/>
      <w:autoSpaceDN w:val="0"/>
      <w:spacing w:after="0" w:line="240" w:lineRule="auto"/>
      <w:ind w:left="160"/>
      <w:jc w:val="both"/>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5C77F1"/>
    <w:rPr>
      <w:rFonts w:ascii="Times New Roman" w:eastAsia="Times New Roman" w:hAnsi="Times New Roman" w:cs="Times New Roman"/>
      <w:sz w:val="24"/>
      <w:szCs w:val="24"/>
      <w:lang w:val="en-US" w:bidi="ar-SA"/>
    </w:rPr>
  </w:style>
  <w:style w:type="character" w:customStyle="1" w:styleId="normaltextrun">
    <w:name w:val="normaltextrun"/>
    <w:basedOn w:val="DefaultParagraphFont"/>
    <w:rsid w:val="002A34AD"/>
  </w:style>
  <w:style w:type="character" w:customStyle="1" w:styleId="eop">
    <w:name w:val="eop"/>
    <w:basedOn w:val="DefaultParagraphFont"/>
    <w:rsid w:val="002228F4"/>
  </w:style>
  <w:style w:type="paragraph" w:customStyle="1" w:styleId="paragraph">
    <w:name w:val="paragraph"/>
    <w:basedOn w:val="Normal"/>
    <w:rsid w:val="002228F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alloonText">
    <w:name w:val="Balloon Text"/>
    <w:basedOn w:val="Normal"/>
    <w:link w:val="BalloonTextChar"/>
    <w:uiPriority w:val="99"/>
    <w:semiHidden/>
    <w:unhideWhenUsed/>
    <w:rsid w:val="006938F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938FC"/>
    <w:rPr>
      <w:rFonts w:ascii="Tahoma" w:hAnsi="Tahoma" w:cs="Mangal"/>
      <w:sz w:val="16"/>
      <w:szCs w:val="14"/>
    </w:rPr>
  </w:style>
  <w:style w:type="character" w:customStyle="1" w:styleId="Heading7Char">
    <w:name w:val="Heading 7 Char"/>
    <w:basedOn w:val="DefaultParagraphFont"/>
    <w:link w:val="Heading7"/>
    <w:uiPriority w:val="9"/>
    <w:semiHidden/>
    <w:rsid w:val="00F34FA7"/>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FB29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3BA9"/>
    <w:rPr>
      <w:color w:val="605E5C"/>
      <w:shd w:val="clear" w:color="auto" w:fill="E1DFDD"/>
    </w:rPr>
  </w:style>
  <w:style w:type="paragraph" w:styleId="Header">
    <w:name w:val="header"/>
    <w:basedOn w:val="Normal"/>
    <w:link w:val="HeaderChar"/>
    <w:uiPriority w:val="99"/>
    <w:unhideWhenUsed/>
    <w:rsid w:val="00D5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8F"/>
    <w:rPr>
      <w:rFonts w:cs="Mangal"/>
    </w:rPr>
  </w:style>
  <w:style w:type="paragraph" w:styleId="Footer">
    <w:name w:val="footer"/>
    <w:basedOn w:val="Normal"/>
    <w:link w:val="FooterChar"/>
    <w:uiPriority w:val="99"/>
    <w:unhideWhenUsed/>
    <w:rsid w:val="00D5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8F"/>
    <w:rPr>
      <w:rFonts w:cs="Mangal"/>
    </w:rPr>
  </w:style>
  <w:style w:type="paragraph" w:styleId="Revision">
    <w:name w:val="Revision"/>
    <w:hidden/>
    <w:uiPriority w:val="99"/>
    <w:semiHidden/>
    <w:rsid w:val="00277AD0"/>
    <w:pPr>
      <w:spacing w:after="0" w:line="240" w:lineRule="auto"/>
    </w:pPr>
    <w:rPr>
      <w:rFonts w:cs="Mangal"/>
    </w:rPr>
  </w:style>
  <w:style w:type="character" w:customStyle="1" w:styleId="ms-1">
    <w:name w:val="ms-1"/>
    <w:basedOn w:val="DefaultParagraphFont"/>
    <w:rsid w:val="00277AD0"/>
  </w:style>
  <w:style w:type="character" w:customStyle="1" w:styleId="max-w-15ch">
    <w:name w:val="max-w-[15ch]"/>
    <w:basedOn w:val="DefaultParagraphFont"/>
    <w:rsid w:val="00277AD0"/>
  </w:style>
  <w:style w:type="character" w:customStyle="1" w:styleId="-me-1">
    <w:name w:val="-me-1"/>
    <w:basedOn w:val="DefaultParagraphFont"/>
    <w:rsid w:val="0027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169">
      <w:bodyDiv w:val="1"/>
      <w:marLeft w:val="0"/>
      <w:marRight w:val="0"/>
      <w:marTop w:val="0"/>
      <w:marBottom w:val="0"/>
      <w:divBdr>
        <w:top w:val="none" w:sz="0" w:space="0" w:color="auto"/>
        <w:left w:val="none" w:sz="0" w:space="0" w:color="auto"/>
        <w:bottom w:val="none" w:sz="0" w:space="0" w:color="auto"/>
        <w:right w:val="none" w:sz="0" w:space="0" w:color="auto"/>
      </w:divBdr>
    </w:div>
    <w:div w:id="221184467">
      <w:bodyDiv w:val="1"/>
      <w:marLeft w:val="0"/>
      <w:marRight w:val="0"/>
      <w:marTop w:val="0"/>
      <w:marBottom w:val="0"/>
      <w:divBdr>
        <w:top w:val="none" w:sz="0" w:space="0" w:color="auto"/>
        <w:left w:val="none" w:sz="0" w:space="0" w:color="auto"/>
        <w:bottom w:val="none" w:sz="0" w:space="0" w:color="auto"/>
        <w:right w:val="none" w:sz="0" w:space="0" w:color="auto"/>
      </w:divBdr>
    </w:div>
    <w:div w:id="231697413">
      <w:bodyDiv w:val="1"/>
      <w:marLeft w:val="0"/>
      <w:marRight w:val="0"/>
      <w:marTop w:val="0"/>
      <w:marBottom w:val="0"/>
      <w:divBdr>
        <w:top w:val="none" w:sz="0" w:space="0" w:color="auto"/>
        <w:left w:val="none" w:sz="0" w:space="0" w:color="auto"/>
        <w:bottom w:val="none" w:sz="0" w:space="0" w:color="auto"/>
        <w:right w:val="none" w:sz="0" w:space="0" w:color="auto"/>
      </w:divBdr>
    </w:div>
    <w:div w:id="259990721">
      <w:bodyDiv w:val="1"/>
      <w:marLeft w:val="0"/>
      <w:marRight w:val="0"/>
      <w:marTop w:val="0"/>
      <w:marBottom w:val="0"/>
      <w:divBdr>
        <w:top w:val="none" w:sz="0" w:space="0" w:color="auto"/>
        <w:left w:val="none" w:sz="0" w:space="0" w:color="auto"/>
        <w:bottom w:val="none" w:sz="0" w:space="0" w:color="auto"/>
        <w:right w:val="none" w:sz="0" w:space="0" w:color="auto"/>
      </w:divBdr>
    </w:div>
    <w:div w:id="320351555">
      <w:bodyDiv w:val="1"/>
      <w:marLeft w:val="0"/>
      <w:marRight w:val="0"/>
      <w:marTop w:val="0"/>
      <w:marBottom w:val="0"/>
      <w:divBdr>
        <w:top w:val="none" w:sz="0" w:space="0" w:color="auto"/>
        <w:left w:val="none" w:sz="0" w:space="0" w:color="auto"/>
        <w:bottom w:val="none" w:sz="0" w:space="0" w:color="auto"/>
        <w:right w:val="none" w:sz="0" w:space="0" w:color="auto"/>
      </w:divBdr>
    </w:div>
    <w:div w:id="341854444">
      <w:bodyDiv w:val="1"/>
      <w:marLeft w:val="0"/>
      <w:marRight w:val="0"/>
      <w:marTop w:val="0"/>
      <w:marBottom w:val="0"/>
      <w:divBdr>
        <w:top w:val="none" w:sz="0" w:space="0" w:color="auto"/>
        <w:left w:val="none" w:sz="0" w:space="0" w:color="auto"/>
        <w:bottom w:val="none" w:sz="0" w:space="0" w:color="auto"/>
        <w:right w:val="none" w:sz="0" w:space="0" w:color="auto"/>
      </w:divBdr>
    </w:div>
    <w:div w:id="411391900">
      <w:bodyDiv w:val="1"/>
      <w:marLeft w:val="0"/>
      <w:marRight w:val="0"/>
      <w:marTop w:val="0"/>
      <w:marBottom w:val="0"/>
      <w:divBdr>
        <w:top w:val="none" w:sz="0" w:space="0" w:color="auto"/>
        <w:left w:val="none" w:sz="0" w:space="0" w:color="auto"/>
        <w:bottom w:val="none" w:sz="0" w:space="0" w:color="auto"/>
        <w:right w:val="none" w:sz="0" w:space="0" w:color="auto"/>
      </w:divBdr>
    </w:div>
    <w:div w:id="549466314">
      <w:bodyDiv w:val="1"/>
      <w:marLeft w:val="0"/>
      <w:marRight w:val="0"/>
      <w:marTop w:val="0"/>
      <w:marBottom w:val="0"/>
      <w:divBdr>
        <w:top w:val="none" w:sz="0" w:space="0" w:color="auto"/>
        <w:left w:val="none" w:sz="0" w:space="0" w:color="auto"/>
        <w:bottom w:val="none" w:sz="0" w:space="0" w:color="auto"/>
        <w:right w:val="none" w:sz="0" w:space="0" w:color="auto"/>
      </w:divBdr>
    </w:div>
    <w:div w:id="564727771">
      <w:bodyDiv w:val="1"/>
      <w:marLeft w:val="0"/>
      <w:marRight w:val="0"/>
      <w:marTop w:val="0"/>
      <w:marBottom w:val="0"/>
      <w:divBdr>
        <w:top w:val="none" w:sz="0" w:space="0" w:color="auto"/>
        <w:left w:val="none" w:sz="0" w:space="0" w:color="auto"/>
        <w:bottom w:val="none" w:sz="0" w:space="0" w:color="auto"/>
        <w:right w:val="none" w:sz="0" w:space="0" w:color="auto"/>
      </w:divBdr>
    </w:div>
    <w:div w:id="568420012">
      <w:bodyDiv w:val="1"/>
      <w:marLeft w:val="0"/>
      <w:marRight w:val="0"/>
      <w:marTop w:val="0"/>
      <w:marBottom w:val="0"/>
      <w:divBdr>
        <w:top w:val="none" w:sz="0" w:space="0" w:color="auto"/>
        <w:left w:val="none" w:sz="0" w:space="0" w:color="auto"/>
        <w:bottom w:val="none" w:sz="0" w:space="0" w:color="auto"/>
        <w:right w:val="none" w:sz="0" w:space="0" w:color="auto"/>
      </w:divBdr>
    </w:div>
    <w:div w:id="571041168">
      <w:bodyDiv w:val="1"/>
      <w:marLeft w:val="0"/>
      <w:marRight w:val="0"/>
      <w:marTop w:val="0"/>
      <w:marBottom w:val="0"/>
      <w:divBdr>
        <w:top w:val="none" w:sz="0" w:space="0" w:color="auto"/>
        <w:left w:val="none" w:sz="0" w:space="0" w:color="auto"/>
        <w:bottom w:val="none" w:sz="0" w:space="0" w:color="auto"/>
        <w:right w:val="none" w:sz="0" w:space="0" w:color="auto"/>
      </w:divBdr>
    </w:div>
    <w:div w:id="641665295">
      <w:bodyDiv w:val="1"/>
      <w:marLeft w:val="0"/>
      <w:marRight w:val="0"/>
      <w:marTop w:val="0"/>
      <w:marBottom w:val="0"/>
      <w:divBdr>
        <w:top w:val="none" w:sz="0" w:space="0" w:color="auto"/>
        <w:left w:val="none" w:sz="0" w:space="0" w:color="auto"/>
        <w:bottom w:val="none" w:sz="0" w:space="0" w:color="auto"/>
        <w:right w:val="none" w:sz="0" w:space="0" w:color="auto"/>
      </w:divBdr>
    </w:div>
    <w:div w:id="679742567">
      <w:bodyDiv w:val="1"/>
      <w:marLeft w:val="0"/>
      <w:marRight w:val="0"/>
      <w:marTop w:val="0"/>
      <w:marBottom w:val="0"/>
      <w:divBdr>
        <w:top w:val="none" w:sz="0" w:space="0" w:color="auto"/>
        <w:left w:val="none" w:sz="0" w:space="0" w:color="auto"/>
        <w:bottom w:val="none" w:sz="0" w:space="0" w:color="auto"/>
        <w:right w:val="none" w:sz="0" w:space="0" w:color="auto"/>
      </w:divBdr>
    </w:div>
    <w:div w:id="681324857">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40239589">
      <w:bodyDiv w:val="1"/>
      <w:marLeft w:val="0"/>
      <w:marRight w:val="0"/>
      <w:marTop w:val="0"/>
      <w:marBottom w:val="0"/>
      <w:divBdr>
        <w:top w:val="none" w:sz="0" w:space="0" w:color="auto"/>
        <w:left w:val="none" w:sz="0" w:space="0" w:color="auto"/>
        <w:bottom w:val="none" w:sz="0" w:space="0" w:color="auto"/>
        <w:right w:val="none" w:sz="0" w:space="0" w:color="auto"/>
      </w:divBdr>
    </w:div>
    <w:div w:id="853880331">
      <w:bodyDiv w:val="1"/>
      <w:marLeft w:val="0"/>
      <w:marRight w:val="0"/>
      <w:marTop w:val="0"/>
      <w:marBottom w:val="0"/>
      <w:divBdr>
        <w:top w:val="none" w:sz="0" w:space="0" w:color="auto"/>
        <w:left w:val="none" w:sz="0" w:space="0" w:color="auto"/>
        <w:bottom w:val="none" w:sz="0" w:space="0" w:color="auto"/>
        <w:right w:val="none" w:sz="0" w:space="0" w:color="auto"/>
      </w:divBdr>
    </w:div>
    <w:div w:id="1075784641">
      <w:bodyDiv w:val="1"/>
      <w:marLeft w:val="0"/>
      <w:marRight w:val="0"/>
      <w:marTop w:val="0"/>
      <w:marBottom w:val="0"/>
      <w:divBdr>
        <w:top w:val="none" w:sz="0" w:space="0" w:color="auto"/>
        <w:left w:val="none" w:sz="0" w:space="0" w:color="auto"/>
        <w:bottom w:val="none" w:sz="0" w:space="0" w:color="auto"/>
        <w:right w:val="none" w:sz="0" w:space="0" w:color="auto"/>
      </w:divBdr>
    </w:div>
    <w:div w:id="1100683298">
      <w:bodyDiv w:val="1"/>
      <w:marLeft w:val="0"/>
      <w:marRight w:val="0"/>
      <w:marTop w:val="0"/>
      <w:marBottom w:val="0"/>
      <w:divBdr>
        <w:top w:val="none" w:sz="0" w:space="0" w:color="auto"/>
        <w:left w:val="none" w:sz="0" w:space="0" w:color="auto"/>
        <w:bottom w:val="none" w:sz="0" w:space="0" w:color="auto"/>
        <w:right w:val="none" w:sz="0" w:space="0" w:color="auto"/>
      </w:divBdr>
    </w:div>
    <w:div w:id="1221789841">
      <w:bodyDiv w:val="1"/>
      <w:marLeft w:val="0"/>
      <w:marRight w:val="0"/>
      <w:marTop w:val="0"/>
      <w:marBottom w:val="0"/>
      <w:divBdr>
        <w:top w:val="none" w:sz="0" w:space="0" w:color="auto"/>
        <w:left w:val="none" w:sz="0" w:space="0" w:color="auto"/>
        <w:bottom w:val="none" w:sz="0" w:space="0" w:color="auto"/>
        <w:right w:val="none" w:sz="0" w:space="0" w:color="auto"/>
      </w:divBdr>
    </w:div>
    <w:div w:id="1229614587">
      <w:bodyDiv w:val="1"/>
      <w:marLeft w:val="0"/>
      <w:marRight w:val="0"/>
      <w:marTop w:val="0"/>
      <w:marBottom w:val="0"/>
      <w:divBdr>
        <w:top w:val="none" w:sz="0" w:space="0" w:color="auto"/>
        <w:left w:val="none" w:sz="0" w:space="0" w:color="auto"/>
        <w:bottom w:val="none" w:sz="0" w:space="0" w:color="auto"/>
        <w:right w:val="none" w:sz="0" w:space="0" w:color="auto"/>
      </w:divBdr>
    </w:div>
    <w:div w:id="1334141928">
      <w:bodyDiv w:val="1"/>
      <w:marLeft w:val="0"/>
      <w:marRight w:val="0"/>
      <w:marTop w:val="0"/>
      <w:marBottom w:val="0"/>
      <w:divBdr>
        <w:top w:val="none" w:sz="0" w:space="0" w:color="auto"/>
        <w:left w:val="none" w:sz="0" w:space="0" w:color="auto"/>
        <w:bottom w:val="none" w:sz="0" w:space="0" w:color="auto"/>
        <w:right w:val="none" w:sz="0" w:space="0" w:color="auto"/>
      </w:divBdr>
    </w:div>
    <w:div w:id="1383941536">
      <w:bodyDiv w:val="1"/>
      <w:marLeft w:val="0"/>
      <w:marRight w:val="0"/>
      <w:marTop w:val="0"/>
      <w:marBottom w:val="0"/>
      <w:divBdr>
        <w:top w:val="none" w:sz="0" w:space="0" w:color="auto"/>
        <w:left w:val="none" w:sz="0" w:space="0" w:color="auto"/>
        <w:bottom w:val="none" w:sz="0" w:space="0" w:color="auto"/>
        <w:right w:val="none" w:sz="0" w:space="0" w:color="auto"/>
      </w:divBdr>
    </w:div>
    <w:div w:id="1459759021">
      <w:bodyDiv w:val="1"/>
      <w:marLeft w:val="0"/>
      <w:marRight w:val="0"/>
      <w:marTop w:val="0"/>
      <w:marBottom w:val="0"/>
      <w:divBdr>
        <w:top w:val="none" w:sz="0" w:space="0" w:color="auto"/>
        <w:left w:val="none" w:sz="0" w:space="0" w:color="auto"/>
        <w:bottom w:val="none" w:sz="0" w:space="0" w:color="auto"/>
        <w:right w:val="none" w:sz="0" w:space="0" w:color="auto"/>
      </w:divBdr>
    </w:div>
    <w:div w:id="1521503566">
      <w:bodyDiv w:val="1"/>
      <w:marLeft w:val="0"/>
      <w:marRight w:val="0"/>
      <w:marTop w:val="0"/>
      <w:marBottom w:val="0"/>
      <w:divBdr>
        <w:top w:val="none" w:sz="0" w:space="0" w:color="auto"/>
        <w:left w:val="none" w:sz="0" w:space="0" w:color="auto"/>
        <w:bottom w:val="none" w:sz="0" w:space="0" w:color="auto"/>
        <w:right w:val="none" w:sz="0" w:space="0" w:color="auto"/>
      </w:divBdr>
    </w:div>
    <w:div w:id="1660697743">
      <w:bodyDiv w:val="1"/>
      <w:marLeft w:val="0"/>
      <w:marRight w:val="0"/>
      <w:marTop w:val="0"/>
      <w:marBottom w:val="0"/>
      <w:divBdr>
        <w:top w:val="none" w:sz="0" w:space="0" w:color="auto"/>
        <w:left w:val="none" w:sz="0" w:space="0" w:color="auto"/>
        <w:bottom w:val="none" w:sz="0" w:space="0" w:color="auto"/>
        <w:right w:val="none" w:sz="0" w:space="0" w:color="auto"/>
      </w:divBdr>
    </w:div>
    <w:div w:id="1748114011">
      <w:bodyDiv w:val="1"/>
      <w:marLeft w:val="0"/>
      <w:marRight w:val="0"/>
      <w:marTop w:val="0"/>
      <w:marBottom w:val="0"/>
      <w:divBdr>
        <w:top w:val="none" w:sz="0" w:space="0" w:color="auto"/>
        <w:left w:val="none" w:sz="0" w:space="0" w:color="auto"/>
        <w:bottom w:val="none" w:sz="0" w:space="0" w:color="auto"/>
        <w:right w:val="none" w:sz="0" w:space="0" w:color="auto"/>
      </w:divBdr>
    </w:div>
    <w:div w:id="21364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129" TargetMode="External"/><Relationship Id="rId18" Type="http://schemas.openxmlformats.org/officeDocument/2006/relationships/hyperlink" Target="https://www.chemijournal.com/" TargetMode="External"/><Relationship Id="rId26" Type="http://schemas.openxmlformats.org/officeDocument/2006/relationships/hyperlink" Target="https://doi.org/10.1007/s11103-008-9416-3" TargetMode="External"/><Relationship Id="rId39" Type="http://schemas.openxmlformats.org/officeDocument/2006/relationships/footer" Target="footer3.xml"/><Relationship Id="rId21" Type="http://schemas.openxmlformats.org/officeDocument/2006/relationships/hyperlink" Target="https://doi:10.9734/ijecc/2023/v13i92533" TargetMode="External"/><Relationship Id="rId34" Type="http://schemas.openxmlformats.org/officeDocument/2006/relationships/header" Target="header1.xml"/><Relationship Id="rId7" Type="http://schemas.openxmlformats.org/officeDocument/2006/relationships/hyperlink" Target="https://acsjournals.com/index.php/ijah/article/view/10" TargetMode="External"/><Relationship Id="rId2" Type="http://schemas.openxmlformats.org/officeDocument/2006/relationships/styles" Target="styles.xml"/><Relationship Id="rId16" Type="http://schemas.openxmlformats.org/officeDocument/2006/relationships/hyperlink" Target="https://www.google.com/search?q=National+Agricultural+Research+Project+%28ICAR-IBRD%29+Manual&amp;sca_esv=9cb9dd9a64628872&amp;rlz=1C1VDKB_enIN1039IN1039&amp;sxsrf=AE3TifPU0Bc6fGzKsNt6VlFmDZ1m1y5HPg%3A1762103514375&amp;ei=2pAHaZjUFtL91e8P6c_psQk&amp;ved=2ahUKEwj234yY-9OQAxW2ka8BHXN-M-wQgK4QegQIARAD&amp;uact=5&amp;oq=National+Agricultural+Research+Project+reference&amp;gs_lp=Egxnd3Mtd2l6LXNlcnAiME5hdGlvbmFsIEFncmljdWx0dXJhbCBSZXNlYXJjaCBQcm9qZWN0IHJlZmVyZW5jZTIFECEYoAEyBRAhGKABMgUQIRigATIFECEYoAFI-kRQqRJYqEFwAngBkAEAmAGeAqABphWqAQYwLjEuMTC4AQPIAQD4AQGYAg2gAuwZwgIKEAAYsAMY1gQYR8ICBRAAGIAEwgIGEAAYFhgewgIEECEYFcICBxAhGKABGAqYAwCIBgGQBgiSBwoxLjAuMTAuMS4xoAfZNLIHBjItMTAuMbgHghbCBwswLjEuOC4zLjgtMcgHmAQ&amp;sclient=gws-wiz-serp&amp;mstk=AUtExfCgUw1j-lBrfBb13JjHIVYtNaiTqbO61KZ5XN4gUlbaTw2RNGSss7hacXTy6i8C1MrFptMJVnszZNOxT4zM9y10OCGPIKBemgj-pNaVqUOWc5F_ntMyqh1Ol9sb7gO27K0DwkjkpufArXaCp4SRacMV_lzXFz0-14T94vPFi1OfICvQnA_U6scAJqirTrTeLBi5E1XVBg8IGPtA9Kc06Rf9rSOMV5ofGYxAoURn6BBhLrhX9CoNhIasRi1eSiZV815IUKzeIkbfX1kvWIavZV669Y8nS-0pb09ME2f2h2X3AA&amp;csui=3" TargetMode="External"/><Relationship Id="rId20" Type="http://schemas.openxmlformats.org/officeDocument/2006/relationships/hyperlink" Target="https://doi.org/10.9790/2380-08513639" TargetMode="External"/><Relationship Id="rId29" Type="http://schemas.openxmlformats.org/officeDocument/2006/relationships/hyperlink" Target="https://doi.org/10.18805/lr.v0iOF.376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basweb.com/" TargetMode="External"/><Relationship Id="rId24" Type="http://schemas.openxmlformats.org/officeDocument/2006/relationships/hyperlink" Target="https://doi.org/10.1105/tpc.010476" TargetMode="External"/><Relationship Id="rId32" Type="http://schemas.openxmlformats.org/officeDocument/2006/relationships/hyperlink" Target="https://doi:10.1007/BF0002440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lantarchives.org" TargetMode="External"/><Relationship Id="rId23" Type="http://schemas.openxmlformats.org/officeDocument/2006/relationships/hyperlink" Target="https://doi.org/10.1016/j.tplants.2003.09.008" TargetMode="External"/><Relationship Id="rId28" Type="http://schemas.openxmlformats.org/officeDocument/2006/relationships/hyperlink" Target="https://doi.org/10.18805/LR-3759" TargetMode="External"/><Relationship Id="rId36" Type="http://schemas.openxmlformats.org/officeDocument/2006/relationships/footer" Target="footer1.xml"/><Relationship Id="rId10" Type="http://schemas.openxmlformats.org/officeDocument/2006/relationships/hyperlink" Target="https://doi.org/10.9734/ijecc/2023/v13i92533" TargetMode="External"/><Relationship Id="rId19" Type="http://schemas.openxmlformats.org/officeDocument/2006/relationships/hyperlink" Target="https://doi.org/10.18805/LR-4434" TargetMode="External"/><Relationship Id="rId31" Type="http://schemas.openxmlformats.org/officeDocument/2006/relationships/hyperlink" Target="https://doi:10.1002/jsfa.2740240306" TargetMode="External"/><Relationship Id="rId4" Type="http://schemas.openxmlformats.org/officeDocument/2006/relationships/webSettings" Target="webSettings.xml"/><Relationship Id="rId9" Type="http://schemas.openxmlformats.org/officeDocument/2006/relationships/hyperlink" Target="https://doi.org/10.5958/0976-0571.2015.00135.6" TargetMode="External"/><Relationship Id="rId14" Type="http://schemas.openxmlformats.org/officeDocument/2006/relationships/hyperlink" Target="https://doi.org/10.1007/BF00388966" TargetMode="External"/><Relationship Id="rId22" Type="http://schemas.openxmlformats.org/officeDocument/2006/relationships/hyperlink" Target="https://doi.org/10.1104/pp.106.086868" TargetMode="External"/><Relationship Id="rId27" Type="http://schemas.openxmlformats.org/officeDocument/2006/relationships/hyperlink" Target="https://doi.org/10.33545/26174693.2024.v8.i10Se.2473" TargetMode="External"/><Relationship Id="rId30" Type="http://schemas.openxmlformats.org/officeDocument/2006/relationships/hyperlink" Target="https://doi.org/10.22099/iar.2016.3652" TargetMode="External"/><Relationship Id="rId35" Type="http://schemas.openxmlformats.org/officeDocument/2006/relationships/header" Target="header2.xml"/><Relationship Id="rId8" Type="http://schemas.openxmlformats.org/officeDocument/2006/relationships/hyperlink" Target="https://doi.org/10.33545/26174693.2024.v8.i10Se.2473" TargetMode="External"/><Relationship Id="rId3" Type="http://schemas.openxmlformats.org/officeDocument/2006/relationships/settings" Target="settings.xml"/><Relationship Id="rId12" Type="http://schemas.openxmlformats.org/officeDocument/2006/relationships/hyperlink" Target="https://doi.org/10.1002/jsfa.2740240306" TargetMode="External"/><Relationship Id="rId17" Type="http://schemas.openxmlformats.org/officeDocument/2006/relationships/hyperlink" Target="https://doi.org/10.18782/2320-7051.6482" TargetMode="External"/><Relationship Id="rId25" Type="http://schemas.openxmlformats.org/officeDocument/2006/relationships/hyperlink" Target="https://doi.org/10.1146/annurev.arplant.51.1.501" TargetMode="External"/><Relationship Id="rId33" Type="http://schemas.openxmlformats.org/officeDocument/2006/relationships/hyperlink" Target="https://doi:10.1146/annurev.arplant.51.1.50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12</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Editor Manisha</cp:lastModifiedBy>
  <cp:revision>152</cp:revision>
  <cp:lastPrinted>2025-06-13T10:09:00Z</cp:lastPrinted>
  <dcterms:created xsi:type="dcterms:W3CDTF">2025-06-14T05:31:00Z</dcterms:created>
  <dcterms:modified xsi:type="dcterms:W3CDTF">2025-12-18T07:57:00Z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1e74684c-38f4-457e-b262-9d41c4e62636</vt:lpwstr>
  </property>
</Properties>
</file>