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B6B7" w14:textId="77777777" w:rsidR="00091911" w:rsidRDefault="00091911" w:rsidP="00843E14">
      <w:pPr>
        <w:spacing w:after="0" w:line="276" w:lineRule="auto"/>
        <w:jc w:val="center"/>
        <w:rPr>
          <w:rFonts w:ascii="Times New Roman" w:hAnsi="Times New Roman" w:cs="Times New Roman"/>
          <w:b/>
          <w:bCs/>
        </w:rPr>
      </w:pPr>
    </w:p>
    <w:p w14:paraId="7CF24846" w14:textId="242BADEB" w:rsidR="00843E14" w:rsidRDefault="00E15151" w:rsidP="00843E14">
      <w:pPr>
        <w:spacing w:after="0" w:line="276" w:lineRule="auto"/>
        <w:jc w:val="center"/>
        <w:rPr>
          <w:rFonts w:ascii="Times New Roman" w:hAnsi="Times New Roman" w:cs="Times New Roman"/>
          <w:b/>
          <w:bCs/>
        </w:rPr>
      </w:pPr>
      <w:r w:rsidRPr="00E15151">
        <w:rPr>
          <w:rFonts w:ascii="Times New Roman" w:hAnsi="Times New Roman" w:cs="Times New Roman"/>
          <w:b/>
          <w:bCs/>
        </w:rPr>
        <w:t>Improving Groundnut Productivity in Tribal Areas of ASR District through On-Farm Varietal Assessment</w:t>
      </w:r>
      <w:r w:rsidR="00091911">
        <w:rPr>
          <w:rFonts w:ascii="Times New Roman" w:hAnsi="Times New Roman" w:cs="Times New Roman"/>
          <w:b/>
          <w:bCs/>
        </w:rPr>
        <w:t xml:space="preserve">, </w:t>
      </w:r>
      <w:r w:rsidR="00091911" w:rsidRPr="00091911">
        <w:rPr>
          <w:rFonts w:ascii="Times New Roman" w:hAnsi="Times New Roman" w:cs="Times New Roman"/>
          <w:b/>
          <w:bCs/>
        </w:rPr>
        <w:t>Andhra Pradesh</w:t>
      </w:r>
      <w:r w:rsidR="00091911">
        <w:rPr>
          <w:rFonts w:ascii="Times New Roman" w:hAnsi="Times New Roman" w:cs="Times New Roman"/>
          <w:b/>
          <w:bCs/>
        </w:rPr>
        <w:t>, India</w:t>
      </w:r>
    </w:p>
    <w:p w14:paraId="4174025E" w14:textId="77777777" w:rsidR="00455772" w:rsidRDefault="00455772" w:rsidP="00621366">
      <w:pPr>
        <w:spacing w:after="0" w:line="276" w:lineRule="auto"/>
        <w:jc w:val="both"/>
        <w:rPr>
          <w:rFonts w:ascii="Times New Roman" w:hAnsi="Times New Roman" w:cs="Times New Roman"/>
          <w:b/>
          <w:bCs/>
        </w:rPr>
      </w:pPr>
    </w:p>
    <w:p w14:paraId="1CAE6516" w14:textId="22A8144E" w:rsidR="00621366" w:rsidRDefault="00621366" w:rsidP="00621366">
      <w:pPr>
        <w:spacing w:after="0" w:line="276" w:lineRule="auto"/>
        <w:jc w:val="both"/>
        <w:rPr>
          <w:rFonts w:ascii="Times New Roman" w:hAnsi="Times New Roman" w:cs="Times New Roman"/>
        </w:rPr>
      </w:pPr>
      <w:r w:rsidRPr="00621366">
        <w:rPr>
          <w:rFonts w:ascii="Times New Roman" w:hAnsi="Times New Roman" w:cs="Times New Roman"/>
          <w:b/>
          <w:bCs/>
        </w:rPr>
        <w:t>Abstract:</w:t>
      </w:r>
      <w:r w:rsidRPr="00621366">
        <w:rPr>
          <w:rFonts w:ascii="Times New Roman" w:hAnsi="Times New Roman" w:cs="Times New Roman"/>
        </w:rPr>
        <w:br/>
        <w:t xml:space="preserve">Groundnut productivity in the tribal areas of Alluri Sitharama Raju (ASR) district remains low due to the use of traditional, low-yielding varieties and limited adoption of scientific practices. </w:t>
      </w:r>
      <w:r w:rsidR="00E15151">
        <w:rPr>
          <w:rFonts w:ascii="Times New Roman" w:hAnsi="Times New Roman" w:cs="Times New Roman"/>
        </w:rPr>
        <w:t>The main objective of this study t</w:t>
      </w:r>
      <w:r w:rsidR="00E15151" w:rsidRPr="00E15151">
        <w:rPr>
          <w:rFonts w:ascii="Times New Roman" w:hAnsi="Times New Roman" w:cs="Times New Roman"/>
        </w:rPr>
        <w:t>o evaluate the yield performance, adaptability, and economic viability of improved groundnut varieties through on-farm trials under the rainfed tribal conditions of Alluri Sitharama Raju (ASR) district and to identify a suitable variety for enhancing groundnut productivity and farmers’ income</w:t>
      </w:r>
      <w:r w:rsidR="00E15151">
        <w:rPr>
          <w:rFonts w:ascii="Times New Roman" w:hAnsi="Times New Roman" w:cs="Times New Roman"/>
        </w:rPr>
        <w:t xml:space="preserve">. </w:t>
      </w:r>
      <w:r w:rsidRPr="00621366">
        <w:rPr>
          <w:rFonts w:ascii="Times New Roman" w:hAnsi="Times New Roman" w:cs="Times New Roman"/>
        </w:rPr>
        <w:t xml:space="preserve">To address this, Krishi Vigyan Kendra (KVK), Kondempudi conducted </w:t>
      </w:r>
      <w:r w:rsidR="00B404D7">
        <w:rPr>
          <w:rFonts w:ascii="Times New Roman" w:hAnsi="Times New Roman" w:cs="Times New Roman"/>
        </w:rPr>
        <w:t xml:space="preserve">15 </w:t>
      </w:r>
      <w:r w:rsidRPr="00621366">
        <w:rPr>
          <w:rFonts w:ascii="Times New Roman" w:hAnsi="Times New Roman" w:cs="Times New Roman"/>
        </w:rPr>
        <w:t>On-Farm Testing (OFT)</w:t>
      </w:r>
      <w:r w:rsidR="00B404D7">
        <w:rPr>
          <w:rFonts w:ascii="Times New Roman" w:hAnsi="Times New Roman" w:cs="Times New Roman"/>
        </w:rPr>
        <w:t xml:space="preserve"> trials </w:t>
      </w:r>
      <w:r w:rsidRPr="00621366">
        <w:rPr>
          <w:rFonts w:ascii="Times New Roman" w:hAnsi="Times New Roman" w:cs="Times New Roman"/>
        </w:rPr>
        <w:t>for three consecutive early kharif seasons (2020–21 to 2022–23) across major tribal villages to evaluate the performance of improved varieties Kadiri Lepakshi (K-1812) and Nitya Haritha (TCGS-1157) against the farmers’ variety K-6. Results showed that Kadiri Lepakshi consistently recorded the highest yields across all years, with a pooled mean yield of 18.0 q/ha and a 31.5% increase over farmers’ practice, followed by Nitya Haritha with 16.4 q/ha and a 19.5% yield advantage. Gap analysis indicated lower technology gap and technology index for Kadiri Lepakshi, confirming its better adaptability under rainfed tribal conditions. Economic analysis further revealed that Kadiri Lepakshi achieved the highest pooled net returns (₹71,566/ha) and B:C ratio (2.7), followed by Nitya Haritha (2.5), while farmers’ practice recorded the lowest profitability. Overall, the study demonstrates that adopting improved varieties, particularly Kadiri Lepakshi, can significantly enhance groundnut productivity and farm income in ASR district, highlighting the importance of varietal replacement and strengthened extension support in tribal farming systems</w:t>
      </w:r>
      <w:r>
        <w:rPr>
          <w:rFonts w:ascii="Times New Roman" w:hAnsi="Times New Roman" w:cs="Times New Roman"/>
        </w:rPr>
        <w:t>.</w:t>
      </w:r>
    </w:p>
    <w:p w14:paraId="6228ECDF" w14:textId="77777777" w:rsidR="00621366" w:rsidRDefault="00621366" w:rsidP="00621366">
      <w:pPr>
        <w:spacing w:after="0" w:line="276" w:lineRule="auto"/>
        <w:jc w:val="both"/>
        <w:rPr>
          <w:rFonts w:ascii="Times New Roman" w:hAnsi="Times New Roman" w:cs="Times New Roman"/>
          <w:b/>
          <w:bCs/>
          <w:i/>
          <w:iCs/>
        </w:rPr>
      </w:pPr>
      <w:r w:rsidRPr="00FE0989">
        <w:rPr>
          <w:rFonts w:ascii="Times New Roman" w:hAnsi="Times New Roman" w:cs="Times New Roman"/>
          <w:b/>
          <w:bCs/>
          <w:i/>
          <w:iCs/>
        </w:rPr>
        <w:t xml:space="preserve">Key words: </w:t>
      </w:r>
      <w:r w:rsidRPr="00F9578D">
        <w:rPr>
          <w:rFonts w:ascii="Times New Roman" w:hAnsi="Times New Roman" w:cs="Times New Roman"/>
          <w:i/>
          <w:iCs/>
        </w:rPr>
        <w:t>Improved varieties of groundnut, extension gap, technology gap, economic analysis.</w:t>
      </w:r>
    </w:p>
    <w:p w14:paraId="5E200D94" w14:textId="77777777" w:rsidR="009D736E" w:rsidRDefault="009D736E" w:rsidP="00621366">
      <w:pPr>
        <w:spacing w:after="0" w:line="276" w:lineRule="auto"/>
        <w:jc w:val="both"/>
        <w:rPr>
          <w:rFonts w:ascii="Times New Roman" w:hAnsi="Times New Roman" w:cs="Times New Roman"/>
          <w:b/>
          <w:bCs/>
          <w:i/>
          <w:iCs/>
        </w:rPr>
      </w:pPr>
    </w:p>
    <w:p w14:paraId="709CF962" w14:textId="0B1D570F" w:rsidR="00621366" w:rsidRPr="00621366" w:rsidRDefault="00621366" w:rsidP="00621366">
      <w:pPr>
        <w:spacing w:after="0" w:line="276" w:lineRule="auto"/>
        <w:jc w:val="both"/>
        <w:rPr>
          <w:rFonts w:ascii="Times New Roman" w:hAnsi="Times New Roman" w:cs="Times New Roman"/>
          <w:b/>
          <w:bCs/>
        </w:rPr>
      </w:pPr>
      <w:r w:rsidRPr="00621366">
        <w:rPr>
          <w:rFonts w:ascii="Times New Roman" w:hAnsi="Times New Roman" w:cs="Times New Roman"/>
          <w:b/>
          <w:bCs/>
        </w:rPr>
        <w:t>Introduction:</w:t>
      </w:r>
    </w:p>
    <w:p w14:paraId="62BDE6CF" w14:textId="6968B2B7" w:rsidR="008F0347" w:rsidRPr="008F0347" w:rsidRDefault="008F0347" w:rsidP="008F0347">
      <w:pPr>
        <w:spacing w:after="0" w:line="276" w:lineRule="auto"/>
        <w:ind w:firstLine="720"/>
        <w:jc w:val="both"/>
        <w:rPr>
          <w:rFonts w:ascii="Times New Roman" w:hAnsi="Times New Roman" w:cs="Times New Roman"/>
        </w:rPr>
      </w:pPr>
      <w:r w:rsidRPr="008F0347">
        <w:rPr>
          <w:rFonts w:ascii="Times New Roman" w:hAnsi="Times New Roman" w:cs="Times New Roman"/>
        </w:rPr>
        <w:t>Groundnut (</w:t>
      </w:r>
      <w:r w:rsidRPr="008F0347">
        <w:rPr>
          <w:rFonts w:ascii="Times New Roman" w:hAnsi="Times New Roman" w:cs="Times New Roman"/>
          <w:i/>
          <w:iCs/>
        </w:rPr>
        <w:t>Arachis hypogaea</w:t>
      </w:r>
      <w:r w:rsidRPr="008F0347">
        <w:rPr>
          <w:rFonts w:ascii="Times New Roman" w:hAnsi="Times New Roman" w:cs="Times New Roman"/>
        </w:rPr>
        <w:t xml:space="preserve"> L.), commonly known as peanut, is a major oilseed and food legume widely grown in tropical and subtropical regions. It plays a crucial role in human nutrition and agricultural economy due to its high-quality edible oil, rich protein content, and multipurpose utility in food processing, confectionery, fodder, and several industrial applications. The seeds contain 45–50% oil and 25–30% protein, making groundnut an excellent source of dietary energy and a valuable cash crop for millions of farmers. In Alluri Sitharama Raju (ASR) district, groundnut is one of the predominant oilseed crops cultivated by small and marginal farmers, particularly in tribal areas, contributing significantly to household income, nutritional security, and rural livelihoods.</w:t>
      </w:r>
    </w:p>
    <w:p w14:paraId="2A4C82D8" w14:textId="77777777" w:rsidR="008F0347" w:rsidRPr="008F0347" w:rsidRDefault="008F0347" w:rsidP="008F0347">
      <w:pPr>
        <w:spacing w:after="0" w:line="276" w:lineRule="auto"/>
        <w:ind w:firstLine="720"/>
        <w:jc w:val="both"/>
        <w:rPr>
          <w:rFonts w:ascii="Times New Roman" w:hAnsi="Times New Roman" w:cs="Times New Roman"/>
        </w:rPr>
      </w:pPr>
      <w:r w:rsidRPr="008F0347">
        <w:rPr>
          <w:rFonts w:ascii="Times New Roman" w:hAnsi="Times New Roman" w:cs="Times New Roman"/>
        </w:rPr>
        <w:t>In the tribal pockets of ASR district, groundnut is mostly cultivated as an early kharif crop under rainfed conditions. Despite its importance, the productivity of groundnut in these regions remains low. The primary reason is the widespread use of local, old, and traditional varieties, which are inherently low-yielding and highly susceptible to leaf spot diseases, drought stress, and pest infestation. In addition, tribal farmers generally have limited access to high-yielding, improved, disease-resistant varieties, due to lack of seed availability and poor linkages with formal seed systems. The situation is further aggravated by inadequate knowledge of scientific practices such as seed treatment, soil test-based nutrient management, timely weed control, micro-nutrient application, and integrated pest and disease management. Most farmers follow traditional cultivation methods, and the undulating terrain, low soil fertility, and erratic rainfall further contribute to reduced yields. As a result, significant yield gaps exist between potential and actual farm productivity.</w:t>
      </w:r>
    </w:p>
    <w:p w14:paraId="544464AB" w14:textId="77777777" w:rsidR="008F0347" w:rsidRPr="008F0347" w:rsidRDefault="008F0347" w:rsidP="008F0347">
      <w:pPr>
        <w:spacing w:after="0" w:line="276" w:lineRule="auto"/>
        <w:ind w:firstLine="720"/>
        <w:jc w:val="both"/>
        <w:rPr>
          <w:rFonts w:ascii="Times New Roman" w:hAnsi="Times New Roman" w:cs="Times New Roman"/>
        </w:rPr>
      </w:pPr>
      <w:r w:rsidRPr="008F0347">
        <w:rPr>
          <w:rFonts w:ascii="Times New Roman" w:hAnsi="Times New Roman" w:cs="Times New Roman"/>
        </w:rPr>
        <w:t xml:space="preserve">Recognizing these challenges, Krishi Vigyan Kendra (KVK), Kondempudi undertook a systematic effort to introduce and evaluate newly released, high-performing groundnut varieties suitable for tribal farming conditions. To address the issue of low productivity and promote varietal replacement, </w:t>
      </w:r>
      <w:r w:rsidRPr="008F0347">
        <w:rPr>
          <w:rFonts w:ascii="Times New Roman" w:hAnsi="Times New Roman" w:cs="Times New Roman"/>
        </w:rPr>
        <w:lastRenderedPageBreak/>
        <w:t>KVK conducted On-Farm Testing (OFT) trials across different villages in ASR district for three consecutive early kharif seasons—2020–2021, 2021–2022, and 2022–2023. The study focused on assessing the yield performance, adaptability, and disease tolerance of improved varieties under real farming situations. The newly released varieties Kadiri Lepakshi (K-1812) and Nitya Haritha (TCGS-1157) were evaluated against the farmers’ traditional variety K-6. Kadiri Lepakshi is known for its high pod yield, tolerance to foliar diseases, and suitability for rainfed conditions, while Nitya Haritha is recognized for early maturity, high shelling percentage, and better drought resilience.</w:t>
      </w:r>
    </w:p>
    <w:p w14:paraId="142BBE12" w14:textId="7FA1994F" w:rsidR="007601E7" w:rsidRDefault="008F0347" w:rsidP="00621366">
      <w:pPr>
        <w:spacing w:after="0" w:line="276" w:lineRule="auto"/>
        <w:ind w:firstLine="720"/>
        <w:jc w:val="both"/>
        <w:rPr>
          <w:rFonts w:ascii="Times New Roman" w:hAnsi="Times New Roman" w:cs="Times New Roman"/>
        </w:rPr>
      </w:pPr>
      <w:r w:rsidRPr="008F0347">
        <w:rPr>
          <w:rFonts w:ascii="Times New Roman" w:hAnsi="Times New Roman" w:cs="Times New Roman"/>
        </w:rPr>
        <w:t>The primary objective of the OFT was to identify suitable varieties that could effectively replace older cultivars and significantly enhance productivity and profitability in tribal areas. The trials also aimed to create awareness among farmers regarding the advantages of improved seed, scientific crop management practices, and timely operations to achieve higher yields. The introduction of new varieties, coupled with demonstrations on improved agronomic practices, has the potential to bridge the prevailing yield gaps, strengthen food and nutritional security, and enhance income levels of tribal farmers in ASR district. Overall, the study highlights the importance of varietal improvement, quality seed access, and technical support in improving groundnut productivity under rainfed tribal farming systems.</w:t>
      </w:r>
    </w:p>
    <w:p w14:paraId="50465E08" w14:textId="77777777" w:rsidR="00AF666A" w:rsidRDefault="00B404D7" w:rsidP="00B404D7">
      <w:pPr>
        <w:spacing w:after="0" w:line="276" w:lineRule="auto"/>
        <w:jc w:val="both"/>
        <w:rPr>
          <w:rFonts w:ascii="Times New Roman" w:hAnsi="Times New Roman" w:cs="Times New Roman"/>
          <w:b/>
          <w:bCs/>
        </w:rPr>
      </w:pPr>
      <w:r w:rsidRPr="00B404D7">
        <w:rPr>
          <w:rFonts w:ascii="Times New Roman" w:hAnsi="Times New Roman" w:cs="Times New Roman"/>
          <w:b/>
          <w:bCs/>
        </w:rPr>
        <w:t>Study Area:</w:t>
      </w:r>
    </w:p>
    <w:p w14:paraId="5A6EC5AC" w14:textId="4AA401BE" w:rsidR="00AF666A" w:rsidRPr="00AF666A" w:rsidRDefault="00AF666A" w:rsidP="00B404D7">
      <w:pPr>
        <w:spacing w:after="0" w:line="276"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sidRPr="00AF666A">
        <w:rPr>
          <w:rFonts w:ascii="Times New Roman" w:hAnsi="Times New Roman" w:cs="Times New Roman"/>
        </w:rPr>
        <w:t xml:space="preserve">Alluri Sitharama Raju District is one of the North Eastern </w:t>
      </w:r>
      <w:proofErr w:type="gramStart"/>
      <w:r w:rsidRPr="00AF666A">
        <w:rPr>
          <w:rFonts w:ascii="Times New Roman" w:hAnsi="Times New Roman" w:cs="Times New Roman"/>
        </w:rPr>
        <w:t>district</w:t>
      </w:r>
      <w:proofErr w:type="gramEnd"/>
      <w:r w:rsidRPr="00AF666A">
        <w:rPr>
          <w:rFonts w:ascii="Times New Roman" w:hAnsi="Times New Roman" w:cs="Times New Roman"/>
        </w:rPr>
        <w:t xml:space="preserve"> of Andhra Pradesh and it lies between 17o - 36' and 18o-36' of Northern latitude and in between 80o - 90' and 82o - 99' in Eastern longitude. It is bounded on the North partly by the Odisha State Partly by </w:t>
      </w:r>
      <w:proofErr w:type="spellStart"/>
      <w:r w:rsidRPr="00AF666A">
        <w:rPr>
          <w:rFonts w:ascii="Times New Roman" w:hAnsi="Times New Roman" w:cs="Times New Roman"/>
        </w:rPr>
        <w:t>Chattisgarh</w:t>
      </w:r>
      <w:proofErr w:type="spellEnd"/>
      <w:r w:rsidRPr="00AF666A">
        <w:rPr>
          <w:rFonts w:ascii="Times New Roman" w:hAnsi="Times New Roman" w:cs="Times New Roman"/>
        </w:rPr>
        <w:t xml:space="preserve"> State and partly by Telangana State on the South by Anakapalli, Kakinada and East Godavari Districts on the West covered by Godavari River and East by </w:t>
      </w:r>
      <w:proofErr w:type="spellStart"/>
      <w:r w:rsidRPr="00AF666A">
        <w:rPr>
          <w:rFonts w:ascii="Times New Roman" w:hAnsi="Times New Roman" w:cs="Times New Roman"/>
        </w:rPr>
        <w:t>Vijayanagaram</w:t>
      </w:r>
      <w:proofErr w:type="spellEnd"/>
      <w:r w:rsidRPr="00AF666A">
        <w:rPr>
          <w:rFonts w:ascii="Times New Roman" w:hAnsi="Times New Roman" w:cs="Times New Roman"/>
        </w:rPr>
        <w:t xml:space="preserve"> District.</w:t>
      </w:r>
      <w:r w:rsidR="005E5A4E">
        <w:rPr>
          <w:rFonts w:ascii="Times New Roman" w:hAnsi="Times New Roman" w:cs="Times New Roman"/>
        </w:rPr>
        <w:t xml:space="preserve"> </w:t>
      </w:r>
      <w:r w:rsidR="005E5A4E" w:rsidRPr="005E5A4E">
        <w:rPr>
          <w:rFonts w:ascii="Times New Roman" w:hAnsi="Times New Roman" w:cs="Times New Roman"/>
        </w:rPr>
        <w:t>The study area falls under high rainfall region with an average annual rainfall of 1400-1500 mm. But due to the absence of efficient irrigation system, farmers lack assured irrigation facility. The region's climate differs greatly with landscape, slopes and season.</w:t>
      </w:r>
      <w:r w:rsidR="005E5A4E" w:rsidRPr="005E5A4E">
        <w:t xml:space="preserve"> </w:t>
      </w:r>
      <w:r w:rsidR="005E5A4E" w:rsidRPr="005E5A4E">
        <w:rPr>
          <w:rFonts w:ascii="Times New Roman" w:hAnsi="Times New Roman" w:cs="Times New Roman"/>
        </w:rPr>
        <w:t xml:space="preserve">The </w:t>
      </w:r>
      <w:proofErr w:type="gramStart"/>
      <w:r w:rsidR="005E5A4E" w:rsidRPr="005E5A4E">
        <w:rPr>
          <w:rFonts w:ascii="Times New Roman" w:hAnsi="Times New Roman" w:cs="Times New Roman"/>
        </w:rPr>
        <w:t>high altitude</w:t>
      </w:r>
      <w:proofErr w:type="gramEnd"/>
      <w:r w:rsidR="005E5A4E" w:rsidRPr="005E5A4E">
        <w:rPr>
          <w:rFonts w:ascii="Times New Roman" w:hAnsi="Times New Roman" w:cs="Times New Roman"/>
        </w:rPr>
        <w:t xml:space="preserve"> region is characterized by heavy rainfall</w:t>
      </w:r>
      <w:r w:rsidR="005E5A4E">
        <w:rPr>
          <w:rFonts w:ascii="Times New Roman" w:hAnsi="Times New Roman" w:cs="Times New Roman"/>
        </w:rPr>
        <w:t xml:space="preserve"> </w:t>
      </w:r>
      <w:r w:rsidR="005E5A4E" w:rsidRPr="005E5A4E">
        <w:rPr>
          <w:rFonts w:ascii="Times New Roman" w:hAnsi="Times New Roman" w:cs="Times New Roman"/>
        </w:rPr>
        <w:t>influenced by the southwest monsoon, which arrives in the May- June and continues till the end September during the kharif season, followed by October and November in early rabi constitutes the retreating monsoon coupled with dry winter weather in January and high day temperatures are rising in the summer season.</w:t>
      </w:r>
    </w:p>
    <w:p w14:paraId="0247B43F" w14:textId="56971529" w:rsidR="00B404D7" w:rsidRPr="00621366" w:rsidRDefault="00B404D7" w:rsidP="00621366">
      <w:pPr>
        <w:spacing w:after="0" w:line="276" w:lineRule="auto"/>
        <w:ind w:firstLine="720"/>
        <w:jc w:val="both"/>
        <w:rPr>
          <w:rFonts w:ascii="Times New Roman" w:hAnsi="Times New Roman" w:cs="Times New Roman"/>
        </w:rPr>
      </w:pPr>
      <w:r w:rsidRPr="00B404D7">
        <w:rPr>
          <w:rFonts w:ascii="Times New Roman" w:hAnsi="Times New Roman" w:cs="Times New Roman"/>
          <w:noProof/>
        </w:rPr>
        <w:drawing>
          <wp:inline distT="0" distB="0" distL="0" distR="0" wp14:anchorId="7D13B456" wp14:editId="78233BBB">
            <wp:extent cx="4495800" cy="3588336"/>
            <wp:effectExtent l="0" t="0" r="0" b="0"/>
            <wp:docPr id="1063284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84531" name=""/>
                    <pic:cNvPicPr/>
                  </pic:nvPicPr>
                  <pic:blipFill>
                    <a:blip r:embed="rId7"/>
                    <a:stretch>
                      <a:fillRect/>
                    </a:stretch>
                  </pic:blipFill>
                  <pic:spPr>
                    <a:xfrm>
                      <a:off x="0" y="0"/>
                      <a:ext cx="4505559" cy="3596125"/>
                    </a:xfrm>
                    <a:prstGeom prst="rect">
                      <a:avLst/>
                    </a:prstGeom>
                  </pic:spPr>
                </pic:pic>
              </a:graphicData>
            </a:graphic>
          </wp:inline>
        </w:drawing>
      </w:r>
    </w:p>
    <w:p w14:paraId="028BA77D" w14:textId="5827EA3A" w:rsidR="00AF666A" w:rsidRDefault="00AF666A" w:rsidP="007601E7">
      <w:pPr>
        <w:spacing w:after="0" w:line="276" w:lineRule="auto"/>
        <w:jc w:val="both"/>
        <w:rPr>
          <w:rFonts w:ascii="Times New Roman" w:hAnsi="Times New Roman" w:cs="Times New Roman"/>
          <w:b/>
          <w:bCs/>
        </w:rPr>
      </w:pPr>
      <w:r>
        <w:rPr>
          <w:rFonts w:ascii="Times New Roman" w:hAnsi="Times New Roman" w:cs="Times New Roman"/>
          <w:b/>
          <w:bCs/>
        </w:rPr>
        <w:lastRenderedPageBreak/>
        <w:t xml:space="preserve">              </w:t>
      </w:r>
      <w:r w:rsidRPr="00AF666A">
        <w:rPr>
          <w:rFonts w:ascii="Times New Roman" w:hAnsi="Times New Roman" w:cs="Times New Roman"/>
          <w:b/>
          <w:bCs/>
        </w:rPr>
        <w:t>Fig. 1. Location of study area in India (</w:t>
      </w:r>
      <w:r>
        <w:rPr>
          <w:rFonts w:ascii="Times New Roman" w:hAnsi="Times New Roman" w:cs="Times New Roman"/>
          <w:b/>
          <w:bCs/>
        </w:rPr>
        <w:t>District hand book of statistics, 2022</w:t>
      </w:r>
      <w:r w:rsidRPr="00AF666A">
        <w:rPr>
          <w:rFonts w:ascii="Times New Roman" w:hAnsi="Times New Roman" w:cs="Times New Roman"/>
          <w:b/>
          <w:bCs/>
        </w:rPr>
        <w:t>)</w:t>
      </w:r>
    </w:p>
    <w:p w14:paraId="55AD6FF2" w14:textId="77777777" w:rsidR="00091911" w:rsidRDefault="00843E14" w:rsidP="007601E7">
      <w:pPr>
        <w:spacing w:after="0" w:line="276" w:lineRule="auto"/>
        <w:jc w:val="both"/>
        <w:rPr>
          <w:rFonts w:ascii="Times New Roman" w:hAnsi="Times New Roman" w:cs="Times New Roman"/>
          <w:b/>
          <w:bCs/>
        </w:rPr>
      </w:pPr>
      <w:r w:rsidRPr="00FE0989">
        <w:rPr>
          <w:rFonts w:ascii="Times New Roman" w:hAnsi="Times New Roman" w:cs="Times New Roman"/>
          <w:b/>
          <w:bCs/>
        </w:rPr>
        <w:t xml:space="preserve">Methodology:  </w:t>
      </w:r>
    </w:p>
    <w:p w14:paraId="6CB7FC84" w14:textId="3ABBE783" w:rsidR="007601E7" w:rsidRPr="007601E7" w:rsidRDefault="007601E7" w:rsidP="007601E7">
      <w:pPr>
        <w:spacing w:after="0" w:line="276" w:lineRule="auto"/>
        <w:jc w:val="both"/>
        <w:rPr>
          <w:rFonts w:ascii="Times New Roman" w:hAnsi="Times New Roman" w:cs="Times New Roman"/>
        </w:rPr>
      </w:pPr>
      <w:r w:rsidRPr="007601E7">
        <w:rPr>
          <w:rFonts w:ascii="Times New Roman" w:hAnsi="Times New Roman" w:cs="Times New Roman"/>
        </w:rPr>
        <w:t xml:space="preserve">The On-Farm Testing (OFT) trials were conducted by Krishi Vigyan Kendra (KVK), Kondempudi across various villages of Alluri Sitharama Raju (ASR) district, including </w:t>
      </w:r>
      <w:proofErr w:type="spellStart"/>
      <w:r w:rsidRPr="007601E7">
        <w:rPr>
          <w:rFonts w:ascii="Times New Roman" w:hAnsi="Times New Roman" w:cs="Times New Roman"/>
        </w:rPr>
        <w:t>Sirsapalli</w:t>
      </w:r>
      <w:proofErr w:type="spellEnd"/>
      <w:r w:rsidRPr="007601E7">
        <w:rPr>
          <w:rFonts w:ascii="Times New Roman" w:hAnsi="Times New Roman" w:cs="Times New Roman"/>
        </w:rPr>
        <w:t xml:space="preserve">, </w:t>
      </w:r>
      <w:proofErr w:type="spellStart"/>
      <w:r w:rsidRPr="007601E7">
        <w:rPr>
          <w:rFonts w:ascii="Times New Roman" w:hAnsi="Times New Roman" w:cs="Times New Roman"/>
        </w:rPr>
        <w:t>Hukkumeta</w:t>
      </w:r>
      <w:proofErr w:type="spellEnd"/>
      <w:r w:rsidRPr="007601E7">
        <w:rPr>
          <w:rFonts w:ascii="Times New Roman" w:hAnsi="Times New Roman" w:cs="Times New Roman"/>
        </w:rPr>
        <w:t xml:space="preserve">, </w:t>
      </w:r>
      <w:proofErr w:type="spellStart"/>
      <w:r w:rsidRPr="007601E7">
        <w:rPr>
          <w:rFonts w:ascii="Times New Roman" w:hAnsi="Times New Roman" w:cs="Times New Roman"/>
        </w:rPr>
        <w:t>Neelamputtu</w:t>
      </w:r>
      <w:proofErr w:type="spellEnd"/>
      <w:r w:rsidRPr="007601E7">
        <w:rPr>
          <w:rFonts w:ascii="Times New Roman" w:hAnsi="Times New Roman" w:cs="Times New Roman"/>
        </w:rPr>
        <w:t xml:space="preserve">, </w:t>
      </w:r>
      <w:proofErr w:type="spellStart"/>
      <w:r w:rsidRPr="007601E7">
        <w:rPr>
          <w:rFonts w:ascii="Times New Roman" w:hAnsi="Times New Roman" w:cs="Times New Roman"/>
        </w:rPr>
        <w:t>Gasabu</w:t>
      </w:r>
      <w:proofErr w:type="spellEnd"/>
      <w:r w:rsidRPr="007601E7">
        <w:rPr>
          <w:rFonts w:ascii="Times New Roman" w:hAnsi="Times New Roman" w:cs="Times New Roman"/>
        </w:rPr>
        <w:t xml:space="preserve">, </w:t>
      </w:r>
      <w:proofErr w:type="spellStart"/>
      <w:r w:rsidRPr="007601E7">
        <w:rPr>
          <w:rFonts w:ascii="Times New Roman" w:hAnsi="Times New Roman" w:cs="Times New Roman"/>
        </w:rPr>
        <w:t>Pedabhyalu</w:t>
      </w:r>
      <w:proofErr w:type="spellEnd"/>
      <w:r w:rsidRPr="007601E7">
        <w:rPr>
          <w:rFonts w:ascii="Times New Roman" w:hAnsi="Times New Roman" w:cs="Times New Roman"/>
        </w:rPr>
        <w:t xml:space="preserve">, </w:t>
      </w:r>
      <w:proofErr w:type="spellStart"/>
      <w:r w:rsidRPr="007601E7">
        <w:rPr>
          <w:rFonts w:ascii="Times New Roman" w:hAnsi="Times New Roman" w:cs="Times New Roman"/>
        </w:rPr>
        <w:t>Tadigiri</w:t>
      </w:r>
      <w:proofErr w:type="spellEnd"/>
      <w:r w:rsidRPr="007601E7">
        <w:rPr>
          <w:rFonts w:ascii="Times New Roman" w:hAnsi="Times New Roman" w:cs="Times New Roman"/>
        </w:rPr>
        <w:t xml:space="preserve">, </w:t>
      </w:r>
      <w:proofErr w:type="spellStart"/>
      <w:r w:rsidRPr="007601E7">
        <w:rPr>
          <w:rFonts w:ascii="Times New Roman" w:hAnsi="Times New Roman" w:cs="Times New Roman"/>
        </w:rPr>
        <w:t>Baramasi</w:t>
      </w:r>
      <w:proofErr w:type="spellEnd"/>
      <w:r w:rsidRPr="007601E7">
        <w:rPr>
          <w:rFonts w:ascii="Times New Roman" w:hAnsi="Times New Roman" w:cs="Times New Roman"/>
        </w:rPr>
        <w:t xml:space="preserve">, </w:t>
      </w:r>
      <w:proofErr w:type="spellStart"/>
      <w:r w:rsidRPr="007601E7">
        <w:rPr>
          <w:rFonts w:ascii="Times New Roman" w:hAnsi="Times New Roman" w:cs="Times New Roman"/>
        </w:rPr>
        <w:t>Galaganda</w:t>
      </w:r>
      <w:proofErr w:type="spellEnd"/>
      <w:r w:rsidRPr="007601E7">
        <w:rPr>
          <w:rFonts w:ascii="Times New Roman" w:hAnsi="Times New Roman" w:cs="Times New Roman"/>
        </w:rPr>
        <w:t xml:space="preserve">, and other tribal locations. These trials were implemented over three consecutive early kharif seasons—2020–21, 2021–22, and 2022–23—to assess the performance of improved groundnut varieties under real farmer field conditions. A total of 15 on-farm trials were conducted during this period, covering different micro-agroclimatic conditions and </w:t>
      </w:r>
      <w:r w:rsidRPr="00907FA7">
        <w:rPr>
          <w:rFonts w:ascii="Times New Roman" w:hAnsi="Times New Roman" w:cs="Times New Roman"/>
        </w:rPr>
        <w:t xml:space="preserve">red </w:t>
      </w:r>
      <w:r w:rsidRPr="007601E7">
        <w:rPr>
          <w:rFonts w:ascii="Times New Roman" w:hAnsi="Times New Roman" w:cs="Times New Roman"/>
        </w:rPr>
        <w:t>soil types commonly found in the district.</w:t>
      </w:r>
    </w:p>
    <w:p w14:paraId="695F34FC" w14:textId="77777777" w:rsidR="007601E7" w:rsidRPr="007601E7" w:rsidRDefault="007601E7" w:rsidP="007601E7">
      <w:pPr>
        <w:spacing w:after="0" w:line="276" w:lineRule="auto"/>
        <w:jc w:val="both"/>
        <w:rPr>
          <w:rFonts w:ascii="Times New Roman" w:hAnsi="Times New Roman" w:cs="Times New Roman"/>
        </w:rPr>
      </w:pPr>
      <w:r w:rsidRPr="007601E7">
        <w:rPr>
          <w:rFonts w:ascii="Times New Roman" w:hAnsi="Times New Roman" w:cs="Times New Roman"/>
        </w:rPr>
        <w:t>The primary objective of these OFTs was to evaluate the yield performance, adaptability, and acceptability of the newly released groundnut varieties in comparison to the farmers’ traditional practices. To ensure accurate assessment, data collection followed standard agronomic protocols. At each trial location, crop yield was measured from a 5 m × 5 m (25 m²) area in both the OFT plot (improved varieties) and the farmers’ practice plot (traditional variety). The harvested pods were dried, weighed, and the grain weight obtained from each sampling unit was recorded. These weights were then converted into kilograms per hectare (kg/ha) using appropriate conversion factors to ensure uniformity and comparability across locations and seasons.</w:t>
      </w:r>
    </w:p>
    <w:p w14:paraId="04808A15" w14:textId="77777777" w:rsidR="007601E7" w:rsidRPr="007601E7" w:rsidRDefault="007601E7" w:rsidP="007601E7">
      <w:pPr>
        <w:spacing w:after="0" w:line="276" w:lineRule="auto"/>
        <w:jc w:val="both"/>
        <w:rPr>
          <w:rFonts w:ascii="Times New Roman" w:hAnsi="Times New Roman" w:cs="Times New Roman"/>
        </w:rPr>
      </w:pPr>
      <w:r w:rsidRPr="007601E7">
        <w:rPr>
          <w:rFonts w:ascii="Times New Roman" w:hAnsi="Times New Roman" w:cs="Times New Roman"/>
        </w:rPr>
        <w:t xml:space="preserve">To quantify the effectiveness of the intervention and identify yield gaps, gap analysis was carried out using parameters suggested by </w:t>
      </w:r>
      <w:r w:rsidRPr="007601E7">
        <w:rPr>
          <w:rFonts w:ascii="Times New Roman" w:hAnsi="Times New Roman" w:cs="Times New Roman"/>
          <w:i/>
          <w:iCs/>
        </w:rPr>
        <w:t>Yadav et al. (2004)</w:t>
      </w:r>
      <w:r w:rsidRPr="007601E7">
        <w:rPr>
          <w:rFonts w:ascii="Times New Roman" w:hAnsi="Times New Roman" w:cs="Times New Roman"/>
        </w:rPr>
        <w:t xml:space="preserve"> and </w:t>
      </w:r>
      <w:r w:rsidRPr="007601E7">
        <w:rPr>
          <w:rFonts w:ascii="Times New Roman" w:hAnsi="Times New Roman" w:cs="Times New Roman"/>
          <w:i/>
          <w:iCs/>
        </w:rPr>
        <w:t>Verma et al. (2014)</w:t>
      </w:r>
      <w:r w:rsidRPr="007601E7">
        <w:rPr>
          <w:rFonts w:ascii="Times New Roman" w:hAnsi="Times New Roman" w:cs="Times New Roman"/>
        </w:rPr>
        <w:t>. These parameters typically include:</w:t>
      </w:r>
    </w:p>
    <w:p w14:paraId="084620D9" w14:textId="72C71329" w:rsidR="00843E14" w:rsidRPr="00FE0989" w:rsidRDefault="007601E7" w:rsidP="00843E14">
      <w:pPr>
        <w:spacing w:after="0" w:line="276" w:lineRule="auto"/>
        <w:jc w:val="both"/>
        <w:rPr>
          <w:rFonts w:ascii="Times New Roman" w:hAnsi="Times New Roman" w:cs="Times New Roman"/>
        </w:rPr>
      </w:pPr>
      <w:r>
        <w:rPr>
          <w:rFonts w:ascii="Times New Roman" w:hAnsi="Times New Roman" w:cs="Times New Roman"/>
        </w:rPr>
        <w:t xml:space="preserve">Formulae </w:t>
      </w:r>
      <w:r w:rsidR="00843E14" w:rsidRPr="00FE0989">
        <w:rPr>
          <w:rFonts w:ascii="Times New Roman" w:hAnsi="Times New Roman" w:cs="Times New Roman"/>
        </w:rPr>
        <w:t>is as follows</w:t>
      </w:r>
    </w:p>
    <w:p w14:paraId="0566E6D9"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Technology gap = Potential yield – Demonstration yield</w:t>
      </w:r>
    </w:p>
    <w:p w14:paraId="57B2C748"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Extension gap = Demonstration yield – Farmer’s yield</w:t>
      </w:r>
    </w:p>
    <w:p w14:paraId="0093F4B2"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Technology index = </w:t>
      </w:r>
      <w:r w:rsidRPr="00FE0989">
        <w:rPr>
          <w:rFonts w:ascii="Times New Roman" w:hAnsi="Times New Roman" w:cs="Times New Roman"/>
          <w:u w:val="single"/>
        </w:rPr>
        <w:t xml:space="preserve">(Potential yield – Demonstration </w:t>
      </w:r>
      <w:proofErr w:type="gramStart"/>
      <w:r w:rsidRPr="00FE0989">
        <w:rPr>
          <w:rFonts w:ascii="Times New Roman" w:hAnsi="Times New Roman" w:cs="Times New Roman"/>
          <w:u w:val="single"/>
        </w:rPr>
        <w:t>yield)</w:t>
      </w:r>
      <w:r w:rsidRPr="00FE0989">
        <w:rPr>
          <w:rFonts w:ascii="Times New Roman" w:hAnsi="Times New Roman" w:cs="Times New Roman"/>
        </w:rPr>
        <w:t xml:space="preserve">  X</w:t>
      </w:r>
      <w:proofErr w:type="gramEnd"/>
      <w:r w:rsidRPr="00FE0989">
        <w:rPr>
          <w:rFonts w:ascii="Times New Roman" w:hAnsi="Times New Roman" w:cs="Times New Roman"/>
        </w:rPr>
        <w:t xml:space="preserve"> 100</w:t>
      </w:r>
    </w:p>
    <w:p w14:paraId="471EF47B"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                                              Potential yield </w:t>
      </w:r>
    </w:p>
    <w:p w14:paraId="0995E5C9"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 Yield Increase = </w:t>
      </w:r>
      <w:r w:rsidRPr="00FE0989">
        <w:rPr>
          <w:rFonts w:ascii="Times New Roman" w:hAnsi="Times New Roman" w:cs="Times New Roman"/>
          <w:u w:val="single"/>
        </w:rPr>
        <w:t xml:space="preserve">(Demonstration yield – Farmer’s practice </w:t>
      </w:r>
      <w:proofErr w:type="gramStart"/>
      <w:r w:rsidRPr="00FE0989">
        <w:rPr>
          <w:rFonts w:ascii="Times New Roman" w:hAnsi="Times New Roman" w:cs="Times New Roman"/>
          <w:u w:val="single"/>
        </w:rPr>
        <w:t>yield)</w:t>
      </w:r>
      <w:r w:rsidRPr="00FE0989">
        <w:rPr>
          <w:rFonts w:ascii="Times New Roman" w:hAnsi="Times New Roman" w:cs="Times New Roman"/>
        </w:rPr>
        <w:t xml:space="preserve">  X</w:t>
      </w:r>
      <w:proofErr w:type="gramEnd"/>
      <w:r w:rsidRPr="00FE0989">
        <w:rPr>
          <w:rFonts w:ascii="Times New Roman" w:hAnsi="Times New Roman" w:cs="Times New Roman"/>
        </w:rPr>
        <w:t xml:space="preserve"> 100</w:t>
      </w:r>
    </w:p>
    <w:p w14:paraId="569CF974"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                                              Farmer’s practice yield</w:t>
      </w:r>
    </w:p>
    <w:p w14:paraId="5F1AC223" w14:textId="77777777" w:rsidR="00843E14" w:rsidRPr="00FE0989" w:rsidRDefault="00843E14" w:rsidP="00843E14">
      <w:pPr>
        <w:spacing w:after="0" w:line="276" w:lineRule="auto"/>
        <w:rPr>
          <w:rFonts w:ascii="Times New Roman" w:hAnsi="Times New Roman" w:cs="Times New Roman"/>
          <w:b/>
          <w:bCs/>
        </w:rPr>
      </w:pPr>
      <w:r w:rsidRPr="00FE0989">
        <w:rPr>
          <w:rFonts w:ascii="Times New Roman" w:hAnsi="Times New Roman" w:cs="Times New Roman"/>
          <w:b/>
          <w:bCs/>
        </w:rPr>
        <w:t>Results and discussion:</w:t>
      </w:r>
    </w:p>
    <w:p w14:paraId="4AE8FCFE" w14:textId="0B99EFF1" w:rsidR="007601E7" w:rsidRPr="007601E7" w:rsidRDefault="00843E14" w:rsidP="006C7150">
      <w:pPr>
        <w:spacing w:after="0" w:line="276" w:lineRule="auto"/>
        <w:ind w:firstLine="720"/>
        <w:jc w:val="both"/>
        <w:rPr>
          <w:rFonts w:ascii="Times New Roman" w:hAnsi="Times New Roman" w:cs="Times New Roman"/>
        </w:rPr>
      </w:pPr>
      <w:r w:rsidRPr="00FE0989">
        <w:rPr>
          <w:rFonts w:ascii="Times New Roman" w:hAnsi="Times New Roman" w:cs="Times New Roman"/>
          <w:b/>
          <w:bCs/>
        </w:rPr>
        <w:t>Pod Yield:</w:t>
      </w:r>
      <w:r w:rsidRPr="00FE0989">
        <w:rPr>
          <w:rFonts w:ascii="Times New Roman" w:hAnsi="Times New Roman" w:cs="Times New Roman"/>
        </w:rPr>
        <w:t xml:space="preserve"> </w:t>
      </w:r>
      <w:r w:rsidR="007601E7" w:rsidRPr="007601E7">
        <w:rPr>
          <w:rFonts w:ascii="Times New Roman" w:hAnsi="Times New Roman" w:cs="Times New Roman"/>
        </w:rPr>
        <w:t>Highest pod yield was consistently recorded with Kadiri Lepakshi (K-1812) across all the three years of study, followed by Nitya Haritha (TCGS-1157) and the farmers’ traditional variety K-6. The detailed pod yield performance of the varieties for the years 2020–21, 2021–22, and 2022–23 is presented in Table 1. During the first year of the trial (2020–21), both improved varieties exhibited a clear and significant yield advantage over farmers’ practice. Kadiri Lepakshi recorded the highest pod yield of 17.7 q/ha, which represented a 28.3% increase over the farmers’ practice yield of 13.8 q/ha. Nitya Haritha also performed significantly better than the local variety, registering 16.8 q/ha, which was 21.7% higher than the farmers’ practice. The superior performance of improved varieties in the first year indicates their better genetic potential to perform under rainfed tribal farming conditions and their resilience against prevailing biotic and abiotic stresses.</w:t>
      </w:r>
    </w:p>
    <w:p w14:paraId="673E8339" w14:textId="77777777" w:rsidR="007601E7" w:rsidRPr="007601E7" w:rsidRDefault="007601E7" w:rsidP="007601E7">
      <w:pPr>
        <w:spacing w:after="0" w:line="276" w:lineRule="auto"/>
        <w:ind w:firstLine="720"/>
        <w:jc w:val="both"/>
        <w:rPr>
          <w:rFonts w:ascii="Times New Roman" w:hAnsi="Times New Roman" w:cs="Times New Roman"/>
        </w:rPr>
      </w:pPr>
      <w:r w:rsidRPr="007601E7">
        <w:rPr>
          <w:rFonts w:ascii="Times New Roman" w:hAnsi="Times New Roman" w:cs="Times New Roman"/>
        </w:rPr>
        <w:t xml:space="preserve">During the second year (2021–22), the yield superiority of Kadiri Lepakshi became even more evident. It produced 18.2 q/ha, achieving a 36.8% higher yield compared to farmers’ practice (13.3 q/ha). Nitya Haritha recorded 16.4 q/ha, registering a 23.3% increase over the traditional variety. The enhanced yield advantage during this year may be attributed to comparatively </w:t>
      </w:r>
      <w:proofErr w:type="spellStart"/>
      <w:r w:rsidRPr="007601E7">
        <w:rPr>
          <w:rFonts w:ascii="Times New Roman" w:hAnsi="Times New Roman" w:cs="Times New Roman"/>
        </w:rPr>
        <w:t>favorable</w:t>
      </w:r>
      <w:proofErr w:type="spellEnd"/>
      <w:r w:rsidRPr="007601E7">
        <w:rPr>
          <w:rFonts w:ascii="Times New Roman" w:hAnsi="Times New Roman" w:cs="Times New Roman"/>
        </w:rPr>
        <w:t xml:space="preserve"> rainfall distribution, better soil moisture availability, and improved crop management practices adopted by farmers through regular monitoring and technical guidance by KVK. This suggests that improved varieties, when combined with recommended agronomic practices, respond better to </w:t>
      </w:r>
      <w:proofErr w:type="spellStart"/>
      <w:r w:rsidRPr="007601E7">
        <w:rPr>
          <w:rFonts w:ascii="Times New Roman" w:hAnsi="Times New Roman" w:cs="Times New Roman"/>
        </w:rPr>
        <w:t>favorable</w:t>
      </w:r>
      <w:proofErr w:type="spellEnd"/>
      <w:r w:rsidRPr="007601E7">
        <w:rPr>
          <w:rFonts w:ascii="Times New Roman" w:hAnsi="Times New Roman" w:cs="Times New Roman"/>
        </w:rPr>
        <w:t xml:space="preserve"> environmental conditions and exhibit higher yield potential.</w:t>
      </w:r>
    </w:p>
    <w:p w14:paraId="0C5D7A58" w14:textId="7B6C5ACA" w:rsidR="007601E7" w:rsidRPr="006C7150" w:rsidRDefault="007601E7" w:rsidP="006C7150">
      <w:pPr>
        <w:spacing w:after="0" w:line="276" w:lineRule="auto"/>
        <w:ind w:firstLine="720"/>
        <w:jc w:val="both"/>
        <w:rPr>
          <w:rFonts w:ascii="Times New Roman" w:hAnsi="Times New Roman" w:cs="Times New Roman"/>
        </w:rPr>
      </w:pPr>
      <w:r w:rsidRPr="007601E7">
        <w:rPr>
          <w:rFonts w:ascii="Times New Roman" w:hAnsi="Times New Roman" w:cs="Times New Roman"/>
        </w:rPr>
        <w:t xml:space="preserve">In the third and final year of the study (2022–23), Kadiri Lepakshi continued to maintain its superior performance with a pod yield of 18.1 q/ha, marking a 29.3% increase over farmers’ practice </w:t>
      </w:r>
      <w:r w:rsidRPr="007601E7">
        <w:rPr>
          <w:rFonts w:ascii="Times New Roman" w:hAnsi="Times New Roman" w:cs="Times New Roman"/>
        </w:rPr>
        <w:lastRenderedPageBreak/>
        <w:t>(14.0 q/ha). Nitya Haritha yielded 15.9 q/ha, reflecting a 13.6% improvement over the traditional variety. Although the yield advantage for Nitya Haritha was slightly lower compared to the previous two years, both improved varieties still outperformed farmers’ practice, demonstrating their consistent adaptability across varying climatic and soil conditions of ASR district. The slight reduction in percentage gain for Nitya Haritha in the final year could be influenced by fluctuations in rainfall pattern, possible disease incidence, or site-specific soil fertility variations.</w:t>
      </w:r>
    </w:p>
    <w:p w14:paraId="26B9058B" w14:textId="77777777" w:rsidR="006C7150" w:rsidRPr="006C7150" w:rsidRDefault="00843E14" w:rsidP="006C7150">
      <w:pPr>
        <w:spacing w:after="0" w:line="276" w:lineRule="auto"/>
        <w:ind w:firstLine="720"/>
        <w:jc w:val="both"/>
        <w:rPr>
          <w:rFonts w:ascii="Times New Roman" w:hAnsi="Times New Roman" w:cs="Times New Roman"/>
        </w:rPr>
      </w:pPr>
      <w:r w:rsidRPr="00FE0989">
        <w:rPr>
          <w:rFonts w:ascii="Times New Roman" w:hAnsi="Times New Roman" w:cs="Times New Roman"/>
          <w:b/>
          <w:bCs/>
        </w:rPr>
        <w:t>Pooled Results:</w:t>
      </w:r>
      <w:r w:rsidRPr="00FE0989">
        <w:rPr>
          <w:rFonts w:ascii="Times New Roman" w:hAnsi="Times New Roman" w:cs="Times New Roman"/>
        </w:rPr>
        <w:t xml:space="preserve"> </w:t>
      </w:r>
      <w:r w:rsidR="006C7150" w:rsidRPr="006C7150">
        <w:rPr>
          <w:rFonts w:ascii="Times New Roman" w:hAnsi="Times New Roman" w:cs="Times New Roman"/>
        </w:rPr>
        <w:t>When the data from all three years were combined, a clear and consistent trend emerged in the performance of the improved groundnut varieties. Kadiri Lepakshi (K-1812) recorded the highest pooled average pod yield of 18.0 q/ha, which reflects a 31.5% yield advantage over the farmers’ practice (13.7 q/ha). This substantial increase indicates that Kadiri Lepakshi not only performs well in individual years but also maintains its superiority across varying climatic conditions, soil types, and management levels typically observed in tribal farming systems of ASR district. Such stability across environments reflects its high adaptability, strong genetic potential, and resilience to common production constraints such as intermittent dry spells and foliar diseases.</w:t>
      </w:r>
    </w:p>
    <w:p w14:paraId="23167DFD"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Nitya Haritha (TCGS-1157) also demonstrated notable performance in pooled analysis, with an average yield of 16.4 q/ha, registering a 19.5% increase over the traditional variety. This indicates that Nitya Haritha, while slightly lower yielding than Kadiri Lepakshi, consistently provides a considerable improvement </w:t>
      </w:r>
      <w:proofErr w:type="gramStart"/>
      <w:r w:rsidRPr="006C7150">
        <w:rPr>
          <w:rFonts w:ascii="Times New Roman" w:hAnsi="Times New Roman" w:cs="Times New Roman"/>
        </w:rPr>
        <w:t>over local practices</w:t>
      </w:r>
      <w:proofErr w:type="gramEnd"/>
      <w:r w:rsidRPr="006C7150">
        <w:rPr>
          <w:rFonts w:ascii="Times New Roman" w:hAnsi="Times New Roman" w:cs="Times New Roman"/>
        </w:rPr>
        <w:t>. Its moderate maturity duration, good shelling percentage, and better tolerance to moisture stress make it a viable option for farmers, particularly in areas where rainfall variability is a concern.</w:t>
      </w:r>
    </w:p>
    <w:p w14:paraId="30EC1A3E"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The pooled results strongly confirm that Kadiri Lepakshi is more consistent, stable, and higher yielding, making it a highly promising variety for large-scale adoption in the ASR district. Its superior performance over three years suggests that it is less affected by the year-to-year variations in weather and field conditions. Nitya Haritha, on the other hand, offers a reliable alternative with significant yield benefits, which is especially important for farmers who prefer a variety that matures earlier or fits better into their existing cropping systems.</w:t>
      </w:r>
    </w:p>
    <w:p w14:paraId="4DB489E9" w14:textId="4D55D966" w:rsidR="00843E14"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The overall pooled analysis clearly highlights the importance of varietal replacement as a strategy to bridge the yield gap between potential and actual yields. Adoption of these improved varieties can help tribal farmers overcome the limitations associated with traditional varieties, improve pod yield, enhance income, and strengthen the sustainability of groundnut cultivation in the region. The consistent performance of both varieties across multiple years also indicates that they can be confidently recommended through frontline demonstrations, seed production programs, and extension activities to promote widespread adoption and achieve higher productivity at the district level. </w:t>
      </w:r>
      <w:r w:rsidR="00843E14" w:rsidRPr="006C7150">
        <w:rPr>
          <w:rFonts w:ascii="Times New Roman" w:hAnsi="Times New Roman" w:cs="Times New Roman"/>
        </w:rPr>
        <w:t xml:space="preserve">These findings are in agreement with the reports of Jyothi </w:t>
      </w:r>
      <w:r w:rsidR="00843E14" w:rsidRPr="000B6DC7">
        <w:rPr>
          <w:rFonts w:ascii="Times New Roman" w:hAnsi="Times New Roman" w:cs="Times New Roman"/>
          <w:i/>
          <w:iCs/>
        </w:rPr>
        <w:t>et al.</w:t>
      </w:r>
      <w:r w:rsidR="00843E14" w:rsidRPr="006C7150">
        <w:rPr>
          <w:rFonts w:ascii="Times New Roman" w:hAnsi="Times New Roman" w:cs="Times New Roman"/>
        </w:rPr>
        <w:t xml:space="preserve"> (2023), </w:t>
      </w:r>
      <w:proofErr w:type="spellStart"/>
      <w:r w:rsidR="00843E14" w:rsidRPr="006C7150">
        <w:rPr>
          <w:rFonts w:ascii="Times New Roman" w:hAnsi="Times New Roman" w:cs="Times New Roman"/>
        </w:rPr>
        <w:t>Pattanayak</w:t>
      </w:r>
      <w:proofErr w:type="spellEnd"/>
      <w:r w:rsidR="00843E14" w:rsidRPr="006C7150">
        <w:rPr>
          <w:rFonts w:ascii="Times New Roman" w:hAnsi="Times New Roman" w:cs="Times New Roman"/>
        </w:rPr>
        <w:t xml:space="preserve"> </w:t>
      </w:r>
      <w:r w:rsidR="00843E14" w:rsidRPr="000B6DC7">
        <w:rPr>
          <w:rFonts w:ascii="Times New Roman" w:hAnsi="Times New Roman" w:cs="Times New Roman"/>
          <w:i/>
          <w:iCs/>
        </w:rPr>
        <w:t>et al.</w:t>
      </w:r>
      <w:r w:rsidR="00843E14" w:rsidRPr="006C7150">
        <w:rPr>
          <w:rFonts w:ascii="Times New Roman" w:hAnsi="Times New Roman" w:cs="Times New Roman"/>
        </w:rPr>
        <w:t xml:space="preserve"> (2025), </w:t>
      </w:r>
      <w:r w:rsidR="000B6DC7" w:rsidRPr="000B6DC7">
        <w:rPr>
          <w:rFonts w:ascii="Times New Roman" w:hAnsi="Times New Roman" w:cs="Times New Roman"/>
        </w:rPr>
        <w:t>Nagaraju</w:t>
      </w:r>
      <w:r w:rsidR="000B6DC7">
        <w:rPr>
          <w:rFonts w:ascii="Times New Roman" w:hAnsi="Times New Roman" w:cs="Times New Roman"/>
        </w:rPr>
        <w:t xml:space="preserve"> </w:t>
      </w:r>
      <w:r w:rsidR="000B6DC7" w:rsidRPr="000B6DC7">
        <w:rPr>
          <w:rFonts w:ascii="Times New Roman" w:hAnsi="Times New Roman" w:cs="Times New Roman"/>
          <w:i/>
          <w:iCs/>
        </w:rPr>
        <w:t>et al.</w:t>
      </w:r>
      <w:r w:rsidR="000B6DC7">
        <w:rPr>
          <w:rFonts w:ascii="Times New Roman" w:hAnsi="Times New Roman" w:cs="Times New Roman"/>
        </w:rPr>
        <w:t xml:space="preserve"> (2024)</w:t>
      </w:r>
      <w:r w:rsidR="00026CC8">
        <w:rPr>
          <w:rFonts w:ascii="Times New Roman" w:hAnsi="Times New Roman" w:cs="Times New Roman"/>
        </w:rPr>
        <w:t xml:space="preserve">, </w:t>
      </w:r>
      <w:r w:rsidR="00026CC8" w:rsidRPr="00026CC8">
        <w:rPr>
          <w:rFonts w:ascii="Times New Roman" w:hAnsi="Times New Roman" w:cs="Times New Roman"/>
        </w:rPr>
        <w:t>Sahaja Deva</w:t>
      </w:r>
      <w:r w:rsidR="00026CC8" w:rsidRPr="00026CC8">
        <w:rPr>
          <w:rFonts w:ascii="Times New Roman" w:hAnsi="Times New Roman" w:cs="Times New Roman"/>
          <w:i/>
          <w:iCs/>
        </w:rPr>
        <w:t xml:space="preserve"> et al</w:t>
      </w:r>
      <w:r w:rsidR="00026CC8" w:rsidRPr="00026CC8">
        <w:rPr>
          <w:rFonts w:ascii="Times New Roman" w:hAnsi="Times New Roman" w:cs="Times New Roman"/>
        </w:rPr>
        <w:t>.</w:t>
      </w:r>
      <w:r w:rsidR="00026CC8">
        <w:rPr>
          <w:rFonts w:ascii="Times New Roman" w:hAnsi="Times New Roman" w:cs="Times New Roman"/>
        </w:rPr>
        <w:t xml:space="preserve"> </w:t>
      </w:r>
      <w:proofErr w:type="gramStart"/>
      <w:r w:rsidR="00026CC8" w:rsidRPr="00026CC8">
        <w:rPr>
          <w:rFonts w:ascii="Times New Roman" w:hAnsi="Times New Roman" w:cs="Times New Roman"/>
        </w:rPr>
        <w:t>( 2023</w:t>
      </w:r>
      <w:proofErr w:type="gramEnd"/>
      <w:r w:rsidR="00026CC8" w:rsidRPr="00026CC8">
        <w:rPr>
          <w:rFonts w:ascii="Times New Roman" w:hAnsi="Times New Roman" w:cs="Times New Roman"/>
        </w:rPr>
        <w:t>)</w:t>
      </w:r>
      <w:r w:rsidR="00685829">
        <w:rPr>
          <w:rFonts w:ascii="Times New Roman" w:hAnsi="Times New Roman" w:cs="Times New Roman"/>
        </w:rPr>
        <w:t xml:space="preserve">, </w:t>
      </w:r>
      <w:r w:rsidR="00685829" w:rsidRPr="00685829">
        <w:rPr>
          <w:rFonts w:ascii="Times New Roman" w:hAnsi="Times New Roman" w:cs="Times New Roman"/>
        </w:rPr>
        <w:t xml:space="preserve">Pawar </w:t>
      </w:r>
      <w:r w:rsidR="00685829" w:rsidRPr="00685829">
        <w:rPr>
          <w:rFonts w:ascii="Times New Roman" w:hAnsi="Times New Roman" w:cs="Times New Roman"/>
          <w:i/>
          <w:iCs/>
        </w:rPr>
        <w:t>et al</w:t>
      </w:r>
      <w:r w:rsidR="00685829" w:rsidRPr="00685829">
        <w:rPr>
          <w:rFonts w:ascii="Times New Roman" w:hAnsi="Times New Roman" w:cs="Times New Roman"/>
        </w:rPr>
        <w:t xml:space="preserve">. </w:t>
      </w:r>
      <w:r w:rsidR="00685829">
        <w:rPr>
          <w:rFonts w:ascii="Times New Roman" w:hAnsi="Times New Roman" w:cs="Times New Roman"/>
        </w:rPr>
        <w:t>(</w:t>
      </w:r>
      <w:r w:rsidR="00685829" w:rsidRPr="00685829">
        <w:rPr>
          <w:rFonts w:ascii="Times New Roman" w:hAnsi="Times New Roman" w:cs="Times New Roman"/>
        </w:rPr>
        <w:t>2018</w:t>
      </w:r>
      <w:r w:rsidR="00685829">
        <w:rPr>
          <w:rFonts w:ascii="Times New Roman" w:hAnsi="Times New Roman" w:cs="Times New Roman"/>
        </w:rPr>
        <w:t>)</w:t>
      </w:r>
      <w:r w:rsidR="00685829" w:rsidRPr="00685829">
        <w:rPr>
          <w:rFonts w:ascii="Times New Roman" w:hAnsi="Times New Roman" w:cs="Times New Roman"/>
        </w:rPr>
        <w:t>,</w:t>
      </w:r>
      <w:r w:rsidR="00685829" w:rsidRPr="00685829">
        <w:t xml:space="preserve"> </w:t>
      </w:r>
      <w:r w:rsidR="00685829" w:rsidRPr="00685829">
        <w:rPr>
          <w:rFonts w:ascii="Times New Roman" w:hAnsi="Times New Roman" w:cs="Times New Roman"/>
        </w:rPr>
        <w:t xml:space="preserve">Pawar </w:t>
      </w:r>
      <w:r w:rsidR="00685829" w:rsidRPr="00685829">
        <w:rPr>
          <w:rFonts w:ascii="Times New Roman" w:hAnsi="Times New Roman" w:cs="Times New Roman"/>
          <w:i/>
          <w:iCs/>
        </w:rPr>
        <w:t>et al.</w:t>
      </w:r>
      <w:r w:rsidR="00685829" w:rsidRPr="00685829">
        <w:rPr>
          <w:rFonts w:ascii="Times New Roman" w:hAnsi="Times New Roman" w:cs="Times New Roman"/>
        </w:rPr>
        <w:t xml:space="preserve"> </w:t>
      </w:r>
      <w:r w:rsidR="00685829">
        <w:rPr>
          <w:rFonts w:ascii="Times New Roman" w:hAnsi="Times New Roman" w:cs="Times New Roman"/>
        </w:rPr>
        <w:t>(</w:t>
      </w:r>
      <w:r w:rsidR="00685829" w:rsidRPr="00685829">
        <w:rPr>
          <w:rFonts w:ascii="Times New Roman" w:hAnsi="Times New Roman" w:cs="Times New Roman"/>
        </w:rPr>
        <w:t>201</w:t>
      </w:r>
      <w:r w:rsidR="00685829">
        <w:rPr>
          <w:rFonts w:ascii="Times New Roman" w:hAnsi="Times New Roman" w:cs="Times New Roman"/>
        </w:rPr>
        <w:t>7)</w:t>
      </w:r>
      <w:r w:rsidR="00685829" w:rsidRPr="00685829">
        <w:rPr>
          <w:rFonts w:ascii="Times New Roman" w:hAnsi="Times New Roman" w:cs="Times New Roman"/>
        </w:rPr>
        <w:t>,</w:t>
      </w:r>
      <w:r w:rsidR="000B6DC7">
        <w:rPr>
          <w:rFonts w:ascii="Times New Roman" w:hAnsi="Times New Roman" w:cs="Times New Roman"/>
        </w:rPr>
        <w:t xml:space="preserve"> </w:t>
      </w:r>
      <w:r w:rsidR="00843E14" w:rsidRPr="006C7150">
        <w:rPr>
          <w:rFonts w:ascii="Times New Roman" w:hAnsi="Times New Roman" w:cs="Times New Roman"/>
        </w:rPr>
        <w:t xml:space="preserve">and Saravanan </w:t>
      </w:r>
      <w:r w:rsidR="00843E14" w:rsidRPr="000B6DC7">
        <w:rPr>
          <w:rFonts w:ascii="Times New Roman" w:hAnsi="Times New Roman" w:cs="Times New Roman"/>
          <w:i/>
          <w:iCs/>
        </w:rPr>
        <w:t>et al.</w:t>
      </w:r>
      <w:r w:rsidR="00843E14" w:rsidRPr="006C7150">
        <w:rPr>
          <w:rFonts w:ascii="Times New Roman" w:hAnsi="Times New Roman" w:cs="Times New Roman"/>
        </w:rPr>
        <w:t xml:space="preserve"> (2018)</w:t>
      </w:r>
    </w:p>
    <w:p w14:paraId="4B3A92C0" w14:textId="77777777" w:rsidR="005F1954" w:rsidRDefault="005F1954" w:rsidP="00843E14">
      <w:pPr>
        <w:spacing w:after="0" w:line="276" w:lineRule="auto"/>
        <w:ind w:firstLine="720"/>
        <w:jc w:val="both"/>
        <w:rPr>
          <w:rFonts w:ascii="Times New Roman" w:hAnsi="Times New Roman" w:cs="Times New Roman"/>
          <w:b/>
          <w:bCs/>
        </w:rPr>
      </w:pPr>
    </w:p>
    <w:p w14:paraId="62C2A19D" w14:textId="77777777" w:rsidR="005F1954" w:rsidRDefault="005F1954" w:rsidP="00843E14">
      <w:pPr>
        <w:spacing w:after="0" w:line="276" w:lineRule="auto"/>
        <w:ind w:firstLine="720"/>
        <w:jc w:val="both"/>
        <w:rPr>
          <w:rFonts w:ascii="Times New Roman" w:hAnsi="Times New Roman" w:cs="Times New Roman"/>
          <w:b/>
          <w:bCs/>
        </w:rPr>
      </w:pPr>
    </w:p>
    <w:p w14:paraId="3A6F13BC" w14:textId="77777777" w:rsidR="005F1954" w:rsidRDefault="005F1954" w:rsidP="00843E14">
      <w:pPr>
        <w:spacing w:after="0" w:line="276" w:lineRule="auto"/>
        <w:ind w:firstLine="720"/>
        <w:jc w:val="both"/>
        <w:rPr>
          <w:rFonts w:ascii="Times New Roman" w:hAnsi="Times New Roman" w:cs="Times New Roman"/>
          <w:b/>
          <w:bCs/>
        </w:rPr>
      </w:pPr>
    </w:p>
    <w:p w14:paraId="1DE97719" w14:textId="77777777" w:rsidR="005F1954" w:rsidRDefault="005F1954" w:rsidP="00843E14">
      <w:pPr>
        <w:spacing w:after="0" w:line="276" w:lineRule="auto"/>
        <w:ind w:firstLine="720"/>
        <w:jc w:val="both"/>
        <w:rPr>
          <w:rFonts w:ascii="Times New Roman" w:hAnsi="Times New Roman" w:cs="Times New Roman"/>
          <w:b/>
          <w:bCs/>
        </w:rPr>
      </w:pPr>
    </w:p>
    <w:p w14:paraId="221B86F0" w14:textId="79AC6B35" w:rsidR="00843E14" w:rsidRPr="00FE0989" w:rsidRDefault="00843E14" w:rsidP="00843E14">
      <w:pPr>
        <w:spacing w:after="0" w:line="276" w:lineRule="auto"/>
        <w:ind w:firstLine="720"/>
        <w:jc w:val="both"/>
        <w:rPr>
          <w:rFonts w:ascii="Times New Roman" w:hAnsi="Times New Roman" w:cs="Times New Roman"/>
          <w:b/>
          <w:bCs/>
        </w:rPr>
      </w:pPr>
      <w:r w:rsidRPr="00FE0989">
        <w:rPr>
          <w:rFonts w:ascii="Times New Roman" w:hAnsi="Times New Roman" w:cs="Times New Roman"/>
          <w:b/>
          <w:bCs/>
        </w:rPr>
        <w:t xml:space="preserve">Table:1 Pooled data of three consecutive years on Pod yield of groundnut under </w:t>
      </w:r>
    </w:p>
    <w:p w14:paraId="1514701E" w14:textId="77777777" w:rsidR="00843E14" w:rsidRPr="00FE0989" w:rsidRDefault="00843E14" w:rsidP="00843E14">
      <w:pPr>
        <w:spacing w:after="0" w:line="276" w:lineRule="auto"/>
        <w:ind w:firstLine="720"/>
        <w:rPr>
          <w:rFonts w:ascii="Times New Roman" w:hAnsi="Times New Roman" w:cs="Times New Roman"/>
          <w:b/>
          <w:bCs/>
        </w:rPr>
      </w:pPr>
      <w:r w:rsidRPr="00FE0989">
        <w:rPr>
          <w:rFonts w:ascii="Times New Roman" w:hAnsi="Times New Roman" w:cs="Times New Roman"/>
          <w:b/>
          <w:bCs/>
        </w:rPr>
        <w:t xml:space="preserve">             demonstration   and farmers practice</w:t>
      </w:r>
    </w:p>
    <w:tbl>
      <w:tblPr>
        <w:tblStyle w:val="TableGrid"/>
        <w:tblW w:w="0" w:type="auto"/>
        <w:jc w:val="center"/>
        <w:tblLook w:val="04A0" w:firstRow="1" w:lastRow="0" w:firstColumn="1" w:lastColumn="0" w:noHBand="0" w:noVBand="1"/>
      </w:tblPr>
      <w:tblGrid>
        <w:gridCol w:w="1225"/>
        <w:gridCol w:w="962"/>
        <w:gridCol w:w="1085"/>
        <w:gridCol w:w="1023"/>
        <w:gridCol w:w="962"/>
        <w:gridCol w:w="1085"/>
        <w:gridCol w:w="1023"/>
      </w:tblGrid>
      <w:tr w:rsidR="00843E14" w:rsidRPr="00FE0989" w14:paraId="7A8469FB" w14:textId="77777777" w:rsidTr="000B672E">
        <w:trPr>
          <w:trHeight w:val="317"/>
          <w:jc w:val="center"/>
        </w:trPr>
        <w:tc>
          <w:tcPr>
            <w:tcW w:w="1225" w:type="dxa"/>
            <w:vMerge w:val="restart"/>
          </w:tcPr>
          <w:p w14:paraId="4C1DFAF3" w14:textId="77777777" w:rsidR="00843E14" w:rsidRPr="00FE0989" w:rsidRDefault="00843E14" w:rsidP="000B672E">
            <w:pPr>
              <w:spacing w:line="276" w:lineRule="auto"/>
              <w:rPr>
                <w:rFonts w:ascii="Times New Roman" w:hAnsi="Times New Roman" w:cs="Times New Roman"/>
                <w:b/>
                <w:bCs/>
              </w:rPr>
            </w:pPr>
            <w:r w:rsidRPr="00FE0989">
              <w:rPr>
                <w:rFonts w:ascii="Times New Roman" w:hAnsi="Times New Roman" w:cs="Times New Roman"/>
                <w:b/>
                <w:bCs/>
              </w:rPr>
              <w:t xml:space="preserve">Year </w:t>
            </w:r>
          </w:p>
        </w:tc>
        <w:tc>
          <w:tcPr>
            <w:tcW w:w="2912" w:type="dxa"/>
            <w:gridSpan w:val="3"/>
            <w:vMerge w:val="restart"/>
          </w:tcPr>
          <w:p w14:paraId="35312421"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Pod Yield (q/ha)</w:t>
            </w:r>
          </w:p>
        </w:tc>
        <w:tc>
          <w:tcPr>
            <w:tcW w:w="2906" w:type="dxa"/>
            <w:gridSpan w:val="3"/>
            <w:vMerge w:val="restart"/>
          </w:tcPr>
          <w:p w14:paraId="3943D663"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 xml:space="preserve">% yield increase over farmer practice </w:t>
            </w:r>
          </w:p>
        </w:tc>
      </w:tr>
      <w:tr w:rsidR="00843E14" w:rsidRPr="00FE0989" w14:paraId="7B9B57F2" w14:textId="77777777" w:rsidTr="000B672E">
        <w:trPr>
          <w:trHeight w:val="317"/>
          <w:jc w:val="center"/>
        </w:trPr>
        <w:tc>
          <w:tcPr>
            <w:tcW w:w="1225" w:type="dxa"/>
            <w:vMerge/>
          </w:tcPr>
          <w:p w14:paraId="44E2B01A" w14:textId="77777777" w:rsidR="00843E14" w:rsidRPr="00FE0989" w:rsidRDefault="00843E14" w:rsidP="000B672E">
            <w:pPr>
              <w:spacing w:line="276" w:lineRule="auto"/>
              <w:rPr>
                <w:rFonts w:ascii="Times New Roman" w:hAnsi="Times New Roman" w:cs="Times New Roman"/>
                <w:b/>
                <w:bCs/>
              </w:rPr>
            </w:pPr>
          </w:p>
        </w:tc>
        <w:tc>
          <w:tcPr>
            <w:tcW w:w="2912" w:type="dxa"/>
            <w:gridSpan w:val="3"/>
            <w:vMerge/>
          </w:tcPr>
          <w:p w14:paraId="478AC144" w14:textId="77777777" w:rsidR="00843E14" w:rsidRPr="00FE0989" w:rsidRDefault="00843E14" w:rsidP="000B672E">
            <w:pPr>
              <w:spacing w:line="276" w:lineRule="auto"/>
              <w:jc w:val="center"/>
              <w:rPr>
                <w:rFonts w:ascii="Times New Roman" w:hAnsi="Times New Roman" w:cs="Times New Roman"/>
                <w:b/>
                <w:bCs/>
              </w:rPr>
            </w:pPr>
          </w:p>
        </w:tc>
        <w:tc>
          <w:tcPr>
            <w:tcW w:w="2906" w:type="dxa"/>
            <w:gridSpan w:val="3"/>
            <w:vMerge/>
          </w:tcPr>
          <w:p w14:paraId="31253628" w14:textId="77777777" w:rsidR="00843E14" w:rsidRPr="00FE0989" w:rsidRDefault="00843E14" w:rsidP="000B672E">
            <w:pPr>
              <w:spacing w:line="276" w:lineRule="auto"/>
              <w:jc w:val="center"/>
              <w:rPr>
                <w:rFonts w:ascii="Times New Roman" w:hAnsi="Times New Roman" w:cs="Times New Roman"/>
                <w:b/>
                <w:bCs/>
              </w:rPr>
            </w:pPr>
          </w:p>
        </w:tc>
      </w:tr>
      <w:tr w:rsidR="00843E14" w:rsidRPr="00FE0989" w14:paraId="5A37553B" w14:textId="77777777" w:rsidTr="000B672E">
        <w:trPr>
          <w:jc w:val="center"/>
        </w:trPr>
        <w:tc>
          <w:tcPr>
            <w:tcW w:w="1225" w:type="dxa"/>
            <w:vMerge/>
          </w:tcPr>
          <w:p w14:paraId="1189E0B1" w14:textId="77777777" w:rsidR="00843E14" w:rsidRPr="00FE0989" w:rsidRDefault="00843E14" w:rsidP="000B672E">
            <w:pPr>
              <w:spacing w:line="276" w:lineRule="auto"/>
              <w:rPr>
                <w:rFonts w:ascii="Times New Roman" w:hAnsi="Times New Roman" w:cs="Times New Roman"/>
                <w:b/>
                <w:bCs/>
              </w:rPr>
            </w:pPr>
          </w:p>
        </w:tc>
        <w:tc>
          <w:tcPr>
            <w:tcW w:w="899" w:type="dxa"/>
          </w:tcPr>
          <w:p w14:paraId="717DB0DA"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Nitya Haritha</w:t>
            </w:r>
          </w:p>
        </w:tc>
        <w:tc>
          <w:tcPr>
            <w:tcW w:w="1011" w:type="dxa"/>
          </w:tcPr>
          <w:p w14:paraId="7DF69121"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Kadiri Lepakshi</w:t>
            </w:r>
          </w:p>
        </w:tc>
        <w:tc>
          <w:tcPr>
            <w:tcW w:w="1002" w:type="dxa"/>
          </w:tcPr>
          <w:p w14:paraId="772A9B97"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Farmers practice</w:t>
            </w:r>
          </w:p>
        </w:tc>
        <w:tc>
          <w:tcPr>
            <w:tcW w:w="918" w:type="dxa"/>
          </w:tcPr>
          <w:p w14:paraId="389FF2C2"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Nitya Haritha</w:t>
            </w:r>
          </w:p>
        </w:tc>
        <w:tc>
          <w:tcPr>
            <w:tcW w:w="1011" w:type="dxa"/>
          </w:tcPr>
          <w:p w14:paraId="6B30BC8A"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Kadiri Lepakshi</w:t>
            </w:r>
          </w:p>
        </w:tc>
        <w:tc>
          <w:tcPr>
            <w:tcW w:w="977" w:type="dxa"/>
          </w:tcPr>
          <w:p w14:paraId="47BDDF96"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Farmers practice</w:t>
            </w:r>
          </w:p>
        </w:tc>
      </w:tr>
      <w:tr w:rsidR="00843E14" w:rsidRPr="00FE0989" w14:paraId="5D3896BE" w14:textId="77777777" w:rsidTr="000B672E">
        <w:trPr>
          <w:jc w:val="center"/>
        </w:trPr>
        <w:tc>
          <w:tcPr>
            <w:tcW w:w="1225" w:type="dxa"/>
          </w:tcPr>
          <w:p w14:paraId="17CDAD2D"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2020-21</w:t>
            </w:r>
          </w:p>
        </w:tc>
        <w:tc>
          <w:tcPr>
            <w:tcW w:w="899" w:type="dxa"/>
          </w:tcPr>
          <w:p w14:paraId="48794AAC"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16.8</w:t>
            </w:r>
          </w:p>
        </w:tc>
        <w:tc>
          <w:tcPr>
            <w:tcW w:w="1011" w:type="dxa"/>
          </w:tcPr>
          <w:p w14:paraId="7032929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17.7</w:t>
            </w:r>
          </w:p>
        </w:tc>
        <w:tc>
          <w:tcPr>
            <w:tcW w:w="1002" w:type="dxa"/>
          </w:tcPr>
          <w:p w14:paraId="5F2E3FC2"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13.8</w:t>
            </w:r>
          </w:p>
        </w:tc>
        <w:tc>
          <w:tcPr>
            <w:tcW w:w="918" w:type="dxa"/>
          </w:tcPr>
          <w:p w14:paraId="0C50E96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21.7</w:t>
            </w:r>
          </w:p>
        </w:tc>
        <w:tc>
          <w:tcPr>
            <w:tcW w:w="1011" w:type="dxa"/>
          </w:tcPr>
          <w:p w14:paraId="17167B18"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28.3</w:t>
            </w:r>
          </w:p>
        </w:tc>
        <w:tc>
          <w:tcPr>
            <w:tcW w:w="977" w:type="dxa"/>
          </w:tcPr>
          <w:p w14:paraId="547D126C"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r>
      <w:tr w:rsidR="00843E14" w:rsidRPr="00FE0989" w14:paraId="42C5FD6E" w14:textId="77777777" w:rsidTr="000B672E">
        <w:trPr>
          <w:jc w:val="center"/>
        </w:trPr>
        <w:tc>
          <w:tcPr>
            <w:tcW w:w="1225" w:type="dxa"/>
          </w:tcPr>
          <w:p w14:paraId="5EFBEB3C"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2021-22</w:t>
            </w:r>
          </w:p>
        </w:tc>
        <w:tc>
          <w:tcPr>
            <w:tcW w:w="899" w:type="dxa"/>
          </w:tcPr>
          <w:p w14:paraId="017C527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16.4</w:t>
            </w:r>
          </w:p>
        </w:tc>
        <w:tc>
          <w:tcPr>
            <w:tcW w:w="1011" w:type="dxa"/>
          </w:tcPr>
          <w:p w14:paraId="19734CE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18.2</w:t>
            </w:r>
          </w:p>
        </w:tc>
        <w:tc>
          <w:tcPr>
            <w:tcW w:w="1002" w:type="dxa"/>
          </w:tcPr>
          <w:p w14:paraId="775A3F4A"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13.3</w:t>
            </w:r>
          </w:p>
        </w:tc>
        <w:tc>
          <w:tcPr>
            <w:tcW w:w="918" w:type="dxa"/>
          </w:tcPr>
          <w:p w14:paraId="5C3AEB83"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23.3</w:t>
            </w:r>
          </w:p>
        </w:tc>
        <w:tc>
          <w:tcPr>
            <w:tcW w:w="1011" w:type="dxa"/>
          </w:tcPr>
          <w:p w14:paraId="5B69D8E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36.8</w:t>
            </w:r>
          </w:p>
        </w:tc>
        <w:tc>
          <w:tcPr>
            <w:tcW w:w="977" w:type="dxa"/>
          </w:tcPr>
          <w:p w14:paraId="06B4023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r>
      <w:tr w:rsidR="00843E14" w:rsidRPr="00FE0989" w14:paraId="1BFDA809" w14:textId="77777777" w:rsidTr="000B672E">
        <w:trPr>
          <w:jc w:val="center"/>
        </w:trPr>
        <w:tc>
          <w:tcPr>
            <w:tcW w:w="1225" w:type="dxa"/>
          </w:tcPr>
          <w:p w14:paraId="40982BB2"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lastRenderedPageBreak/>
              <w:t>2022-23</w:t>
            </w:r>
          </w:p>
        </w:tc>
        <w:tc>
          <w:tcPr>
            <w:tcW w:w="899" w:type="dxa"/>
          </w:tcPr>
          <w:p w14:paraId="28D1112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15.9</w:t>
            </w:r>
          </w:p>
        </w:tc>
        <w:tc>
          <w:tcPr>
            <w:tcW w:w="1011" w:type="dxa"/>
          </w:tcPr>
          <w:p w14:paraId="778ABAB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18.1</w:t>
            </w:r>
          </w:p>
        </w:tc>
        <w:tc>
          <w:tcPr>
            <w:tcW w:w="1002" w:type="dxa"/>
          </w:tcPr>
          <w:p w14:paraId="2029B9E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14.0</w:t>
            </w:r>
          </w:p>
        </w:tc>
        <w:tc>
          <w:tcPr>
            <w:tcW w:w="918" w:type="dxa"/>
          </w:tcPr>
          <w:p w14:paraId="7BCD880A"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13.6</w:t>
            </w:r>
          </w:p>
        </w:tc>
        <w:tc>
          <w:tcPr>
            <w:tcW w:w="1011" w:type="dxa"/>
          </w:tcPr>
          <w:p w14:paraId="16E8DF8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29.3</w:t>
            </w:r>
          </w:p>
        </w:tc>
        <w:tc>
          <w:tcPr>
            <w:tcW w:w="977" w:type="dxa"/>
          </w:tcPr>
          <w:p w14:paraId="7ED3BCC4"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r>
      <w:tr w:rsidR="00843E14" w:rsidRPr="00FE0989" w14:paraId="258B6BFF" w14:textId="77777777" w:rsidTr="000B672E">
        <w:trPr>
          <w:jc w:val="center"/>
        </w:trPr>
        <w:tc>
          <w:tcPr>
            <w:tcW w:w="1225" w:type="dxa"/>
          </w:tcPr>
          <w:p w14:paraId="6D242C6C"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Pooled</w:t>
            </w:r>
          </w:p>
        </w:tc>
        <w:tc>
          <w:tcPr>
            <w:tcW w:w="899" w:type="dxa"/>
            <w:vAlign w:val="bottom"/>
          </w:tcPr>
          <w:p w14:paraId="1FC90C32"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16.4</w:t>
            </w:r>
          </w:p>
        </w:tc>
        <w:tc>
          <w:tcPr>
            <w:tcW w:w="1011" w:type="dxa"/>
            <w:vAlign w:val="bottom"/>
          </w:tcPr>
          <w:p w14:paraId="7EE58F6F"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18.0</w:t>
            </w:r>
          </w:p>
        </w:tc>
        <w:tc>
          <w:tcPr>
            <w:tcW w:w="1002" w:type="dxa"/>
            <w:vAlign w:val="bottom"/>
          </w:tcPr>
          <w:p w14:paraId="47BC9B2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13.7</w:t>
            </w:r>
          </w:p>
        </w:tc>
        <w:tc>
          <w:tcPr>
            <w:tcW w:w="918" w:type="dxa"/>
            <w:vAlign w:val="bottom"/>
          </w:tcPr>
          <w:p w14:paraId="2998C42B"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19.5</w:t>
            </w:r>
          </w:p>
        </w:tc>
        <w:tc>
          <w:tcPr>
            <w:tcW w:w="1011" w:type="dxa"/>
            <w:vAlign w:val="bottom"/>
          </w:tcPr>
          <w:p w14:paraId="64AA646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31.5</w:t>
            </w:r>
          </w:p>
        </w:tc>
        <w:tc>
          <w:tcPr>
            <w:tcW w:w="977" w:type="dxa"/>
            <w:vAlign w:val="bottom"/>
          </w:tcPr>
          <w:p w14:paraId="77DAF239" w14:textId="77777777" w:rsidR="00843E14" w:rsidRPr="00FE0989" w:rsidRDefault="00843E14" w:rsidP="000B672E">
            <w:pPr>
              <w:spacing w:line="276" w:lineRule="auto"/>
              <w:jc w:val="center"/>
              <w:rPr>
                <w:rFonts w:ascii="Times New Roman" w:hAnsi="Times New Roman" w:cs="Times New Roman"/>
              </w:rPr>
            </w:pPr>
          </w:p>
        </w:tc>
      </w:tr>
    </w:tbl>
    <w:p w14:paraId="70BACFB4" w14:textId="77777777" w:rsidR="00843E14" w:rsidRDefault="00843E14" w:rsidP="00843E14">
      <w:pPr>
        <w:spacing w:after="0" w:line="276" w:lineRule="auto"/>
        <w:jc w:val="both"/>
        <w:rPr>
          <w:rFonts w:ascii="Times New Roman" w:hAnsi="Times New Roman" w:cs="Times New Roman"/>
        </w:rPr>
      </w:pPr>
      <w:r w:rsidRPr="00FE0989">
        <w:rPr>
          <w:rFonts w:ascii="Times New Roman" w:hAnsi="Times New Roman" w:cs="Times New Roman"/>
          <w:b/>
          <w:bCs/>
        </w:rPr>
        <w:t>Gap Analysis:</w:t>
      </w:r>
      <w:r w:rsidRPr="00FE0989">
        <w:rPr>
          <w:rFonts w:ascii="Times New Roman" w:hAnsi="Times New Roman" w:cs="Times New Roman"/>
        </w:rPr>
        <w:t xml:space="preserve"> </w:t>
      </w:r>
    </w:p>
    <w:p w14:paraId="5B38B710" w14:textId="3B618231" w:rsidR="00205D60" w:rsidRPr="00FE0989" w:rsidRDefault="00205D60" w:rsidP="00205D6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The pooled results across three years clearly demonstrate that Kadiri Lepakshi (K-1812) consistently outperformed both Nitya Haritha (TCGS-1157) and the farmers’ traditional variety (K-6) in achieving higher pod yield and realizing a greater proportion of its potential yield. Kadiri Lepakshi recorded the lowest technology gap of 2.0 q/ha and the lowest technology index of 10.0%, which indicates its remarkable adaptability, stability, and suitability under the rainfed and varied </w:t>
      </w:r>
      <w:proofErr w:type="spellStart"/>
      <w:r w:rsidRPr="006C7150">
        <w:rPr>
          <w:rFonts w:ascii="Times New Roman" w:hAnsi="Times New Roman" w:cs="Times New Roman"/>
        </w:rPr>
        <w:t>agro</w:t>
      </w:r>
      <w:proofErr w:type="spellEnd"/>
      <w:r w:rsidRPr="006C7150">
        <w:rPr>
          <w:rFonts w:ascii="Times New Roman" w:hAnsi="Times New Roman" w:cs="Times New Roman"/>
        </w:rPr>
        <w:t>-ecological conditions of ASR district. A lower technology gap reflects a smaller difference between the demonstrated yield and the potential yield of the variety, showing that farmers were able to achieve near-optimal performance even under field-level constraints. Although Kadiri Lepakshi exhibited a relatively higher extension gap (4.3 q/ha), this highlights the substantial additional yield it can offer over farmers’ practice and underscores the need for greater dissemination, seed availability, and farmer-level adoption.</w:t>
      </w:r>
    </w:p>
    <w:p w14:paraId="44CE442C" w14:textId="6B71D2DB" w:rsidR="00843E14" w:rsidRPr="00FE0989" w:rsidRDefault="00843E14" w:rsidP="00843E14">
      <w:pPr>
        <w:spacing w:after="0" w:line="276" w:lineRule="auto"/>
        <w:rPr>
          <w:rFonts w:ascii="Times New Roman" w:hAnsi="Times New Roman" w:cs="Times New Roman"/>
          <w:b/>
          <w:bCs/>
        </w:rPr>
      </w:pPr>
      <w:r w:rsidRPr="00FE0989">
        <w:rPr>
          <w:rFonts w:ascii="Times New Roman" w:hAnsi="Times New Roman" w:cs="Times New Roman"/>
          <w:b/>
          <w:bCs/>
        </w:rPr>
        <w:t>Table:2 Pooled data of three consecutive years on Technology gap, Extension gap and Technology index of groundnut under demonstration   and farmers practice</w:t>
      </w:r>
    </w:p>
    <w:tbl>
      <w:tblPr>
        <w:tblStyle w:val="TableGrid"/>
        <w:tblW w:w="0" w:type="auto"/>
        <w:tblInd w:w="-856" w:type="dxa"/>
        <w:tblLook w:val="04A0" w:firstRow="1" w:lastRow="0" w:firstColumn="1" w:lastColumn="0" w:noHBand="0" w:noVBand="1"/>
      </w:tblPr>
      <w:tblGrid>
        <w:gridCol w:w="1289"/>
        <w:gridCol w:w="899"/>
        <w:gridCol w:w="1011"/>
        <w:gridCol w:w="951"/>
        <w:gridCol w:w="899"/>
        <w:gridCol w:w="1011"/>
        <w:gridCol w:w="951"/>
        <w:gridCol w:w="899"/>
        <w:gridCol w:w="1011"/>
        <w:gridCol w:w="951"/>
      </w:tblGrid>
      <w:tr w:rsidR="00843E14" w:rsidRPr="00FE0989" w14:paraId="4F0296D5" w14:textId="77777777" w:rsidTr="000B672E">
        <w:tc>
          <w:tcPr>
            <w:tcW w:w="1289" w:type="dxa"/>
            <w:vMerge w:val="restart"/>
          </w:tcPr>
          <w:p w14:paraId="381A22C1" w14:textId="77777777" w:rsidR="00843E14" w:rsidRPr="00FE0989" w:rsidRDefault="00843E14" w:rsidP="000B672E">
            <w:pPr>
              <w:spacing w:line="276" w:lineRule="auto"/>
              <w:rPr>
                <w:rFonts w:ascii="Times New Roman" w:hAnsi="Times New Roman" w:cs="Times New Roman"/>
                <w:b/>
                <w:bCs/>
              </w:rPr>
            </w:pPr>
            <w:r w:rsidRPr="00FE0989">
              <w:rPr>
                <w:rFonts w:ascii="Times New Roman" w:hAnsi="Times New Roman" w:cs="Times New Roman"/>
                <w:b/>
                <w:bCs/>
              </w:rPr>
              <w:t xml:space="preserve">Year </w:t>
            </w:r>
          </w:p>
        </w:tc>
        <w:tc>
          <w:tcPr>
            <w:tcW w:w="2861" w:type="dxa"/>
            <w:gridSpan w:val="3"/>
          </w:tcPr>
          <w:p w14:paraId="5DB406A0"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rPr>
              <w:t>Technology gap</w:t>
            </w:r>
            <w:r w:rsidRPr="00FE0989">
              <w:rPr>
                <w:rFonts w:ascii="Times New Roman" w:hAnsi="Times New Roman" w:cs="Times New Roman"/>
                <w:b/>
                <w:bCs/>
              </w:rPr>
              <w:t xml:space="preserve"> (Q/ha)</w:t>
            </w:r>
          </w:p>
        </w:tc>
        <w:tc>
          <w:tcPr>
            <w:tcW w:w="2861" w:type="dxa"/>
            <w:gridSpan w:val="3"/>
          </w:tcPr>
          <w:p w14:paraId="5E6F1106"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rPr>
              <w:t xml:space="preserve">Extension gap </w:t>
            </w:r>
            <w:r w:rsidRPr="00FE0989">
              <w:rPr>
                <w:rFonts w:ascii="Times New Roman" w:hAnsi="Times New Roman" w:cs="Times New Roman"/>
                <w:b/>
                <w:bCs/>
              </w:rPr>
              <w:t>(Q/ha)</w:t>
            </w:r>
          </w:p>
        </w:tc>
        <w:tc>
          <w:tcPr>
            <w:tcW w:w="2861" w:type="dxa"/>
            <w:gridSpan w:val="3"/>
          </w:tcPr>
          <w:p w14:paraId="65ECF868"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rPr>
              <w:t>Technology index (%)</w:t>
            </w:r>
          </w:p>
        </w:tc>
      </w:tr>
      <w:tr w:rsidR="00843E14" w:rsidRPr="00FE0989" w14:paraId="7605A816" w14:textId="77777777" w:rsidTr="000B672E">
        <w:tc>
          <w:tcPr>
            <w:tcW w:w="1289" w:type="dxa"/>
            <w:vMerge/>
          </w:tcPr>
          <w:p w14:paraId="3161362E" w14:textId="77777777" w:rsidR="00843E14" w:rsidRPr="00FE0989" w:rsidRDefault="00843E14" w:rsidP="000B672E">
            <w:pPr>
              <w:spacing w:line="276" w:lineRule="auto"/>
              <w:rPr>
                <w:rFonts w:ascii="Times New Roman" w:hAnsi="Times New Roman" w:cs="Times New Roman"/>
                <w:b/>
                <w:bCs/>
              </w:rPr>
            </w:pPr>
          </w:p>
        </w:tc>
        <w:tc>
          <w:tcPr>
            <w:tcW w:w="899" w:type="dxa"/>
          </w:tcPr>
          <w:p w14:paraId="79686384"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Nitya Haritha</w:t>
            </w:r>
          </w:p>
        </w:tc>
        <w:tc>
          <w:tcPr>
            <w:tcW w:w="1011" w:type="dxa"/>
          </w:tcPr>
          <w:p w14:paraId="34BEB2DE"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Kadiri Lepakshi</w:t>
            </w:r>
          </w:p>
        </w:tc>
        <w:tc>
          <w:tcPr>
            <w:tcW w:w="951" w:type="dxa"/>
          </w:tcPr>
          <w:p w14:paraId="12E0C87E"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Farmers practice</w:t>
            </w:r>
          </w:p>
        </w:tc>
        <w:tc>
          <w:tcPr>
            <w:tcW w:w="899" w:type="dxa"/>
          </w:tcPr>
          <w:p w14:paraId="54783515"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Nitya Haritha</w:t>
            </w:r>
          </w:p>
        </w:tc>
        <w:tc>
          <w:tcPr>
            <w:tcW w:w="1011" w:type="dxa"/>
          </w:tcPr>
          <w:p w14:paraId="22994005"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Kadiri Lepakshi</w:t>
            </w:r>
          </w:p>
        </w:tc>
        <w:tc>
          <w:tcPr>
            <w:tcW w:w="951" w:type="dxa"/>
          </w:tcPr>
          <w:p w14:paraId="6C39CE0A"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Farmers practice</w:t>
            </w:r>
          </w:p>
        </w:tc>
        <w:tc>
          <w:tcPr>
            <w:tcW w:w="899" w:type="dxa"/>
          </w:tcPr>
          <w:p w14:paraId="00A247C1"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Nitya Haritha</w:t>
            </w:r>
          </w:p>
        </w:tc>
        <w:tc>
          <w:tcPr>
            <w:tcW w:w="1011" w:type="dxa"/>
          </w:tcPr>
          <w:p w14:paraId="6CA75CCD"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Kadiri Lepakshi</w:t>
            </w:r>
          </w:p>
        </w:tc>
        <w:tc>
          <w:tcPr>
            <w:tcW w:w="951" w:type="dxa"/>
          </w:tcPr>
          <w:p w14:paraId="6BA00C52"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Farmers practice</w:t>
            </w:r>
          </w:p>
        </w:tc>
      </w:tr>
      <w:tr w:rsidR="00843E14" w:rsidRPr="00FE0989" w14:paraId="1F6B3F52" w14:textId="77777777" w:rsidTr="000B672E">
        <w:tc>
          <w:tcPr>
            <w:tcW w:w="1289" w:type="dxa"/>
          </w:tcPr>
          <w:p w14:paraId="520E4F66"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2020-21</w:t>
            </w:r>
          </w:p>
        </w:tc>
        <w:tc>
          <w:tcPr>
            <w:tcW w:w="899" w:type="dxa"/>
          </w:tcPr>
          <w:p w14:paraId="0A08DC3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3.2</w:t>
            </w:r>
          </w:p>
        </w:tc>
        <w:tc>
          <w:tcPr>
            <w:tcW w:w="1011" w:type="dxa"/>
          </w:tcPr>
          <w:p w14:paraId="10F3F90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2.3</w:t>
            </w:r>
          </w:p>
        </w:tc>
        <w:tc>
          <w:tcPr>
            <w:tcW w:w="951" w:type="dxa"/>
          </w:tcPr>
          <w:p w14:paraId="7AA44D7D"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6.2</w:t>
            </w:r>
          </w:p>
        </w:tc>
        <w:tc>
          <w:tcPr>
            <w:tcW w:w="899" w:type="dxa"/>
          </w:tcPr>
          <w:p w14:paraId="0C3DA21C"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3.0</w:t>
            </w:r>
          </w:p>
        </w:tc>
        <w:tc>
          <w:tcPr>
            <w:tcW w:w="1011" w:type="dxa"/>
          </w:tcPr>
          <w:p w14:paraId="3380BCA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3.9</w:t>
            </w:r>
          </w:p>
        </w:tc>
        <w:tc>
          <w:tcPr>
            <w:tcW w:w="951" w:type="dxa"/>
          </w:tcPr>
          <w:p w14:paraId="6CD21A2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c>
          <w:tcPr>
            <w:tcW w:w="899" w:type="dxa"/>
          </w:tcPr>
          <w:p w14:paraId="5342089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16.0</w:t>
            </w:r>
          </w:p>
        </w:tc>
        <w:tc>
          <w:tcPr>
            <w:tcW w:w="1011" w:type="dxa"/>
          </w:tcPr>
          <w:p w14:paraId="275021CF"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11.5</w:t>
            </w:r>
          </w:p>
        </w:tc>
        <w:tc>
          <w:tcPr>
            <w:tcW w:w="951" w:type="dxa"/>
          </w:tcPr>
          <w:p w14:paraId="482DC85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31.0</w:t>
            </w:r>
          </w:p>
        </w:tc>
      </w:tr>
      <w:tr w:rsidR="00843E14" w:rsidRPr="00FE0989" w14:paraId="3A3CCC7C" w14:textId="77777777" w:rsidTr="000B672E">
        <w:tc>
          <w:tcPr>
            <w:tcW w:w="1289" w:type="dxa"/>
          </w:tcPr>
          <w:p w14:paraId="7068E97A"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2021-22</w:t>
            </w:r>
          </w:p>
        </w:tc>
        <w:tc>
          <w:tcPr>
            <w:tcW w:w="899" w:type="dxa"/>
          </w:tcPr>
          <w:p w14:paraId="03D1F27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3.6</w:t>
            </w:r>
          </w:p>
        </w:tc>
        <w:tc>
          <w:tcPr>
            <w:tcW w:w="1011" w:type="dxa"/>
          </w:tcPr>
          <w:p w14:paraId="284FB6E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1.8</w:t>
            </w:r>
          </w:p>
        </w:tc>
        <w:tc>
          <w:tcPr>
            <w:tcW w:w="951" w:type="dxa"/>
          </w:tcPr>
          <w:p w14:paraId="152825B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6.7</w:t>
            </w:r>
          </w:p>
        </w:tc>
        <w:tc>
          <w:tcPr>
            <w:tcW w:w="899" w:type="dxa"/>
          </w:tcPr>
          <w:p w14:paraId="403CA67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3.1</w:t>
            </w:r>
          </w:p>
        </w:tc>
        <w:tc>
          <w:tcPr>
            <w:tcW w:w="1011" w:type="dxa"/>
          </w:tcPr>
          <w:p w14:paraId="71CBF9A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4.9</w:t>
            </w:r>
          </w:p>
        </w:tc>
        <w:tc>
          <w:tcPr>
            <w:tcW w:w="951" w:type="dxa"/>
          </w:tcPr>
          <w:p w14:paraId="3935594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c>
          <w:tcPr>
            <w:tcW w:w="899" w:type="dxa"/>
          </w:tcPr>
          <w:p w14:paraId="4EADE782"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18.0</w:t>
            </w:r>
          </w:p>
        </w:tc>
        <w:tc>
          <w:tcPr>
            <w:tcW w:w="1011" w:type="dxa"/>
          </w:tcPr>
          <w:p w14:paraId="0097385A"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9.0</w:t>
            </w:r>
          </w:p>
        </w:tc>
        <w:tc>
          <w:tcPr>
            <w:tcW w:w="951" w:type="dxa"/>
          </w:tcPr>
          <w:p w14:paraId="44598B2B"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33.5</w:t>
            </w:r>
          </w:p>
        </w:tc>
      </w:tr>
      <w:tr w:rsidR="00843E14" w:rsidRPr="00FE0989" w14:paraId="120747AD" w14:textId="77777777" w:rsidTr="000B672E">
        <w:tc>
          <w:tcPr>
            <w:tcW w:w="1289" w:type="dxa"/>
          </w:tcPr>
          <w:p w14:paraId="497D8A83"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2022-23</w:t>
            </w:r>
          </w:p>
        </w:tc>
        <w:tc>
          <w:tcPr>
            <w:tcW w:w="899" w:type="dxa"/>
          </w:tcPr>
          <w:p w14:paraId="703798C8"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4.1</w:t>
            </w:r>
          </w:p>
        </w:tc>
        <w:tc>
          <w:tcPr>
            <w:tcW w:w="1011" w:type="dxa"/>
          </w:tcPr>
          <w:p w14:paraId="1FED1EA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1.9</w:t>
            </w:r>
          </w:p>
        </w:tc>
        <w:tc>
          <w:tcPr>
            <w:tcW w:w="951" w:type="dxa"/>
          </w:tcPr>
          <w:p w14:paraId="66BDB90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6.0</w:t>
            </w:r>
          </w:p>
        </w:tc>
        <w:tc>
          <w:tcPr>
            <w:tcW w:w="899" w:type="dxa"/>
          </w:tcPr>
          <w:p w14:paraId="176FD22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1.9</w:t>
            </w:r>
          </w:p>
        </w:tc>
        <w:tc>
          <w:tcPr>
            <w:tcW w:w="1011" w:type="dxa"/>
          </w:tcPr>
          <w:p w14:paraId="37DEEEA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4.1</w:t>
            </w:r>
          </w:p>
        </w:tc>
        <w:tc>
          <w:tcPr>
            <w:tcW w:w="951" w:type="dxa"/>
          </w:tcPr>
          <w:p w14:paraId="7E7547A3"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c>
          <w:tcPr>
            <w:tcW w:w="899" w:type="dxa"/>
          </w:tcPr>
          <w:p w14:paraId="744A3E6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20.5</w:t>
            </w:r>
          </w:p>
        </w:tc>
        <w:tc>
          <w:tcPr>
            <w:tcW w:w="1011" w:type="dxa"/>
          </w:tcPr>
          <w:p w14:paraId="5F49284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9.5</w:t>
            </w:r>
          </w:p>
        </w:tc>
        <w:tc>
          <w:tcPr>
            <w:tcW w:w="951" w:type="dxa"/>
          </w:tcPr>
          <w:p w14:paraId="149ACF1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30.0</w:t>
            </w:r>
          </w:p>
        </w:tc>
      </w:tr>
      <w:tr w:rsidR="00843E14" w:rsidRPr="00FE0989" w14:paraId="1D08FF44" w14:textId="77777777" w:rsidTr="000B672E">
        <w:tc>
          <w:tcPr>
            <w:tcW w:w="1289" w:type="dxa"/>
          </w:tcPr>
          <w:p w14:paraId="3C5572AB"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Pooled</w:t>
            </w:r>
          </w:p>
        </w:tc>
        <w:tc>
          <w:tcPr>
            <w:tcW w:w="899" w:type="dxa"/>
            <w:vAlign w:val="bottom"/>
          </w:tcPr>
          <w:p w14:paraId="351CD42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3.6</w:t>
            </w:r>
          </w:p>
        </w:tc>
        <w:tc>
          <w:tcPr>
            <w:tcW w:w="1011" w:type="dxa"/>
            <w:vAlign w:val="bottom"/>
          </w:tcPr>
          <w:p w14:paraId="2E03A154"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2.0</w:t>
            </w:r>
          </w:p>
        </w:tc>
        <w:tc>
          <w:tcPr>
            <w:tcW w:w="951" w:type="dxa"/>
            <w:vAlign w:val="bottom"/>
          </w:tcPr>
          <w:p w14:paraId="5C50E01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6.3</w:t>
            </w:r>
          </w:p>
        </w:tc>
        <w:tc>
          <w:tcPr>
            <w:tcW w:w="899" w:type="dxa"/>
            <w:vAlign w:val="bottom"/>
          </w:tcPr>
          <w:p w14:paraId="25B1C49F"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2.7</w:t>
            </w:r>
          </w:p>
        </w:tc>
        <w:tc>
          <w:tcPr>
            <w:tcW w:w="1011" w:type="dxa"/>
            <w:vAlign w:val="bottom"/>
          </w:tcPr>
          <w:p w14:paraId="2FD0E1AD"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4.3</w:t>
            </w:r>
          </w:p>
        </w:tc>
        <w:tc>
          <w:tcPr>
            <w:tcW w:w="951" w:type="dxa"/>
            <w:vAlign w:val="bottom"/>
          </w:tcPr>
          <w:p w14:paraId="7B6E827C"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w:t>
            </w:r>
          </w:p>
        </w:tc>
        <w:tc>
          <w:tcPr>
            <w:tcW w:w="899" w:type="dxa"/>
            <w:vAlign w:val="bottom"/>
          </w:tcPr>
          <w:p w14:paraId="5990CAAD"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18.2</w:t>
            </w:r>
          </w:p>
        </w:tc>
        <w:tc>
          <w:tcPr>
            <w:tcW w:w="1011" w:type="dxa"/>
            <w:vAlign w:val="bottom"/>
          </w:tcPr>
          <w:p w14:paraId="22BC43F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10.0</w:t>
            </w:r>
          </w:p>
        </w:tc>
        <w:tc>
          <w:tcPr>
            <w:tcW w:w="951" w:type="dxa"/>
            <w:vAlign w:val="bottom"/>
          </w:tcPr>
          <w:p w14:paraId="2B880A8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31.5</w:t>
            </w:r>
          </w:p>
        </w:tc>
      </w:tr>
    </w:tbl>
    <w:p w14:paraId="7D3590D7" w14:textId="77777777" w:rsidR="00843E14" w:rsidRDefault="00843E14" w:rsidP="00843E14">
      <w:pPr>
        <w:spacing w:after="0" w:line="276" w:lineRule="auto"/>
        <w:ind w:firstLine="720"/>
        <w:rPr>
          <w:rFonts w:ascii="Times New Roman" w:hAnsi="Times New Roman" w:cs="Times New Roman"/>
        </w:rPr>
      </w:pPr>
    </w:p>
    <w:p w14:paraId="5115EDDF"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Nitya Haritha also performed better than the traditional variety, with a technology gap of 3.6 q/ha and a technology index of 18.2%, indicating </w:t>
      </w:r>
      <w:proofErr w:type="spellStart"/>
      <w:r w:rsidRPr="006C7150">
        <w:rPr>
          <w:rFonts w:ascii="Times New Roman" w:hAnsi="Times New Roman" w:cs="Times New Roman"/>
        </w:rPr>
        <w:t>favorable</w:t>
      </w:r>
      <w:proofErr w:type="spellEnd"/>
      <w:r w:rsidRPr="006C7150">
        <w:rPr>
          <w:rFonts w:ascii="Times New Roman" w:hAnsi="Times New Roman" w:cs="Times New Roman"/>
        </w:rPr>
        <w:t xml:space="preserve"> adaptability but slightly less consistency compared to Kadiri Lepakshi. Meanwhile, the farmers’ practice (K-6) consistently recorded the highest technology gap (6.3 q/ha) and the highest technology index (31.5%), indicating that traditional varieties are far from achieving their potential yield and highlighting the large yield gaps that can be effectively bridged by adopting improved varieties.</w:t>
      </w:r>
    </w:p>
    <w:p w14:paraId="5153711B"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The observed technology gap may be attributed to soil fertility variations, uneven rainfall distribution, micro-environmental differences, pest and disease pressure, and partial adoption of recommended agronomic practices. These findings align with the observations of </w:t>
      </w:r>
      <w:proofErr w:type="spellStart"/>
      <w:r w:rsidRPr="006C7150">
        <w:rPr>
          <w:rFonts w:ascii="Times New Roman" w:hAnsi="Times New Roman" w:cs="Times New Roman"/>
        </w:rPr>
        <w:t>Mandavkar</w:t>
      </w:r>
      <w:proofErr w:type="spellEnd"/>
      <w:r w:rsidRPr="006C7150">
        <w:rPr>
          <w:rFonts w:ascii="Times New Roman" w:hAnsi="Times New Roman" w:cs="Times New Roman"/>
        </w:rPr>
        <w:t xml:space="preserve"> et al. (2012), who reported that variability in soil health status and weather fluctuations often restrict crops from reaching their full potential. In the present study, although improved varieties significantly enhanced yield, the technology gap persisted due to incomplete implementation of improved practices, such as optimum fertilizer application, timely weeding, seed treatment, and pest management. Bridging this gap requires strengthening farmer knowledge, ensuring timely access to inputs, and improving the reach of extension services, ultimately enhancing productivity and sustainability of groundnut cultivation.</w:t>
      </w:r>
    </w:p>
    <w:p w14:paraId="092704A2"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The extension gap recorded across the trials indicates that a considerable proportion of farmers have yet to adopt improved groundnut production technologies. As reported by Lakhani et al. (2020), large extension gaps reflect insufficient awareness, limited access to quality seed, and inadequate exposure to scientific crop management. The extension gap in the present study reinforces the need for intensive farmer education, capacity-building programs, frontline demonstrations, farmer training, and regular field visits. Strengthening location-specific on-farm research and promoting improved packages </w:t>
      </w:r>
      <w:r w:rsidRPr="006C7150">
        <w:rPr>
          <w:rFonts w:ascii="Times New Roman" w:hAnsi="Times New Roman" w:cs="Times New Roman"/>
        </w:rPr>
        <w:lastRenderedPageBreak/>
        <w:t>of practices will reduce the extension gap and encourage wider adoption, as supported by Shankar et al. (2022).</w:t>
      </w:r>
    </w:p>
    <w:p w14:paraId="2AECC0B1" w14:textId="1B73667E" w:rsidR="006C7150" w:rsidRDefault="006C7150" w:rsidP="00205D60">
      <w:pPr>
        <w:spacing w:after="0" w:line="276" w:lineRule="auto"/>
        <w:ind w:firstLine="720"/>
        <w:jc w:val="both"/>
        <w:rPr>
          <w:rFonts w:ascii="Times New Roman" w:hAnsi="Times New Roman" w:cs="Times New Roman"/>
        </w:rPr>
      </w:pPr>
      <w:r w:rsidRPr="006C7150">
        <w:rPr>
          <w:rFonts w:ascii="Times New Roman" w:hAnsi="Times New Roman" w:cs="Times New Roman"/>
        </w:rPr>
        <w:t>The lowest technology index recorded for Kadiri Lepakshi during the study indicates that farmers were able to attain yields closer to the variety’s potential, demonstrating its strong suitability to local farming conditions. A low technology index also reflects the effectiveness of the demonstrated technologies and highlights the crucial role played by KVK in training and supporting farmers. As emphasized by Dash et al. (2021)</w:t>
      </w:r>
      <w:r w:rsidR="00E810F7">
        <w:rPr>
          <w:rFonts w:ascii="Times New Roman" w:hAnsi="Times New Roman" w:cs="Times New Roman"/>
        </w:rPr>
        <w:t>,</w:t>
      </w:r>
      <w:r w:rsidR="00E810F7" w:rsidRPr="00E810F7">
        <w:t xml:space="preserve"> </w:t>
      </w:r>
      <w:r w:rsidR="00E810F7" w:rsidRPr="00E810F7">
        <w:rPr>
          <w:rFonts w:ascii="Times New Roman" w:hAnsi="Times New Roman" w:cs="Times New Roman"/>
        </w:rPr>
        <w:t>Pawar et al. (2017)</w:t>
      </w:r>
      <w:r w:rsidR="00E810F7">
        <w:rPr>
          <w:rFonts w:ascii="Times New Roman" w:hAnsi="Times New Roman" w:cs="Times New Roman"/>
        </w:rPr>
        <w:t xml:space="preserve"> </w:t>
      </w:r>
      <w:proofErr w:type="gramStart"/>
      <w:r w:rsidR="00E810F7" w:rsidRPr="00E810F7">
        <w:rPr>
          <w:rFonts w:ascii="Times New Roman" w:hAnsi="Times New Roman" w:cs="Times New Roman"/>
        </w:rPr>
        <w:t xml:space="preserve">and  </w:t>
      </w:r>
      <w:proofErr w:type="spellStart"/>
      <w:r w:rsidR="00E810F7" w:rsidRPr="00E810F7">
        <w:rPr>
          <w:rFonts w:ascii="Times New Roman" w:hAnsi="Times New Roman" w:cs="Times New Roman"/>
        </w:rPr>
        <w:t>Shaktawat</w:t>
      </w:r>
      <w:proofErr w:type="spellEnd"/>
      <w:proofErr w:type="gramEnd"/>
      <w:r w:rsidR="00E810F7" w:rsidRPr="00E810F7">
        <w:rPr>
          <w:rFonts w:ascii="Times New Roman" w:hAnsi="Times New Roman" w:cs="Times New Roman"/>
        </w:rPr>
        <w:t xml:space="preserve"> (2021)</w:t>
      </w:r>
      <w:r w:rsidR="00E810F7">
        <w:rPr>
          <w:rFonts w:ascii="Times New Roman" w:hAnsi="Times New Roman" w:cs="Times New Roman"/>
        </w:rPr>
        <w:t>,</w:t>
      </w:r>
      <w:r w:rsidRPr="006C7150">
        <w:rPr>
          <w:rFonts w:ascii="Times New Roman" w:hAnsi="Times New Roman" w:cs="Times New Roman"/>
        </w:rPr>
        <w:t xml:space="preserve"> a lower technology index serves as evidence that improved technologies can be efficiently transferred to farmers, provided that adequate training, demonstrations, and handholding are offered. Therefore, continued efforts by KVK—such as training non-beneficiary farmers, establishing seed hubs, conducting larger-scale demonstrations, and providing advisory services—are essential to promote the widespread adoption of improved cultivation practices and ensure sustained productivity gains in groundnut.</w:t>
      </w:r>
    </w:p>
    <w:p w14:paraId="78200331" w14:textId="7D9BC1F5" w:rsidR="00205D60" w:rsidRPr="00205D60" w:rsidRDefault="00843E14" w:rsidP="00205D60">
      <w:pPr>
        <w:spacing w:after="0" w:line="276" w:lineRule="auto"/>
        <w:ind w:firstLine="720"/>
        <w:jc w:val="both"/>
        <w:rPr>
          <w:rFonts w:ascii="Times New Roman" w:hAnsi="Times New Roman" w:cs="Times New Roman"/>
        </w:rPr>
      </w:pPr>
      <w:r w:rsidRPr="00FE0989">
        <w:rPr>
          <w:rFonts w:ascii="Times New Roman" w:hAnsi="Times New Roman" w:cs="Times New Roman"/>
          <w:b/>
          <w:bCs/>
        </w:rPr>
        <w:t>Economics</w:t>
      </w:r>
      <w:r w:rsidR="00091911">
        <w:rPr>
          <w:rFonts w:ascii="Times New Roman" w:hAnsi="Times New Roman" w:cs="Times New Roman"/>
          <w:b/>
          <w:bCs/>
        </w:rPr>
        <w:t xml:space="preserve">: </w:t>
      </w:r>
      <w:r w:rsidRPr="00FE0989">
        <w:rPr>
          <w:rFonts w:ascii="Times New Roman" w:hAnsi="Times New Roman" w:cs="Times New Roman"/>
          <w:b/>
          <w:bCs/>
        </w:rPr>
        <w:t xml:space="preserve"> </w:t>
      </w:r>
      <w:r w:rsidR="00205D60" w:rsidRPr="00205D60">
        <w:rPr>
          <w:rFonts w:ascii="Times New Roman" w:hAnsi="Times New Roman" w:cs="Times New Roman"/>
        </w:rPr>
        <w:t xml:space="preserve">The economic analysis presented in Table 3 clearly highlights the financial superiority of improved groundnut varieties over farmers’ traditional practices. Based on the pooled results across three years, Kadiri Lepakshi achieved the highest gross returns (₹1,13,162/ha) and net returns (₹71,566/ha), along with the maximum B:C ratio of 2.7. This consistently high profitability reflects the variety's superior yield performance, better adaptability to local </w:t>
      </w:r>
      <w:proofErr w:type="spellStart"/>
      <w:r w:rsidR="00205D60" w:rsidRPr="00205D60">
        <w:rPr>
          <w:rFonts w:ascii="Times New Roman" w:hAnsi="Times New Roman" w:cs="Times New Roman"/>
        </w:rPr>
        <w:t>agro</w:t>
      </w:r>
      <w:proofErr w:type="spellEnd"/>
      <w:r w:rsidR="00205D60" w:rsidRPr="00205D60">
        <w:rPr>
          <w:rFonts w:ascii="Times New Roman" w:hAnsi="Times New Roman" w:cs="Times New Roman"/>
        </w:rPr>
        <w:t>-climatic conditions, and its ability to respond effectively to improved production practices. The higher B:C ratio also indicates that every rupee invested in Kadiri Lepakshi cultivation generated substantially greater returns, making it a financially attractive option for farmers.</w:t>
      </w:r>
    </w:p>
    <w:p w14:paraId="7F2754A0" w14:textId="77777777" w:rsidR="00205D60" w:rsidRPr="00205D60" w:rsidRDefault="00205D60" w:rsidP="00205D60">
      <w:pPr>
        <w:spacing w:after="0" w:line="276" w:lineRule="auto"/>
        <w:ind w:firstLine="720"/>
        <w:jc w:val="both"/>
        <w:rPr>
          <w:rFonts w:ascii="Times New Roman" w:hAnsi="Times New Roman" w:cs="Times New Roman"/>
        </w:rPr>
      </w:pPr>
      <w:r w:rsidRPr="00205D60">
        <w:rPr>
          <w:rFonts w:ascii="Times New Roman" w:hAnsi="Times New Roman" w:cs="Times New Roman"/>
        </w:rPr>
        <w:t>Nitya Haritha ranked next, registering pooled gross returns of ₹1,01,948/ha, net returns of ₹60,353/ha, and a B:C ratio of 2.5. Although economically profitable and better than farmers’ practice, it showed slightly lower returns compared to Kadiri Lepakshi. This difference may be attributed to moderate yield variability, differences in input utilization efficiency, or its relatively lower responsiveness to local micro-environments. Nonetheless, it remains a viable option for farmers seeking improved profitability over traditional varieties.</w:t>
      </w:r>
    </w:p>
    <w:p w14:paraId="22E678A3" w14:textId="77777777" w:rsidR="00205D60" w:rsidRPr="00205D60" w:rsidRDefault="00205D60" w:rsidP="00205D60">
      <w:pPr>
        <w:spacing w:after="0" w:line="276" w:lineRule="auto"/>
        <w:ind w:firstLine="720"/>
        <w:jc w:val="both"/>
        <w:rPr>
          <w:rFonts w:ascii="Times New Roman" w:hAnsi="Times New Roman" w:cs="Times New Roman"/>
        </w:rPr>
      </w:pPr>
      <w:r w:rsidRPr="00205D60">
        <w:rPr>
          <w:rFonts w:ascii="Times New Roman" w:hAnsi="Times New Roman" w:cs="Times New Roman"/>
        </w:rPr>
        <w:t>By contrast, farmers’ practice consistently showed the lowest gross and net returns, resulting in a comparatively poor B:C ratio. This highlights the economic limitations of traditional or older varieties, which often suffer from low yield potential, susceptibility to biotic and abiotic stresses, and suboptimal input use efficiency. The lower profitability under farmers’ practice underscores the significant economic gap that can be bridged through the adoption of improved varieties and scientific management.</w:t>
      </w:r>
    </w:p>
    <w:p w14:paraId="7EAEB816" w14:textId="5C4113F6" w:rsidR="00205D60" w:rsidRPr="00205D60" w:rsidRDefault="00205D60" w:rsidP="00205D60">
      <w:pPr>
        <w:spacing w:after="0" w:line="276" w:lineRule="auto"/>
        <w:ind w:firstLine="720"/>
        <w:jc w:val="both"/>
        <w:rPr>
          <w:rFonts w:ascii="Times New Roman" w:hAnsi="Times New Roman" w:cs="Times New Roman"/>
        </w:rPr>
      </w:pPr>
      <w:r w:rsidRPr="00205D60">
        <w:rPr>
          <w:rFonts w:ascii="Times New Roman" w:hAnsi="Times New Roman" w:cs="Times New Roman"/>
        </w:rPr>
        <w:t xml:space="preserve">The present findings are in line with those reported by Jyothi </w:t>
      </w:r>
      <w:r w:rsidRPr="00205D60">
        <w:rPr>
          <w:rFonts w:ascii="Times New Roman" w:hAnsi="Times New Roman" w:cs="Times New Roman"/>
          <w:i/>
          <w:iCs/>
        </w:rPr>
        <w:t>et al.</w:t>
      </w:r>
      <w:r w:rsidRPr="00205D60">
        <w:rPr>
          <w:rFonts w:ascii="Times New Roman" w:hAnsi="Times New Roman" w:cs="Times New Roman"/>
        </w:rPr>
        <w:t xml:space="preserve"> (2023)</w:t>
      </w:r>
      <w:r w:rsidR="00E810F7">
        <w:rPr>
          <w:rFonts w:ascii="Times New Roman" w:hAnsi="Times New Roman" w:cs="Times New Roman"/>
        </w:rPr>
        <w:t xml:space="preserve">, </w:t>
      </w:r>
      <w:r w:rsidR="00E810F7" w:rsidRPr="00E810F7">
        <w:rPr>
          <w:rFonts w:ascii="Times New Roman" w:hAnsi="Times New Roman" w:cs="Times New Roman"/>
        </w:rPr>
        <w:t xml:space="preserve">Ayyadurai </w:t>
      </w:r>
      <w:r w:rsidR="00E810F7" w:rsidRPr="00E810F7">
        <w:rPr>
          <w:rFonts w:ascii="Times New Roman" w:hAnsi="Times New Roman" w:cs="Times New Roman"/>
          <w:i/>
          <w:iCs/>
        </w:rPr>
        <w:t>et al</w:t>
      </w:r>
      <w:r w:rsidR="00E810F7" w:rsidRPr="00E810F7">
        <w:rPr>
          <w:rFonts w:ascii="Times New Roman" w:hAnsi="Times New Roman" w:cs="Times New Roman"/>
        </w:rPr>
        <w:t>. (2021)</w:t>
      </w:r>
      <w:r w:rsidR="00026CC8">
        <w:rPr>
          <w:rFonts w:ascii="Times New Roman" w:hAnsi="Times New Roman" w:cs="Times New Roman"/>
        </w:rPr>
        <w:t xml:space="preserve"> and </w:t>
      </w:r>
      <w:r w:rsidR="00026CC8" w:rsidRPr="00026CC8">
        <w:rPr>
          <w:rFonts w:ascii="Times New Roman" w:hAnsi="Times New Roman" w:cs="Times New Roman"/>
        </w:rPr>
        <w:t>Deva</w:t>
      </w:r>
      <w:r w:rsidR="00026CC8" w:rsidRPr="00026CC8">
        <w:rPr>
          <w:rFonts w:ascii="Times New Roman" w:hAnsi="Times New Roman" w:cs="Times New Roman"/>
          <w:i/>
          <w:iCs/>
        </w:rPr>
        <w:t xml:space="preserve"> et al</w:t>
      </w:r>
      <w:r w:rsidR="00026CC8" w:rsidRPr="00026CC8">
        <w:rPr>
          <w:rFonts w:ascii="Times New Roman" w:hAnsi="Times New Roman" w:cs="Times New Roman"/>
        </w:rPr>
        <w:t>.</w:t>
      </w:r>
      <w:r w:rsidR="00026CC8">
        <w:rPr>
          <w:rFonts w:ascii="Times New Roman" w:hAnsi="Times New Roman" w:cs="Times New Roman"/>
        </w:rPr>
        <w:t xml:space="preserve"> (</w:t>
      </w:r>
      <w:r w:rsidR="00026CC8" w:rsidRPr="00026CC8">
        <w:rPr>
          <w:rFonts w:ascii="Times New Roman" w:hAnsi="Times New Roman" w:cs="Times New Roman"/>
        </w:rPr>
        <w:t>2023</w:t>
      </w:r>
      <w:proofErr w:type="gramStart"/>
      <w:r w:rsidR="00026CC8" w:rsidRPr="00026CC8">
        <w:rPr>
          <w:rFonts w:ascii="Times New Roman" w:hAnsi="Times New Roman" w:cs="Times New Roman"/>
        </w:rPr>
        <w:t>)</w:t>
      </w:r>
      <w:r w:rsidR="00026CC8" w:rsidRPr="00026CC8">
        <w:rPr>
          <w:rFonts w:ascii="Times New Roman" w:hAnsi="Times New Roman" w:cs="Times New Roman"/>
          <w:i/>
          <w:iCs/>
        </w:rPr>
        <w:t xml:space="preserve"> </w:t>
      </w:r>
      <w:r w:rsidRPr="00205D60">
        <w:rPr>
          <w:rFonts w:ascii="Times New Roman" w:hAnsi="Times New Roman" w:cs="Times New Roman"/>
          <w:i/>
          <w:iCs/>
        </w:rPr>
        <w:t xml:space="preserve"> </w:t>
      </w:r>
      <w:r w:rsidRPr="00205D60">
        <w:rPr>
          <w:rFonts w:ascii="Times New Roman" w:hAnsi="Times New Roman" w:cs="Times New Roman"/>
        </w:rPr>
        <w:t>who</w:t>
      </w:r>
      <w:proofErr w:type="gramEnd"/>
      <w:r w:rsidRPr="00205D60">
        <w:rPr>
          <w:rFonts w:ascii="Times New Roman" w:hAnsi="Times New Roman" w:cs="Times New Roman"/>
        </w:rPr>
        <w:t xml:space="preserve"> also observed that adoption of high-yielding groundnut varieties substantially enhanced farmers’ income and benefit–cost ratios compared to conventional practices. This reinforces the importance of varietal improvement and technology dissemination in enhancing farm profitability, reducing production risks, and ensuring sustainable livelihood improvement for groundnut growers.</w:t>
      </w:r>
    </w:p>
    <w:p w14:paraId="0FD93103" w14:textId="77777777" w:rsidR="00205D60" w:rsidRPr="00205D60" w:rsidRDefault="00205D60" w:rsidP="00205D60">
      <w:pPr>
        <w:spacing w:after="0" w:line="276" w:lineRule="auto"/>
        <w:ind w:firstLine="720"/>
        <w:jc w:val="both"/>
        <w:rPr>
          <w:rFonts w:ascii="Times New Roman" w:hAnsi="Times New Roman" w:cs="Times New Roman"/>
        </w:rPr>
      </w:pPr>
      <w:r w:rsidRPr="00205D60">
        <w:rPr>
          <w:rFonts w:ascii="Times New Roman" w:hAnsi="Times New Roman" w:cs="Times New Roman"/>
        </w:rPr>
        <w:t>Overall, the economic evaluation strongly suggests that promoting Kadiri Lepakshi and Nitya Haritha through frontline demonstrations, capacity-building programmes, and input support can significantly enhance farmers’ income, thereby improving the economic viability of groundnut cultivation in the region</w:t>
      </w:r>
    </w:p>
    <w:p w14:paraId="747E1DE4" w14:textId="1A39EDE0" w:rsidR="00843E14" w:rsidRPr="00FE0989" w:rsidRDefault="00843E14" w:rsidP="00843E14">
      <w:pPr>
        <w:spacing w:after="0" w:line="276" w:lineRule="auto"/>
        <w:ind w:firstLine="720"/>
        <w:jc w:val="both"/>
        <w:rPr>
          <w:rFonts w:ascii="Times New Roman" w:hAnsi="Times New Roman" w:cs="Times New Roman"/>
        </w:rPr>
      </w:pPr>
    </w:p>
    <w:p w14:paraId="254DA978" w14:textId="758F2F9B" w:rsidR="00843E14" w:rsidRPr="00FE0989" w:rsidRDefault="00843E14" w:rsidP="00843E14">
      <w:pPr>
        <w:spacing w:after="0" w:line="276" w:lineRule="auto"/>
        <w:ind w:firstLine="720"/>
        <w:rPr>
          <w:rFonts w:ascii="Times New Roman" w:hAnsi="Times New Roman" w:cs="Times New Roman"/>
          <w:b/>
          <w:bCs/>
        </w:rPr>
      </w:pPr>
      <w:r w:rsidRPr="00FE0989">
        <w:rPr>
          <w:rFonts w:ascii="Times New Roman" w:hAnsi="Times New Roman" w:cs="Times New Roman"/>
          <w:b/>
          <w:bCs/>
        </w:rPr>
        <w:t>Table:</w:t>
      </w:r>
      <w:r w:rsidR="00091911">
        <w:rPr>
          <w:rFonts w:ascii="Times New Roman" w:hAnsi="Times New Roman" w:cs="Times New Roman"/>
          <w:b/>
          <w:bCs/>
        </w:rPr>
        <w:t xml:space="preserve"> </w:t>
      </w:r>
      <w:r w:rsidRPr="00FE0989">
        <w:rPr>
          <w:rFonts w:ascii="Times New Roman" w:hAnsi="Times New Roman" w:cs="Times New Roman"/>
          <w:b/>
          <w:bCs/>
        </w:rPr>
        <w:t>3 Pooled data of three consecutive years on Economics of groundnut under demonstration   and farmers practice.</w:t>
      </w:r>
    </w:p>
    <w:tbl>
      <w:tblPr>
        <w:tblStyle w:val="TableGrid"/>
        <w:tblW w:w="0" w:type="auto"/>
        <w:tblInd w:w="-998" w:type="dxa"/>
        <w:tblLayout w:type="fixed"/>
        <w:tblLook w:val="04A0" w:firstRow="1" w:lastRow="0" w:firstColumn="1" w:lastColumn="0" w:noHBand="0" w:noVBand="1"/>
      </w:tblPr>
      <w:tblGrid>
        <w:gridCol w:w="955"/>
        <w:gridCol w:w="1031"/>
        <w:gridCol w:w="992"/>
        <w:gridCol w:w="990"/>
        <w:gridCol w:w="945"/>
        <w:gridCol w:w="1065"/>
        <w:gridCol w:w="1004"/>
        <w:gridCol w:w="945"/>
        <w:gridCol w:w="1065"/>
        <w:gridCol w:w="1022"/>
      </w:tblGrid>
      <w:tr w:rsidR="00843E14" w:rsidRPr="00FE0989" w14:paraId="08E05558" w14:textId="77777777" w:rsidTr="000B672E">
        <w:tc>
          <w:tcPr>
            <w:tcW w:w="955" w:type="dxa"/>
            <w:vMerge w:val="restart"/>
          </w:tcPr>
          <w:p w14:paraId="2F6B1AF7" w14:textId="77777777" w:rsidR="00843E14" w:rsidRPr="00FE0989" w:rsidRDefault="00843E14" w:rsidP="000B672E">
            <w:pPr>
              <w:spacing w:line="276" w:lineRule="auto"/>
              <w:rPr>
                <w:rFonts w:ascii="Times New Roman" w:hAnsi="Times New Roman" w:cs="Times New Roman"/>
                <w:b/>
                <w:bCs/>
              </w:rPr>
            </w:pPr>
            <w:r w:rsidRPr="00FE0989">
              <w:rPr>
                <w:rFonts w:ascii="Times New Roman" w:hAnsi="Times New Roman" w:cs="Times New Roman"/>
                <w:b/>
                <w:bCs/>
              </w:rPr>
              <w:t xml:space="preserve">Year </w:t>
            </w:r>
          </w:p>
        </w:tc>
        <w:tc>
          <w:tcPr>
            <w:tcW w:w="3013" w:type="dxa"/>
            <w:gridSpan w:val="3"/>
          </w:tcPr>
          <w:p w14:paraId="3AF63C50"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Gross Returns (Rs/ha)</w:t>
            </w:r>
          </w:p>
        </w:tc>
        <w:tc>
          <w:tcPr>
            <w:tcW w:w="3014" w:type="dxa"/>
            <w:gridSpan w:val="3"/>
          </w:tcPr>
          <w:p w14:paraId="1374A6F3"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Net Returns (Rs/ha)</w:t>
            </w:r>
          </w:p>
        </w:tc>
        <w:tc>
          <w:tcPr>
            <w:tcW w:w="3032" w:type="dxa"/>
            <w:gridSpan w:val="3"/>
          </w:tcPr>
          <w:p w14:paraId="7D35829A"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B:C ratio</w:t>
            </w:r>
          </w:p>
        </w:tc>
      </w:tr>
      <w:tr w:rsidR="00843E14" w:rsidRPr="00FE0989" w14:paraId="5D89482D" w14:textId="77777777" w:rsidTr="000B672E">
        <w:tc>
          <w:tcPr>
            <w:tcW w:w="955" w:type="dxa"/>
            <w:vMerge/>
          </w:tcPr>
          <w:p w14:paraId="2136CD23" w14:textId="77777777" w:rsidR="00843E14" w:rsidRPr="00FE0989" w:rsidRDefault="00843E14" w:rsidP="000B672E">
            <w:pPr>
              <w:spacing w:line="276" w:lineRule="auto"/>
              <w:rPr>
                <w:rFonts w:ascii="Times New Roman" w:hAnsi="Times New Roman" w:cs="Times New Roman"/>
                <w:b/>
                <w:bCs/>
              </w:rPr>
            </w:pPr>
          </w:p>
        </w:tc>
        <w:tc>
          <w:tcPr>
            <w:tcW w:w="1031" w:type="dxa"/>
          </w:tcPr>
          <w:p w14:paraId="4E688C15"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Nitya Haritha</w:t>
            </w:r>
          </w:p>
        </w:tc>
        <w:tc>
          <w:tcPr>
            <w:tcW w:w="992" w:type="dxa"/>
          </w:tcPr>
          <w:p w14:paraId="1BD2EFB3" w14:textId="77777777" w:rsidR="00843E14" w:rsidRPr="00FE0989" w:rsidRDefault="00843E14" w:rsidP="000B672E">
            <w:pPr>
              <w:spacing w:line="276" w:lineRule="auto"/>
              <w:jc w:val="center"/>
              <w:rPr>
                <w:rFonts w:ascii="Times New Roman" w:hAnsi="Times New Roman" w:cs="Times New Roman"/>
                <w:b/>
                <w:bCs/>
                <w:sz w:val="18"/>
                <w:szCs w:val="18"/>
              </w:rPr>
            </w:pPr>
            <w:r w:rsidRPr="00FE0989">
              <w:rPr>
                <w:rFonts w:ascii="Times New Roman" w:hAnsi="Times New Roman" w:cs="Times New Roman"/>
                <w:b/>
                <w:bCs/>
                <w:sz w:val="18"/>
                <w:szCs w:val="18"/>
              </w:rPr>
              <w:t>Kadiri Lepakshi</w:t>
            </w:r>
          </w:p>
        </w:tc>
        <w:tc>
          <w:tcPr>
            <w:tcW w:w="990" w:type="dxa"/>
          </w:tcPr>
          <w:p w14:paraId="0642795A"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Farmers practice</w:t>
            </w:r>
          </w:p>
        </w:tc>
        <w:tc>
          <w:tcPr>
            <w:tcW w:w="945" w:type="dxa"/>
          </w:tcPr>
          <w:p w14:paraId="3F362492"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Nitya Haritha</w:t>
            </w:r>
          </w:p>
        </w:tc>
        <w:tc>
          <w:tcPr>
            <w:tcW w:w="1065" w:type="dxa"/>
          </w:tcPr>
          <w:p w14:paraId="1B25DBB2"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Kadiri Lepakshi</w:t>
            </w:r>
          </w:p>
        </w:tc>
        <w:tc>
          <w:tcPr>
            <w:tcW w:w="1004" w:type="dxa"/>
          </w:tcPr>
          <w:p w14:paraId="1669E94C"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Farmers practice</w:t>
            </w:r>
          </w:p>
        </w:tc>
        <w:tc>
          <w:tcPr>
            <w:tcW w:w="945" w:type="dxa"/>
          </w:tcPr>
          <w:p w14:paraId="7827D3D6"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Nitya Haritha</w:t>
            </w:r>
          </w:p>
        </w:tc>
        <w:tc>
          <w:tcPr>
            <w:tcW w:w="1065" w:type="dxa"/>
          </w:tcPr>
          <w:p w14:paraId="2AF6A0AB"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Kadiri Lepakshi</w:t>
            </w:r>
          </w:p>
        </w:tc>
        <w:tc>
          <w:tcPr>
            <w:tcW w:w="1022" w:type="dxa"/>
          </w:tcPr>
          <w:p w14:paraId="527E9790"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Farmers practice</w:t>
            </w:r>
          </w:p>
        </w:tc>
      </w:tr>
      <w:tr w:rsidR="00843E14" w:rsidRPr="00FE0989" w14:paraId="500B90DE" w14:textId="77777777" w:rsidTr="000B672E">
        <w:tc>
          <w:tcPr>
            <w:tcW w:w="955" w:type="dxa"/>
          </w:tcPr>
          <w:p w14:paraId="76A2D085"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lastRenderedPageBreak/>
              <w:t>2020-21</w:t>
            </w:r>
          </w:p>
        </w:tc>
        <w:tc>
          <w:tcPr>
            <w:tcW w:w="1031" w:type="dxa"/>
          </w:tcPr>
          <w:p w14:paraId="5F2666EA"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100800</w:t>
            </w:r>
          </w:p>
        </w:tc>
        <w:tc>
          <w:tcPr>
            <w:tcW w:w="992" w:type="dxa"/>
          </w:tcPr>
          <w:p w14:paraId="5F470EB9"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106200</w:t>
            </w:r>
          </w:p>
        </w:tc>
        <w:tc>
          <w:tcPr>
            <w:tcW w:w="990" w:type="dxa"/>
          </w:tcPr>
          <w:p w14:paraId="440CC8BE"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90000</w:t>
            </w:r>
          </w:p>
        </w:tc>
        <w:tc>
          <w:tcPr>
            <w:tcW w:w="945" w:type="dxa"/>
          </w:tcPr>
          <w:p w14:paraId="397DEC54"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59050</w:t>
            </w:r>
          </w:p>
        </w:tc>
        <w:tc>
          <w:tcPr>
            <w:tcW w:w="1065" w:type="dxa"/>
          </w:tcPr>
          <w:p w14:paraId="2EE01B0C"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64450</w:t>
            </w:r>
          </w:p>
        </w:tc>
        <w:tc>
          <w:tcPr>
            <w:tcW w:w="1004" w:type="dxa"/>
          </w:tcPr>
          <w:p w14:paraId="667A6E9A"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50280</w:t>
            </w:r>
          </w:p>
        </w:tc>
        <w:tc>
          <w:tcPr>
            <w:tcW w:w="945" w:type="dxa"/>
          </w:tcPr>
          <w:p w14:paraId="01F20295"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2.4</w:t>
            </w:r>
          </w:p>
        </w:tc>
        <w:tc>
          <w:tcPr>
            <w:tcW w:w="1065" w:type="dxa"/>
          </w:tcPr>
          <w:p w14:paraId="3C59D28A"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2.5</w:t>
            </w:r>
          </w:p>
        </w:tc>
        <w:tc>
          <w:tcPr>
            <w:tcW w:w="1022" w:type="dxa"/>
          </w:tcPr>
          <w:p w14:paraId="5CEECBC1"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2.3</w:t>
            </w:r>
          </w:p>
        </w:tc>
      </w:tr>
      <w:tr w:rsidR="00843E14" w:rsidRPr="00FE0989" w14:paraId="3FA9C61C" w14:textId="77777777" w:rsidTr="000B672E">
        <w:tc>
          <w:tcPr>
            <w:tcW w:w="955" w:type="dxa"/>
          </w:tcPr>
          <w:p w14:paraId="66C161BF"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2021-22</w:t>
            </w:r>
          </w:p>
        </w:tc>
        <w:tc>
          <w:tcPr>
            <w:tcW w:w="1031" w:type="dxa"/>
          </w:tcPr>
          <w:p w14:paraId="23CFD912"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112000</w:t>
            </w:r>
          </w:p>
        </w:tc>
        <w:tc>
          <w:tcPr>
            <w:tcW w:w="992" w:type="dxa"/>
          </w:tcPr>
          <w:p w14:paraId="77C7449A"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127400</w:t>
            </w:r>
          </w:p>
        </w:tc>
        <w:tc>
          <w:tcPr>
            <w:tcW w:w="990" w:type="dxa"/>
          </w:tcPr>
          <w:p w14:paraId="329FC993"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105000</w:t>
            </w:r>
          </w:p>
        </w:tc>
        <w:tc>
          <w:tcPr>
            <w:tcW w:w="945" w:type="dxa"/>
          </w:tcPr>
          <w:p w14:paraId="3704C92C"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74266</w:t>
            </w:r>
          </w:p>
        </w:tc>
        <w:tc>
          <w:tcPr>
            <w:tcW w:w="1065" w:type="dxa"/>
          </w:tcPr>
          <w:p w14:paraId="4DA65C60"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89666</w:t>
            </w:r>
          </w:p>
        </w:tc>
        <w:tc>
          <w:tcPr>
            <w:tcW w:w="1004" w:type="dxa"/>
          </w:tcPr>
          <w:p w14:paraId="02329BFB"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66488</w:t>
            </w:r>
          </w:p>
        </w:tc>
        <w:tc>
          <w:tcPr>
            <w:tcW w:w="945" w:type="dxa"/>
          </w:tcPr>
          <w:p w14:paraId="6A969C23"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3.0</w:t>
            </w:r>
          </w:p>
        </w:tc>
        <w:tc>
          <w:tcPr>
            <w:tcW w:w="1065" w:type="dxa"/>
          </w:tcPr>
          <w:p w14:paraId="2EF0CE2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3.4</w:t>
            </w:r>
          </w:p>
        </w:tc>
        <w:tc>
          <w:tcPr>
            <w:tcW w:w="1022" w:type="dxa"/>
          </w:tcPr>
          <w:tbl>
            <w:tblPr>
              <w:tblW w:w="820" w:type="dxa"/>
              <w:tblLayout w:type="fixed"/>
              <w:tblLook w:val="04A0" w:firstRow="1" w:lastRow="0" w:firstColumn="1" w:lastColumn="0" w:noHBand="0" w:noVBand="1"/>
            </w:tblPr>
            <w:tblGrid>
              <w:gridCol w:w="820"/>
            </w:tblGrid>
            <w:tr w:rsidR="00843E14" w:rsidRPr="00FE0989" w14:paraId="049520AC" w14:textId="77777777" w:rsidTr="000B672E">
              <w:trPr>
                <w:trHeight w:val="290"/>
              </w:trPr>
              <w:tc>
                <w:tcPr>
                  <w:tcW w:w="820" w:type="dxa"/>
                  <w:tcBorders>
                    <w:top w:val="nil"/>
                    <w:left w:val="nil"/>
                    <w:bottom w:val="nil"/>
                    <w:right w:val="nil"/>
                  </w:tcBorders>
                  <w:noWrap/>
                  <w:vAlign w:val="bottom"/>
                  <w:hideMark/>
                </w:tcPr>
                <w:p w14:paraId="672153B4" w14:textId="77777777" w:rsidR="00843E14" w:rsidRPr="00FE0989" w:rsidRDefault="00843E14" w:rsidP="000B672E">
                  <w:pPr>
                    <w:spacing w:after="0" w:line="276" w:lineRule="auto"/>
                    <w:jc w:val="center"/>
                    <w:rPr>
                      <w:rFonts w:ascii="Times New Roman" w:eastAsia="Times New Roman" w:hAnsi="Times New Roman" w:cs="Times New Roman"/>
                      <w:color w:val="000000"/>
                      <w:kern w:val="0"/>
                      <w:lang w:eastAsia="en-IN"/>
                      <w14:ligatures w14:val="none"/>
                    </w:rPr>
                  </w:pPr>
                  <w:r w:rsidRPr="00FE0989">
                    <w:rPr>
                      <w:rFonts w:ascii="Times New Roman" w:eastAsia="Times New Roman" w:hAnsi="Times New Roman" w:cs="Times New Roman"/>
                      <w:color w:val="000000"/>
                      <w:kern w:val="0"/>
                      <w:lang w:eastAsia="en-IN"/>
                      <w14:ligatures w14:val="none"/>
                    </w:rPr>
                    <w:t>2.7</w:t>
                  </w:r>
                </w:p>
              </w:tc>
            </w:tr>
          </w:tbl>
          <w:p w14:paraId="681318C2" w14:textId="77777777" w:rsidR="00843E14" w:rsidRPr="00FE0989" w:rsidRDefault="00843E14" w:rsidP="000B672E">
            <w:pPr>
              <w:spacing w:line="276" w:lineRule="auto"/>
              <w:jc w:val="center"/>
              <w:rPr>
                <w:rFonts w:ascii="Times New Roman" w:hAnsi="Times New Roman" w:cs="Times New Roman"/>
              </w:rPr>
            </w:pPr>
          </w:p>
        </w:tc>
      </w:tr>
      <w:tr w:rsidR="00843E14" w:rsidRPr="00FE0989" w14:paraId="53E7982A" w14:textId="77777777" w:rsidTr="000B672E">
        <w:trPr>
          <w:trHeight w:val="157"/>
        </w:trPr>
        <w:tc>
          <w:tcPr>
            <w:tcW w:w="955" w:type="dxa"/>
          </w:tcPr>
          <w:p w14:paraId="6F21EEC5"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2022-23</w:t>
            </w:r>
          </w:p>
        </w:tc>
        <w:tc>
          <w:tcPr>
            <w:tcW w:w="1031" w:type="dxa"/>
          </w:tcPr>
          <w:p w14:paraId="03D1EA2A"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93044</w:t>
            </w:r>
          </w:p>
        </w:tc>
        <w:tc>
          <w:tcPr>
            <w:tcW w:w="992" w:type="dxa"/>
          </w:tcPr>
          <w:p w14:paraId="271104A2"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105885</w:t>
            </w:r>
          </w:p>
        </w:tc>
        <w:tc>
          <w:tcPr>
            <w:tcW w:w="990" w:type="dxa"/>
          </w:tcPr>
          <w:p w14:paraId="52EB773E"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84913</w:t>
            </w:r>
          </w:p>
        </w:tc>
        <w:tc>
          <w:tcPr>
            <w:tcW w:w="945" w:type="dxa"/>
          </w:tcPr>
          <w:p w14:paraId="2E4A6ECD"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47742</w:t>
            </w:r>
          </w:p>
        </w:tc>
        <w:tc>
          <w:tcPr>
            <w:tcW w:w="1065" w:type="dxa"/>
          </w:tcPr>
          <w:p w14:paraId="788969D0"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60583</w:t>
            </w:r>
          </w:p>
        </w:tc>
        <w:tc>
          <w:tcPr>
            <w:tcW w:w="1004" w:type="dxa"/>
          </w:tcPr>
          <w:p w14:paraId="4AAD4B5F"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40804</w:t>
            </w:r>
          </w:p>
        </w:tc>
        <w:tc>
          <w:tcPr>
            <w:tcW w:w="945" w:type="dxa"/>
          </w:tcPr>
          <w:p w14:paraId="75314A42"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2.1</w:t>
            </w:r>
          </w:p>
        </w:tc>
        <w:tc>
          <w:tcPr>
            <w:tcW w:w="1065" w:type="dxa"/>
          </w:tcPr>
          <w:p w14:paraId="7EFAC28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2.3</w:t>
            </w:r>
          </w:p>
        </w:tc>
        <w:tc>
          <w:tcPr>
            <w:tcW w:w="1022" w:type="dxa"/>
          </w:tcPr>
          <w:p w14:paraId="7504CAD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1.9</w:t>
            </w:r>
          </w:p>
        </w:tc>
      </w:tr>
      <w:tr w:rsidR="00843E14" w:rsidRPr="00FE0989" w14:paraId="3D2EA42F" w14:textId="77777777" w:rsidTr="000B672E">
        <w:tc>
          <w:tcPr>
            <w:tcW w:w="955" w:type="dxa"/>
          </w:tcPr>
          <w:p w14:paraId="76C56449"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Pooled</w:t>
            </w:r>
          </w:p>
        </w:tc>
        <w:tc>
          <w:tcPr>
            <w:tcW w:w="1031" w:type="dxa"/>
            <w:vAlign w:val="bottom"/>
          </w:tcPr>
          <w:p w14:paraId="0DA54D58"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101948</w:t>
            </w:r>
          </w:p>
        </w:tc>
        <w:tc>
          <w:tcPr>
            <w:tcW w:w="992" w:type="dxa"/>
            <w:vAlign w:val="bottom"/>
          </w:tcPr>
          <w:p w14:paraId="1994D02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113162</w:t>
            </w:r>
          </w:p>
        </w:tc>
        <w:tc>
          <w:tcPr>
            <w:tcW w:w="990" w:type="dxa"/>
            <w:vAlign w:val="bottom"/>
          </w:tcPr>
          <w:p w14:paraId="7D02684B"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93304</w:t>
            </w:r>
          </w:p>
        </w:tc>
        <w:tc>
          <w:tcPr>
            <w:tcW w:w="945" w:type="dxa"/>
            <w:vAlign w:val="bottom"/>
          </w:tcPr>
          <w:p w14:paraId="6067F65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60353</w:t>
            </w:r>
          </w:p>
        </w:tc>
        <w:tc>
          <w:tcPr>
            <w:tcW w:w="1065" w:type="dxa"/>
            <w:vAlign w:val="bottom"/>
          </w:tcPr>
          <w:p w14:paraId="0F6138A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71566</w:t>
            </w:r>
          </w:p>
        </w:tc>
        <w:tc>
          <w:tcPr>
            <w:tcW w:w="1004" w:type="dxa"/>
            <w:vAlign w:val="bottom"/>
          </w:tcPr>
          <w:p w14:paraId="1FC70D2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52524</w:t>
            </w:r>
          </w:p>
        </w:tc>
        <w:tc>
          <w:tcPr>
            <w:tcW w:w="945" w:type="dxa"/>
            <w:vAlign w:val="bottom"/>
          </w:tcPr>
          <w:p w14:paraId="324F4FC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2.5</w:t>
            </w:r>
          </w:p>
        </w:tc>
        <w:tc>
          <w:tcPr>
            <w:tcW w:w="1065" w:type="dxa"/>
            <w:vAlign w:val="bottom"/>
          </w:tcPr>
          <w:p w14:paraId="27B4664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2.7</w:t>
            </w:r>
          </w:p>
        </w:tc>
        <w:tc>
          <w:tcPr>
            <w:tcW w:w="1022" w:type="dxa"/>
            <w:vAlign w:val="bottom"/>
          </w:tcPr>
          <w:p w14:paraId="4EC380BD"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2.3</w:t>
            </w:r>
          </w:p>
        </w:tc>
      </w:tr>
    </w:tbl>
    <w:p w14:paraId="415D6A87" w14:textId="77777777" w:rsidR="00843E14" w:rsidRPr="00FE0989" w:rsidRDefault="00843E14" w:rsidP="00843E14">
      <w:pPr>
        <w:spacing w:after="0" w:line="276" w:lineRule="auto"/>
        <w:rPr>
          <w:rFonts w:ascii="Times New Roman" w:hAnsi="Times New Roman" w:cs="Times New Roman"/>
        </w:rPr>
      </w:pPr>
    </w:p>
    <w:p w14:paraId="37CC9383"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b/>
          <w:bCs/>
        </w:rPr>
        <w:t>Conclusion</w:t>
      </w:r>
      <w:r w:rsidRPr="00FE0989">
        <w:rPr>
          <w:rFonts w:ascii="Times New Roman" w:hAnsi="Times New Roman" w:cs="Times New Roman"/>
        </w:rPr>
        <w:t xml:space="preserve">: </w:t>
      </w:r>
    </w:p>
    <w:p w14:paraId="017E7E8B" w14:textId="1B345361" w:rsidR="00205D60" w:rsidRPr="00205D60" w:rsidRDefault="00205D60" w:rsidP="00205D60">
      <w:pPr>
        <w:spacing w:after="0" w:line="276" w:lineRule="auto"/>
        <w:jc w:val="both"/>
        <w:rPr>
          <w:rFonts w:ascii="Times New Roman" w:hAnsi="Times New Roman" w:cs="Times New Roman"/>
        </w:rPr>
      </w:pPr>
      <w:r w:rsidRPr="00205D60">
        <w:rPr>
          <w:rFonts w:ascii="Times New Roman" w:hAnsi="Times New Roman" w:cs="Times New Roman"/>
        </w:rPr>
        <w:t>The on-farm testing results clearly established that the adoption of the high-yielding groundnut variety Kadiri Lepakshi significantly enhanced both productivity and profitability in the ASR district. The considerable increase in pod yield, along with consistently higher gross and net returns, demonstrates the clear superiority of this improved variety over the existing farmers’ practices. The higher benefit–cost ratio achieved with Kadiri Lepakshi reaffirms its economic viability and suitability for resource-conserving, profitable groundnut cultivation.</w:t>
      </w:r>
      <w:r>
        <w:rPr>
          <w:rFonts w:ascii="Times New Roman" w:hAnsi="Times New Roman" w:cs="Times New Roman"/>
        </w:rPr>
        <w:t xml:space="preserve"> </w:t>
      </w:r>
      <w:r w:rsidRPr="00205D60">
        <w:rPr>
          <w:rFonts w:ascii="Times New Roman" w:hAnsi="Times New Roman" w:cs="Times New Roman"/>
        </w:rPr>
        <w:t xml:space="preserve">The multi-year results highlight the strong genetic potential, adaptability, and stability of Kadiri </w:t>
      </w:r>
      <w:proofErr w:type="spellStart"/>
      <w:r w:rsidRPr="00205D60">
        <w:rPr>
          <w:rFonts w:ascii="Times New Roman" w:hAnsi="Times New Roman" w:cs="Times New Roman"/>
        </w:rPr>
        <w:t>Lepakshi</w:t>
      </w:r>
      <w:proofErr w:type="spellEnd"/>
      <w:r w:rsidRPr="00205D60">
        <w:rPr>
          <w:rFonts w:ascii="Times New Roman" w:hAnsi="Times New Roman" w:cs="Times New Roman"/>
        </w:rPr>
        <w:t xml:space="preserve"> under local </w:t>
      </w:r>
      <w:proofErr w:type="spellStart"/>
      <w:r w:rsidRPr="00205D60">
        <w:rPr>
          <w:rFonts w:ascii="Times New Roman" w:hAnsi="Times New Roman" w:cs="Times New Roman"/>
        </w:rPr>
        <w:t>agro</w:t>
      </w:r>
      <w:proofErr w:type="spellEnd"/>
      <w:r w:rsidRPr="00205D60">
        <w:rPr>
          <w:rFonts w:ascii="Times New Roman" w:hAnsi="Times New Roman" w:cs="Times New Roman"/>
        </w:rPr>
        <w:t>-climatic conditions. These advantages make it a highly promising option for large-scale varietal replacement, enabling farmers to enhance yield levels without significant additional investment. The study also emphasizes the role of improved varieties as a practical, low-cost, and high-impact intervention for strengthening groundnut production systems.</w:t>
      </w:r>
      <w:r>
        <w:rPr>
          <w:rFonts w:ascii="Times New Roman" w:hAnsi="Times New Roman" w:cs="Times New Roman"/>
        </w:rPr>
        <w:t xml:space="preserve"> </w:t>
      </w:r>
      <w:r w:rsidRPr="00205D60">
        <w:rPr>
          <w:rFonts w:ascii="Times New Roman" w:hAnsi="Times New Roman" w:cs="Times New Roman"/>
        </w:rPr>
        <w:t>Overall, the findings underscore that promoting Kadiri Lepakshi in the ASR district can substantially improve groundnut productivity, increase farmers’ income, and contribute to sustainable agricultural development in the region</w:t>
      </w:r>
    </w:p>
    <w:p w14:paraId="111B7107" w14:textId="1AC92526" w:rsidR="00205D60" w:rsidRDefault="00205D60" w:rsidP="00843E14">
      <w:pPr>
        <w:spacing w:after="0" w:line="276" w:lineRule="auto"/>
        <w:jc w:val="both"/>
        <w:rPr>
          <w:rFonts w:ascii="Times New Roman" w:hAnsi="Times New Roman" w:cs="Times New Roman"/>
        </w:rPr>
      </w:pPr>
    </w:p>
    <w:p w14:paraId="50004E72" w14:textId="77777777" w:rsidR="00C718CF" w:rsidRPr="00091911" w:rsidRDefault="00C718CF" w:rsidP="00C718CF">
      <w:pPr>
        <w:rPr>
          <w:rFonts w:ascii="Calibri" w:eastAsia="Calibri" w:hAnsi="Calibri" w:cs="Times New Roman"/>
          <w:b/>
          <w:highlight w:val="yellow"/>
          <w:lang w:val="en-US"/>
        </w:rPr>
      </w:pPr>
      <w:bookmarkStart w:id="0" w:name="_Hlk197682619"/>
      <w:bookmarkStart w:id="1" w:name="_Hlk180402183"/>
      <w:bookmarkStart w:id="2" w:name="_Hlk183680988"/>
      <w:bookmarkStart w:id="3" w:name="_Hlk197351200"/>
      <w:r w:rsidRPr="00091911">
        <w:rPr>
          <w:rFonts w:ascii="Calibri" w:eastAsia="Calibri" w:hAnsi="Calibri" w:cs="Times New Roman"/>
          <w:b/>
          <w:highlight w:val="yellow"/>
          <w:lang w:val="en-US"/>
        </w:rPr>
        <w:t>Disclaimer (Artificial intelligence)</w:t>
      </w:r>
    </w:p>
    <w:p w14:paraId="36CE59C9" w14:textId="77777777" w:rsidR="00C718CF" w:rsidRPr="009C5487" w:rsidRDefault="00C718CF" w:rsidP="00C718C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5573CDA" w14:textId="77777777" w:rsidR="00C718CF" w:rsidRPr="009C5487" w:rsidRDefault="00C718CF" w:rsidP="00C718C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1A2DCE0" w14:textId="77777777" w:rsidR="00C718CF" w:rsidRDefault="00C718CF" w:rsidP="00843E14">
      <w:pPr>
        <w:spacing w:after="0" w:line="276" w:lineRule="auto"/>
        <w:jc w:val="both"/>
        <w:rPr>
          <w:rFonts w:ascii="Times New Roman" w:hAnsi="Times New Roman" w:cs="Times New Roman"/>
        </w:rPr>
      </w:pPr>
      <w:bookmarkStart w:id="4" w:name="_GoBack"/>
      <w:bookmarkEnd w:id="0"/>
      <w:bookmarkEnd w:id="1"/>
      <w:bookmarkEnd w:id="2"/>
      <w:bookmarkEnd w:id="3"/>
      <w:bookmarkEnd w:id="4"/>
    </w:p>
    <w:p w14:paraId="4B19413D"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b/>
          <w:bCs/>
        </w:rPr>
        <w:t>References</w:t>
      </w:r>
      <w:r w:rsidRPr="00FE0989">
        <w:rPr>
          <w:rFonts w:ascii="Times New Roman" w:hAnsi="Times New Roman" w:cs="Times New Roman"/>
        </w:rPr>
        <w:t>:</w:t>
      </w:r>
    </w:p>
    <w:p w14:paraId="22E8A4E4"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 </w:t>
      </w:r>
    </w:p>
    <w:p w14:paraId="73165C0C" w14:textId="46F1C8A8" w:rsidR="00E810F7" w:rsidRPr="005154FA" w:rsidRDefault="00E810F7" w:rsidP="00E810F7">
      <w:pPr>
        <w:pStyle w:val="ListParagraph"/>
        <w:numPr>
          <w:ilvl w:val="0"/>
          <w:numId w:val="2"/>
        </w:numPr>
        <w:spacing w:after="0" w:line="276" w:lineRule="auto"/>
        <w:jc w:val="both"/>
        <w:rPr>
          <w:rFonts w:ascii="Times New Roman" w:hAnsi="Times New Roman" w:cs="Times New Roman"/>
        </w:rPr>
      </w:pPr>
      <w:r w:rsidRPr="005154FA">
        <w:rPr>
          <w:rFonts w:ascii="Times New Roman" w:hAnsi="Times New Roman" w:cs="Times New Roman"/>
        </w:rPr>
        <w:t xml:space="preserve">Ayyadurai P, Shanmugam PS, Sangeetha M, Vennila MA. Performance of groundnut (Arachis hypogaea L.) productivity through cluster front line demonstration in farmers’ field. Indian J Ext Educ. 2021;57(1):55-60. </w:t>
      </w:r>
      <w:hyperlink r:id="rId8" w:history="1">
        <w:r w:rsidR="002D1F82" w:rsidRPr="005154FA">
          <w:rPr>
            <w:rStyle w:val="Hyperlink"/>
            <w:rFonts w:ascii="Times New Roman" w:hAnsi="Times New Roman" w:cs="Times New Roman"/>
          </w:rPr>
          <w:t>http://epubs.icar.org.in/ejournal/index.php/ijee/article/view/109083</w:t>
        </w:r>
      </w:hyperlink>
      <w:r w:rsidR="002D1F82" w:rsidRPr="005154FA">
        <w:rPr>
          <w:rFonts w:ascii="Times New Roman" w:hAnsi="Times New Roman" w:cs="Times New Roman"/>
        </w:rPr>
        <w:t xml:space="preserve"> </w:t>
      </w:r>
    </w:p>
    <w:p w14:paraId="520A8F9A" w14:textId="7A1400DA" w:rsidR="00843E14" w:rsidRDefault="00843E14" w:rsidP="00E810F7">
      <w:pPr>
        <w:pStyle w:val="ListParagraph"/>
        <w:numPr>
          <w:ilvl w:val="0"/>
          <w:numId w:val="2"/>
        </w:numPr>
        <w:spacing w:after="0" w:line="276" w:lineRule="auto"/>
        <w:jc w:val="both"/>
        <w:rPr>
          <w:rFonts w:ascii="Times New Roman" w:hAnsi="Times New Roman" w:cs="Times New Roman"/>
        </w:rPr>
      </w:pPr>
      <w:r w:rsidRPr="005154FA">
        <w:rPr>
          <w:rFonts w:ascii="Times New Roman" w:hAnsi="Times New Roman" w:cs="Times New Roman"/>
        </w:rPr>
        <w:t xml:space="preserve">Dash, S.R., Behera, N., Das, H., Rai, A.K., </w:t>
      </w:r>
      <w:proofErr w:type="spellStart"/>
      <w:r w:rsidRPr="005154FA">
        <w:rPr>
          <w:rFonts w:ascii="Times New Roman" w:hAnsi="Times New Roman" w:cs="Times New Roman"/>
        </w:rPr>
        <w:t>Rautaray</w:t>
      </w:r>
      <w:proofErr w:type="spellEnd"/>
      <w:r w:rsidRPr="005154FA">
        <w:rPr>
          <w:rFonts w:ascii="Times New Roman" w:hAnsi="Times New Roman" w:cs="Times New Roman"/>
        </w:rPr>
        <w:t>, B.K. and Bar, N. 2021. Yield Gap Analysis for Groundnut through Cluster Front Line Demonstration in South Eastern Ghat Zone of Odisha</w:t>
      </w:r>
      <w:r w:rsidRPr="00205D60">
        <w:rPr>
          <w:rFonts w:ascii="Times New Roman" w:hAnsi="Times New Roman" w:cs="Times New Roman"/>
        </w:rPr>
        <w:t>. International Journal of Agriculture, Environment and Biotechnology. 14(2): 199-202.</w:t>
      </w:r>
      <w:r w:rsidR="00FD5138" w:rsidRPr="00FD5138">
        <w:t xml:space="preserve"> </w:t>
      </w:r>
      <w:hyperlink r:id="rId9" w:history="1">
        <w:r w:rsidR="00FD5138" w:rsidRPr="00FC21B8">
          <w:rPr>
            <w:rStyle w:val="Hyperlink"/>
            <w:rFonts w:ascii="Times New Roman" w:hAnsi="Times New Roman" w:cs="Times New Roman"/>
          </w:rPr>
          <w:t>https://doi.org/10.30954/0974-1712.02.2021.12</w:t>
        </w:r>
      </w:hyperlink>
      <w:r w:rsidR="00FD5138">
        <w:rPr>
          <w:rFonts w:ascii="Times New Roman" w:hAnsi="Times New Roman" w:cs="Times New Roman"/>
        </w:rPr>
        <w:t xml:space="preserve"> </w:t>
      </w:r>
    </w:p>
    <w:p w14:paraId="16E2B8D8" w14:textId="4549EC04" w:rsidR="00E810F7" w:rsidRDefault="00E810F7" w:rsidP="00E810F7">
      <w:pPr>
        <w:pStyle w:val="ListParagraph"/>
        <w:numPr>
          <w:ilvl w:val="0"/>
          <w:numId w:val="2"/>
        </w:numPr>
        <w:spacing w:after="0" w:line="276" w:lineRule="auto"/>
        <w:jc w:val="both"/>
        <w:rPr>
          <w:rFonts w:ascii="Times New Roman" w:hAnsi="Times New Roman" w:cs="Times New Roman"/>
        </w:rPr>
      </w:pPr>
      <w:proofErr w:type="spellStart"/>
      <w:proofErr w:type="gramStart"/>
      <w:r>
        <w:rPr>
          <w:rFonts w:ascii="Times New Roman" w:hAnsi="Times New Roman" w:cs="Times New Roman"/>
        </w:rPr>
        <w:t>Deva</w:t>
      </w:r>
      <w:r w:rsidRPr="00026CC8">
        <w:rPr>
          <w:rFonts w:ascii="Times New Roman" w:hAnsi="Times New Roman" w:cs="Times New Roman"/>
        </w:rPr>
        <w:t>,</w:t>
      </w:r>
      <w:r>
        <w:rPr>
          <w:rFonts w:ascii="Times New Roman" w:hAnsi="Times New Roman" w:cs="Times New Roman"/>
        </w:rPr>
        <w:t>S</w:t>
      </w:r>
      <w:proofErr w:type="spellEnd"/>
      <w:r>
        <w:rPr>
          <w:rFonts w:ascii="Times New Roman" w:hAnsi="Times New Roman" w:cs="Times New Roman"/>
        </w:rPr>
        <w:t>.</w:t>
      </w:r>
      <w:proofErr w:type="gramEnd"/>
      <w:r>
        <w:rPr>
          <w:rFonts w:ascii="Times New Roman" w:hAnsi="Times New Roman" w:cs="Times New Roman"/>
        </w:rPr>
        <w:t>,</w:t>
      </w:r>
      <w:r w:rsidRPr="00026CC8">
        <w:rPr>
          <w:rFonts w:ascii="Times New Roman" w:hAnsi="Times New Roman" w:cs="Times New Roman"/>
        </w:rPr>
        <w:t xml:space="preserve"> Prasanna Lakshmi</w:t>
      </w:r>
      <w:r>
        <w:rPr>
          <w:rFonts w:ascii="Times New Roman" w:hAnsi="Times New Roman" w:cs="Times New Roman"/>
        </w:rPr>
        <w:t>., R</w:t>
      </w:r>
      <w:r w:rsidRPr="00026CC8">
        <w:rPr>
          <w:rFonts w:ascii="Times New Roman" w:hAnsi="Times New Roman" w:cs="Times New Roman"/>
        </w:rPr>
        <w:t xml:space="preserve"> </w:t>
      </w:r>
      <w:r>
        <w:rPr>
          <w:rFonts w:ascii="Times New Roman" w:hAnsi="Times New Roman" w:cs="Times New Roman"/>
        </w:rPr>
        <w:t>a</w:t>
      </w:r>
      <w:r w:rsidRPr="00026CC8">
        <w:rPr>
          <w:rFonts w:ascii="Times New Roman" w:hAnsi="Times New Roman" w:cs="Times New Roman"/>
        </w:rPr>
        <w:t>nd  Jyosthna</w:t>
      </w:r>
      <w:r>
        <w:rPr>
          <w:rFonts w:ascii="Times New Roman" w:hAnsi="Times New Roman" w:cs="Times New Roman"/>
        </w:rPr>
        <w:t>, M.K.2023.</w:t>
      </w:r>
      <w:r w:rsidRPr="00026CC8">
        <w:t xml:space="preserve"> </w:t>
      </w:r>
      <w:r w:rsidRPr="00026CC8">
        <w:rPr>
          <w:rFonts w:ascii="Times New Roman" w:hAnsi="Times New Roman" w:cs="Times New Roman"/>
        </w:rPr>
        <w:t xml:space="preserve">Performance Evaluation </w:t>
      </w:r>
      <w:r>
        <w:rPr>
          <w:rFonts w:ascii="Times New Roman" w:hAnsi="Times New Roman" w:cs="Times New Roman"/>
        </w:rPr>
        <w:t>o</w:t>
      </w:r>
      <w:r w:rsidRPr="00026CC8">
        <w:rPr>
          <w:rFonts w:ascii="Times New Roman" w:hAnsi="Times New Roman" w:cs="Times New Roman"/>
        </w:rPr>
        <w:t xml:space="preserve">f </w:t>
      </w:r>
      <w:r>
        <w:rPr>
          <w:rFonts w:ascii="Times New Roman" w:hAnsi="Times New Roman" w:cs="Times New Roman"/>
        </w:rPr>
        <w:t>g</w:t>
      </w:r>
      <w:r w:rsidRPr="00026CC8">
        <w:rPr>
          <w:rFonts w:ascii="Times New Roman" w:hAnsi="Times New Roman" w:cs="Times New Roman"/>
        </w:rPr>
        <w:t xml:space="preserve">roundnut </w:t>
      </w:r>
      <w:r>
        <w:rPr>
          <w:rFonts w:ascii="Times New Roman" w:hAnsi="Times New Roman" w:cs="Times New Roman"/>
        </w:rPr>
        <w:t>c</w:t>
      </w:r>
      <w:r w:rsidRPr="00026CC8">
        <w:rPr>
          <w:rFonts w:ascii="Times New Roman" w:hAnsi="Times New Roman" w:cs="Times New Roman"/>
        </w:rPr>
        <w:t xml:space="preserve">rop </w:t>
      </w:r>
      <w:r>
        <w:rPr>
          <w:rFonts w:ascii="Times New Roman" w:hAnsi="Times New Roman" w:cs="Times New Roman"/>
        </w:rPr>
        <w:t>v</w:t>
      </w:r>
      <w:r w:rsidRPr="00026CC8">
        <w:rPr>
          <w:rFonts w:ascii="Times New Roman" w:hAnsi="Times New Roman" w:cs="Times New Roman"/>
        </w:rPr>
        <w:t xml:space="preserve">ariety </w:t>
      </w:r>
      <w:proofErr w:type="spellStart"/>
      <w:r>
        <w:rPr>
          <w:rFonts w:ascii="Times New Roman" w:hAnsi="Times New Roman" w:cs="Times New Roman"/>
        </w:rPr>
        <w:t>k</w:t>
      </w:r>
      <w:r w:rsidRPr="00026CC8">
        <w:rPr>
          <w:rFonts w:ascii="Times New Roman" w:hAnsi="Times New Roman" w:cs="Times New Roman"/>
        </w:rPr>
        <w:t>adiri</w:t>
      </w:r>
      <w:proofErr w:type="spellEnd"/>
      <w:r w:rsidRPr="00026CC8">
        <w:rPr>
          <w:rFonts w:ascii="Times New Roman" w:hAnsi="Times New Roman" w:cs="Times New Roman"/>
        </w:rPr>
        <w:t xml:space="preserve"> </w:t>
      </w:r>
      <w:proofErr w:type="spellStart"/>
      <w:r>
        <w:rPr>
          <w:rFonts w:ascii="Times New Roman" w:hAnsi="Times New Roman" w:cs="Times New Roman"/>
        </w:rPr>
        <w:t>l</w:t>
      </w:r>
      <w:r w:rsidRPr="00026CC8">
        <w:rPr>
          <w:rFonts w:ascii="Times New Roman" w:hAnsi="Times New Roman" w:cs="Times New Roman"/>
        </w:rPr>
        <w:t>epakshi</w:t>
      </w:r>
      <w:proofErr w:type="spellEnd"/>
      <w:r w:rsidRPr="00026CC8">
        <w:rPr>
          <w:rFonts w:ascii="Times New Roman" w:hAnsi="Times New Roman" w:cs="Times New Roman"/>
        </w:rPr>
        <w:t xml:space="preserve"> (K 1812) </w:t>
      </w:r>
      <w:r>
        <w:rPr>
          <w:rFonts w:ascii="Times New Roman" w:hAnsi="Times New Roman" w:cs="Times New Roman"/>
        </w:rPr>
        <w:t>i</w:t>
      </w:r>
      <w:r w:rsidRPr="00026CC8">
        <w:rPr>
          <w:rFonts w:ascii="Times New Roman" w:hAnsi="Times New Roman" w:cs="Times New Roman"/>
        </w:rPr>
        <w:t xml:space="preserve">n </w:t>
      </w:r>
      <w:proofErr w:type="spellStart"/>
      <w:r>
        <w:rPr>
          <w:rFonts w:ascii="Times New Roman" w:hAnsi="Times New Roman" w:cs="Times New Roman"/>
        </w:rPr>
        <w:t>c</w:t>
      </w:r>
      <w:r w:rsidRPr="00026CC8">
        <w:rPr>
          <w:rFonts w:ascii="Times New Roman" w:hAnsi="Times New Roman" w:cs="Times New Roman"/>
        </w:rPr>
        <w:t>hittoor</w:t>
      </w:r>
      <w:proofErr w:type="spellEnd"/>
      <w:r w:rsidRPr="00026CC8">
        <w:rPr>
          <w:rFonts w:ascii="Times New Roman" w:hAnsi="Times New Roman" w:cs="Times New Roman"/>
        </w:rPr>
        <w:t xml:space="preserve"> </w:t>
      </w:r>
      <w:r>
        <w:rPr>
          <w:rFonts w:ascii="Times New Roman" w:hAnsi="Times New Roman" w:cs="Times New Roman"/>
        </w:rPr>
        <w:t>d</w:t>
      </w:r>
      <w:r w:rsidRPr="00026CC8">
        <w:rPr>
          <w:rFonts w:ascii="Times New Roman" w:hAnsi="Times New Roman" w:cs="Times New Roman"/>
        </w:rPr>
        <w:t>istrict</w:t>
      </w:r>
      <w:r>
        <w:rPr>
          <w:rFonts w:ascii="Times New Roman" w:hAnsi="Times New Roman" w:cs="Times New Roman"/>
        </w:rPr>
        <w:t>.</w:t>
      </w:r>
      <w:r w:rsidRPr="00026CC8">
        <w:t xml:space="preserve"> </w:t>
      </w:r>
      <w:r w:rsidRPr="00026CC8">
        <w:rPr>
          <w:rFonts w:ascii="Times New Roman" w:hAnsi="Times New Roman" w:cs="Times New Roman"/>
        </w:rPr>
        <w:t>J</w:t>
      </w:r>
      <w:r>
        <w:rPr>
          <w:rFonts w:ascii="Times New Roman" w:hAnsi="Times New Roman" w:cs="Times New Roman"/>
        </w:rPr>
        <w:t xml:space="preserve">ournal </w:t>
      </w:r>
      <w:proofErr w:type="gramStart"/>
      <w:r>
        <w:rPr>
          <w:rFonts w:ascii="Times New Roman" w:hAnsi="Times New Roman" w:cs="Times New Roman"/>
        </w:rPr>
        <w:t xml:space="preserve">of </w:t>
      </w:r>
      <w:r w:rsidRPr="00026CC8">
        <w:rPr>
          <w:rFonts w:ascii="Times New Roman" w:hAnsi="Times New Roman" w:cs="Times New Roman"/>
        </w:rPr>
        <w:t xml:space="preserve"> Res</w:t>
      </w:r>
      <w:r>
        <w:rPr>
          <w:rFonts w:ascii="Times New Roman" w:hAnsi="Times New Roman" w:cs="Times New Roman"/>
        </w:rPr>
        <w:t>earch</w:t>
      </w:r>
      <w:proofErr w:type="gramEnd"/>
      <w:r>
        <w:rPr>
          <w:rFonts w:ascii="Times New Roman" w:hAnsi="Times New Roman" w:cs="Times New Roman"/>
        </w:rPr>
        <w:t>,</w:t>
      </w:r>
      <w:r w:rsidRPr="00026CC8">
        <w:rPr>
          <w:rFonts w:ascii="Times New Roman" w:hAnsi="Times New Roman" w:cs="Times New Roman"/>
        </w:rPr>
        <w:t xml:space="preserve"> ANGRAU 51 (2) 33-38</w:t>
      </w:r>
      <w:r>
        <w:rPr>
          <w:rFonts w:ascii="Times New Roman" w:hAnsi="Times New Roman" w:cs="Times New Roman"/>
        </w:rPr>
        <w:t>.</w:t>
      </w:r>
      <w:r w:rsidR="00FD5138" w:rsidRPr="00FD5138">
        <w:t xml:space="preserve"> </w:t>
      </w:r>
      <w:hyperlink r:id="rId10" w:history="1">
        <w:r w:rsidR="00FD5138" w:rsidRPr="00FC21B8">
          <w:rPr>
            <w:rStyle w:val="Hyperlink"/>
            <w:rFonts w:ascii="Times New Roman" w:hAnsi="Times New Roman" w:cs="Times New Roman"/>
          </w:rPr>
          <w:t>https://doi.org/10.58537/jorangrau.2023.51.2.04</w:t>
        </w:r>
      </w:hyperlink>
      <w:r w:rsidR="00FD5138">
        <w:rPr>
          <w:rFonts w:ascii="Times New Roman" w:hAnsi="Times New Roman" w:cs="Times New Roman"/>
        </w:rPr>
        <w:t xml:space="preserve"> </w:t>
      </w:r>
    </w:p>
    <w:p w14:paraId="4449096E" w14:textId="327280AB" w:rsidR="00AF666A" w:rsidRPr="00205D60" w:rsidRDefault="00AF666A" w:rsidP="00E810F7">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b/>
          <w:bCs/>
        </w:rPr>
        <w:t xml:space="preserve">District hand book of statistics, 2022. </w:t>
      </w:r>
      <w:r w:rsidRPr="00AF666A">
        <w:rPr>
          <w:rFonts w:ascii="Times New Roman" w:hAnsi="Times New Roman" w:cs="Times New Roman"/>
        </w:rPr>
        <w:t>Chief Planning Officer, Alluri Sitharama Raju District</w:t>
      </w:r>
      <w:r>
        <w:rPr>
          <w:rFonts w:ascii="Times New Roman" w:hAnsi="Times New Roman" w:cs="Times New Roman"/>
        </w:rPr>
        <w:t>. (</w:t>
      </w:r>
      <w:hyperlink r:id="rId11" w:history="1">
        <w:r w:rsidRPr="00AF666A">
          <w:rPr>
            <w:rStyle w:val="Hyperlink"/>
            <w:rFonts w:ascii="Times New Roman" w:hAnsi="Times New Roman" w:cs="Times New Roman"/>
          </w:rPr>
          <w:t xml:space="preserve">DISTRICT HANDBOOK OF STATISTICS | Alluri </w:t>
        </w:r>
        <w:proofErr w:type="spellStart"/>
        <w:r w:rsidRPr="00AF666A">
          <w:rPr>
            <w:rStyle w:val="Hyperlink"/>
            <w:rFonts w:ascii="Times New Roman" w:hAnsi="Times New Roman" w:cs="Times New Roman"/>
          </w:rPr>
          <w:t>Sitharamaraju</w:t>
        </w:r>
        <w:proofErr w:type="spellEnd"/>
        <w:r w:rsidRPr="00AF666A">
          <w:rPr>
            <w:rStyle w:val="Hyperlink"/>
            <w:rFonts w:ascii="Times New Roman" w:hAnsi="Times New Roman" w:cs="Times New Roman"/>
          </w:rPr>
          <w:t xml:space="preserve"> District | India</w:t>
        </w:r>
      </w:hyperlink>
      <w:r>
        <w:rPr>
          <w:rFonts w:ascii="Times New Roman" w:hAnsi="Times New Roman" w:cs="Times New Roman"/>
        </w:rPr>
        <w:t>)</w:t>
      </w:r>
    </w:p>
    <w:p w14:paraId="18A2E7BA" w14:textId="55B1D611"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 xml:space="preserve">Jyothi, S.V, Madhavi, T., </w:t>
      </w:r>
      <w:proofErr w:type="gramStart"/>
      <w:r w:rsidRPr="00205D60">
        <w:rPr>
          <w:rFonts w:ascii="Times New Roman" w:hAnsi="Times New Roman" w:cs="Times New Roman"/>
        </w:rPr>
        <w:t xml:space="preserve">and  </w:t>
      </w:r>
      <w:proofErr w:type="spellStart"/>
      <w:r w:rsidRPr="00205D60">
        <w:rPr>
          <w:rFonts w:ascii="Times New Roman" w:hAnsi="Times New Roman" w:cs="Times New Roman"/>
        </w:rPr>
        <w:t>Sashikala</w:t>
      </w:r>
      <w:proofErr w:type="gramEnd"/>
      <w:r w:rsidRPr="00205D60">
        <w:rPr>
          <w:rFonts w:ascii="Times New Roman" w:hAnsi="Times New Roman" w:cs="Times New Roman"/>
        </w:rPr>
        <w:t>,G</w:t>
      </w:r>
      <w:proofErr w:type="spellEnd"/>
      <w:r w:rsidRPr="00205D60">
        <w:rPr>
          <w:rFonts w:ascii="Times New Roman" w:hAnsi="Times New Roman" w:cs="Times New Roman"/>
        </w:rPr>
        <w:t xml:space="preserve">.  2023. Performance of Kadiri Lepakshi (K-1812) groundnut in </w:t>
      </w:r>
      <w:proofErr w:type="spellStart"/>
      <w:r w:rsidRPr="00205D60">
        <w:rPr>
          <w:rFonts w:ascii="Times New Roman" w:hAnsi="Times New Roman" w:cs="Times New Roman"/>
        </w:rPr>
        <w:t>Anantapuram</w:t>
      </w:r>
      <w:proofErr w:type="spellEnd"/>
      <w:r w:rsidRPr="00205D60">
        <w:rPr>
          <w:rFonts w:ascii="Times New Roman" w:hAnsi="Times New Roman" w:cs="Times New Roman"/>
        </w:rPr>
        <w:t xml:space="preserve"> district of Andhra Pradesh, India. Ecology Environment &amp; Conservation. 29 (3</w:t>
      </w:r>
      <w:proofErr w:type="gramStart"/>
      <w:r w:rsidRPr="00205D60">
        <w:rPr>
          <w:rFonts w:ascii="Times New Roman" w:hAnsi="Times New Roman" w:cs="Times New Roman"/>
        </w:rPr>
        <w:t>) :</w:t>
      </w:r>
      <w:proofErr w:type="gramEnd"/>
      <w:r w:rsidRPr="00205D60">
        <w:rPr>
          <w:rFonts w:ascii="Times New Roman" w:hAnsi="Times New Roman" w:cs="Times New Roman"/>
        </w:rPr>
        <w:t xml:space="preserve"> 2023; pp. (1157-1163)</w:t>
      </w:r>
      <w:r w:rsidR="00BE4836" w:rsidRPr="00BE4836">
        <w:t xml:space="preserve"> </w:t>
      </w:r>
      <w:hyperlink r:id="rId12" w:history="1">
        <w:r w:rsidR="00BE4836" w:rsidRPr="00FC21B8">
          <w:rPr>
            <w:rStyle w:val="Hyperlink"/>
            <w:rFonts w:ascii="Times New Roman" w:hAnsi="Times New Roman" w:cs="Times New Roman"/>
          </w:rPr>
          <w:t>https://doi.org/10.53550/EEC.2023.v29i03.023</w:t>
        </w:r>
      </w:hyperlink>
      <w:r w:rsidR="00BE4836">
        <w:rPr>
          <w:rFonts w:ascii="Times New Roman" w:hAnsi="Times New Roman" w:cs="Times New Roman"/>
        </w:rPr>
        <w:t xml:space="preserve"> </w:t>
      </w:r>
    </w:p>
    <w:p w14:paraId="7A33D970" w14:textId="569C06AD"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Lakhani, S.H., Baraiya, K.P. and Baraiya, A.K. 2020. Impact of cluster frontline demonstrations (CFLDS) on kharif groundnut productivity and income of farme</w:t>
      </w:r>
      <w:r w:rsidR="000B6DC7">
        <w:rPr>
          <w:rFonts w:ascii="Times New Roman" w:hAnsi="Times New Roman" w:cs="Times New Roman"/>
        </w:rPr>
        <w:t>rs</w:t>
      </w:r>
      <w:r w:rsidRPr="00205D60">
        <w:rPr>
          <w:rFonts w:ascii="Times New Roman" w:hAnsi="Times New Roman" w:cs="Times New Roman"/>
        </w:rPr>
        <w:t xml:space="preserve"> in Jamnagar district of </w:t>
      </w:r>
      <w:r w:rsidRPr="00205D60">
        <w:rPr>
          <w:rFonts w:ascii="Times New Roman" w:hAnsi="Times New Roman" w:cs="Times New Roman"/>
        </w:rPr>
        <w:lastRenderedPageBreak/>
        <w:t>Gujarat. International Journal of Current Microbiology and Applied Sciences. 9(11): 1116-1120.</w:t>
      </w:r>
      <w:r w:rsidR="00D038D9" w:rsidRPr="00D038D9">
        <w:t xml:space="preserve"> </w:t>
      </w:r>
      <w:hyperlink r:id="rId13" w:history="1">
        <w:r w:rsidR="00D038D9" w:rsidRPr="00FC21B8">
          <w:rPr>
            <w:rStyle w:val="Hyperlink"/>
            <w:rFonts w:ascii="Times New Roman" w:hAnsi="Times New Roman" w:cs="Times New Roman"/>
          </w:rPr>
          <w:t>https://doi.org/https://doi.org/10.20546/ijcmas.2020.911.129</w:t>
        </w:r>
      </w:hyperlink>
      <w:r w:rsidR="00D038D9">
        <w:rPr>
          <w:rFonts w:ascii="Times New Roman" w:hAnsi="Times New Roman" w:cs="Times New Roman"/>
        </w:rPr>
        <w:t xml:space="preserve"> </w:t>
      </w:r>
    </w:p>
    <w:p w14:paraId="32299D5E" w14:textId="344C431D" w:rsidR="00843E14" w:rsidRDefault="00843E14" w:rsidP="00205D60">
      <w:pPr>
        <w:pStyle w:val="ListParagraph"/>
        <w:numPr>
          <w:ilvl w:val="0"/>
          <w:numId w:val="2"/>
        </w:numPr>
        <w:spacing w:after="0" w:line="276" w:lineRule="auto"/>
        <w:jc w:val="both"/>
        <w:rPr>
          <w:rFonts w:ascii="Times New Roman" w:hAnsi="Times New Roman" w:cs="Times New Roman"/>
        </w:rPr>
      </w:pPr>
      <w:proofErr w:type="spellStart"/>
      <w:r w:rsidRPr="005154FA">
        <w:rPr>
          <w:rFonts w:ascii="Times New Roman" w:hAnsi="Times New Roman" w:cs="Times New Roman"/>
          <w:color w:val="000000" w:themeColor="text1"/>
        </w:rPr>
        <w:t>Mandavkar</w:t>
      </w:r>
      <w:proofErr w:type="spellEnd"/>
      <w:r w:rsidRPr="005154FA">
        <w:rPr>
          <w:rFonts w:ascii="Times New Roman" w:hAnsi="Times New Roman" w:cs="Times New Roman"/>
          <w:color w:val="000000" w:themeColor="text1"/>
        </w:rPr>
        <w:t xml:space="preserve"> PM, Sawant PA, Mahadik P. Evaluation of </w:t>
      </w:r>
      <w:proofErr w:type="gramStart"/>
      <w:r w:rsidRPr="005154FA">
        <w:rPr>
          <w:rFonts w:ascii="Times New Roman" w:hAnsi="Times New Roman" w:cs="Times New Roman"/>
          <w:color w:val="000000" w:themeColor="text1"/>
        </w:rPr>
        <w:t>front line</w:t>
      </w:r>
      <w:proofErr w:type="gramEnd"/>
      <w:r w:rsidRPr="005154FA">
        <w:rPr>
          <w:rFonts w:ascii="Times New Roman" w:hAnsi="Times New Roman" w:cs="Times New Roman"/>
          <w:color w:val="000000" w:themeColor="text1"/>
        </w:rPr>
        <w:t xml:space="preserve"> demonstration trial on rice in Raigad district of </w:t>
      </w:r>
      <w:r w:rsidRPr="00205D60">
        <w:rPr>
          <w:rFonts w:ascii="Times New Roman" w:hAnsi="Times New Roman" w:cs="Times New Roman"/>
        </w:rPr>
        <w:t xml:space="preserve">Maharashtra. Rajasthan J Ext Educ. </w:t>
      </w:r>
      <w:proofErr w:type="gramStart"/>
      <w:r w:rsidRPr="00205D60">
        <w:rPr>
          <w:rFonts w:ascii="Times New Roman" w:hAnsi="Times New Roman" w:cs="Times New Roman"/>
        </w:rPr>
        <w:t>2012;20:4</w:t>
      </w:r>
      <w:proofErr w:type="gramEnd"/>
      <w:r w:rsidRPr="00205D60">
        <w:rPr>
          <w:rFonts w:ascii="Times New Roman" w:hAnsi="Times New Roman" w:cs="Times New Roman"/>
        </w:rPr>
        <w:t>-6.</w:t>
      </w:r>
    </w:p>
    <w:p w14:paraId="5E32AD02" w14:textId="03E17910" w:rsidR="000B6DC7" w:rsidRDefault="000B6DC7" w:rsidP="00205D60">
      <w:pPr>
        <w:pStyle w:val="ListParagraph"/>
        <w:numPr>
          <w:ilvl w:val="0"/>
          <w:numId w:val="2"/>
        </w:numPr>
        <w:spacing w:after="0" w:line="276" w:lineRule="auto"/>
        <w:jc w:val="both"/>
        <w:rPr>
          <w:rFonts w:ascii="Times New Roman" w:hAnsi="Times New Roman" w:cs="Times New Roman"/>
        </w:rPr>
      </w:pPr>
      <w:proofErr w:type="spellStart"/>
      <w:proofErr w:type="gramStart"/>
      <w:r w:rsidRPr="000B6DC7">
        <w:rPr>
          <w:rFonts w:ascii="Times New Roman" w:hAnsi="Times New Roman" w:cs="Times New Roman"/>
        </w:rPr>
        <w:t>Nagaraju,</w:t>
      </w:r>
      <w:r>
        <w:rPr>
          <w:rFonts w:ascii="Times New Roman" w:hAnsi="Times New Roman" w:cs="Times New Roman"/>
        </w:rPr>
        <w:t>A</w:t>
      </w:r>
      <w:proofErr w:type="spellEnd"/>
      <w:r>
        <w:rPr>
          <w:rFonts w:ascii="Times New Roman" w:hAnsi="Times New Roman" w:cs="Times New Roman"/>
        </w:rPr>
        <w:t>.</w:t>
      </w:r>
      <w:proofErr w:type="gramEnd"/>
      <w:r>
        <w:rPr>
          <w:rFonts w:ascii="Times New Roman" w:hAnsi="Times New Roman" w:cs="Times New Roman"/>
        </w:rPr>
        <w:t xml:space="preserve">, </w:t>
      </w:r>
      <w:r w:rsidRPr="000B6DC7">
        <w:rPr>
          <w:rFonts w:ascii="Times New Roman" w:hAnsi="Times New Roman" w:cs="Times New Roman"/>
        </w:rPr>
        <w:t xml:space="preserve"> </w:t>
      </w:r>
      <w:proofErr w:type="spellStart"/>
      <w:r w:rsidRPr="000B6DC7">
        <w:rPr>
          <w:rFonts w:ascii="Times New Roman" w:hAnsi="Times New Roman" w:cs="Times New Roman"/>
        </w:rPr>
        <w:t>Rajeshwar</w:t>
      </w:r>
      <w:proofErr w:type="spellEnd"/>
      <w:r w:rsidRPr="000B6DC7">
        <w:rPr>
          <w:rFonts w:ascii="Times New Roman" w:hAnsi="Times New Roman" w:cs="Times New Roman"/>
        </w:rPr>
        <w:t xml:space="preserve"> </w:t>
      </w:r>
      <w:proofErr w:type="spellStart"/>
      <w:r w:rsidRPr="000B6DC7">
        <w:rPr>
          <w:rFonts w:ascii="Times New Roman" w:hAnsi="Times New Roman" w:cs="Times New Roman"/>
        </w:rPr>
        <w:t>Naik,</w:t>
      </w:r>
      <w:r>
        <w:rPr>
          <w:rFonts w:ascii="Times New Roman" w:hAnsi="Times New Roman" w:cs="Times New Roman"/>
        </w:rPr>
        <w:t>M</w:t>
      </w:r>
      <w:proofErr w:type="spellEnd"/>
      <w:r>
        <w:rPr>
          <w:rFonts w:ascii="Times New Roman" w:hAnsi="Times New Roman" w:cs="Times New Roman"/>
        </w:rPr>
        <w:t xml:space="preserve">., </w:t>
      </w:r>
      <w:proofErr w:type="spellStart"/>
      <w:r w:rsidRPr="000B6DC7">
        <w:rPr>
          <w:rFonts w:ascii="Times New Roman" w:hAnsi="Times New Roman" w:cs="Times New Roman"/>
        </w:rPr>
        <w:t>Shivakrishna,</w:t>
      </w:r>
      <w:r>
        <w:rPr>
          <w:rFonts w:ascii="Times New Roman" w:hAnsi="Times New Roman" w:cs="Times New Roman"/>
        </w:rPr>
        <w:t>K</w:t>
      </w:r>
      <w:proofErr w:type="spellEnd"/>
      <w:r>
        <w:rPr>
          <w:rFonts w:ascii="Times New Roman" w:hAnsi="Times New Roman" w:cs="Times New Roman"/>
        </w:rPr>
        <w:t xml:space="preserve">., </w:t>
      </w:r>
      <w:proofErr w:type="spellStart"/>
      <w:r w:rsidRPr="000B6DC7">
        <w:rPr>
          <w:rFonts w:ascii="Times New Roman" w:hAnsi="Times New Roman" w:cs="Times New Roman"/>
        </w:rPr>
        <w:t>Thirupathi,</w:t>
      </w:r>
      <w:r>
        <w:rPr>
          <w:rFonts w:ascii="Times New Roman" w:hAnsi="Times New Roman" w:cs="Times New Roman"/>
        </w:rPr>
        <w:t>I</w:t>
      </w:r>
      <w:proofErr w:type="spellEnd"/>
      <w:r>
        <w:rPr>
          <w:rFonts w:ascii="Times New Roman" w:hAnsi="Times New Roman" w:cs="Times New Roman"/>
        </w:rPr>
        <w:t xml:space="preserve">., </w:t>
      </w:r>
      <w:r w:rsidRPr="000B6DC7">
        <w:rPr>
          <w:rFonts w:ascii="Times New Roman" w:hAnsi="Times New Roman" w:cs="Times New Roman"/>
        </w:rPr>
        <w:t>Sravanthi</w:t>
      </w:r>
      <w:r>
        <w:rPr>
          <w:rFonts w:ascii="Times New Roman" w:hAnsi="Times New Roman" w:cs="Times New Roman"/>
        </w:rPr>
        <w:t>, U</w:t>
      </w:r>
      <w:r w:rsidRPr="000B6DC7">
        <w:rPr>
          <w:rFonts w:ascii="Times New Roman" w:hAnsi="Times New Roman" w:cs="Times New Roman"/>
        </w:rPr>
        <w:t xml:space="preserve"> and Priya Sugandhi</w:t>
      </w:r>
      <w:r>
        <w:rPr>
          <w:rFonts w:ascii="Times New Roman" w:hAnsi="Times New Roman" w:cs="Times New Roman"/>
        </w:rPr>
        <w:t>, G.2024.</w:t>
      </w:r>
      <w:r w:rsidRPr="000B6DC7">
        <w:t xml:space="preserve"> </w:t>
      </w:r>
      <w:r w:rsidRPr="000B6DC7">
        <w:rPr>
          <w:rFonts w:ascii="Times New Roman" w:hAnsi="Times New Roman" w:cs="Times New Roman"/>
        </w:rPr>
        <w:t xml:space="preserve">Analysis of the yield impact of groundnut under cluster frontline demonstrations on oilseeds in </w:t>
      </w:r>
      <w:proofErr w:type="spellStart"/>
      <w:r w:rsidRPr="000B6DC7">
        <w:rPr>
          <w:rFonts w:ascii="Times New Roman" w:hAnsi="Times New Roman" w:cs="Times New Roman"/>
        </w:rPr>
        <w:t>Mancherial</w:t>
      </w:r>
      <w:proofErr w:type="spellEnd"/>
      <w:r w:rsidRPr="000B6DC7">
        <w:rPr>
          <w:rFonts w:ascii="Times New Roman" w:hAnsi="Times New Roman" w:cs="Times New Roman"/>
        </w:rPr>
        <w:t xml:space="preserve"> district of Telangana state</w:t>
      </w:r>
      <w:r>
        <w:rPr>
          <w:rFonts w:ascii="Times New Roman" w:hAnsi="Times New Roman" w:cs="Times New Roman"/>
        </w:rPr>
        <w:t xml:space="preserve">. </w:t>
      </w:r>
      <w:r w:rsidRPr="000B6DC7">
        <w:rPr>
          <w:rFonts w:ascii="Times New Roman" w:hAnsi="Times New Roman" w:cs="Times New Roman"/>
        </w:rPr>
        <w:t>International Journal of Research in Agronomy</w:t>
      </w:r>
      <w:r>
        <w:rPr>
          <w:rFonts w:ascii="Times New Roman" w:hAnsi="Times New Roman" w:cs="Times New Roman"/>
        </w:rPr>
        <w:t>.</w:t>
      </w:r>
      <w:r w:rsidRPr="000B6DC7">
        <w:rPr>
          <w:rFonts w:ascii="Times New Roman" w:hAnsi="Times New Roman" w:cs="Times New Roman"/>
        </w:rPr>
        <w:t xml:space="preserve"> 7(12): 970-973</w:t>
      </w:r>
      <w:r w:rsidR="00026CC8">
        <w:rPr>
          <w:rFonts w:ascii="Times New Roman" w:hAnsi="Times New Roman" w:cs="Times New Roman"/>
        </w:rPr>
        <w:t>.</w:t>
      </w:r>
      <w:r w:rsidR="003F5EA8" w:rsidRPr="003F5EA8">
        <w:t xml:space="preserve"> </w:t>
      </w:r>
      <w:hyperlink r:id="rId14" w:history="1">
        <w:r w:rsidR="003F5EA8" w:rsidRPr="00FC21B8">
          <w:rPr>
            <w:rStyle w:val="Hyperlink"/>
            <w:rFonts w:ascii="Times New Roman" w:hAnsi="Times New Roman" w:cs="Times New Roman"/>
          </w:rPr>
          <w:t>https://doi.org/10.33545/2618060X.2024.v7.i12l.2397</w:t>
        </w:r>
      </w:hyperlink>
      <w:r w:rsidR="003F5EA8">
        <w:rPr>
          <w:rFonts w:ascii="Times New Roman" w:hAnsi="Times New Roman" w:cs="Times New Roman"/>
        </w:rPr>
        <w:t xml:space="preserve"> </w:t>
      </w:r>
    </w:p>
    <w:p w14:paraId="0FB80AE1" w14:textId="202942E7" w:rsidR="00026CC8" w:rsidRDefault="00E810F7" w:rsidP="00E810F7">
      <w:pPr>
        <w:pStyle w:val="ListParagraph"/>
        <w:numPr>
          <w:ilvl w:val="0"/>
          <w:numId w:val="2"/>
        </w:numPr>
        <w:spacing w:after="0" w:line="276" w:lineRule="auto"/>
        <w:jc w:val="both"/>
        <w:rPr>
          <w:rFonts w:ascii="Times New Roman" w:hAnsi="Times New Roman" w:cs="Times New Roman"/>
        </w:rPr>
      </w:pPr>
      <w:r w:rsidRPr="00E810F7">
        <w:rPr>
          <w:rFonts w:ascii="Times New Roman" w:hAnsi="Times New Roman" w:cs="Times New Roman"/>
        </w:rPr>
        <w:t>Patil SS, Mahale MM, Chavan SS. Impact of frontline demonstrations (FLDs) on oilseed crops in South Konkan Coastal Zone of Maharashtra. Curr Agric Res J. 2018;6(3):355-364.</w:t>
      </w:r>
      <w:r w:rsidR="000C20DF" w:rsidRPr="000C20DF">
        <w:t xml:space="preserve"> </w:t>
      </w:r>
      <w:hyperlink r:id="rId15" w:history="1">
        <w:r w:rsidR="000C20DF" w:rsidRPr="00FC21B8">
          <w:rPr>
            <w:rStyle w:val="Hyperlink"/>
            <w:rFonts w:ascii="Times New Roman" w:hAnsi="Times New Roman" w:cs="Times New Roman"/>
          </w:rPr>
          <w:t>https://doi.org/10.12944/CARJ.6.3.14</w:t>
        </w:r>
      </w:hyperlink>
      <w:r w:rsidR="000C20DF">
        <w:rPr>
          <w:rFonts w:ascii="Times New Roman" w:hAnsi="Times New Roman" w:cs="Times New Roman"/>
        </w:rPr>
        <w:t xml:space="preserve"> </w:t>
      </w:r>
    </w:p>
    <w:p w14:paraId="206950E0" w14:textId="7BC3D484" w:rsidR="00685829" w:rsidRDefault="00685829" w:rsidP="00E810F7">
      <w:pPr>
        <w:pStyle w:val="ListParagraph"/>
        <w:numPr>
          <w:ilvl w:val="0"/>
          <w:numId w:val="2"/>
        </w:numPr>
        <w:spacing w:after="0" w:line="276" w:lineRule="auto"/>
        <w:jc w:val="both"/>
        <w:rPr>
          <w:rFonts w:ascii="Times New Roman" w:hAnsi="Times New Roman" w:cs="Times New Roman"/>
        </w:rPr>
      </w:pPr>
      <w:r w:rsidRPr="00685829">
        <w:rPr>
          <w:rFonts w:ascii="Times New Roman" w:hAnsi="Times New Roman" w:cs="Times New Roman"/>
        </w:rPr>
        <w:t>Pawar Y, Malve SH, Patel GJ.</w:t>
      </w:r>
      <w:r>
        <w:rPr>
          <w:rFonts w:ascii="Times New Roman" w:hAnsi="Times New Roman" w:cs="Times New Roman"/>
        </w:rPr>
        <w:t>2027.</w:t>
      </w:r>
      <w:r w:rsidRPr="00685829">
        <w:rPr>
          <w:rFonts w:ascii="Times New Roman" w:hAnsi="Times New Roman" w:cs="Times New Roman"/>
        </w:rPr>
        <w:t xml:space="preserve"> Assessing yield gap analysis of groundnut through cluster frontline demonstration in </w:t>
      </w:r>
      <w:proofErr w:type="spellStart"/>
      <w:r w:rsidRPr="00685829">
        <w:rPr>
          <w:rFonts w:ascii="Times New Roman" w:hAnsi="Times New Roman" w:cs="Times New Roman"/>
        </w:rPr>
        <w:t>Banaskantha</w:t>
      </w:r>
      <w:proofErr w:type="spellEnd"/>
      <w:r w:rsidRPr="00685829">
        <w:rPr>
          <w:rFonts w:ascii="Times New Roman" w:hAnsi="Times New Roman" w:cs="Times New Roman"/>
        </w:rPr>
        <w:t xml:space="preserve"> District of Gujarat. National Seminar on International Journal of Research in Agronomy https://www.agronomyjournals.com Extension Plus: Expanding the Horizons of Extension for Holistic Agricultural Development: Gujarat J Ext </w:t>
      </w:r>
      <w:proofErr w:type="gramStart"/>
      <w:r w:rsidRPr="00685829">
        <w:rPr>
          <w:rFonts w:ascii="Times New Roman" w:hAnsi="Times New Roman" w:cs="Times New Roman"/>
        </w:rPr>
        <w:t>Educ.(</w:t>
      </w:r>
      <w:proofErr w:type="gramEnd"/>
      <w:r w:rsidRPr="00685829">
        <w:rPr>
          <w:rFonts w:ascii="Times New Roman" w:hAnsi="Times New Roman" w:cs="Times New Roman"/>
        </w:rPr>
        <w:t>Special issue):32-35.</w:t>
      </w:r>
      <w:r w:rsidR="00C46B47" w:rsidRPr="00C46B47">
        <w:t xml:space="preserve"> </w:t>
      </w:r>
      <w:hyperlink r:id="rId16" w:history="1">
        <w:r w:rsidR="00C46B47" w:rsidRPr="00FC21B8">
          <w:rPr>
            <w:rStyle w:val="Hyperlink"/>
            <w:rFonts w:ascii="Times New Roman" w:hAnsi="Times New Roman" w:cs="Times New Roman"/>
          </w:rPr>
          <w:t>https://www.gjee.in/april_2017.php</w:t>
        </w:r>
      </w:hyperlink>
      <w:r w:rsidR="00C46B47">
        <w:rPr>
          <w:rFonts w:ascii="Times New Roman" w:hAnsi="Times New Roman" w:cs="Times New Roman"/>
        </w:rPr>
        <w:t xml:space="preserve"> </w:t>
      </w:r>
    </w:p>
    <w:p w14:paraId="68397388" w14:textId="33705DEA" w:rsidR="00685829" w:rsidRDefault="00685829" w:rsidP="00E810F7">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P</w:t>
      </w:r>
      <w:r w:rsidRPr="00685829">
        <w:rPr>
          <w:rFonts w:ascii="Times New Roman" w:hAnsi="Times New Roman" w:cs="Times New Roman"/>
        </w:rPr>
        <w:t>awar Y, Malve SH, Chaudhary FK, Umesh D, Patel GJ.</w:t>
      </w:r>
      <w:r>
        <w:rPr>
          <w:rFonts w:ascii="Times New Roman" w:hAnsi="Times New Roman" w:cs="Times New Roman"/>
        </w:rPr>
        <w:t>2018.</w:t>
      </w:r>
      <w:r w:rsidRPr="00685829">
        <w:rPr>
          <w:rFonts w:ascii="Times New Roman" w:hAnsi="Times New Roman" w:cs="Times New Roman"/>
        </w:rPr>
        <w:t xml:space="preserve"> Yield gap analysis of groundnut through cluster front line demonstration under North Gujarat condition.</w:t>
      </w:r>
      <w:r w:rsidR="009722BF">
        <w:rPr>
          <w:rFonts w:ascii="Times New Roman" w:hAnsi="Times New Roman" w:cs="Times New Roman"/>
        </w:rPr>
        <w:t xml:space="preserve"> </w:t>
      </w:r>
      <w:proofErr w:type="spellStart"/>
      <w:r w:rsidRPr="00685829">
        <w:rPr>
          <w:rFonts w:ascii="Times New Roman" w:hAnsi="Times New Roman" w:cs="Times New Roman"/>
        </w:rPr>
        <w:t>Multilogic</w:t>
      </w:r>
      <w:proofErr w:type="spellEnd"/>
      <w:r w:rsidRPr="00685829">
        <w:rPr>
          <w:rFonts w:ascii="Times New Roman" w:hAnsi="Times New Roman" w:cs="Times New Roman"/>
        </w:rPr>
        <w:t xml:space="preserve"> Sci. ;7(25):177-179.</w:t>
      </w:r>
      <w:hyperlink r:id="rId17" w:history="1">
        <w:r w:rsidR="009722BF" w:rsidRPr="00FC21B8">
          <w:rPr>
            <w:rStyle w:val="Hyperlink"/>
            <w:rFonts w:ascii="Times New Roman" w:hAnsi="Times New Roman" w:cs="Times New Roman"/>
          </w:rPr>
          <w:t>https://www.researchgate.net/publication/329528994_YIELD_GAP_ANALYSIS_OF_GROUNDNUT_THROUGH_CLUSTER_FRONT_LINE_DEMONSTRATION_UNDER_NORTH_GUJARAT_CONDITION</w:t>
        </w:r>
      </w:hyperlink>
      <w:r w:rsidR="00B93C19">
        <w:rPr>
          <w:rFonts w:ascii="Times New Roman" w:hAnsi="Times New Roman" w:cs="Times New Roman"/>
        </w:rPr>
        <w:t xml:space="preserve"> </w:t>
      </w:r>
    </w:p>
    <w:p w14:paraId="28125304" w14:textId="5237040E" w:rsidR="00E810F7" w:rsidRPr="00E810F7" w:rsidRDefault="00E810F7" w:rsidP="00E810F7">
      <w:pPr>
        <w:pStyle w:val="ListParagraph"/>
        <w:numPr>
          <w:ilvl w:val="0"/>
          <w:numId w:val="2"/>
        </w:numPr>
        <w:spacing w:after="0" w:line="276" w:lineRule="auto"/>
        <w:jc w:val="both"/>
        <w:rPr>
          <w:rFonts w:ascii="Times New Roman" w:hAnsi="Times New Roman" w:cs="Times New Roman"/>
        </w:rPr>
      </w:pPr>
      <w:proofErr w:type="spellStart"/>
      <w:r w:rsidRPr="00E810F7">
        <w:rPr>
          <w:rFonts w:ascii="Times New Roman" w:hAnsi="Times New Roman" w:cs="Times New Roman"/>
        </w:rPr>
        <w:t>Shaktawat</w:t>
      </w:r>
      <w:proofErr w:type="spellEnd"/>
      <w:r w:rsidRPr="00E810F7">
        <w:rPr>
          <w:rFonts w:ascii="Times New Roman" w:hAnsi="Times New Roman" w:cs="Times New Roman"/>
        </w:rPr>
        <w:t xml:space="preserve"> RPS, </w:t>
      </w:r>
      <w:proofErr w:type="spellStart"/>
      <w:r w:rsidRPr="00E810F7">
        <w:rPr>
          <w:rFonts w:ascii="Times New Roman" w:hAnsi="Times New Roman" w:cs="Times New Roman"/>
        </w:rPr>
        <w:t>Chundawat</w:t>
      </w:r>
      <w:proofErr w:type="spellEnd"/>
      <w:r w:rsidRPr="00E810F7">
        <w:rPr>
          <w:rFonts w:ascii="Times New Roman" w:hAnsi="Times New Roman" w:cs="Times New Roman"/>
        </w:rPr>
        <w:t xml:space="preserve"> GS. Technological and extension yield gaps in oilseeds crops in </w:t>
      </w:r>
      <w:proofErr w:type="spellStart"/>
      <w:r w:rsidRPr="00E810F7">
        <w:rPr>
          <w:rFonts w:ascii="Times New Roman" w:hAnsi="Times New Roman" w:cs="Times New Roman"/>
        </w:rPr>
        <w:t>Mandsaur</w:t>
      </w:r>
      <w:proofErr w:type="spellEnd"/>
      <w:r w:rsidRPr="00E810F7">
        <w:rPr>
          <w:rFonts w:ascii="Times New Roman" w:hAnsi="Times New Roman" w:cs="Times New Roman"/>
        </w:rPr>
        <w:t xml:space="preserve"> District of Madhya Pradesh. J Krishi Vigyan. 2021;9(2):234-237.</w:t>
      </w:r>
      <w:r w:rsidR="009722BF" w:rsidRPr="009722BF">
        <w:t xml:space="preserve"> </w:t>
      </w:r>
      <w:hyperlink r:id="rId18" w:history="1">
        <w:r w:rsidR="009722BF" w:rsidRPr="00FC21B8">
          <w:rPr>
            <w:rStyle w:val="Hyperlink"/>
            <w:rFonts w:ascii="Times New Roman" w:hAnsi="Times New Roman" w:cs="Times New Roman"/>
          </w:rPr>
          <w:t>https://doi.org/10.5958/2349-4433.2021.00043.X</w:t>
        </w:r>
      </w:hyperlink>
      <w:r w:rsidR="009722BF">
        <w:rPr>
          <w:rFonts w:ascii="Times New Roman" w:hAnsi="Times New Roman" w:cs="Times New Roman"/>
        </w:rPr>
        <w:t xml:space="preserve"> </w:t>
      </w:r>
    </w:p>
    <w:p w14:paraId="05AF4F5C" w14:textId="33E28439"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 xml:space="preserve">Saravanan, M., </w:t>
      </w:r>
      <w:proofErr w:type="spellStart"/>
      <w:r w:rsidRPr="00205D60">
        <w:rPr>
          <w:rFonts w:ascii="Times New Roman" w:hAnsi="Times New Roman" w:cs="Times New Roman"/>
        </w:rPr>
        <w:t>Rajkala</w:t>
      </w:r>
      <w:proofErr w:type="spellEnd"/>
      <w:r w:rsidRPr="00205D60">
        <w:rPr>
          <w:rFonts w:ascii="Times New Roman" w:hAnsi="Times New Roman" w:cs="Times New Roman"/>
        </w:rPr>
        <w:t xml:space="preserve">, </w:t>
      </w:r>
      <w:proofErr w:type="spellStart"/>
      <w:r w:rsidRPr="00205D60">
        <w:rPr>
          <w:rFonts w:ascii="Times New Roman" w:hAnsi="Times New Roman" w:cs="Times New Roman"/>
        </w:rPr>
        <w:t>Aand</w:t>
      </w:r>
      <w:proofErr w:type="spellEnd"/>
      <w:r w:rsidR="000B6DC7">
        <w:rPr>
          <w:rFonts w:ascii="Times New Roman" w:hAnsi="Times New Roman" w:cs="Times New Roman"/>
        </w:rPr>
        <w:t xml:space="preserve"> </w:t>
      </w:r>
      <w:proofErr w:type="spellStart"/>
      <w:r w:rsidRPr="00205D60">
        <w:rPr>
          <w:rFonts w:ascii="Times New Roman" w:hAnsi="Times New Roman" w:cs="Times New Roman"/>
        </w:rPr>
        <w:t>Alagukannan</w:t>
      </w:r>
      <w:proofErr w:type="spellEnd"/>
      <w:r w:rsidRPr="00205D60">
        <w:rPr>
          <w:rFonts w:ascii="Times New Roman" w:hAnsi="Times New Roman" w:cs="Times New Roman"/>
        </w:rPr>
        <w:t xml:space="preserve">, G.2018. Evaluation </w:t>
      </w:r>
      <w:proofErr w:type="spellStart"/>
      <w:r w:rsidRPr="00205D60">
        <w:rPr>
          <w:rFonts w:ascii="Times New Roman" w:hAnsi="Times New Roman" w:cs="Times New Roman"/>
        </w:rPr>
        <w:t>ofcluster</w:t>
      </w:r>
      <w:proofErr w:type="spellEnd"/>
      <w:r w:rsidRPr="00205D60">
        <w:rPr>
          <w:rFonts w:ascii="Times New Roman" w:hAnsi="Times New Roman" w:cs="Times New Roman"/>
        </w:rPr>
        <w:t xml:space="preserve"> front line demonstration tri </w:t>
      </w:r>
      <w:proofErr w:type="spellStart"/>
      <w:r w:rsidRPr="00205D60">
        <w:rPr>
          <w:rFonts w:ascii="Times New Roman" w:hAnsi="Times New Roman" w:cs="Times New Roman"/>
        </w:rPr>
        <w:t>als</w:t>
      </w:r>
      <w:proofErr w:type="spellEnd"/>
      <w:r w:rsidRPr="00205D60">
        <w:rPr>
          <w:rFonts w:ascii="Times New Roman" w:hAnsi="Times New Roman" w:cs="Times New Roman"/>
        </w:rPr>
        <w:t xml:space="preserve"> on groundnut in </w:t>
      </w:r>
      <w:proofErr w:type="spellStart"/>
      <w:r w:rsidRPr="00205D60">
        <w:rPr>
          <w:rFonts w:ascii="Times New Roman" w:hAnsi="Times New Roman" w:cs="Times New Roman"/>
        </w:rPr>
        <w:t>Ariyalurdistrict</w:t>
      </w:r>
      <w:proofErr w:type="spellEnd"/>
      <w:r w:rsidRPr="00205D60">
        <w:rPr>
          <w:rFonts w:ascii="Times New Roman" w:hAnsi="Times New Roman" w:cs="Times New Roman"/>
        </w:rPr>
        <w:t xml:space="preserve"> of Tamil Nadu. International Journal of Chemical Studies. 6(3): 1566-1568.</w:t>
      </w:r>
      <w:r w:rsidR="004D3C37" w:rsidRPr="004D3C37">
        <w:t xml:space="preserve"> </w:t>
      </w:r>
      <w:hyperlink r:id="rId19" w:history="1">
        <w:r w:rsidR="004D3C37" w:rsidRPr="00FC21B8">
          <w:rPr>
            <w:rStyle w:val="Hyperlink"/>
            <w:rFonts w:ascii="Times New Roman" w:hAnsi="Times New Roman" w:cs="Times New Roman"/>
          </w:rPr>
          <w:t>https://vertexaisearch.cloud.google.com/grounding-api-redirect/AUZIYQFZToAvNe5GqOVTb0Q3KKWsgKXSIWI92_AetGJubXRCt4NXroEAmX5HXp2ZIuPnrWVzYCualRfrDMgfv2lfxIkSBmUvy1BuTHkfeXSVxfj4uTu-IymhlhtlvfiS5HiaHlM79W7UWFSVUlOkE_I3KNwtBRIBjuqB_zJyR-LZxr5JvUvYM0KyDXVv2EjiM6pSk3g</w:t>
        </w:r>
      </w:hyperlink>
      <w:r w:rsidR="004D3C37">
        <w:rPr>
          <w:rFonts w:ascii="Times New Roman" w:hAnsi="Times New Roman" w:cs="Times New Roman"/>
        </w:rPr>
        <w:t xml:space="preserve"> </w:t>
      </w:r>
    </w:p>
    <w:p w14:paraId="2F41F3A8" w14:textId="59A80A02"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 xml:space="preserve">Shankar, M., Bharath, T., Pallavi, S., Himabindu, T., </w:t>
      </w:r>
      <w:proofErr w:type="spellStart"/>
      <w:r w:rsidRPr="00205D60">
        <w:rPr>
          <w:rFonts w:ascii="Times New Roman" w:hAnsi="Times New Roman" w:cs="Times New Roman"/>
        </w:rPr>
        <w:t>Shankaraiah</w:t>
      </w:r>
      <w:proofErr w:type="spellEnd"/>
      <w:r w:rsidRPr="00205D60">
        <w:rPr>
          <w:rFonts w:ascii="Times New Roman" w:hAnsi="Times New Roman" w:cs="Times New Roman"/>
        </w:rPr>
        <w:t xml:space="preserve">, M and </w:t>
      </w:r>
      <w:proofErr w:type="spellStart"/>
      <w:r w:rsidRPr="00205D60">
        <w:rPr>
          <w:rFonts w:ascii="Times New Roman" w:hAnsi="Times New Roman" w:cs="Times New Roman"/>
        </w:rPr>
        <w:t>Sumalini</w:t>
      </w:r>
      <w:proofErr w:type="spellEnd"/>
      <w:r w:rsidRPr="00205D60">
        <w:rPr>
          <w:rFonts w:ascii="Times New Roman" w:hAnsi="Times New Roman" w:cs="Times New Roman"/>
        </w:rPr>
        <w:t>, K. 2022. Impact Analysis of Cluster Frontline Demonstrations on Groundnut in Nalgonda District, Telangana. Indian Journal of Extension Education. 58 (4): 66-70.</w:t>
      </w:r>
      <w:r w:rsidR="00F52014" w:rsidRPr="00F52014">
        <w:t xml:space="preserve"> </w:t>
      </w:r>
      <w:hyperlink r:id="rId20" w:history="1">
        <w:r w:rsidR="00F52014" w:rsidRPr="00FC21B8">
          <w:rPr>
            <w:rStyle w:val="Hyperlink"/>
            <w:rFonts w:ascii="Times New Roman" w:hAnsi="Times New Roman" w:cs="Times New Roman"/>
          </w:rPr>
          <w:t>https://doi.org/10.48165/IJEE.2022.58414</w:t>
        </w:r>
      </w:hyperlink>
      <w:r w:rsidR="00F52014">
        <w:rPr>
          <w:rFonts w:ascii="Times New Roman" w:hAnsi="Times New Roman" w:cs="Times New Roman"/>
        </w:rPr>
        <w:t xml:space="preserve"> </w:t>
      </w:r>
    </w:p>
    <w:p w14:paraId="32EF19C2" w14:textId="748023E8"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Verma RK, Dayanand, Rathore RS, Mehta SM, Singh M. Yield and gap analysis of wheat productivity through frontline demonstrations in Jhunjhunu district of Rajasthan. Annals of Agricultural Research. New Series. 2014;35(1):79-82.</w:t>
      </w:r>
      <w:r w:rsidR="008E6CA5" w:rsidRPr="008E6CA5">
        <w:t xml:space="preserve"> </w:t>
      </w:r>
      <w:hyperlink r:id="rId21" w:history="1">
        <w:r w:rsidR="008E6CA5" w:rsidRPr="00FC21B8">
          <w:rPr>
            <w:rStyle w:val="Hyperlink"/>
            <w:rFonts w:ascii="Times New Roman" w:hAnsi="Times New Roman" w:cs="Times New Roman"/>
          </w:rPr>
          <w:t>https://epubs.icar.org.in/index.php/AAR/article/view/39356</w:t>
        </w:r>
      </w:hyperlink>
      <w:r w:rsidR="008E6CA5">
        <w:rPr>
          <w:rFonts w:ascii="Times New Roman" w:hAnsi="Times New Roman" w:cs="Times New Roman"/>
        </w:rPr>
        <w:t xml:space="preserve"> </w:t>
      </w:r>
    </w:p>
    <w:p w14:paraId="3C0F4389" w14:textId="4AC575F8" w:rsidR="00843E14" w:rsidRPr="005154FA" w:rsidRDefault="00843E14" w:rsidP="00205D60">
      <w:pPr>
        <w:pStyle w:val="ListParagraph"/>
        <w:numPr>
          <w:ilvl w:val="0"/>
          <w:numId w:val="2"/>
        </w:numPr>
        <w:spacing w:after="0" w:line="276" w:lineRule="auto"/>
        <w:jc w:val="both"/>
        <w:rPr>
          <w:rFonts w:ascii="Times New Roman" w:hAnsi="Times New Roman" w:cs="Times New Roman"/>
          <w:color w:val="000000" w:themeColor="text1"/>
        </w:rPr>
      </w:pPr>
      <w:r w:rsidRPr="005154FA">
        <w:rPr>
          <w:rFonts w:ascii="Times New Roman" w:hAnsi="Times New Roman" w:cs="Times New Roman"/>
          <w:color w:val="000000" w:themeColor="text1"/>
        </w:rPr>
        <w:t xml:space="preserve">Yadav DB, Kamboj BK, Garg RB. Increasing the productivity and profitability of sunflower through front line demonstrations in irrigated </w:t>
      </w:r>
      <w:proofErr w:type="spellStart"/>
      <w:r w:rsidRPr="005154FA">
        <w:rPr>
          <w:rFonts w:ascii="Times New Roman" w:hAnsi="Times New Roman" w:cs="Times New Roman"/>
          <w:color w:val="000000" w:themeColor="text1"/>
        </w:rPr>
        <w:t>agro</w:t>
      </w:r>
      <w:proofErr w:type="spellEnd"/>
      <w:r w:rsidRPr="005154FA">
        <w:rPr>
          <w:rFonts w:ascii="Times New Roman" w:hAnsi="Times New Roman" w:cs="Times New Roman"/>
          <w:color w:val="000000" w:themeColor="text1"/>
        </w:rPr>
        <w:t xml:space="preserve"> ecosystem of eastern Haryana. Haryana Journal of Agronomy. </w:t>
      </w:r>
      <w:proofErr w:type="gramStart"/>
      <w:r w:rsidRPr="005154FA">
        <w:rPr>
          <w:rFonts w:ascii="Times New Roman" w:hAnsi="Times New Roman" w:cs="Times New Roman"/>
          <w:color w:val="000000" w:themeColor="text1"/>
        </w:rPr>
        <w:t>2004;20:33</w:t>
      </w:r>
      <w:proofErr w:type="gramEnd"/>
      <w:r w:rsidRPr="005154FA">
        <w:rPr>
          <w:rFonts w:ascii="Times New Roman" w:hAnsi="Times New Roman" w:cs="Times New Roman"/>
          <w:color w:val="000000" w:themeColor="text1"/>
        </w:rPr>
        <w:t>-35.</w:t>
      </w:r>
    </w:p>
    <w:p w14:paraId="1C019A54" w14:textId="77777777" w:rsidR="006F230D" w:rsidRDefault="006F230D" w:rsidP="00843E14"/>
    <w:sectPr w:rsidR="006F230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3B250" w14:textId="77777777" w:rsidR="00114A75" w:rsidRDefault="00114A75" w:rsidP="00843E14">
      <w:pPr>
        <w:spacing w:after="0" w:line="240" w:lineRule="auto"/>
      </w:pPr>
      <w:r>
        <w:separator/>
      </w:r>
    </w:p>
  </w:endnote>
  <w:endnote w:type="continuationSeparator" w:id="0">
    <w:p w14:paraId="13DA0026" w14:textId="77777777" w:rsidR="00114A75" w:rsidRDefault="00114A75" w:rsidP="0084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3C30" w14:textId="77777777" w:rsidR="00455772" w:rsidRDefault="0045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75627"/>
      <w:docPartObj>
        <w:docPartGallery w:val="Page Numbers (Bottom of Page)"/>
        <w:docPartUnique/>
      </w:docPartObj>
    </w:sdtPr>
    <w:sdtEndPr>
      <w:rPr>
        <w:noProof/>
      </w:rPr>
    </w:sdtEndPr>
    <w:sdtContent>
      <w:p w14:paraId="04851328" w14:textId="2E794267" w:rsidR="009A5E3F" w:rsidRDefault="009A5E3F" w:rsidP="009A5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8A8E5F" w14:textId="77777777" w:rsidR="009A5E3F" w:rsidRDefault="009A5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AAE6" w14:textId="77777777" w:rsidR="00455772" w:rsidRDefault="0045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A9C97" w14:textId="77777777" w:rsidR="00114A75" w:rsidRDefault="00114A75" w:rsidP="00843E14">
      <w:pPr>
        <w:spacing w:after="0" w:line="240" w:lineRule="auto"/>
      </w:pPr>
      <w:r>
        <w:separator/>
      </w:r>
    </w:p>
  </w:footnote>
  <w:footnote w:type="continuationSeparator" w:id="0">
    <w:p w14:paraId="0DABDD69" w14:textId="77777777" w:rsidR="00114A75" w:rsidRDefault="00114A75" w:rsidP="00843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44CA" w14:textId="1DDBDB0D" w:rsidR="00455772" w:rsidRDefault="00114A75">
    <w:pPr>
      <w:pStyle w:val="Header"/>
    </w:pPr>
    <w:r>
      <w:rPr>
        <w:noProof/>
      </w:rPr>
      <w:pict w14:anchorId="38F80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806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7CD7" w14:textId="7BD6085B" w:rsidR="00455772" w:rsidRDefault="00114A75">
    <w:pPr>
      <w:pStyle w:val="Header"/>
    </w:pPr>
    <w:r>
      <w:rPr>
        <w:noProof/>
      </w:rPr>
      <w:pict w14:anchorId="67748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806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3744" w14:textId="2BA81362" w:rsidR="00455772" w:rsidRDefault="00114A75">
    <w:pPr>
      <w:pStyle w:val="Header"/>
    </w:pPr>
    <w:r>
      <w:rPr>
        <w:noProof/>
      </w:rPr>
      <w:pict w14:anchorId="15F67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806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3AB7"/>
    <w:multiLevelType w:val="multilevel"/>
    <w:tmpl w:val="62C6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57E17"/>
    <w:multiLevelType w:val="hybridMultilevel"/>
    <w:tmpl w:val="DD383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73"/>
    <w:rsid w:val="00026CC8"/>
    <w:rsid w:val="0007056F"/>
    <w:rsid w:val="00070AEF"/>
    <w:rsid w:val="00091911"/>
    <w:rsid w:val="000B6DC7"/>
    <w:rsid w:val="000C20DF"/>
    <w:rsid w:val="00114A75"/>
    <w:rsid w:val="00205D60"/>
    <w:rsid w:val="00231360"/>
    <w:rsid w:val="002D1F82"/>
    <w:rsid w:val="003F5EA8"/>
    <w:rsid w:val="00455772"/>
    <w:rsid w:val="004D3C37"/>
    <w:rsid w:val="00507AF3"/>
    <w:rsid w:val="00514459"/>
    <w:rsid w:val="005154FA"/>
    <w:rsid w:val="00555685"/>
    <w:rsid w:val="0055752B"/>
    <w:rsid w:val="00573415"/>
    <w:rsid w:val="005B690D"/>
    <w:rsid w:val="005E5A4E"/>
    <w:rsid w:val="005F1954"/>
    <w:rsid w:val="00616817"/>
    <w:rsid w:val="00621366"/>
    <w:rsid w:val="00685829"/>
    <w:rsid w:val="006B065B"/>
    <w:rsid w:val="006C7150"/>
    <w:rsid w:val="006D3726"/>
    <w:rsid w:val="006F230D"/>
    <w:rsid w:val="007601E7"/>
    <w:rsid w:val="008109B7"/>
    <w:rsid w:val="00827E03"/>
    <w:rsid w:val="00843E14"/>
    <w:rsid w:val="00874A7F"/>
    <w:rsid w:val="008A4773"/>
    <w:rsid w:val="008E6CA5"/>
    <w:rsid w:val="008F0347"/>
    <w:rsid w:val="00907FA7"/>
    <w:rsid w:val="009722BF"/>
    <w:rsid w:val="009A5E3F"/>
    <w:rsid w:val="009D736E"/>
    <w:rsid w:val="00AC3910"/>
    <w:rsid w:val="00AF666A"/>
    <w:rsid w:val="00B404D7"/>
    <w:rsid w:val="00B93C19"/>
    <w:rsid w:val="00BE4836"/>
    <w:rsid w:val="00C425E3"/>
    <w:rsid w:val="00C46B47"/>
    <w:rsid w:val="00C718CF"/>
    <w:rsid w:val="00CF3BBE"/>
    <w:rsid w:val="00D038D9"/>
    <w:rsid w:val="00D97F49"/>
    <w:rsid w:val="00E07DF8"/>
    <w:rsid w:val="00E15151"/>
    <w:rsid w:val="00E810F7"/>
    <w:rsid w:val="00E92C4F"/>
    <w:rsid w:val="00ED02D6"/>
    <w:rsid w:val="00F31792"/>
    <w:rsid w:val="00F52014"/>
    <w:rsid w:val="00F7719F"/>
    <w:rsid w:val="00F90AC4"/>
    <w:rsid w:val="00F9578D"/>
    <w:rsid w:val="00FD513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A83AA"/>
  <w15:chartTrackingRefBased/>
  <w15:docId w15:val="{51B1335A-03E1-43C9-BC0F-97D46A3B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14"/>
  </w:style>
  <w:style w:type="paragraph" w:styleId="Heading1">
    <w:name w:val="heading 1"/>
    <w:basedOn w:val="Normal"/>
    <w:next w:val="Normal"/>
    <w:link w:val="Heading1Char"/>
    <w:uiPriority w:val="9"/>
    <w:qFormat/>
    <w:rsid w:val="008A4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773"/>
    <w:rPr>
      <w:rFonts w:eastAsiaTheme="majorEastAsia" w:cstheme="majorBidi"/>
      <w:color w:val="272727" w:themeColor="text1" w:themeTint="D8"/>
    </w:rPr>
  </w:style>
  <w:style w:type="paragraph" w:styleId="Title">
    <w:name w:val="Title"/>
    <w:basedOn w:val="Normal"/>
    <w:next w:val="Normal"/>
    <w:link w:val="TitleChar"/>
    <w:uiPriority w:val="10"/>
    <w:qFormat/>
    <w:rsid w:val="008A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773"/>
    <w:pPr>
      <w:spacing w:before="160"/>
      <w:jc w:val="center"/>
    </w:pPr>
    <w:rPr>
      <w:i/>
      <w:iCs/>
      <w:color w:val="404040" w:themeColor="text1" w:themeTint="BF"/>
    </w:rPr>
  </w:style>
  <w:style w:type="character" w:customStyle="1" w:styleId="QuoteChar">
    <w:name w:val="Quote Char"/>
    <w:basedOn w:val="DefaultParagraphFont"/>
    <w:link w:val="Quote"/>
    <w:uiPriority w:val="29"/>
    <w:rsid w:val="008A4773"/>
    <w:rPr>
      <w:i/>
      <w:iCs/>
      <w:color w:val="404040" w:themeColor="text1" w:themeTint="BF"/>
    </w:rPr>
  </w:style>
  <w:style w:type="paragraph" w:styleId="ListParagraph">
    <w:name w:val="List Paragraph"/>
    <w:basedOn w:val="Normal"/>
    <w:uiPriority w:val="34"/>
    <w:qFormat/>
    <w:rsid w:val="008A4773"/>
    <w:pPr>
      <w:ind w:left="720"/>
      <w:contextualSpacing/>
    </w:pPr>
  </w:style>
  <w:style w:type="character" w:styleId="IntenseEmphasis">
    <w:name w:val="Intense Emphasis"/>
    <w:basedOn w:val="DefaultParagraphFont"/>
    <w:uiPriority w:val="21"/>
    <w:qFormat/>
    <w:rsid w:val="008A4773"/>
    <w:rPr>
      <w:i/>
      <w:iCs/>
      <w:color w:val="2F5496" w:themeColor="accent1" w:themeShade="BF"/>
    </w:rPr>
  </w:style>
  <w:style w:type="paragraph" w:styleId="IntenseQuote">
    <w:name w:val="Intense Quote"/>
    <w:basedOn w:val="Normal"/>
    <w:next w:val="Normal"/>
    <w:link w:val="IntenseQuoteChar"/>
    <w:uiPriority w:val="30"/>
    <w:qFormat/>
    <w:rsid w:val="008A4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773"/>
    <w:rPr>
      <w:i/>
      <w:iCs/>
      <w:color w:val="2F5496" w:themeColor="accent1" w:themeShade="BF"/>
    </w:rPr>
  </w:style>
  <w:style w:type="character" w:styleId="IntenseReference">
    <w:name w:val="Intense Reference"/>
    <w:basedOn w:val="DefaultParagraphFont"/>
    <w:uiPriority w:val="32"/>
    <w:qFormat/>
    <w:rsid w:val="008A4773"/>
    <w:rPr>
      <w:b/>
      <w:bCs/>
      <w:smallCaps/>
      <w:color w:val="2F5496" w:themeColor="accent1" w:themeShade="BF"/>
      <w:spacing w:val="5"/>
    </w:rPr>
  </w:style>
  <w:style w:type="table" w:styleId="TableGrid">
    <w:name w:val="Table Grid"/>
    <w:basedOn w:val="TableNormal"/>
    <w:uiPriority w:val="39"/>
    <w:rsid w:val="0084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E14"/>
    <w:rPr>
      <w:color w:val="0563C1" w:themeColor="hyperlink"/>
      <w:u w:val="single"/>
    </w:rPr>
  </w:style>
  <w:style w:type="paragraph" w:styleId="Header">
    <w:name w:val="header"/>
    <w:basedOn w:val="Normal"/>
    <w:link w:val="HeaderChar"/>
    <w:uiPriority w:val="99"/>
    <w:unhideWhenUsed/>
    <w:rsid w:val="00843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E14"/>
  </w:style>
  <w:style w:type="paragraph" w:styleId="Footer">
    <w:name w:val="footer"/>
    <w:basedOn w:val="Normal"/>
    <w:link w:val="FooterChar"/>
    <w:uiPriority w:val="99"/>
    <w:unhideWhenUsed/>
    <w:rsid w:val="00843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E14"/>
  </w:style>
  <w:style w:type="paragraph" w:styleId="NormalWeb">
    <w:name w:val="Normal (Web)"/>
    <w:basedOn w:val="Normal"/>
    <w:uiPriority w:val="99"/>
    <w:semiHidden/>
    <w:unhideWhenUsed/>
    <w:rsid w:val="006C715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D1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ubs.icar.org.in/ejournal/index.php/ijee/article/view/109083" TargetMode="External"/><Relationship Id="rId13" Type="http://schemas.openxmlformats.org/officeDocument/2006/relationships/hyperlink" Target="https://doi.org/https://doi.org/10.20546/ijcmas.2020.911.129" TargetMode="External"/><Relationship Id="rId18" Type="http://schemas.openxmlformats.org/officeDocument/2006/relationships/hyperlink" Target="https://doi.org/10.5958/2349-4433.2021.00043.X"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epubs.icar.org.in/index.php/AAR/article/view/39356" TargetMode="External"/><Relationship Id="rId7" Type="http://schemas.openxmlformats.org/officeDocument/2006/relationships/image" Target="media/image1.png"/><Relationship Id="rId12" Type="http://schemas.openxmlformats.org/officeDocument/2006/relationships/hyperlink" Target="https://doi.org/10.53550/EEC.2023.v29i03.023" TargetMode="External"/><Relationship Id="rId17" Type="http://schemas.openxmlformats.org/officeDocument/2006/relationships/hyperlink" Target="https://www.researchgate.net/publication/329528994_YIELD_GAP_ANALYSIS_OF_GROUNDNUT_THROUGH_CLUSTER_FRONT_LINE_DEMONSTRATION_UNDER_NORTH_GUJARAT_CONDITIO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jee.in/april_2017.php" TargetMode="External"/><Relationship Id="rId20" Type="http://schemas.openxmlformats.org/officeDocument/2006/relationships/hyperlink" Target="https://doi.org/10.48165/IJEE.2022.5841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urisitharamaraju.ap.gov.in/document/district-handbook-of-statistic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2944/CARJ.6.3.1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8537/jorangrau.2023.51.2.04" TargetMode="External"/><Relationship Id="rId19" Type="http://schemas.openxmlformats.org/officeDocument/2006/relationships/hyperlink" Target="https://vertexaisearch.cloud.google.com/grounding-api-redirect/AUZIYQFZToAvNe5GqOVTb0Q3KKWsgKXSIWI92_AetGJubXRCt4NXroEAmX5HXp2ZIuPnrWVzYCualRfrDMgfv2lfxIkSBmUvy1BuTHkfeXSVxfj4uTu-IymhlhtlvfiS5HiaHlM79W7UWFSVUlOkE_I3KNwtBRIBjuqB_zJyR-LZxr5JvUvYM0KyDXVv2EjiM6pSk3g" TargetMode="External"/><Relationship Id="rId4" Type="http://schemas.openxmlformats.org/officeDocument/2006/relationships/webSettings" Target="webSettings.xml"/><Relationship Id="rId9" Type="http://schemas.openxmlformats.org/officeDocument/2006/relationships/hyperlink" Target="https://doi.org/10.30954/0974-1712.02.2021.12" TargetMode="External"/><Relationship Id="rId14" Type="http://schemas.openxmlformats.org/officeDocument/2006/relationships/hyperlink" Target="https://doi.org/10.33545/2618060X.2024.v7.i12l.239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4478</Words>
  <Characters>25528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sowjanya Aleti</dc:creator>
  <cp:keywords/>
  <dc:description/>
  <cp:lastModifiedBy>Editor-1183</cp:lastModifiedBy>
  <cp:revision>38</cp:revision>
  <cp:lastPrinted>2025-08-14T15:15:00Z</cp:lastPrinted>
  <dcterms:created xsi:type="dcterms:W3CDTF">2025-08-14T12:41:00Z</dcterms:created>
  <dcterms:modified xsi:type="dcterms:W3CDTF">2025-12-08T09:17:00Z</dcterms:modified>
</cp:coreProperties>
</file>