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9BB61" w14:textId="395060C4" w:rsidR="00B979A6" w:rsidRDefault="00B979A6" w:rsidP="00692CB7">
      <w:pPr>
        <w:rPr>
          <w:rFonts w:ascii="Times New Roman" w:hAnsi="Times New Roman" w:cs="Times New Roman"/>
          <w:b/>
          <w:bCs/>
          <w:strike/>
        </w:rPr>
      </w:pPr>
      <w:r w:rsidRPr="00122074">
        <w:rPr>
          <w:rFonts w:ascii="Times New Roman" w:hAnsi="Times New Roman" w:cs="Times New Roman"/>
          <w:b/>
          <w:bCs/>
        </w:rPr>
        <w:t>Menopause Experience Across Borders: Sub-Saharan African Women in LMICs and HICs.</w:t>
      </w:r>
    </w:p>
    <w:p w14:paraId="33669D39" w14:textId="77777777" w:rsidR="00122074" w:rsidRPr="00122074" w:rsidRDefault="00122074" w:rsidP="00692CB7">
      <w:pPr>
        <w:rPr>
          <w:rFonts w:ascii="Times New Roman" w:hAnsi="Times New Roman" w:cs="Times New Roman"/>
          <w:b/>
          <w:bCs/>
          <w:strike/>
        </w:rPr>
      </w:pPr>
    </w:p>
    <w:p w14:paraId="36E86E0A" w14:textId="7EF6D848" w:rsidR="00692CB7" w:rsidRPr="003A11D8" w:rsidRDefault="005846CA" w:rsidP="00692CB7">
      <w:pPr>
        <w:rPr>
          <w:rFonts w:ascii="Times New Roman" w:hAnsi="Times New Roman" w:cs="Times New Roman"/>
          <w:b/>
          <w:bCs/>
        </w:rPr>
      </w:pPr>
      <w:r w:rsidRPr="003A11D8">
        <w:rPr>
          <w:rFonts w:ascii="Times New Roman" w:hAnsi="Times New Roman" w:cs="Times New Roman"/>
          <w:b/>
          <w:bCs/>
        </w:rPr>
        <w:t>Abstract</w:t>
      </w:r>
    </w:p>
    <w:p w14:paraId="58D7FFC6" w14:textId="721F7BE2" w:rsidR="00692CB7" w:rsidRPr="003A11D8" w:rsidRDefault="00692CB7" w:rsidP="00692CB7">
      <w:pPr>
        <w:rPr>
          <w:rFonts w:ascii="Times New Roman" w:hAnsi="Times New Roman" w:cs="Times New Roman"/>
          <w:i/>
          <w:iCs/>
        </w:rPr>
      </w:pPr>
      <w:r w:rsidRPr="00FE2925">
        <w:rPr>
          <w:rFonts w:ascii="Times New Roman" w:hAnsi="Times New Roman" w:cs="Times New Roman"/>
          <w:sz w:val="28"/>
          <w:szCs w:val="28"/>
          <w:u w:val="single"/>
        </w:rPr>
        <w:t>Objectives</w:t>
      </w:r>
      <w:r w:rsidRPr="00FE2925">
        <w:rPr>
          <w:rFonts w:ascii="Times New Roman" w:hAnsi="Times New Roman" w:cs="Times New Roman"/>
          <w:sz w:val="28"/>
          <w:szCs w:val="28"/>
        </w:rPr>
        <w:t>:</w:t>
      </w:r>
      <w:r w:rsidRPr="003A11D8">
        <w:rPr>
          <w:rFonts w:ascii="Times New Roman" w:hAnsi="Times New Roman" w:cs="Times New Roman"/>
        </w:rPr>
        <w:t xml:space="preserve"> to identify</w:t>
      </w:r>
      <w:r w:rsidR="00F00F46" w:rsidRPr="003A11D8">
        <w:rPr>
          <w:rFonts w:ascii="Times New Roman" w:hAnsi="Times New Roman" w:cs="Times New Roman"/>
        </w:rPr>
        <w:t xml:space="preserve"> </w:t>
      </w:r>
      <w:r w:rsidRPr="003A11D8">
        <w:rPr>
          <w:rFonts w:ascii="Times New Roman" w:hAnsi="Times New Roman" w:cs="Times New Roman"/>
        </w:rPr>
        <w:t>menopause age, symptom</w:t>
      </w:r>
      <w:r w:rsidR="00F00F46" w:rsidRPr="003A11D8">
        <w:rPr>
          <w:rFonts w:ascii="Times New Roman" w:hAnsi="Times New Roman" w:cs="Times New Roman"/>
        </w:rPr>
        <w:t>-</w:t>
      </w:r>
      <w:r w:rsidRPr="003A11D8">
        <w:rPr>
          <w:rFonts w:ascii="Times New Roman" w:hAnsi="Times New Roman" w:cs="Times New Roman"/>
        </w:rPr>
        <w:t>prevalence and</w:t>
      </w:r>
      <w:r w:rsidR="004625D9" w:rsidRPr="003A11D8">
        <w:rPr>
          <w:rFonts w:ascii="Times New Roman" w:hAnsi="Times New Roman" w:cs="Times New Roman"/>
        </w:rPr>
        <w:t xml:space="preserve"> </w:t>
      </w:r>
      <w:r w:rsidRPr="003A11D8">
        <w:rPr>
          <w:rFonts w:ascii="Times New Roman" w:hAnsi="Times New Roman" w:cs="Times New Roman"/>
        </w:rPr>
        <w:t xml:space="preserve">severity, knowledge and treatment-gap specific to </w:t>
      </w:r>
      <w:r w:rsidR="004740B0">
        <w:rPr>
          <w:rFonts w:ascii="Times New Roman" w:hAnsi="Times New Roman" w:cs="Times New Roman"/>
        </w:rPr>
        <w:t xml:space="preserve">the </w:t>
      </w:r>
      <w:r w:rsidR="00100997" w:rsidRPr="003A11D8">
        <w:rPr>
          <w:rFonts w:ascii="Times New Roman" w:hAnsi="Times New Roman" w:cs="Times New Roman"/>
        </w:rPr>
        <w:t>residence</w:t>
      </w:r>
      <w:r w:rsidR="00701156" w:rsidRPr="003A11D8">
        <w:rPr>
          <w:rFonts w:ascii="Times New Roman" w:hAnsi="Times New Roman" w:cs="Times New Roman"/>
        </w:rPr>
        <w:t xml:space="preserve"> </w:t>
      </w:r>
      <w:r w:rsidR="004625D9" w:rsidRPr="003A11D8">
        <w:rPr>
          <w:rFonts w:ascii="Times New Roman" w:hAnsi="Times New Roman" w:cs="Times New Roman"/>
        </w:rPr>
        <w:t>of</w:t>
      </w:r>
      <w:r w:rsidR="00100997" w:rsidRPr="003A11D8">
        <w:rPr>
          <w:rFonts w:ascii="Times New Roman" w:hAnsi="Times New Roman" w:cs="Times New Roman"/>
        </w:rPr>
        <w:t xml:space="preserve"> the</w:t>
      </w:r>
      <w:r w:rsidR="00701156" w:rsidRPr="003A11D8">
        <w:rPr>
          <w:rFonts w:ascii="Times New Roman" w:hAnsi="Times New Roman" w:cs="Times New Roman"/>
        </w:rPr>
        <w:t xml:space="preserve"> </w:t>
      </w:r>
      <w:r w:rsidR="00EC428E" w:rsidRPr="003A11D8">
        <w:rPr>
          <w:rFonts w:ascii="Times New Roman" w:hAnsi="Times New Roman" w:cs="Times New Roman"/>
        </w:rPr>
        <w:t>Sub-Saharan</w:t>
      </w:r>
      <w:r w:rsidR="00701156" w:rsidRPr="003A11D8">
        <w:rPr>
          <w:rFonts w:ascii="Times New Roman" w:hAnsi="Times New Roman" w:cs="Times New Roman"/>
        </w:rPr>
        <w:t xml:space="preserve"> women</w:t>
      </w:r>
      <w:r w:rsidRPr="003A11D8">
        <w:rPr>
          <w:rFonts w:ascii="Times New Roman" w:hAnsi="Times New Roman" w:cs="Times New Roman"/>
        </w:rPr>
        <w:t>.</w:t>
      </w:r>
    </w:p>
    <w:p w14:paraId="3DE949AE" w14:textId="0EAACEE0" w:rsidR="004309EE" w:rsidRPr="004309EE" w:rsidRDefault="004309EE" w:rsidP="004309EE">
      <w:pPr>
        <w:rPr>
          <w:rFonts w:ascii="Times New Roman" w:hAnsi="Times New Roman" w:cs="Times New Roman"/>
        </w:rPr>
      </w:pPr>
      <w:r w:rsidRPr="00FE2925">
        <w:rPr>
          <w:rFonts w:ascii="Times New Roman" w:hAnsi="Times New Roman" w:cs="Times New Roman"/>
          <w:sz w:val="28"/>
          <w:szCs w:val="28"/>
          <w:u w:val="single"/>
        </w:rPr>
        <w:t>Methods</w:t>
      </w:r>
      <w:r w:rsidRPr="00FE2925">
        <w:rPr>
          <w:rFonts w:ascii="Times New Roman" w:hAnsi="Times New Roman" w:cs="Times New Roman"/>
          <w:sz w:val="28"/>
          <w:szCs w:val="28"/>
        </w:rPr>
        <w:t>:</w:t>
      </w:r>
      <w:r w:rsidRPr="004309EE">
        <w:rPr>
          <w:rFonts w:ascii="Times New Roman" w:hAnsi="Times New Roman" w:cs="Times New Roman"/>
        </w:rPr>
        <w:t xml:space="preserve"> An electronic mixed-methods cross-sectional community survey was administered in June 2024, of Sub-Saharan women &gt;</w:t>
      </w:r>
      <w:r w:rsidR="004740B0">
        <w:rPr>
          <w:rFonts w:ascii="Times New Roman" w:hAnsi="Times New Roman" w:cs="Times New Roman"/>
        </w:rPr>
        <w:t xml:space="preserve"> 40 years</w:t>
      </w:r>
      <w:r w:rsidRPr="004309EE">
        <w:rPr>
          <w:rFonts w:ascii="Times New Roman" w:hAnsi="Times New Roman" w:cs="Times New Roman"/>
        </w:rPr>
        <w:t xml:space="preserve"> who had reached menopause across the world. Qualitative data provided contextual themes on the experience of menopausal care. Data analysis was via Microsoft Excel©.</w:t>
      </w:r>
    </w:p>
    <w:p w14:paraId="0BE61A32" w14:textId="77777777" w:rsidR="00FE2925" w:rsidRDefault="004309EE" w:rsidP="004309EE">
      <w:pPr>
        <w:rPr>
          <w:rFonts w:ascii="Times New Roman" w:hAnsi="Times New Roman" w:cs="Times New Roman"/>
          <w:sz w:val="28"/>
          <w:szCs w:val="28"/>
          <w:u w:val="single"/>
        </w:rPr>
      </w:pPr>
      <w:r w:rsidRPr="00FE2925">
        <w:rPr>
          <w:rFonts w:ascii="Times New Roman" w:hAnsi="Times New Roman" w:cs="Times New Roman"/>
          <w:sz w:val="28"/>
          <w:szCs w:val="28"/>
          <w:u w:val="single"/>
        </w:rPr>
        <w:t xml:space="preserve">Results: </w:t>
      </w:r>
    </w:p>
    <w:p w14:paraId="1F015287" w14:textId="2A61FAFA" w:rsidR="00FE2925" w:rsidRPr="00FE2925" w:rsidRDefault="00FE2925" w:rsidP="004309EE">
      <w:pPr>
        <w:rPr>
          <w:rFonts w:ascii="Times New Roman" w:hAnsi="Times New Roman" w:cs="Times New Roman"/>
          <w:sz w:val="28"/>
          <w:szCs w:val="28"/>
          <w:u w:val="single"/>
        </w:rPr>
      </w:pPr>
      <w:r w:rsidRPr="00FE2925">
        <w:rPr>
          <w:rFonts w:ascii="Times New Roman" w:hAnsi="Times New Roman" w:cs="Times New Roman"/>
          <w:b/>
          <w:bCs/>
        </w:rPr>
        <w:t>Demographics</w:t>
      </w:r>
    </w:p>
    <w:p w14:paraId="0639B96A" w14:textId="5D3C7872" w:rsidR="004309EE" w:rsidRPr="004309EE" w:rsidRDefault="004309EE" w:rsidP="004309EE">
      <w:pPr>
        <w:rPr>
          <w:rFonts w:ascii="Times New Roman" w:hAnsi="Times New Roman" w:cs="Times New Roman"/>
        </w:rPr>
      </w:pPr>
      <w:r w:rsidRPr="004309EE">
        <w:rPr>
          <w:rFonts w:ascii="Times New Roman" w:hAnsi="Times New Roman" w:cs="Times New Roman"/>
        </w:rPr>
        <w:t xml:space="preserve">87 of the 124 responses met </w:t>
      </w:r>
      <w:r w:rsidR="00FE2925">
        <w:rPr>
          <w:rFonts w:ascii="Times New Roman" w:hAnsi="Times New Roman" w:cs="Times New Roman"/>
        </w:rPr>
        <w:t xml:space="preserve">the </w:t>
      </w:r>
      <w:r w:rsidRPr="004309EE">
        <w:rPr>
          <w:rFonts w:ascii="Times New Roman" w:hAnsi="Times New Roman" w:cs="Times New Roman"/>
        </w:rPr>
        <w:t xml:space="preserve">inclusion criteria. Average menopause age of 47.59 yrs ± 4.56 (HIC cohort) vs 49.78yrs ±3.26 (LMIC cohort) </w:t>
      </w:r>
      <w:r w:rsidRPr="004309EE">
        <w:rPr>
          <w:rFonts w:ascii="Times New Roman" w:hAnsi="Times New Roman" w:cs="Times New Roman"/>
          <w:b/>
          <w:bCs/>
        </w:rPr>
        <w:t>P= 0.013</w:t>
      </w:r>
      <w:r w:rsidRPr="004309EE">
        <w:rPr>
          <w:rFonts w:ascii="Times New Roman" w:hAnsi="Times New Roman" w:cs="Times New Roman"/>
        </w:rPr>
        <w:t xml:space="preserve"> 95%CI (0.479 -3.9). There were no statistical differences in demographics. However, a small cohort of HIC women with early menopause occurrence after 5-8</w:t>
      </w:r>
      <w:r w:rsidR="005F568F">
        <w:rPr>
          <w:rFonts w:ascii="Times New Roman" w:hAnsi="Times New Roman" w:cs="Times New Roman"/>
        </w:rPr>
        <w:t xml:space="preserve"> </w:t>
      </w:r>
      <w:r w:rsidRPr="004309EE">
        <w:rPr>
          <w:rFonts w:ascii="Times New Roman" w:hAnsi="Times New Roman" w:cs="Times New Roman"/>
        </w:rPr>
        <w:t xml:space="preserve">yrs of emigration </w:t>
      </w:r>
      <w:r w:rsidR="005F568F">
        <w:rPr>
          <w:rFonts w:ascii="Times New Roman" w:hAnsi="Times New Roman" w:cs="Times New Roman"/>
        </w:rPr>
        <w:t xml:space="preserve">with a </w:t>
      </w:r>
      <w:r w:rsidR="00FE2925">
        <w:rPr>
          <w:rFonts w:ascii="Times New Roman" w:hAnsi="Times New Roman" w:cs="Times New Roman"/>
        </w:rPr>
        <w:t>mean</w:t>
      </w:r>
      <w:r w:rsidRPr="004309EE">
        <w:rPr>
          <w:rFonts w:ascii="Times New Roman" w:hAnsi="Times New Roman" w:cs="Times New Roman"/>
        </w:rPr>
        <w:t xml:space="preserve"> </w:t>
      </w:r>
      <w:r w:rsidR="00FE2925">
        <w:rPr>
          <w:rFonts w:ascii="Times New Roman" w:hAnsi="Times New Roman" w:cs="Times New Roman"/>
        </w:rPr>
        <w:t>± SD</w:t>
      </w:r>
      <w:r w:rsidR="005F568F">
        <w:rPr>
          <w:rFonts w:ascii="Times New Roman" w:hAnsi="Times New Roman" w:cs="Times New Roman"/>
        </w:rPr>
        <w:t xml:space="preserve"> of</w:t>
      </w:r>
      <w:r w:rsidRPr="004309EE">
        <w:rPr>
          <w:rFonts w:ascii="Times New Roman" w:hAnsi="Times New Roman" w:cs="Times New Roman"/>
        </w:rPr>
        <w:t xml:space="preserve"> 6.8 ± 3.4 yrs) was observed.</w:t>
      </w:r>
    </w:p>
    <w:p w14:paraId="43E13FBC" w14:textId="192B6511" w:rsidR="004309EE" w:rsidRPr="004309EE" w:rsidRDefault="004309EE" w:rsidP="004309EE">
      <w:pPr>
        <w:rPr>
          <w:rFonts w:ascii="Times New Roman" w:hAnsi="Times New Roman" w:cs="Times New Roman"/>
        </w:rPr>
      </w:pPr>
      <w:r w:rsidRPr="004309EE">
        <w:rPr>
          <w:rFonts w:ascii="Times New Roman" w:hAnsi="Times New Roman" w:cs="Times New Roman"/>
          <w:b/>
          <w:bCs/>
        </w:rPr>
        <w:t>Symptom-prevalence</w:t>
      </w:r>
      <w:r w:rsidRPr="004309EE">
        <w:rPr>
          <w:rFonts w:ascii="Times New Roman" w:hAnsi="Times New Roman" w:cs="Times New Roman"/>
        </w:rPr>
        <w:t xml:space="preserve"> was high and similar between cohorts (93.5% HIC vs 92.7% LMIC), with 17% of women globally reporting significant severity. Genitourinary symptoms (GUS, 58%) were most common in the LMIC cohort</w:t>
      </w:r>
      <w:r w:rsidR="005F568F">
        <w:rPr>
          <w:rFonts w:ascii="Times New Roman" w:hAnsi="Times New Roman" w:cs="Times New Roman"/>
        </w:rPr>
        <w:t>,</w:t>
      </w:r>
      <w:r w:rsidRPr="004309EE">
        <w:rPr>
          <w:rFonts w:ascii="Times New Roman" w:hAnsi="Times New Roman" w:cs="Times New Roman"/>
        </w:rPr>
        <w:t xml:space="preserve"> followed by vasomotor symptoms (42%) and insomnia (21%). Vasomotor symptoms were as common as GUS in the HIC cohort (58%). Hypertension prevalence was 21.4% in the LMIC and 15.2% in the HIC cohort.</w:t>
      </w:r>
    </w:p>
    <w:p w14:paraId="7FFC4860" w14:textId="6FCC0F7C" w:rsidR="00B97F03" w:rsidRDefault="004309EE" w:rsidP="004309EE">
      <w:pPr>
        <w:rPr>
          <w:rFonts w:ascii="Times New Roman" w:hAnsi="Times New Roman" w:cs="Times New Roman"/>
        </w:rPr>
      </w:pPr>
      <w:r w:rsidRPr="004309EE">
        <w:rPr>
          <w:rFonts w:ascii="Times New Roman" w:hAnsi="Times New Roman" w:cs="Times New Roman"/>
          <w:b/>
          <w:bCs/>
        </w:rPr>
        <w:t>Knowledge deficit</w:t>
      </w:r>
      <w:r w:rsidRPr="004309EE">
        <w:rPr>
          <w:rFonts w:ascii="Times New Roman" w:hAnsi="Times New Roman" w:cs="Times New Roman"/>
        </w:rPr>
        <w:t>: Symptom-recognition was poorer in the LMIC cohort (46.3%) than the HIC cohort (26.1%)</w:t>
      </w:r>
      <w:r w:rsidR="00B97F03">
        <w:rPr>
          <w:rFonts w:ascii="Times New Roman" w:hAnsi="Times New Roman" w:cs="Times New Roman"/>
        </w:rPr>
        <w:t>, t</w:t>
      </w:r>
      <w:r w:rsidRPr="004309EE">
        <w:rPr>
          <w:rFonts w:ascii="Times New Roman" w:hAnsi="Times New Roman" w:cs="Times New Roman"/>
        </w:rPr>
        <w:t>h</w:t>
      </w:r>
      <w:r w:rsidR="00B97F03">
        <w:rPr>
          <w:rFonts w:ascii="Times New Roman" w:hAnsi="Times New Roman" w:cs="Times New Roman"/>
        </w:rPr>
        <w:t>ough most provided</w:t>
      </w:r>
      <w:r w:rsidRPr="004309EE">
        <w:rPr>
          <w:rFonts w:ascii="Times New Roman" w:hAnsi="Times New Roman" w:cs="Times New Roman"/>
        </w:rPr>
        <w:t xml:space="preserve"> an appropriate definition (&gt;78%)</w:t>
      </w:r>
      <w:r w:rsidR="00B97F03">
        <w:rPr>
          <w:rFonts w:ascii="Times New Roman" w:hAnsi="Times New Roman" w:cs="Times New Roman"/>
        </w:rPr>
        <w:t>.</w:t>
      </w:r>
      <w:r w:rsidRPr="004309EE">
        <w:rPr>
          <w:rFonts w:ascii="Times New Roman" w:hAnsi="Times New Roman" w:cs="Times New Roman"/>
        </w:rPr>
        <w:t xml:space="preserve"> </w:t>
      </w:r>
      <w:r w:rsidRPr="00B97F03">
        <w:rPr>
          <w:rFonts w:ascii="Times New Roman" w:hAnsi="Times New Roman" w:cs="Times New Roman"/>
          <w:i/>
          <w:iCs/>
        </w:rPr>
        <w:t>was largely shaped by the women in the HIC cohort’s experience of symptoms</w:t>
      </w:r>
      <w:r w:rsidRPr="004309EE">
        <w:rPr>
          <w:rFonts w:ascii="Times New Roman" w:hAnsi="Times New Roman" w:cs="Times New Roman"/>
        </w:rPr>
        <w:t xml:space="preserve">. Associated harm </w:t>
      </w:r>
      <w:r>
        <w:rPr>
          <w:rFonts w:ascii="Times New Roman" w:hAnsi="Times New Roman" w:cs="Times New Roman"/>
        </w:rPr>
        <w:t xml:space="preserve">(i.e. </w:t>
      </w:r>
      <w:r w:rsidRPr="004309EE">
        <w:rPr>
          <w:rFonts w:ascii="Times New Roman" w:hAnsi="Times New Roman" w:cs="Times New Roman"/>
        </w:rPr>
        <w:t>from poor symptom-recognition due to disease-severity</w:t>
      </w:r>
      <w:r>
        <w:rPr>
          <w:rFonts w:ascii="Times New Roman" w:hAnsi="Times New Roman" w:cs="Times New Roman"/>
        </w:rPr>
        <w:t xml:space="preserve">) </w:t>
      </w:r>
      <w:r w:rsidRPr="004309EE">
        <w:rPr>
          <w:rFonts w:ascii="Times New Roman" w:hAnsi="Times New Roman" w:cs="Times New Roman"/>
        </w:rPr>
        <w:t>was observed in the LMIC cohort</w:t>
      </w:r>
      <w:r w:rsidR="00FE2925">
        <w:rPr>
          <w:rFonts w:ascii="Times New Roman" w:hAnsi="Times New Roman" w:cs="Times New Roman"/>
        </w:rPr>
        <w:t xml:space="preserve">. </w:t>
      </w:r>
    </w:p>
    <w:p w14:paraId="38E50AE1" w14:textId="71CE7F11" w:rsidR="004309EE" w:rsidRPr="004309EE" w:rsidRDefault="00B97F03" w:rsidP="004309EE">
      <w:pPr>
        <w:rPr>
          <w:rFonts w:ascii="Times New Roman" w:hAnsi="Times New Roman" w:cs="Times New Roman"/>
        </w:rPr>
      </w:pPr>
      <w:r w:rsidRPr="00B97F03">
        <w:rPr>
          <w:rFonts w:ascii="Times New Roman" w:hAnsi="Times New Roman" w:cs="Times New Roman"/>
          <w:b/>
          <w:bCs/>
        </w:rPr>
        <w:t>Treatment</w:t>
      </w:r>
      <w:r>
        <w:rPr>
          <w:rFonts w:ascii="Times New Roman" w:hAnsi="Times New Roman" w:cs="Times New Roman"/>
        </w:rPr>
        <w:t xml:space="preserve">: </w:t>
      </w:r>
      <w:r w:rsidR="004309EE" w:rsidRPr="004309EE">
        <w:rPr>
          <w:rFonts w:ascii="Times New Roman" w:hAnsi="Times New Roman" w:cs="Times New Roman"/>
        </w:rPr>
        <w:t xml:space="preserve">Global MHT </w:t>
      </w:r>
      <w:r>
        <w:rPr>
          <w:rFonts w:ascii="Times New Roman" w:hAnsi="Times New Roman" w:cs="Times New Roman"/>
        </w:rPr>
        <w:t xml:space="preserve">use was </w:t>
      </w:r>
      <w:r w:rsidR="004309EE" w:rsidRPr="004309EE">
        <w:rPr>
          <w:rFonts w:ascii="Times New Roman" w:hAnsi="Times New Roman" w:cs="Times New Roman"/>
        </w:rPr>
        <w:t>8</w:t>
      </w:r>
      <w:r>
        <w:rPr>
          <w:rFonts w:ascii="Times New Roman" w:hAnsi="Times New Roman" w:cs="Times New Roman"/>
        </w:rPr>
        <w:t>%</w:t>
      </w:r>
      <w:r w:rsidR="004309EE" w:rsidRPr="004309EE">
        <w:rPr>
          <w:rFonts w:ascii="Times New Roman" w:hAnsi="Times New Roman" w:cs="Times New Roman"/>
        </w:rPr>
        <w:t>, concentrated in the HIC cohort (15.2%)</w:t>
      </w:r>
      <w:r w:rsidR="00FE2925">
        <w:rPr>
          <w:rFonts w:ascii="Times New Roman" w:hAnsi="Times New Roman" w:cs="Times New Roman"/>
        </w:rPr>
        <w:t>,</w:t>
      </w:r>
      <w:r w:rsidR="004309EE" w:rsidRPr="004309EE">
        <w:rPr>
          <w:rFonts w:ascii="Times New Roman" w:hAnsi="Times New Roman" w:cs="Times New Roman"/>
        </w:rPr>
        <w:t xml:space="preserve"> with no LMIC cohort</w:t>
      </w:r>
      <w:r w:rsidR="00FE2925">
        <w:rPr>
          <w:rFonts w:ascii="Times New Roman" w:hAnsi="Times New Roman" w:cs="Times New Roman"/>
        </w:rPr>
        <w:t xml:space="preserve"> use</w:t>
      </w:r>
      <w:r>
        <w:rPr>
          <w:rFonts w:ascii="Times New Roman" w:hAnsi="Times New Roman" w:cs="Times New Roman"/>
        </w:rPr>
        <w:t xml:space="preserve"> </w:t>
      </w:r>
      <w:r w:rsidR="004309EE" w:rsidRPr="004309EE">
        <w:rPr>
          <w:rFonts w:ascii="Times New Roman" w:hAnsi="Times New Roman" w:cs="Times New Roman"/>
        </w:rPr>
        <w:t>(0%)</w:t>
      </w:r>
      <w:r>
        <w:rPr>
          <w:rFonts w:ascii="Times New Roman" w:hAnsi="Times New Roman" w:cs="Times New Roman"/>
        </w:rPr>
        <w:t xml:space="preserve">, </w:t>
      </w:r>
      <w:r w:rsidR="004309EE" w:rsidRPr="004309EE">
        <w:rPr>
          <w:rFonts w:ascii="Times New Roman" w:hAnsi="Times New Roman" w:cs="Times New Roman"/>
          <w:b/>
          <w:bCs/>
        </w:rPr>
        <w:t>P=0.009</w:t>
      </w:r>
      <w:r w:rsidR="004309EE" w:rsidRPr="004309EE">
        <w:rPr>
          <w:rFonts w:ascii="Times New Roman" w:hAnsi="Times New Roman" w:cs="Times New Roman"/>
        </w:rPr>
        <w:t xml:space="preserve">. Use was also higher among the well-educated (67%) </w:t>
      </w:r>
      <w:r w:rsidR="00FE2925">
        <w:rPr>
          <w:rFonts w:ascii="Times New Roman" w:hAnsi="Times New Roman" w:cs="Times New Roman"/>
        </w:rPr>
        <w:t>as compared to</w:t>
      </w:r>
      <w:r w:rsidR="004309EE" w:rsidRPr="004309EE">
        <w:rPr>
          <w:rFonts w:ascii="Times New Roman" w:hAnsi="Times New Roman" w:cs="Times New Roman"/>
        </w:rPr>
        <w:t xml:space="preserve"> those with high income</w:t>
      </w:r>
      <w:r w:rsidR="00FE2925">
        <w:rPr>
          <w:rFonts w:ascii="Times New Roman" w:hAnsi="Times New Roman" w:cs="Times New Roman"/>
        </w:rPr>
        <w:t xml:space="preserve"> </w:t>
      </w:r>
      <w:r w:rsidR="004309EE" w:rsidRPr="004309EE">
        <w:rPr>
          <w:rFonts w:ascii="Times New Roman" w:hAnsi="Times New Roman" w:cs="Times New Roman"/>
        </w:rPr>
        <w:t xml:space="preserve">(37%) </w:t>
      </w:r>
      <w:r w:rsidR="004309EE" w:rsidRPr="004309EE">
        <w:rPr>
          <w:rFonts w:ascii="Times New Roman" w:hAnsi="Times New Roman" w:cs="Times New Roman"/>
          <w:b/>
          <w:bCs/>
        </w:rPr>
        <w:t>P=0.004</w:t>
      </w:r>
      <w:r w:rsidR="004309EE" w:rsidRPr="004309EE">
        <w:rPr>
          <w:rFonts w:ascii="Times New Roman" w:hAnsi="Times New Roman" w:cs="Times New Roman"/>
        </w:rPr>
        <w:t>.</w:t>
      </w:r>
      <w:r w:rsidRPr="00B97F03">
        <w:rPr>
          <w:rFonts w:ascii="Times New Roman" w:hAnsi="Times New Roman" w:cs="Times New Roman"/>
        </w:rPr>
        <w:t>13% of women with significant symptoms were on Menopause Hormone Treatment</w:t>
      </w:r>
    </w:p>
    <w:p w14:paraId="559F247E" w14:textId="77777777" w:rsidR="00FE2925" w:rsidRDefault="004309EE" w:rsidP="00FB3E9B">
      <w:pPr>
        <w:rPr>
          <w:rFonts w:ascii="Times New Roman" w:hAnsi="Times New Roman" w:cs="Times New Roman"/>
        </w:rPr>
      </w:pPr>
      <w:r w:rsidRPr="00FE2925">
        <w:rPr>
          <w:rFonts w:ascii="Times New Roman" w:hAnsi="Times New Roman" w:cs="Times New Roman"/>
          <w:sz w:val="28"/>
          <w:szCs w:val="28"/>
          <w:u w:val="single"/>
        </w:rPr>
        <w:t>Conclusions</w:t>
      </w:r>
      <w:r w:rsidRPr="00FE2925">
        <w:rPr>
          <w:rFonts w:ascii="Times New Roman" w:hAnsi="Times New Roman" w:cs="Times New Roman"/>
          <w:sz w:val="28"/>
          <w:szCs w:val="28"/>
        </w:rPr>
        <w:t>:</w:t>
      </w:r>
      <w:r w:rsidRPr="00FB3E9B">
        <w:rPr>
          <w:rFonts w:ascii="Times New Roman" w:hAnsi="Times New Roman" w:cs="Times New Roman"/>
        </w:rPr>
        <w:t xml:space="preserve"> </w:t>
      </w:r>
    </w:p>
    <w:p w14:paraId="31D499C2" w14:textId="118C9291" w:rsidR="00706AEE" w:rsidRPr="00FB3E9B" w:rsidRDefault="004309EE" w:rsidP="00FB3E9B">
      <w:pPr>
        <w:rPr>
          <w:rFonts w:ascii="Times New Roman" w:hAnsi="Times New Roman" w:cs="Times New Roman"/>
        </w:rPr>
      </w:pPr>
      <w:r w:rsidRPr="00FB3E9B">
        <w:rPr>
          <w:rFonts w:ascii="Times New Roman" w:hAnsi="Times New Roman" w:cs="Times New Roman"/>
        </w:rPr>
        <w:t xml:space="preserve">In this small study, a HIC-resident woman undergoes menopause nearly 2.5 years ahead of her LMIC-resident counterpart. The LMIC cohort demonstrates </w:t>
      </w:r>
      <w:r w:rsidR="00FE2925">
        <w:rPr>
          <w:rFonts w:ascii="Times New Roman" w:hAnsi="Times New Roman" w:cs="Times New Roman"/>
        </w:rPr>
        <w:t>poor</w:t>
      </w:r>
      <w:r w:rsidRPr="00FB3E9B">
        <w:rPr>
          <w:rFonts w:ascii="Times New Roman" w:hAnsi="Times New Roman" w:cs="Times New Roman"/>
        </w:rPr>
        <w:t xml:space="preserve">er </w:t>
      </w:r>
      <w:r w:rsidR="00FE2925">
        <w:rPr>
          <w:rFonts w:ascii="Times New Roman" w:hAnsi="Times New Roman" w:cs="Times New Roman"/>
        </w:rPr>
        <w:t xml:space="preserve">symptom-awareness </w:t>
      </w:r>
      <w:r w:rsidRPr="00FB3E9B">
        <w:rPr>
          <w:rFonts w:ascii="Times New Roman" w:hAnsi="Times New Roman" w:cs="Times New Roman"/>
        </w:rPr>
        <w:t xml:space="preserve">and </w:t>
      </w:r>
      <w:r w:rsidR="00FE2925">
        <w:rPr>
          <w:rFonts w:ascii="Times New Roman" w:hAnsi="Times New Roman" w:cs="Times New Roman"/>
        </w:rPr>
        <w:t xml:space="preserve">increased </w:t>
      </w:r>
      <w:r w:rsidRPr="00FB3E9B">
        <w:rPr>
          <w:rFonts w:ascii="Times New Roman" w:hAnsi="Times New Roman" w:cs="Times New Roman"/>
        </w:rPr>
        <w:t>treatment-deficit, with associated disease morbidity. These findings imply a need for clinical guidelines and public health awareness campaigns</w:t>
      </w:r>
      <w:r w:rsidR="00FE2925">
        <w:rPr>
          <w:rFonts w:ascii="Times New Roman" w:hAnsi="Times New Roman" w:cs="Times New Roman"/>
        </w:rPr>
        <w:t xml:space="preserve">, </w:t>
      </w:r>
      <w:r w:rsidRPr="00FB3E9B">
        <w:rPr>
          <w:rFonts w:ascii="Times New Roman" w:hAnsi="Times New Roman" w:cs="Times New Roman"/>
        </w:rPr>
        <w:t xml:space="preserve">specifically tailored to the socioeconomic and educational contexts of LMIC populations. This study uniquely quantifies the disparity in menopause experience and management between HIC and LMIC </w:t>
      </w:r>
      <w:r w:rsidRPr="00FB3E9B">
        <w:rPr>
          <w:rFonts w:ascii="Times New Roman" w:hAnsi="Times New Roman" w:cs="Times New Roman"/>
        </w:rPr>
        <w:lastRenderedPageBreak/>
        <w:t>residents of Sub-Saharan origin, highlighting a critical intervention point for reducing morbidity; future research should investigate causal mechanisms and evaluate targeted intervention programs.</w:t>
      </w:r>
    </w:p>
    <w:p w14:paraId="388CE663" w14:textId="77777777" w:rsidR="004309EE" w:rsidRDefault="004309EE" w:rsidP="00FD5302">
      <w:pPr>
        <w:pStyle w:val="NoSpacing"/>
        <w:rPr>
          <w:rFonts w:ascii="Times New Roman" w:hAnsi="Times New Roman" w:cs="Times New Roman"/>
        </w:rPr>
      </w:pPr>
    </w:p>
    <w:p w14:paraId="15EAE1CA" w14:textId="77777777" w:rsidR="004309EE" w:rsidRPr="003A11D8" w:rsidRDefault="004309EE" w:rsidP="00FD5302">
      <w:pPr>
        <w:pStyle w:val="NoSpacing"/>
        <w:rPr>
          <w:rFonts w:ascii="Times New Roman" w:hAnsi="Times New Roman" w:cs="Times New Roman"/>
        </w:rPr>
      </w:pPr>
    </w:p>
    <w:p w14:paraId="02E44850" w14:textId="23904B27" w:rsidR="00692CB7" w:rsidRDefault="00692CB7" w:rsidP="00692CB7">
      <w:pPr>
        <w:rPr>
          <w:rFonts w:ascii="Times New Roman" w:hAnsi="Times New Roman" w:cs="Times New Roman"/>
        </w:rPr>
      </w:pPr>
      <w:r w:rsidRPr="003A11D8">
        <w:rPr>
          <w:rFonts w:ascii="Times New Roman" w:hAnsi="Times New Roman" w:cs="Times New Roman"/>
          <w:b/>
          <w:bCs/>
        </w:rPr>
        <w:t>Keywords</w:t>
      </w:r>
      <w:r w:rsidRPr="003A11D8">
        <w:rPr>
          <w:rFonts w:ascii="Times New Roman" w:hAnsi="Times New Roman" w:cs="Times New Roman"/>
        </w:rPr>
        <w:t xml:space="preserve">: </w:t>
      </w:r>
      <w:r w:rsidR="00701156" w:rsidRPr="003A11D8">
        <w:rPr>
          <w:rFonts w:ascii="Times New Roman" w:hAnsi="Times New Roman" w:cs="Times New Roman"/>
        </w:rPr>
        <w:t>Domicile, Hypertension, LMIC</w:t>
      </w:r>
      <w:r w:rsidR="00A30439" w:rsidRPr="003A11D8">
        <w:rPr>
          <w:rFonts w:ascii="Times New Roman" w:hAnsi="Times New Roman" w:cs="Times New Roman"/>
        </w:rPr>
        <w:t>s</w:t>
      </w:r>
      <w:r w:rsidR="00701156" w:rsidRPr="003A11D8">
        <w:rPr>
          <w:rFonts w:ascii="Times New Roman" w:hAnsi="Times New Roman" w:cs="Times New Roman"/>
        </w:rPr>
        <w:t xml:space="preserve">, </w:t>
      </w:r>
      <w:r w:rsidRPr="003A11D8">
        <w:rPr>
          <w:rFonts w:ascii="Times New Roman" w:hAnsi="Times New Roman" w:cs="Times New Roman"/>
        </w:rPr>
        <w:t xml:space="preserve">Menopause, </w:t>
      </w:r>
      <w:r w:rsidR="00701156" w:rsidRPr="003A11D8">
        <w:rPr>
          <w:rFonts w:ascii="Times New Roman" w:hAnsi="Times New Roman" w:cs="Times New Roman"/>
        </w:rPr>
        <w:t>Sub-Saharan</w:t>
      </w:r>
      <w:r w:rsidR="006E7C16">
        <w:rPr>
          <w:rFonts w:ascii="Times New Roman" w:hAnsi="Times New Roman" w:cs="Times New Roman"/>
        </w:rPr>
        <w:t>, Residence</w:t>
      </w:r>
    </w:p>
    <w:p w14:paraId="1BD30757" w14:textId="77777777" w:rsidR="00725CD7" w:rsidRDefault="00725CD7" w:rsidP="00692CB7">
      <w:pPr>
        <w:rPr>
          <w:rFonts w:ascii="Times New Roman" w:hAnsi="Times New Roman" w:cs="Times New Roman"/>
        </w:rPr>
      </w:pPr>
    </w:p>
    <w:p w14:paraId="6CF98429" w14:textId="77777777" w:rsidR="0033319C" w:rsidRPr="0033319C" w:rsidRDefault="0033319C" w:rsidP="0033319C">
      <w:pPr>
        <w:rPr>
          <w:rFonts w:ascii="Times New Roman" w:hAnsi="Times New Roman" w:cs="Times New Roman"/>
        </w:rPr>
      </w:pPr>
      <w:r w:rsidRPr="0033319C">
        <w:rPr>
          <w:rFonts w:ascii="Times New Roman" w:hAnsi="Times New Roman" w:cs="Times New Roman"/>
          <w:b/>
          <w:bCs/>
        </w:rPr>
        <w:t>Introduction</w:t>
      </w:r>
    </w:p>
    <w:p w14:paraId="3B5010A1" w14:textId="19F182D0" w:rsidR="0033319C" w:rsidRPr="0033319C" w:rsidRDefault="0033319C" w:rsidP="0033319C">
      <w:pPr>
        <w:rPr>
          <w:rFonts w:ascii="Times New Roman" w:hAnsi="Times New Roman" w:cs="Times New Roman"/>
        </w:rPr>
      </w:pPr>
      <w:r w:rsidRPr="0033319C">
        <w:rPr>
          <w:rFonts w:ascii="Times New Roman" w:hAnsi="Times New Roman" w:cs="Times New Roman"/>
        </w:rPr>
        <w:t xml:space="preserve">There is limited awareness of the wide range of menopausal symptoms in the sub-Saharan African woman in the low- to </w:t>
      </w:r>
      <w:r w:rsidR="005F568F">
        <w:rPr>
          <w:rFonts w:ascii="Times New Roman" w:hAnsi="Times New Roman" w:cs="Times New Roman"/>
        </w:rPr>
        <w:t>medium-income</w:t>
      </w:r>
      <w:r w:rsidRPr="0033319C">
        <w:rPr>
          <w:rFonts w:ascii="Times New Roman" w:hAnsi="Times New Roman" w:cs="Times New Roman"/>
        </w:rPr>
        <w:t xml:space="preserve"> country (LMIC) as compared to </w:t>
      </w:r>
      <w:r w:rsidR="004740B0">
        <w:rPr>
          <w:rFonts w:ascii="Times New Roman" w:hAnsi="Times New Roman" w:cs="Times New Roman"/>
        </w:rPr>
        <w:t>high-income</w:t>
      </w:r>
      <w:r w:rsidRPr="0033319C">
        <w:rPr>
          <w:rFonts w:ascii="Times New Roman" w:hAnsi="Times New Roman" w:cs="Times New Roman"/>
        </w:rPr>
        <w:t xml:space="preserve"> countries (HIC). This is largely due to the socio-cultural construct of menopause being natural and a rite of passage to elevated social role changes.</w:t>
      </w:r>
    </w:p>
    <w:p w14:paraId="099AD485" w14:textId="77777777" w:rsidR="0033319C" w:rsidRPr="0033319C" w:rsidRDefault="0033319C" w:rsidP="0033319C">
      <w:pPr>
        <w:rPr>
          <w:rFonts w:ascii="Times New Roman" w:hAnsi="Times New Roman" w:cs="Times New Roman"/>
        </w:rPr>
      </w:pPr>
      <w:r w:rsidRPr="0033319C">
        <w:rPr>
          <w:rFonts w:ascii="Times New Roman" w:hAnsi="Times New Roman" w:cs="Times New Roman"/>
        </w:rPr>
        <w:t>Menopause is the complete cessation of menstrual periods, defined as 12 consecutive months of amenorrhea for which there is no other obvious pathological or physiological cause—a diagnosis made in retrospect. The Perimenopause is the period before the menopause and the 1st year after the menopause¹. This transition may be uneventful for as many as 20% of women but could result in one or more troubling symptoms with varying severity.</w:t>
      </w:r>
    </w:p>
    <w:p w14:paraId="13D7B89A" w14:textId="77777777" w:rsidR="0033319C" w:rsidRPr="0033319C" w:rsidRDefault="0033319C" w:rsidP="0033319C">
      <w:pPr>
        <w:rPr>
          <w:rFonts w:ascii="Times New Roman" w:hAnsi="Times New Roman" w:cs="Times New Roman"/>
        </w:rPr>
      </w:pPr>
      <w:r w:rsidRPr="0033319C">
        <w:rPr>
          <w:rFonts w:ascii="Times New Roman" w:hAnsi="Times New Roman" w:cs="Times New Roman"/>
        </w:rPr>
        <w:t>The commonest menopause symptoms are the vasomotor symptoms, followed by sexual symptoms such as lack of desire, arousal, or lubrication. These are followed by genitourinary symptoms, sleep disorders, mood disturbances (including mood lability swings, anxiety, and depression), and musculoskeletal symptoms</w:t>
      </w:r>
      <w:bookmarkStart w:id="0" w:name="_Hlk216553835"/>
      <w:r w:rsidRPr="0033319C">
        <w:rPr>
          <w:rFonts w:ascii="Times New Roman" w:hAnsi="Times New Roman" w:cs="Times New Roman"/>
        </w:rPr>
        <w:t>²</w:t>
      </w:r>
      <w:bookmarkEnd w:id="0"/>
      <w:r w:rsidRPr="0033319C">
        <w:rPr>
          <w:rFonts w:ascii="Times New Roman" w:hAnsi="Times New Roman" w:cs="Times New Roman"/>
        </w:rPr>
        <w:t>.</w:t>
      </w:r>
    </w:p>
    <w:p w14:paraId="4DAD5F31" w14:textId="67C49896" w:rsidR="00104F7C" w:rsidRDefault="00104F7C" w:rsidP="0033319C">
      <w:pPr>
        <w:rPr>
          <w:rFonts w:ascii="Times New Roman" w:hAnsi="Times New Roman" w:cs="Times New Roman"/>
        </w:rPr>
      </w:pPr>
      <w:r w:rsidRPr="00104F7C">
        <w:rPr>
          <w:rFonts w:ascii="Times New Roman" w:hAnsi="Times New Roman" w:cs="Times New Roman"/>
        </w:rPr>
        <w:t xml:space="preserve">There is </w:t>
      </w:r>
      <w:r w:rsidR="00CF532E">
        <w:rPr>
          <w:rFonts w:ascii="Times New Roman" w:hAnsi="Times New Roman" w:cs="Times New Roman"/>
        </w:rPr>
        <w:t>a</w:t>
      </w:r>
      <w:r w:rsidRPr="00104F7C">
        <w:rPr>
          <w:rFonts w:ascii="Times New Roman" w:hAnsi="Times New Roman" w:cs="Times New Roman"/>
        </w:rPr>
        <w:t xml:space="preserve"> paucity as to the prevalence and distribution of these symptoms amongst SSA women, and much less on the possible impact of different residences or domiciles. While regional studies have begun to establish epidemiological norms, such as a mean menopausal age of 49.1 years among women in southern Nigeri</w:t>
      </w:r>
      <w:r w:rsidR="00CF532E">
        <w:rPr>
          <w:rFonts w:ascii="Times New Roman" w:hAnsi="Times New Roman" w:cs="Times New Roman"/>
        </w:rPr>
        <w:t>a</w:t>
      </w:r>
      <w:r w:rsidR="00CF532E">
        <w:rPr>
          <w:rFonts w:ascii="Times New Roman" w:hAnsi="Times New Roman" w:cs="Times New Roman"/>
          <w:vertAlign w:val="superscript"/>
        </w:rPr>
        <w:t>3</w:t>
      </w:r>
      <w:commentRangeStart w:id="1"/>
      <w:commentRangeEnd w:id="1"/>
      <w:r w:rsidRPr="00104F7C">
        <w:rPr>
          <w:rFonts w:ascii="Times New Roman" w:hAnsi="Times New Roman" w:cs="Times New Roman"/>
        </w:rPr>
        <w:t>, comprehensive comparative analyses of the full menopausal experience—encompassing symptom profiles, knowledge, and treatment access—across different residential and socioeconomic contexts remain scarce.</w:t>
      </w:r>
    </w:p>
    <w:p w14:paraId="55D1ADF5" w14:textId="0D126C48" w:rsidR="0033319C" w:rsidRPr="0033319C" w:rsidRDefault="0033319C" w:rsidP="0033319C">
      <w:pPr>
        <w:rPr>
          <w:rFonts w:ascii="Times New Roman" w:hAnsi="Times New Roman" w:cs="Times New Roman"/>
        </w:rPr>
      </w:pPr>
      <w:r w:rsidRPr="0033319C">
        <w:rPr>
          <w:rFonts w:ascii="Times New Roman" w:hAnsi="Times New Roman" w:cs="Times New Roman"/>
        </w:rPr>
        <w:t>Limited data have been incidental findings indicating a variable prevalence, noted during large population studies on Human Immunodeficiency virus (HIV) research</w:t>
      </w:r>
      <w:r w:rsidR="00CF532E">
        <w:rPr>
          <w:rFonts w:ascii="Times New Roman" w:hAnsi="Times New Roman" w:cs="Times New Roman"/>
        </w:rPr>
        <w:t>,</w:t>
      </w:r>
      <w:r w:rsidRPr="0033319C">
        <w:rPr>
          <w:rFonts w:ascii="Times New Roman" w:hAnsi="Times New Roman" w:cs="Times New Roman"/>
        </w:rPr>
        <w:t xml:space="preserve"> largely in the South and Southeastern areas of Africa. As HIV alters the menopause experience, these findings may not be totally representative</w:t>
      </w:r>
      <w:r w:rsidR="00CF532E">
        <w:rPr>
          <w:rFonts w:ascii="Times New Roman" w:hAnsi="Times New Roman" w:cs="Times New Roman"/>
        </w:rPr>
        <w:t xml:space="preserve"> </w:t>
      </w:r>
      <w:r w:rsidR="00CF532E">
        <w:rPr>
          <w:rFonts w:ascii="Times New Roman" w:hAnsi="Times New Roman" w:cs="Times New Roman"/>
          <w:vertAlign w:val="superscript"/>
        </w:rPr>
        <w:t>4</w:t>
      </w:r>
      <w:r w:rsidRPr="0033319C">
        <w:rPr>
          <w:rFonts w:ascii="Times New Roman" w:hAnsi="Times New Roman" w:cs="Times New Roman"/>
        </w:rPr>
        <w:t xml:space="preserve"> alongside other confounders such as prevailing national health systems and climatic variations.</w:t>
      </w:r>
    </w:p>
    <w:p w14:paraId="680B6AD1" w14:textId="37214402" w:rsidR="0033319C" w:rsidRPr="0033319C" w:rsidRDefault="0033319C" w:rsidP="0033319C">
      <w:pPr>
        <w:rPr>
          <w:rFonts w:ascii="Times New Roman" w:hAnsi="Times New Roman" w:cs="Times New Roman"/>
        </w:rPr>
      </w:pPr>
      <w:r w:rsidRPr="0033319C">
        <w:rPr>
          <w:rFonts w:ascii="Times New Roman" w:hAnsi="Times New Roman" w:cs="Times New Roman"/>
        </w:rPr>
        <w:t xml:space="preserve">There are </w:t>
      </w:r>
      <w:r w:rsidR="00D67DDD">
        <w:rPr>
          <w:rFonts w:ascii="Times New Roman" w:hAnsi="Times New Roman" w:cs="Times New Roman"/>
        </w:rPr>
        <w:t xml:space="preserve">a </w:t>
      </w:r>
      <w:r w:rsidRPr="0033319C">
        <w:rPr>
          <w:rFonts w:ascii="Times New Roman" w:hAnsi="Times New Roman" w:cs="Times New Roman"/>
        </w:rPr>
        <w:t xml:space="preserve">few studies within the West African setting. Fewer Nigerian studies reflect a wide variation of menopause age from </w:t>
      </w:r>
      <w:r w:rsidR="00D67DDD">
        <w:rPr>
          <w:rFonts w:ascii="Times New Roman" w:hAnsi="Times New Roman" w:cs="Times New Roman"/>
        </w:rPr>
        <w:t>49 years</w:t>
      </w:r>
      <w:r w:rsidRPr="0033319C">
        <w:rPr>
          <w:rFonts w:ascii="Times New Roman" w:hAnsi="Times New Roman" w:cs="Times New Roman"/>
        </w:rPr>
        <w:t xml:space="preserve"> to </w:t>
      </w:r>
      <w:r w:rsidR="00D67DDD">
        <w:rPr>
          <w:rFonts w:ascii="Times New Roman" w:hAnsi="Times New Roman" w:cs="Times New Roman"/>
        </w:rPr>
        <w:t xml:space="preserve">57 years, </w:t>
      </w:r>
      <w:r w:rsidRPr="0033319C">
        <w:rPr>
          <w:rFonts w:ascii="Times New Roman" w:hAnsi="Times New Roman" w:cs="Times New Roman"/>
        </w:rPr>
        <w:t>depending on geographical location</w:t>
      </w:r>
      <w:r>
        <w:rPr>
          <w:rFonts w:ascii="Times New Roman" w:hAnsi="Times New Roman" w:cs="Times New Roman"/>
        </w:rPr>
        <w:t xml:space="preserve"> </w:t>
      </w:r>
      <w:r w:rsidR="00CF532E">
        <w:rPr>
          <w:rFonts w:ascii="Times New Roman" w:hAnsi="Times New Roman" w:cs="Times New Roman"/>
          <w:vertAlign w:val="superscript"/>
        </w:rPr>
        <w:t>5,6</w:t>
      </w:r>
      <w:r w:rsidRPr="0033319C">
        <w:rPr>
          <w:rFonts w:ascii="Times New Roman" w:hAnsi="Times New Roman" w:cs="Times New Roman"/>
        </w:rPr>
        <w:t>.</w:t>
      </w:r>
    </w:p>
    <w:p w14:paraId="190DB376" w14:textId="77777777" w:rsidR="0033319C" w:rsidRPr="0033319C" w:rsidRDefault="0033319C" w:rsidP="0033319C">
      <w:pPr>
        <w:rPr>
          <w:rFonts w:ascii="Times New Roman" w:hAnsi="Times New Roman" w:cs="Times New Roman"/>
        </w:rPr>
      </w:pPr>
      <w:r w:rsidRPr="0033319C">
        <w:rPr>
          <w:rFonts w:ascii="Times New Roman" w:hAnsi="Times New Roman" w:cs="Times New Roman"/>
        </w:rPr>
        <w:t>Currently, a lot of available data has been extrapolated from studies on African American women. This may not be entirely representative due to differences in geographical location, health awareness, sunlight exposure, variable systemic health inequity and social deprivation, systemic geopolitical and individual barriers to medication use, and dietary and exercise regimes.</w:t>
      </w:r>
    </w:p>
    <w:p w14:paraId="3DAA800C" w14:textId="602E4465" w:rsidR="0033319C" w:rsidRPr="0033319C" w:rsidRDefault="0033319C" w:rsidP="0033319C">
      <w:pPr>
        <w:rPr>
          <w:rFonts w:ascii="Times New Roman" w:hAnsi="Times New Roman" w:cs="Times New Roman"/>
        </w:rPr>
      </w:pPr>
      <w:r w:rsidRPr="0033319C">
        <w:rPr>
          <w:rFonts w:ascii="Times New Roman" w:hAnsi="Times New Roman" w:cs="Times New Roman"/>
          <w:b/>
          <w:bCs/>
        </w:rPr>
        <w:lastRenderedPageBreak/>
        <w:t>Systemic Barriers</w:t>
      </w:r>
      <w:r w:rsidRPr="0033319C">
        <w:rPr>
          <w:rFonts w:ascii="Times New Roman" w:hAnsi="Times New Roman" w:cs="Times New Roman"/>
        </w:rPr>
        <w:br/>
        <w:t>Over 80% of African nations fall within the LMIC category</w:t>
      </w:r>
      <w:r w:rsidR="00CF532E">
        <w:rPr>
          <w:rFonts w:ascii="Times New Roman" w:hAnsi="Times New Roman" w:cs="Times New Roman"/>
          <w:vertAlign w:val="superscript"/>
        </w:rPr>
        <w:t>7</w:t>
      </w:r>
      <w:r w:rsidRPr="0033319C">
        <w:rPr>
          <w:rFonts w:ascii="Times New Roman" w:hAnsi="Times New Roman" w:cs="Times New Roman"/>
        </w:rPr>
        <w:t>. These are often characterised by an inadequate healthcare sector, poor infrastructure, few healthcare personnel, and lack of affordable drugs within inadequate health programs—all products of limited budgetary expenditure.</w:t>
      </w:r>
    </w:p>
    <w:p w14:paraId="50FF1F74" w14:textId="53A004F7" w:rsidR="0033319C" w:rsidRPr="0033319C" w:rsidRDefault="0033319C" w:rsidP="0033319C">
      <w:pPr>
        <w:rPr>
          <w:rFonts w:ascii="Times New Roman" w:hAnsi="Times New Roman" w:cs="Times New Roman"/>
        </w:rPr>
      </w:pPr>
      <w:r w:rsidRPr="0033319C">
        <w:rPr>
          <w:rFonts w:ascii="Times New Roman" w:hAnsi="Times New Roman" w:cs="Times New Roman"/>
        </w:rPr>
        <w:t xml:space="preserve">Access to menopause care is complicated by </w:t>
      </w:r>
      <w:r w:rsidR="00D67DDD">
        <w:rPr>
          <w:rFonts w:ascii="Times New Roman" w:hAnsi="Times New Roman" w:cs="Times New Roman"/>
        </w:rPr>
        <w:t xml:space="preserve">a </w:t>
      </w:r>
      <w:r w:rsidRPr="0033319C">
        <w:rPr>
          <w:rFonts w:ascii="Times New Roman" w:hAnsi="Times New Roman" w:cs="Times New Roman"/>
        </w:rPr>
        <w:t xml:space="preserve">limited understanding of the perimenopause by both healthcare professionals and women alike. It is further hampered by a dismissive attitude to symptoms, given the sociocultural construct that assumes it is a </w:t>
      </w:r>
      <w:r w:rsidR="00D67DDD">
        <w:rPr>
          <w:rFonts w:ascii="Times New Roman" w:hAnsi="Times New Roman" w:cs="Times New Roman"/>
        </w:rPr>
        <w:t>‘W</w:t>
      </w:r>
      <w:r w:rsidRPr="0033319C">
        <w:rPr>
          <w:rFonts w:ascii="Times New Roman" w:hAnsi="Times New Roman" w:cs="Times New Roman"/>
        </w:rPr>
        <w:t>estern</w:t>
      </w:r>
      <w:r w:rsidR="00D67DDD">
        <w:rPr>
          <w:rFonts w:ascii="Times New Roman" w:hAnsi="Times New Roman" w:cs="Times New Roman"/>
        </w:rPr>
        <w:t>’</w:t>
      </w:r>
      <w:r w:rsidRPr="0033319C">
        <w:rPr>
          <w:rFonts w:ascii="Times New Roman" w:hAnsi="Times New Roman" w:cs="Times New Roman"/>
        </w:rPr>
        <w:t xml:space="preserve"> disease, underpinned by economic factors</w:t>
      </w:r>
      <w:r w:rsidR="00CF532E">
        <w:rPr>
          <w:rFonts w:ascii="Times New Roman" w:hAnsi="Times New Roman" w:cs="Times New Roman"/>
          <w:vertAlign w:val="superscript"/>
        </w:rPr>
        <w:t>8</w:t>
      </w:r>
      <w:r w:rsidRPr="0033319C">
        <w:rPr>
          <w:rFonts w:ascii="Times New Roman" w:hAnsi="Times New Roman" w:cs="Times New Roman"/>
        </w:rPr>
        <w:t>. These factors cause delays in identification and subsequent management and are not helped by the prevailing poor literacy, life experiences, financial constraints, and healthcare accessibility constraints. This reinforces a heavy reliance on traditional knowledge and community wisdom.</w:t>
      </w:r>
    </w:p>
    <w:p w14:paraId="66668FD6" w14:textId="3CEB5F0F" w:rsidR="0033319C" w:rsidRPr="0033319C" w:rsidRDefault="0033319C" w:rsidP="0033319C">
      <w:pPr>
        <w:rPr>
          <w:rFonts w:ascii="Times New Roman" w:hAnsi="Times New Roman" w:cs="Times New Roman"/>
        </w:rPr>
      </w:pPr>
      <w:r w:rsidRPr="0033319C">
        <w:rPr>
          <w:rFonts w:ascii="Times New Roman" w:hAnsi="Times New Roman" w:cs="Times New Roman"/>
        </w:rPr>
        <w:t>With a limited life expectancy and a focus on other chronic diseases with significant mortality or morbidity—alongside health concerns arising from social deprivation and other parameters of poverty and health inequality</w:t>
      </w:r>
      <w:r w:rsidR="00CF532E">
        <w:rPr>
          <w:rFonts w:ascii="Times New Roman" w:hAnsi="Times New Roman" w:cs="Times New Roman"/>
        </w:rPr>
        <w:t>,</w:t>
      </w:r>
      <w:r w:rsidRPr="0033319C">
        <w:rPr>
          <w:rFonts w:ascii="Times New Roman" w:hAnsi="Times New Roman" w:cs="Times New Roman"/>
        </w:rPr>
        <w:t xml:space="preserve"> such as maternal and infant mortality—menopause symptoms are often ignored and left to fester in the background.</w:t>
      </w:r>
    </w:p>
    <w:p w14:paraId="07A8F7C3" w14:textId="7E40BC53" w:rsidR="0033319C" w:rsidRPr="0033319C" w:rsidRDefault="0033319C" w:rsidP="0033319C">
      <w:pPr>
        <w:rPr>
          <w:rFonts w:ascii="Times New Roman" w:hAnsi="Times New Roman" w:cs="Times New Roman"/>
        </w:rPr>
      </w:pPr>
      <w:r w:rsidRPr="0033319C">
        <w:rPr>
          <w:rFonts w:ascii="Times New Roman" w:hAnsi="Times New Roman" w:cs="Times New Roman"/>
        </w:rPr>
        <w:t xml:space="preserve">Nevertheless, it is difficult to lay it all on culture and health inequality. A similar pattern of reduced access and treatment has been observed in a HIC setting study which examined some General practitioner surgeries in the United Kingdom, identifying literacy, poor communication, social deprivation and cultural bias as the distinct confounders </w:t>
      </w:r>
      <w:r w:rsidR="00CF532E">
        <w:rPr>
          <w:rFonts w:ascii="Times New Roman" w:hAnsi="Times New Roman" w:cs="Times New Roman"/>
          <w:vertAlign w:val="superscript"/>
        </w:rPr>
        <w:t>9</w:t>
      </w:r>
      <w:r w:rsidR="00B97F03">
        <w:rPr>
          <w:rFonts w:ascii="Times New Roman" w:hAnsi="Times New Roman" w:cs="Times New Roman"/>
          <w:vertAlign w:val="superscript"/>
        </w:rPr>
        <w:t>,10</w:t>
      </w:r>
      <w:r w:rsidRPr="0033319C">
        <w:rPr>
          <w:rFonts w:ascii="Times New Roman" w:hAnsi="Times New Roman" w:cs="Times New Roman"/>
        </w:rPr>
        <w:t>.</w:t>
      </w:r>
    </w:p>
    <w:p w14:paraId="7835A058" w14:textId="348016CA" w:rsidR="0033319C" w:rsidRPr="0033319C" w:rsidRDefault="0033319C" w:rsidP="0033319C">
      <w:pPr>
        <w:rPr>
          <w:rFonts w:ascii="Times New Roman" w:hAnsi="Times New Roman" w:cs="Times New Roman"/>
        </w:rPr>
      </w:pPr>
      <w:r w:rsidRPr="0033319C">
        <w:rPr>
          <w:rFonts w:ascii="Times New Roman" w:hAnsi="Times New Roman" w:cs="Times New Roman"/>
          <w:b/>
          <w:bCs/>
        </w:rPr>
        <w:t>Symptom Presentation</w:t>
      </w:r>
      <w:r w:rsidRPr="0033319C">
        <w:rPr>
          <w:rFonts w:ascii="Times New Roman" w:hAnsi="Times New Roman" w:cs="Times New Roman"/>
        </w:rPr>
        <w:br/>
        <w:t xml:space="preserve">Vasomotor symptoms can sometimes be mistaken </w:t>
      </w:r>
      <w:r w:rsidR="00B97F03">
        <w:rPr>
          <w:rFonts w:ascii="Times New Roman" w:hAnsi="Times New Roman" w:cs="Times New Roman"/>
        </w:rPr>
        <w:t>for</w:t>
      </w:r>
      <w:r w:rsidRPr="0033319C">
        <w:rPr>
          <w:rFonts w:ascii="Times New Roman" w:hAnsi="Times New Roman" w:cs="Times New Roman"/>
        </w:rPr>
        <w:t xml:space="preserve"> climate or weather effects in tropical countries and are often ignored or tolerated. Genitourinary symptoms can present with vaginal symptoms and psychosexual sequelae</w:t>
      </w:r>
      <w:r w:rsidR="00B97F03">
        <w:rPr>
          <w:rFonts w:ascii="Times New Roman" w:hAnsi="Times New Roman" w:cs="Times New Roman"/>
        </w:rPr>
        <w:t>,</w:t>
      </w:r>
      <w:r w:rsidRPr="0033319C">
        <w:rPr>
          <w:rFonts w:ascii="Times New Roman" w:hAnsi="Times New Roman" w:cs="Times New Roman"/>
        </w:rPr>
        <w:t xml:space="preserve"> which are often difficult to manage, given confounders such as relationship difficulties and background social construct</w:t>
      </w:r>
      <w:r w:rsidR="00B97F03">
        <w:rPr>
          <w:rFonts w:ascii="Times New Roman" w:hAnsi="Times New Roman" w:cs="Times New Roman"/>
        </w:rPr>
        <w:t>s</w:t>
      </w:r>
      <w:r w:rsidRPr="0033319C">
        <w:rPr>
          <w:rFonts w:ascii="Times New Roman" w:hAnsi="Times New Roman" w:cs="Times New Roman"/>
        </w:rPr>
        <w:t>.</w:t>
      </w:r>
    </w:p>
    <w:p w14:paraId="3C554C20" w14:textId="597A74D4" w:rsidR="0033319C" w:rsidRPr="0033319C" w:rsidRDefault="0033319C" w:rsidP="0033319C">
      <w:pPr>
        <w:rPr>
          <w:rFonts w:ascii="Times New Roman" w:hAnsi="Times New Roman" w:cs="Times New Roman"/>
        </w:rPr>
      </w:pPr>
      <w:r w:rsidRPr="0033319C">
        <w:rPr>
          <w:rFonts w:ascii="Times New Roman" w:hAnsi="Times New Roman" w:cs="Times New Roman"/>
        </w:rPr>
        <w:t>As marital relations are sometimes not in the forefront in this age group, particularly in the LMIC setting</w:t>
      </w:r>
      <w:r w:rsidR="00B97F03">
        <w:rPr>
          <w:rFonts w:ascii="Times New Roman" w:hAnsi="Times New Roman" w:cs="Times New Roman"/>
        </w:rPr>
        <w:t>,</w:t>
      </w:r>
      <w:r w:rsidRPr="0033319C">
        <w:rPr>
          <w:rFonts w:ascii="Times New Roman" w:hAnsi="Times New Roman" w:cs="Times New Roman"/>
        </w:rPr>
        <w:t xml:space="preserve"> with most women having completed childbearing, any genitourinary or sexual symptoms and associated marital disharmony are either not recognised or not considered a major concern</w:t>
      </w:r>
      <w:r w:rsidR="00CF532E">
        <w:rPr>
          <w:rFonts w:ascii="Times New Roman" w:hAnsi="Times New Roman" w:cs="Times New Roman"/>
          <w:vertAlign w:val="superscript"/>
        </w:rPr>
        <w:t>5,6</w:t>
      </w:r>
      <w:r w:rsidRPr="0033319C">
        <w:rPr>
          <w:rFonts w:ascii="Times New Roman" w:hAnsi="Times New Roman" w:cs="Times New Roman"/>
        </w:rPr>
        <w:t>. In the event of distressing symptomatology, the prevalent cultural or religious bias sometimes creates embarrassment when seeking help. This results in a desire to avoid or reluctantly engage with formal healthcare provision. These factors, combined with community wisdom, lead to an observed reliance on herbs and exercise, limiting a drive for formal treatment</w:t>
      </w:r>
      <w:r w:rsidR="00F233A8">
        <w:rPr>
          <w:rFonts w:ascii="Times New Roman" w:hAnsi="Times New Roman" w:cs="Times New Roman"/>
          <w:vertAlign w:val="superscript"/>
        </w:rPr>
        <w:t>11</w:t>
      </w:r>
      <w:r w:rsidRPr="0033319C">
        <w:rPr>
          <w:rFonts w:ascii="Times New Roman" w:hAnsi="Times New Roman" w:cs="Times New Roman"/>
        </w:rPr>
        <w:t>.</w:t>
      </w:r>
    </w:p>
    <w:p w14:paraId="24A76C3D" w14:textId="77777777" w:rsidR="00213019" w:rsidRDefault="00213019" w:rsidP="00692CB7">
      <w:pPr>
        <w:rPr>
          <w:rFonts w:ascii="Times New Roman" w:hAnsi="Times New Roman" w:cs="Times New Roman"/>
          <w:b/>
          <w:bCs/>
        </w:rPr>
      </w:pPr>
    </w:p>
    <w:p w14:paraId="340037BD" w14:textId="77777777" w:rsidR="00D67DDD" w:rsidRPr="00213019" w:rsidRDefault="00D67DDD" w:rsidP="00D67DDD">
      <w:pPr>
        <w:rPr>
          <w:rFonts w:ascii="Times New Roman" w:hAnsi="Times New Roman" w:cs="Times New Roman"/>
          <w:b/>
          <w:bCs/>
        </w:rPr>
      </w:pPr>
      <w:r w:rsidRPr="00213019">
        <w:rPr>
          <w:rFonts w:ascii="Times New Roman" w:hAnsi="Times New Roman" w:cs="Times New Roman"/>
          <w:b/>
          <w:bCs/>
        </w:rPr>
        <w:t>Objectives</w:t>
      </w:r>
    </w:p>
    <w:p w14:paraId="2529AA76" w14:textId="18BFA991" w:rsidR="00D67DDD" w:rsidRPr="00D67DDD" w:rsidRDefault="00D67DDD" w:rsidP="00692CB7">
      <w:pPr>
        <w:rPr>
          <w:rFonts w:ascii="Times New Roman" w:hAnsi="Times New Roman" w:cs="Times New Roman"/>
        </w:rPr>
      </w:pPr>
      <w:r w:rsidRPr="00213019">
        <w:rPr>
          <w:rFonts w:ascii="Times New Roman" w:hAnsi="Times New Roman" w:cs="Times New Roman"/>
        </w:rPr>
        <w:t>The primary objective was to identify the age of menopause alongside population characteristics, knowledge of menopausal symptoms, and associated cultural nuances. The secondary objectives assessed symptom prevalence, quality</w:t>
      </w:r>
      <w:r>
        <w:rPr>
          <w:rFonts w:ascii="Times New Roman" w:hAnsi="Times New Roman" w:cs="Times New Roman"/>
        </w:rPr>
        <w:t>-</w:t>
      </w:r>
      <w:r w:rsidRPr="00213019">
        <w:rPr>
          <w:rFonts w:ascii="Times New Roman" w:hAnsi="Times New Roman" w:cs="Times New Roman"/>
        </w:rPr>
        <w:t>of</w:t>
      </w:r>
      <w:r>
        <w:rPr>
          <w:rFonts w:ascii="Times New Roman" w:hAnsi="Times New Roman" w:cs="Times New Roman"/>
        </w:rPr>
        <w:t>-</w:t>
      </w:r>
      <w:r w:rsidRPr="00213019">
        <w:rPr>
          <w:rFonts w:ascii="Times New Roman" w:hAnsi="Times New Roman" w:cs="Times New Roman"/>
        </w:rPr>
        <w:t>life impact, and the knowledge and treatment</w:t>
      </w:r>
      <w:r>
        <w:rPr>
          <w:rFonts w:ascii="Times New Roman" w:hAnsi="Times New Roman" w:cs="Times New Roman"/>
        </w:rPr>
        <w:t>-</w:t>
      </w:r>
      <w:r w:rsidRPr="00213019">
        <w:rPr>
          <w:rFonts w:ascii="Times New Roman" w:hAnsi="Times New Roman" w:cs="Times New Roman"/>
        </w:rPr>
        <w:t>gap specific to domiciles</w:t>
      </w:r>
      <w:r>
        <w:rPr>
          <w:rFonts w:ascii="Times New Roman" w:hAnsi="Times New Roman" w:cs="Times New Roman"/>
        </w:rPr>
        <w:t xml:space="preserve"> in the</w:t>
      </w:r>
      <w:r w:rsidRPr="00213019">
        <w:rPr>
          <w:rFonts w:ascii="Times New Roman" w:hAnsi="Times New Roman" w:cs="Times New Roman"/>
        </w:rPr>
        <w:t xml:space="preserve"> HIC</w:t>
      </w:r>
      <w:r>
        <w:rPr>
          <w:rFonts w:ascii="Times New Roman" w:hAnsi="Times New Roman" w:cs="Times New Roman"/>
        </w:rPr>
        <w:t xml:space="preserve"> or</w:t>
      </w:r>
      <w:r w:rsidRPr="00213019">
        <w:rPr>
          <w:rFonts w:ascii="Times New Roman" w:hAnsi="Times New Roman" w:cs="Times New Roman"/>
        </w:rPr>
        <w:t xml:space="preserve"> LMIC.</w:t>
      </w:r>
    </w:p>
    <w:p w14:paraId="4379D57F" w14:textId="77777777" w:rsidR="00D67DDD" w:rsidRDefault="00D67DDD" w:rsidP="00692CB7">
      <w:pPr>
        <w:rPr>
          <w:rFonts w:ascii="Times New Roman" w:hAnsi="Times New Roman" w:cs="Times New Roman"/>
          <w:b/>
          <w:bCs/>
        </w:rPr>
      </w:pPr>
    </w:p>
    <w:p w14:paraId="7130FCEA" w14:textId="4A7D4982" w:rsidR="00692CB7" w:rsidRDefault="00213019" w:rsidP="00692CB7">
      <w:pPr>
        <w:rPr>
          <w:rFonts w:ascii="Times New Roman" w:hAnsi="Times New Roman" w:cs="Times New Roman"/>
          <w:b/>
          <w:bCs/>
        </w:rPr>
      </w:pPr>
      <w:r w:rsidRPr="00213019">
        <w:rPr>
          <w:rFonts w:ascii="Times New Roman" w:hAnsi="Times New Roman" w:cs="Times New Roman"/>
          <w:b/>
          <w:bCs/>
        </w:rPr>
        <w:t>Materials and Methods</w:t>
      </w:r>
    </w:p>
    <w:p w14:paraId="550C7641" w14:textId="77777777" w:rsidR="00213019" w:rsidRPr="00213019" w:rsidRDefault="00213019" w:rsidP="00213019">
      <w:pPr>
        <w:rPr>
          <w:rFonts w:ascii="Times New Roman" w:hAnsi="Times New Roman" w:cs="Times New Roman"/>
          <w:b/>
          <w:bCs/>
        </w:rPr>
      </w:pPr>
      <w:r w:rsidRPr="00213019">
        <w:rPr>
          <w:rFonts w:ascii="Times New Roman" w:hAnsi="Times New Roman" w:cs="Times New Roman"/>
          <w:b/>
          <w:bCs/>
        </w:rPr>
        <w:t>Study Design and Setting</w:t>
      </w:r>
    </w:p>
    <w:p w14:paraId="0CFCD84F" w14:textId="77777777" w:rsidR="00D67DDD" w:rsidRDefault="00213019" w:rsidP="00213019">
      <w:pPr>
        <w:rPr>
          <w:rFonts w:ascii="Times New Roman" w:hAnsi="Times New Roman" w:cs="Times New Roman"/>
        </w:rPr>
      </w:pPr>
      <w:r w:rsidRPr="00213019">
        <w:rPr>
          <w:rFonts w:ascii="Times New Roman" w:hAnsi="Times New Roman" w:cs="Times New Roman"/>
        </w:rPr>
        <w:t>This was an electronic, cross-sectional community study with an integrated qualitative component. The survey was administered securely over a 6-week period in June 2024. Its development followed stakeholder and focus group questionnaire validation. It targeted women of West, East, and Southern African origin over the age of 40 years who had reached menopause.</w:t>
      </w:r>
    </w:p>
    <w:p w14:paraId="453D5AFD" w14:textId="38BF7F65" w:rsidR="00213019" w:rsidRPr="00D67DDD" w:rsidRDefault="00213019" w:rsidP="00213019">
      <w:pPr>
        <w:rPr>
          <w:rFonts w:ascii="Times New Roman" w:hAnsi="Times New Roman" w:cs="Times New Roman"/>
        </w:rPr>
      </w:pPr>
      <w:r w:rsidRPr="00213019">
        <w:rPr>
          <w:rFonts w:ascii="Times New Roman" w:hAnsi="Times New Roman" w:cs="Times New Roman"/>
        </w:rPr>
        <w:t>Recruitment was conducted via several sources</w:t>
      </w:r>
      <w:r w:rsidR="00B97F03">
        <w:rPr>
          <w:rFonts w:ascii="Times New Roman" w:hAnsi="Times New Roman" w:cs="Times New Roman"/>
        </w:rPr>
        <w:t>,</w:t>
      </w:r>
      <w:r w:rsidRPr="00213019">
        <w:rPr>
          <w:rFonts w:ascii="Times New Roman" w:hAnsi="Times New Roman" w:cs="Times New Roman"/>
        </w:rPr>
        <w:t xml:space="preserve"> including social media platforms, clinical networks, and </w:t>
      </w:r>
      <w:r w:rsidRPr="00CF6EA4">
        <w:rPr>
          <w:rFonts w:ascii="Times New Roman" w:hAnsi="Times New Roman" w:cs="Times New Roman"/>
          <w:highlight w:val="yellow"/>
        </w:rPr>
        <w:t>chain-referral sampling</w:t>
      </w:r>
      <w:r w:rsidRPr="00213019">
        <w:rPr>
          <w:rFonts w:ascii="Times New Roman" w:hAnsi="Times New Roman" w:cs="Times New Roman"/>
        </w:rPr>
        <w:t xml:space="preserve"> through personal and community contacts.</w:t>
      </w:r>
    </w:p>
    <w:p w14:paraId="5DD87EE4" w14:textId="7D525220" w:rsidR="00213019" w:rsidRPr="00213019" w:rsidRDefault="00213019" w:rsidP="00213019">
      <w:pPr>
        <w:rPr>
          <w:rFonts w:ascii="Times New Roman" w:hAnsi="Times New Roman" w:cs="Times New Roman"/>
        </w:rPr>
      </w:pPr>
      <w:r w:rsidRPr="00213019">
        <w:rPr>
          <w:rFonts w:ascii="Times New Roman" w:hAnsi="Times New Roman" w:cs="Times New Roman"/>
        </w:rPr>
        <w:t xml:space="preserve">Inclusion criteria included age over 40 yrs, with a self-reported last menstrual period occurring over 12 months ago or a biochemically proven menopause-state. Individual data, correlated with device IP details, were reviewed for repetitions and the presence of exclusion criteria. The use of </w:t>
      </w:r>
      <w:r w:rsidR="00D67DDD">
        <w:rPr>
          <w:rFonts w:ascii="Times New Roman" w:hAnsi="Times New Roman" w:cs="Times New Roman"/>
        </w:rPr>
        <w:t>repeated</w:t>
      </w:r>
      <w:r w:rsidRPr="00213019">
        <w:rPr>
          <w:rFonts w:ascii="Times New Roman" w:hAnsi="Times New Roman" w:cs="Times New Roman"/>
        </w:rPr>
        <w:t>, focused open questions helped to limit missing data.</w:t>
      </w:r>
    </w:p>
    <w:p w14:paraId="5588C8A5" w14:textId="77777777" w:rsidR="00213019" w:rsidRPr="00213019" w:rsidRDefault="00213019" w:rsidP="00213019">
      <w:pPr>
        <w:rPr>
          <w:rFonts w:ascii="Times New Roman" w:hAnsi="Times New Roman" w:cs="Times New Roman"/>
        </w:rPr>
      </w:pPr>
    </w:p>
    <w:p w14:paraId="7B863748" w14:textId="77777777" w:rsidR="00213019" w:rsidRPr="00213019" w:rsidRDefault="00213019" w:rsidP="00213019">
      <w:pPr>
        <w:rPr>
          <w:rFonts w:ascii="Times New Roman" w:hAnsi="Times New Roman" w:cs="Times New Roman"/>
          <w:b/>
          <w:bCs/>
        </w:rPr>
      </w:pPr>
      <w:r w:rsidRPr="00213019">
        <w:rPr>
          <w:rFonts w:ascii="Times New Roman" w:hAnsi="Times New Roman" w:cs="Times New Roman"/>
          <w:b/>
          <w:bCs/>
        </w:rPr>
        <w:t>Data Collection Tools and Validation</w:t>
      </w:r>
    </w:p>
    <w:p w14:paraId="1613539E" w14:textId="25871DA9" w:rsidR="00213019" w:rsidRPr="00D67DDD" w:rsidRDefault="00213019" w:rsidP="00213019">
      <w:pPr>
        <w:rPr>
          <w:rFonts w:ascii="Times New Roman" w:hAnsi="Times New Roman" w:cs="Times New Roman"/>
        </w:rPr>
      </w:pPr>
      <w:r w:rsidRPr="00213019">
        <w:rPr>
          <w:rFonts w:ascii="Times New Roman" w:hAnsi="Times New Roman" w:cs="Times New Roman"/>
        </w:rPr>
        <w:t>The survey instrument was developed following an in-depth focus group and community engagement through semi-structured interviews to identify culturally sensitive tools and terminology. A final, peer-reviewed e-survey was created and administered via introductory email links. The qualitative arm involved free-text survey responses and in-depth telephone interviews, which were used to explore emerging themes in greater detail.</w:t>
      </w:r>
      <w:r w:rsidR="006C6310">
        <w:rPr>
          <w:rFonts w:ascii="Times New Roman" w:hAnsi="Times New Roman" w:cs="Times New Roman"/>
        </w:rPr>
        <w:t xml:space="preserve"> </w:t>
      </w:r>
      <w:r w:rsidR="006C6310" w:rsidRPr="006C6310">
        <w:rPr>
          <w:rFonts w:ascii="Times New Roman" w:hAnsi="Times New Roman" w:cs="Times New Roman"/>
        </w:rPr>
        <w:t>Symptom severity was determined using a 6-point Likert scale, where a score of 3 and above was tagged as representing a significant impact on quality of life.</w:t>
      </w:r>
    </w:p>
    <w:p w14:paraId="2D174430" w14:textId="77777777" w:rsidR="00D67DDD" w:rsidRDefault="00213019" w:rsidP="00213019">
      <w:pPr>
        <w:rPr>
          <w:rFonts w:ascii="Times New Roman" w:hAnsi="Times New Roman" w:cs="Times New Roman"/>
          <w:b/>
          <w:bCs/>
        </w:rPr>
      </w:pPr>
      <w:r w:rsidRPr="00213019">
        <w:rPr>
          <w:rFonts w:ascii="Times New Roman" w:hAnsi="Times New Roman" w:cs="Times New Roman"/>
          <w:b/>
          <w:bCs/>
        </w:rPr>
        <w:t>Ethical Considerations</w:t>
      </w:r>
    </w:p>
    <w:p w14:paraId="66D2EE9E" w14:textId="358E005A" w:rsidR="00213019" w:rsidRPr="00D67DDD" w:rsidRDefault="00213019" w:rsidP="00213019">
      <w:pPr>
        <w:rPr>
          <w:rFonts w:ascii="Times New Roman" w:hAnsi="Times New Roman" w:cs="Times New Roman"/>
          <w:b/>
          <w:bCs/>
        </w:rPr>
      </w:pPr>
      <w:r w:rsidRPr="00213019">
        <w:rPr>
          <w:rFonts w:ascii="Times New Roman" w:hAnsi="Times New Roman" w:cs="Times New Roman"/>
        </w:rPr>
        <w:t xml:space="preserve">Implied consent was obtained, and data were anonymised in line with the principles of the Declaration of Helsinki. </w:t>
      </w:r>
      <w:r w:rsidR="005F568F">
        <w:rPr>
          <w:rFonts w:ascii="Times New Roman" w:hAnsi="Times New Roman" w:cs="Times New Roman"/>
        </w:rPr>
        <w:t>A waiver for</w:t>
      </w:r>
      <w:r w:rsidRPr="00213019">
        <w:rPr>
          <w:rFonts w:ascii="Times New Roman" w:hAnsi="Times New Roman" w:cs="Times New Roman"/>
        </w:rPr>
        <w:t xml:space="preserve"> formal institutional review board approval was sought as this work was conducted as a service evaluation and preliminary needs assessment preceding a clinical service rollout; all ethical guidelines for human </w:t>
      </w:r>
      <w:proofErr w:type="gramStart"/>
      <w:r w:rsidRPr="00213019">
        <w:rPr>
          <w:rFonts w:ascii="Times New Roman" w:hAnsi="Times New Roman" w:cs="Times New Roman"/>
        </w:rPr>
        <w:t>subjects</w:t>
      </w:r>
      <w:proofErr w:type="gramEnd"/>
      <w:r w:rsidRPr="00213019">
        <w:rPr>
          <w:rFonts w:ascii="Times New Roman" w:hAnsi="Times New Roman" w:cs="Times New Roman"/>
        </w:rPr>
        <w:t xml:space="preserve"> research were adhered to.</w:t>
      </w:r>
    </w:p>
    <w:p w14:paraId="45191F41" w14:textId="77777777" w:rsidR="00213019" w:rsidRPr="00213019" w:rsidRDefault="00213019" w:rsidP="00213019">
      <w:pPr>
        <w:rPr>
          <w:rFonts w:ascii="Times New Roman" w:hAnsi="Times New Roman" w:cs="Times New Roman"/>
          <w:b/>
          <w:bCs/>
        </w:rPr>
      </w:pPr>
    </w:p>
    <w:p w14:paraId="6FD0E41E" w14:textId="77777777" w:rsidR="00213019" w:rsidRPr="00213019" w:rsidRDefault="00213019" w:rsidP="00213019">
      <w:pPr>
        <w:rPr>
          <w:rFonts w:ascii="Times New Roman" w:hAnsi="Times New Roman" w:cs="Times New Roman"/>
          <w:b/>
          <w:bCs/>
        </w:rPr>
      </w:pPr>
      <w:r w:rsidRPr="00213019">
        <w:rPr>
          <w:rFonts w:ascii="Times New Roman" w:hAnsi="Times New Roman" w:cs="Times New Roman"/>
          <w:b/>
          <w:bCs/>
        </w:rPr>
        <w:t>Data Analysis</w:t>
      </w:r>
    </w:p>
    <w:p w14:paraId="29459ED4" w14:textId="1907F7E5" w:rsidR="00DD306A" w:rsidRDefault="00213019" w:rsidP="00213019">
      <w:pPr>
        <w:rPr>
          <w:rFonts w:ascii="Times New Roman" w:hAnsi="Times New Roman" w:cs="Times New Roman"/>
        </w:rPr>
      </w:pPr>
      <w:r w:rsidRPr="00213019">
        <w:rPr>
          <w:rFonts w:ascii="Times New Roman" w:hAnsi="Times New Roman" w:cs="Times New Roman"/>
        </w:rPr>
        <w:t xml:space="preserve">An iterative analytical approach was utilised, with concurrent data analysis following collection. A thematic analysis was performed on the qualitative data. </w:t>
      </w:r>
      <w:r w:rsidRPr="00CF6EA4">
        <w:rPr>
          <w:rFonts w:ascii="Times New Roman" w:hAnsi="Times New Roman" w:cs="Times New Roman"/>
          <w:highlight w:val="yellow"/>
        </w:rPr>
        <w:t xml:space="preserve">Methodological triangulation between quantitative survey data and qualitative interview findings was employed to enhance validity. </w:t>
      </w:r>
      <w:r w:rsidRPr="00213019">
        <w:rPr>
          <w:rFonts w:ascii="Times New Roman" w:hAnsi="Times New Roman" w:cs="Times New Roman"/>
        </w:rPr>
        <w:t>Individual data included general demographics—current age, age of menopause, past medical and surgical histories, and country and duration of current residence. Domiciles were differentiated into LMIC or HIC using World Bank data.</w:t>
      </w:r>
      <w:r w:rsidR="00D67DDD">
        <w:rPr>
          <w:rFonts w:ascii="Times New Roman" w:hAnsi="Times New Roman" w:cs="Times New Roman"/>
        </w:rPr>
        <w:t xml:space="preserve"> </w:t>
      </w:r>
      <w:r w:rsidRPr="00213019">
        <w:rPr>
          <w:rFonts w:ascii="Times New Roman" w:hAnsi="Times New Roman" w:cs="Times New Roman"/>
        </w:rPr>
        <w:lastRenderedPageBreak/>
        <w:t>Following preliminary data analysis conducted using</w:t>
      </w:r>
      <w:r w:rsidR="00D67DDD">
        <w:rPr>
          <w:rFonts w:ascii="Times New Roman" w:hAnsi="Times New Roman" w:cs="Times New Roman"/>
        </w:rPr>
        <w:t xml:space="preserve"> </w:t>
      </w:r>
      <w:r w:rsidR="00D67DDD" w:rsidRPr="00D67DDD">
        <w:rPr>
          <w:rFonts w:ascii="Times New Roman" w:hAnsi="Times New Roman" w:cs="Times New Roman"/>
        </w:rPr>
        <w:t>Microsoft Excel (Version 2024</w:t>
      </w:r>
      <w:r w:rsidR="00D67DDD">
        <w:rPr>
          <w:rFonts w:ascii="Times New Roman" w:hAnsi="Times New Roman" w:cs="Times New Roman"/>
        </w:rPr>
        <w:t>) a</w:t>
      </w:r>
      <w:r w:rsidRPr="00213019">
        <w:rPr>
          <w:rFonts w:ascii="Times New Roman" w:hAnsi="Times New Roman" w:cs="Times New Roman"/>
        </w:rPr>
        <w:t xml:space="preserve"> multivariate logistic regression </w:t>
      </w:r>
      <w:r w:rsidR="001C7BBC">
        <w:rPr>
          <w:rFonts w:ascii="Times New Roman" w:hAnsi="Times New Roman" w:cs="Times New Roman"/>
        </w:rPr>
        <w:t xml:space="preserve">was </w:t>
      </w:r>
      <w:r w:rsidRPr="00213019">
        <w:rPr>
          <w:rFonts w:ascii="Times New Roman" w:hAnsi="Times New Roman" w:cs="Times New Roman"/>
        </w:rPr>
        <w:t>performed using</w:t>
      </w:r>
      <w:r w:rsidR="00DD306A">
        <w:rPr>
          <w:rFonts w:ascii="Times New Roman" w:hAnsi="Times New Roman" w:cs="Times New Roman"/>
        </w:rPr>
        <w:t xml:space="preserve"> </w:t>
      </w:r>
      <w:proofErr w:type="spellStart"/>
      <w:r w:rsidR="00DD306A" w:rsidRPr="00DD306A">
        <w:rPr>
          <w:rFonts w:ascii="Times New Roman" w:hAnsi="Times New Roman" w:cs="Times New Roman"/>
        </w:rPr>
        <w:t>MedCalc</w:t>
      </w:r>
      <w:proofErr w:type="spellEnd"/>
      <w:r w:rsidR="00DD306A" w:rsidRPr="00DD306A">
        <w:rPr>
          <w:rFonts w:ascii="Times New Roman" w:hAnsi="Times New Roman" w:cs="Times New Roman"/>
        </w:rPr>
        <w:t xml:space="preserve"> Software (2024)</w:t>
      </w:r>
      <w:r w:rsidR="00DD306A">
        <w:rPr>
          <w:rFonts w:ascii="Times New Roman" w:hAnsi="Times New Roman" w:cs="Times New Roman"/>
        </w:rPr>
        <w:t xml:space="preserve">. </w:t>
      </w:r>
    </w:p>
    <w:p w14:paraId="241F11ED" w14:textId="277AB384" w:rsidR="00213019" w:rsidRPr="00213019" w:rsidRDefault="00DD306A" w:rsidP="00213019">
      <w:pPr>
        <w:rPr>
          <w:rFonts w:ascii="Times New Roman" w:hAnsi="Times New Roman" w:cs="Times New Roman"/>
        </w:rPr>
      </w:pPr>
      <w:r>
        <w:rPr>
          <w:rFonts w:ascii="Times New Roman" w:hAnsi="Times New Roman" w:cs="Times New Roman"/>
        </w:rPr>
        <w:t>F</w:t>
      </w:r>
      <w:r w:rsidR="00213019" w:rsidRPr="00213019">
        <w:rPr>
          <w:rFonts w:ascii="Times New Roman" w:hAnsi="Times New Roman" w:cs="Times New Roman"/>
        </w:rPr>
        <w:t>urther thematic and contextual analysis was supported by qualitative data analysis techniques.</w:t>
      </w:r>
    </w:p>
    <w:p w14:paraId="00638F33" w14:textId="77777777" w:rsidR="00692CB7" w:rsidRPr="002C2C57" w:rsidRDefault="00692CB7" w:rsidP="00692CB7">
      <w:pPr>
        <w:rPr>
          <w:rFonts w:ascii="Times New Roman" w:hAnsi="Times New Roman" w:cs="Times New Roman"/>
          <w:b/>
          <w:bCs/>
        </w:rPr>
      </w:pPr>
    </w:p>
    <w:p w14:paraId="7343EC70" w14:textId="77777777" w:rsidR="00D67DDD" w:rsidRDefault="002C2C57" w:rsidP="00D67DDD">
      <w:pPr>
        <w:rPr>
          <w:rFonts w:ascii="Times New Roman" w:hAnsi="Times New Roman" w:cs="Times New Roman"/>
          <w:b/>
          <w:bCs/>
        </w:rPr>
      </w:pPr>
      <w:r w:rsidRPr="002C2C57">
        <w:rPr>
          <w:rFonts w:ascii="Times New Roman" w:hAnsi="Times New Roman" w:cs="Times New Roman"/>
          <w:b/>
          <w:bCs/>
        </w:rPr>
        <w:t>Results</w:t>
      </w:r>
    </w:p>
    <w:p w14:paraId="4D0CBA44" w14:textId="619ECDD5" w:rsidR="003F23E9" w:rsidRPr="00D67DDD" w:rsidRDefault="00D67DDD" w:rsidP="00D67DDD">
      <w:pPr>
        <w:rPr>
          <w:rFonts w:ascii="Times New Roman" w:hAnsi="Times New Roman" w:cs="Times New Roman"/>
          <w:b/>
          <w:bCs/>
        </w:rPr>
      </w:pPr>
      <w:r>
        <w:rPr>
          <w:rFonts w:ascii="Times New Roman" w:hAnsi="Times New Roman" w:cs="Times New Roman"/>
          <w:b/>
          <w:bCs/>
        </w:rPr>
        <w:t>Socio-</w:t>
      </w:r>
      <w:r w:rsidR="003F23E9" w:rsidRPr="003F23E9">
        <w:rPr>
          <w:rFonts w:ascii="Times New Roman" w:eastAsia="Times New Roman" w:hAnsi="Times New Roman" w:cs="Times New Roman"/>
          <w:b/>
          <w:bCs/>
          <w:color w:val="0F1115"/>
          <w:kern w:val="0"/>
          <w:lang w:eastAsia="en-GB"/>
          <w14:ligatures w14:val="none"/>
        </w:rPr>
        <w:t>Demographics</w:t>
      </w:r>
      <w:r w:rsidR="003F23E9" w:rsidRPr="003F23E9">
        <w:rPr>
          <w:rFonts w:ascii="Times New Roman" w:eastAsia="Times New Roman" w:hAnsi="Times New Roman" w:cs="Times New Roman"/>
          <w:color w:val="0F1115"/>
          <w:kern w:val="0"/>
          <w:lang w:eastAsia="en-GB"/>
          <w14:ligatures w14:val="none"/>
        </w:rPr>
        <w:br/>
        <w:t>124 women responded to the survey with a 30% dropout rate. Of the 88 that completed the survey, 87 met the inclusion criteria.</w:t>
      </w:r>
      <w:r w:rsidR="003F23E9" w:rsidRPr="003F23E9">
        <w:rPr>
          <w:rFonts w:ascii="Times New Roman" w:eastAsia="Times New Roman" w:hAnsi="Times New Roman" w:cs="Times New Roman"/>
          <w:color w:val="0F1115"/>
          <w:kern w:val="0"/>
          <w:lang w:eastAsia="en-GB"/>
          <w14:ligatures w14:val="none"/>
        </w:rPr>
        <w:br/>
        <w:t xml:space="preserve">The LMIC cohort (47.6% of responders) </w:t>
      </w:r>
      <w:r w:rsidR="001C7BBC">
        <w:rPr>
          <w:rFonts w:ascii="Times New Roman" w:eastAsia="Times New Roman" w:hAnsi="Times New Roman" w:cs="Times New Roman"/>
          <w:color w:val="0F1115"/>
          <w:kern w:val="0"/>
          <w:lang w:eastAsia="en-GB"/>
          <w14:ligatures w14:val="none"/>
        </w:rPr>
        <w:t>was</w:t>
      </w:r>
      <w:r w:rsidR="003F23E9" w:rsidRPr="003F23E9">
        <w:rPr>
          <w:rFonts w:ascii="Times New Roman" w:eastAsia="Times New Roman" w:hAnsi="Times New Roman" w:cs="Times New Roman"/>
          <w:color w:val="0F1115"/>
          <w:kern w:val="0"/>
          <w:lang w:eastAsia="en-GB"/>
          <w14:ligatures w14:val="none"/>
        </w:rPr>
        <w:t xml:space="preserve"> predominantly domiciled in West Africa, mostly Nigeria, with 3 responders from Southeast Africa. The HIC cohort </w:t>
      </w:r>
      <w:r>
        <w:rPr>
          <w:rFonts w:ascii="Times New Roman" w:eastAsia="Times New Roman" w:hAnsi="Times New Roman" w:cs="Times New Roman"/>
          <w:color w:val="0F1115"/>
          <w:kern w:val="0"/>
          <w:lang w:eastAsia="en-GB"/>
          <w14:ligatures w14:val="none"/>
        </w:rPr>
        <w:t xml:space="preserve">women were </w:t>
      </w:r>
      <w:r w:rsidR="003F23E9" w:rsidRPr="003F23E9">
        <w:rPr>
          <w:rFonts w:ascii="Times New Roman" w:eastAsia="Times New Roman" w:hAnsi="Times New Roman" w:cs="Times New Roman"/>
          <w:color w:val="0F1115"/>
          <w:kern w:val="0"/>
          <w:lang w:eastAsia="en-GB"/>
          <w14:ligatures w14:val="none"/>
        </w:rPr>
        <w:t>first-generation migrants who had relocated to their current domicile</w:t>
      </w:r>
      <w:r>
        <w:rPr>
          <w:rFonts w:ascii="Times New Roman" w:eastAsia="Times New Roman" w:hAnsi="Times New Roman" w:cs="Times New Roman"/>
          <w:color w:val="0F1115"/>
          <w:kern w:val="0"/>
          <w:lang w:eastAsia="en-GB"/>
          <w14:ligatures w14:val="none"/>
        </w:rPr>
        <w:t xml:space="preserve">s, </w:t>
      </w:r>
      <w:r w:rsidR="003F23E9" w:rsidRPr="003F23E9">
        <w:rPr>
          <w:rFonts w:ascii="Times New Roman" w:eastAsia="Times New Roman" w:hAnsi="Times New Roman" w:cs="Times New Roman"/>
          <w:color w:val="0F1115"/>
          <w:kern w:val="0"/>
          <w:lang w:eastAsia="en-GB"/>
          <w14:ligatures w14:val="none"/>
        </w:rPr>
        <w:t xml:space="preserve"> 5</w:t>
      </w:r>
      <w:r>
        <w:rPr>
          <w:rFonts w:ascii="Times New Roman" w:eastAsia="Times New Roman" w:hAnsi="Times New Roman" w:cs="Times New Roman"/>
          <w:color w:val="0F1115"/>
          <w:kern w:val="0"/>
          <w:lang w:eastAsia="en-GB"/>
          <w14:ligatures w14:val="none"/>
        </w:rPr>
        <w:t xml:space="preserve"> to </w:t>
      </w:r>
      <w:r w:rsidR="003F23E9" w:rsidRPr="003F23E9">
        <w:rPr>
          <w:rFonts w:ascii="Times New Roman" w:eastAsia="Times New Roman" w:hAnsi="Times New Roman" w:cs="Times New Roman"/>
          <w:color w:val="0F1115"/>
          <w:kern w:val="0"/>
          <w:lang w:eastAsia="en-GB"/>
          <w14:ligatures w14:val="none"/>
        </w:rPr>
        <w:t xml:space="preserve">30 years </w:t>
      </w:r>
      <w:r>
        <w:rPr>
          <w:rFonts w:ascii="Times New Roman" w:eastAsia="Times New Roman" w:hAnsi="Times New Roman" w:cs="Times New Roman"/>
          <w:color w:val="0F1115"/>
          <w:kern w:val="0"/>
          <w:lang w:eastAsia="en-GB"/>
          <w14:ligatures w14:val="none"/>
        </w:rPr>
        <w:t>earlier</w:t>
      </w:r>
      <w:r w:rsidR="003F23E9" w:rsidRPr="003F23E9">
        <w:rPr>
          <w:rFonts w:ascii="Times New Roman" w:eastAsia="Times New Roman" w:hAnsi="Times New Roman" w:cs="Times New Roman"/>
          <w:color w:val="0F1115"/>
          <w:kern w:val="0"/>
          <w:lang w:eastAsia="en-GB"/>
          <w14:ligatures w14:val="none"/>
        </w:rPr>
        <w:t>, largely in North America and Europe, with one respondent each in the Middle East and Australia.</w:t>
      </w:r>
      <w:r w:rsidR="003F23E9" w:rsidRPr="003F23E9">
        <w:rPr>
          <w:rFonts w:ascii="Times New Roman" w:eastAsia="Times New Roman" w:hAnsi="Times New Roman" w:cs="Times New Roman"/>
          <w:color w:val="0F1115"/>
          <w:kern w:val="0"/>
          <w:lang w:eastAsia="en-GB"/>
          <w14:ligatures w14:val="none"/>
        </w:rPr>
        <w:br/>
        <w:t>Though both cohorts had similar job profiles, mostly professional jobs (80%), with a minimum of university-level educational attainment, the LMIC's yearly household mean income was equivalent to 33% of their HIC counterparts. Furthermore, 81% of LMIC households vs 65% of HIC households had more than three persons.</w:t>
      </w:r>
    </w:p>
    <w:p w14:paraId="7C52B378" w14:textId="01DC7329" w:rsidR="003F23E9" w:rsidRPr="003F23E9" w:rsidRDefault="003F23E9" w:rsidP="003F23E9">
      <w:pPr>
        <w:shd w:val="clear" w:color="auto" w:fill="FFFFFF"/>
        <w:spacing w:before="240" w:after="240" w:line="240" w:lineRule="auto"/>
        <w:rPr>
          <w:rFonts w:ascii="Times New Roman" w:eastAsia="Times New Roman" w:hAnsi="Times New Roman" w:cs="Times New Roman"/>
          <w:color w:val="0F1115"/>
          <w:kern w:val="0"/>
          <w:lang w:eastAsia="en-GB"/>
          <w14:ligatures w14:val="none"/>
        </w:rPr>
      </w:pPr>
      <w:r w:rsidRPr="003F23E9">
        <w:rPr>
          <w:rFonts w:ascii="Times New Roman" w:eastAsia="Times New Roman" w:hAnsi="Times New Roman" w:cs="Times New Roman"/>
          <w:b/>
          <w:bCs/>
          <w:color w:val="0F1115"/>
          <w:kern w:val="0"/>
          <w:lang w:eastAsia="en-GB"/>
          <w14:ligatures w14:val="none"/>
        </w:rPr>
        <w:t>Menopause Age and Associated Factors</w:t>
      </w:r>
      <w:r w:rsidRPr="003F23E9">
        <w:rPr>
          <w:rFonts w:ascii="Times New Roman" w:eastAsia="Times New Roman" w:hAnsi="Times New Roman" w:cs="Times New Roman"/>
          <w:color w:val="0F1115"/>
          <w:kern w:val="0"/>
          <w:lang w:eastAsia="en-GB"/>
          <w14:ligatures w14:val="none"/>
        </w:rPr>
        <w:br/>
        <w:t xml:space="preserve">The average menopause age was 47.59 years ± 4.56 in the HIC cohort and 49.78 years ± 3.26 in the LMIC cohort. The LMIC cohort reached menopause 26.4 months later than their HIC counterparts. </w:t>
      </w:r>
      <w:r w:rsidRPr="003F23E9">
        <w:rPr>
          <w:rFonts w:ascii="Times New Roman" w:eastAsia="Times New Roman" w:hAnsi="Times New Roman" w:cs="Times New Roman"/>
          <w:color w:val="0F1115"/>
          <w:kern w:val="0"/>
          <w:highlight w:val="yellow"/>
          <w:lang w:eastAsia="en-GB"/>
          <w14:ligatures w14:val="none"/>
        </w:rPr>
        <w:t>A higher proportion of women with early menopause was observed in the HIC cohort (</w:t>
      </w:r>
      <w:r w:rsidR="00CF532E">
        <w:rPr>
          <w:rFonts w:ascii="Times New Roman" w:eastAsia="Times New Roman" w:hAnsi="Times New Roman" w:cs="Times New Roman"/>
          <w:color w:val="0F1115"/>
          <w:kern w:val="0"/>
          <w:highlight w:val="yellow"/>
          <w:lang w:eastAsia="en-GB"/>
          <w14:ligatures w14:val="none"/>
        </w:rPr>
        <w:t>13</w:t>
      </w:r>
      <w:r w:rsidRPr="003F23E9">
        <w:rPr>
          <w:rFonts w:ascii="Times New Roman" w:eastAsia="Times New Roman" w:hAnsi="Times New Roman" w:cs="Times New Roman"/>
          <w:color w:val="0F1115"/>
          <w:kern w:val="0"/>
          <w:highlight w:val="yellow"/>
          <w:lang w:eastAsia="en-GB"/>
          <w14:ligatures w14:val="none"/>
        </w:rPr>
        <w:t>.</w:t>
      </w:r>
      <w:r w:rsidR="00CF532E">
        <w:rPr>
          <w:rFonts w:ascii="Times New Roman" w:eastAsia="Times New Roman" w:hAnsi="Times New Roman" w:cs="Times New Roman"/>
          <w:color w:val="0F1115"/>
          <w:kern w:val="0"/>
          <w:highlight w:val="yellow"/>
          <w:lang w:eastAsia="en-GB"/>
          <w14:ligatures w14:val="none"/>
        </w:rPr>
        <w:t>1</w:t>
      </w:r>
      <w:r w:rsidRPr="003F23E9">
        <w:rPr>
          <w:rFonts w:ascii="Times New Roman" w:eastAsia="Times New Roman" w:hAnsi="Times New Roman" w:cs="Times New Roman"/>
          <w:color w:val="0F1115"/>
          <w:kern w:val="0"/>
          <w:highlight w:val="yellow"/>
          <w:lang w:eastAsia="en-GB"/>
          <w14:ligatures w14:val="none"/>
        </w:rPr>
        <w:t>%, n=6) versus the LMIC cohort (7.</w:t>
      </w:r>
      <w:r w:rsidR="001C7BBC">
        <w:rPr>
          <w:rFonts w:ascii="Times New Roman" w:eastAsia="Times New Roman" w:hAnsi="Times New Roman" w:cs="Times New Roman"/>
          <w:color w:val="0F1115"/>
          <w:kern w:val="0"/>
          <w:highlight w:val="yellow"/>
          <w:lang w:eastAsia="en-GB"/>
          <w14:ligatures w14:val="none"/>
        </w:rPr>
        <w:t>3</w:t>
      </w:r>
      <w:r w:rsidRPr="003F23E9">
        <w:rPr>
          <w:rFonts w:ascii="Times New Roman" w:eastAsia="Times New Roman" w:hAnsi="Times New Roman" w:cs="Times New Roman"/>
          <w:color w:val="0F1115"/>
          <w:kern w:val="0"/>
          <w:highlight w:val="yellow"/>
          <w:lang w:eastAsia="en-GB"/>
          <w14:ligatures w14:val="none"/>
        </w:rPr>
        <w:t>%, n=3).</w:t>
      </w:r>
      <w:r w:rsidRPr="003F23E9">
        <w:rPr>
          <w:rFonts w:ascii="Times New Roman" w:eastAsia="Times New Roman" w:hAnsi="Times New Roman" w:cs="Times New Roman"/>
          <w:color w:val="0F1115"/>
          <w:kern w:val="0"/>
          <w:lang w:eastAsia="en-GB"/>
          <w14:ligatures w14:val="none"/>
        </w:rPr>
        <w:br/>
      </w:r>
      <w:r w:rsidRPr="003F23E9">
        <w:rPr>
          <w:rFonts w:ascii="Times New Roman" w:eastAsia="Times New Roman" w:hAnsi="Times New Roman" w:cs="Times New Roman"/>
          <w:color w:val="0F1115"/>
          <w:kern w:val="0"/>
          <w:highlight w:val="yellow"/>
          <w:lang w:eastAsia="en-GB"/>
          <w14:ligatures w14:val="none"/>
        </w:rPr>
        <w:t>In the HIC cohort, women with early menopause reported occurrence after migration, mostly within 5-8 years of migration, with an average interval of 6.8 years ± 3.4 years. This temporal association raises a question for discussion regarding potential migration-related health effects.</w:t>
      </w:r>
      <w:r w:rsidRPr="003F23E9">
        <w:rPr>
          <w:rFonts w:ascii="Times New Roman" w:eastAsia="Times New Roman" w:hAnsi="Times New Roman" w:cs="Times New Roman"/>
          <w:color w:val="0F1115"/>
          <w:kern w:val="0"/>
          <w:lang w:eastAsia="en-GB"/>
          <w14:ligatures w14:val="none"/>
        </w:rPr>
        <w:br/>
        <w:t>The LMIC cohort had more children on average (2.76 vs 2.4)</w:t>
      </w:r>
      <w:r w:rsidR="00CF532E">
        <w:rPr>
          <w:rFonts w:ascii="Times New Roman" w:eastAsia="Times New Roman" w:hAnsi="Times New Roman" w:cs="Times New Roman"/>
          <w:color w:val="0F1115"/>
          <w:kern w:val="0"/>
          <w:lang w:eastAsia="en-GB"/>
          <w14:ligatures w14:val="none"/>
        </w:rPr>
        <w:t xml:space="preserve">, and </w:t>
      </w:r>
      <w:r w:rsidRPr="003F23E9">
        <w:rPr>
          <w:rFonts w:ascii="Times New Roman" w:eastAsia="Times New Roman" w:hAnsi="Times New Roman" w:cs="Times New Roman"/>
          <w:color w:val="0F1115"/>
          <w:kern w:val="0"/>
          <w:lang w:eastAsia="en-GB"/>
          <w14:ligatures w14:val="none"/>
        </w:rPr>
        <w:t>were less likely to report symptoms, which may be associated with poorer symptom awareness and greater use of over-the-counter medication, dietary changes, and herbal remedies.</w:t>
      </w:r>
    </w:p>
    <w:p w14:paraId="0BBBEA99" w14:textId="32FD1873" w:rsidR="003F23E9" w:rsidRPr="003F23E9" w:rsidRDefault="003F23E9" w:rsidP="003F23E9">
      <w:pPr>
        <w:shd w:val="clear" w:color="auto" w:fill="FFFFFF"/>
        <w:spacing w:before="240" w:after="240" w:line="240" w:lineRule="auto"/>
        <w:rPr>
          <w:rFonts w:ascii="Times New Roman" w:eastAsia="Times New Roman" w:hAnsi="Times New Roman" w:cs="Times New Roman"/>
          <w:color w:val="0F1115"/>
          <w:kern w:val="0"/>
          <w:lang w:eastAsia="en-GB"/>
          <w14:ligatures w14:val="none"/>
        </w:rPr>
      </w:pPr>
      <w:r w:rsidRPr="003F23E9">
        <w:rPr>
          <w:rFonts w:ascii="Times New Roman" w:eastAsia="Times New Roman" w:hAnsi="Times New Roman" w:cs="Times New Roman"/>
          <w:b/>
          <w:bCs/>
          <w:color w:val="0F1115"/>
          <w:kern w:val="0"/>
          <w:lang w:eastAsia="en-GB"/>
          <w14:ligatures w14:val="none"/>
        </w:rPr>
        <w:t>Knowledge, Treatment Patterns, and Morbidity</w:t>
      </w:r>
      <w:r w:rsidRPr="003F23E9">
        <w:rPr>
          <w:rFonts w:ascii="Times New Roman" w:eastAsia="Times New Roman" w:hAnsi="Times New Roman" w:cs="Times New Roman"/>
          <w:color w:val="0F1115"/>
          <w:kern w:val="0"/>
          <w:lang w:eastAsia="en-GB"/>
          <w14:ligatures w14:val="none"/>
        </w:rPr>
        <w:br/>
        <w:t xml:space="preserve">The HIC cohort had more knowledge of cultural or alternative menopause therapies (21.7% vs 12.2%) and more frequently defined menopause appropriately, though largely based on symptoms. </w:t>
      </w:r>
      <w:r w:rsidRPr="003F23E9">
        <w:rPr>
          <w:rFonts w:ascii="Times New Roman" w:eastAsia="Times New Roman" w:hAnsi="Times New Roman" w:cs="Times New Roman"/>
          <w:i/>
          <w:iCs/>
          <w:color w:val="0F1115"/>
          <w:kern w:val="0"/>
          <w:lang w:eastAsia="en-GB"/>
          <w14:ligatures w14:val="none"/>
        </w:rPr>
        <w:t>Key demographic and clinical associations are presented in Table 1.</w:t>
      </w:r>
      <w:r w:rsidRPr="003F23E9">
        <w:rPr>
          <w:rFonts w:ascii="Times New Roman" w:eastAsia="Times New Roman" w:hAnsi="Times New Roman" w:cs="Times New Roman"/>
          <w:i/>
          <w:iCs/>
          <w:color w:val="0F1115"/>
          <w:kern w:val="0"/>
          <w:lang w:eastAsia="en-GB"/>
          <w14:ligatures w14:val="none"/>
        </w:rPr>
        <w:br/>
      </w:r>
      <w:r w:rsidRPr="003F23E9">
        <w:rPr>
          <w:rFonts w:ascii="Times New Roman" w:eastAsia="Times New Roman" w:hAnsi="Times New Roman" w:cs="Times New Roman"/>
          <w:color w:val="0F1115"/>
          <w:kern w:val="0"/>
          <w:lang w:eastAsia="en-GB"/>
          <w14:ligatures w14:val="none"/>
        </w:rPr>
        <w:t>In the context of a fee-based healthcare system, the LMIC cohort's lower relative income and larger household size contributed to reduced purchasing power and a preference for alternative treatment strategies. This was also complicated by</w:t>
      </w:r>
      <w:r w:rsidR="00102E52">
        <w:rPr>
          <w:rFonts w:ascii="Times New Roman" w:eastAsia="Times New Roman" w:hAnsi="Times New Roman" w:cs="Times New Roman"/>
          <w:color w:val="0F1115"/>
          <w:kern w:val="0"/>
          <w:lang w:eastAsia="en-GB"/>
          <w14:ligatures w14:val="none"/>
        </w:rPr>
        <w:t xml:space="preserve"> the</w:t>
      </w:r>
      <w:r w:rsidRPr="003F23E9">
        <w:rPr>
          <w:rFonts w:ascii="Times New Roman" w:eastAsia="Times New Roman" w:hAnsi="Times New Roman" w:cs="Times New Roman"/>
          <w:color w:val="0F1115"/>
          <w:kern w:val="0"/>
          <w:lang w:eastAsia="en-GB"/>
          <w14:ligatures w14:val="none"/>
        </w:rPr>
        <w:t xml:space="preserve"> reported lack of healthcare access or medication availability within the LMIC cohort.</w:t>
      </w:r>
      <w:r w:rsidRPr="003F23E9">
        <w:rPr>
          <w:rFonts w:ascii="Times New Roman" w:eastAsia="Times New Roman" w:hAnsi="Times New Roman" w:cs="Times New Roman"/>
          <w:color w:val="0F1115"/>
          <w:kern w:val="0"/>
          <w:lang w:eastAsia="en-GB"/>
          <w14:ligatures w14:val="none"/>
        </w:rPr>
        <w:br/>
        <w:t>However, the HIC cohort did not widely engage with MHT use. Reasons cited included lack of symptom recognition, poor healthcare-seeking behaviours, concerns over poor symptom control, MHT side effects, and fears regarding fibroids and cancer risk. This may explain why MHT was used by only 7 women, all in the HIC cohort, while 75% of HIC women reporting significant symptom-severity were not on hormone therapy.</w:t>
      </w:r>
      <w:r w:rsidRPr="003F23E9">
        <w:rPr>
          <w:rFonts w:ascii="Times New Roman" w:eastAsia="Times New Roman" w:hAnsi="Times New Roman" w:cs="Times New Roman"/>
          <w:color w:val="0F1115"/>
          <w:kern w:val="0"/>
          <w:lang w:eastAsia="en-GB"/>
          <w14:ligatures w14:val="none"/>
        </w:rPr>
        <w:br/>
      </w:r>
      <w:r w:rsidRPr="003F23E9">
        <w:rPr>
          <w:rFonts w:ascii="Times New Roman" w:eastAsia="Times New Roman" w:hAnsi="Times New Roman" w:cs="Times New Roman"/>
          <w:color w:val="0F1115"/>
          <w:kern w:val="0"/>
          <w:lang w:eastAsia="en-GB"/>
          <w14:ligatures w14:val="none"/>
        </w:rPr>
        <w:lastRenderedPageBreak/>
        <w:t>Antihypertensive medication use was reported in 15.2% of the HIC cohort vs 21.4% in the LMIC cohort.</w:t>
      </w:r>
    </w:p>
    <w:p w14:paraId="22E5EA09" w14:textId="3AE11348" w:rsidR="002C2C57" w:rsidRDefault="003F23E9" w:rsidP="00616FE9">
      <w:pPr>
        <w:shd w:val="clear" w:color="auto" w:fill="FFFFFF"/>
        <w:spacing w:before="240" w:after="240" w:line="240" w:lineRule="auto"/>
        <w:rPr>
          <w:rFonts w:ascii="Times New Roman" w:eastAsia="Times New Roman" w:hAnsi="Times New Roman" w:cs="Times New Roman"/>
          <w:color w:val="0F1115"/>
          <w:kern w:val="0"/>
          <w:lang w:eastAsia="en-GB"/>
          <w14:ligatures w14:val="none"/>
        </w:rPr>
      </w:pPr>
      <w:r w:rsidRPr="003F23E9">
        <w:rPr>
          <w:rFonts w:ascii="Times New Roman" w:eastAsia="Times New Roman" w:hAnsi="Times New Roman" w:cs="Times New Roman"/>
          <w:b/>
          <w:bCs/>
          <w:color w:val="0F1115"/>
          <w:kern w:val="0"/>
          <w:lang w:eastAsia="en-GB"/>
          <w14:ligatures w14:val="none"/>
        </w:rPr>
        <w:t>Symptom Prevalence, Recognition, and Impact</w:t>
      </w:r>
      <w:r w:rsidRPr="003F23E9">
        <w:rPr>
          <w:rFonts w:ascii="Times New Roman" w:eastAsia="Times New Roman" w:hAnsi="Times New Roman" w:cs="Times New Roman"/>
          <w:color w:val="0F1115"/>
          <w:kern w:val="0"/>
          <w:lang w:eastAsia="en-GB"/>
          <w14:ligatures w14:val="none"/>
        </w:rPr>
        <w:br/>
        <w:t xml:space="preserve">Missed opportunities with symptom-recognition discordance was seen in approximately 80% of respondents globally, and </w:t>
      </w:r>
      <w:r w:rsidR="00102E52">
        <w:rPr>
          <w:rFonts w:ascii="Times New Roman" w:eastAsia="Times New Roman" w:hAnsi="Times New Roman" w:cs="Times New Roman"/>
          <w:color w:val="0F1115"/>
          <w:kern w:val="0"/>
          <w:lang w:eastAsia="en-GB"/>
          <w14:ligatures w14:val="none"/>
        </w:rPr>
        <w:t>were</w:t>
      </w:r>
      <w:r w:rsidRPr="003F23E9">
        <w:rPr>
          <w:rFonts w:ascii="Times New Roman" w:eastAsia="Times New Roman" w:hAnsi="Times New Roman" w:cs="Times New Roman"/>
          <w:color w:val="0F1115"/>
          <w:kern w:val="0"/>
          <w:lang w:eastAsia="en-GB"/>
          <w14:ligatures w14:val="none"/>
        </w:rPr>
        <w:t xml:space="preserve"> more pronounced in the LMIC cohort. The specific finding regarding prior self-reports is to be addressed manually.</w:t>
      </w:r>
      <w:r w:rsidRPr="003F23E9">
        <w:rPr>
          <w:rFonts w:ascii="Times New Roman" w:eastAsia="Times New Roman" w:hAnsi="Times New Roman" w:cs="Times New Roman"/>
          <w:color w:val="0F1115"/>
          <w:kern w:val="0"/>
          <w:lang w:eastAsia="en-GB"/>
          <w14:ligatures w14:val="none"/>
        </w:rPr>
        <w:br/>
        <w:t>In the symptomatic group within the HIC cohort, there was equal prevalence of Vasomotor symptoms (58%) and Genitourinary symptoms (58%) as their most frequent symptoms. For 75% of this group, the quality of life (QOL) impact/severity scale score was 1-2, suggesting an occasional-mild impact.</w:t>
      </w:r>
      <w:r w:rsidRPr="003F23E9">
        <w:rPr>
          <w:rFonts w:ascii="Times New Roman" w:eastAsia="Times New Roman" w:hAnsi="Times New Roman" w:cs="Times New Roman"/>
          <w:color w:val="0F1115"/>
          <w:kern w:val="0"/>
          <w:lang w:eastAsia="en-GB"/>
          <w14:ligatures w14:val="none"/>
        </w:rPr>
        <w:br/>
        <w:t>In the LMIC cohort, 15.8% of those who reported no symptoms were confirmed asymptomatic. Among the 84.2% who were symptomatic, the most frequently occurring symptoms were genitourinary symptoms (58%) with accompanying psychosexual impact, vasomotor symptoms (42%), mood lability (37%), and insomnia (21%). Here, the QOL impact was significant, with a moderate-to-significant impact in 16% and an occasional-mild impact in 68%.</w:t>
      </w:r>
      <w:r w:rsidRPr="003F23E9">
        <w:rPr>
          <w:rFonts w:ascii="Times New Roman" w:eastAsia="Times New Roman" w:hAnsi="Times New Roman" w:cs="Times New Roman"/>
          <w:color w:val="0F1115"/>
          <w:kern w:val="0"/>
          <w:lang w:eastAsia="en-GB"/>
          <w14:ligatures w14:val="none"/>
        </w:rPr>
        <w:br/>
        <w:t>Globally, 15 women reported varying symptoms with a significant-moderate QOL impact. In the HIC cohort, the most common symptoms among those with significant impact were genitourinary problems (87.5%), vasomotor symptoms (50%), memory problems (50%), and labile moods (50%). In the LMIC cohort, genitourinary symptoms (100%) were the most common, followed by vasomotor symptoms (71.4%) and insomnia (42.8%).</w:t>
      </w:r>
      <w:r w:rsidRPr="003F23E9">
        <w:rPr>
          <w:rFonts w:ascii="Times New Roman" w:eastAsia="Times New Roman" w:hAnsi="Times New Roman" w:cs="Times New Roman"/>
          <w:color w:val="0F1115"/>
          <w:kern w:val="0"/>
          <w:lang w:eastAsia="en-GB"/>
          <w14:ligatures w14:val="none"/>
        </w:rPr>
        <w:br/>
        <w:t xml:space="preserve">Following the use of repeated question </w:t>
      </w:r>
      <w:r w:rsidR="00102E52">
        <w:rPr>
          <w:rFonts w:ascii="Times New Roman" w:eastAsia="Times New Roman" w:hAnsi="Times New Roman" w:cs="Times New Roman"/>
          <w:color w:val="0F1115"/>
          <w:kern w:val="0"/>
          <w:lang w:eastAsia="en-GB"/>
          <w14:ligatures w14:val="none"/>
        </w:rPr>
        <w:t>rephrasing</w:t>
      </w:r>
      <w:r w:rsidRPr="003F23E9">
        <w:rPr>
          <w:rFonts w:ascii="Times New Roman" w:eastAsia="Times New Roman" w:hAnsi="Times New Roman" w:cs="Times New Roman"/>
          <w:color w:val="0F1115"/>
          <w:kern w:val="0"/>
          <w:lang w:eastAsia="en-GB"/>
          <w14:ligatures w14:val="none"/>
        </w:rPr>
        <w:t>, 6.9% (6/87) reported no symptoms consistently.</w:t>
      </w:r>
    </w:p>
    <w:p w14:paraId="46BA9DA5" w14:textId="77777777" w:rsidR="00D67DDD" w:rsidRDefault="00D67DDD" w:rsidP="00616FE9">
      <w:pPr>
        <w:shd w:val="clear" w:color="auto" w:fill="FFFFFF"/>
        <w:spacing w:before="240" w:after="240" w:line="240" w:lineRule="auto"/>
        <w:rPr>
          <w:rFonts w:ascii="Times New Roman" w:eastAsia="Times New Roman" w:hAnsi="Times New Roman" w:cs="Times New Roman"/>
          <w:color w:val="0F1115"/>
          <w:kern w:val="0"/>
          <w:lang w:eastAsia="en-GB"/>
          <w14:ligatures w14:val="none"/>
        </w:rPr>
      </w:pPr>
    </w:p>
    <w:p w14:paraId="7AC710B5" w14:textId="77777777" w:rsidR="00D67DDD" w:rsidRDefault="00D67DDD" w:rsidP="00616FE9">
      <w:pPr>
        <w:shd w:val="clear" w:color="auto" w:fill="FFFFFF"/>
        <w:spacing w:before="240" w:after="240" w:line="240" w:lineRule="auto"/>
        <w:rPr>
          <w:rFonts w:ascii="Times New Roman" w:eastAsia="Times New Roman" w:hAnsi="Times New Roman" w:cs="Times New Roman"/>
          <w:color w:val="0F1115"/>
          <w:kern w:val="0"/>
          <w:lang w:eastAsia="en-GB"/>
          <w14:ligatures w14:val="none"/>
        </w:rPr>
      </w:pPr>
    </w:p>
    <w:p w14:paraId="6FB45144" w14:textId="7CB44329" w:rsidR="00616FE9" w:rsidRDefault="00616FE9" w:rsidP="00616FE9">
      <w:pPr>
        <w:shd w:val="clear" w:color="auto" w:fill="FFFFFF"/>
        <w:spacing w:before="240" w:after="240" w:line="240" w:lineRule="auto"/>
        <w:rPr>
          <w:rFonts w:ascii="Times New Roman" w:eastAsia="Times New Roman" w:hAnsi="Times New Roman" w:cs="Times New Roman"/>
          <w:b/>
          <w:bCs/>
          <w:color w:val="0F1115"/>
          <w:kern w:val="0"/>
          <w:lang w:eastAsia="en-GB"/>
          <w14:ligatures w14:val="none"/>
        </w:rPr>
      </w:pPr>
      <w:r w:rsidRPr="00616FE9">
        <w:rPr>
          <w:rFonts w:ascii="Times New Roman" w:eastAsia="Times New Roman" w:hAnsi="Times New Roman" w:cs="Times New Roman"/>
          <w:b/>
          <w:bCs/>
          <w:color w:val="0F1115"/>
          <w:kern w:val="0"/>
          <w:lang w:eastAsia="en-GB"/>
          <w14:ligatures w14:val="none"/>
        </w:rPr>
        <w:t>Thematic analysis of Qualitative survey findings</w:t>
      </w:r>
    </w:p>
    <w:p w14:paraId="341BB647" w14:textId="2ED9C6A4" w:rsidR="000840F2" w:rsidRPr="00D329B4" w:rsidRDefault="000840F2" w:rsidP="000840F2">
      <w:pPr>
        <w:pStyle w:val="ds-markdown-paragraph"/>
        <w:shd w:val="clear" w:color="auto" w:fill="FFFFFF"/>
        <w:spacing w:before="240" w:beforeAutospacing="0" w:after="240" w:afterAutospacing="0"/>
        <w:rPr>
          <w:b/>
          <w:bCs/>
          <w:color w:val="0F1115"/>
        </w:rPr>
      </w:pPr>
      <w:r w:rsidRPr="00D329B4">
        <w:rPr>
          <w:rStyle w:val="Strong"/>
          <w:rFonts w:eastAsiaTheme="majorEastAsia"/>
          <w:b w:val="0"/>
          <w:bCs w:val="0"/>
          <w:color w:val="0F1115"/>
        </w:rPr>
        <w:t>The analysis generated five primary themes, detailed below with their constituent subthemes.</w:t>
      </w:r>
    </w:p>
    <w:p w14:paraId="2FF9ACD4" w14:textId="77777777" w:rsidR="001C7BBC" w:rsidRDefault="000840F2" w:rsidP="00D67DDD">
      <w:pPr>
        <w:pStyle w:val="ds-markdown-paragraph"/>
        <w:numPr>
          <w:ilvl w:val="0"/>
          <w:numId w:val="32"/>
        </w:numPr>
        <w:shd w:val="clear" w:color="auto" w:fill="FFFFFF"/>
        <w:spacing w:before="240" w:beforeAutospacing="0" w:after="240" w:afterAutospacing="0"/>
        <w:rPr>
          <w:rStyle w:val="Strong"/>
          <w:rFonts w:eastAsiaTheme="majorEastAsia"/>
          <w:color w:val="0F1115"/>
        </w:rPr>
      </w:pPr>
      <w:r w:rsidRPr="00D329B4">
        <w:rPr>
          <w:rStyle w:val="Strong"/>
          <w:rFonts w:eastAsiaTheme="majorEastAsia"/>
          <w:color w:val="0F1115"/>
        </w:rPr>
        <w:t>Structural and Environmental Determinants of Health</w:t>
      </w:r>
    </w:p>
    <w:p w14:paraId="262C93B1" w14:textId="3126939D" w:rsidR="000840F2" w:rsidRPr="001C7BBC" w:rsidRDefault="000840F2" w:rsidP="001C7BBC">
      <w:pPr>
        <w:pStyle w:val="ds-markdown-paragraph"/>
        <w:shd w:val="clear" w:color="auto" w:fill="FFFFFF"/>
        <w:spacing w:before="240" w:beforeAutospacing="0" w:after="240" w:afterAutospacing="0"/>
        <w:rPr>
          <w:rFonts w:eastAsiaTheme="majorEastAsia"/>
          <w:b/>
          <w:bCs/>
          <w:color w:val="0F1115"/>
        </w:rPr>
      </w:pPr>
      <w:r w:rsidRPr="001C7BBC">
        <w:rPr>
          <w:rStyle w:val="Strong"/>
          <w:rFonts w:eastAsiaTheme="majorEastAsia"/>
          <w:color w:val="0F1115"/>
        </w:rPr>
        <w:t>Subtheme 1.1: Geographical Factors and Biological Implications</w:t>
      </w:r>
      <w:r w:rsidRPr="001C7BBC">
        <w:rPr>
          <w:color w:val="0F1115"/>
        </w:rPr>
        <w:br/>
        <w:t>Respondents highlighted the role of sunlight exposure as a differentiating health factor between LMICs and HICs. Limited sunlight in non-tropical HICs was believed to contribute to vitamin D insufficiency, which some respondents linked to more severe menopause symptoms.</w:t>
      </w:r>
      <w:r w:rsidRPr="001C7BBC">
        <w:rPr>
          <w:color w:val="0F1115"/>
        </w:rPr>
        <w:br/>
      </w:r>
      <w:r w:rsidRPr="001C7BBC">
        <w:rPr>
          <w:rStyle w:val="Strong"/>
          <w:rFonts w:eastAsiaTheme="majorEastAsia"/>
          <w:color w:val="0F1115"/>
        </w:rPr>
        <w:t>Meaning:</w:t>
      </w:r>
      <w:r w:rsidRPr="001C7BBC">
        <w:rPr>
          <w:color w:val="0F1115"/>
        </w:rPr>
        <w:t> </w:t>
      </w:r>
      <w:r w:rsidRPr="001C7BBC">
        <w:rPr>
          <w:rStyle w:val="Strong"/>
          <w:rFonts w:eastAsiaTheme="majorEastAsia"/>
          <w:b w:val="0"/>
          <w:bCs w:val="0"/>
          <w:color w:val="0F1115"/>
        </w:rPr>
        <w:t>Perceptions indicated that</w:t>
      </w:r>
      <w:r w:rsidRPr="001C7BBC">
        <w:rPr>
          <w:color w:val="0F1115"/>
        </w:rPr>
        <w:t> environmental context shapes biological vulnerability and symptom perception.</w:t>
      </w:r>
    </w:p>
    <w:p w14:paraId="172AB53C" w14:textId="6D41AE04"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t>Subtheme 1.2: Food Quality and Environmental Health Benefits</w:t>
      </w:r>
      <w:r w:rsidRPr="00D329B4">
        <w:rPr>
          <w:color w:val="0F1115"/>
        </w:rPr>
        <w:br/>
        <w:t>LMIC environments were perceived to provide easier access to fresh, organic, unprocessed foods, whereas food systems in HICs were viewed as more processed, expensive, and less nutritious.</w:t>
      </w:r>
      <w:r w:rsidRPr="00D329B4">
        <w:rPr>
          <w:color w:val="0F1115"/>
        </w:rPr>
        <w:br/>
      </w:r>
      <w:r w:rsidRPr="00D329B4">
        <w:rPr>
          <w:rStyle w:val="Strong"/>
          <w:rFonts w:eastAsiaTheme="majorEastAsia"/>
          <w:color w:val="0F1115"/>
        </w:rPr>
        <w:t>Meaning:</w:t>
      </w:r>
      <w:r w:rsidRPr="00D329B4">
        <w:rPr>
          <w:color w:val="0F1115"/>
        </w:rPr>
        <w:t> </w:t>
      </w:r>
      <w:r w:rsidRPr="00D329B4">
        <w:rPr>
          <w:rStyle w:val="Strong"/>
          <w:rFonts w:eastAsiaTheme="majorEastAsia"/>
          <w:b w:val="0"/>
          <w:bCs w:val="0"/>
          <w:color w:val="0F1115"/>
        </w:rPr>
        <w:t>Perceptions indicated that</w:t>
      </w:r>
      <w:r w:rsidRPr="00D329B4">
        <w:rPr>
          <w:color w:val="0F1115"/>
        </w:rPr>
        <w:t> environmental resources indirectly influence metabolic health, symptom burden, and perceptions of well</w:t>
      </w:r>
      <w:r w:rsidR="00102E52">
        <w:rPr>
          <w:color w:val="0F1115"/>
        </w:rPr>
        <w:t>-</w:t>
      </w:r>
      <w:r w:rsidRPr="00D329B4">
        <w:rPr>
          <w:color w:val="0F1115"/>
        </w:rPr>
        <w:t>being.</w:t>
      </w:r>
    </w:p>
    <w:p w14:paraId="5C7780A8" w14:textId="22AC6F00"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lastRenderedPageBreak/>
        <w:t>2. Socioeconomic Inequity and Stressors</w:t>
      </w:r>
      <w:r w:rsidRPr="00D329B4">
        <w:rPr>
          <w:color w:val="0F1115"/>
        </w:rPr>
        <w:br/>
      </w:r>
      <w:r w:rsidRPr="00D329B4">
        <w:rPr>
          <w:rStyle w:val="Strong"/>
          <w:rFonts w:eastAsiaTheme="majorEastAsia"/>
          <w:color w:val="0F1115"/>
        </w:rPr>
        <w:t>Subtheme 2.1: Social Deprivation Among First-Generation Immigrants</w:t>
      </w:r>
      <w:r w:rsidRPr="00D329B4">
        <w:rPr>
          <w:color w:val="0F1115"/>
        </w:rPr>
        <w:br/>
        <w:t>Respondents consistently linked immigration to financial strain, stress, reduced disposable income, and housing and healthcare inequities. This was connected to a loss of nativity advantage, mirroring findings from studies like SWAN.</w:t>
      </w:r>
      <w:r w:rsidRPr="00D329B4">
        <w:rPr>
          <w:color w:val="0F1115"/>
        </w:rPr>
        <w:br/>
      </w:r>
      <w:r w:rsidRPr="00D329B4">
        <w:rPr>
          <w:rStyle w:val="Strong"/>
          <w:rFonts w:eastAsiaTheme="majorEastAsia"/>
          <w:color w:val="0F1115"/>
        </w:rPr>
        <w:t>Meaning:</w:t>
      </w:r>
      <w:r w:rsidRPr="00D329B4">
        <w:rPr>
          <w:color w:val="0F1115"/>
        </w:rPr>
        <w:t> Migration-related stress erodes protective factors, increasing vulnerability during midlife and menopause.</w:t>
      </w:r>
    </w:p>
    <w:p w14:paraId="6F8FA045" w14:textId="7BCA5B05"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t>Subtheme 2.2: Financial and Family Burden (“Black Tax”)</w:t>
      </w:r>
      <w:r w:rsidRPr="00D329B4">
        <w:rPr>
          <w:color w:val="0F1115"/>
        </w:rPr>
        <w:br/>
        <w:t>Ethnic minority women in HICs described heavy familial responsibilities, financial obligations to extended families, and pressure to “provide,</w:t>
      </w:r>
      <w:r w:rsidRPr="00D329B4">
        <w:rPr>
          <w:rStyle w:val="Strong"/>
          <w:rFonts w:eastAsiaTheme="majorEastAsia"/>
          <w:color w:val="0F1115"/>
        </w:rPr>
        <w:t>”</w:t>
      </w:r>
      <w:r w:rsidRPr="00D329B4">
        <w:rPr>
          <w:color w:val="0F1115"/>
        </w:rPr>
        <w:t> all of which intensified stress.</w:t>
      </w:r>
      <w:r w:rsidRPr="00D329B4">
        <w:rPr>
          <w:color w:val="0F1115"/>
        </w:rPr>
        <w:br/>
      </w:r>
      <w:r w:rsidRPr="00D329B4">
        <w:rPr>
          <w:rStyle w:val="Strong"/>
          <w:rFonts w:eastAsiaTheme="majorEastAsia"/>
          <w:color w:val="0F1115"/>
        </w:rPr>
        <w:t>Meaning:</w:t>
      </w:r>
      <w:r w:rsidRPr="00D329B4">
        <w:rPr>
          <w:color w:val="0F1115"/>
        </w:rPr>
        <w:t> Economic and cultural expectations intersect with health access and stress-induced symptom worsening.</w:t>
      </w:r>
    </w:p>
    <w:p w14:paraId="74045ED7" w14:textId="778B2E51"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t>3. Health System Inequities and Poor Menopause Literacy</w:t>
      </w:r>
      <w:r w:rsidRPr="00D329B4">
        <w:rPr>
          <w:color w:val="0F1115"/>
        </w:rPr>
        <w:br/>
      </w:r>
      <w:r w:rsidRPr="00D329B4">
        <w:rPr>
          <w:rStyle w:val="Strong"/>
          <w:rFonts w:eastAsiaTheme="majorEastAsia"/>
          <w:color w:val="0F1115"/>
        </w:rPr>
        <w:t>Subtheme 3.1: Limited Access and Disparate Treatment Experiences</w:t>
      </w:r>
      <w:r w:rsidRPr="00D329B4">
        <w:rPr>
          <w:color w:val="0F1115"/>
        </w:rPr>
        <w:br/>
        <w:t>Ethnic minority women, particularly migrants, described unequal access to treatment, under-recognition of symptoms, and poorer clinical engagement.</w:t>
      </w:r>
      <w:r w:rsidRPr="00D329B4">
        <w:rPr>
          <w:color w:val="0F1115"/>
        </w:rPr>
        <w:br/>
      </w:r>
      <w:r w:rsidRPr="00D329B4">
        <w:rPr>
          <w:rStyle w:val="Strong"/>
          <w:rFonts w:eastAsiaTheme="majorEastAsia"/>
          <w:color w:val="0F1115"/>
        </w:rPr>
        <w:t>Meaning:</w:t>
      </w:r>
      <w:r w:rsidRPr="00D329B4">
        <w:rPr>
          <w:color w:val="0F1115"/>
        </w:rPr>
        <w:t> Systemic bias and unequal access amplify disease burden.</w:t>
      </w:r>
    </w:p>
    <w:p w14:paraId="66B74DF9" w14:textId="07BDE0DB"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t>Subtheme 3.2: Pandemic as a Revealer of Inequities</w:t>
      </w:r>
      <w:r w:rsidRPr="00D329B4">
        <w:rPr>
          <w:color w:val="0F1115"/>
        </w:rPr>
        <w:br/>
        <w:t xml:space="preserve">COVID-19 was repeatedly cited as a time </w:t>
      </w:r>
      <w:r w:rsidR="00102E52">
        <w:rPr>
          <w:color w:val="0F1115"/>
        </w:rPr>
        <w:t>when</w:t>
      </w:r>
      <w:r w:rsidRPr="00D329B4">
        <w:rPr>
          <w:color w:val="0F1115"/>
        </w:rPr>
        <w:t xml:space="preserve"> ethnic minority groups experienced disproportionate morbidity and mortality due to chronic disease burdens, social deprivation, and delayed healthcare access.</w:t>
      </w:r>
      <w:r w:rsidRPr="00D329B4">
        <w:rPr>
          <w:color w:val="0F1115"/>
        </w:rPr>
        <w:br/>
      </w:r>
      <w:r w:rsidRPr="00D329B4">
        <w:rPr>
          <w:rStyle w:val="Strong"/>
          <w:rFonts w:eastAsiaTheme="majorEastAsia"/>
          <w:color w:val="0F1115"/>
        </w:rPr>
        <w:t>Meaning:</w:t>
      </w:r>
      <w:r w:rsidRPr="00D329B4">
        <w:rPr>
          <w:color w:val="0F1115"/>
        </w:rPr>
        <w:t> Crises magnify structural inequalities that already affect menopausal health.</w:t>
      </w:r>
    </w:p>
    <w:p w14:paraId="21372AA4" w14:textId="1A15E7B2"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t>Subtheme 3.3: Persisting Low Menopause Literacy</w:t>
      </w:r>
      <w:r w:rsidRPr="00D329B4">
        <w:rPr>
          <w:color w:val="0F1115"/>
        </w:rPr>
        <w:br/>
        <w:t>Despite policies and awareness campaigns, respondents noted poor menopause literacy among both patients and healthcare professionals in HICs.</w:t>
      </w:r>
      <w:r w:rsidRPr="00D329B4">
        <w:rPr>
          <w:color w:val="0F1115"/>
        </w:rPr>
        <w:br/>
      </w:r>
      <w:r w:rsidRPr="00D329B4">
        <w:rPr>
          <w:rStyle w:val="Strong"/>
          <w:rFonts w:eastAsiaTheme="majorEastAsia"/>
          <w:color w:val="0F1115"/>
        </w:rPr>
        <w:t>Meaning:</w:t>
      </w:r>
      <w:r w:rsidRPr="00D329B4">
        <w:rPr>
          <w:color w:val="0F1115"/>
        </w:rPr>
        <w:t> Knowledge gaps impede informed decision-making and worsen underdiagnosis and undertreatment.</w:t>
      </w:r>
    </w:p>
    <w:p w14:paraId="5C6B9F9B" w14:textId="50BC517B"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t>4. Cultural Norms, Gender Roles, and Health Beliefs</w:t>
      </w:r>
      <w:r w:rsidRPr="00D329B4">
        <w:rPr>
          <w:color w:val="0F1115"/>
        </w:rPr>
        <w:br/>
      </w:r>
      <w:r w:rsidRPr="00D329B4">
        <w:rPr>
          <w:rStyle w:val="Strong"/>
          <w:rFonts w:eastAsiaTheme="majorEastAsia"/>
          <w:color w:val="0F1115"/>
        </w:rPr>
        <w:t>Subtheme 4.1: Stigma and Ideologies Around Weight and “Good Living”</w:t>
      </w:r>
      <w:r w:rsidRPr="00D329B4">
        <w:rPr>
          <w:color w:val="0F1115"/>
        </w:rPr>
        <w:br/>
        <w:t>In some LMIC contexts, weight gain is viewed as culturally desirable, symbolising prosperity and protection from menopause symptoms. This obscures recognition of associated risks such as hypertension.</w:t>
      </w:r>
      <w:r w:rsidRPr="00D329B4">
        <w:rPr>
          <w:color w:val="0F1115"/>
        </w:rPr>
        <w:br/>
      </w:r>
      <w:r w:rsidRPr="00D329B4">
        <w:rPr>
          <w:rStyle w:val="Strong"/>
          <w:rFonts w:eastAsiaTheme="majorEastAsia"/>
          <w:color w:val="0F1115"/>
        </w:rPr>
        <w:t>Meaning:</w:t>
      </w:r>
      <w:r w:rsidRPr="00D329B4">
        <w:rPr>
          <w:color w:val="0F1115"/>
        </w:rPr>
        <w:t> Cultural beliefs shape symptom interpretation and delay health-seeking behaviour.</w:t>
      </w:r>
    </w:p>
    <w:p w14:paraId="27D6E8D5" w14:textId="776329FE"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t>Subtheme 4.2: Menopause Normalisation and Symptom Endurance</w:t>
      </w:r>
      <w:r w:rsidRPr="00D329B4">
        <w:rPr>
          <w:color w:val="0F1115"/>
        </w:rPr>
        <w:br/>
        <w:t>Menopause was often regarded as a natural, brief transition requiring endurance rather than treatment.</w:t>
      </w:r>
      <w:r w:rsidRPr="00D329B4">
        <w:rPr>
          <w:color w:val="0F1115"/>
        </w:rPr>
        <w:br/>
      </w:r>
      <w:r w:rsidRPr="00D329B4">
        <w:rPr>
          <w:rStyle w:val="Strong"/>
          <w:rFonts w:eastAsiaTheme="majorEastAsia"/>
          <w:color w:val="0F1115"/>
        </w:rPr>
        <w:t>Meaning:</w:t>
      </w:r>
      <w:r w:rsidRPr="00D329B4">
        <w:rPr>
          <w:color w:val="0F1115"/>
        </w:rPr>
        <w:t> Sociocultural norms minimise women’s discomfort and discourage healthcare utilisation.</w:t>
      </w:r>
    </w:p>
    <w:p w14:paraId="7AAEFFF4" w14:textId="12440565"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t>Subtheme 4.3: Sexual Health Stigma and Dissociation from the Genital Tract</w:t>
      </w:r>
      <w:r w:rsidRPr="00D329B4">
        <w:rPr>
          <w:color w:val="0F1115"/>
        </w:rPr>
        <w:br/>
        <w:t>Women described low awareness and recognition of vaginal atrophy, dyspareunia, and genitourinary syndrome of menopause. Post-childbearing, many reported psychological dissociation from the genital area or discomfort discussing symptoms</w:t>
      </w:r>
      <w:r w:rsidRPr="00D329B4">
        <w:rPr>
          <w:rStyle w:val="Strong"/>
          <w:rFonts w:eastAsiaTheme="majorEastAsia"/>
          <w:b w:val="0"/>
          <w:bCs w:val="0"/>
          <w:color w:val="0F1115"/>
        </w:rPr>
        <w:t>; these issues were further complicated by</w:t>
      </w:r>
      <w:r w:rsidRPr="00D329B4">
        <w:rPr>
          <w:b/>
          <w:bCs/>
          <w:color w:val="0F1115"/>
        </w:rPr>
        <w:t> </w:t>
      </w:r>
      <w:r w:rsidRPr="00D329B4">
        <w:rPr>
          <w:color w:val="0F1115"/>
        </w:rPr>
        <w:t>relationship dissatisfaction and concerns about partner infidelity.</w:t>
      </w:r>
      <w:r w:rsidRPr="00D329B4">
        <w:rPr>
          <w:color w:val="0F1115"/>
        </w:rPr>
        <w:br/>
      </w:r>
      <w:r w:rsidRPr="00D329B4">
        <w:rPr>
          <w:rStyle w:val="Strong"/>
          <w:rFonts w:eastAsiaTheme="majorEastAsia"/>
          <w:color w:val="0F1115"/>
        </w:rPr>
        <w:lastRenderedPageBreak/>
        <w:t>Meaning:</w:t>
      </w:r>
      <w:r w:rsidRPr="00D329B4">
        <w:rPr>
          <w:color w:val="0F1115"/>
        </w:rPr>
        <w:t> Sociocultural silence around sexuality hinders early recognition of menopausal genitourinary conditions.</w:t>
      </w:r>
    </w:p>
    <w:p w14:paraId="269E25E8" w14:textId="1A67EF74"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t>5. Limited and Fear-Based Use of Treatments</w:t>
      </w:r>
      <w:r w:rsidRPr="00D329B4">
        <w:rPr>
          <w:color w:val="0F1115"/>
        </w:rPr>
        <w:br/>
      </w:r>
      <w:r w:rsidRPr="00D329B4">
        <w:rPr>
          <w:rStyle w:val="Strong"/>
          <w:rFonts w:eastAsiaTheme="majorEastAsia"/>
          <w:color w:val="0F1115"/>
        </w:rPr>
        <w:t>Subtheme 5.1: Reluctance to Use Menopausal Hormone Therapy or Herbal Therapies</w:t>
      </w:r>
      <w:r w:rsidRPr="00D329B4">
        <w:rPr>
          <w:color w:val="0F1115"/>
        </w:rPr>
        <w:br/>
        <w:t>Respondents reported poor MHT or herbal treatment uptake due to the following factors</w:t>
      </w:r>
      <w:r w:rsidRPr="00D329B4">
        <w:rPr>
          <w:rStyle w:val="Strong"/>
          <w:rFonts w:eastAsiaTheme="majorEastAsia"/>
          <w:b w:val="0"/>
          <w:bCs w:val="0"/>
          <w:color w:val="0F1115"/>
        </w:rPr>
        <w:t>:</w:t>
      </w:r>
      <w:r w:rsidRPr="00D329B4">
        <w:rPr>
          <w:color w:val="0F1115"/>
        </w:rPr>
        <w:t xml:space="preserve"> fear of side effects, uncertainty around dosage, insufficient information about risks/benefits, concerns about worsening conditions like fibroids, </w:t>
      </w:r>
      <w:r w:rsidRPr="00D329B4">
        <w:rPr>
          <w:rStyle w:val="Strong"/>
          <w:rFonts w:eastAsiaTheme="majorEastAsia"/>
          <w:b w:val="0"/>
          <w:bCs w:val="0"/>
          <w:color w:val="0F1115"/>
        </w:rPr>
        <w:t>and</w:t>
      </w:r>
      <w:r w:rsidRPr="00D329B4">
        <w:rPr>
          <w:color w:val="0F1115"/>
        </w:rPr>
        <w:t> </w:t>
      </w:r>
      <w:r w:rsidR="00102E52">
        <w:rPr>
          <w:color w:val="0F1115"/>
        </w:rPr>
        <w:t xml:space="preserve">the </w:t>
      </w:r>
      <w:r w:rsidRPr="00D329B4">
        <w:rPr>
          <w:color w:val="0F1115"/>
        </w:rPr>
        <w:t>influence of prior sensationalised media coverage.</w:t>
      </w:r>
      <w:r w:rsidRPr="00D329B4">
        <w:rPr>
          <w:color w:val="0F1115"/>
        </w:rPr>
        <w:br/>
      </w:r>
      <w:r w:rsidRPr="00D329B4">
        <w:rPr>
          <w:rStyle w:val="Strong"/>
          <w:rFonts w:eastAsiaTheme="majorEastAsia"/>
          <w:color w:val="0F1115"/>
        </w:rPr>
        <w:t>Meaning:</w:t>
      </w:r>
      <w:r w:rsidRPr="00D329B4">
        <w:rPr>
          <w:color w:val="0F1115"/>
        </w:rPr>
        <w:t> Mistrust, misinformation, and diagnostic uncertainty result in low engagement with treatment options.</w:t>
      </w:r>
    </w:p>
    <w:p w14:paraId="1C210F46" w14:textId="49A66161"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t>Subtheme 5.2: Mitigating Bleeding Side Effects</w:t>
      </w:r>
      <w:r w:rsidRPr="00D329B4">
        <w:rPr>
          <w:color w:val="0F1115"/>
        </w:rPr>
        <w:br/>
        <w:t>Respondents reported poor accessibility to diagnostic and treatment modalities in the event of breakthrough bleeding whilst on MHT, especially </w:t>
      </w:r>
      <w:r w:rsidRPr="00D329B4">
        <w:rPr>
          <w:rStyle w:val="Strong"/>
          <w:rFonts w:eastAsiaTheme="majorEastAsia"/>
          <w:b w:val="0"/>
          <w:bCs w:val="0"/>
          <w:color w:val="0F1115"/>
        </w:rPr>
        <w:t>for</w:t>
      </w:r>
      <w:r w:rsidR="00D329B4" w:rsidRPr="00D329B4">
        <w:rPr>
          <w:rStyle w:val="Strong"/>
          <w:rFonts w:eastAsiaTheme="majorEastAsia"/>
          <w:color w:val="0F1115"/>
        </w:rPr>
        <w:t xml:space="preserve"> </w:t>
      </w:r>
      <w:r w:rsidRPr="00D329B4">
        <w:rPr>
          <w:color w:val="0F1115"/>
        </w:rPr>
        <w:t>women with fibroids.</w:t>
      </w:r>
      <w:r w:rsidRPr="00D329B4">
        <w:rPr>
          <w:color w:val="0F1115"/>
        </w:rPr>
        <w:br/>
      </w:r>
      <w:r w:rsidRPr="00D329B4">
        <w:rPr>
          <w:rStyle w:val="Strong"/>
          <w:rFonts w:eastAsiaTheme="majorEastAsia"/>
          <w:color w:val="0F1115"/>
        </w:rPr>
        <w:t>Meaning:</w:t>
      </w:r>
      <w:r w:rsidRPr="00D329B4">
        <w:rPr>
          <w:color w:val="0F1115"/>
        </w:rPr>
        <w:t> Poor accessibility or affordability of diagnostic or treatment modalities is a recognised barrier to MHT use.</w:t>
      </w:r>
    </w:p>
    <w:p w14:paraId="3B53A9AD" w14:textId="4211E4E6" w:rsidR="000840F2" w:rsidRPr="00D329B4" w:rsidRDefault="000840F2" w:rsidP="000840F2">
      <w:pPr>
        <w:pStyle w:val="ds-markdown-paragraph"/>
        <w:shd w:val="clear" w:color="auto" w:fill="FFFFFF"/>
        <w:spacing w:before="240" w:beforeAutospacing="0" w:after="240" w:afterAutospacing="0"/>
        <w:rPr>
          <w:color w:val="0F1115"/>
        </w:rPr>
      </w:pPr>
      <w:r w:rsidRPr="00D329B4">
        <w:rPr>
          <w:rStyle w:val="Strong"/>
          <w:rFonts w:eastAsiaTheme="majorEastAsia"/>
          <w:color w:val="0F1115"/>
        </w:rPr>
        <w:t>Synthesis of Themes</w:t>
      </w:r>
      <w:r w:rsidRPr="00D329B4">
        <w:rPr>
          <w:color w:val="0F1115"/>
        </w:rPr>
        <w:br/>
      </w:r>
      <w:r w:rsidRPr="00D329B4">
        <w:rPr>
          <w:rStyle w:val="Strong"/>
          <w:rFonts w:eastAsiaTheme="majorEastAsia"/>
          <w:b w:val="0"/>
          <w:bCs w:val="0"/>
          <w:color w:val="0F1115"/>
        </w:rPr>
        <w:t>An analysis of these subthemes revealed four overarching constructs:</w:t>
      </w:r>
      <w:r w:rsidRPr="00D329B4">
        <w:rPr>
          <w:color w:val="0F1115"/>
        </w:rPr>
        <w:t xml:space="preserve"> Once </w:t>
      </w:r>
      <w:r w:rsidR="00CF532E">
        <w:rPr>
          <w:color w:val="0F1115"/>
        </w:rPr>
        <w:t>synthesised</w:t>
      </w:r>
      <w:r w:rsidRPr="00D329B4">
        <w:rPr>
          <w:color w:val="0F1115"/>
        </w:rPr>
        <w:t>, the 4 overarching themes are:</w:t>
      </w:r>
    </w:p>
    <w:p w14:paraId="13A122FF" w14:textId="77777777" w:rsidR="000840F2" w:rsidRPr="00D329B4" w:rsidRDefault="000840F2" w:rsidP="000840F2">
      <w:pPr>
        <w:pStyle w:val="ds-markdown-paragraph"/>
        <w:numPr>
          <w:ilvl w:val="0"/>
          <w:numId w:val="23"/>
        </w:numPr>
        <w:shd w:val="clear" w:color="auto" w:fill="FFFFFF"/>
        <w:spacing w:before="0" w:beforeAutospacing="0" w:after="0" w:afterAutospacing="0"/>
        <w:rPr>
          <w:color w:val="0F1115"/>
        </w:rPr>
      </w:pPr>
      <w:r w:rsidRPr="00D329B4">
        <w:rPr>
          <w:rStyle w:val="Strong"/>
          <w:rFonts w:eastAsiaTheme="majorEastAsia"/>
          <w:color w:val="0F1115"/>
        </w:rPr>
        <w:t>Intersection of Environment, Migration, and Inequality:</w:t>
      </w:r>
      <w:r w:rsidRPr="00D329B4">
        <w:rPr>
          <w:color w:val="0F1115"/>
        </w:rPr>
        <w:t> Geographic environments and socioeconomic disruptions (migration stress, poverty, systemic inequality) collectively shape menopausal experience.</w:t>
      </w:r>
    </w:p>
    <w:p w14:paraId="27C85F9D" w14:textId="77777777" w:rsidR="000840F2" w:rsidRPr="00D329B4" w:rsidRDefault="000840F2" w:rsidP="000840F2">
      <w:pPr>
        <w:pStyle w:val="ds-markdown-paragraph"/>
        <w:numPr>
          <w:ilvl w:val="0"/>
          <w:numId w:val="23"/>
        </w:numPr>
        <w:shd w:val="clear" w:color="auto" w:fill="FFFFFF"/>
        <w:spacing w:before="0" w:beforeAutospacing="0" w:after="0" w:afterAutospacing="0"/>
        <w:rPr>
          <w:color w:val="0F1115"/>
        </w:rPr>
      </w:pPr>
      <w:r w:rsidRPr="00D329B4">
        <w:rPr>
          <w:rStyle w:val="Strong"/>
          <w:rFonts w:eastAsiaTheme="majorEastAsia"/>
          <w:color w:val="0F1115"/>
        </w:rPr>
        <w:t>Cultural Silence and Gendered Expectations:</w:t>
      </w:r>
      <w:r w:rsidRPr="00D329B4">
        <w:rPr>
          <w:color w:val="0F1115"/>
        </w:rPr>
        <w:t> Norms around stoicism, weight, and sexuality reinforce underdiagnosis and limited support.</w:t>
      </w:r>
    </w:p>
    <w:p w14:paraId="4D08CEBE" w14:textId="77777777" w:rsidR="000840F2" w:rsidRPr="00D329B4" w:rsidRDefault="000840F2" w:rsidP="000840F2">
      <w:pPr>
        <w:pStyle w:val="ds-markdown-paragraph"/>
        <w:numPr>
          <w:ilvl w:val="0"/>
          <w:numId w:val="23"/>
        </w:numPr>
        <w:shd w:val="clear" w:color="auto" w:fill="FFFFFF"/>
        <w:spacing w:before="0" w:beforeAutospacing="0" w:after="0" w:afterAutospacing="0"/>
        <w:rPr>
          <w:color w:val="0F1115"/>
        </w:rPr>
      </w:pPr>
      <w:r w:rsidRPr="00D329B4">
        <w:rPr>
          <w:rStyle w:val="Strong"/>
          <w:rFonts w:eastAsiaTheme="majorEastAsia"/>
          <w:color w:val="0F1115"/>
        </w:rPr>
        <w:t>Healthcare System Gaps and Misinformation:</w:t>
      </w:r>
      <w:r w:rsidRPr="00D329B4">
        <w:rPr>
          <w:color w:val="0F1115"/>
        </w:rPr>
        <w:t> Poor menopause literacy, treatment fears, and accessibility barriers hinder effective care.</w:t>
      </w:r>
    </w:p>
    <w:p w14:paraId="65F03E84" w14:textId="77777777" w:rsidR="000840F2" w:rsidRPr="00D329B4" w:rsidRDefault="000840F2" w:rsidP="000840F2">
      <w:pPr>
        <w:pStyle w:val="ds-markdown-paragraph"/>
        <w:numPr>
          <w:ilvl w:val="0"/>
          <w:numId w:val="23"/>
        </w:numPr>
        <w:shd w:val="clear" w:color="auto" w:fill="FFFFFF"/>
        <w:spacing w:before="0" w:beforeAutospacing="0" w:after="0" w:afterAutospacing="0"/>
        <w:rPr>
          <w:color w:val="0F1115"/>
        </w:rPr>
      </w:pPr>
      <w:r w:rsidRPr="00D329B4">
        <w:rPr>
          <w:rStyle w:val="Strong"/>
          <w:rFonts w:eastAsiaTheme="majorEastAsia"/>
          <w:color w:val="0F1115"/>
        </w:rPr>
        <w:t>Psychosocial Stress as a Mediator of Symptom Severity:</w:t>
      </w:r>
      <w:r w:rsidRPr="00D329B4">
        <w:rPr>
          <w:color w:val="0F1115"/>
        </w:rPr>
        <w:t> Chronic stress—economic, relational, or cultural—emerges as a cross-cutting factor influencing symptom perception and severity.</w:t>
      </w:r>
    </w:p>
    <w:p w14:paraId="2F351FEF" w14:textId="77777777" w:rsidR="00D329B4" w:rsidRDefault="00D329B4" w:rsidP="00692CB7">
      <w:pPr>
        <w:rPr>
          <w:rFonts w:ascii="Times New Roman" w:hAnsi="Times New Roman" w:cs="Times New Roman"/>
          <w:b/>
          <w:bCs/>
          <w:strike/>
        </w:rPr>
      </w:pPr>
    </w:p>
    <w:p w14:paraId="7C33475C" w14:textId="1127BE81" w:rsidR="009202A0" w:rsidRPr="009202A0" w:rsidRDefault="009202A0" w:rsidP="009202A0">
      <w:pPr>
        <w:rPr>
          <w:rFonts w:ascii="Times New Roman" w:hAnsi="Times New Roman" w:cs="Times New Roman"/>
          <w:b/>
          <w:bCs/>
        </w:rPr>
      </w:pPr>
      <w:r w:rsidRPr="009202A0">
        <w:rPr>
          <w:rFonts w:ascii="Times New Roman" w:hAnsi="Times New Roman" w:cs="Times New Roman"/>
          <w:b/>
          <w:bCs/>
        </w:rPr>
        <w:t>Discussion</w:t>
      </w:r>
    </w:p>
    <w:p w14:paraId="444FC7DF" w14:textId="47899B3C" w:rsidR="009202A0" w:rsidRPr="009202A0" w:rsidRDefault="009202A0" w:rsidP="009202A0">
      <w:pPr>
        <w:rPr>
          <w:rFonts w:ascii="Times New Roman" w:hAnsi="Times New Roman" w:cs="Times New Roman"/>
          <w:b/>
          <w:bCs/>
        </w:rPr>
      </w:pPr>
      <w:r w:rsidRPr="009202A0">
        <w:rPr>
          <w:rFonts w:ascii="Times New Roman" w:hAnsi="Times New Roman" w:cs="Times New Roman"/>
          <w:b/>
          <w:bCs/>
        </w:rPr>
        <w:t>Principal Findings</w:t>
      </w:r>
    </w:p>
    <w:p w14:paraId="43B39878" w14:textId="47D5357F" w:rsidR="009202A0" w:rsidRPr="009202A0" w:rsidRDefault="009202A0" w:rsidP="009202A0">
      <w:pPr>
        <w:rPr>
          <w:rFonts w:ascii="Times New Roman" w:hAnsi="Times New Roman" w:cs="Times New Roman"/>
        </w:rPr>
      </w:pPr>
      <w:r w:rsidRPr="009202A0">
        <w:rPr>
          <w:rFonts w:ascii="Times New Roman" w:hAnsi="Times New Roman" w:cs="Times New Roman"/>
        </w:rPr>
        <w:t xml:space="preserve">This study identified several key differences in the menopause experience between sub-Saharan African (SSA) women in high-income countries (HIC) and low- to middle-income countries (LMIC). This is the </w:t>
      </w:r>
      <w:r>
        <w:rPr>
          <w:rFonts w:ascii="Times New Roman" w:hAnsi="Times New Roman" w:cs="Times New Roman"/>
        </w:rPr>
        <w:t>first</w:t>
      </w:r>
      <w:r w:rsidRPr="009202A0">
        <w:rPr>
          <w:rFonts w:ascii="Times New Roman" w:hAnsi="Times New Roman" w:cs="Times New Roman"/>
        </w:rPr>
        <w:t xml:space="preserve"> study identifying differences in Menopause experience, symptom awareness and treatment in sub-Saharan women of similar ethnicities located in different residences /domiciles.</w:t>
      </w:r>
    </w:p>
    <w:p w14:paraId="6188369D" w14:textId="77777777" w:rsidR="00A136A3" w:rsidRDefault="00A136A3" w:rsidP="009202A0">
      <w:pPr>
        <w:rPr>
          <w:rFonts w:ascii="Times New Roman" w:hAnsi="Times New Roman" w:cs="Times New Roman"/>
          <w:b/>
          <w:bCs/>
        </w:rPr>
      </w:pPr>
    </w:p>
    <w:p w14:paraId="2E4C0277" w14:textId="4C2FD196" w:rsidR="009202A0" w:rsidRPr="009202A0" w:rsidRDefault="009202A0" w:rsidP="009202A0">
      <w:pPr>
        <w:rPr>
          <w:rFonts w:ascii="Times New Roman" w:hAnsi="Times New Roman" w:cs="Times New Roman"/>
          <w:b/>
          <w:bCs/>
        </w:rPr>
      </w:pPr>
      <w:r w:rsidRPr="009202A0">
        <w:rPr>
          <w:rFonts w:ascii="Times New Roman" w:hAnsi="Times New Roman" w:cs="Times New Roman"/>
          <w:b/>
          <w:bCs/>
        </w:rPr>
        <w:t>Menopause Age, Migration, and Stress</w:t>
      </w:r>
    </w:p>
    <w:p w14:paraId="70B0E1B0" w14:textId="77777777" w:rsidR="00E475F3" w:rsidRDefault="009202A0" w:rsidP="009202A0">
      <w:pPr>
        <w:rPr>
          <w:rFonts w:ascii="Times New Roman" w:hAnsi="Times New Roman" w:cs="Times New Roman"/>
        </w:rPr>
      </w:pPr>
      <w:r w:rsidRPr="009202A0">
        <w:rPr>
          <w:rFonts w:ascii="Times New Roman" w:hAnsi="Times New Roman" w:cs="Times New Roman"/>
        </w:rPr>
        <w:t xml:space="preserve">Our cohort showed a statistically significant difference in age at menopause. The average menopause age was 47.59 years ± 4.56 in the HIC cohort and 49.78 years ± 3.26 in the LMIC cohort (p=0.013). </w:t>
      </w:r>
    </w:p>
    <w:p w14:paraId="1D54EF3F" w14:textId="34597834" w:rsidR="00A136A3" w:rsidRDefault="00A136A3" w:rsidP="009202A0">
      <w:pPr>
        <w:rPr>
          <w:rFonts w:ascii="Times New Roman" w:hAnsi="Times New Roman" w:cs="Times New Roman"/>
        </w:rPr>
      </w:pPr>
      <w:r w:rsidRPr="00A136A3">
        <w:rPr>
          <w:rFonts w:ascii="Times New Roman" w:hAnsi="Times New Roman" w:cs="Times New Roman"/>
        </w:rPr>
        <w:lastRenderedPageBreak/>
        <w:t xml:space="preserve">The mean age in our LMIC cohort aligns with findings from other regional studies within Nigeria, which report a mean age </w:t>
      </w:r>
      <w:r w:rsidR="00F233A8">
        <w:rPr>
          <w:rFonts w:ascii="Times New Roman" w:hAnsi="Times New Roman" w:cs="Times New Roman"/>
        </w:rPr>
        <w:t xml:space="preserve">of </w:t>
      </w:r>
      <w:r w:rsidRPr="00A136A3">
        <w:rPr>
          <w:rFonts w:ascii="Times New Roman" w:hAnsi="Times New Roman" w:cs="Times New Roman"/>
        </w:rPr>
        <w:t>around 49.1 years</w:t>
      </w:r>
      <w:r w:rsidR="00F233A8">
        <w:rPr>
          <w:rFonts w:ascii="Times New Roman" w:hAnsi="Times New Roman" w:cs="Times New Roman"/>
          <w:vertAlign w:val="superscript"/>
        </w:rPr>
        <w:t>3</w:t>
      </w:r>
      <w:commentRangeStart w:id="2"/>
      <w:commentRangeEnd w:id="2"/>
      <w:r w:rsidRPr="00A136A3">
        <w:rPr>
          <w:rFonts w:ascii="Times New Roman" w:hAnsi="Times New Roman" w:cs="Times New Roman"/>
        </w:rPr>
        <w:t>. Consequently, the LMIC cohort reached menopause 26.4 months later than their HIC counterparts.</w:t>
      </w:r>
    </w:p>
    <w:p w14:paraId="3507622D" w14:textId="7E78D766" w:rsidR="009202A0" w:rsidRPr="009202A0" w:rsidRDefault="009202A0" w:rsidP="009202A0">
      <w:pPr>
        <w:rPr>
          <w:rFonts w:ascii="Times New Roman" w:hAnsi="Times New Roman" w:cs="Times New Roman"/>
        </w:rPr>
      </w:pPr>
      <w:r w:rsidRPr="009202A0">
        <w:rPr>
          <w:rFonts w:ascii="Times New Roman" w:hAnsi="Times New Roman" w:cs="Times New Roman"/>
        </w:rPr>
        <w:t xml:space="preserve">The HIC women were largely </w:t>
      </w:r>
      <w:r>
        <w:rPr>
          <w:rFonts w:ascii="Times New Roman" w:hAnsi="Times New Roman" w:cs="Times New Roman"/>
        </w:rPr>
        <w:t>first</w:t>
      </w:r>
      <w:r w:rsidRPr="009202A0">
        <w:rPr>
          <w:rFonts w:ascii="Times New Roman" w:hAnsi="Times New Roman" w:cs="Times New Roman"/>
        </w:rPr>
        <w:t>-generation immigrants located in their current domiciles for an average of 15 years</w:t>
      </w:r>
      <w:r w:rsidR="00102E52">
        <w:rPr>
          <w:rFonts w:ascii="Times New Roman" w:hAnsi="Times New Roman" w:cs="Times New Roman"/>
        </w:rPr>
        <w:t>,</w:t>
      </w:r>
      <w:r w:rsidRPr="009202A0">
        <w:rPr>
          <w:rFonts w:ascii="Times New Roman" w:hAnsi="Times New Roman" w:cs="Times New Roman"/>
        </w:rPr>
        <w:t xml:space="preserve"> with a range of 5-30 years. It is recognised that black American women (with African ancestry) reach Menopause at </w:t>
      </w:r>
      <w:r w:rsidR="00F233A8">
        <w:rPr>
          <w:rFonts w:ascii="Times New Roman" w:hAnsi="Times New Roman" w:cs="Times New Roman"/>
        </w:rPr>
        <w:t xml:space="preserve">49 years </w:t>
      </w:r>
      <w:r w:rsidR="00F233A8">
        <w:rPr>
          <w:rFonts w:ascii="Times New Roman" w:hAnsi="Times New Roman" w:cs="Times New Roman"/>
          <w:vertAlign w:val="superscript"/>
        </w:rPr>
        <w:t>12,13</w:t>
      </w:r>
      <w:r w:rsidRPr="009202A0">
        <w:rPr>
          <w:rFonts w:ascii="Times New Roman" w:hAnsi="Times New Roman" w:cs="Times New Roman"/>
        </w:rPr>
        <w:t xml:space="preserve">, undergoing the menopause transition earlier and longer than </w:t>
      </w:r>
      <w:r w:rsidR="00102E52">
        <w:rPr>
          <w:rFonts w:ascii="Times New Roman" w:hAnsi="Times New Roman" w:cs="Times New Roman"/>
        </w:rPr>
        <w:t>their</w:t>
      </w:r>
      <w:r w:rsidRPr="009202A0">
        <w:rPr>
          <w:rFonts w:ascii="Times New Roman" w:hAnsi="Times New Roman" w:cs="Times New Roman"/>
        </w:rPr>
        <w:t xml:space="preserve"> Caucasian counterpart</w:t>
      </w:r>
      <w:r w:rsidR="00102E52">
        <w:rPr>
          <w:rFonts w:ascii="Times New Roman" w:hAnsi="Times New Roman" w:cs="Times New Roman"/>
        </w:rPr>
        <w:t>s</w:t>
      </w:r>
      <w:r w:rsidRPr="009202A0">
        <w:rPr>
          <w:rFonts w:ascii="Times New Roman" w:hAnsi="Times New Roman" w:cs="Times New Roman"/>
        </w:rPr>
        <w:t>. Due to research paucity, there are few African studies demonstrating significant variation, with women in SW Nigeria reaching menopause at age 57yrs</w:t>
      </w:r>
      <w:r w:rsidR="00F233A8">
        <w:rPr>
          <w:rFonts w:ascii="Times New Roman" w:hAnsi="Times New Roman" w:cs="Times New Roman"/>
          <w:vertAlign w:val="superscript"/>
        </w:rPr>
        <w:t>5</w:t>
      </w:r>
      <w:r w:rsidRPr="009202A0">
        <w:rPr>
          <w:rFonts w:ascii="Times New Roman" w:hAnsi="Times New Roman" w:cs="Times New Roman"/>
        </w:rPr>
        <w:t xml:space="preserve"> as compared to </w:t>
      </w:r>
      <w:r w:rsidR="00102E52">
        <w:rPr>
          <w:rFonts w:ascii="Times New Roman" w:hAnsi="Times New Roman" w:cs="Times New Roman"/>
        </w:rPr>
        <w:t>49 years</w:t>
      </w:r>
      <w:r w:rsidRPr="009202A0">
        <w:rPr>
          <w:rFonts w:ascii="Times New Roman" w:hAnsi="Times New Roman" w:cs="Times New Roman"/>
        </w:rPr>
        <w:t xml:space="preserve"> seen in SE Nigeria</w:t>
      </w:r>
      <w:r w:rsidR="00F233A8">
        <w:rPr>
          <w:rFonts w:ascii="Times New Roman" w:hAnsi="Times New Roman" w:cs="Times New Roman"/>
          <w:vertAlign w:val="superscript"/>
        </w:rPr>
        <w:t>6</w:t>
      </w:r>
      <w:r w:rsidRPr="009202A0">
        <w:rPr>
          <w:rFonts w:ascii="Times New Roman" w:hAnsi="Times New Roman" w:cs="Times New Roman"/>
        </w:rPr>
        <w:t>.</w:t>
      </w:r>
    </w:p>
    <w:p w14:paraId="0E584812" w14:textId="50530A25" w:rsidR="009202A0" w:rsidRPr="00F233A8" w:rsidRDefault="009202A0" w:rsidP="009202A0">
      <w:pPr>
        <w:rPr>
          <w:rFonts w:ascii="Times New Roman" w:hAnsi="Times New Roman" w:cs="Times New Roman"/>
          <w:vertAlign w:val="superscript"/>
        </w:rPr>
      </w:pPr>
      <w:r w:rsidRPr="009202A0">
        <w:rPr>
          <w:rFonts w:ascii="Times New Roman" w:hAnsi="Times New Roman" w:cs="Times New Roman"/>
        </w:rPr>
        <w:t xml:space="preserve">The observed </w:t>
      </w:r>
      <w:r w:rsidR="00F233A8">
        <w:rPr>
          <w:rFonts w:ascii="Times New Roman" w:hAnsi="Times New Roman" w:cs="Times New Roman"/>
        </w:rPr>
        <w:t>age difference</w:t>
      </w:r>
      <w:r w:rsidRPr="009202A0">
        <w:rPr>
          <w:rFonts w:ascii="Times New Roman" w:hAnsi="Times New Roman" w:cs="Times New Roman"/>
        </w:rPr>
        <w:t xml:space="preserve"> is associated with a higher number of women with early menopause in the HIC cohort</w:t>
      </w:r>
      <w:r w:rsidR="00102E52">
        <w:rPr>
          <w:rFonts w:ascii="Times New Roman" w:hAnsi="Times New Roman" w:cs="Times New Roman"/>
        </w:rPr>
        <w:t>,</w:t>
      </w:r>
      <w:r w:rsidRPr="009202A0">
        <w:rPr>
          <w:rFonts w:ascii="Times New Roman" w:hAnsi="Times New Roman" w:cs="Times New Roman"/>
        </w:rPr>
        <w:t xml:space="preserve"> with no other observed</w:t>
      </w:r>
      <w:r w:rsidR="00F233A8">
        <w:rPr>
          <w:rFonts w:ascii="Times New Roman" w:hAnsi="Times New Roman" w:cs="Times New Roman"/>
        </w:rPr>
        <w:t xml:space="preserve"> or self-reported</w:t>
      </w:r>
      <w:r w:rsidRPr="009202A0">
        <w:rPr>
          <w:rFonts w:ascii="Times New Roman" w:hAnsi="Times New Roman" w:cs="Times New Roman"/>
        </w:rPr>
        <w:t xml:space="preserve"> significant pathology. Our</w:t>
      </w:r>
      <w:r>
        <w:rPr>
          <w:rFonts w:ascii="Times New Roman" w:hAnsi="Times New Roman" w:cs="Times New Roman"/>
        </w:rPr>
        <w:t xml:space="preserve"> </w:t>
      </w:r>
      <w:r w:rsidRPr="009202A0">
        <w:rPr>
          <w:rFonts w:ascii="Times New Roman" w:hAnsi="Times New Roman" w:cs="Times New Roman"/>
        </w:rPr>
        <w:t xml:space="preserve">qualitative data suggests the Menopause change occurred a few years after </w:t>
      </w:r>
      <w:r w:rsidR="00F233A8">
        <w:rPr>
          <w:rFonts w:ascii="Times New Roman" w:hAnsi="Times New Roman" w:cs="Times New Roman"/>
        </w:rPr>
        <w:t xml:space="preserve">full settlement in their new domiciles after </w:t>
      </w:r>
      <w:r w:rsidRPr="009202A0">
        <w:rPr>
          <w:rFonts w:ascii="Times New Roman" w:hAnsi="Times New Roman" w:cs="Times New Roman"/>
        </w:rPr>
        <w:t>completion of their immigration journeys. These time periods were described as eventful with significant stressors such as temporary relative social deprivation whilst actively seeking better job opportunities, professional examination huddle stresses, childcare stress with no readily available family support</w:t>
      </w:r>
      <w:r w:rsidR="00102E52">
        <w:rPr>
          <w:rFonts w:ascii="Times New Roman" w:hAnsi="Times New Roman" w:cs="Times New Roman"/>
        </w:rPr>
        <w:t>,</w:t>
      </w:r>
      <w:r w:rsidRPr="009202A0">
        <w:rPr>
          <w:rFonts w:ascii="Times New Roman" w:hAnsi="Times New Roman" w:cs="Times New Roman"/>
        </w:rPr>
        <w:t xml:space="preserve"> alongside financial stresses from family expectations </w:t>
      </w:r>
      <w:r>
        <w:rPr>
          <w:rFonts w:ascii="Times New Roman" w:hAnsi="Times New Roman" w:cs="Times New Roman"/>
        </w:rPr>
        <w:t>(</w:t>
      </w:r>
      <w:r w:rsidRPr="009202A0">
        <w:rPr>
          <w:rFonts w:ascii="Times New Roman" w:hAnsi="Times New Roman" w:cs="Times New Roman"/>
        </w:rPr>
        <w:t>also known as black tax</w:t>
      </w:r>
      <w:r>
        <w:rPr>
          <w:rFonts w:ascii="Times New Roman" w:hAnsi="Times New Roman" w:cs="Times New Roman"/>
        </w:rPr>
        <w:t>)</w:t>
      </w:r>
      <w:r w:rsidRPr="009202A0">
        <w:rPr>
          <w:rFonts w:ascii="Times New Roman" w:hAnsi="Times New Roman" w:cs="Times New Roman"/>
        </w:rPr>
        <w:t>. These factors align with findings noted by Bromberger et al</w:t>
      </w:r>
      <w:r w:rsidR="00F233A8">
        <w:rPr>
          <w:rFonts w:ascii="Times New Roman" w:hAnsi="Times New Roman" w:cs="Times New Roman"/>
          <w:vertAlign w:val="superscript"/>
        </w:rPr>
        <w:t>14.</w:t>
      </w:r>
    </w:p>
    <w:p w14:paraId="601CCE51" w14:textId="418D9325" w:rsidR="009202A0" w:rsidRPr="009202A0" w:rsidRDefault="009202A0" w:rsidP="009202A0">
      <w:pPr>
        <w:rPr>
          <w:rFonts w:ascii="Times New Roman" w:hAnsi="Times New Roman" w:cs="Times New Roman"/>
        </w:rPr>
      </w:pPr>
      <w:r w:rsidRPr="009202A0">
        <w:rPr>
          <w:rFonts w:ascii="Times New Roman" w:hAnsi="Times New Roman" w:cs="Times New Roman"/>
        </w:rPr>
        <w:t>Therefore, the thematic analysis may suggest a process of subtle acquired-migration-related health morbidity with accelerated nativity advantage erosion</w:t>
      </w:r>
      <w:r w:rsidR="00F233A8">
        <w:rPr>
          <w:rFonts w:ascii="Times New Roman" w:hAnsi="Times New Roman" w:cs="Times New Roman"/>
        </w:rPr>
        <w:t>,</w:t>
      </w:r>
      <w:r w:rsidRPr="009202A0">
        <w:rPr>
          <w:rFonts w:ascii="Times New Roman" w:hAnsi="Times New Roman" w:cs="Times New Roman"/>
        </w:rPr>
        <w:t xml:space="preserve"> which had been previously identified in different South American cohorts residing in the United States by the Swan study</w:t>
      </w:r>
      <w:r w:rsidR="00F233A8">
        <w:rPr>
          <w:rFonts w:ascii="Times New Roman" w:hAnsi="Times New Roman" w:cs="Times New Roman"/>
          <w:vertAlign w:val="superscript"/>
        </w:rPr>
        <w:t>12</w:t>
      </w:r>
      <w:r w:rsidRPr="009202A0">
        <w:rPr>
          <w:rFonts w:ascii="Times New Roman" w:hAnsi="Times New Roman" w:cs="Times New Roman"/>
        </w:rPr>
        <w:t>, may have facilitated an earlier menopause transition.</w:t>
      </w:r>
    </w:p>
    <w:p w14:paraId="151C2D00" w14:textId="5207B734" w:rsidR="009202A0" w:rsidRPr="009202A0" w:rsidRDefault="009202A0" w:rsidP="009202A0">
      <w:pPr>
        <w:rPr>
          <w:rFonts w:ascii="Times New Roman" w:hAnsi="Times New Roman" w:cs="Times New Roman"/>
          <w:b/>
          <w:bCs/>
        </w:rPr>
      </w:pPr>
      <w:r w:rsidRPr="009202A0">
        <w:rPr>
          <w:rFonts w:ascii="Times New Roman" w:hAnsi="Times New Roman" w:cs="Times New Roman"/>
          <w:b/>
          <w:bCs/>
        </w:rPr>
        <w:t>Symptom Knowledge, Perception, and Recognition</w:t>
      </w:r>
    </w:p>
    <w:p w14:paraId="74F70C53" w14:textId="03A3A667" w:rsidR="009202A0" w:rsidRPr="009202A0" w:rsidRDefault="00C6387D" w:rsidP="009202A0">
      <w:pPr>
        <w:rPr>
          <w:rFonts w:ascii="Times New Roman" w:hAnsi="Times New Roman" w:cs="Times New Roman"/>
        </w:rPr>
      </w:pPr>
      <w:r w:rsidRPr="00C6387D">
        <w:rPr>
          <w:rFonts w:ascii="Times New Roman" w:hAnsi="Times New Roman" w:cs="Times New Roman"/>
        </w:rPr>
        <w:t>Menopause knowledge was quite high in both cohorts, a reflection of their high educational status and environmental awareness. This was particularly specific to the HIC cohort, as HIC governments are increasingly raising menopause and midlife health awareness with appropriate treatment to tackle endemic systemic inequalities associated with HRT management. This need is highlighted by a 2020 study by Hillman et al.</w:t>
      </w:r>
      <w:r w:rsidR="00F233A8">
        <w:rPr>
          <w:rFonts w:ascii="Times New Roman" w:hAnsi="Times New Roman" w:cs="Times New Roman"/>
          <w:vertAlign w:val="superscript"/>
        </w:rPr>
        <w:t>9</w:t>
      </w:r>
      <w:r w:rsidRPr="00C6387D">
        <w:rPr>
          <w:rFonts w:ascii="Times New Roman" w:hAnsi="Times New Roman" w:cs="Times New Roman"/>
        </w:rPr>
        <w:t>, which identified a large unmet need for menopause care in areas of deprivation.</w:t>
      </w:r>
      <w:r w:rsidR="009202A0" w:rsidRPr="009202A0">
        <w:rPr>
          <w:rFonts w:ascii="Times New Roman" w:hAnsi="Times New Roman" w:cs="Times New Roman"/>
        </w:rPr>
        <w:t xml:space="preserve"> Awareness of Cultural nuances – alternative treatment interventions, was higher in HIC as compared to LMIC; and nuances were found to be like practices described by</w:t>
      </w:r>
      <w:r w:rsidR="00F233A8">
        <w:rPr>
          <w:rFonts w:ascii="Times New Roman" w:hAnsi="Times New Roman" w:cs="Times New Roman"/>
        </w:rPr>
        <w:t xml:space="preserve"> the South African study</w:t>
      </w:r>
      <w:r w:rsidR="00F233A8">
        <w:rPr>
          <w:rFonts w:ascii="Times New Roman" w:hAnsi="Times New Roman" w:cs="Times New Roman"/>
          <w:vertAlign w:val="superscript"/>
        </w:rPr>
        <w:t>1</w:t>
      </w:r>
      <w:r w:rsidR="00F233A8" w:rsidRPr="00F233A8">
        <w:rPr>
          <w:rFonts w:ascii="Times New Roman" w:hAnsi="Times New Roman" w:cs="Times New Roman"/>
          <w:vertAlign w:val="superscript"/>
        </w:rPr>
        <w:t>1</w:t>
      </w:r>
      <w:r w:rsidR="00F233A8">
        <w:rPr>
          <w:rFonts w:ascii="Times New Roman" w:hAnsi="Times New Roman" w:cs="Times New Roman"/>
        </w:rPr>
        <w:t xml:space="preserve">, </w:t>
      </w:r>
      <w:r w:rsidR="009202A0" w:rsidRPr="009202A0">
        <w:rPr>
          <w:rFonts w:ascii="Times New Roman" w:hAnsi="Times New Roman" w:cs="Times New Roman"/>
        </w:rPr>
        <w:t>with dietary changes being the most common treatment alternative, followed by herbs, exercise and weight gain.</w:t>
      </w:r>
    </w:p>
    <w:p w14:paraId="647C96E1" w14:textId="378B5B02" w:rsidR="009202A0" w:rsidRPr="009202A0" w:rsidRDefault="009202A0" w:rsidP="009202A0">
      <w:pPr>
        <w:rPr>
          <w:rFonts w:ascii="Times New Roman" w:hAnsi="Times New Roman" w:cs="Times New Roman"/>
        </w:rPr>
      </w:pPr>
      <w:r w:rsidRPr="009202A0">
        <w:rPr>
          <w:rFonts w:ascii="Times New Roman" w:hAnsi="Times New Roman" w:cs="Times New Roman"/>
        </w:rPr>
        <w:t>Though approximately 79% of the LMIC cohort defined menopause appropriately, their</w:t>
      </w:r>
      <w:r w:rsidR="00E8103A">
        <w:rPr>
          <w:rFonts w:ascii="Times New Roman" w:hAnsi="Times New Roman" w:cs="Times New Roman"/>
        </w:rPr>
        <w:t xml:space="preserve"> </w:t>
      </w:r>
      <w:r w:rsidRPr="009202A0">
        <w:rPr>
          <w:rFonts w:ascii="Times New Roman" w:hAnsi="Times New Roman" w:cs="Times New Roman"/>
        </w:rPr>
        <w:t xml:space="preserve">definition by symptomatology was comparatively less prevalent </w:t>
      </w:r>
      <w:r w:rsidR="003E5AEA">
        <w:rPr>
          <w:rFonts w:ascii="Times New Roman" w:hAnsi="Times New Roman" w:cs="Times New Roman"/>
        </w:rPr>
        <w:t>when</w:t>
      </w:r>
      <w:r w:rsidRPr="009202A0">
        <w:rPr>
          <w:rFonts w:ascii="Times New Roman" w:hAnsi="Times New Roman" w:cs="Times New Roman"/>
        </w:rPr>
        <w:t xml:space="preserve"> compared to the HIC cohort (26% vs 72%).</w:t>
      </w:r>
      <w:r w:rsidR="00E8103A">
        <w:rPr>
          <w:rFonts w:ascii="Times New Roman" w:hAnsi="Times New Roman" w:cs="Times New Roman"/>
        </w:rPr>
        <w:t xml:space="preserve"> </w:t>
      </w:r>
      <w:r w:rsidRPr="009202A0">
        <w:rPr>
          <w:rFonts w:ascii="Times New Roman" w:hAnsi="Times New Roman" w:cs="Times New Roman"/>
        </w:rPr>
        <w:t>This is likely a reflection of the increasing health awareness programmes and policy changes within HIC settings</w:t>
      </w:r>
      <w:r w:rsidR="00102E52">
        <w:rPr>
          <w:rFonts w:ascii="Times New Roman" w:hAnsi="Times New Roman" w:cs="Times New Roman"/>
        </w:rPr>
        <w:t>,</w:t>
      </w:r>
      <w:r w:rsidRPr="009202A0">
        <w:rPr>
          <w:rFonts w:ascii="Times New Roman" w:hAnsi="Times New Roman" w:cs="Times New Roman"/>
        </w:rPr>
        <w:t xml:space="preserve"> which run the risk of medicalising a natural phenomenon in the asymptomatic women, creating undue health anxiety. This knowledge gap was also evident as there was poor symptom self-recognition and reporting in 46.3% (LMIC) vs 26.1% (HIC). This difference in symptom awareness and impact with </w:t>
      </w:r>
      <w:r w:rsidRPr="009202A0">
        <w:rPr>
          <w:rFonts w:ascii="Times New Roman" w:hAnsi="Times New Roman" w:cs="Times New Roman"/>
        </w:rPr>
        <w:lastRenderedPageBreak/>
        <w:t>corresponding treatment deficit, as detailed above, may be additionally environmentally modulated with ethnocultural influence</w:t>
      </w:r>
      <w:r w:rsidR="008075E9">
        <w:rPr>
          <w:rFonts w:ascii="Times New Roman" w:hAnsi="Times New Roman" w:cs="Times New Roman"/>
        </w:rPr>
        <w:t xml:space="preserve"> </w:t>
      </w:r>
      <w:r w:rsidR="008075E9">
        <w:rPr>
          <w:rFonts w:ascii="Times New Roman" w:hAnsi="Times New Roman" w:cs="Times New Roman"/>
          <w:vertAlign w:val="superscript"/>
        </w:rPr>
        <w:t>15</w:t>
      </w:r>
      <w:r w:rsidRPr="009202A0">
        <w:rPr>
          <w:rFonts w:ascii="Times New Roman" w:hAnsi="Times New Roman" w:cs="Times New Roman"/>
        </w:rPr>
        <w:t>.</w:t>
      </w:r>
    </w:p>
    <w:p w14:paraId="3308E590" w14:textId="0C355ADC" w:rsidR="009202A0" w:rsidRPr="00ED716E" w:rsidRDefault="009202A0" w:rsidP="009202A0">
      <w:pPr>
        <w:rPr>
          <w:rFonts w:ascii="Times New Roman" w:hAnsi="Times New Roman" w:cs="Times New Roman"/>
          <w:b/>
          <w:bCs/>
        </w:rPr>
      </w:pPr>
      <w:r w:rsidRPr="00ED716E">
        <w:rPr>
          <w:rFonts w:ascii="Times New Roman" w:hAnsi="Times New Roman" w:cs="Times New Roman"/>
          <w:b/>
          <w:bCs/>
        </w:rPr>
        <w:t>Patterns of Symptomatology and Acculturation</w:t>
      </w:r>
    </w:p>
    <w:p w14:paraId="775B9422" w14:textId="6520E805" w:rsidR="009202A0" w:rsidRPr="009202A0" w:rsidRDefault="009202A0" w:rsidP="009202A0">
      <w:pPr>
        <w:rPr>
          <w:rFonts w:ascii="Times New Roman" w:hAnsi="Times New Roman" w:cs="Times New Roman"/>
        </w:rPr>
      </w:pPr>
      <w:r w:rsidRPr="009202A0">
        <w:rPr>
          <w:rFonts w:ascii="Times New Roman" w:hAnsi="Times New Roman" w:cs="Times New Roman"/>
        </w:rPr>
        <w:t xml:space="preserve">We observed that GUS is more prevalent than vasomotor symptoms in the LMIC cohort sometimes presenting with mild to moderate psychosexual morbidity. This may be due to a higher prevalence of younger women, higher educational attainment with high professional/skilled job in the cohort; demographics which are not representative of the average </w:t>
      </w:r>
      <w:proofErr w:type="spellStart"/>
      <w:r w:rsidRPr="009202A0">
        <w:rPr>
          <w:rFonts w:ascii="Times New Roman" w:hAnsi="Times New Roman" w:cs="Times New Roman"/>
        </w:rPr>
        <w:t>Subsaharan</w:t>
      </w:r>
      <w:proofErr w:type="spellEnd"/>
      <w:r w:rsidRPr="009202A0">
        <w:rPr>
          <w:rFonts w:ascii="Times New Roman" w:hAnsi="Times New Roman" w:cs="Times New Roman"/>
        </w:rPr>
        <w:t xml:space="preserve"> woman</w:t>
      </w:r>
      <w:r w:rsidR="008075E9">
        <w:rPr>
          <w:rFonts w:ascii="Times New Roman" w:hAnsi="Times New Roman" w:cs="Times New Roman"/>
        </w:rPr>
        <w:t>,</w:t>
      </w:r>
      <w:r w:rsidRPr="009202A0">
        <w:rPr>
          <w:rFonts w:ascii="Times New Roman" w:hAnsi="Times New Roman" w:cs="Times New Roman"/>
        </w:rPr>
        <w:t xml:space="preserve"> with 38% completing lower secondary school education¹⁶.</w:t>
      </w:r>
    </w:p>
    <w:p w14:paraId="0F4EDFDB" w14:textId="2A60F843" w:rsidR="009202A0" w:rsidRPr="009202A0" w:rsidRDefault="009202A0" w:rsidP="009202A0">
      <w:pPr>
        <w:rPr>
          <w:rFonts w:ascii="Times New Roman" w:hAnsi="Times New Roman" w:cs="Times New Roman"/>
        </w:rPr>
      </w:pPr>
      <w:r w:rsidRPr="00ED716E">
        <w:rPr>
          <w:rFonts w:ascii="Times New Roman" w:hAnsi="Times New Roman" w:cs="Times New Roman"/>
        </w:rPr>
        <w:t>Though menopause</w:t>
      </w:r>
      <w:r w:rsidRPr="009202A0">
        <w:rPr>
          <w:rFonts w:ascii="Times New Roman" w:hAnsi="Times New Roman" w:cs="Times New Roman"/>
        </w:rPr>
        <w:t xml:space="preserve"> age was earlier in the HIC setting as compared to LMIC domiciled women, we observed similar trends in differences in symptomatology, and health-seeking behaviours as reported over 4 countries in a previous study (DAMES) and society tool kit</w:t>
      </w:r>
      <w:r w:rsidR="008075E9">
        <w:rPr>
          <w:rFonts w:ascii="Times New Roman" w:hAnsi="Times New Roman" w:cs="Times New Roman"/>
          <w:vertAlign w:val="superscript"/>
        </w:rPr>
        <w:t>15,17</w:t>
      </w:r>
      <w:r w:rsidRPr="009202A0">
        <w:rPr>
          <w:rFonts w:ascii="Times New Roman" w:hAnsi="Times New Roman" w:cs="Times New Roman"/>
        </w:rPr>
        <w:t xml:space="preserve"> This finding may be influenced by acculturation which has been described but whose effects are difficult to predict, as it’s a result of many factors, previously identified by the SWAN study</w:t>
      </w:r>
      <w:r w:rsidR="008075E9">
        <w:rPr>
          <w:rFonts w:ascii="Times New Roman" w:hAnsi="Times New Roman" w:cs="Times New Roman"/>
          <w:vertAlign w:val="superscript"/>
        </w:rPr>
        <w:t>12</w:t>
      </w:r>
      <w:r w:rsidRPr="009202A0">
        <w:rPr>
          <w:rFonts w:ascii="Times New Roman" w:hAnsi="Times New Roman" w:cs="Times New Roman"/>
        </w:rPr>
        <w:t>.</w:t>
      </w:r>
    </w:p>
    <w:p w14:paraId="5BA3A16D" w14:textId="69DCDA2C" w:rsidR="009202A0" w:rsidRPr="0055244A" w:rsidRDefault="009202A0" w:rsidP="009202A0">
      <w:pPr>
        <w:rPr>
          <w:rFonts w:ascii="Times New Roman" w:hAnsi="Times New Roman" w:cs="Times New Roman"/>
          <w:b/>
          <w:bCs/>
        </w:rPr>
      </w:pPr>
      <w:r w:rsidRPr="0055244A">
        <w:rPr>
          <w:rFonts w:ascii="Times New Roman" w:hAnsi="Times New Roman" w:cs="Times New Roman"/>
          <w:b/>
          <w:bCs/>
        </w:rPr>
        <w:t>Treatment Gaps and Barriers</w:t>
      </w:r>
    </w:p>
    <w:p w14:paraId="2F74AD30" w14:textId="77777777" w:rsidR="009202A0" w:rsidRPr="009202A0" w:rsidRDefault="009202A0" w:rsidP="009202A0">
      <w:pPr>
        <w:rPr>
          <w:rFonts w:ascii="Times New Roman" w:hAnsi="Times New Roman" w:cs="Times New Roman"/>
        </w:rPr>
      </w:pPr>
      <w:r w:rsidRPr="009202A0">
        <w:rPr>
          <w:rFonts w:ascii="Times New Roman" w:hAnsi="Times New Roman" w:cs="Times New Roman"/>
        </w:rPr>
        <w:t>Treatment acceptability/ availability was low in this study, like an observation in the SWAN study regarding black women. Poor acceptability was thought to be due to poor symptom control from MHT particularly Selective Serotonin Reuptake Inhibitors (SSRIs). Addressing these concerns, will facilitate an uptake on MHT particularly for those with severe symptoms. The concern about treatment interactions with fibroids raised in the qualitative arm is noted. Particularly if there are no medical facilities to optimally investigate and treat breakthrough bleeding whilst on MHT.</w:t>
      </w:r>
    </w:p>
    <w:p w14:paraId="620EC3B7" w14:textId="29131C85" w:rsidR="009202A0" w:rsidRPr="0055244A" w:rsidRDefault="009202A0" w:rsidP="009202A0">
      <w:pPr>
        <w:rPr>
          <w:rFonts w:ascii="Times New Roman" w:hAnsi="Times New Roman" w:cs="Times New Roman"/>
          <w:b/>
          <w:bCs/>
        </w:rPr>
      </w:pPr>
      <w:r w:rsidRPr="0055244A">
        <w:rPr>
          <w:rFonts w:ascii="Times New Roman" w:hAnsi="Times New Roman" w:cs="Times New Roman"/>
          <w:b/>
          <w:bCs/>
        </w:rPr>
        <w:t>Clinical and Public Health Implications: Cardiometabolic Risk</w:t>
      </w:r>
    </w:p>
    <w:p w14:paraId="6B773BD0" w14:textId="5982186B" w:rsidR="009202A0" w:rsidRPr="009202A0" w:rsidRDefault="009202A0" w:rsidP="009202A0">
      <w:pPr>
        <w:rPr>
          <w:rFonts w:ascii="Times New Roman" w:hAnsi="Times New Roman" w:cs="Times New Roman"/>
        </w:rPr>
      </w:pPr>
      <w:r w:rsidRPr="009202A0">
        <w:rPr>
          <w:rFonts w:ascii="Times New Roman" w:hAnsi="Times New Roman" w:cs="Times New Roman"/>
        </w:rPr>
        <w:t>There is a reported rising prevalence of high blood pressure in the background African population, currently at 20-48% dependent on geographical location, age and other factors, with a significant mortality of 300-600 deaths per 100,000 population. Hypertension</w:t>
      </w:r>
      <w:r w:rsidR="0055244A">
        <w:rPr>
          <w:rFonts w:ascii="Times New Roman" w:hAnsi="Times New Roman" w:cs="Times New Roman"/>
        </w:rPr>
        <w:t xml:space="preserve"> </w:t>
      </w:r>
      <w:r w:rsidRPr="009202A0">
        <w:rPr>
          <w:rFonts w:ascii="Times New Roman" w:hAnsi="Times New Roman" w:cs="Times New Roman"/>
        </w:rPr>
        <w:t>contributes significantly to two-thirds of the worldwide cardiovascular deaths occurring in LMIC</w:t>
      </w:r>
      <w:r w:rsidR="008075E9">
        <w:rPr>
          <w:rFonts w:ascii="Times New Roman" w:hAnsi="Times New Roman" w:cs="Times New Roman"/>
        </w:rPr>
        <w:t xml:space="preserve"> settings</w:t>
      </w:r>
      <w:r w:rsidR="008075E9">
        <w:rPr>
          <w:rFonts w:ascii="Times New Roman" w:hAnsi="Times New Roman" w:cs="Times New Roman"/>
          <w:vertAlign w:val="superscript"/>
        </w:rPr>
        <w:t xml:space="preserve"> </w:t>
      </w:r>
      <w:r w:rsidR="008075E9" w:rsidRPr="008075E9">
        <w:rPr>
          <w:rFonts w:ascii="Times New Roman" w:hAnsi="Times New Roman" w:cs="Times New Roman"/>
          <w:vertAlign w:val="superscript"/>
        </w:rPr>
        <w:t>18</w:t>
      </w:r>
      <w:r w:rsidR="008075E9">
        <w:rPr>
          <w:rFonts w:ascii="Times New Roman" w:hAnsi="Times New Roman" w:cs="Times New Roman"/>
          <w:vertAlign w:val="superscript"/>
        </w:rPr>
        <w:t>-21</w:t>
      </w:r>
      <w:r w:rsidRPr="009202A0">
        <w:rPr>
          <w:rFonts w:ascii="Times New Roman" w:hAnsi="Times New Roman" w:cs="Times New Roman"/>
        </w:rPr>
        <w:t xml:space="preserve">. As multiple studies have identified increased cardiovascular mortality with </w:t>
      </w:r>
      <w:r w:rsidR="003E5AEA">
        <w:rPr>
          <w:rFonts w:ascii="Times New Roman" w:hAnsi="Times New Roman" w:cs="Times New Roman"/>
        </w:rPr>
        <w:t xml:space="preserve">the </w:t>
      </w:r>
      <w:r w:rsidRPr="009202A0">
        <w:rPr>
          <w:rFonts w:ascii="Times New Roman" w:hAnsi="Times New Roman" w:cs="Times New Roman"/>
        </w:rPr>
        <w:t>development of type 2 diabetes, in women who reached Menopause &lt;45yrs, the beneficial role of commencing MHT use within 10 years of menopause or below the age of 60yrs, should be considered</w:t>
      </w:r>
      <w:r w:rsidR="008075E9">
        <w:rPr>
          <w:rFonts w:ascii="Times New Roman" w:hAnsi="Times New Roman" w:cs="Times New Roman"/>
        </w:rPr>
        <w:t xml:space="preserve"> </w:t>
      </w:r>
      <w:r w:rsidR="008075E9">
        <w:rPr>
          <w:rFonts w:ascii="Times New Roman" w:hAnsi="Times New Roman" w:cs="Times New Roman"/>
          <w:vertAlign w:val="superscript"/>
        </w:rPr>
        <w:t>22,</w:t>
      </w:r>
      <w:r w:rsidR="005F568F">
        <w:rPr>
          <w:rFonts w:ascii="Times New Roman" w:hAnsi="Times New Roman" w:cs="Times New Roman"/>
          <w:vertAlign w:val="superscript"/>
        </w:rPr>
        <w:t xml:space="preserve"> </w:t>
      </w:r>
      <w:r w:rsidR="008075E9">
        <w:rPr>
          <w:rFonts w:ascii="Times New Roman" w:hAnsi="Times New Roman" w:cs="Times New Roman"/>
          <w:vertAlign w:val="superscript"/>
        </w:rPr>
        <w:t>23</w:t>
      </w:r>
      <w:r w:rsidR="0055244A">
        <w:rPr>
          <w:rFonts w:ascii="Times New Roman" w:hAnsi="Times New Roman" w:cs="Times New Roman"/>
        </w:rPr>
        <w:t>;</w:t>
      </w:r>
      <w:r w:rsidRPr="009202A0">
        <w:rPr>
          <w:rFonts w:ascii="Times New Roman" w:hAnsi="Times New Roman" w:cs="Times New Roman"/>
        </w:rPr>
        <w:t xml:space="preserve"> whilst sleep equity should be formally facilitated given links between insomnia and Hypertension</w:t>
      </w:r>
      <w:r w:rsidR="005F568F">
        <w:rPr>
          <w:rFonts w:ascii="Times New Roman" w:hAnsi="Times New Roman" w:cs="Times New Roman"/>
          <w:vertAlign w:val="superscript"/>
        </w:rPr>
        <w:t>24</w:t>
      </w:r>
      <w:r w:rsidRPr="009202A0">
        <w:rPr>
          <w:rFonts w:ascii="Times New Roman" w:hAnsi="Times New Roman" w:cs="Times New Roman"/>
        </w:rPr>
        <w:t>.</w:t>
      </w:r>
    </w:p>
    <w:p w14:paraId="732075D4" w14:textId="6B44B824" w:rsidR="009202A0" w:rsidRPr="0055244A" w:rsidRDefault="009202A0" w:rsidP="009202A0">
      <w:pPr>
        <w:rPr>
          <w:rFonts w:ascii="Times New Roman" w:hAnsi="Times New Roman" w:cs="Times New Roman"/>
          <w:b/>
          <w:bCs/>
        </w:rPr>
      </w:pPr>
      <w:r w:rsidRPr="0055244A">
        <w:rPr>
          <w:rFonts w:ascii="Times New Roman" w:hAnsi="Times New Roman" w:cs="Times New Roman"/>
          <w:b/>
          <w:bCs/>
        </w:rPr>
        <w:t>Synthesis of Qualitative Insights</w:t>
      </w:r>
    </w:p>
    <w:p w14:paraId="3F554099" w14:textId="6588A7D2" w:rsidR="009202A0" w:rsidRPr="009202A0" w:rsidRDefault="009202A0" w:rsidP="009202A0">
      <w:pPr>
        <w:rPr>
          <w:rFonts w:ascii="Times New Roman" w:hAnsi="Times New Roman" w:cs="Times New Roman"/>
        </w:rPr>
      </w:pPr>
      <w:r w:rsidRPr="009202A0">
        <w:rPr>
          <w:rFonts w:ascii="Times New Roman" w:hAnsi="Times New Roman" w:cs="Times New Roman"/>
        </w:rPr>
        <w:t>The qualitative data reveal a complex interplay of environmental, socioeconomic, structural, and cultural factors shaping menopausal experiences among ethnic minority women across LMIC and HIC contexts, which aligns with the quantitative disparities observed.</w:t>
      </w:r>
    </w:p>
    <w:p w14:paraId="31C7010B" w14:textId="77777777" w:rsidR="009202A0" w:rsidRPr="0055244A" w:rsidRDefault="009202A0" w:rsidP="009202A0">
      <w:pPr>
        <w:rPr>
          <w:rFonts w:ascii="Times New Roman" w:hAnsi="Times New Roman" w:cs="Times New Roman"/>
          <w:b/>
          <w:bCs/>
        </w:rPr>
      </w:pPr>
      <w:r w:rsidRPr="0055244A">
        <w:rPr>
          <w:rFonts w:ascii="Times New Roman" w:hAnsi="Times New Roman" w:cs="Times New Roman"/>
          <w:b/>
          <w:bCs/>
        </w:rPr>
        <w:t>Limitations</w:t>
      </w:r>
    </w:p>
    <w:p w14:paraId="3A7FDB7D" w14:textId="748962D1" w:rsidR="009202A0" w:rsidRPr="009202A0" w:rsidRDefault="009202A0" w:rsidP="009202A0">
      <w:pPr>
        <w:rPr>
          <w:rFonts w:ascii="Times New Roman" w:hAnsi="Times New Roman" w:cs="Times New Roman"/>
        </w:rPr>
      </w:pPr>
      <w:r w:rsidRPr="009202A0">
        <w:rPr>
          <w:rFonts w:ascii="Times New Roman" w:hAnsi="Times New Roman" w:cs="Times New Roman"/>
        </w:rPr>
        <w:lastRenderedPageBreak/>
        <w:t xml:space="preserve">This was a small cross-sectional snapshot study, with a possible reduced power, presenting self-reported awareness/ knowledge, symptoms and treatment. The results should be interpreted cautiously due to a potential strong non-response selection bias as the respondents were largely well educated, with higher digital literacy and household income earnings in addition to relatively higher purchasing power. </w:t>
      </w:r>
      <w:r w:rsidR="005420B5" w:rsidRPr="005420B5">
        <w:rPr>
          <w:rFonts w:ascii="Times New Roman" w:hAnsi="Times New Roman" w:cs="Times New Roman"/>
        </w:rPr>
        <w:t xml:space="preserve">This likely means </w:t>
      </w:r>
      <w:r w:rsidR="004740B0">
        <w:rPr>
          <w:rFonts w:ascii="Times New Roman" w:hAnsi="Times New Roman" w:cs="Times New Roman"/>
        </w:rPr>
        <w:t xml:space="preserve">that </w:t>
      </w:r>
      <w:r w:rsidR="005420B5" w:rsidRPr="005420B5">
        <w:rPr>
          <w:rFonts w:ascii="Times New Roman" w:hAnsi="Times New Roman" w:cs="Times New Roman"/>
        </w:rPr>
        <w:t>our sample over-represents urban, affluent SSA women and under-represents those with lower socioeconomic status, which may influence patterns of symptom reporting, health-seeking behaviour, and perceived treatment access.</w:t>
      </w:r>
      <w:r w:rsidR="005420B5">
        <w:rPr>
          <w:rFonts w:ascii="Times New Roman" w:hAnsi="Times New Roman" w:cs="Times New Roman"/>
        </w:rPr>
        <w:t xml:space="preserve"> </w:t>
      </w:r>
      <w:r w:rsidRPr="009202A0">
        <w:rPr>
          <w:rFonts w:ascii="Times New Roman" w:hAnsi="Times New Roman" w:cs="Times New Roman"/>
        </w:rPr>
        <w:t xml:space="preserve">Though the findings here may not be representative of the average Sub-Saharan woman, the observed correlations of MHT use with high educational attainment </w:t>
      </w:r>
      <w:r w:rsidR="00A859FC">
        <w:rPr>
          <w:rFonts w:ascii="Times New Roman" w:hAnsi="Times New Roman" w:cs="Times New Roman"/>
        </w:rPr>
        <w:t>are</w:t>
      </w:r>
      <w:r w:rsidRPr="009202A0">
        <w:rPr>
          <w:rFonts w:ascii="Times New Roman" w:hAnsi="Times New Roman" w:cs="Times New Roman"/>
        </w:rPr>
        <w:t xml:space="preserve"> in keeping with current evidence. </w:t>
      </w:r>
      <w:r w:rsidR="005420B5" w:rsidRPr="005420B5">
        <w:rPr>
          <w:rFonts w:ascii="Times New Roman" w:hAnsi="Times New Roman" w:cs="Times New Roman"/>
        </w:rPr>
        <w:t>Consequently, the prevalence rates of symptoms and treatment gaps reported here may underestimate the true burden in broader, more socioeconomically diverse SSA populations.</w:t>
      </w:r>
      <w:r w:rsidR="005420B5">
        <w:rPr>
          <w:rFonts w:ascii="Times New Roman" w:hAnsi="Times New Roman" w:cs="Times New Roman"/>
        </w:rPr>
        <w:t xml:space="preserve"> </w:t>
      </w:r>
      <w:r w:rsidRPr="009202A0">
        <w:rPr>
          <w:rFonts w:ascii="Times New Roman" w:hAnsi="Times New Roman" w:cs="Times New Roman"/>
        </w:rPr>
        <w:t>Other correlations which might have occurred by chance still need further exploration.</w:t>
      </w:r>
    </w:p>
    <w:p w14:paraId="5AF97CDD" w14:textId="03D86627" w:rsidR="009202A0" w:rsidRPr="005420B5" w:rsidRDefault="009202A0" w:rsidP="009202A0">
      <w:pPr>
        <w:rPr>
          <w:rFonts w:ascii="Times New Roman" w:hAnsi="Times New Roman" w:cs="Times New Roman"/>
          <w:b/>
          <w:bCs/>
        </w:rPr>
      </w:pPr>
      <w:r w:rsidRPr="005420B5">
        <w:rPr>
          <w:rFonts w:ascii="Times New Roman" w:hAnsi="Times New Roman" w:cs="Times New Roman"/>
          <w:b/>
          <w:bCs/>
        </w:rPr>
        <w:t>Conclusion</w:t>
      </w:r>
    </w:p>
    <w:p w14:paraId="14A70EA7" w14:textId="16CFB45F" w:rsidR="009202A0" w:rsidRPr="009202A0" w:rsidRDefault="009202A0" w:rsidP="009202A0">
      <w:pPr>
        <w:rPr>
          <w:rFonts w:ascii="Times New Roman" w:hAnsi="Times New Roman" w:cs="Times New Roman"/>
        </w:rPr>
      </w:pPr>
      <w:r w:rsidRPr="009202A0">
        <w:rPr>
          <w:rFonts w:ascii="Times New Roman" w:hAnsi="Times New Roman" w:cs="Times New Roman"/>
        </w:rPr>
        <w:t>In summary, our study found a significant domiciliary impact on the menopause experience for SSA women</w:t>
      </w:r>
      <w:r w:rsidR="003E5AEA">
        <w:rPr>
          <w:rFonts w:ascii="Times New Roman" w:hAnsi="Times New Roman" w:cs="Times New Roman"/>
        </w:rPr>
        <w:t xml:space="preserve">, particularly </w:t>
      </w:r>
      <w:r w:rsidRPr="009202A0">
        <w:rPr>
          <w:rFonts w:ascii="Times New Roman" w:hAnsi="Times New Roman" w:cs="Times New Roman"/>
        </w:rPr>
        <w:t xml:space="preserve">menopause symptom prevalence, recognition and severity, with a significant knowledge-gap and treatment-deficit regardless of financial status, worse in the LMIC setting. Postgraduate education reduces the deficit globally. </w:t>
      </w:r>
      <w:r w:rsidR="003E5AEA">
        <w:rPr>
          <w:rFonts w:ascii="Times New Roman" w:hAnsi="Times New Roman" w:cs="Times New Roman"/>
        </w:rPr>
        <w:t xml:space="preserve">The </w:t>
      </w:r>
      <w:r w:rsidRPr="009202A0">
        <w:rPr>
          <w:rFonts w:ascii="Times New Roman" w:hAnsi="Times New Roman" w:cs="Times New Roman"/>
        </w:rPr>
        <w:t>observed earlier age of menopause in the HIC cohort requires further scrutiny</w:t>
      </w:r>
      <w:r w:rsidR="00DD306A">
        <w:rPr>
          <w:rFonts w:ascii="Times New Roman" w:hAnsi="Times New Roman" w:cs="Times New Roman"/>
        </w:rPr>
        <w:t xml:space="preserve"> </w:t>
      </w:r>
      <w:r w:rsidR="00DD306A" w:rsidRPr="00DD306A">
        <w:rPr>
          <w:rFonts w:ascii="Times New Roman" w:hAnsi="Times New Roman" w:cs="Times New Roman"/>
        </w:rPr>
        <w:t>with further research to investigate the potential link between migration-related stress and earlier menopause, development of culturally competent clinical tools and guidelines, implementation of tailored community health programmes in LMICs to improve menopause literacy and integrate cardiovascular risk screening into midlife women’s health services and interventional trials to address the identified treatment gaps.</w:t>
      </w:r>
      <w:r w:rsidR="00DD306A">
        <w:rPr>
          <w:rFonts w:ascii="Times New Roman" w:hAnsi="Times New Roman" w:cs="Times New Roman"/>
        </w:rPr>
        <w:t xml:space="preserve"> </w:t>
      </w:r>
      <w:r w:rsidRPr="009202A0">
        <w:rPr>
          <w:rFonts w:ascii="Times New Roman" w:hAnsi="Times New Roman" w:cs="Times New Roman"/>
        </w:rPr>
        <w:t>. The significant symptom severity and prevalence of hypertensive diseases in these women</w:t>
      </w:r>
      <w:r w:rsidR="003E5AEA">
        <w:rPr>
          <w:rFonts w:ascii="Times New Roman" w:hAnsi="Times New Roman" w:cs="Times New Roman"/>
        </w:rPr>
        <w:t>,</w:t>
      </w:r>
      <w:r w:rsidRPr="009202A0">
        <w:rPr>
          <w:rFonts w:ascii="Times New Roman" w:hAnsi="Times New Roman" w:cs="Times New Roman"/>
        </w:rPr>
        <w:t xml:space="preserve"> alongside the qualitative data synthesis</w:t>
      </w:r>
      <w:r w:rsidR="003E5AEA">
        <w:rPr>
          <w:rFonts w:ascii="Times New Roman" w:hAnsi="Times New Roman" w:cs="Times New Roman"/>
        </w:rPr>
        <w:t>,</w:t>
      </w:r>
      <w:r w:rsidRPr="009202A0">
        <w:rPr>
          <w:rFonts w:ascii="Times New Roman" w:hAnsi="Times New Roman" w:cs="Times New Roman"/>
        </w:rPr>
        <w:t xml:space="preserve"> highlight the need for increasing awareness and treatment. </w:t>
      </w:r>
      <w:r w:rsidR="003E5AEA">
        <w:rPr>
          <w:rFonts w:ascii="Times New Roman" w:hAnsi="Times New Roman" w:cs="Times New Roman"/>
        </w:rPr>
        <w:t xml:space="preserve"> </w:t>
      </w:r>
    </w:p>
    <w:p w14:paraId="5651C94B" w14:textId="77777777" w:rsidR="009202A0" w:rsidRDefault="009202A0" w:rsidP="00692CB7">
      <w:pPr>
        <w:rPr>
          <w:rFonts w:ascii="Times New Roman" w:hAnsi="Times New Roman" w:cs="Times New Roman"/>
        </w:rPr>
      </w:pPr>
    </w:p>
    <w:p w14:paraId="1BF14CCA" w14:textId="77777777" w:rsidR="00A36431" w:rsidRPr="00EC28DB" w:rsidRDefault="00A36431" w:rsidP="00A36431">
      <w:pPr>
        <w:jc w:val="both"/>
        <w:outlineLvl w:val="0"/>
        <w:rPr>
          <w:rFonts w:ascii="Times New Roman" w:hAnsi="Times New Roman" w:cs="Times New Roman"/>
        </w:rPr>
      </w:pPr>
      <w:r w:rsidRPr="00EC28DB">
        <w:rPr>
          <w:rFonts w:ascii="Times New Roman" w:hAnsi="Times New Roman" w:cs="Times New Roman"/>
          <w:b/>
          <w:bCs/>
        </w:rPr>
        <w:t>COMPETING INTERESTS DISCLAIMER:</w:t>
      </w:r>
    </w:p>
    <w:p w14:paraId="131B917D" w14:textId="77777777" w:rsidR="00A36431" w:rsidRPr="00EC28DB" w:rsidRDefault="00A36431" w:rsidP="00A36431">
      <w:pPr>
        <w:rPr>
          <w:rFonts w:ascii="Times New Roman" w:hAnsi="Times New Roman" w:cs="Times New Roman"/>
        </w:rPr>
      </w:pPr>
      <w:r w:rsidRPr="00EC28DB">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3A89A6F" w14:textId="77777777" w:rsidR="00A36431" w:rsidRPr="00EC28DB" w:rsidRDefault="00A36431" w:rsidP="00A36431">
      <w:pPr>
        <w:rPr>
          <w:rFonts w:ascii="Times New Roman" w:hAnsi="Times New Roman" w:cs="Times New Roman"/>
          <w:b/>
          <w:bCs/>
        </w:rPr>
      </w:pPr>
    </w:p>
    <w:p w14:paraId="06397BCE" w14:textId="77777777" w:rsidR="00A36431" w:rsidRPr="00EC28DB" w:rsidRDefault="00A36431" w:rsidP="00A36431">
      <w:pPr>
        <w:rPr>
          <w:rFonts w:ascii="Times New Roman" w:hAnsi="Times New Roman" w:cs="Times New Roman"/>
          <w:b/>
          <w:bCs/>
        </w:rPr>
      </w:pPr>
      <w:r w:rsidRPr="00EC28DB">
        <w:rPr>
          <w:rFonts w:ascii="Times New Roman" w:hAnsi="Times New Roman" w:cs="Times New Roman"/>
          <w:b/>
          <w:bCs/>
        </w:rPr>
        <w:t>Disclosure of conflicts of interest</w:t>
      </w:r>
    </w:p>
    <w:p w14:paraId="51EFED7B" w14:textId="15E55F5F" w:rsidR="00F17DAB" w:rsidRPr="00DD306A" w:rsidRDefault="00A36431" w:rsidP="00F17DAB">
      <w:pPr>
        <w:rPr>
          <w:rFonts w:ascii="Times New Roman" w:hAnsi="Times New Roman" w:cs="Times New Roman"/>
        </w:rPr>
      </w:pPr>
      <w:r w:rsidRPr="00EC28DB">
        <w:rPr>
          <w:rFonts w:ascii="Times New Roman" w:hAnsi="Times New Roman" w:cs="Times New Roman"/>
        </w:rPr>
        <w:t xml:space="preserve">The authors have no disclosures to make </w:t>
      </w:r>
      <w:bookmarkStart w:id="3" w:name="_Hlk197682619"/>
      <w:bookmarkStart w:id="4" w:name="_Hlk180402183"/>
      <w:bookmarkStart w:id="5" w:name="_Hlk183680988"/>
      <w:bookmarkStart w:id="6" w:name="_Hlk197351200"/>
    </w:p>
    <w:p w14:paraId="282787D7" w14:textId="77777777" w:rsidR="00F256FB" w:rsidRDefault="00F256FB" w:rsidP="00F256FB">
      <w:pPr>
        <w:rPr>
          <w:highlight w:val="yellow"/>
        </w:rPr>
      </w:pPr>
      <w:bookmarkStart w:id="7" w:name="_Hlk213934265"/>
      <w:bookmarkEnd w:id="3"/>
      <w:bookmarkEnd w:id="4"/>
      <w:bookmarkEnd w:id="5"/>
      <w:bookmarkEnd w:id="6"/>
      <w:r>
        <w:rPr>
          <w:highlight w:val="yellow"/>
        </w:rPr>
        <w:t>Disclaimer (Artificial intelligence)</w:t>
      </w:r>
    </w:p>
    <w:p w14:paraId="0F92FA68" w14:textId="77777777" w:rsidR="00F256FB" w:rsidRDefault="00F256FB" w:rsidP="00F256FB">
      <w:pPr>
        <w:rPr>
          <w:highlight w:val="yellow"/>
        </w:rPr>
      </w:pPr>
      <w:r>
        <w:rPr>
          <w:highlight w:val="yellow"/>
        </w:rPr>
        <w:t xml:space="preserve">Option 1: </w:t>
      </w:r>
    </w:p>
    <w:p w14:paraId="149D1D35" w14:textId="77777777" w:rsidR="00F256FB" w:rsidRDefault="00F256FB" w:rsidP="00F256FB">
      <w:pPr>
        <w:rPr>
          <w:highlight w:val="yellow"/>
        </w:rPr>
      </w:pPr>
      <w:r>
        <w:rPr>
          <w:highlight w:val="yellow"/>
        </w:rPr>
        <w:lastRenderedPageBreak/>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A764149" w14:textId="77777777" w:rsidR="00F256FB" w:rsidRDefault="00F256FB" w:rsidP="00F256FB">
      <w:pPr>
        <w:rPr>
          <w:highlight w:val="yellow"/>
        </w:rPr>
      </w:pPr>
      <w:r>
        <w:rPr>
          <w:highlight w:val="yellow"/>
        </w:rPr>
        <w:t xml:space="preserve">Option 2: </w:t>
      </w:r>
    </w:p>
    <w:p w14:paraId="55B36EDA" w14:textId="77777777" w:rsidR="00F256FB" w:rsidRDefault="00F256FB" w:rsidP="00F256FB">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B07929" w14:textId="77777777" w:rsidR="00F256FB" w:rsidRDefault="00F256FB" w:rsidP="00F256FB">
      <w:pPr>
        <w:rPr>
          <w:highlight w:val="yellow"/>
        </w:rPr>
      </w:pPr>
      <w:r>
        <w:rPr>
          <w:highlight w:val="yellow"/>
        </w:rPr>
        <w:t>Details of the AI usage are given below:</w:t>
      </w:r>
    </w:p>
    <w:p w14:paraId="1024FD2E" w14:textId="77777777" w:rsidR="00F256FB" w:rsidRDefault="00F256FB" w:rsidP="00F256FB">
      <w:pPr>
        <w:rPr>
          <w:highlight w:val="yellow"/>
        </w:rPr>
      </w:pPr>
      <w:r>
        <w:rPr>
          <w:highlight w:val="yellow"/>
        </w:rPr>
        <w:t>1.</w:t>
      </w:r>
    </w:p>
    <w:p w14:paraId="761174AC" w14:textId="77777777" w:rsidR="00F256FB" w:rsidRDefault="00F256FB" w:rsidP="00F256FB">
      <w:pPr>
        <w:rPr>
          <w:highlight w:val="yellow"/>
        </w:rPr>
      </w:pPr>
      <w:r>
        <w:rPr>
          <w:highlight w:val="yellow"/>
        </w:rPr>
        <w:t>2.</w:t>
      </w:r>
    </w:p>
    <w:p w14:paraId="16B5D5B6" w14:textId="77777777" w:rsidR="00F256FB" w:rsidRDefault="00F256FB" w:rsidP="00F256FB">
      <w:r>
        <w:rPr>
          <w:highlight w:val="yellow"/>
        </w:rPr>
        <w:t>3.</w:t>
      </w:r>
      <w:bookmarkEnd w:id="7"/>
    </w:p>
    <w:p w14:paraId="590B2758" w14:textId="77777777" w:rsidR="00A36431" w:rsidRPr="00EC28DB" w:rsidRDefault="00A36431" w:rsidP="00692CB7">
      <w:pPr>
        <w:rPr>
          <w:rFonts w:ascii="Times New Roman" w:hAnsi="Times New Roman" w:cs="Times New Roman"/>
        </w:rPr>
      </w:pPr>
      <w:bookmarkStart w:id="8" w:name="_GoBack"/>
      <w:bookmarkEnd w:id="8"/>
    </w:p>
    <w:p w14:paraId="1EA0F895" w14:textId="77777777" w:rsidR="00EC28DB" w:rsidRDefault="00EC28DB" w:rsidP="00692CB7">
      <w:pPr>
        <w:rPr>
          <w:rFonts w:ascii="Times New Roman" w:hAnsi="Times New Roman" w:cs="Times New Roman"/>
        </w:rPr>
      </w:pPr>
    </w:p>
    <w:p w14:paraId="1A7E1514" w14:textId="77777777" w:rsidR="00A859FC" w:rsidRDefault="00A859FC" w:rsidP="00692CB7">
      <w:pPr>
        <w:rPr>
          <w:rFonts w:ascii="Times New Roman" w:hAnsi="Times New Roman" w:cs="Times New Roman"/>
          <w:b/>
          <w:bCs/>
        </w:rPr>
      </w:pPr>
    </w:p>
    <w:p w14:paraId="7F59F9A9" w14:textId="55A0F259" w:rsidR="00692CB7" w:rsidRPr="003A11D8" w:rsidRDefault="00692CB7" w:rsidP="00692CB7">
      <w:pPr>
        <w:rPr>
          <w:rFonts w:ascii="Times New Roman" w:hAnsi="Times New Roman" w:cs="Times New Roman"/>
          <w:b/>
          <w:bCs/>
        </w:rPr>
      </w:pPr>
      <w:r w:rsidRPr="003A11D8">
        <w:rPr>
          <w:rFonts w:ascii="Times New Roman" w:hAnsi="Times New Roman" w:cs="Times New Roman"/>
          <w:b/>
          <w:bCs/>
        </w:rPr>
        <w:t>References</w:t>
      </w:r>
    </w:p>
    <w:p w14:paraId="39CBD7BC" w14:textId="71FB6473" w:rsidR="00692CB7" w:rsidRPr="00AA0466" w:rsidRDefault="00C46128" w:rsidP="004206BF">
      <w:pPr>
        <w:pStyle w:val="ListParagraph"/>
        <w:numPr>
          <w:ilvl w:val="0"/>
          <w:numId w:val="31"/>
        </w:numPr>
        <w:rPr>
          <w:rFonts w:ascii="Times New Roman" w:hAnsi="Times New Roman" w:cs="Times New Roman"/>
        </w:rPr>
      </w:pPr>
      <w:proofErr w:type="spellStart"/>
      <w:r w:rsidRPr="00AA0466">
        <w:rPr>
          <w:rFonts w:ascii="Times New Roman" w:hAnsi="Times New Roman" w:cs="Times New Roman"/>
        </w:rPr>
        <w:t>Utian</w:t>
      </w:r>
      <w:proofErr w:type="spellEnd"/>
      <w:r w:rsidRPr="00AA0466">
        <w:rPr>
          <w:rFonts w:ascii="Times New Roman" w:hAnsi="Times New Roman" w:cs="Times New Roman"/>
        </w:rPr>
        <w:t>, W. H</w:t>
      </w:r>
      <w:r w:rsidRPr="00272F2C">
        <w:rPr>
          <w:rFonts w:ascii="Times New Roman" w:hAnsi="Times New Roman" w:cs="Times New Roman"/>
          <w:highlight w:val="yellow"/>
        </w:rPr>
        <w:t>. (1999).</w:t>
      </w:r>
      <w:r w:rsidRPr="00AA0466">
        <w:rPr>
          <w:rFonts w:ascii="Times New Roman" w:hAnsi="Times New Roman" w:cs="Times New Roman"/>
        </w:rPr>
        <w:t xml:space="preserve"> The International Menopause </w:t>
      </w:r>
      <w:r w:rsidR="00A859FC">
        <w:rPr>
          <w:rFonts w:ascii="Times New Roman" w:hAnsi="Times New Roman" w:cs="Times New Roman"/>
        </w:rPr>
        <w:t xml:space="preserve">Society's </w:t>
      </w:r>
      <w:r w:rsidRPr="00AA0466">
        <w:rPr>
          <w:rFonts w:ascii="Times New Roman" w:hAnsi="Times New Roman" w:cs="Times New Roman"/>
        </w:rPr>
        <w:t xml:space="preserve">menopause-related terminology definitions. </w:t>
      </w:r>
      <w:r w:rsidRPr="00E41E9B">
        <w:rPr>
          <w:rFonts w:ascii="Times New Roman" w:hAnsi="Times New Roman" w:cs="Times New Roman"/>
          <w:i/>
          <w:iCs/>
        </w:rPr>
        <w:t>Climacteric</w:t>
      </w:r>
      <w:r w:rsidRPr="00AA0466">
        <w:rPr>
          <w:rFonts w:ascii="Times New Roman" w:hAnsi="Times New Roman" w:cs="Times New Roman"/>
        </w:rPr>
        <w:t xml:space="preserve">, </w:t>
      </w:r>
      <w:r w:rsidRPr="00BA2E16">
        <w:rPr>
          <w:rFonts w:ascii="Times New Roman" w:hAnsi="Times New Roman" w:cs="Times New Roman"/>
          <w:i/>
          <w:iCs/>
        </w:rPr>
        <w:t>2</w:t>
      </w:r>
      <w:r w:rsidR="00BA2E16">
        <w:rPr>
          <w:rFonts w:ascii="Times New Roman" w:hAnsi="Times New Roman" w:cs="Times New Roman"/>
        </w:rPr>
        <w:t xml:space="preserve"> </w:t>
      </w:r>
      <w:r w:rsidRPr="00AA0466">
        <w:rPr>
          <w:rFonts w:ascii="Times New Roman" w:hAnsi="Times New Roman" w:cs="Times New Roman"/>
        </w:rPr>
        <w:t xml:space="preserve">(4), 284-286. </w:t>
      </w:r>
      <w:r w:rsidR="00EC28DB">
        <w:rPr>
          <w:rFonts w:ascii="Times New Roman" w:hAnsi="Times New Roman" w:cs="Times New Roman"/>
        </w:rPr>
        <w:t>h</w:t>
      </w:r>
      <w:r w:rsidRPr="00AA0466">
        <w:rPr>
          <w:rFonts w:ascii="Times New Roman" w:hAnsi="Times New Roman" w:cs="Times New Roman"/>
        </w:rPr>
        <w:t>ttps://doi.org/10.3109/13697139909038088</w:t>
      </w:r>
      <w:r w:rsidR="00692CB7" w:rsidRPr="00AA0466">
        <w:rPr>
          <w:rFonts w:ascii="Times New Roman" w:hAnsi="Times New Roman" w:cs="Times New Roman"/>
        </w:rPr>
        <w:t xml:space="preserve"> </w:t>
      </w:r>
    </w:p>
    <w:p w14:paraId="5C200D34" w14:textId="19929CD4"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lang w:val="en-US"/>
        </w:rPr>
        <w:t xml:space="preserve">Santoro, N., Epperson, C. N., &amp; Mathews, S. B. (2015). Menopausal symptoms and their management. </w:t>
      </w:r>
      <w:r w:rsidRPr="00E41E9B">
        <w:rPr>
          <w:rFonts w:ascii="Times New Roman" w:hAnsi="Times New Roman" w:cs="Times New Roman"/>
          <w:i/>
          <w:iCs/>
          <w:lang w:val="pt-BR"/>
        </w:rPr>
        <w:t>Endocrinology and Metabolism Clinics</w:t>
      </w:r>
      <w:r w:rsidRPr="00AA0466">
        <w:rPr>
          <w:rFonts w:ascii="Times New Roman" w:hAnsi="Times New Roman" w:cs="Times New Roman"/>
          <w:lang w:val="pt-BR"/>
        </w:rPr>
        <w:t>, 44(3), 497-515. https://doi.org/10.1016/j.ecl.2015.05.001</w:t>
      </w:r>
    </w:p>
    <w:p w14:paraId="157CDDEB" w14:textId="1E8819F4" w:rsidR="00DD306A" w:rsidRPr="001C7BBC" w:rsidRDefault="00DD306A" w:rsidP="001C7BBC">
      <w:pPr>
        <w:pStyle w:val="ListParagraph"/>
        <w:numPr>
          <w:ilvl w:val="0"/>
          <w:numId w:val="31"/>
        </w:numPr>
        <w:rPr>
          <w:rFonts w:ascii="Times New Roman" w:hAnsi="Times New Roman" w:cs="Times New Roman"/>
        </w:rPr>
      </w:pPr>
      <w:proofErr w:type="spellStart"/>
      <w:r w:rsidRPr="00104F7C">
        <w:rPr>
          <w:rFonts w:ascii="Times New Roman" w:hAnsi="Times New Roman" w:cs="Times New Roman"/>
        </w:rPr>
        <w:t>Ojeka</w:t>
      </w:r>
      <w:proofErr w:type="spellEnd"/>
      <w:r w:rsidRPr="00104F7C">
        <w:rPr>
          <w:rFonts w:ascii="Times New Roman" w:hAnsi="Times New Roman" w:cs="Times New Roman"/>
        </w:rPr>
        <w:t xml:space="preserve"> Sunday </w:t>
      </w:r>
      <w:proofErr w:type="spellStart"/>
      <w:r w:rsidRPr="00104F7C">
        <w:rPr>
          <w:rFonts w:ascii="Times New Roman" w:hAnsi="Times New Roman" w:cs="Times New Roman"/>
        </w:rPr>
        <w:t>Ogbu</w:t>
      </w:r>
      <w:proofErr w:type="spellEnd"/>
      <w:r w:rsidRPr="00104F7C">
        <w:rPr>
          <w:rFonts w:ascii="Times New Roman" w:hAnsi="Times New Roman" w:cs="Times New Roman"/>
        </w:rPr>
        <w:t xml:space="preserve">, </w:t>
      </w:r>
      <w:proofErr w:type="spellStart"/>
      <w:r w:rsidRPr="00104F7C">
        <w:rPr>
          <w:rFonts w:ascii="Times New Roman" w:hAnsi="Times New Roman" w:cs="Times New Roman"/>
        </w:rPr>
        <w:t>Zabbey</w:t>
      </w:r>
      <w:proofErr w:type="spellEnd"/>
      <w:r w:rsidRPr="00104F7C">
        <w:rPr>
          <w:rFonts w:ascii="Times New Roman" w:hAnsi="Times New Roman" w:cs="Times New Roman"/>
        </w:rPr>
        <w:t xml:space="preserve"> Victor </w:t>
      </w:r>
      <w:proofErr w:type="spellStart"/>
      <w:r w:rsidRPr="00104F7C">
        <w:rPr>
          <w:rFonts w:ascii="Times New Roman" w:hAnsi="Times New Roman" w:cs="Times New Roman"/>
        </w:rPr>
        <w:t>Zigabelbari</w:t>
      </w:r>
      <w:proofErr w:type="spellEnd"/>
      <w:r w:rsidRPr="00104F7C">
        <w:rPr>
          <w:rFonts w:ascii="Times New Roman" w:hAnsi="Times New Roman" w:cs="Times New Roman"/>
        </w:rPr>
        <w:t xml:space="preserve">, and </w:t>
      </w:r>
      <w:proofErr w:type="spellStart"/>
      <w:r w:rsidRPr="00104F7C">
        <w:rPr>
          <w:rFonts w:ascii="Times New Roman" w:hAnsi="Times New Roman" w:cs="Times New Roman"/>
        </w:rPr>
        <w:t>Saronee</w:t>
      </w:r>
      <w:proofErr w:type="spellEnd"/>
      <w:r w:rsidRPr="00104F7C">
        <w:rPr>
          <w:rFonts w:ascii="Times New Roman" w:hAnsi="Times New Roman" w:cs="Times New Roman"/>
        </w:rPr>
        <w:t xml:space="preserve"> Friday. 2020. “Factors Affecting Age of Onset of Menopause at Child Birth, Birth Control of Nigerian Women”. </w:t>
      </w:r>
      <w:r w:rsidRPr="00104F7C">
        <w:rPr>
          <w:rFonts w:ascii="Times New Roman" w:hAnsi="Times New Roman" w:cs="Times New Roman"/>
          <w:i/>
          <w:iCs/>
        </w:rPr>
        <w:t>Journal of Advances in Medicine and Medical Research</w:t>
      </w:r>
      <w:r w:rsidRPr="00104F7C">
        <w:rPr>
          <w:rFonts w:ascii="Times New Roman" w:hAnsi="Times New Roman" w:cs="Times New Roman"/>
        </w:rPr>
        <w:t> 31 (10):1–6. https://doi.org/10.9734/jammr/2019/v31i1030326.</w:t>
      </w:r>
    </w:p>
    <w:p w14:paraId="54A76FC9" w14:textId="7E0EB684"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lang w:val="nb-NO"/>
        </w:rPr>
        <w:t xml:space="preserve">Van Ommen, C. E., King, E. M., &amp; Murray, M. C. (2021). </w:t>
      </w:r>
      <w:r w:rsidRPr="00AA0466">
        <w:rPr>
          <w:rFonts w:ascii="Times New Roman" w:hAnsi="Times New Roman" w:cs="Times New Roman"/>
        </w:rPr>
        <w:t xml:space="preserve">Age at menopause in women living with HIV: a systematic review. </w:t>
      </w:r>
      <w:r w:rsidRPr="00E41E9B">
        <w:rPr>
          <w:rFonts w:ascii="Times New Roman" w:hAnsi="Times New Roman" w:cs="Times New Roman"/>
          <w:i/>
          <w:iCs/>
        </w:rPr>
        <w:t>Menopause</w:t>
      </w:r>
      <w:r w:rsidRPr="00AA0466">
        <w:rPr>
          <w:rFonts w:ascii="Times New Roman" w:hAnsi="Times New Roman" w:cs="Times New Roman"/>
        </w:rPr>
        <w:t>, 28(12), 1428-1436. https://doi.org/10.1097/GME.0000000000001871</w:t>
      </w:r>
    </w:p>
    <w:p w14:paraId="36786170" w14:textId="06EBFBAB"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lang w:val="pt-BR"/>
        </w:rPr>
        <w:t xml:space="preserve">Akindele, R. A., Omopariola, S. O., Adeyemo, A. T., Adeyemo, A. T., Afolabi, B. A., Folami, E. O., Omisakin, A. O., &amp; Bello, N. O. (2023). </w:t>
      </w:r>
      <w:r w:rsidRPr="00AA0466">
        <w:rPr>
          <w:rFonts w:ascii="Times New Roman" w:hAnsi="Times New Roman" w:cs="Times New Roman"/>
        </w:rPr>
        <w:t xml:space="preserve">Prevalence of Menopausal Symptoms in Osogbo, South-West, Nigeria. </w:t>
      </w:r>
      <w:r w:rsidRPr="00E41E9B">
        <w:rPr>
          <w:rFonts w:ascii="Times New Roman" w:hAnsi="Times New Roman" w:cs="Times New Roman"/>
          <w:i/>
          <w:iCs/>
        </w:rPr>
        <w:t>Nigerian Journal of Medicine</w:t>
      </w:r>
      <w:r w:rsidRPr="00AA0466">
        <w:rPr>
          <w:rFonts w:ascii="Times New Roman" w:hAnsi="Times New Roman" w:cs="Times New Roman"/>
        </w:rPr>
        <w:t xml:space="preserve">, </w:t>
      </w:r>
      <w:r w:rsidRPr="00BA2E16">
        <w:rPr>
          <w:rFonts w:ascii="Times New Roman" w:hAnsi="Times New Roman" w:cs="Times New Roman"/>
          <w:i/>
          <w:iCs/>
        </w:rPr>
        <w:t>32</w:t>
      </w:r>
      <w:r w:rsidR="00BA2E16">
        <w:rPr>
          <w:rFonts w:ascii="Times New Roman" w:hAnsi="Times New Roman" w:cs="Times New Roman"/>
        </w:rPr>
        <w:t xml:space="preserve"> </w:t>
      </w:r>
      <w:r w:rsidRPr="00AA0466">
        <w:rPr>
          <w:rFonts w:ascii="Times New Roman" w:hAnsi="Times New Roman" w:cs="Times New Roman"/>
        </w:rPr>
        <w:t>(2), 155-160. https://doi.org/10.4103/NJM.NJM_31_23</w:t>
      </w:r>
    </w:p>
    <w:p w14:paraId="433EE359" w14:textId="0EE803DF"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lang w:val="pt-BR"/>
        </w:rPr>
        <w:t xml:space="preserve">Agwu, U. M., Umeora, O. U. J., &amp; Ejikeme, B. N. </w:t>
      </w:r>
      <w:r w:rsidRPr="00272F2C">
        <w:rPr>
          <w:rFonts w:ascii="Times New Roman" w:hAnsi="Times New Roman" w:cs="Times New Roman"/>
          <w:highlight w:val="yellow"/>
          <w:lang w:val="pt-BR"/>
        </w:rPr>
        <w:t>(2008).</w:t>
      </w:r>
      <w:r w:rsidRPr="00AA0466">
        <w:rPr>
          <w:rFonts w:ascii="Times New Roman" w:hAnsi="Times New Roman" w:cs="Times New Roman"/>
          <w:lang w:val="pt-BR"/>
        </w:rPr>
        <w:t xml:space="preserve"> </w:t>
      </w:r>
      <w:r w:rsidRPr="00AA0466">
        <w:rPr>
          <w:rFonts w:ascii="Times New Roman" w:hAnsi="Times New Roman" w:cs="Times New Roman"/>
          <w:lang w:val="en-US"/>
        </w:rPr>
        <w:t>Patterns of menopausal symptoms and adaptive ability in a rural population in South-east Nigeria</w:t>
      </w:r>
      <w:r w:rsidRPr="00E41E9B">
        <w:rPr>
          <w:rFonts w:ascii="Times New Roman" w:hAnsi="Times New Roman" w:cs="Times New Roman"/>
          <w:i/>
          <w:iCs/>
          <w:lang w:val="en-US"/>
        </w:rPr>
        <w:t xml:space="preserve">. </w:t>
      </w:r>
      <w:r w:rsidRPr="00E41E9B">
        <w:rPr>
          <w:rFonts w:ascii="Times New Roman" w:hAnsi="Times New Roman" w:cs="Times New Roman"/>
          <w:i/>
          <w:iCs/>
          <w:lang w:val="pt-BR"/>
        </w:rPr>
        <w:t>Journal of Obstetrics and Gynaecology</w:t>
      </w:r>
      <w:r w:rsidRPr="00AA0466">
        <w:rPr>
          <w:rFonts w:ascii="Times New Roman" w:hAnsi="Times New Roman" w:cs="Times New Roman"/>
          <w:lang w:val="pt-BR"/>
        </w:rPr>
        <w:t>, 28(2), 217-221. https://doi.org/10.1080/01443610801915637</w:t>
      </w:r>
    </w:p>
    <w:p w14:paraId="5EA4A91E" w14:textId="1775EE54" w:rsidR="00692CB7" w:rsidRPr="00AA0466" w:rsidRDefault="00601A8F" w:rsidP="004206BF">
      <w:pPr>
        <w:pStyle w:val="ListParagraph"/>
        <w:numPr>
          <w:ilvl w:val="0"/>
          <w:numId w:val="31"/>
        </w:numPr>
        <w:rPr>
          <w:rFonts w:ascii="Times New Roman" w:hAnsi="Times New Roman" w:cs="Times New Roman"/>
        </w:rPr>
      </w:pPr>
      <w:r w:rsidRPr="00601A8F">
        <w:rPr>
          <w:rFonts w:ascii="Times New Roman" w:hAnsi="Times New Roman" w:cs="Times New Roman"/>
        </w:rPr>
        <w:lastRenderedPageBreak/>
        <w:t>The World Bank. (202</w:t>
      </w:r>
      <w:r w:rsidR="00C82F71">
        <w:rPr>
          <w:rFonts w:ascii="Times New Roman" w:hAnsi="Times New Roman" w:cs="Times New Roman"/>
        </w:rPr>
        <w:t>5</w:t>
      </w:r>
      <w:r w:rsidRPr="00601A8F">
        <w:rPr>
          <w:rFonts w:ascii="Times New Roman" w:hAnsi="Times New Roman" w:cs="Times New Roman"/>
        </w:rPr>
        <w:t xml:space="preserve">). World Bank </w:t>
      </w:r>
      <w:r w:rsidR="001D0781">
        <w:rPr>
          <w:rFonts w:ascii="Times New Roman" w:hAnsi="Times New Roman" w:cs="Times New Roman"/>
        </w:rPr>
        <w:t>C</w:t>
      </w:r>
      <w:r w:rsidRPr="00601A8F">
        <w:rPr>
          <w:rFonts w:ascii="Times New Roman" w:hAnsi="Times New Roman" w:cs="Times New Roman"/>
        </w:rPr>
        <w:t xml:space="preserve">ountry and </w:t>
      </w:r>
      <w:r w:rsidR="001D0781">
        <w:rPr>
          <w:rFonts w:ascii="Times New Roman" w:hAnsi="Times New Roman" w:cs="Times New Roman"/>
        </w:rPr>
        <w:t>L</w:t>
      </w:r>
      <w:r w:rsidRPr="00601A8F">
        <w:rPr>
          <w:rFonts w:ascii="Times New Roman" w:hAnsi="Times New Roman" w:cs="Times New Roman"/>
        </w:rPr>
        <w:t xml:space="preserve">ending groups. </w:t>
      </w:r>
      <w:r w:rsidR="00692CB7" w:rsidRPr="00AA0466">
        <w:rPr>
          <w:rFonts w:ascii="Times New Roman" w:hAnsi="Times New Roman" w:cs="Times New Roman"/>
        </w:rPr>
        <w:t>https://datahelpdesk.worldbank.org/knowledgebase/articles/906519-world-bank-country and-lending-groups</w:t>
      </w:r>
      <w:r w:rsidR="001D0781">
        <w:rPr>
          <w:rFonts w:ascii="Times New Roman" w:hAnsi="Times New Roman" w:cs="Times New Roman"/>
        </w:rPr>
        <w:t xml:space="preserve"> (accessed </w:t>
      </w:r>
      <w:r w:rsidR="001D0781" w:rsidRPr="001D0781">
        <w:rPr>
          <w:rFonts w:ascii="Times New Roman" w:hAnsi="Times New Roman" w:cs="Times New Roman"/>
        </w:rPr>
        <w:t>May 31st, 2025</w:t>
      </w:r>
      <w:r w:rsidR="001D0781">
        <w:rPr>
          <w:rFonts w:ascii="Times New Roman" w:hAnsi="Times New Roman" w:cs="Times New Roman"/>
        </w:rPr>
        <w:t>).</w:t>
      </w:r>
    </w:p>
    <w:p w14:paraId="6DF8D14B" w14:textId="3F1ADFA7"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rPr>
        <w:t>Baber, R. J. (</w:t>
      </w:r>
      <w:r w:rsidRPr="00272F2C">
        <w:rPr>
          <w:rFonts w:ascii="Times New Roman" w:hAnsi="Times New Roman" w:cs="Times New Roman"/>
          <w:highlight w:val="yellow"/>
        </w:rPr>
        <w:t>2014</w:t>
      </w:r>
      <w:r w:rsidRPr="00AA0466">
        <w:rPr>
          <w:rFonts w:ascii="Times New Roman" w:hAnsi="Times New Roman" w:cs="Times New Roman"/>
        </w:rPr>
        <w:t xml:space="preserve">). East is east and West is west: perspectives on the menopause in Asia and The West. </w:t>
      </w:r>
      <w:r w:rsidRPr="00E41E9B">
        <w:rPr>
          <w:rFonts w:ascii="Times New Roman" w:hAnsi="Times New Roman" w:cs="Times New Roman"/>
          <w:i/>
          <w:iCs/>
        </w:rPr>
        <w:t>Climacteric</w:t>
      </w:r>
      <w:r w:rsidRPr="00AA0466">
        <w:rPr>
          <w:rFonts w:ascii="Times New Roman" w:hAnsi="Times New Roman" w:cs="Times New Roman"/>
        </w:rPr>
        <w:t>, 17(1), 23-28. https://doi.org/10.3109/13697137.2013.830607</w:t>
      </w:r>
    </w:p>
    <w:p w14:paraId="7D820B93" w14:textId="5C4202B2"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rPr>
        <w:t xml:space="preserve">Hillman, S., </w:t>
      </w:r>
      <w:proofErr w:type="spellStart"/>
      <w:r w:rsidRPr="00AA0466">
        <w:rPr>
          <w:rFonts w:ascii="Times New Roman" w:hAnsi="Times New Roman" w:cs="Times New Roman"/>
        </w:rPr>
        <w:t>Shantikumar</w:t>
      </w:r>
      <w:proofErr w:type="spellEnd"/>
      <w:r w:rsidRPr="00AA0466">
        <w:rPr>
          <w:rFonts w:ascii="Times New Roman" w:hAnsi="Times New Roman" w:cs="Times New Roman"/>
        </w:rPr>
        <w:t xml:space="preserve">, S., Ridha, A., </w:t>
      </w:r>
      <w:proofErr w:type="spellStart"/>
      <w:r w:rsidRPr="00AA0466">
        <w:rPr>
          <w:rFonts w:ascii="Times New Roman" w:hAnsi="Times New Roman" w:cs="Times New Roman"/>
        </w:rPr>
        <w:t>Todkill</w:t>
      </w:r>
      <w:proofErr w:type="spellEnd"/>
      <w:r w:rsidRPr="00AA0466">
        <w:rPr>
          <w:rFonts w:ascii="Times New Roman" w:hAnsi="Times New Roman" w:cs="Times New Roman"/>
        </w:rPr>
        <w:t xml:space="preserve">, D., &amp; Dale, J. (2020). Socioeconomic status and HRT prescribing: a study of practice-level data in England. </w:t>
      </w:r>
      <w:r w:rsidRPr="00E41E9B">
        <w:rPr>
          <w:rFonts w:ascii="Times New Roman" w:hAnsi="Times New Roman" w:cs="Times New Roman"/>
          <w:i/>
          <w:iCs/>
        </w:rPr>
        <w:t>British Journal of General Practice</w:t>
      </w:r>
      <w:r w:rsidRPr="00AA0466">
        <w:rPr>
          <w:rFonts w:ascii="Times New Roman" w:hAnsi="Times New Roman" w:cs="Times New Roman"/>
        </w:rPr>
        <w:t>, 70(700), e772-e777. https://doi.org/10.3399/bjgp20X713045</w:t>
      </w:r>
    </w:p>
    <w:p w14:paraId="010304CF" w14:textId="57A497F0"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lang w:val="nb-NO"/>
        </w:rPr>
        <w:t xml:space="preserve">MacLellan, J., Dixon, S., Bi, S., Toye, F., &amp; McNiven, A. (2023). </w:t>
      </w:r>
      <w:r w:rsidRPr="00AA0466">
        <w:rPr>
          <w:rFonts w:ascii="Times New Roman" w:hAnsi="Times New Roman" w:cs="Times New Roman"/>
        </w:rPr>
        <w:t xml:space="preserve">Perimenopause and/or menopause help-seeking among women from ethnic minorities: a qualitative study of primary care practitioners' experiences. </w:t>
      </w:r>
      <w:r w:rsidRPr="00E41E9B">
        <w:rPr>
          <w:rFonts w:ascii="Times New Roman" w:hAnsi="Times New Roman" w:cs="Times New Roman"/>
          <w:i/>
          <w:iCs/>
        </w:rPr>
        <w:t>British Journal of General Practice</w:t>
      </w:r>
      <w:r w:rsidRPr="00AA0466">
        <w:rPr>
          <w:rFonts w:ascii="Times New Roman" w:hAnsi="Times New Roman" w:cs="Times New Roman"/>
        </w:rPr>
        <w:t>, 73(732), e511-e518. https://doi.org/10.3399/BJGP.2022.0569</w:t>
      </w:r>
    </w:p>
    <w:p w14:paraId="6BDC3D28" w14:textId="599F129C" w:rsidR="00692CB7" w:rsidRPr="00AA0466" w:rsidRDefault="00C46128" w:rsidP="004206BF">
      <w:pPr>
        <w:pStyle w:val="ListParagraph"/>
        <w:numPr>
          <w:ilvl w:val="0"/>
          <w:numId w:val="31"/>
        </w:numPr>
        <w:rPr>
          <w:rFonts w:ascii="Times New Roman" w:hAnsi="Times New Roman" w:cs="Times New Roman"/>
        </w:rPr>
      </w:pPr>
      <w:proofErr w:type="spellStart"/>
      <w:r w:rsidRPr="00AA0466">
        <w:rPr>
          <w:rFonts w:ascii="Times New Roman" w:hAnsi="Times New Roman" w:cs="Times New Roman"/>
        </w:rPr>
        <w:t>Rasweswe</w:t>
      </w:r>
      <w:proofErr w:type="spellEnd"/>
      <w:r w:rsidRPr="00AA0466">
        <w:rPr>
          <w:rFonts w:ascii="Times New Roman" w:hAnsi="Times New Roman" w:cs="Times New Roman"/>
        </w:rPr>
        <w:t xml:space="preserve">, M. M., &amp; Mulaudzi, F. M. (2022). Indigenous knowledge, beliefs, practices and treatments of menopause among females of African descent. In F. M. Mulaudzi &amp; R. T. Lebese (Eds.), Working with indigenous knowledge: Strategies for health professionals. </w:t>
      </w:r>
      <w:r w:rsidRPr="00E41E9B">
        <w:rPr>
          <w:rFonts w:ascii="Times New Roman" w:hAnsi="Times New Roman" w:cs="Times New Roman"/>
          <w:i/>
          <w:iCs/>
        </w:rPr>
        <w:t>AOSIS</w:t>
      </w:r>
      <w:r w:rsidRPr="00AA0466">
        <w:rPr>
          <w:rFonts w:ascii="Times New Roman" w:hAnsi="Times New Roman" w:cs="Times New Roman"/>
        </w:rPr>
        <w:t>. https://doi.org/10.4102/aosis.2022.BK296.08</w:t>
      </w:r>
    </w:p>
    <w:p w14:paraId="7B231E11" w14:textId="437E7DB3"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rPr>
        <w:t>Green, R., &amp; Santoro, N. (</w:t>
      </w:r>
      <w:r w:rsidRPr="00272F2C">
        <w:rPr>
          <w:rFonts w:ascii="Times New Roman" w:hAnsi="Times New Roman" w:cs="Times New Roman"/>
          <w:highlight w:val="yellow"/>
        </w:rPr>
        <w:t>2009</w:t>
      </w:r>
      <w:r w:rsidRPr="00AA0466">
        <w:rPr>
          <w:rFonts w:ascii="Times New Roman" w:hAnsi="Times New Roman" w:cs="Times New Roman"/>
        </w:rPr>
        <w:t xml:space="preserve">). Menopausal symptoms and ethnicity: the Study of Women's Health Across the Nation. </w:t>
      </w:r>
      <w:r w:rsidRPr="00E41E9B">
        <w:rPr>
          <w:rFonts w:ascii="Times New Roman" w:hAnsi="Times New Roman" w:cs="Times New Roman"/>
          <w:i/>
          <w:iCs/>
        </w:rPr>
        <w:t>Women's Health</w:t>
      </w:r>
      <w:r w:rsidRPr="00AA0466">
        <w:rPr>
          <w:rFonts w:ascii="Times New Roman" w:hAnsi="Times New Roman" w:cs="Times New Roman"/>
        </w:rPr>
        <w:t>, 5(2), 127-133. https://doi.org/10.2217/17455057.5.2.127</w:t>
      </w:r>
    </w:p>
    <w:p w14:paraId="0D456532" w14:textId="21EC058C"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rPr>
        <w:t>Palmer, J. R., Rosenberg, L., Wise, L. A., Horton, N. J., &amp; Adams-Campbell, L. L. (</w:t>
      </w:r>
      <w:r w:rsidRPr="00272F2C">
        <w:rPr>
          <w:rFonts w:ascii="Times New Roman" w:hAnsi="Times New Roman" w:cs="Times New Roman"/>
          <w:highlight w:val="yellow"/>
        </w:rPr>
        <w:t>2003</w:t>
      </w:r>
      <w:r w:rsidRPr="00AA0466">
        <w:rPr>
          <w:rFonts w:ascii="Times New Roman" w:hAnsi="Times New Roman" w:cs="Times New Roman"/>
        </w:rPr>
        <w:t xml:space="preserve">). Onset of natural menopause in African American women. </w:t>
      </w:r>
      <w:r w:rsidRPr="00E41E9B">
        <w:rPr>
          <w:rFonts w:ascii="Times New Roman" w:hAnsi="Times New Roman" w:cs="Times New Roman"/>
          <w:i/>
          <w:iCs/>
        </w:rPr>
        <w:t>American Journal of Public Health,</w:t>
      </w:r>
      <w:r w:rsidRPr="00AA0466">
        <w:rPr>
          <w:rFonts w:ascii="Times New Roman" w:hAnsi="Times New Roman" w:cs="Times New Roman"/>
        </w:rPr>
        <w:t xml:space="preserve"> 93(2), 299–306. https://doi.org/10.2105/ajph.93.2.299</w:t>
      </w:r>
      <w:r w:rsidR="00692CB7" w:rsidRPr="00AA0466">
        <w:rPr>
          <w:rFonts w:ascii="Times New Roman" w:hAnsi="Times New Roman" w:cs="Times New Roman"/>
        </w:rPr>
        <w:t xml:space="preserve"> </w:t>
      </w:r>
    </w:p>
    <w:p w14:paraId="3A47DBBF" w14:textId="5151593D"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lang w:val="en-US"/>
        </w:rPr>
        <w:t xml:space="preserve">Bromberger, J. T., Matthews, K. A., Kuller, L. H., Wing, R. R., Meilahn, E. N., &amp; Plantinga, P. (1997). Prospective study of the determinants of age at menopause. </w:t>
      </w:r>
      <w:r w:rsidRPr="00E41E9B">
        <w:rPr>
          <w:rFonts w:ascii="Times New Roman" w:hAnsi="Times New Roman" w:cs="Times New Roman"/>
          <w:i/>
          <w:iCs/>
          <w:lang w:val="en-US"/>
        </w:rPr>
        <w:t>American Journal of Epidemiology</w:t>
      </w:r>
      <w:r w:rsidRPr="00AA0466">
        <w:rPr>
          <w:rFonts w:ascii="Times New Roman" w:hAnsi="Times New Roman" w:cs="Times New Roman"/>
          <w:lang w:val="en-US"/>
        </w:rPr>
        <w:t>, 145(2), 124–133. https://doi.org/10.1093/oxfordjournals.aje.a009083</w:t>
      </w:r>
    </w:p>
    <w:p w14:paraId="71C60B25" w14:textId="187819EA"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rPr>
        <w:t xml:space="preserve">Prasad, S. (2023). Menopause in ethnic minority women. </w:t>
      </w:r>
      <w:r w:rsidRPr="00E41E9B">
        <w:rPr>
          <w:rFonts w:ascii="Times New Roman" w:hAnsi="Times New Roman" w:cs="Times New Roman"/>
          <w:i/>
          <w:iCs/>
        </w:rPr>
        <w:t>Post Reproductive Health</w:t>
      </w:r>
      <w:r w:rsidRPr="00AA0466">
        <w:rPr>
          <w:rFonts w:ascii="Times New Roman" w:hAnsi="Times New Roman" w:cs="Times New Roman"/>
        </w:rPr>
        <w:t>, 29(4), 236-239. https://doi.org/10.1177/20533691231186562</w:t>
      </w:r>
    </w:p>
    <w:p w14:paraId="7063F639" w14:textId="0D345738"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rPr>
        <w:t xml:space="preserve">Statista. (2025). Chart: Education Gender Gap Persists in Low Income Nations. </w:t>
      </w:r>
      <w:hyperlink r:id="rId7" w:history="1">
        <w:r w:rsidR="001D0781" w:rsidRPr="007469A1">
          <w:rPr>
            <w:rStyle w:val="Hyperlink"/>
            <w:rFonts w:ascii="Times New Roman" w:hAnsi="Times New Roman" w:cs="Times New Roman"/>
          </w:rPr>
          <w:t>https://www.statista.com/chart/32000/education-gender-gap-persists-in-low-income-nations/</w:t>
        </w:r>
      </w:hyperlink>
      <w:r w:rsidR="001D0781">
        <w:rPr>
          <w:rFonts w:ascii="Times New Roman" w:hAnsi="Times New Roman" w:cs="Times New Roman"/>
        </w:rPr>
        <w:t xml:space="preserve"> </w:t>
      </w:r>
      <w:r w:rsidR="001D0781" w:rsidRPr="001D0781">
        <w:rPr>
          <w:rFonts w:ascii="Times New Roman" w:hAnsi="Times New Roman" w:cs="Times New Roman"/>
          <w:highlight w:val="yellow"/>
        </w:rPr>
        <w:t>(</w:t>
      </w:r>
      <w:r w:rsidR="001D0781">
        <w:rPr>
          <w:rFonts w:ascii="Times New Roman" w:hAnsi="Times New Roman" w:cs="Times New Roman"/>
          <w:highlight w:val="yellow"/>
        </w:rPr>
        <w:t>a</w:t>
      </w:r>
      <w:r w:rsidR="001D0781" w:rsidRPr="001D0781">
        <w:rPr>
          <w:rFonts w:ascii="Times New Roman" w:hAnsi="Times New Roman" w:cs="Times New Roman"/>
          <w:highlight w:val="yellow"/>
        </w:rPr>
        <w:t>ccessed 31</w:t>
      </w:r>
      <w:r w:rsidR="001D0781" w:rsidRPr="001D0781">
        <w:rPr>
          <w:rFonts w:ascii="Times New Roman" w:hAnsi="Times New Roman" w:cs="Times New Roman"/>
          <w:highlight w:val="yellow"/>
          <w:vertAlign w:val="superscript"/>
        </w:rPr>
        <w:t>st</w:t>
      </w:r>
      <w:r w:rsidR="001D0781" w:rsidRPr="001D0781">
        <w:rPr>
          <w:rFonts w:ascii="Times New Roman" w:hAnsi="Times New Roman" w:cs="Times New Roman"/>
          <w:highlight w:val="yellow"/>
        </w:rPr>
        <w:t xml:space="preserve"> May 2025).</w:t>
      </w:r>
    </w:p>
    <w:p w14:paraId="333E9328" w14:textId="63FF1846" w:rsidR="008075E9" w:rsidRPr="008075E9" w:rsidRDefault="008075E9" w:rsidP="008075E9">
      <w:pPr>
        <w:pStyle w:val="ListParagraph"/>
        <w:numPr>
          <w:ilvl w:val="0"/>
          <w:numId w:val="31"/>
        </w:numPr>
        <w:rPr>
          <w:rFonts w:ascii="Times New Roman" w:hAnsi="Times New Roman" w:cs="Times New Roman"/>
        </w:rPr>
      </w:pPr>
      <w:r w:rsidRPr="00AA0466">
        <w:rPr>
          <w:rFonts w:ascii="Times New Roman" w:hAnsi="Times New Roman" w:cs="Times New Roman"/>
        </w:rPr>
        <w:t>Obermeyer, C. M., Reher, D., &amp; Saliba, M. (</w:t>
      </w:r>
      <w:r w:rsidRPr="00272F2C">
        <w:rPr>
          <w:rFonts w:ascii="Times New Roman" w:hAnsi="Times New Roman" w:cs="Times New Roman"/>
          <w:highlight w:val="yellow"/>
        </w:rPr>
        <w:t>2007</w:t>
      </w:r>
      <w:r w:rsidRPr="00AA0466">
        <w:rPr>
          <w:rFonts w:ascii="Times New Roman" w:hAnsi="Times New Roman" w:cs="Times New Roman"/>
        </w:rPr>
        <w:t xml:space="preserve">). Symptoms, menopause status, and country differences: a comparative analysis from DAMES. </w:t>
      </w:r>
      <w:r w:rsidRPr="00E41E9B">
        <w:rPr>
          <w:rFonts w:ascii="Times New Roman" w:hAnsi="Times New Roman" w:cs="Times New Roman"/>
          <w:i/>
          <w:iCs/>
        </w:rPr>
        <w:t>Menopause</w:t>
      </w:r>
      <w:r w:rsidRPr="00AA0466">
        <w:rPr>
          <w:rFonts w:ascii="Times New Roman" w:hAnsi="Times New Roman" w:cs="Times New Roman"/>
        </w:rPr>
        <w:t>, 14(4), 788-797. https://doi.org/10.1097/gme.0b013e318046eb4a</w:t>
      </w:r>
    </w:p>
    <w:p w14:paraId="45E9CC83" w14:textId="5836393C"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rPr>
        <w:t xml:space="preserve">Hahka, T. M., Slotkowski, R. A., Akbar, A., VanOrmer, M. C., </w:t>
      </w:r>
      <w:proofErr w:type="spellStart"/>
      <w:r w:rsidRPr="00AA0466">
        <w:rPr>
          <w:rFonts w:ascii="Times New Roman" w:hAnsi="Times New Roman" w:cs="Times New Roman"/>
        </w:rPr>
        <w:t>Sembajwe</w:t>
      </w:r>
      <w:proofErr w:type="spellEnd"/>
      <w:r w:rsidRPr="00AA0466">
        <w:rPr>
          <w:rFonts w:ascii="Times New Roman" w:hAnsi="Times New Roman" w:cs="Times New Roman"/>
        </w:rPr>
        <w:t xml:space="preserve">, L. F., </w:t>
      </w:r>
      <w:proofErr w:type="spellStart"/>
      <w:r w:rsidRPr="00AA0466">
        <w:rPr>
          <w:rFonts w:ascii="Times New Roman" w:hAnsi="Times New Roman" w:cs="Times New Roman"/>
        </w:rPr>
        <w:t>Ssekandi</w:t>
      </w:r>
      <w:proofErr w:type="spellEnd"/>
      <w:r w:rsidRPr="00AA0466">
        <w:rPr>
          <w:rFonts w:ascii="Times New Roman" w:hAnsi="Times New Roman" w:cs="Times New Roman"/>
        </w:rPr>
        <w:t xml:space="preserve">, A. M., Namaganda, A., Muwonge, H., </w:t>
      </w:r>
      <w:proofErr w:type="spellStart"/>
      <w:r w:rsidRPr="00AA0466">
        <w:rPr>
          <w:rFonts w:ascii="Times New Roman" w:hAnsi="Times New Roman" w:cs="Times New Roman"/>
        </w:rPr>
        <w:t>Kasolo</w:t>
      </w:r>
      <w:proofErr w:type="spellEnd"/>
      <w:r w:rsidRPr="00AA0466">
        <w:rPr>
          <w:rFonts w:ascii="Times New Roman" w:hAnsi="Times New Roman" w:cs="Times New Roman"/>
        </w:rPr>
        <w:t xml:space="preserve">, J. N., Nakimuli, A., &amp; Mwesigwa, N. (2024). Hypertension related co-morbidities and complications in women of Sub-Saharan Africa: A brief review. </w:t>
      </w:r>
      <w:r w:rsidRPr="00E41E9B">
        <w:rPr>
          <w:rFonts w:ascii="Times New Roman" w:hAnsi="Times New Roman" w:cs="Times New Roman"/>
          <w:i/>
          <w:iCs/>
        </w:rPr>
        <w:t>Circulation Research</w:t>
      </w:r>
      <w:r w:rsidRPr="00AA0466">
        <w:rPr>
          <w:rFonts w:ascii="Times New Roman" w:hAnsi="Times New Roman" w:cs="Times New Roman"/>
        </w:rPr>
        <w:t>, 134(4), 459-473. https://doi.org/10.1161/CIRCRESAHA.123.324077</w:t>
      </w:r>
    </w:p>
    <w:p w14:paraId="35579555" w14:textId="3B2ABC89"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lang w:val="pt-BR"/>
        </w:rPr>
        <w:lastRenderedPageBreak/>
        <w:t xml:space="preserve">Cappuccio, F. P., &amp; Miller, M. A. (2016). </w:t>
      </w:r>
      <w:r w:rsidRPr="00AA0466">
        <w:rPr>
          <w:rFonts w:ascii="Times New Roman" w:hAnsi="Times New Roman" w:cs="Times New Roman"/>
        </w:rPr>
        <w:t xml:space="preserve">Cardiovascular disease and hypertension in sub-Saharan Africa: burden, risk and interventions. </w:t>
      </w:r>
      <w:r w:rsidRPr="00E41E9B">
        <w:rPr>
          <w:rFonts w:ascii="Times New Roman" w:hAnsi="Times New Roman" w:cs="Times New Roman"/>
          <w:i/>
          <w:iCs/>
        </w:rPr>
        <w:t>Internal and Emergency Medicine</w:t>
      </w:r>
      <w:r w:rsidRPr="00AA0466">
        <w:rPr>
          <w:rFonts w:ascii="Times New Roman" w:hAnsi="Times New Roman" w:cs="Times New Roman"/>
        </w:rPr>
        <w:t xml:space="preserve">, </w:t>
      </w:r>
      <w:r w:rsidRPr="00BA2E16">
        <w:rPr>
          <w:rFonts w:ascii="Times New Roman" w:hAnsi="Times New Roman" w:cs="Times New Roman"/>
          <w:i/>
          <w:iCs/>
        </w:rPr>
        <w:t>11</w:t>
      </w:r>
      <w:r w:rsidRPr="00AA0466">
        <w:rPr>
          <w:rFonts w:ascii="Times New Roman" w:hAnsi="Times New Roman" w:cs="Times New Roman"/>
        </w:rPr>
        <w:t>(3), 299-305. https://doi.org/10.1007/s11739-016-1423-9</w:t>
      </w:r>
    </w:p>
    <w:p w14:paraId="7C08AC40" w14:textId="4D0F1C95" w:rsidR="00692CB7" w:rsidRPr="00AA0466" w:rsidRDefault="00C46128" w:rsidP="004206BF">
      <w:pPr>
        <w:pStyle w:val="ListParagraph"/>
        <w:numPr>
          <w:ilvl w:val="0"/>
          <w:numId w:val="31"/>
        </w:numPr>
        <w:rPr>
          <w:rFonts w:ascii="Times New Roman" w:hAnsi="Times New Roman" w:cs="Times New Roman"/>
        </w:rPr>
      </w:pPr>
      <w:r w:rsidRPr="00AA0466">
        <w:rPr>
          <w:rFonts w:ascii="Times New Roman" w:hAnsi="Times New Roman" w:cs="Times New Roman"/>
        </w:rPr>
        <w:t xml:space="preserve">Zhou, B., Carrillo-Larco, R. M., Danaei, G., Riley, L. M., Paciorek, C. J., Stevens, G. A., Gregg, E. W., Bennett, J. E., Solomon, B., Singleton, R. K., Sophiea, M. K., Iurilli, M. L. C., </w:t>
      </w:r>
      <w:proofErr w:type="spellStart"/>
      <w:r w:rsidRPr="00AA0466">
        <w:rPr>
          <w:rFonts w:ascii="Times New Roman" w:hAnsi="Times New Roman" w:cs="Times New Roman"/>
        </w:rPr>
        <w:t>Lhoste</w:t>
      </w:r>
      <w:proofErr w:type="spellEnd"/>
      <w:r w:rsidRPr="00AA0466">
        <w:rPr>
          <w:rFonts w:ascii="Times New Roman" w:hAnsi="Times New Roman" w:cs="Times New Roman"/>
        </w:rPr>
        <w:t xml:space="preserve">, V. P. F., Cowan, M. J., Savin, S., Woodward, M., Balanova, Y., </w:t>
      </w:r>
      <w:proofErr w:type="spellStart"/>
      <w:r w:rsidRPr="00AA0466">
        <w:rPr>
          <w:rFonts w:ascii="Times New Roman" w:hAnsi="Times New Roman" w:cs="Times New Roman"/>
        </w:rPr>
        <w:t>Cifkova</w:t>
      </w:r>
      <w:proofErr w:type="spellEnd"/>
      <w:r w:rsidRPr="00AA0466">
        <w:rPr>
          <w:rFonts w:ascii="Times New Roman" w:hAnsi="Times New Roman" w:cs="Times New Roman"/>
        </w:rPr>
        <w:t xml:space="preserve">, R., Damasceno, A., ... Ezzati, M. (2021). Worldwide trends in hypertension prevalence and progress in treatment and control from 1990 to 2019: A pooled analysis of 1201 population-representative studies with 104 million participants. </w:t>
      </w:r>
      <w:r w:rsidRPr="00E41E9B">
        <w:rPr>
          <w:rFonts w:ascii="Times New Roman" w:hAnsi="Times New Roman" w:cs="Times New Roman"/>
          <w:i/>
          <w:iCs/>
        </w:rPr>
        <w:t>Lancet</w:t>
      </w:r>
      <w:r w:rsidRPr="00AA0466">
        <w:rPr>
          <w:rFonts w:ascii="Times New Roman" w:hAnsi="Times New Roman" w:cs="Times New Roman"/>
        </w:rPr>
        <w:t xml:space="preserve">, </w:t>
      </w:r>
      <w:r w:rsidRPr="00BA2E16">
        <w:rPr>
          <w:rFonts w:ascii="Times New Roman" w:hAnsi="Times New Roman" w:cs="Times New Roman"/>
          <w:i/>
          <w:iCs/>
        </w:rPr>
        <w:t>398</w:t>
      </w:r>
      <w:r w:rsidR="00BA2E16">
        <w:rPr>
          <w:rFonts w:ascii="Times New Roman" w:hAnsi="Times New Roman" w:cs="Times New Roman"/>
        </w:rPr>
        <w:t xml:space="preserve"> </w:t>
      </w:r>
      <w:r w:rsidRPr="00AA0466">
        <w:rPr>
          <w:rFonts w:ascii="Times New Roman" w:hAnsi="Times New Roman" w:cs="Times New Roman"/>
        </w:rPr>
        <w:t>(10304), 957–980. https://doi.org/10.1016/S0140-6736(21)01330-1</w:t>
      </w:r>
    </w:p>
    <w:p w14:paraId="73C5134D" w14:textId="6436BB78" w:rsidR="00692CB7" w:rsidRPr="00AA0466" w:rsidRDefault="00C46128" w:rsidP="00AA0466">
      <w:pPr>
        <w:pStyle w:val="ListParagraph"/>
        <w:numPr>
          <w:ilvl w:val="0"/>
          <w:numId w:val="31"/>
        </w:numPr>
        <w:rPr>
          <w:rFonts w:ascii="Times New Roman" w:hAnsi="Times New Roman" w:cs="Times New Roman"/>
        </w:rPr>
      </w:pPr>
      <w:proofErr w:type="spellStart"/>
      <w:r w:rsidRPr="00AA0466">
        <w:rPr>
          <w:rFonts w:ascii="Times New Roman" w:hAnsi="Times New Roman" w:cs="Times New Roman"/>
        </w:rPr>
        <w:t>Gafane-Matemane</w:t>
      </w:r>
      <w:proofErr w:type="spellEnd"/>
      <w:r w:rsidRPr="00AA0466">
        <w:rPr>
          <w:rFonts w:ascii="Times New Roman" w:hAnsi="Times New Roman" w:cs="Times New Roman"/>
        </w:rPr>
        <w:t xml:space="preserve">, L. F., Craig, A., Kruger, R., </w:t>
      </w:r>
      <w:proofErr w:type="spellStart"/>
      <w:r w:rsidRPr="00AA0466">
        <w:rPr>
          <w:rFonts w:ascii="Times New Roman" w:hAnsi="Times New Roman" w:cs="Times New Roman"/>
        </w:rPr>
        <w:t>Alaofin</w:t>
      </w:r>
      <w:proofErr w:type="spellEnd"/>
      <w:r w:rsidRPr="00AA0466">
        <w:rPr>
          <w:rFonts w:ascii="Times New Roman" w:hAnsi="Times New Roman" w:cs="Times New Roman"/>
        </w:rPr>
        <w:t xml:space="preserve">, O. S., Ware, L. J., Jones, E. S. W., &amp; Kengne, A. P. (2024). Hypertension in sub-Saharan Africa: The current profile, recent advances, gaps, and priorities. </w:t>
      </w:r>
      <w:r w:rsidRPr="00E41E9B">
        <w:rPr>
          <w:rFonts w:ascii="Times New Roman" w:hAnsi="Times New Roman" w:cs="Times New Roman"/>
          <w:i/>
          <w:iCs/>
        </w:rPr>
        <w:t>Journal of Human Hypertension.</w:t>
      </w:r>
      <w:r w:rsidRPr="00AA0466">
        <w:rPr>
          <w:rFonts w:ascii="Times New Roman" w:hAnsi="Times New Roman" w:cs="Times New Roman"/>
        </w:rPr>
        <w:t xml:space="preserve"> https://doi.org/10.1038/s41371-024-00913-6</w:t>
      </w:r>
    </w:p>
    <w:p w14:paraId="6A825B25" w14:textId="489A8DCD" w:rsidR="00692CB7" w:rsidRPr="00AA0466" w:rsidRDefault="00941949" w:rsidP="00AA0466">
      <w:pPr>
        <w:pStyle w:val="ListParagraph"/>
        <w:numPr>
          <w:ilvl w:val="0"/>
          <w:numId w:val="31"/>
        </w:numPr>
        <w:rPr>
          <w:rFonts w:ascii="Times New Roman" w:hAnsi="Times New Roman" w:cs="Times New Roman"/>
        </w:rPr>
      </w:pPr>
      <w:r w:rsidRPr="00AA0466">
        <w:rPr>
          <w:rFonts w:ascii="Times New Roman" w:hAnsi="Times New Roman" w:cs="Times New Roman"/>
        </w:rPr>
        <w:t xml:space="preserve">Muka, T., Oliver-Williams, C., </w:t>
      </w:r>
      <w:proofErr w:type="spellStart"/>
      <w:r w:rsidRPr="00AA0466">
        <w:rPr>
          <w:rFonts w:ascii="Times New Roman" w:hAnsi="Times New Roman" w:cs="Times New Roman"/>
        </w:rPr>
        <w:t>Kunutsor</w:t>
      </w:r>
      <w:proofErr w:type="spellEnd"/>
      <w:r w:rsidRPr="00AA0466">
        <w:rPr>
          <w:rFonts w:ascii="Times New Roman" w:hAnsi="Times New Roman" w:cs="Times New Roman"/>
        </w:rPr>
        <w:t xml:space="preserve">, S., Laven, J. S. E., Fauser, B. C. J. M., Chowdhury, R., </w:t>
      </w:r>
      <w:proofErr w:type="spellStart"/>
      <w:r w:rsidRPr="00AA0466">
        <w:rPr>
          <w:rFonts w:ascii="Times New Roman" w:hAnsi="Times New Roman" w:cs="Times New Roman"/>
        </w:rPr>
        <w:t>Kavousi</w:t>
      </w:r>
      <w:proofErr w:type="spellEnd"/>
      <w:r w:rsidRPr="00AA0466">
        <w:rPr>
          <w:rFonts w:ascii="Times New Roman" w:hAnsi="Times New Roman" w:cs="Times New Roman"/>
        </w:rPr>
        <w:t xml:space="preserve">, M., &amp; Franco, O. H. (2016). Association of age at onset of menopause and time since onset of menopause with cardiovascular outcomes, intermediate vascular traits, and all-cause mortality: A systematic review and meta-analysis. </w:t>
      </w:r>
      <w:r w:rsidRPr="00E41E9B">
        <w:rPr>
          <w:rFonts w:ascii="Times New Roman" w:hAnsi="Times New Roman" w:cs="Times New Roman"/>
          <w:i/>
          <w:iCs/>
        </w:rPr>
        <w:t>JAMA Cardiology</w:t>
      </w:r>
      <w:r w:rsidRPr="00AA0466">
        <w:rPr>
          <w:rFonts w:ascii="Times New Roman" w:hAnsi="Times New Roman" w:cs="Times New Roman"/>
        </w:rPr>
        <w:t>, 1(7), 767–776. https://doi.org/10.1001/jamacardio.2016.2415</w:t>
      </w:r>
    </w:p>
    <w:p w14:paraId="25EF831E" w14:textId="396549CE" w:rsidR="00692CB7" w:rsidRPr="00AA0466" w:rsidRDefault="00941949" w:rsidP="00AA0466">
      <w:pPr>
        <w:pStyle w:val="ListParagraph"/>
        <w:numPr>
          <w:ilvl w:val="0"/>
          <w:numId w:val="31"/>
        </w:numPr>
        <w:rPr>
          <w:rFonts w:ascii="Times New Roman" w:hAnsi="Times New Roman" w:cs="Times New Roman"/>
        </w:rPr>
      </w:pPr>
      <w:r w:rsidRPr="00272F2C">
        <w:rPr>
          <w:rFonts w:ascii="Times New Roman" w:hAnsi="Times New Roman" w:cs="Times New Roman"/>
          <w:lang w:val="nb-NO"/>
        </w:rPr>
        <w:t xml:space="preserve">Davis, S. R., &amp; Baber, R. J. (2022). </w:t>
      </w:r>
      <w:r w:rsidRPr="00AA0466">
        <w:rPr>
          <w:rFonts w:ascii="Times New Roman" w:hAnsi="Times New Roman" w:cs="Times New Roman"/>
        </w:rPr>
        <w:t xml:space="preserve">Treating menopause—MHT and beyond. </w:t>
      </w:r>
      <w:r w:rsidRPr="00E41E9B">
        <w:rPr>
          <w:rFonts w:ascii="Times New Roman" w:hAnsi="Times New Roman" w:cs="Times New Roman"/>
          <w:i/>
          <w:iCs/>
        </w:rPr>
        <w:t>Nature Reviews Endocrinology</w:t>
      </w:r>
      <w:r w:rsidRPr="00AA0466">
        <w:rPr>
          <w:rFonts w:ascii="Times New Roman" w:hAnsi="Times New Roman" w:cs="Times New Roman"/>
        </w:rPr>
        <w:t>, 18(8), 490-502. https://doi.org/10.1038/s41574-022-00685-4</w:t>
      </w:r>
    </w:p>
    <w:p w14:paraId="69B0E216" w14:textId="57C40DFF" w:rsidR="00367E44" w:rsidRDefault="00941949" w:rsidP="00AA0466">
      <w:pPr>
        <w:pStyle w:val="ListParagraph"/>
        <w:numPr>
          <w:ilvl w:val="0"/>
          <w:numId w:val="31"/>
        </w:numPr>
        <w:rPr>
          <w:rFonts w:ascii="Times New Roman" w:hAnsi="Times New Roman" w:cs="Times New Roman"/>
        </w:rPr>
      </w:pPr>
      <w:r w:rsidRPr="00AA0466">
        <w:rPr>
          <w:rFonts w:ascii="Times New Roman" w:hAnsi="Times New Roman" w:cs="Times New Roman"/>
        </w:rPr>
        <w:t xml:space="preserve">Makarem, N., St-Onge, M. P., Liao, M., Lloyd-Jones, D. M., &amp; Aggarwal, B. (2019). Association of sleep characteristics with cardiovascular health among women and differences by race/ethnicity and menopausal status: findings from the American Heart Association Go Red for Women Strategically Focused Research Network. </w:t>
      </w:r>
      <w:r w:rsidRPr="00E41E9B">
        <w:rPr>
          <w:rFonts w:ascii="Times New Roman" w:hAnsi="Times New Roman" w:cs="Times New Roman"/>
          <w:i/>
          <w:iCs/>
        </w:rPr>
        <w:t>Sleep Health,</w:t>
      </w:r>
      <w:r w:rsidRPr="00AA0466">
        <w:rPr>
          <w:rFonts w:ascii="Times New Roman" w:hAnsi="Times New Roman" w:cs="Times New Roman"/>
        </w:rPr>
        <w:t xml:space="preserve"> 5(5), 501–508. </w:t>
      </w:r>
      <w:hyperlink r:id="rId8" w:history="1">
        <w:r w:rsidR="00104F7C" w:rsidRPr="001851F4">
          <w:rPr>
            <w:rStyle w:val="Hyperlink"/>
            <w:rFonts w:ascii="Times New Roman" w:hAnsi="Times New Roman" w:cs="Times New Roman"/>
          </w:rPr>
          <w:t>https://doi.org/10.1016/j.sleh.2019.05.005</w:t>
        </w:r>
      </w:hyperlink>
    </w:p>
    <w:p w14:paraId="6F127834" w14:textId="54FBC6A3" w:rsidR="00104F7C" w:rsidRDefault="00104F7C" w:rsidP="00692CB7">
      <w:pPr>
        <w:rPr>
          <w:rFonts w:ascii="Times New Roman" w:hAnsi="Times New Roman" w:cs="Times New Roman"/>
          <w:b/>
          <w:bCs/>
        </w:rPr>
      </w:pPr>
      <w:r>
        <w:rPr>
          <w:rFonts w:ascii="Times New Roman" w:hAnsi="Times New Roman" w:cs="Times New Roman"/>
          <w:b/>
          <w:bCs/>
        </w:rPr>
        <w:t>__________________________________________________________________________</w:t>
      </w:r>
    </w:p>
    <w:p w14:paraId="646BB45F" w14:textId="77777777" w:rsidR="00104F7C" w:rsidRDefault="00104F7C" w:rsidP="00692CB7">
      <w:pPr>
        <w:rPr>
          <w:rFonts w:ascii="Times New Roman" w:hAnsi="Times New Roman" w:cs="Times New Roman"/>
          <w:b/>
          <w:bCs/>
        </w:rPr>
      </w:pPr>
    </w:p>
    <w:p w14:paraId="5D905B7E" w14:textId="77777777" w:rsidR="00DD306A" w:rsidRDefault="00DD306A" w:rsidP="00692CB7">
      <w:pPr>
        <w:rPr>
          <w:rFonts w:ascii="Times New Roman" w:hAnsi="Times New Roman" w:cs="Times New Roman"/>
          <w:b/>
          <w:bCs/>
        </w:rPr>
      </w:pPr>
    </w:p>
    <w:p w14:paraId="591023B4" w14:textId="77777777" w:rsidR="001C7BBC" w:rsidRDefault="001C7BBC" w:rsidP="001C7BBC">
      <w:pPr>
        <w:rPr>
          <w:rFonts w:ascii="Times New Roman" w:hAnsi="Times New Roman" w:cs="Times New Roman"/>
          <w:b/>
          <w:bCs/>
        </w:rPr>
      </w:pPr>
      <w:r w:rsidRPr="001C7BBC">
        <w:rPr>
          <w:rFonts w:ascii="Times New Roman" w:hAnsi="Times New Roman" w:cs="Times New Roman"/>
          <w:b/>
          <w:bCs/>
        </w:rPr>
        <w:t>Graphical abstract:</w:t>
      </w:r>
    </w:p>
    <w:p w14:paraId="324E22B3" w14:textId="77777777" w:rsidR="001C7BBC" w:rsidRPr="001C7BBC" w:rsidRDefault="001C7BBC" w:rsidP="001C7BBC">
      <w:pPr>
        <w:rPr>
          <w:rFonts w:ascii="Times New Roman" w:hAnsi="Times New Roman" w:cs="Times New Roman"/>
          <w:b/>
          <w:bCs/>
        </w:rPr>
      </w:pPr>
    </w:p>
    <w:p w14:paraId="19E45F2B" w14:textId="27536D4F" w:rsidR="00DD306A" w:rsidRDefault="001C7BBC" w:rsidP="00692CB7">
      <w:pPr>
        <w:rPr>
          <w:rFonts w:ascii="Times New Roman" w:hAnsi="Times New Roman" w:cs="Times New Roman"/>
          <w:b/>
          <w:bCs/>
        </w:rPr>
      </w:pPr>
      <w:r w:rsidRPr="001C7BBC">
        <w:rPr>
          <w:rFonts w:ascii="Times New Roman" w:hAnsi="Times New Roman" w:cs="Times New Roman"/>
          <w:b/>
          <w:bCs/>
          <w:noProof/>
        </w:rPr>
        <w:lastRenderedPageBreak/>
        <w:drawing>
          <wp:inline distT="0" distB="0" distL="0" distR="0" wp14:anchorId="46952B0B" wp14:editId="63A11970">
            <wp:extent cx="2940201" cy="4445228"/>
            <wp:effectExtent l="0" t="0" r="0" b="0"/>
            <wp:docPr id="1715349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49394" name=""/>
                    <pic:cNvPicPr/>
                  </pic:nvPicPr>
                  <pic:blipFill>
                    <a:blip r:embed="rId9"/>
                    <a:stretch>
                      <a:fillRect/>
                    </a:stretch>
                  </pic:blipFill>
                  <pic:spPr>
                    <a:xfrm>
                      <a:off x="0" y="0"/>
                      <a:ext cx="2940201" cy="4445228"/>
                    </a:xfrm>
                    <a:prstGeom prst="rect">
                      <a:avLst/>
                    </a:prstGeom>
                  </pic:spPr>
                </pic:pic>
              </a:graphicData>
            </a:graphic>
          </wp:inline>
        </w:drawing>
      </w:r>
    </w:p>
    <w:p w14:paraId="6895EC17" w14:textId="77777777" w:rsidR="001C7BBC" w:rsidRDefault="001C7BBC" w:rsidP="00692CB7">
      <w:pPr>
        <w:rPr>
          <w:rFonts w:ascii="Times New Roman" w:hAnsi="Times New Roman" w:cs="Times New Roman"/>
          <w:b/>
          <w:bCs/>
        </w:rPr>
      </w:pPr>
    </w:p>
    <w:p w14:paraId="40FA2122" w14:textId="77777777" w:rsidR="001C7BBC" w:rsidRDefault="001C7BBC" w:rsidP="00692CB7">
      <w:pPr>
        <w:rPr>
          <w:rFonts w:ascii="Times New Roman" w:hAnsi="Times New Roman" w:cs="Times New Roman"/>
          <w:b/>
          <w:bCs/>
        </w:rPr>
      </w:pPr>
    </w:p>
    <w:p w14:paraId="65ADFA58" w14:textId="77777777" w:rsidR="001C7BBC" w:rsidRDefault="001C7BBC" w:rsidP="00692CB7">
      <w:pPr>
        <w:rPr>
          <w:rFonts w:ascii="Times New Roman" w:hAnsi="Times New Roman" w:cs="Times New Roman"/>
          <w:b/>
          <w:bCs/>
        </w:rPr>
      </w:pPr>
    </w:p>
    <w:p w14:paraId="22BFD0B8" w14:textId="77777777" w:rsidR="001C7BBC" w:rsidRDefault="001C7BBC" w:rsidP="00692CB7">
      <w:pPr>
        <w:rPr>
          <w:rFonts w:ascii="Times New Roman" w:hAnsi="Times New Roman" w:cs="Times New Roman"/>
          <w:b/>
          <w:bCs/>
        </w:rPr>
      </w:pPr>
    </w:p>
    <w:p w14:paraId="6955BB86" w14:textId="77777777" w:rsidR="001C7BBC" w:rsidRDefault="001C7BBC" w:rsidP="00692CB7">
      <w:pPr>
        <w:rPr>
          <w:rFonts w:ascii="Times New Roman" w:hAnsi="Times New Roman" w:cs="Times New Roman"/>
          <w:b/>
          <w:bCs/>
        </w:rPr>
      </w:pPr>
    </w:p>
    <w:p w14:paraId="4B86F69B" w14:textId="7A960BF5" w:rsidR="00692CB7" w:rsidRPr="00EC28DB" w:rsidRDefault="00692CB7" w:rsidP="00692CB7">
      <w:pPr>
        <w:rPr>
          <w:rFonts w:ascii="Times New Roman" w:hAnsi="Times New Roman" w:cs="Times New Roman"/>
          <w:b/>
          <w:bCs/>
        </w:rPr>
      </w:pPr>
      <w:r w:rsidRPr="00EC28DB">
        <w:rPr>
          <w:rFonts w:ascii="Times New Roman" w:hAnsi="Times New Roman" w:cs="Times New Roman"/>
          <w:b/>
          <w:bCs/>
        </w:rPr>
        <w:t>Tables</w:t>
      </w:r>
    </w:p>
    <w:p w14:paraId="13AF6F61" w14:textId="484C60A8" w:rsidR="00692CB7" w:rsidRPr="00EC28DB" w:rsidRDefault="00692CB7" w:rsidP="00692CB7">
      <w:pPr>
        <w:rPr>
          <w:rFonts w:ascii="Times New Roman" w:hAnsi="Times New Roman" w:cs="Times New Roman"/>
          <w:b/>
          <w:bCs/>
        </w:rPr>
      </w:pPr>
      <w:r w:rsidRPr="00EC28DB">
        <w:rPr>
          <w:rFonts w:ascii="Times New Roman" w:hAnsi="Times New Roman" w:cs="Times New Roman"/>
          <w:b/>
          <w:bCs/>
        </w:rPr>
        <w:t>Table 1:</w:t>
      </w:r>
      <w:r w:rsidR="00A125D0" w:rsidRPr="00EC28DB">
        <w:rPr>
          <w:rFonts w:ascii="Times New Roman" w:hAnsi="Times New Roman" w:cs="Times New Roman"/>
          <w:b/>
          <w:bCs/>
        </w:rPr>
        <w:t xml:space="preserve"> Demographic profile and analysis</w:t>
      </w:r>
    </w:p>
    <w:tbl>
      <w:tblPr>
        <w:tblStyle w:val="TableGrid"/>
        <w:tblW w:w="10866" w:type="dxa"/>
        <w:tblInd w:w="-665" w:type="dxa"/>
        <w:tblLayout w:type="fixed"/>
        <w:tblLook w:val="04A0" w:firstRow="1" w:lastRow="0" w:firstColumn="1" w:lastColumn="0" w:noHBand="0" w:noVBand="1"/>
      </w:tblPr>
      <w:tblGrid>
        <w:gridCol w:w="1511"/>
        <w:gridCol w:w="2268"/>
        <w:gridCol w:w="1559"/>
        <w:gridCol w:w="1559"/>
        <w:gridCol w:w="1418"/>
        <w:gridCol w:w="2551"/>
      </w:tblGrid>
      <w:tr w:rsidR="00964865" w:rsidRPr="003A11D8" w14:paraId="1B7A67E1" w14:textId="77777777" w:rsidTr="003829F6">
        <w:tc>
          <w:tcPr>
            <w:tcW w:w="1511" w:type="dxa"/>
          </w:tcPr>
          <w:p w14:paraId="4C509243" w14:textId="77777777" w:rsidR="00964865" w:rsidRPr="003A11D8" w:rsidRDefault="00964865" w:rsidP="004E740F">
            <w:pPr>
              <w:pStyle w:val="NoSpacing"/>
              <w:jc w:val="center"/>
              <w:rPr>
                <w:rFonts w:ascii="Times New Roman" w:hAnsi="Times New Roman" w:cs="Times New Roman"/>
                <w:sz w:val="20"/>
                <w:szCs w:val="20"/>
              </w:rPr>
            </w:pPr>
          </w:p>
        </w:tc>
        <w:tc>
          <w:tcPr>
            <w:tcW w:w="2268" w:type="dxa"/>
          </w:tcPr>
          <w:p w14:paraId="4A07ECC1" w14:textId="77777777" w:rsidR="00964865" w:rsidRPr="003A11D8" w:rsidRDefault="00964865" w:rsidP="004E740F">
            <w:pPr>
              <w:pStyle w:val="NoSpacing"/>
              <w:jc w:val="center"/>
              <w:rPr>
                <w:rFonts w:ascii="Times New Roman" w:hAnsi="Times New Roman" w:cs="Times New Roman"/>
                <w:sz w:val="20"/>
                <w:szCs w:val="20"/>
              </w:rPr>
            </w:pPr>
          </w:p>
        </w:tc>
        <w:tc>
          <w:tcPr>
            <w:tcW w:w="1559" w:type="dxa"/>
          </w:tcPr>
          <w:p w14:paraId="2D128ED7"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HIC (46)</w:t>
            </w:r>
          </w:p>
        </w:tc>
        <w:tc>
          <w:tcPr>
            <w:tcW w:w="1559" w:type="dxa"/>
          </w:tcPr>
          <w:p w14:paraId="3BFEA912" w14:textId="090F5281"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LMIC</w:t>
            </w:r>
            <w:r>
              <w:rPr>
                <w:rFonts w:ascii="Times New Roman" w:hAnsi="Times New Roman" w:cs="Times New Roman"/>
                <w:sz w:val="20"/>
                <w:szCs w:val="20"/>
              </w:rPr>
              <w:t xml:space="preserve"> </w:t>
            </w:r>
            <w:r w:rsidRPr="003A11D8">
              <w:rPr>
                <w:rFonts w:ascii="Times New Roman" w:hAnsi="Times New Roman" w:cs="Times New Roman"/>
                <w:sz w:val="20"/>
                <w:szCs w:val="20"/>
              </w:rPr>
              <w:t>(41)</w:t>
            </w:r>
          </w:p>
        </w:tc>
        <w:tc>
          <w:tcPr>
            <w:tcW w:w="1418" w:type="dxa"/>
          </w:tcPr>
          <w:p w14:paraId="33A8DEA6"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7072483D" w14:textId="3A25BCBA" w:rsidR="00964865" w:rsidRPr="003A11D8" w:rsidRDefault="00964865" w:rsidP="004E740F">
            <w:pPr>
              <w:pStyle w:val="NoSpacing"/>
              <w:jc w:val="center"/>
              <w:rPr>
                <w:rFonts w:ascii="Times New Roman" w:hAnsi="Times New Roman" w:cs="Times New Roman"/>
                <w:sz w:val="20"/>
                <w:szCs w:val="20"/>
              </w:rPr>
            </w:pPr>
            <w:r>
              <w:rPr>
                <w:rFonts w:ascii="Times New Roman" w:hAnsi="Times New Roman" w:cs="Times New Roman"/>
                <w:sz w:val="20"/>
                <w:szCs w:val="20"/>
              </w:rPr>
              <w:t>C</w:t>
            </w:r>
            <w:r w:rsidRPr="003A11D8">
              <w:rPr>
                <w:rFonts w:ascii="Times New Roman" w:hAnsi="Times New Roman" w:cs="Times New Roman"/>
                <w:sz w:val="20"/>
                <w:szCs w:val="20"/>
              </w:rPr>
              <w:t>omments</w:t>
            </w:r>
          </w:p>
        </w:tc>
      </w:tr>
      <w:tr w:rsidR="00964865" w:rsidRPr="003A11D8" w14:paraId="6CCCCA09" w14:textId="77777777" w:rsidTr="003829F6">
        <w:tc>
          <w:tcPr>
            <w:tcW w:w="1511" w:type="dxa"/>
          </w:tcPr>
          <w:p w14:paraId="41EFF396" w14:textId="0A4580CE" w:rsidR="00964865" w:rsidRPr="006A1574" w:rsidRDefault="00964865" w:rsidP="004E740F">
            <w:pPr>
              <w:pStyle w:val="NoSpacing"/>
              <w:jc w:val="center"/>
              <w:rPr>
                <w:rFonts w:ascii="Times New Roman" w:hAnsi="Times New Roman" w:cs="Times New Roman"/>
                <w:b/>
                <w:bCs/>
                <w:sz w:val="20"/>
                <w:szCs w:val="20"/>
              </w:rPr>
            </w:pPr>
            <w:r w:rsidRPr="006A1574">
              <w:rPr>
                <w:rFonts w:ascii="Times New Roman" w:hAnsi="Times New Roman" w:cs="Times New Roman"/>
                <w:b/>
                <w:bCs/>
                <w:sz w:val="20"/>
                <w:szCs w:val="20"/>
              </w:rPr>
              <w:t>General Demographics</w:t>
            </w:r>
          </w:p>
        </w:tc>
        <w:tc>
          <w:tcPr>
            <w:tcW w:w="2268" w:type="dxa"/>
          </w:tcPr>
          <w:p w14:paraId="2D609AF5" w14:textId="5DF19380"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Menopause age (yrs)(no)</w:t>
            </w:r>
          </w:p>
        </w:tc>
        <w:tc>
          <w:tcPr>
            <w:tcW w:w="1559" w:type="dxa"/>
          </w:tcPr>
          <w:p w14:paraId="6E257E32" w14:textId="183FC954"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47.59 ±</w:t>
            </w:r>
            <w:r w:rsidR="006A1574">
              <w:rPr>
                <w:rFonts w:ascii="Times New Roman" w:hAnsi="Times New Roman" w:cs="Times New Roman"/>
                <w:sz w:val="20"/>
                <w:szCs w:val="20"/>
              </w:rPr>
              <w:t xml:space="preserve"> </w:t>
            </w:r>
            <w:r w:rsidRPr="003A11D8">
              <w:rPr>
                <w:rFonts w:ascii="Times New Roman" w:hAnsi="Times New Roman" w:cs="Times New Roman"/>
                <w:sz w:val="20"/>
                <w:szCs w:val="20"/>
              </w:rPr>
              <w:t>4.6</w:t>
            </w:r>
            <w:r w:rsidR="006A1574">
              <w:rPr>
                <w:rFonts w:ascii="Times New Roman" w:hAnsi="Times New Roman" w:cs="Times New Roman"/>
                <w:sz w:val="20"/>
                <w:szCs w:val="20"/>
              </w:rPr>
              <w:t>0</w:t>
            </w:r>
          </w:p>
          <w:p w14:paraId="2F673229" w14:textId="276B25A5"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(46)</w:t>
            </w:r>
          </w:p>
          <w:p w14:paraId="24FC1B40" w14:textId="77777777" w:rsidR="00964865" w:rsidRPr="003A11D8" w:rsidRDefault="00964865" w:rsidP="004E740F">
            <w:pPr>
              <w:pStyle w:val="NoSpacing"/>
              <w:jc w:val="center"/>
              <w:rPr>
                <w:rFonts w:ascii="Times New Roman" w:hAnsi="Times New Roman" w:cs="Times New Roman"/>
                <w:sz w:val="20"/>
                <w:szCs w:val="20"/>
              </w:rPr>
            </w:pPr>
          </w:p>
        </w:tc>
        <w:tc>
          <w:tcPr>
            <w:tcW w:w="1559" w:type="dxa"/>
          </w:tcPr>
          <w:p w14:paraId="76AE1D3F" w14:textId="621B54FC"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49.78</w:t>
            </w:r>
            <w:r w:rsidR="006A1574">
              <w:rPr>
                <w:rFonts w:ascii="Times New Roman" w:hAnsi="Times New Roman" w:cs="Times New Roman"/>
                <w:sz w:val="20"/>
                <w:szCs w:val="20"/>
              </w:rPr>
              <w:t xml:space="preserve"> </w:t>
            </w:r>
            <w:r w:rsidRPr="003A11D8">
              <w:rPr>
                <w:rFonts w:ascii="Times New Roman" w:hAnsi="Times New Roman" w:cs="Times New Roman"/>
                <w:sz w:val="20"/>
                <w:szCs w:val="20"/>
              </w:rPr>
              <w:t>±</w:t>
            </w:r>
            <w:r w:rsidR="006A1574">
              <w:rPr>
                <w:rFonts w:ascii="Times New Roman" w:hAnsi="Times New Roman" w:cs="Times New Roman"/>
                <w:sz w:val="20"/>
                <w:szCs w:val="20"/>
              </w:rPr>
              <w:t xml:space="preserve"> </w:t>
            </w:r>
            <w:r w:rsidRPr="003A11D8">
              <w:rPr>
                <w:rFonts w:ascii="Times New Roman" w:hAnsi="Times New Roman" w:cs="Times New Roman"/>
                <w:sz w:val="20"/>
                <w:szCs w:val="20"/>
              </w:rPr>
              <w:t>3.3</w:t>
            </w:r>
            <w:r w:rsidR="006A1574">
              <w:rPr>
                <w:rFonts w:ascii="Times New Roman" w:hAnsi="Times New Roman" w:cs="Times New Roman"/>
                <w:sz w:val="20"/>
                <w:szCs w:val="20"/>
              </w:rPr>
              <w:t>0</w:t>
            </w:r>
          </w:p>
          <w:p w14:paraId="10A4E02B"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(41)</w:t>
            </w:r>
          </w:p>
        </w:tc>
        <w:tc>
          <w:tcPr>
            <w:tcW w:w="1418" w:type="dxa"/>
          </w:tcPr>
          <w:p w14:paraId="203882DA" w14:textId="31EEC460"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SE=0.861</w:t>
            </w:r>
          </w:p>
        </w:tc>
        <w:tc>
          <w:tcPr>
            <w:tcW w:w="2551" w:type="dxa"/>
          </w:tcPr>
          <w:p w14:paraId="3300A5A2" w14:textId="18633F75" w:rsidR="00964865" w:rsidRPr="003A11D8" w:rsidRDefault="00964865" w:rsidP="004E740F">
            <w:pPr>
              <w:pStyle w:val="NoSpacing"/>
              <w:jc w:val="center"/>
              <w:rPr>
                <w:rFonts w:ascii="Times New Roman" w:hAnsi="Times New Roman" w:cs="Times New Roman"/>
                <w:b/>
                <w:bCs/>
                <w:sz w:val="20"/>
                <w:szCs w:val="20"/>
              </w:rPr>
            </w:pPr>
            <w:r w:rsidRPr="003A11D8">
              <w:rPr>
                <w:rFonts w:ascii="Times New Roman" w:hAnsi="Times New Roman" w:cs="Times New Roman"/>
                <w:b/>
                <w:bCs/>
                <w:sz w:val="20"/>
                <w:szCs w:val="20"/>
              </w:rPr>
              <w:t>P=0.01</w:t>
            </w:r>
            <w:r>
              <w:rPr>
                <w:rFonts w:ascii="Times New Roman" w:hAnsi="Times New Roman" w:cs="Times New Roman"/>
                <w:b/>
                <w:bCs/>
                <w:sz w:val="20"/>
                <w:szCs w:val="20"/>
              </w:rPr>
              <w:t>3</w:t>
            </w:r>
          </w:p>
          <w:p w14:paraId="3ADF19C9" w14:textId="19FBBC56" w:rsidR="00964865" w:rsidRPr="003A11D8" w:rsidRDefault="00964865" w:rsidP="004E740F">
            <w:pPr>
              <w:pStyle w:val="NoSpacing"/>
              <w:jc w:val="center"/>
              <w:rPr>
                <w:rFonts w:ascii="Times New Roman" w:hAnsi="Times New Roman" w:cs="Times New Roman"/>
                <w:sz w:val="20"/>
                <w:szCs w:val="20"/>
              </w:rPr>
            </w:pPr>
          </w:p>
        </w:tc>
      </w:tr>
      <w:tr w:rsidR="00964865" w:rsidRPr="003A11D8" w14:paraId="51AE1C19" w14:textId="77777777" w:rsidTr="003829F6">
        <w:tc>
          <w:tcPr>
            <w:tcW w:w="1511" w:type="dxa"/>
          </w:tcPr>
          <w:p w14:paraId="076FB1F6" w14:textId="77777777" w:rsidR="00964865" w:rsidRPr="003A11D8" w:rsidRDefault="00964865" w:rsidP="004E740F">
            <w:pPr>
              <w:pStyle w:val="NoSpacing"/>
              <w:jc w:val="center"/>
              <w:rPr>
                <w:rFonts w:ascii="Times New Roman" w:hAnsi="Times New Roman" w:cs="Times New Roman"/>
                <w:sz w:val="20"/>
                <w:szCs w:val="20"/>
              </w:rPr>
            </w:pPr>
          </w:p>
        </w:tc>
        <w:tc>
          <w:tcPr>
            <w:tcW w:w="2268" w:type="dxa"/>
          </w:tcPr>
          <w:p w14:paraId="630AD30D" w14:textId="17CA3CAA"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 xml:space="preserve">Country </w:t>
            </w:r>
            <w:r>
              <w:rPr>
                <w:rFonts w:ascii="Times New Roman" w:hAnsi="Times New Roman" w:cs="Times New Roman"/>
                <w:sz w:val="20"/>
                <w:szCs w:val="20"/>
              </w:rPr>
              <w:t>d</w:t>
            </w:r>
            <w:r w:rsidRPr="003A11D8">
              <w:rPr>
                <w:rFonts w:ascii="Times New Roman" w:hAnsi="Times New Roman" w:cs="Times New Roman"/>
                <w:sz w:val="20"/>
                <w:szCs w:val="20"/>
              </w:rPr>
              <w:t>istribution</w:t>
            </w:r>
          </w:p>
        </w:tc>
        <w:tc>
          <w:tcPr>
            <w:tcW w:w="1559" w:type="dxa"/>
          </w:tcPr>
          <w:p w14:paraId="314F8BC4"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Europe/ North America</w:t>
            </w:r>
          </w:p>
        </w:tc>
        <w:tc>
          <w:tcPr>
            <w:tcW w:w="1559" w:type="dxa"/>
          </w:tcPr>
          <w:p w14:paraId="53B1A336" w14:textId="2C7A71E5"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West, South</w:t>
            </w:r>
            <w:r w:rsidR="006A1574">
              <w:rPr>
                <w:rFonts w:ascii="Times New Roman" w:hAnsi="Times New Roman" w:cs="Times New Roman"/>
                <w:sz w:val="20"/>
                <w:szCs w:val="20"/>
              </w:rPr>
              <w:t>,</w:t>
            </w:r>
            <w:r w:rsidRPr="003A11D8">
              <w:rPr>
                <w:rFonts w:ascii="Times New Roman" w:hAnsi="Times New Roman" w:cs="Times New Roman"/>
                <w:sz w:val="20"/>
                <w:szCs w:val="20"/>
              </w:rPr>
              <w:t xml:space="preserve"> East Africa</w:t>
            </w:r>
          </w:p>
        </w:tc>
        <w:tc>
          <w:tcPr>
            <w:tcW w:w="1418" w:type="dxa"/>
          </w:tcPr>
          <w:p w14:paraId="60CF339E"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07FC2EE9" w14:textId="77777777" w:rsidR="00964865" w:rsidRPr="003A11D8" w:rsidRDefault="00964865" w:rsidP="004E740F">
            <w:pPr>
              <w:pStyle w:val="NoSpacing"/>
              <w:jc w:val="center"/>
              <w:rPr>
                <w:rFonts w:ascii="Times New Roman" w:hAnsi="Times New Roman" w:cs="Times New Roman"/>
                <w:sz w:val="20"/>
                <w:szCs w:val="20"/>
              </w:rPr>
            </w:pPr>
          </w:p>
        </w:tc>
      </w:tr>
      <w:tr w:rsidR="00964865" w:rsidRPr="003A11D8" w14:paraId="5A57C99B" w14:textId="77777777" w:rsidTr="003829F6">
        <w:tc>
          <w:tcPr>
            <w:tcW w:w="1511" w:type="dxa"/>
          </w:tcPr>
          <w:p w14:paraId="1F78C346" w14:textId="77777777" w:rsidR="00964865" w:rsidRPr="003A11D8" w:rsidRDefault="00964865" w:rsidP="004E740F">
            <w:pPr>
              <w:pStyle w:val="NoSpacing"/>
              <w:jc w:val="center"/>
              <w:rPr>
                <w:rFonts w:ascii="Times New Roman" w:hAnsi="Times New Roman" w:cs="Times New Roman"/>
                <w:sz w:val="20"/>
                <w:szCs w:val="20"/>
              </w:rPr>
            </w:pPr>
          </w:p>
        </w:tc>
        <w:tc>
          <w:tcPr>
            <w:tcW w:w="2268" w:type="dxa"/>
          </w:tcPr>
          <w:p w14:paraId="76E82640" w14:textId="6AA08E28"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 xml:space="preserve">Educational level &gt; /= </w:t>
            </w:r>
            <w:r w:rsidR="006A1574">
              <w:rPr>
                <w:rFonts w:ascii="Times New Roman" w:hAnsi="Times New Roman" w:cs="Times New Roman"/>
                <w:sz w:val="20"/>
                <w:szCs w:val="20"/>
              </w:rPr>
              <w:t>U</w:t>
            </w:r>
            <w:r w:rsidRPr="003A11D8">
              <w:rPr>
                <w:rFonts w:ascii="Times New Roman" w:hAnsi="Times New Roman" w:cs="Times New Roman"/>
                <w:sz w:val="20"/>
                <w:szCs w:val="20"/>
              </w:rPr>
              <w:t>niversity</w:t>
            </w:r>
          </w:p>
        </w:tc>
        <w:tc>
          <w:tcPr>
            <w:tcW w:w="1559" w:type="dxa"/>
          </w:tcPr>
          <w:p w14:paraId="43104C94" w14:textId="4D982D99"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67.4</w:t>
            </w:r>
            <w:r w:rsidR="006A1574">
              <w:rPr>
                <w:rFonts w:ascii="Times New Roman" w:hAnsi="Times New Roman" w:cs="Times New Roman"/>
                <w:sz w:val="20"/>
                <w:szCs w:val="20"/>
              </w:rPr>
              <w:t>0</w:t>
            </w:r>
            <w:r w:rsidRPr="003A11D8">
              <w:rPr>
                <w:rFonts w:ascii="Times New Roman" w:hAnsi="Times New Roman" w:cs="Times New Roman"/>
                <w:sz w:val="20"/>
                <w:szCs w:val="20"/>
              </w:rPr>
              <w:t>%</w:t>
            </w:r>
          </w:p>
        </w:tc>
        <w:tc>
          <w:tcPr>
            <w:tcW w:w="1559" w:type="dxa"/>
          </w:tcPr>
          <w:p w14:paraId="63568FD2" w14:textId="621A2F8E"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57.1</w:t>
            </w:r>
            <w:r w:rsidR="006A1574">
              <w:rPr>
                <w:rFonts w:ascii="Times New Roman" w:hAnsi="Times New Roman" w:cs="Times New Roman"/>
                <w:sz w:val="20"/>
                <w:szCs w:val="20"/>
              </w:rPr>
              <w:t>0</w:t>
            </w:r>
            <w:r w:rsidRPr="003A11D8">
              <w:rPr>
                <w:rFonts w:ascii="Times New Roman" w:hAnsi="Times New Roman" w:cs="Times New Roman"/>
                <w:sz w:val="20"/>
                <w:szCs w:val="20"/>
              </w:rPr>
              <w:t>%</w:t>
            </w:r>
          </w:p>
        </w:tc>
        <w:tc>
          <w:tcPr>
            <w:tcW w:w="1418" w:type="dxa"/>
          </w:tcPr>
          <w:p w14:paraId="0AD86520" w14:textId="1D799775"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62.5%</w:t>
            </w:r>
            <w:r w:rsidR="006A1574">
              <w:rPr>
                <w:rFonts w:ascii="Times New Roman" w:hAnsi="Times New Roman" w:cs="Times New Roman"/>
                <w:sz w:val="20"/>
                <w:szCs w:val="20"/>
              </w:rPr>
              <w:t xml:space="preserve"> </w:t>
            </w:r>
            <w:r w:rsidRPr="003A11D8">
              <w:rPr>
                <w:rFonts w:ascii="Times New Roman" w:hAnsi="Times New Roman" w:cs="Times New Roman"/>
                <w:sz w:val="20"/>
                <w:szCs w:val="20"/>
              </w:rPr>
              <w:t>- HRT use</w:t>
            </w:r>
          </w:p>
        </w:tc>
        <w:tc>
          <w:tcPr>
            <w:tcW w:w="2551" w:type="dxa"/>
          </w:tcPr>
          <w:p w14:paraId="2AAC3D71"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P=0.325</w:t>
            </w:r>
          </w:p>
          <w:p w14:paraId="2CBDD019" w14:textId="0FB3A798" w:rsidR="00964865" w:rsidRPr="003A11D8" w:rsidRDefault="00964865" w:rsidP="004E740F">
            <w:pPr>
              <w:pStyle w:val="NoSpacing"/>
              <w:jc w:val="center"/>
              <w:rPr>
                <w:rFonts w:ascii="Times New Roman" w:hAnsi="Times New Roman" w:cs="Times New Roman"/>
                <w:sz w:val="20"/>
                <w:szCs w:val="20"/>
              </w:rPr>
            </w:pPr>
          </w:p>
          <w:p w14:paraId="08E523D4" w14:textId="77777777" w:rsidR="00964865" w:rsidRPr="003A11D8" w:rsidRDefault="00964865" w:rsidP="004E740F">
            <w:pPr>
              <w:pStyle w:val="NoSpacing"/>
              <w:jc w:val="center"/>
              <w:rPr>
                <w:rFonts w:ascii="Times New Roman" w:hAnsi="Times New Roman" w:cs="Times New Roman"/>
                <w:sz w:val="20"/>
                <w:szCs w:val="20"/>
              </w:rPr>
            </w:pPr>
          </w:p>
        </w:tc>
      </w:tr>
      <w:tr w:rsidR="00964865" w:rsidRPr="003A11D8" w14:paraId="675BB61F" w14:textId="77777777" w:rsidTr="003829F6">
        <w:tc>
          <w:tcPr>
            <w:tcW w:w="1511" w:type="dxa"/>
          </w:tcPr>
          <w:p w14:paraId="74DE1A6B" w14:textId="77777777" w:rsidR="00964865" w:rsidRPr="003A11D8" w:rsidRDefault="00964865" w:rsidP="004E740F">
            <w:pPr>
              <w:pStyle w:val="NoSpacing"/>
              <w:jc w:val="center"/>
              <w:rPr>
                <w:rFonts w:ascii="Times New Roman" w:hAnsi="Times New Roman" w:cs="Times New Roman"/>
                <w:sz w:val="20"/>
                <w:szCs w:val="20"/>
              </w:rPr>
            </w:pPr>
          </w:p>
        </w:tc>
        <w:tc>
          <w:tcPr>
            <w:tcW w:w="2268" w:type="dxa"/>
          </w:tcPr>
          <w:p w14:paraId="07A87648"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Parity</w:t>
            </w:r>
          </w:p>
        </w:tc>
        <w:tc>
          <w:tcPr>
            <w:tcW w:w="1559" w:type="dxa"/>
          </w:tcPr>
          <w:p w14:paraId="64CE61ED" w14:textId="70701E1A"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2.4</w:t>
            </w:r>
            <w:r w:rsidR="006A1574">
              <w:rPr>
                <w:rFonts w:ascii="Times New Roman" w:hAnsi="Times New Roman" w:cs="Times New Roman"/>
                <w:sz w:val="20"/>
                <w:szCs w:val="20"/>
              </w:rPr>
              <w:t>0</w:t>
            </w:r>
          </w:p>
        </w:tc>
        <w:tc>
          <w:tcPr>
            <w:tcW w:w="1559" w:type="dxa"/>
          </w:tcPr>
          <w:p w14:paraId="5C8F9CA9"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2.76</w:t>
            </w:r>
          </w:p>
        </w:tc>
        <w:tc>
          <w:tcPr>
            <w:tcW w:w="1418" w:type="dxa"/>
          </w:tcPr>
          <w:p w14:paraId="0C79D7E3"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395BE6CC" w14:textId="77777777" w:rsidR="00964865" w:rsidRPr="003A11D8" w:rsidRDefault="00964865" w:rsidP="004E740F">
            <w:pPr>
              <w:pStyle w:val="NoSpacing"/>
              <w:jc w:val="center"/>
              <w:rPr>
                <w:rFonts w:ascii="Times New Roman" w:hAnsi="Times New Roman" w:cs="Times New Roman"/>
                <w:sz w:val="20"/>
                <w:szCs w:val="20"/>
              </w:rPr>
            </w:pPr>
          </w:p>
        </w:tc>
      </w:tr>
      <w:tr w:rsidR="00964865" w:rsidRPr="003A11D8" w14:paraId="3372E076" w14:textId="77777777" w:rsidTr="003829F6">
        <w:tc>
          <w:tcPr>
            <w:tcW w:w="1511" w:type="dxa"/>
          </w:tcPr>
          <w:p w14:paraId="4466A80A" w14:textId="77777777" w:rsidR="00964865" w:rsidRPr="003A11D8" w:rsidRDefault="00964865" w:rsidP="004E740F">
            <w:pPr>
              <w:pStyle w:val="NoSpacing"/>
              <w:jc w:val="center"/>
              <w:rPr>
                <w:rFonts w:ascii="Times New Roman" w:hAnsi="Times New Roman" w:cs="Times New Roman"/>
                <w:sz w:val="20"/>
                <w:szCs w:val="20"/>
              </w:rPr>
            </w:pPr>
          </w:p>
        </w:tc>
        <w:tc>
          <w:tcPr>
            <w:tcW w:w="2268" w:type="dxa"/>
          </w:tcPr>
          <w:p w14:paraId="31496D3D"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Household size&gt;/=3</w:t>
            </w:r>
          </w:p>
        </w:tc>
        <w:tc>
          <w:tcPr>
            <w:tcW w:w="1559" w:type="dxa"/>
          </w:tcPr>
          <w:p w14:paraId="68F07C53"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65%</w:t>
            </w:r>
          </w:p>
        </w:tc>
        <w:tc>
          <w:tcPr>
            <w:tcW w:w="1559" w:type="dxa"/>
          </w:tcPr>
          <w:p w14:paraId="6CDE5AB6"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81%</w:t>
            </w:r>
          </w:p>
        </w:tc>
        <w:tc>
          <w:tcPr>
            <w:tcW w:w="1418" w:type="dxa"/>
          </w:tcPr>
          <w:p w14:paraId="294ADACD"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37B8A67E" w14:textId="1DAD5365" w:rsidR="00964865" w:rsidRPr="003A11D8" w:rsidRDefault="00964865" w:rsidP="004E740F">
            <w:pPr>
              <w:pStyle w:val="NoSpacing"/>
              <w:jc w:val="center"/>
              <w:rPr>
                <w:rFonts w:ascii="Times New Roman" w:hAnsi="Times New Roman" w:cs="Times New Roman"/>
                <w:b/>
                <w:bCs/>
                <w:sz w:val="20"/>
                <w:szCs w:val="20"/>
              </w:rPr>
            </w:pPr>
            <w:r w:rsidRPr="003A11D8">
              <w:rPr>
                <w:rFonts w:ascii="Times New Roman" w:hAnsi="Times New Roman" w:cs="Times New Roman"/>
                <w:b/>
                <w:bCs/>
                <w:sz w:val="20"/>
                <w:szCs w:val="20"/>
              </w:rPr>
              <w:t>P=0.097</w:t>
            </w:r>
          </w:p>
          <w:p w14:paraId="41D7F635" w14:textId="2D7979F8"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95%</w:t>
            </w:r>
            <w:r w:rsidR="00985DD9">
              <w:rPr>
                <w:rFonts w:ascii="Times New Roman" w:hAnsi="Times New Roman" w:cs="Times New Roman"/>
                <w:sz w:val="20"/>
                <w:szCs w:val="20"/>
              </w:rPr>
              <w:t xml:space="preserve"> </w:t>
            </w:r>
            <w:r w:rsidRPr="003A11D8">
              <w:rPr>
                <w:rFonts w:ascii="Times New Roman" w:hAnsi="Times New Roman" w:cs="Times New Roman"/>
                <w:sz w:val="20"/>
                <w:szCs w:val="20"/>
              </w:rPr>
              <w:t>CI (-2.86% to</w:t>
            </w:r>
            <w:r w:rsidR="00985DD9">
              <w:rPr>
                <w:rFonts w:ascii="Times New Roman" w:hAnsi="Times New Roman" w:cs="Times New Roman"/>
                <w:sz w:val="20"/>
                <w:szCs w:val="20"/>
              </w:rPr>
              <w:t xml:space="preserve"> </w:t>
            </w:r>
            <w:r w:rsidRPr="003A11D8">
              <w:rPr>
                <w:rFonts w:ascii="Times New Roman" w:hAnsi="Times New Roman" w:cs="Times New Roman"/>
                <w:sz w:val="20"/>
                <w:szCs w:val="20"/>
              </w:rPr>
              <w:t>33.09%)</w:t>
            </w:r>
          </w:p>
        </w:tc>
      </w:tr>
      <w:tr w:rsidR="00964865" w:rsidRPr="003A11D8" w14:paraId="38A8022B" w14:textId="77777777" w:rsidTr="003829F6">
        <w:tc>
          <w:tcPr>
            <w:tcW w:w="1511" w:type="dxa"/>
          </w:tcPr>
          <w:p w14:paraId="5919EF26" w14:textId="548FF75E" w:rsidR="00964865" w:rsidRPr="006A1574" w:rsidRDefault="00964865" w:rsidP="004E740F">
            <w:pPr>
              <w:pStyle w:val="NoSpacing"/>
              <w:jc w:val="center"/>
              <w:rPr>
                <w:rFonts w:ascii="Times New Roman" w:hAnsi="Times New Roman" w:cs="Times New Roman"/>
                <w:b/>
                <w:bCs/>
                <w:sz w:val="20"/>
                <w:szCs w:val="20"/>
              </w:rPr>
            </w:pPr>
            <w:r w:rsidRPr="006A1574">
              <w:rPr>
                <w:rFonts w:ascii="Times New Roman" w:hAnsi="Times New Roman" w:cs="Times New Roman"/>
                <w:b/>
                <w:bCs/>
                <w:sz w:val="20"/>
                <w:szCs w:val="20"/>
              </w:rPr>
              <w:t>Knowledge</w:t>
            </w:r>
          </w:p>
        </w:tc>
        <w:tc>
          <w:tcPr>
            <w:tcW w:w="2268" w:type="dxa"/>
          </w:tcPr>
          <w:p w14:paraId="52F86E4E"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Definition:</w:t>
            </w:r>
          </w:p>
          <w:p w14:paraId="1FAC7696"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1.Actual</w:t>
            </w:r>
          </w:p>
          <w:p w14:paraId="364E2093"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lastRenderedPageBreak/>
              <w:t>2.Symptom-related</w:t>
            </w:r>
          </w:p>
        </w:tc>
        <w:tc>
          <w:tcPr>
            <w:tcW w:w="1559" w:type="dxa"/>
          </w:tcPr>
          <w:p w14:paraId="6E447733"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lastRenderedPageBreak/>
              <w:t>85%</w:t>
            </w:r>
          </w:p>
          <w:p w14:paraId="539DCA86"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13%</w:t>
            </w:r>
          </w:p>
          <w:p w14:paraId="676F5F34"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lastRenderedPageBreak/>
              <w:t>72%</w:t>
            </w:r>
          </w:p>
        </w:tc>
        <w:tc>
          <w:tcPr>
            <w:tcW w:w="1559" w:type="dxa"/>
          </w:tcPr>
          <w:p w14:paraId="36A436A4"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lastRenderedPageBreak/>
              <w:t>79%</w:t>
            </w:r>
          </w:p>
          <w:p w14:paraId="54D108DE"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43%</w:t>
            </w:r>
          </w:p>
          <w:p w14:paraId="724E1DF0"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lastRenderedPageBreak/>
              <w:t>26%</w:t>
            </w:r>
          </w:p>
        </w:tc>
        <w:tc>
          <w:tcPr>
            <w:tcW w:w="1418" w:type="dxa"/>
          </w:tcPr>
          <w:p w14:paraId="39DF729B"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4C3C65DF" w14:textId="3211B57B"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P=0.486</w:t>
            </w:r>
          </w:p>
          <w:p w14:paraId="441CF361" w14:textId="6C6BEB79" w:rsidR="00964865" w:rsidRPr="003A11D8" w:rsidRDefault="00964865" w:rsidP="004E740F">
            <w:pPr>
              <w:pStyle w:val="NoSpacing"/>
              <w:jc w:val="center"/>
              <w:rPr>
                <w:rFonts w:ascii="Times New Roman" w:hAnsi="Times New Roman" w:cs="Times New Roman"/>
                <w:b/>
                <w:bCs/>
                <w:sz w:val="20"/>
                <w:szCs w:val="20"/>
              </w:rPr>
            </w:pPr>
            <w:r w:rsidRPr="003A11D8">
              <w:rPr>
                <w:rFonts w:ascii="Times New Roman" w:hAnsi="Times New Roman" w:cs="Times New Roman"/>
                <w:b/>
                <w:bCs/>
                <w:sz w:val="20"/>
                <w:szCs w:val="20"/>
              </w:rPr>
              <w:t>P=0.001</w:t>
            </w:r>
          </w:p>
          <w:p w14:paraId="25B1A223" w14:textId="03357F3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b/>
                <w:bCs/>
                <w:sz w:val="20"/>
                <w:szCs w:val="20"/>
              </w:rPr>
              <w:lastRenderedPageBreak/>
              <w:t>P=0.0001</w:t>
            </w:r>
          </w:p>
        </w:tc>
      </w:tr>
      <w:tr w:rsidR="00964865" w:rsidRPr="003A11D8" w14:paraId="4A24ABFC" w14:textId="77777777" w:rsidTr="003829F6">
        <w:tc>
          <w:tcPr>
            <w:tcW w:w="1511" w:type="dxa"/>
          </w:tcPr>
          <w:p w14:paraId="23BD7026" w14:textId="365E1701" w:rsidR="00964865" w:rsidRPr="006A1574" w:rsidRDefault="00964865" w:rsidP="004E740F">
            <w:pPr>
              <w:pStyle w:val="NoSpacing"/>
              <w:jc w:val="center"/>
              <w:rPr>
                <w:rFonts w:ascii="Times New Roman" w:hAnsi="Times New Roman" w:cs="Times New Roman"/>
                <w:b/>
                <w:bCs/>
                <w:sz w:val="20"/>
                <w:szCs w:val="20"/>
              </w:rPr>
            </w:pPr>
            <w:r w:rsidRPr="006A1574">
              <w:rPr>
                <w:rFonts w:ascii="Times New Roman" w:hAnsi="Times New Roman" w:cs="Times New Roman"/>
                <w:b/>
                <w:bCs/>
                <w:sz w:val="20"/>
                <w:szCs w:val="20"/>
              </w:rPr>
              <w:lastRenderedPageBreak/>
              <w:t>Cultural practice</w:t>
            </w:r>
          </w:p>
          <w:p w14:paraId="2067F880" w14:textId="52A559C8" w:rsidR="00964865" w:rsidRPr="003A11D8" w:rsidRDefault="00964865" w:rsidP="004E740F">
            <w:pPr>
              <w:pStyle w:val="NoSpacing"/>
              <w:jc w:val="center"/>
              <w:rPr>
                <w:rFonts w:ascii="Times New Roman" w:hAnsi="Times New Roman" w:cs="Times New Roman"/>
                <w:sz w:val="20"/>
                <w:szCs w:val="20"/>
              </w:rPr>
            </w:pPr>
            <w:r w:rsidRPr="006A1574">
              <w:rPr>
                <w:rFonts w:ascii="Times New Roman" w:hAnsi="Times New Roman" w:cs="Times New Roman"/>
                <w:b/>
                <w:bCs/>
                <w:sz w:val="20"/>
                <w:szCs w:val="20"/>
              </w:rPr>
              <w:t>Awareness</w:t>
            </w:r>
          </w:p>
        </w:tc>
        <w:tc>
          <w:tcPr>
            <w:tcW w:w="2268" w:type="dxa"/>
          </w:tcPr>
          <w:p w14:paraId="4FB507E9"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Cultural practice awareness % (</w:t>
            </w:r>
            <w:proofErr w:type="spellStart"/>
            <w:r w:rsidRPr="003A11D8">
              <w:rPr>
                <w:rFonts w:ascii="Times New Roman" w:hAnsi="Times New Roman" w:cs="Times New Roman"/>
                <w:sz w:val="20"/>
                <w:szCs w:val="20"/>
              </w:rPr>
              <w:t>nos</w:t>
            </w:r>
            <w:proofErr w:type="spellEnd"/>
            <w:r w:rsidRPr="003A11D8">
              <w:rPr>
                <w:rFonts w:ascii="Times New Roman" w:hAnsi="Times New Roman" w:cs="Times New Roman"/>
                <w:sz w:val="20"/>
                <w:szCs w:val="20"/>
              </w:rPr>
              <w:t>)</w:t>
            </w:r>
          </w:p>
          <w:p w14:paraId="01FCB9DF" w14:textId="77777777" w:rsidR="004E740F" w:rsidRDefault="004E740F" w:rsidP="004E740F">
            <w:pPr>
              <w:pStyle w:val="NoSpacing"/>
              <w:jc w:val="center"/>
              <w:rPr>
                <w:rFonts w:ascii="Times New Roman" w:hAnsi="Times New Roman" w:cs="Times New Roman"/>
                <w:sz w:val="20"/>
                <w:szCs w:val="20"/>
              </w:rPr>
            </w:pPr>
          </w:p>
          <w:p w14:paraId="6EFD656F" w14:textId="6392636A"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Diet</w:t>
            </w:r>
          </w:p>
          <w:p w14:paraId="0A2953D4"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Herbs</w:t>
            </w:r>
          </w:p>
          <w:p w14:paraId="6E81B345"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Exercise</w:t>
            </w:r>
          </w:p>
          <w:p w14:paraId="00C7544F"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Weight gain</w:t>
            </w:r>
          </w:p>
        </w:tc>
        <w:tc>
          <w:tcPr>
            <w:tcW w:w="1559" w:type="dxa"/>
          </w:tcPr>
          <w:p w14:paraId="79FA0016" w14:textId="219F46C9"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21.7</w:t>
            </w:r>
            <w:r w:rsidR="006A1574">
              <w:rPr>
                <w:rFonts w:ascii="Times New Roman" w:hAnsi="Times New Roman" w:cs="Times New Roman"/>
                <w:sz w:val="20"/>
                <w:szCs w:val="20"/>
              </w:rPr>
              <w:t>0</w:t>
            </w:r>
            <w:r w:rsidRPr="003A11D8">
              <w:rPr>
                <w:rFonts w:ascii="Times New Roman" w:hAnsi="Times New Roman" w:cs="Times New Roman"/>
                <w:sz w:val="20"/>
                <w:szCs w:val="20"/>
              </w:rPr>
              <w:t>% (</w:t>
            </w:r>
            <w:r>
              <w:rPr>
                <w:rFonts w:ascii="Times New Roman" w:hAnsi="Times New Roman" w:cs="Times New Roman"/>
                <w:sz w:val="20"/>
                <w:szCs w:val="20"/>
              </w:rPr>
              <w:t>n=</w:t>
            </w:r>
            <w:r w:rsidRPr="003A11D8">
              <w:rPr>
                <w:rFonts w:ascii="Times New Roman" w:hAnsi="Times New Roman" w:cs="Times New Roman"/>
                <w:sz w:val="20"/>
                <w:szCs w:val="20"/>
              </w:rPr>
              <w:t>10)</w:t>
            </w:r>
          </w:p>
          <w:p w14:paraId="06E23E56" w14:textId="77777777" w:rsidR="00964865" w:rsidRPr="003A11D8" w:rsidRDefault="00964865" w:rsidP="004E740F">
            <w:pPr>
              <w:pStyle w:val="NoSpacing"/>
              <w:jc w:val="center"/>
              <w:rPr>
                <w:rFonts w:ascii="Times New Roman" w:hAnsi="Times New Roman" w:cs="Times New Roman"/>
                <w:sz w:val="20"/>
                <w:szCs w:val="20"/>
              </w:rPr>
            </w:pPr>
          </w:p>
          <w:p w14:paraId="6CD8BF31" w14:textId="77777777" w:rsidR="003829F6" w:rsidRDefault="003829F6" w:rsidP="004E740F">
            <w:pPr>
              <w:pStyle w:val="NoSpacing"/>
              <w:jc w:val="center"/>
              <w:rPr>
                <w:rFonts w:ascii="Times New Roman" w:hAnsi="Times New Roman" w:cs="Times New Roman"/>
                <w:sz w:val="20"/>
                <w:szCs w:val="20"/>
              </w:rPr>
            </w:pPr>
          </w:p>
          <w:p w14:paraId="307E2F4D" w14:textId="79E54D70"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60%</w:t>
            </w:r>
          </w:p>
          <w:p w14:paraId="73E97071"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40%</w:t>
            </w:r>
          </w:p>
          <w:p w14:paraId="5D8B863A"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10%</w:t>
            </w:r>
          </w:p>
          <w:p w14:paraId="4CA93D8E"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10%</w:t>
            </w:r>
          </w:p>
        </w:tc>
        <w:tc>
          <w:tcPr>
            <w:tcW w:w="1559" w:type="dxa"/>
          </w:tcPr>
          <w:p w14:paraId="1F8732E9" w14:textId="77777777" w:rsidR="004E740F"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12.2</w:t>
            </w:r>
            <w:r w:rsidR="006A1574">
              <w:rPr>
                <w:rFonts w:ascii="Times New Roman" w:hAnsi="Times New Roman" w:cs="Times New Roman"/>
                <w:sz w:val="20"/>
                <w:szCs w:val="20"/>
              </w:rPr>
              <w:t>0</w:t>
            </w:r>
            <w:r w:rsidRPr="003A11D8">
              <w:rPr>
                <w:rFonts w:ascii="Times New Roman" w:hAnsi="Times New Roman" w:cs="Times New Roman"/>
                <w:sz w:val="20"/>
                <w:szCs w:val="20"/>
              </w:rPr>
              <w:t xml:space="preserve">% </w:t>
            </w:r>
          </w:p>
          <w:p w14:paraId="13AB4C4D" w14:textId="69849CFB"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w:t>
            </w:r>
            <w:r>
              <w:rPr>
                <w:rFonts w:ascii="Times New Roman" w:hAnsi="Times New Roman" w:cs="Times New Roman"/>
                <w:sz w:val="20"/>
                <w:szCs w:val="20"/>
              </w:rPr>
              <w:t>n=</w:t>
            </w:r>
            <w:r w:rsidRPr="003A11D8">
              <w:rPr>
                <w:rFonts w:ascii="Times New Roman" w:hAnsi="Times New Roman" w:cs="Times New Roman"/>
                <w:sz w:val="20"/>
                <w:szCs w:val="20"/>
              </w:rPr>
              <w:t>5)</w:t>
            </w:r>
          </w:p>
          <w:p w14:paraId="2D9AE60A" w14:textId="77777777" w:rsidR="00964865" w:rsidRPr="003A11D8" w:rsidRDefault="00964865" w:rsidP="004E740F">
            <w:pPr>
              <w:pStyle w:val="NoSpacing"/>
              <w:jc w:val="center"/>
              <w:rPr>
                <w:rFonts w:ascii="Times New Roman" w:hAnsi="Times New Roman" w:cs="Times New Roman"/>
                <w:sz w:val="20"/>
                <w:szCs w:val="20"/>
              </w:rPr>
            </w:pPr>
          </w:p>
          <w:p w14:paraId="2A77CCB9" w14:textId="522B9E3B" w:rsidR="00964865" w:rsidRPr="003A11D8" w:rsidRDefault="004E740F" w:rsidP="004E740F">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29F6">
              <w:rPr>
                <w:rFonts w:ascii="Times New Roman" w:hAnsi="Times New Roman" w:cs="Times New Roman"/>
                <w:sz w:val="20"/>
                <w:szCs w:val="20"/>
              </w:rPr>
              <w:t xml:space="preserve"> </w:t>
            </w:r>
            <w:r w:rsidR="00964865" w:rsidRPr="003A11D8">
              <w:rPr>
                <w:rFonts w:ascii="Times New Roman" w:hAnsi="Times New Roman" w:cs="Times New Roman"/>
                <w:sz w:val="20"/>
                <w:szCs w:val="20"/>
              </w:rPr>
              <w:t>60%</w:t>
            </w:r>
          </w:p>
          <w:p w14:paraId="50F5ACCC"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40%</w:t>
            </w:r>
          </w:p>
          <w:p w14:paraId="7BF2F4E8"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w:t>
            </w:r>
          </w:p>
          <w:p w14:paraId="32AA7094"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w:t>
            </w:r>
          </w:p>
        </w:tc>
        <w:tc>
          <w:tcPr>
            <w:tcW w:w="1418" w:type="dxa"/>
          </w:tcPr>
          <w:p w14:paraId="4FADA0D3"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52FFAE4B" w14:textId="2C722506"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P=0.244</w:t>
            </w:r>
          </w:p>
        </w:tc>
      </w:tr>
      <w:tr w:rsidR="00964865" w:rsidRPr="003A11D8" w14:paraId="30798D02" w14:textId="77777777" w:rsidTr="003829F6">
        <w:tc>
          <w:tcPr>
            <w:tcW w:w="1511" w:type="dxa"/>
          </w:tcPr>
          <w:p w14:paraId="7BE6D110" w14:textId="77777777" w:rsidR="00964865" w:rsidRPr="006A1574" w:rsidRDefault="00964865" w:rsidP="004E740F">
            <w:pPr>
              <w:pStyle w:val="NoSpacing"/>
              <w:jc w:val="center"/>
              <w:rPr>
                <w:rFonts w:ascii="Times New Roman" w:hAnsi="Times New Roman" w:cs="Times New Roman"/>
                <w:b/>
                <w:bCs/>
                <w:sz w:val="20"/>
                <w:szCs w:val="20"/>
              </w:rPr>
            </w:pPr>
            <w:r w:rsidRPr="006A1574">
              <w:rPr>
                <w:rFonts w:ascii="Times New Roman" w:hAnsi="Times New Roman" w:cs="Times New Roman"/>
                <w:b/>
                <w:bCs/>
                <w:sz w:val="20"/>
                <w:szCs w:val="20"/>
              </w:rPr>
              <w:t>Symptoms</w:t>
            </w:r>
          </w:p>
        </w:tc>
        <w:tc>
          <w:tcPr>
            <w:tcW w:w="2268" w:type="dxa"/>
          </w:tcPr>
          <w:p w14:paraId="582770F1"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Symptom prevalence</w:t>
            </w:r>
          </w:p>
          <w:p w14:paraId="60EF4FF1" w14:textId="3E4BAC32" w:rsidR="00964865" w:rsidRPr="003A11D8" w:rsidRDefault="00964865" w:rsidP="004E740F">
            <w:pPr>
              <w:pStyle w:val="NoSpacing"/>
              <w:jc w:val="center"/>
              <w:rPr>
                <w:rFonts w:ascii="Times New Roman" w:hAnsi="Times New Roman" w:cs="Times New Roman"/>
                <w:sz w:val="18"/>
                <w:szCs w:val="18"/>
              </w:rPr>
            </w:pPr>
            <w:r w:rsidRPr="003A11D8">
              <w:rPr>
                <w:rFonts w:ascii="Times New Roman" w:hAnsi="Times New Roman" w:cs="Times New Roman"/>
                <w:sz w:val="18"/>
                <w:szCs w:val="18"/>
              </w:rPr>
              <w:t>(2ry survey)</w:t>
            </w:r>
          </w:p>
        </w:tc>
        <w:tc>
          <w:tcPr>
            <w:tcW w:w="1559" w:type="dxa"/>
          </w:tcPr>
          <w:p w14:paraId="57DAB793" w14:textId="43EEFEC4"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93.5</w:t>
            </w:r>
            <w:r w:rsidR="004E740F">
              <w:rPr>
                <w:rFonts w:ascii="Times New Roman" w:hAnsi="Times New Roman" w:cs="Times New Roman"/>
                <w:sz w:val="20"/>
                <w:szCs w:val="20"/>
              </w:rPr>
              <w:t>0</w:t>
            </w:r>
            <w:r w:rsidRPr="003A11D8">
              <w:rPr>
                <w:rFonts w:ascii="Times New Roman" w:hAnsi="Times New Roman" w:cs="Times New Roman"/>
                <w:sz w:val="20"/>
                <w:szCs w:val="20"/>
              </w:rPr>
              <w:t>%</w:t>
            </w:r>
            <w:r>
              <w:rPr>
                <w:rFonts w:ascii="Times New Roman" w:hAnsi="Times New Roman" w:cs="Times New Roman"/>
                <w:sz w:val="20"/>
                <w:szCs w:val="20"/>
              </w:rPr>
              <w:t xml:space="preserve"> (n=43)</w:t>
            </w:r>
          </w:p>
        </w:tc>
        <w:tc>
          <w:tcPr>
            <w:tcW w:w="1559" w:type="dxa"/>
          </w:tcPr>
          <w:p w14:paraId="7CC1793C" w14:textId="42B08E0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92.7</w:t>
            </w:r>
            <w:r w:rsidR="004E740F">
              <w:rPr>
                <w:rFonts w:ascii="Times New Roman" w:hAnsi="Times New Roman" w:cs="Times New Roman"/>
                <w:sz w:val="20"/>
                <w:szCs w:val="20"/>
              </w:rPr>
              <w:t>0</w:t>
            </w:r>
            <w:r w:rsidRPr="003A11D8">
              <w:rPr>
                <w:rFonts w:ascii="Times New Roman" w:hAnsi="Times New Roman" w:cs="Times New Roman"/>
                <w:sz w:val="20"/>
                <w:szCs w:val="20"/>
              </w:rPr>
              <w:t>%</w:t>
            </w:r>
            <w:r>
              <w:rPr>
                <w:rFonts w:ascii="Times New Roman" w:hAnsi="Times New Roman" w:cs="Times New Roman"/>
                <w:sz w:val="20"/>
                <w:szCs w:val="20"/>
              </w:rPr>
              <w:t xml:space="preserve"> (n=38)</w:t>
            </w:r>
          </w:p>
        </w:tc>
        <w:tc>
          <w:tcPr>
            <w:tcW w:w="1418" w:type="dxa"/>
          </w:tcPr>
          <w:p w14:paraId="2554F626"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4773D351" w14:textId="77777777" w:rsidR="00964865" w:rsidRPr="003A11D8" w:rsidRDefault="00964865" w:rsidP="004E740F">
            <w:pPr>
              <w:pStyle w:val="NoSpacing"/>
              <w:jc w:val="center"/>
              <w:rPr>
                <w:rFonts w:ascii="Times New Roman" w:hAnsi="Times New Roman" w:cs="Times New Roman"/>
                <w:sz w:val="20"/>
                <w:szCs w:val="20"/>
              </w:rPr>
            </w:pPr>
          </w:p>
        </w:tc>
      </w:tr>
      <w:tr w:rsidR="00964865" w:rsidRPr="003A11D8" w14:paraId="4E5FFF0F" w14:textId="77777777" w:rsidTr="003829F6">
        <w:tc>
          <w:tcPr>
            <w:tcW w:w="1511" w:type="dxa"/>
          </w:tcPr>
          <w:p w14:paraId="42235766" w14:textId="77777777" w:rsidR="00964865" w:rsidRPr="003A11D8" w:rsidRDefault="00964865" w:rsidP="004E740F">
            <w:pPr>
              <w:pStyle w:val="NoSpacing"/>
              <w:jc w:val="center"/>
              <w:rPr>
                <w:rFonts w:ascii="Times New Roman" w:hAnsi="Times New Roman" w:cs="Times New Roman"/>
                <w:sz w:val="20"/>
                <w:szCs w:val="20"/>
              </w:rPr>
            </w:pPr>
          </w:p>
        </w:tc>
        <w:tc>
          <w:tcPr>
            <w:tcW w:w="2268" w:type="dxa"/>
          </w:tcPr>
          <w:p w14:paraId="60DCBD71"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Initial symptom report</w:t>
            </w:r>
          </w:p>
        </w:tc>
        <w:tc>
          <w:tcPr>
            <w:tcW w:w="1559" w:type="dxa"/>
          </w:tcPr>
          <w:p w14:paraId="0F5C8CA4"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34</w:t>
            </w:r>
          </w:p>
        </w:tc>
        <w:tc>
          <w:tcPr>
            <w:tcW w:w="1559" w:type="dxa"/>
          </w:tcPr>
          <w:p w14:paraId="6C8C3B54"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22</w:t>
            </w:r>
          </w:p>
        </w:tc>
        <w:tc>
          <w:tcPr>
            <w:tcW w:w="1418" w:type="dxa"/>
          </w:tcPr>
          <w:p w14:paraId="5ACCF7DB"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044D6D98" w14:textId="7819E263"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31 initially reported no symptoms</w:t>
            </w:r>
            <w:r w:rsidRPr="003A11D8">
              <w:rPr>
                <w:rFonts w:ascii="Times New Roman" w:hAnsi="Times New Roman" w:cs="Times New Roman"/>
              </w:rPr>
              <w:t xml:space="preserve"> </w:t>
            </w:r>
            <w:r w:rsidRPr="003A11D8">
              <w:rPr>
                <w:rFonts w:ascii="Times New Roman" w:hAnsi="Times New Roman" w:cs="Times New Roman"/>
                <w:sz w:val="20"/>
                <w:szCs w:val="20"/>
              </w:rPr>
              <w:t>HIC:12 LMIC:19</w:t>
            </w:r>
          </w:p>
        </w:tc>
      </w:tr>
      <w:tr w:rsidR="00964865" w:rsidRPr="003A11D8" w14:paraId="3BF7AB4B" w14:textId="77777777" w:rsidTr="003829F6">
        <w:tc>
          <w:tcPr>
            <w:tcW w:w="1511" w:type="dxa"/>
          </w:tcPr>
          <w:p w14:paraId="53C8B565"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Reporting discordance</w:t>
            </w:r>
          </w:p>
        </w:tc>
        <w:tc>
          <w:tcPr>
            <w:tcW w:w="2268" w:type="dxa"/>
          </w:tcPr>
          <w:p w14:paraId="0BBA34E6"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symptom reporting discordance</w:t>
            </w:r>
          </w:p>
          <w:p w14:paraId="55E3C074" w14:textId="1E2718BE"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deficit</w:t>
            </w:r>
          </w:p>
        </w:tc>
        <w:tc>
          <w:tcPr>
            <w:tcW w:w="1559" w:type="dxa"/>
          </w:tcPr>
          <w:p w14:paraId="1D5AF709"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43 vs 34</w:t>
            </w:r>
          </w:p>
          <w:p w14:paraId="45C3E664" w14:textId="77777777" w:rsidR="00964865" w:rsidRPr="003A11D8" w:rsidRDefault="00964865" w:rsidP="004E740F">
            <w:pPr>
              <w:pStyle w:val="NoSpacing"/>
              <w:jc w:val="center"/>
              <w:rPr>
                <w:rFonts w:ascii="Times New Roman" w:hAnsi="Times New Roman" w:cs="Times New Roman"/>
                <w:sz w:val="20"/>
                <w:szCs w:val="20"/>
              </w:rPr>
            </w:pPr>
          </w:p>
          <w:p w14:paraId="06FB54B1"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26.1%</w:t>
            </w:r>
          </w:p>
          <w:p w14:paraId="076A672B" w14:textId="377223CE"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19.5%</w:t>
            </w:r>
            <w:r w:rsidR="003829F6">
              <w:rPr>
                <w:rFonts w:ascii="Times New Roman" w:hAnsi="Times New Roman" w:cs="Times New Roman"/>
                <w:sz w:val="20"/>
                <w:szCs w:val="20"/>
              </w:rPr>
              <w:t xml:space="preserve"> (n=9)</w:t>
            </w:r>
          </w:p>
        </w:tc>
        <w:tc>
          <w:tcPr>
            <w:tcW w:w="1559" w:type="dxa"/>
          </w:tcPr>
          <w:p w14:paraId="1804921F"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38 vs 22</w:t>
            </w:r>
          </w:p>
          <w:p w14:paraId="02667D44" w14:textId="77777777" w:rsidR="00964865" w:rsidRPr="003A11D8" w:rsidRDefault="00964865" w:rsidP="004E740F">
            <w:pPr>
              <w:pStyle w:val="NoSpacing"/>
              <w:jc w:val="center"/>
              <w:rPr>
                <w:rFonts w:ascii="Times New Roman" w:hAnsi="Times New Roman" w:cs="Times New Roman"/>
                <w:sz w:val="20"/>
                <w:szCs w:val="20"/>
              </w:rPr>
            </w:pPr>
          </w:p>
          <w:p w14:paraId="39C37674"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46.3%</w:t>
            </w:r>
          </w:p>
          <w:p w14:paraId="30E0508D" w14:textId="53264C42"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39.02%</w:t>
            </w:r>
            <w:r w:rsidR="003829F6">
              <w:rPr>
                <w:rFonts w:ascii="Times New Roman" w:hAnsi="Times New Roman" w:cs="Times New Roman"/>
                <w:sz w:val="20"/>
                <w:szCs w:val="20"/>
              </w:rPr>
              <w:t xml:space="preserve"> (n=16)</w:t>
            </w:r>
          </w:p>
        </w:tc>
        <w:tc>
          <w:tcPr>
            <w:tcW w:w="1418" w:type="dxa"/>
          </w:tcPr>
          <w:p w14:paraId="287F0991"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73082E95" w14:textId="6E6218C5" w:rsidR="003829F6" w:rsidRDefault="00964865" w:rsidP="003829F6">
            <w:pPr>
              <w:pStyle w:val="NoSpacing"/>
              <w:jc w:val="center"/>
              <w:rPr>
                <w:rFonts w:ascii="Times New Roman" w:hAnsi="Times New Roman" w:cs="Times New Roman"/>
                <w:b/>
                <w:bCs/>
                <w:sz w:val="20"/>
                <w:szCs w:val="20"/>
              </w:rPr>
            </w:pPr>
            <w:r w:rsidRPr="003A11D8">
              <w:rPr>
                <w:rFonts w:ascii="Times New Roman" w:hAnsi="Times New Roman" w:cs="Times New Roman"/>
                <w:b/>
                <w:bCs/>
                <w:sz w:val="20"/>
                <w:szCs w:val="20"/>
              </w:rPr>
              <w:t>P=0.045</w:t>
            </w:r>
          </w:p>
          <w:p w14:paraId="2C9ED013" w14:textId="2835CD4F" w:rsidR="00964865" w:rsidRPr="003A11D8" w:rsidRDefault="00964865" w:rsidP="004E740F">
            <w:pPr>
              <w:pStyle w:val="NoSpacing"/>
              <w:jc w:val="center"/>
              <w:rPr>
                <w:rFonts w:ascii="Times New Roman" w:hAnsi="Times New Roman" w:cs="Times New Roman"/>
                <w:b/>
                <w:bCs/>
                <w:sz w:val="20"/>
                <w:szCs w:val="20"/>
              </w:rPr>
            </w:pPr>
            <w:r w:rsidRPr="003A11D8">
              <w:rPr>
                <w:rFonts w:ascii="Times New Roman" w:hAnsi="Times New Roman" w:cs="Times New Roman"/>
                <w:b/>
                <w:bCs/>
                <w:sz w:val="20"/>
                <w:szCs w:val="20"/>
              </w:rPr>
              <w:t>95%</w:t>
            </w:r>
            <w:r w:rsidR="00985DD9">
              <w:rPr>
                <w:rFonts w:ascii="Times New Roman" w:hAnsi="Times New Roman" w:cs="Times New Roman"/>
                <w:b/>
                <w:bCs/>
                <w:sz w:val="20"/>
                <w:szCs w:val="20"/>
              </w:rPr>
              <w:t xml:space="preserve"> </w:t>
            </w:r>
            <w:r w:rsidRPr="003A11D8">
              <w:rPr>
                <w:rFonts w:ascii="Times New Roman" w:hAnsi="Times New Roman" w:cs="Times New Roman"/>
                <w:b/>
                <w:bCs/>
                <w:sz w:val="20"/>
                <w:szCs w:val="20"/>
              </w:rPr>
              <w:t>CI</w:t>
            </w:r>
            <w:r w:rsidR="00985DD9">
              <w:rPr>
                <w:rFonts w:ascii="Times New Roman" w:hAnsi="Times New Roman" w:cs="Times New Roman"/>
                <w:b/>
                <w:bCs/>
                <w:sz w:val="20"/>
                <w:szCs w:val="20"/>
              </w:rPr>
              <w:t xml:space="preserve"> </w:t>
            </w:r>
            <w:r w:rsidRPr="003A11D8">
              <w:rPr>
                <w:rFonts w:ascii="Times New Roman" w:hAnsi="Times New Roman" w:cs="Times New Roman"/>
                <w:b/>
                <w:bCs/>
                <w:sz w:val="20"/>
                <w:szCs w:val="20"/>
              </w:rPr>
              <w:t>(0.45</w:t>
            </w:r>
            <w:r w:rsidR="003829F6">
              <w:rPr>
                <w:rFonts w:ascii="Times New Roman" w:hAnsi="Times New Roman" w:cs="Times New Roman"/>
                <w:b/>
                <w:bCs/>
                <w:sz w:val="20"/>
                <w:szCs w:val="20"/>
              </w:rPr>
              <w:t xml:space="preserve"> </w:t>
            </w:r>
            <w:r w:rsidR="00DD306A">
              <w:rPr>
                <w:rFonts w:ascii="Times New Roman" w:hAnsi="Times New Roman" w:cs="Times New Roman"/>
                <w:b/>
                <w:bCs/>
                <w:sz w:val="20"/>
                <w:szCs w:val="20"/>
              </w:rPr>
              <w:t>-</w:t>
            </w:r>
            <w:r w:rsidR="003829F6">
              <w:rPr>
                <w:rFonts w:ascii="Times New Roman" w:hAnsi="Times New Roman" w:cs="Times New Roman"/>
                <w:b/>
                <w:bCs/>
                <w:sz w:val="20"/>
                <w:szCs w:val="20"/>
              </w:rPr>
              <w:t xml:space="preserve"> </w:t>
            </w:r>
            <w:r w:rsidRPr="003A11D8">
              <w:rPr>
                <w:rFonts w:ascii="Times New Roman" w:hAnsi="Times New Roman" w:cs="Times New Roman"/>
                <w:b/>
                <w:bCs/>
                <w:sz w:val="20"/>
                <w:szCs w:val="20"/>
              </w:rPr>
              <w:t>37.18)</w:t>
            </w:r>
          </w:p>
        </w:tc>
      </w:tr>
      <w:tr w:rsidR="00964865" w:rsidRPr="003A11D8" w14:paraId="2D7FCA7C" w14:textId="77777777" w:rsidTr="003829F6">
        <w:tc>
          <w:tcPr>
            <w:tcW w:w="1511" w:type="dxa"/>
          </w:tcPr>
          <w:p w14:paraId="277321A2" w14:textId="77777777" w:rsidR="00964865" w:rsidRPr="003A11D8" w:rsidRDefault="00964865" w:rsidP="004E740F">
            <w:pPr>
              <w:pStyle w:val="NoSpacing"/>
              <w:jc w:val="center"/>
              <w:rPr>
                <w:rFonts w:ascii="Times New Roman" w:hAnsi="Times New Roman" w:cs="Times New Roman"/>
                <w:sz w:val="20"/>
                <w:szCs w:val="20"/>
              </w:rPr>
            </w:pPr>
          </w:p>
        </w:tc>
        <w:tc>
          <w:tcPr>
            <w:tcW w:w="2268" w:type="dxa"/>
          </w:tcPr>
          <w:p w14:paraId="06DDFEF9"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Symptom severity</w:t>
            </w:r>
          </w:p>
          <w:p w14:paraId="349B12FA" w14:textId="140EE335" w:rsidR="00964865" w:rsidRDefault="00964865" w:rsidP="004E740F">
            <w:pPr>
              <w:pStyle w:val="NoSpacing"/>
              <w:jc w:val="center"/>
              <w:rPr>
                <w:rFonts w:ascii="Times New Roman" w:hAnsi="Times New Roman" w:cs="Times New Roman"/>
                <w:sz w:val="18"/>
                <w:szCs w:val="18"/>
              </w:rPr>
            </w:pPr>
            <w:r w:rsidRPr="003A11D8">
              <w:rPr>
                <w:rFonts w:ascii="Times New Roman" w:hAnsi="Times New Roman" w:cs="Times New Roman"/>
                <w:sz w:val="18"/>
                <w:szCs w:val="18"/>
              </w:rPr>
              <w:t>(QOL impact) &gt; 3</w:t>
            </w:r>
          </w:p>
          <w:p w14:paraId="0D8B5600" w14:textId="1FA74D38" w:rsidR="00964865" w:rsidRDefault="00964865" w:rsidP="004E740F">
            <w:pPr>
              <w:pStyle w:val="NoSpacing"/>
              <w:jc w:val="center"/>
              <w:rPr>
                <w:rFonts w:ascii="Times New Roman" w:hAnsi="Times New Roman" w:cs="Times New Roman"/>
                <w:sz w:val="18"/>
                <w:szCs w:val="18"/>
              </w:rPr>
            </w:pPr>
            <w:r w:rsidRPr="003A11D8">
              <w:rPr>
                <w:rFonts w:ascii="Times New Roman" w:hAnsi="Times New Roman" w:cs="Times New Roman"/>
                <w:sz w:val="18"/>
                <w:szCs w:val="18"/>
              </w:rPr>
              <w:t>%</w:t>
            </w:r>
            <w:r>
              <w:rPr>
                <w:rFonts w:ascii="Times New Roman" w:hAnsi="Times New Roman" w:cs="Times New Roman"/>
                <w:sz w:val="18"/>
                <w:szCs w:val="18"/>
              </w:rPr>
              <w:t xml:space="preserve"> (no)</w:t>
            </w:r>
          </w:p>
          <w:p w14:paraId="356EF2AD" w14:textId="2BA8B1A9" w:rsidR="00964865" w:rsidRPr="003A11D8" w:rsidRDefault="00964865" w:rsidP="004E740F">
            <w:pPr>
              <w:pStyle w:val="NoSpacing"/>
              <w:jc w:val="center"/>
              <w:rPr>
                <w:rFonts w:ascii="Times New Roman" w:hAnsi="Times New Roman" w:cs="Times New Roman"/>
                <w:sz w:val="20"/>
                <w:szCs w:val="20"/>
              </w:rPr>
            </w:pPr>
          </w:p>
        </w:tc>
        <w:tc>
          <w:tcPr>
            <w:tcW w:w="1559" w:type="dxa"/>
          </w:tcPr>
          <w:p w14:paraId="0252464E" w14:textId="450C9523"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17.4%</w:t>
            </w:r>
            <w:r>
              <w:rPr>
                <w:rFonts w:ascii="Times New Roman" w:hAnsi="Times New Roman" w:cs="Times New Roman"/>
                <w:sz w:val="20"/>
                <w:szCs w:val="20"/>
              </w:rPr>
              <w:t xml:space="preserve"> (n=8)</w:t>
            </w:r>
          </w:p>
          <w:p w14:paraId="295FDF13" w14:textId="77777777" w:rsidR="00964865" w:rsidRPr="003A11D8" w:rsidRDefault="00964865" w:rsidP="004E740F">
            <w:pPr>
              <w:pStyle w:val="NoSpacing"/>
              <w:jc w:val="center"/>
              <w:rPr>
                <w:rFonts w:ascii="Times New Roman" w:hAnsi="Times New Roman" w:cs="Times New Roman"/>
                <w:sz w:val="20"/>
                <w:szCs w:val="20"/>
              </w:rPr>
            </w:pPr>
          </w:p>
          <w:p w14:paraId="5DFDB358" w14:textId="440E125E" w:rsidR="00964865" w:rsidRPr="003A11D8" w:rsidRDefault="00964865" w:rsidP="004E740F">
            <w:pPr>
              <w:pStyle w:val="NoSpacing"/>
              <w:jc w:val="center"/>
              <w:rPr>
                <w:rFonts w:ascii="Times New Roman" w:hAnsi="Times New Roman" w:cs="Times New Roman"/>
                <w:sz w:val="20"/>
                <w:szCs w:val="20"/>
              </w:rPr>
            </w:pPr>
          </w:p>
        </w:tc>
        <w:tc>
          <w:tcPr>
            <w:tcW w:w="1559" w:type="dxa"/>
          </w:tcPr>
          <w:p w14:paraId="5DF5870C" w14:textId="6B5AADFA"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17%</w:t>
            </w:r>
            <w:r>
              <w:rPr>
                <w:rFonts w:ascii="Times New Roman" w:hAnsi="Times New Roman" w:cs="Times New Roman"/>
                <w:sz w:val="20"/>
                <w:szCs w:val="20"/>
              </w:rPr>
              <w:t xml:space="preserve"> (n=7)</w:t>
            </w:r>
          </w:p>
        </w:tc>
        <w:tc>
          <w:tcPr>
            <w:tcW w:w="1418" w:type="dxa"/>
          </w:tcPr>
          <w:p w14:paraId="2F4AC92D"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631499D0" w14:textId="77777777" w:rsidR="00964865" w:rsidRPr="003A11D8" w:rsidRDefault="00964865" w:rsidP="004E740F">
            <w:pPr>
              <w:pStyle w:val="NoSpacing"/>
              <w:jc w:val="center"/>
              <w:rPr>
                <w:rFonts w:ascii="Times New Roman" w:hAnsi="Times New Roman" w:cs="Times New Roman"/>
                <w:sz w:val="20"/>
                <w:szCs w:val="20"/>
              </w:rPr>
            </w:pPr>
          </w:p>
        </w:tc>
      </w:tr>
      <w:tr w:rsidR="00964865" w:rsidRPr="003A11D8" w14:paraId="21C4BCF8" w14:textId="77777777" w:rsidTr="003829F6">
        <w:tc>
          <w:tcPr>
            <w:tcW w:w="1511" w:type="dxa"/>
          </w:tcPr>
          <w:p w14:paraId="32032790" w14:textId="77777777" w:rsidR="00964865" w:rsidRPr="003A11D8" w:rsidRDefault="00964865" w:rsidP="004E740F">
            <w:pPr>
              <w:pStyle w:val="NoSpacing"/>
              <w:jc w:val="center"/>
              <w:rPr>
                <w:rFonts w:ascii="Times New Roman" w:hAnsi="Times New Roman" w:cs="Times New Roman"/>
                <w:sz w:val="20"/>
                <w:szCs w:val="20"/>
              </w:rPr>
            </w:pPr>
          </w:p>
        </w:tc>
        <w:tc>
          <w:tcPr>
            <w:tcW w:w="2268" w:type="dxa"/>
          </w:tcPr>
          <w:p w14:paraId="3E11860C" w14:textId="131F316E" w:rsidR="00964865" w:rsidRPr="003A11D8" w:rsidRDefault="00964865" w:rsidP="004E740F">
            <w:pPr>
              <w:pStyle w:val="NoSpacing"/>
              <w:jc w:val="center"/>
              <w:rPr>
                <w:rFonts w:ascii="Times New Roman" w:hAnsi="Times New Roman" w:cs="Times New Roman"/>
                <w:sz w:val="20"/>
                <w:szCs w:val="20"/>
              </w:rPr>
            </w:pPr>
            <w:r>
              <w:rPr>
                <w:rFonts w:ascii="Times New Roman" w:hAnsi="Times New Roman" w:cs="Times New Roman"/>
                <w:sz w:val="20"/>
                <w:szCs w:val="20"/>
              </w:rPr>
              <w:t>HRT use</w:t>
            </w:r>
          </w:p>
        </w:tc>
        <w:tc>
          <w:tcPr>
            <w:tcW w:w="1559" w:type="dxa"/>
          </w:tcPr>
          <w:p w14:paraId="41503FD1" w14:textId="04E9D73F" w:rsidR="00964865" w:rsidRPr="003A11D8" w:rsidRDefault="00964865" w:rsidP="004E740F">
            <w:pPr>
              <w:pStyle w:val="NoSpacing"/>
              <w:jc w:val="center"/>
              <w:rPr>
                <w:rFonts w:ascii="Times New Roman" w:hAnsi="Times New Roman" w:cs="Times New Roman"/>
                <w:sz w:val="20"/>
                <w:szCs w:val="20"/>
              </w:rPr>
            </w:pPr>
            <w:r>
              <w:rPr>
                <w:rFonts w:ascii="Times New Roman" w:hAnsi="Times New Roman" w:cs="Times New Roman"/>
                <w:sz w:val="20"/>
                <w:szCs w:val="20"/>
              </w:rPr>
              <w:t>25%</w:t>
            </w:r>
          </w:p>
        </w:tc>
        <w:tc>
          <w:tcPr>
            <w:tcW w:w="1559" w:type="dxa"/>
          </w:tcPr>
          <w:p w14:paraId="3EAD1D60" w14:textId="262B696E" w:rsidR="00964865" w:rsidRPr="003A11D8" w:rsidRDefault="00964865" w:rsidP="004E740F">
            <w:pPr>
              <w:pStyle w:val="NoSpacing"/>
              <w:jc w:val="center"/>
              <w:rPr>
                <w:rFonts w:ascii="Times New Roman" w:hAnsi="Times New Roman" w:cs="Times New Roman"/>
                <w:sz w:val="20"/>
                <w:szCs w:val="20"/>
              </w:rPr>
            </w:pPr>
            <w:r>
              <w:rPr>
                <w:rFonts w:ascii="Times New Roman" w:hAnsi="Times New Roman" w:cs="Times New Roman"/>
                <w:sz w:val="20"/>
                <w:szCs w:val="20"/>
              </w:rPr>
              <w:t>0%</w:t>
            </w:r>
          </w:p>
        </w:tc>
        <w:tc>
          <w:tcPr>
            <w:tcW w:w="1418" w:type="dxa"/>
          </w:tcPr>
          <w:p w14:paraId="124CCDA9"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277A8172" w14:textId="77777777" w:rsidR="00964865" w:rsidRPr="003A11D8" w:rsidRDefault="00964865" w:rsidP="004E740F">
            <w:pPr>
              <w:pStyle w:val="NoSpacing"/>
              <w:jc w:val="center"/>
              <w:rPr>
                <w:rFonts w:ascii="Times New Roman" w:hAnsi="Times New Roman" w:cs="Times New Roman"/>
                <w:sz w:val="20"/>
                <w:szCs w:val="20"/>
              </w:rPr>
            </w:pPr>
          </w:p>
        </w:tc>
      </w:tr>
      <w:tr w:rsidR="00964865" w:rsidRPr="003A11D8" w14:paraId="044763CC" w14:textId="77777777" w:rsidTr="003829F6">
        <w:tc>
          <w:tcPr>
            <w:tcW w:w="1511" w:type="dxa"/>
          </w:tcPr>
          <w:p w14:paraId="1A87B46A"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Global HRT use</w:t>
            </w:r>
          </w:p>
        </w:tc>
        <w:tc>
          <w:tcPr>
            <w:tcW w:w="2268" w:type="dxa"/>
          </w:tcPr>
          <w:p w14:paraId="63211747" w14:textId="1A2F29D2"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HRT use</w:t>
            </w:r>
          </w:p>
          <w:p w14:paraId="0786F7A8"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HIC VS LMIC</w:t>
            </w:r>
          </w:p>
        </w:tc>
        <w:tc>
          <w:tcPr>
            <w:tcW w:w="1559" w:type="dxa"/>
          </w:tcPr>
          <w:p w14:paraId="5FD79AFB" w14:textId="02534F95"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15.2%</w:t>
            </w:r>
          </w:p>
        </w:tc>
        <w:tc>
          <w:tcPr>
            <w:tcW w:w="1559" w:type="dxa"/>
          </w:tcPr>
          <w:p w14:paraId="6D617CCD" w14:textId="69CE0603"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0%</w:t>
            </w:r>
          </w:p>
        </w:tc>
        <w:tc>
          <w:tcPr>
            <w:tcW w:w="1418" w:type="dxa"/>
          </w:tcPr>
          <w:p w14:paraId="4FFDBAB5"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770110DE" w14:textId="77777777" w:rsidR="003829F6" w:rsidRDefault="00964865" w:rsidP="004E740F">
            <w:pPr>
              <w:pStyle w:val="NoSpacing"/>
              <w:jc w:val="center"/>
              <w:rPr>
                <w:rFonts w:ascii="Times New Roman" w:hAnsi="Times New Roman" w:cs="Times New Roman"/>
                <w:b/>
                <w:bCs/>
                <w:sz w:val="20"/>
                <w:szCs w:val="20"/>
              </w:rPr>
            </w:pPr>
            <w:r w:rsidRPr="003A11D8">
              <w:rPr>
                <w:rFonts w:ascii="Times New Roman" w:hAnsi="Times New Roman" w:cs="Times New Roman"/>
                <w:b/>
                <w:bCs/>
                <w:sz w:val="20"/>
                <w:szCs w:val="20"/>
              </w:rPr>
              <w:t xml:space="preserve">P=0.009 </w:t>
            </w:r>
          </w:p>
          <w:p w14:paraId="53F0A3DE" w14:textId="48C0EBA0" w:rsidR="00964865" w:rsidRPr="003A11D8" w:rsidRDefault="00964865" w:rsidP="003829F6">
            <w:pPr>
              <w:pStyle w:val="NoSpacing"/>
              <w:jc w:val="center"/>
              <w:rPr>
                <w:rFonts w:ascii="Times New Roman" w:hAnsi="Times New Roman" w:cs="Times New Roman"/>
                <w:b/>
                <w:bCs/>
                <w:sz w:val="20"/>
                <w:szCs w:val="20"/>
              </w:rPr>
            </w:pPr>
            <w:r w:rsidRPr="003A11D8">
              <w:rPr>
                <w:rFonts w:ascii="Times New Roman" w:hAnsi="Times New Roman" w:cs="Times New Roman"/>
                <w:b/>
                <w:bCs/>
                <w:sz w:val="20"/>
                <w:szCs w:val="20"/>
              </w:rPr>
              <w:t>95</w:t>
            </w:r>
            <w:r w:rsidR="003829F6" w:rsidRPr="003A11D8">
              <w:rPr>
                <w:rFonts w:ascii="Times New Roman" w:hAnsi="Times New Roman" w:cs="Times New Roman"/>
                <w:b/>
                <w:bCs/>
                <w:sz w:val="20"/>
                <w:szCs w:val="20"/>
              </w:rPr>
              <w:t>%</w:t>
            </w:r>
            <w:r w:rsidR="003829F6">
              <w:rPr>
                <w:rFonts w:ascii="Times New Roman" w:hAnsi="Times New Roman" w:cs="Times New Roman"/>
                <w:b/>
                <w:bCs/>
                <w:sz w:val="20"/>
                <w:szCs w:val="20"/>
              </w:rPr>
              <w:t xml:space="preserve"> CI</w:t>
            </w:r>
            <w:r w:rsidRPr="003A11D8">
              <w:rPr>
                <w:rFonts w:ascii="Times New Roman" w:hAnsi="Times New Roman" w:cs="Times New Roman"/>
                <w:b/>
                <w:bCs/>
                <w:sz w:val="20"/>
                <w:szCs w:val="20"/>
              </w:rPr>
              <w:t xml:space="preserve"> (3.72</w:t>
            </w:r>
            <w:r w:rsidR="00DD306A">
              <w:rPr>
                <w:rFonts w:ascii="Times New Roman" w:hAnsi="Times New Roman" w:cs="Times New Roman"/>
                <w:b/>
                <w:bCs/>
                <w:sz w:val="20"/>
                <w:szCs w:val="20"/>
              </w:rPr>
              <w:t xml:space="preserve"> -</w:t>
            </w:r>
            <w:r w:rsidR="003829F6">
              <w:rPr>
                <w:rFonts w:ascii="Times New Roman" w:hAnsi="Times New Roman" w:cs="Times New Roman"/>
                <w:b/>
                <w:bCs/>
                <w:sz w:val="20"/>
                <w:szCs w:val="20"/>
              </w:rPr>
              <w:t xml:space="preserve"> </w:t>
            </w:r>
            <w:r w:rsidRPr="003A11D8">
              <w:rPr>
                <w:rFonts w:ascii="Times New Roman" w:hAnsi="Times New Roman" w:cs="Times New Roman"/>
                <w:b/>
                <w:bCs/>
                <w:sz w:val="20"/>
                <w:szCs w:val="20"/>
              </w:rPr>
              <w:t>28.2)</w:t>
            </w:r>
          </w:p>
        </w:tc>
      </w:tr>
      <w:tr w:rsidR="00964865" w:rsidRPr="003A11D8" w14:paraId="1B0372DC" w14:textId="77777777" w:rsidTr="003829F6">
        <w:tc>
          <w:tcPr>
            <w:tcW w:w="1511" w:type="dxa"/>
          </w:tcPr>
          <w:p w14:paraId="41CC3744"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Co-morbidities</w:t>
            </w:r>
          </w:p>
        </w:tc>
        <w:tc>
          <w:tcPr>
            <w:tcW w:w="2268" w:type="dxa"/>
          </w:tcPr>
          <w:p w14:paraId="69D3EAF3" w14:textId="77777777" w:rsidR="00964865"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Hypertension prevalence</w:t>
            </w:r>
          </w:p>
          <w:p w14:paraId="52710158" w14:textId="2B7ACE10" w:rsidR="006A1574" w:rsidRPr="003A11D8" w:rsidRDefault="006A1574" w:rsidP="004E740F">
            <w:pPr>
              <w:pStyle w:val="NoSpacing"/>
              <w:jc w:val="center"/>
              <w:rPr>
                <w:rFonts w:ascii="Times New Roman" w:hAnsi="Times New Roman" w:cs="Times New Roman"/>
                <w:sz w:val="20"/>
                <w:szCs w:val="20"/>
              </w:rPr>
            </w:pPr>
            <w:r w:rsidRPr="006A1574">
              <w:rPr>
                <w:rFonts w:ascii="Times New Roman" w:hAnsi="Times New Roman" w:cs="Times New Roman"/>
                <w:sz w:val="20"/>
                <w:szCs w:val="20"/>
              </w:rPr>
              <w:t>% (no)</w:t>
            </w:r>
          </w:p>
        </w:tc>
        <w:tc>
          <w:tcPr>
            <w:tcW w:w="1559" w:type="dxa"/>
          </w:tcPr>
          <w:p w14:paraId="544D7E69" w14:textId="6E330BA2"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15.2%</w:t>
            </w:r>
            <w:r w:rsidR="006A1574">
              <w:rPr>
                <w:rFonts w:ascii="Times New Roman" w:hAnsi="Times New Roman" w:cs="Times New Roman"/>
                <w:sz w:val="20"/>
                <w:szCs w:val="20"/>
              </w:rPr>
              <w:t xml:space="preserve"> (n=46)</w:t>
            </w:r>
          </w:p>
        </w:tc>
        <w:tc>
          <w:tcPr>
            <w:tcW w:w="1559" w:type="dxa"/>
          </w:tcPr>
          <w:p w14:paraId="3BF75C22" w14:textId="4F2A921C"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21.4%</w:t>
            </w:r>
            <w:r w:rsidR="006A1574">
              <w:rPr>
                <w:rFonts w:ascii="Times New Roman" w:hAnsi="Times New Roman" w:cs="Times New Roman"/>
                <w:sz w:val="20"/>
                <w:szCs w:val="20"/>
              </w:rPr>
              <w:t xml:space="preserve"> (n=41)</w:t>
            </w:r>
          </w:p>
        </w:tc>
        <w:tc>
          <w:tcPr>
            <w:tcW w:w="1418" w:type="dxa"/>
          </w:tcPr>
          <w:p w14:paraId="1B9663F6"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7385A583"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P=0.456</w:t>
            </w:r>
          </w:p>
          <w:p w14:paraId="692B87ED" w14:textId="696314CF"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95%</w:t>
            </w:r>
            <w:r w:rsidR="00985DD9">
              <w:rPr>
                <w:rFonts w:ascii="Times New Roman" w:hAnsi="Times New Roman" w:cs="Times New Roman"/>
                <w:sz w:val="20"/>
                <w:szCs w:val="20"/>
              </w:rPr>
              <w:t xml:space="preserve"> </w:t>
            </w:r>
            <w:r w:rsidRPr="003A11D8">
              <w:rPr>
                <w:rFonts w:ascii="Times New Roman" w:hAnsi="Times New Roman" w:cs="Times New Roman"/>
                <w:sz w:val="20"/>
                <w:szCs w:val="20"/>
              </w:rPr>
              <w:t>CI (-10.1</w:t>
            </w:r>
            <w:r w:rsidR="00DD306A">
              <w:rPr>
                <w:rFonts w:ascii="Times New Roman" w:hAnsi="Times New Roman" w:cs="Times New Roman"/>
                <w:sz w:val="20"/>
                <w:szCs w:val="20"/>
              </w:rPr>
              <w:t xml:space="preserve"> -</w:t>
            </w:r>
            <w:r w:rsidRPr="003A11D8">
              <w:rPr>
                <w:rFonts w:ascii="Times New Roman" w:hAnsi="Times New Roman" w:cs="Times New Roman"/>
                <w:sz w:val="20"/>
                <w:szCs w:val="20"/>
              </w:rPr>
              <w:t xml:space="preserve"> 22.76)</w:t>
            </w:r>
          </w:p>
        </w:tc>
      </w:tr>
      <w:tr w:rsidR="00964865" w:rsidRPr="003A11D8" w14:paraId="35036029" w14:textId="77777777" w:rsidTr="003829F6">
        <w:tc>
          <w:tcPr>
            <w:tcW w:w="1511" w:type="dxa"/>
          </w:tcPr>
          <w:p w14:paraId="6E5A17F1" w14:textId="77777777" w:rsidR="00964865" w:rsidRPr="003A11D8" w:rsidRDefault="00964865" w:rsidP="004E740F">
            <w:pPr>
              <w:pStyle w:val="NoSpacing"/>
              <w:jc w:val="center"/>
              <w:rPr>
                <w:rFonts w:ascii="Times New Roman" w:hAnsi="Times New Roman" w:cs="Times New Roman"/>
                <w:sz w:val="20"/>
                <w:szCs w:val="20"/>
              </w:rPr>
            </w:pPr>
          </w:p>
        </w:tc>
        <w:tc>
          <w:tcPr>
            <w:tcW w:w="2268" w:type="dxa"/>
          </w:tcPr>
          <w:p w14:paraId="11557755" w14:textId="77777777" w:rsidR="00964865" w:rsidRPr="003A11D8" w:rsidRDefault="00964865" w:rsidP="004E740F">
            <w:pPr>
              <w:pStyle w:val="NoSpacing"/>
              <w:jc w:val="center"/>
              <w:rPr>
                <w:rFonts w:ascii="Times New Roman" w:hAnsi="Times New Roman" w:cs="Times New Roman"/>
                <w:sz w:val="20"/>
                <w:szCs w:val="20"/>
              </w:rPr>
            </w:pPr>
          </w:p>
        </w:tc>
        <w:tc>
          <w:tcPr>
            <w:tcW w:w="1559" w:type="dxa"/>
          </w:tcPr>
          <w:p w14:paraId="16CFB83F" w14:textId="77777777" w:rsidR="00964865" w:rsidRPr="003A11D8" w:rsidRDefault="00964865" w:rsidP="004E740F">
            <w:pPr>
              <w:pStyle w:val="NoSpacing"/>
              <w:jc w:val="center"/>
              <w:rPr>
                <w:rFonts w:ascii="Times New Roman" w:hAnsi="Times New Roman" w:cs="Times New Roman"/>
                <w:sz w:val="18"/>
                <w:szCs w:val="18"/>
              </w:rPr>
            </w:pPr>
          </w:p>
        </w:tc>
        <w:tc>
          <w:tcPr>
            <w:tcW w:w="1559" w:type="dxa"/>
          </w:tcPr>
          <w:p w14:paraId="39DBFD7D" w14:textId="77777777" w:rsidR="00964865" w:rsidRPr="003A11D8" w:rsidRDefault="00964865" w:rsidP="004E740F">
            <w:pPr>
              <w:pStyle w:val="NoSpacing"/>
              <w:jc w:val="center"/>
              <w:rPr>
                <w:rFonts w:ascii="Times New Roman" w:hAnsi="Times New Roman" w:cs="Times New Roman"/>
                <w:sz w:val="20"/>
                <w:szCs w:val="20"/>
              </w:rPr>
            </w:pPr>
          </w:p>
        </w:tc>
        <w:tc>
          <w:tcPr>
            <w:tcW w:w="1418" w:type="dxa"/>
          </w:tcPr>
          <w:p w14:paraId="47986B84"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3D618F41" w14:textId="77777777" w:rsidR="00964865" w:rsidRPr="003A11D8" w:rsidRDefault="00964865" w:rsidP="004E740F">
            <w:pPr>
              <w:pStyle w:val="NoSpacing"/>
              <w:jc w:val="center"/>
              <w:rPr>
                <w:rFonts w:ascii="Times New Roman" w:hAnsi="Times New Roman" w:cs="Times New Roman"/>
                <w:sz w:val="20"/>
                <w:szCs w:val="20"/>
              </w:rPr>
            </w:pPr>
          </w:p>
        </w:tc>
      </w:tr>
      <w:tr w:rsidR="00964865" w:rsidRPr="003A11D8" w14:paraId="20DC2DDA" w14:textId="77777777" w:rsidTr="003829F6">
        <w:tc>
          <w:tcPr>
            <w:tcW w:w="1511" w:type="dxa"/>
          </w:tcPr>
          <w:p w14:paraId="5D8CCEB3"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Other factors</w:t>
            </w:r>
          </w:p>
        </w:tc>
        <w:tc>
          <w:tcPr>
            <w:tcW w:w="2268" w:type="dxa"/>
          </w:tcPr>
          <w:p w14:paraId="7DE27FA4" w14:textId="77777777" w:rsidR="00964865" w:rsidRPr="003A11D8" w:rsidRDefault="00964865" w:rsidP="004E740F">
            <w:pPr>
              <w:pStyle w:val="NoSpacing"/>
              <w:jc w:val="center"/>
              <w:rPr>
                <w:rFonts w:ascii="Times New Roman" w:hAnsi="Times New Roman" w:cs="Times New Roman"/>
                <w:sz w:val="20"/>
                <w:szCs w:val="20"/>
              </w:rPr>
            </w:pPr>
          </w:p>
        </w:tc>
        <w:tc>
          <w:tcPr>
            <w:tcW w:w="1559" w:type="dxa"/>
          </w:tcPr>
          <w:p w14:paraId="7547B5E1" w14:textId="77777777" w:rsidR="00964865" w:rsidRPr="003A11D8" w:rsidRDefault="00964865" w:rsidP="004E740F">
            <w:pPr>
              <w:pStyle w:val="NoSpacing"/>
              <w:jc w:val="center"/>
              <w:rPr>
                <w:rFonts w:ascii="Times New Roman" w:hAnsi="Times New Roman" w:cs="Times New Roman"/>
                <w:sz w:val="18"/>
                <w:szCs w:val="18"/>
              </w:rPr>
            </w:pPr>
            <w:r w:rsidRPr="003A11D8">
              <w:rPr>
                <w:rFonts w:ascii="Times New Roman" w:hAnsi="Times New Roman" w:cs="Times New Roman"/>
                <w:sz w:val="18"/>
                <w:szCs w:val="18"/>
              </w:rPr>
              <w:t>High educational attainment</w:t>
            </w:r>
          </w:p>
          <w:p w14:paraId="5B1969F4" w14:textId="77777777" w:rsidR="00964865" w:rsidRPr="003A11D8" w:rsidRDefault="00964865" w:rsidP="004E740F">
            <w:pPr>
              <w:pStyle w:val="NoSpacing"/>
              <w:jc w:val="center"/>
              <w:rPr>
                <w:rFonts w:ascii="Times New Roman" w:hAnsi="Times New Roman" w:cs="Times New Roman"/>
                <w:sz w:val="18"/>
                <w:szCs w:val="18"/>
              </w:rPr>
            </w:pPr>
            <w:r w:rsidRPr="003A11D8">
              <w:rPr>
                <w:rFonts w:ascii="Times New Roman" w:hAnsi="Times New Roman" w:cs="Times New Roman"/>
                <w:sz w:val="18"/>
                <w:szCs w:val="18"/>
              </w:rPr>
              <w:t>-University-level and higher</w:t>
            </w:r>
          </w:p>
        </w:tc>
        <w:tc>
          <w:tcPr>
            <w:tcW w:w="1559" w:type="dxa"/>
          </w:tcPr>
          <w:p w14:paraId="7902A129" w14:textId="77777777" w:rsidR="00964865" w:rsidRPr="003A11D8" w:rsidRDefault="00964865" w:rsidP="004E740F">
            <w:pPr>
              <w:pStyle w:val="NoSpacing"/>
              <w:jc w:val="center"/>
              <w:rPr>
                <w:rFonts w:ascii="Times New Roman" w:hAnsi="Times New Roman" w:cs="Times New Roman"/>
                <w:sz w:val="18"/>
                <w:szCs w:val="18"/>
              </w:rPr>
            </w:pPr>
            <w:r w:rsidRPr="003A11D8">
              <w:rPr>
                <w:rFonts w:ascii="Times New Roman" w:hAnsi="Times New Roman" w:cs="Times New Roman"/>
                <w:sz w:val="18"/>
                <w:szCs w:val="18"/>
              </w:rPr>
              <w:t>High earnings &gt;£50,000 equivalent annual household income</w:t>
            </w:r>
          </w:p>
        </w:tc>
        <w:tc>
          <w:tcPr>
            <w:tcW w:w="1418" w:type="dxa"/>
          </w:tcPr>
          <w:p w14:paraId="74ED94D5"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5973A1CB" w14:textId="77777777" w:rsidR="00964865" w:rsidRPr="003A11D8" w:rsidRDefault="00964865" w:rsidP="004E740F">
            <w:pPr>
              <w:pStyle w:val="NoSpacing"/>
              <w:jc w:val="center"/>
              <w:rPr>
                <w:rFonts w:ascii="Times New Roman" w:hAnsi="Times New Roman" w:cs="Times New Roman"/>
                <w:sz w:val="20"/>
                <w:szCs w:val="20"/>
              </w:rPr>
            </w:pPr>
          </w:p>
        </w:tc>
      </w:tr>
      <w:tr w:rsidR="00964865" w:rsidRPr="003A11D8" w14:paraId="07050CE1" w14:textId="77777777" w:rsidTr="003829F6">
        <w:tc>
          <w:tcPr>
            <w:tcW w:w="1511" w:type="dxa"/>
          </w:tcPr>
          <w:p w14:paraId="39D7D618" w14:textId="77777777" w:rsidR="00964865" w:rsidRPr="003A11D8" w:rsidRDefault="00964865" w:rsidP="004E740F">
            <w:pPr>
              <w:pStyle w:val="NoSpacing"/>
              <w:jc w:val="center"/>
              <w:rPr>
                <w:rFonts w:ascii="Times New Roman" w:hAnsi="Times New Roman" w:cs="Times New Roman"/>
                <w:sz w:val="20"/>
                <w:szCs w:val="20"/>
              </w:rPr>
            </w:pPr>
          </w:p>
        </w:tc>
        <w:tc>
          <w:tcPr>
            <w:tcW w:w="2268" w:type="dxa"/>
          </w:tcPr>
          <w:p w14:paraId="283D1EA7" w14:textId="77777777" w:rsidR="00964865" w:rsidRPr="003A11D8" w:rsidRDefault="00964865" w:rsidP="004E740F">
            <w:pPr>
              <w:pStyle w:val="NoSpacing"/>
              <w:jc w:val="center"/>
              <w:rPr>
                <w:rFonts w:ascii="Times New Roman" w:hAnsi="Times New Roman" w:cs="Times New Roman"/>
                <w:sz w:val="20"/>
                <w:szCs w:val="20"/>
              </w:rPr>
            </w:pPr>
            <w:r w:rsidRPr="003A11D8">
              <w:rPr>
                <w:rFonts w:ascii="Times New Roman" w:hAnsi="Times New Roman" w:cs="Times New Roman"/>
                <w:sz w:val="20"/>
                <w:szCs w:val="20"/>
              </w:rPr>
              <w:t>HRT use Educational vs high earnings</w:t>
            </w:r>
          </w:p>
          <w:p w14:paraId="4BCDAE88" w14:textId="77777777" w:rsidR="00964865" w:rsidRPr="003A11D8" w:rsidRDefault="00964865" w:rsidP="004E740F">
            <w:pPr>
              <w:pStyle w:val="NoSpacing"/>
              <w:jc w:val="center"/>
              <w:rPr>
                <w:rFonts w:ascii="Times New Roman" w:hAnsi="Times New Roman" w:cs="Times New Roman"/>
                <w:sz w:val="20"/>
                <w:szCs w:val="20"/>
              </w:rPr>
            </w:pPr>
          </w:p>
        </w:tc>
        <w:tc>
          <w:tcPr>
            <w:tcW w:w="1559" w:type="dxa"/>
          </w:tcPr>
          <w:p w14:paraId="2CAD6449" w14:textId="020B6516" w:rsidR="00964865" w:rsidRPr="003A11D8" w:rsidRDefault="003829F6" w:rsidP="004E740F">
            <w:pPr>
              <w:pStyle w:val="NoSpacing"/>
              <w:jc w:val="center"/>
              <w:rPr>
                <w:rFonts w:ascii="Times New Roman" w:hAnsi="Times New Roman" w:cs="Times New Roman"/>
                <w:sz w:val="20"/>
                <w:szCs w:val="20"/>
              </w:rPr>
            </w:pPr>
            <w:r w:rsidRPr="003829F6">
              <w:rPr>
                <w:rFonts w:ascii="Times New Roman" w:hAnsi="Times New Roman" w:cs="Times New Roman"/>
                <w:sz w:val="20"/>
                <w:szCs w:val="20"/>
              </w:rPr>
              <w:t>67%</w:t>
            </w:r>
            <w:r>
              <w:rPr>
                <w:rFonts w:ascii="Times New Roman" w:hAnsi="Times New Roman" w:cs="Times New Roman"/>
                <w:sz w:val="20"/>
                <w:szCs w:val="20"/>
              </w:rPr>
              <w:t xml:space="preserve"> (n=0.63)</w:t>
            </w:r>
          </w:p>
        </w:tc>
        <w:tc>
          <w:tcPr>
            <w:tcW w:w="1559" w:type="dxa"/>
          </w:tcPr>
          <w:p w14:paraId="2A096B41" w14:textId="1BEB63AF" w:rsidR="00964865" w:rsidRPr="003A11D8" w:rsidRDefault="003829F6" w:rsidP="003829F6">
            <w:pPr>
              <w:pStyle w:val="NoSpacing"/>
              <w:jc w:val="center"/>
              <w:rPr>
                <w:rFonts w:ascii="Times New Roman" w:hAnsi="Times New Roman" w:cs="Times New Roman"/>
                <w:sz w:val="20"/>
                <w:szCs w:val="20"/>
              </w:rPr>
            </w:pPr>
            <w:r>
              <w:rPr>
                <w:rFonts w:ascii="Times New Roman" w:hAnsi="Times New Roman" w:cs="Times New Roman"/>
                <w:sz w:val="20"/>
                <w:szCs w:val="20"/>
              </w:rPr>
              <w:t>37% (n=</w:t>
            </w:r>
            <w:r w:rsidR="00964865" w:rsidRPr="003A11D8">
              <w:rPr>
                <w:rFonts w:ascii="Times New Roman" w:hAnsi="Times New Roman" w:cs="Times New Roman"/>
                <w:sz w:val="20"/>
                <w:szCs w:val="20"/>
              </w:rPr>
              <w:t>0.3</w:t>
            </w:r>
            <w:r>
              <w:rPr>
                <w:rFonts w:ascii="Times New Roman" w:hAnsi="Times New Roman" w:cs="Times New Roman"/>
                <w:sz w:val="20"/>
                <w:szCs w:val="20"/>
              </w:rPr>
              <w:t>0)</w:t>
            </w:r>
          </w:p>
        </w:tc>
        <w:tc>
          <w:tcPr>
            <w:tcW w:w="1418" w:type="dxa"/>
          </w:tcPr>
          <w:p w14:paraId="466476C0" w14:textId="77777777" w:rsidR="00964865" w:rsidRPr="003A11D8" w:rsidRDefault="00964865" w:rsidP="004E740F">
            <w:pPr>
              <w:pStyle w:val="NoSpacing"/>
              <w:jc w:val="center"/>
              <w:rPr>
                <w:rFonts w:ascii="Times New Roman" w:hAnsi="Times New Roman" w:cs="Times New Roman"/>
                <w:sz w:val="20"/>
                <w:szCs w:val="20"/>
              </w:rPr>
            </w:pPr>
          </w:p>
        </w:tc>
        <w:tc>
          <w:tcPr>
            <w:tcW w:w="2551" w:type="dxa"/>
          </w:tcPr>
          <w:p w14:paraId="172C914C" w14:textId="75082934" w:rsidR="00964865" w:rsidRPr="003A11D8" w:rsidRDefault="00964865" w:rsidP="004E740F">
            <w:pPr>
              <w:pStyle w:val="NoSpacing"/>
              <w:jc w:val="center"/>
              <w:rPr>
                <w:rFonts w:ascii="Times New Roman" w:hAnsi="Times New Roman" w:cs="Times New Roman"/>
                <w:b/>
                <w:bCs/>
                <w:sz w:val="20"/>
                <w:szCs w:val="20"/>
              </w:rPr>
            </w:pPr>
            <w:r w:rsidRPr="003A11D8">
              <w:rPr>
                <w:rFonts w:ascii="Times New Roman" w:hAnsi="Times New Roman" w:cs="Times New Roman"/>
                <w:b/>
                <w:bCs/>
                <w:sz w:val="20"/>
                <w:szCs w:val="20"/>
              </w:rPr>
              <w:t>P=</w:t>
            </w:r>
            <w:r w:rsidR="003829F6" w:rsidRPr="003A11D8">
              <w:rPr>
                <w:rFonts w:ascii="Times New Roman" w:hAnsi="Times New Roman" w:cs="Times New Roman"/>
                <w:b/>
                <w:bCs/>
                <w:sz w:val="20"/>
                <w:szCs w:val="20"/>
              </w:rPr>
              <w:t>0.00</w:t>
            </w:r>
            <w:r w:rsidR="003829F6">
              <w:rPr>
                <w:rFonts w:ascii="Times New Roman" w:hAnsi="Times New Roman" w:cs="Times New Roman"/>
                <w:b/>
                <w:bCs/>
                <w:sz w:val="20"/>
                <w:szCs w:val="20"/>
              </w:rPr>
              <w:t xml:space="preserve">4 </w:t>
            </w:r>
          </w:p>
          <w:p w14:paraId="23CED984" w14:textId="1659B0F1" w:rsidR="00964865" w:rsidRPr="003A11D8" w:rsidRDefault="00964865" w:rsidP="004E740F">
            <w:pPr>
              <w:pStyle w:val="NoSpacing"/>
              <w:jc w:val="center"/>
              <w:rPr>
                <w:rFonts w:ascii="Times New Roman" w:hAnsi="Times New Roman" w:cs="Times New Roman"/>
                <w:b/>
                <w:bCs/>
                <w:sz w:val="20"/>
                <w:szCs w:val="20"/>
              </w:rPr>
            </w:pPr>
            <w:r w:rsidRPr="003A11D8">
              <w:rPr>
                <w:rFonts w:ascii="Times New Roman" w:hAnsi="Times New Roman" w:cs="Times New Roman"/>
                <w:b/>
                <w:bCs/>
                <w:sz w:val="20"/>
                <w:szCs w:val="20"/>
              </w:rPr>
              <w:t>95%CI (</w:t>
            </w:r>
            <w:r w:rsidR="00DD306A">
              <w:rPr>
                <w:rFonts w:ascii="Times New Roman" w:hAnsi="Times New Roman" w:cs="Times New Roman"/>
                <w:b/>
                <w:bCs/>
                <w:sz w:val="20"/>
                <w:szCs w:val="20"/>
              </w:rPr>
              <w:t>-</w:t>
            </w:r>
            <w:r w:rsidRPr="003A11D8">
              <w:rPr>
                <w:rFonts w:ascii="Times New Roman" w:hAnsi="Times New Roman" w:cs="Times New Roman"/>
                <w:b/>
                <w:bCs/>
                <w:sz w:val="20"/>
                <w:szCs w:val="20"/>
              </w:rPr>
              <w:t xml:space="preserve">10.01 </w:t>
            </w:r>
            <w:r w:rsidR="00DD306A">
              <w:rPr>
                <w:rFonts w:ascii="Times New Roman" w:hAnsi="Times New Roman" w:cs="Times New Roman"/>
                <w:b/>
                <w:bCs/>
                <w:sz w:val="20"/>
                <w:szCs w:val="20"/>
              </w:rPr>
              <w:t>-</w:t>
            </w:r>
            <w:r w:rsidRPr="003A11D8">
              <w:rPr>
                <w:rFonts w:ascii="Times New Roman" w:hAnsi="Times New Roman" w:cs="Times New Roman"/>
                <w:b/>
                <w:bCs/>
                <w:sz w:val="20"/>
                <w:szCs w:val="20"/>
              </w:rPr>
              <w:t xml:space="preserve"> 7.59)</w:t>
            </w:r>
          </w:p>
        </w:tc>
      </w:tr>
    </w:tbl>
    <w:p w14:paraId="4DCC7F7B" w14:textId="77777777" w:rsidR="000F6B48" w:rsidRPr="003A11D8" w:rsidRDefault="000F6B48" w:rsidP="004E740F">
      <w:pPr>
        <w:jc w:val="center"/>
        <w:rPr>
          <w:rFonts w:ascii="Times New Roman" w:hAnsi="Times New Roman" w:cs="Times New Roman"/>
          <w:b/>
          <w:bCs/>
        </w:rPr>
      </w:pPr>
    </w:p>
    <w:p w14:paraId="2612CAF8" w14:textId="77777777" w:rsidR="00964865" w:rsidRDefault="00964865" w:rsidP="009958D0">
      <w:pPr>
        <w:rPr>
          <w:rFonts w:ascii="Times New Roman" w:hAnsi="Times New Roman" w:cs="Times New Roman"/>
          <w:b/>
          <w:bCs/>
        </w:rPr>
      </w:pPr>
    </w:p>
    <w:p w14:paraId="5EEA7EF3" w14:textId="77777777" w:rsidR="00964865" w:rsidRDefault="00964865" w:rsidP="009958D0">
      <w:pPr>
        <w:rPr>
          <w:rFonts w:ascii="Times New Roman" w:hAnsi="Times New Roman" w:cs="Times New Roman"/>
          <w:b/>
          <w:bCs/>
        </w:rPr>
      </w:pPr>
    </w:p>
    <w:p w14:paraId="2E9EDDBC" w14:textId="77777777" w:rsidR="001C7BBC" w:rsidRDefault="001C7BBC" w:rsidP="009958D0">
      <w:pPr>
        <w:rPr>
          <w:rFonts w:ascii="Times New Roman" w:hAnsi="Times New Roman" w:cs="Times New Roman"/>
          <w:b/>
          <w:bCs/>
        </w:rPr>
      </w:pPr>
    </w:p>
    <w:p w14:paraId="7D866D4C" w14:textId="1BE8853D" w:rsidR="009958D0" w:rsidRPr="009958D0" w:rsidRDefault="00196812" w:rsidP="009958D0">
      <w:pPr>
        <w:rPr>
          <w:rFonts w:ascii="Times New Roman" w:hAnsi="Times New Roman" w:cs="Times New Roman"/>
          <w:b/>
          <w:bCs/>
        </w:rPr>
      </w:pPr>
      <w:r w:rsidRPr="003A11D8">
        <w:rPr>
          <w:rFonts w:ascii="Times New Roman" w:hAnsi="Times New Roman" w:cs="Times New Roman"/>
          <w:b/>
          <w:bCs/>
        </w:rPr>
        <w:t xml:space="preserve">Table </w:t>
      </w:r>
      <w:r w:rsidR="009958D0" w:rsidRPr="009958D0">
        <w:rPr>
          <w:rFonts w:ascii="Times New Roman" w:hAnsi="Times New Roman" w:cs="Times New Roman"/>
          <w:b/>
          <w:bCs/>
        </w:rPr>
        <w:t>2. SUMMARY TABLE (T</w:t>
      </w:r>
      <w:r w:rsidR="000F6B48" w:rsidRPr="003A11D8">
        <w:rPr>
          <w:rFonts w:ascii="Times New Roman" w:hAnsi="Times New Roman" w:cs="Times New Roman"/>
          <w:b/>
          <w:bCs/>
        </w:rPr>
        <w:t>hemes</w:t>
      </w:r>
      <w:r w:rsidR="009958D0" w:rsidRPr="009958D0">
        <w:rPr>
          <w:rFonts w:ascii="Times New Roman" w:hAnsi="Times New Roman" w:cs="Times New Roman"/>
          <w:b/>
          <w:bCs/>
        </w:rPr>
        <w:t xml:space="preserve"> + </w:t>
      </w:r>
      <w:r w:rsidR="000F6B48" w:rsidRPr="003A11D8">
        <w:rPr>
          <w:rFonts w:ascii="Times New Roman" w:hAnsi="Times New Roman" w:cs="Times New Roman"/>
          <w:b/>
          <w:bCs/>
        </w:rPr>
        <w:t>Representative content</w:t>
      </w:r>
      <w:r w:rsidR="009958D0" w:rsidRPr="009958D0">
        <w:rPr>
          <w:rFonts w:ascii="Times New Roman" w:hAnsi="Times New Roman" w:cs="Times New Roman"/>
          <w:b/>
          <w:bCs/>
        </w:rPr>
        <w:t>)</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0"/>
        <w:gridCol w:w="3150"/>
        <w:gridCol w:w="4253"/>
      </w:tblGrid>
      <w:tr w:rsidR="000D5B09" w:rsidRPr="003A11D8" w14:paraId="3EB55989" w14:textId="77777777" w:rsidTr="00154F1C">
        <w:trPr>
          <w:tblHeader/>
          <w:tblCellSpacing w:w="15" w:type="dxa"/>
        </w:trPr>
        <w:tc>
          <w:tcPr>
            <w:tcW w:w="0" w:type="auto"/>
            <w:vAlign w:val="center"/>
            <w:hideMark/>
          </w:tcPr>
          <w:p w14:paraId="291BE6A2" w14:textId="77777777" w:rsidR="009958D0" w:rsidRPr="009958D0" w:rsidRDefault="009958D0" w:rsidP="00154F1C">
            <w:pPr>
              <w:jc w:val="center"/>
              <w:rPr>
                <w:rFonts w:ascii="Times New Roman" w:hAnsi="Times New Roman" w:cs="Times New Roman"/>
                <w:b/>
                <w:bCs/>
              </w:rPr>
            </w:pPr>
            <w:r w:rsidRPr="009958D0">
              <w:rPr>
                <w:rFonts w:ascii="Times New Roman" w:hAnsi="Times New Roman" w:cs="Times New Roman"/>
                <w:b/>
                <w:bCs/>
              </w:rPr>
              <w:t>Theme</w:t>
            </w:r>
          </w:p>
        </w:tc>
        <w:tc>
          <w:tcPr>
            <w:tcW w:w="3120" w:type="dxa"/>
            <w:vAlign w:val="center"/>
            <w:hideMark/>
          </w:tcPr>
          <w:p w14:paraId="2E6BAF97" w14:textId="77777777" w:rsidR="009958D0" w:rsidRPr="009958D0" w:rsidRDefault="009958D0" w:rsidP="00154F1C">
            <w:pPr>
              <w:jc w:val="center"/>
              <w:rPr>
                <w:rFonts w:ascii="Times New Roman" w:hAnsi="Times New Roman" w:cs="Times New Roman"/>
                <w:b/>
                <w:bCs/>
              </w:rPr>
            </w:pPr>
            <w:r w:rsidRPr="009958D0">
              <w:rPr>
                <w:rFonts w:ascii="Times New Roman" w:hAnsi="Times New Roman" w:cs="Times New Roman"/>
                <w:b/>
                <w:bCs/>
              </w:rPr>
              <w:t>Description</w:t>
            </w:r>
          </w:p>
        </w:tc>
        <w:tc>
          <w:tcPr>
            <w:tcW w:w="4208" w:type="dxa"/>
            <w:vAlign w:val="center"/>
            <w:hideMark/>
          </w:tcPr>
          <w:p w14:paraId="743C0C6B" w14:textId="77777777" w:rsidR="009958D0" w:rsidRPr="009958D0" w:rsidRDefault="009958D0" w:rsidP="00154F1C">
            <w:pPr>
              <w:jc w:val="center"/>
              <w:rPr>
                <w:rFonts w:ascii="Times New Roman" w:hAnsi="Times New Roman" w:cs="Times New Roman"/>
                <w:b/>
                <w:bCs/>
              </w:rPr>
            </w:pPr>
            <w:r w:rsidRPr="009958D0">
              <w:rPr>
                <w:rFonts w:ascii="Times New Roman" w:hAnsi="Times New Roman" w:cs="Times New Roman"/>
                <w:b/>
                <w:bCs/>
              </w:rPr>
              <w:t>Illustrative Respondent Ideas</w:t>
            </w:r>
          </w:p>
        </w:tc>
      </w:tr>
      <w:tr w:rsidR="000D5B09" w:rsidRPr="003A11D8" w14:paraId="488139A9" w14:textId="77777777" w:rsidTr="00154F1C">
        <w:trPr>
          <w:tblCellSpacing w:w="15" w:type="dxa"/>
        </w:trPr>
        <w:tc>
          <w:tcPr>
            <w:tcW w:w="0" w:type="auto"/>
            <w:vAlign w:val="center"/>
            <w:hideMark/>
          </w:tcPr>
          <w:p w14:paraId="4E38AF91"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b/>
                <w:bCs/>
              </w:rPr>
              <w:t>Geographical &amp; Environmental Factors</w:t>
            </w:r>
          </w:p>
        </w:tc>
        <w:tc>
          <w:tcPr>
            <w:tcW w:w="3120" w:type="dxa"/>
            <w:vAlign w:val="center"/>
            <w:hideMark/>
          </w:tcPr>
          <w:p w14:paraId="6FB41C7F" w14:textId="4D7E82F9" w:rsidR="009958D0" w:rsidRPr="009958D0" w:rsidRDefault="009958D0" w:rsidP="00154F1C">
            <w:pPr>
              <w:jc w:val="center"/>
              <w:rPr>
                <w:rFonts w:ascii="Times New Roman" w:hAnsi="Times New Roman" w:cs="Times New Roman"/>
              </w:rPr>
            </w:pPr>
            <w:r w:rsidRPr="009958D0">
              <w:rPr>
                <w:rFonts w:ascii="Times New Roman" w:hAnsi="Times New Roman" w:cs="Times New Roman"/>
              </w:rPr>
              <w:t xml:space="preserve">Climate and environment influence biological </w:t>
            </w:r>
            <w:r w:rsidR="00DD306A">
              <w:rPr>
                <w:rFonts w:ascii="Times New Roman" w:hAnsi="Times New Roman" w:cs="Times New Roman"/>
              </w:rPr>
              <w:t>well-being</w:t>
            </w:r>
            <w:r w:rsidRPr="009958D0">
              <w:rPr>
                <w:rFonts w:ascii="Times New Roman" w:hAnsi="Times New Roman" w:cs="Times New Roman"/>
              </w:rPr>
              <w:t xml:space="preserve"> (e.g., vitamin D, food quality).</w:t>
            </w:r>
          </w:p>
        </w:tc>
        <w:tc>
          <w:tcPr>
            <w:tcW w:w="4208" w:type="dxa"/>
            <w:vAlign w:val="center"/>
            <w:hideMark/>
          </w:tcPr>
          <w:p w14:paraId="6BB637A2"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rPr>
              <w:t>“Readily available sunlight in LMICs may reduce symptom severity.” / “Processed foods in HICs worsen metabolic health.”</w:t>
            </w:r>
          </w:p>
        </w:tc>
      </w:tr>
      <w:tr w:rsidR="000D5B09" w:rsidRPr="003A11D8" w14:paraId="091CF502" w14:textId="77777777" w:rsidTr="00154F1C">
        <w:trPr>
          <w:tblCellSpacing w:w="15" w:type="dxa"/>
        </w:trPr>
        <w:tc>
          <w:tcPr>
            <w:tcW w:w="0" w:type="auto"/>
            <w:vAlign w:val="center"/>
            <w:hideMark/>
          </w:tcPr>
          <w:p w14:paraId="208DF352"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b/>
                <w:bCs/>
              </w:rPr>
              <w:t>Immigration, Deprivation &amp; Stress</w:t>
            </w:r>
          </w:p>
        </w:tc>
        <w:tc>
          <w:tcPr>
            <w:tcW w:w="3120" w:type="dxa"/>
            <w:vAlign w:val="center"/>
            <w:hideMark/>
          </w:tcPr>
          <w:p w14:paraId="00BC4BFD"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rPr>
              <w:t>Migrants face reduced income, discrimination, and health inequities.</w:t>
            </w:r>
          </w:p>
        </w:tc>
        <w:tc>
          <w:tcPr>
            <w:tcW w:w="4208" w:type="dxa"/>
            <w:vAlign w:val="center"/>
            <w:hideMark/>
          </w:tcPr>
          <w:p w14:paraId="52BBC90E"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rPr>
              <w:t>“Nativity advantage declines after migration.” / “Financial pressures increase stress.”</w:t>
            </w:r>
          </w:p>
        </w:tc>
      </w:tr>
      <w:tr w:rsidR="000D5B09" w:rsidRPr="003A11D8" w14:paraId="5AF631D1" w14:textId="77777777" w:rsidTr="00154F1C">
        <w:trPr>
          <w:tblCellSpacing w:w="15" w:type="dxa"/>
        </w:trPr>
        <w:tc>
          <w:tcPr>
            <w:tcW w:w="0" w:type="auto"/>
            <w:vAlign w:val="center"/>
            <w:hideMark/>
          </w:tcPr>
          <w:p w14:paraId="36F00147"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b/>
                <w:bCs/>
              </w:rPr>
              <w:lastRenderedPageBreak/>
              <w:t>Health System Inequalities</w:t>
            </w:r>
          </w:p>
        </w:tc>
        <w:tc>
          <w:tcPr>
            <w:tcW w:w="3120" w:type="dxa"/>
            <w:vAlign w:val="center"/>
            <w:hideMark/>
          </w:tcPr>
          <w:p w14:paraId="306DD96F"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rPr>
              <w:t>Minority women report poorer access and care quality.</w:t>
            </w:r>
          </w:p>
        </w:tc>
        <w:tc>
          <w:tcPr>
            <w:tcW w:w="4208" w:type="dxa"/>
            <w:vAlign w:val="center"/>
            <w:hideMark/>
          </w:tcPr>
          <w:p w14:paraId="013B4C99"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rPr>
              <w:t>“Ethnic minorities in the UK received less menopause support.” / “COVID highlighted chronic inequities.”</w:t>
            </w:r>
          </w:p>
        </w:tc>
      </w:tr>
      <w:tr w:rsidR="000D5B09" w:rsidRPr="003A11D8" w14:paraId="0D2448DF" w14:textId="77777777" w:rsidTr="00154F1C">
        <w:trPr>
          <w:tblCellSpacing w:w="15" w:type="dxa"/>
        </w:trPr>
        <w:tc>
          <w:tcPr>
            <w:tcW w:w="0" w:type="auto"/>
            <w:vAlign w:val="center"/>
            <w:hideMark/>
          </w:tcPr>
          <w:p w14:paraId="31E20D86"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b/>
                <w:bCs/>
              </w:rPr>
              <w:t>Menopause Literacy Gaps</w:t>
            </w:r>
          </w:p>
        </w:tc>
        <w:tc>
          <w:tcPr>
            <w:tcW w:w="3120" w:type="dxa"/>
            <w:vAlign w:val="center"/>
            <w:hideMark/>
          </w:tcPr>
          <w:p w14:paraId="482D9084"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rPr>
              <w:t>Low awareness among patients and clinicians hinders care.</w:t>
            </w:r>
          </w:p>
        </w:tc>
        <w:tc>
          <w:tcPr>
            <w:tcW w:w="4208" w:type="dxa"/>
            <w:vAlign w:val="center"/>
            <w:hideMark/>
          </w:tcPr>
          <w:p w14:paraId="170DF2B2"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rPr>
              <w:t>“Even with policies, menopause literacy was poor.”</w:t>
            </w:r>
          </w:p>
        </w:tc>
      </w:tr>
      <w:tr w:rsidR="000D5B09" w:rsidRPr="003A11D8" w14:paraId="3A9B04D1" w14:textId="77777777" w:rsidTr="00154F1C">
        <w:trPr>
          <w:tblCellSpacing w:w="15" w:type="dxa"/>
        </w:trPr>
        <w:tc>
          <w:tcPr>
            <w:tcW w:w="0" w:type="auto"/>
            <w:vAlign w:val="center"/>
            <w:hideMark/>
          </w:tcPr>
          <w:p w14:paraId="440C3AF3"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b/>
                <w:bCs/>
              </w:rPr>
              <w:t>Cultural Norms &amp; Sociocultural Roles</w:t>
            </w:r>
          </w:p>
        </w:tc>
        <w:tc>
          <w:tcPr>
            <w:tcW w:w="3120" w:type="dxa"/>
            <w:vAlign w:val="center"/>
            <w:hideMark/>
          </w:tcPr>
          <w:p w14:paraId="243E4F00"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rPr>
              <w:t>Cultural beliefs shape symptom expectations and responses.</w:t>
            </w:r>
          </w:p>
        </w:tc>
        <w:tc>
          <w:tcPr>
            <w:tcW w:w="4208" w:type="dxa"/>
            <w:vAlign w:val="center"/>
            <w:hideMark/>
          </w:tcPr>
          <w:p w14:paraId="05697ADC"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rPr>
              <w:t>“Weight gain is seen as protective.” / “Menopause is something to endure.”</w:t>
            </w:r>
          </w:p>
        </w:tc>
      </w:tr>
      <w:tr w:rsidR="000D5B09" w:rsidRPr="003A11D8" w14:paraId="54C48293" w14:textId="77777777" w:rsidTr="00154F1C">
        <w:trPr>
          <w:tblCellSpacing w:w="15" w:type="dxa"/>
        </w:trPr>
        <w:tc>
          <w:tcPr>
            <w:tcW w:w="0" w:type="auto"/>
            <w:vAlign w:val="center"/>
            <w:hideMark/>
          </w:tcPr>
          <w:p w14:paraId="681496EC"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b/>
                <w:bCs/>
              </w:rPr>
              <w:t>Sexual Health Silence &amp; Stigma</w:t>
            </w:r>
          </w:p>
        </w:tc>
        <w:tc>
          <w:tcPr>
            <w:tcW w:w="3120" w:type="dxa"/>
            <w:vAlign w:val="center"/>
            <w:hideMark/>
          </w:tcPr>
          <w:p w14:paraId="78EEC322"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rPr>
              <w:t>Vaginal atrophy and sexual symptoms under-recognised due to cultural taboos.</w:t>
            </w:r>
          </w:p>
        </w:tc>
        <w:tc>
          <w:tcPr>
            <w:tcW w:w="4208" w:type="dxa"/>
            <w:vAlign w:val="center"/>
            <w:hideMark/>
          </w:tcPr>
          <w:p w14:paraId="7AC0E2AA" w14:textId="7B5BF788" w:rsidR="009958D0" w:rsidRPr="009958D0" w:rsidRDefault="009958D0" w:rsidP="00154F1C">
            <w:pPr>
              <w:jc w:val="center"/>
              <w:rPr>
                <w:rFonts w:ascii="Times New Roman" w:hAnsi="Times New Roman" w:cs="Times New Roman"/>
              </w:rPr>
            </w:pPr>
            <w:r w:rsidRPr="009958D0">
              <w:rPr>
                <w:rFonts w:ascii="Times New Roman" w:hAnsi="Times New Roman" w:cs="Times New Roman"/>
              </w:rPr>
              <w:t>“Women disengaged from genital health after childbirth.”</w:t>
            </w:r>
            <w:r w:rsidR="004E462D" w:rsidRPr="003A11D8">
              <w:rPr>
                <w:rFonts w:ascii="Times New Roman" w:hAnsi="Times New Roman" w:cs="Times New Roman"/>
              </w:rPr>
              <w:t>/ “no need for sexual activity</w:t>
            </w:r>
            <w:r w:rsidR="004B16DB" w:rsidRPr="003A11D8">
              <w:rPr>
                <w:rFonts w:ascii="Times New Roman" w:hAnsi="Times New Roman" w:cs="Times New Roman"/>
              </w:rPr>
              <w:t xml:space="preserve"> after </w:t>
            </w:r>
            <w:r w:rsidR="000D5B09" w:rsidRPr="003A11D8">
              <w:rPr>
                <w:rFonts w:ascii="Times New Roman" w:hAnsi="Times New Roman" w:cs="Times New Roman"/>
              </w:rPr>
              <w:t xml:space="preserve">childbirth completion or </w:t>
            </w:r>
            <w:r w:rsidR="00D3575A" w:rsidRPr="003A11D8">
              <w:rPr>
                <w:rFonts w:ascii="Times New Roman" w:hAnsi="Times New Roman" w:cs="Times New Roman"/>
              </w:rPr>
              <w:t xml:space="preserve">after </w:t>
            </w:r>
            <w:r w:rsidR="004B16DB" w:rsidRPr="003A11D8">
              <w:rPr>
                <w:rFonts w:ascii="Times New Roman" w:hAnsi="Times New Roman" w:cs="Times New Roman"/>
              </w:rPr>
              <w:t>menopause”</w:t>
            </w:r>
          </w:p>
        </w:tc>
      </w:tr>
      <w:tr w:rsidR="000D5B09" w:rsidRPr="003A11D8" w14:paraId="77A23720" w14:textId="77777777" w:rsidTr="00154F1C">
        <w:trPr>
          <w:tblCellSpacing w:w="15" w:type="dxa"/>
        </w:trPr>
        <w:tc>
          <w:tcPr>
            <w:tcW w:w="0" w:type="auto"/>
            <w:vAlign w:val="center"/>
            <w:hideMark/>
          </w:tcPr>
          <w:p w14:paraId="11D2341F"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b/>
                <w:bCs/>
              </w:rPr>
              <w:t>Fear of MHT &amp; Alternative Treatments</w:t>
            </w:r>
          </w:p>
        </w:tc>
        <w:tc>
          <w:tcPr>
            <w:tcW w:w="3120" w:type="dxa"/>
            <w:vAlign w:val="center"/>
            <w:hideMark/>
          </w:tcPr>
          <w:p w14:paraId="48264042" w14:textId="77777777" w:rsidR="009958D0" w:rsidRPr="009958D0" w:rsidRDefault="009958D0" w:rsidP="00154F1C">
            <w:pPr>
              <w:jc w:val="center"/>
              <w:rPr>
                <w:rFonts w:ascii="Times New Roman" w:hAnsi="Times New Roman" w:cs="Times New Roman"/>
              </w:rPr>
            </w:pPr>
            <w:r w:rsidRPr="009958D0">
              <w:rPr>
                <w:rFonts w:ascii="Times New Roman" w:hAnsi="Times New Roman" w:cs="Times New Roman"/>
              </w:rPr>
              <w:t>Mistrust driven by side-effect fears, media, and misinformation.</w:t>
            </w:r>
          </w:p>
        </w:tc>
        <w:tc>
          <w:tcPr>
            <w:tcW w:w="4208" w:type="dxa"/>
            <w:vAlign w:val="center"/>
            <w:hideMark/>
          </w:tcPr>
          <w:p w14:paraId="7E7C0A40" w14:textId="2963072C" w:rsidR="009958D0" w:rsidRPr="009958D0" w:rsidRDefault="009958D0" w:rsidP="00154F1C">
            <w:pPr>
              <w:jc w:val="center"/>
              <w:rPr>
                <w:rFonts w:ascii="Times New Roman" w:hAnsi="Times New Roman" w:cs="Times New Roman"/>
              </w:rPr>
            </w:pPr>
            <w:r w:rsidRPr="009958D0">
              <w:rPr>
                <w:rFonts w:ascii="Times New Roman" w:hAnsi="Times New Roman" w:cs="Times New Roman"/>
              </w:rPr>
              <w:t>“Concerns over fibroid growth and sensationalised press reduce uptake.”</w:t>
            </w:r>
            <w:r w:rsidR="00517C85" w:rsidRPr="003A11D8">
              <w:rPr>
                <w:rFonts w:ascii="Times New Roman" w:hAnsi="Times New Roman" w:cs="Times New Roman"/>
              </w:rPr>
              <w:t xml:space="preserve">/ </w:t>
            </w:r>
            <w:r w:rsidR="00AF0D12" w:rsidRPr="003A11D8">
              <w:rPr>
                <w:rFonts w:ascii="Times New Roman" w:hAnsi="Times New Roman" w:cs="Times New Roman"/>
              </w:rPr>
              <w:t>“</w:t>
            </w:r>
            <w:r w:rsidR="00517C85" w:rsidRPr="003A11D8">
              <w:rPr>
                <w:rFonts w:ascii="Times New Roman" w:hAnsi="Times New Roman" w:cs="Times New Roman"/>
              </w:rPr>
              <w:t>no readily available/ affordable</w:t>
            </w:r>
            <w:r w:rsidR="00682ACA" w:rsidRPr="003A11D8">
              <w:rPr>
                <w:rFonts w:ascii="Times New Roman" w:hAnsi="Times New Roman" w:cs="Times New Roman"/>
              </w:rPr>
              <w:t xml:space="preserve"> highly sensitive</w:t>
            </w:r>
            <w:r w:rsidR="00A55834" w:rsidRPr="003A11D8">
              <w:rPr>
                <w:rFonts w:ascii="Times New Roman" w:hAnsi="Times New Roman" w:cs="Times New Roman"/>
              </w:rPr>
              <w:t xml:space="preserve"> diagnostic test in women with fibroids</w:t>
            </w:r>
            <w:r w:rsidR="00AF0D12" w:rsidRPr="003A11D8">
              <w:rPr>
                <w:rFonts w:ascii="Times New Roman" w:hAnsi="Times New Roman" w:cs="Times New Roman"/>
              </w:rPr>
              <w:t>”</w:t>
            </w:r>
          </w:p>
        </w:tc>
      </w:tr>
    </w:tbl>
    <w:p w14:paraId="2A117354" w14:textId="755836A1" w:rsidR="00D07E9D" w:rsidRPr="003A11D8" w:rsidRDefault="00D07E9D">
      <w:pPr>
        <w:rPr>
          <w:rFonts w:ascii="Times New Roman" w:hAnsi="Times New Roman" w:cs="Times New Roman"/>
        </w:rPr>
      </w:pPr>
    </w:p>
    <w:sectPr w:rsidR="00D07E9D" w:rsidRPr="003A11D8" w:rsidSect="00692CB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88CE58" w16cex:dateUtc="2025-12-13T21:42:00Z"/>
  <w16cex:commentExtensible w16cex:durableId="74C20BA9" w16cex:dateUtc="2025-12-13T11:47:00Z"/>
  <w16cex:commentExtensible w16cex:durableId="2D44CAC4" w16cex:dateUtc="2025-12-13T11:52:00Z"/>
  <w16cex:commentExtensible w16cex:durableId="1F4C94AF" w16cex:dateUtc="2025-12-13T11:53:00Z"/>
  <w16cex:commentExtensible w16cex:durableId="525513FF" w16cex:dateUtc="2025-12-13T12:38:00Z"/>
  <w16cex:commentExtensible w16cex:durableId="366AF486" w16cex:dateUtc="2025-12-13T11:54:00Z"/>
  <w16cex:commentExtensible w16cex:durableId="0D2240A1" w16cex:dateUtc="2025-12-13T11:54:00Z"/>
  <w16cex:commentExtensible w16cex:durableId="206F4322" w16cex:dateUtc="2025-12-13T11:56:00Z"/>
  <w16cex:commentExtensible w16cex:durableId="47232609" w16cex:dateUtc="2025-12-13T12:00:00Z"/>
  <w16cex:commentExtensible w16cex:durableId="649ACC14" w16cex:dateUtc="2025-12-13T12:28:00Z"/>
  <w16cex:commentExtensible w16cex:durableId="633358A2" w16cex:dateUtc="2025-12-13T12:44:00Z"/>
  <w16cex:commentExtensible w16cex:durableId="79A5ADC2" w16cex:dateUtc="2025-12-13T13:04:00Z"/>
  <w16cex:commentExtensible w16cex:durableId="4B44E2FD" w16cex:dateUtc="2025-12-13T21:43:00Z"/>
  <w16cex:commentExtensible w16cex:durableId="634BB90C" w16cex:dateUtc="2025-12-13T14:23:00Z"/>
  <w16cex:commentExtensible w16cex:durableId="2ED40D43" w16cex:dateUtc="2025-12-13T14:41:00Z"/>
  <w16cex:commentExtensible w16cex:durableId="48F612F1" w16cex:dateUtc="2025-12-13T14:42:00Z"/>
  <w16cex:commentExtensible w16cex:durableId="03935626" w16cex:dateUtc="2025-12-13T15:50:00Z"/>
  <w16cex:commentExtensible w16cex:durableId="56F0FAF9" w16cex:dateUtc="2025-12-13T19: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2371C" w14:textId="77777777" w:rsidR="00870969" w:rsidRDefault="00870969">
      <w:pPr>
        <w:spacing w:after="0" w:line="240" w:lineRule="auto"/>
      </w:pPr>
      <w:r>
        <w:separator/>
      </w:r>
    </w:p>
  </w:endnote>
  <w:endnote w:type="continuationSeparator" w:id="0">
    <w:p w14:paraId="279D7595" w14:textId="77777777" w:rsidR="00870969" w:rsidRDefault="0087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DA24" w14:textId="77777777" w:rsidR="003A7376" w:rsidRDefault="003A7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757504"/>
      <w:docPartObj>
        <w:docPartGallery w:val="Page Numbers (Bottom of Page)"/>
        <w:docPartUnique/>
      </w:docPartObj>
    </w:sdtPr>
    <w:sdtEndPr/>
    <w:sdtContent>
      <w:p w14:paraId="1AFA649E" w14:textId="77777777" w:rsidR="00692CB7" w:rsidRDefault="00692CB7">
        <w:pPr>
          <w:pStyle w:val="Footer"/>
          <w:jc w:val="center"/>
        </w:pPr>
        <w:r>
          <w:fldChar w:fldCharType="begin"/>
        </w:r>
        <w:r>
          <w:instrText>PAGE   \* MERGEFORMAT</w:instrText>
        </w:r>
        <w:r>
          <w:fldChar w:fldCharType="separate"/>
        </w:r>
        <w:r>
          <w:t>2</w:t>
        </w:r>
        <w:r>
          <w:fldChar w:fldCharType="end"/>
        </w:r>
      </w:p>
    </w:sdtContent>
  </w:sdt>
  <w:p w14:paraId="12F2BA92" w14:textId="77777777" w:rsidR="00692CB7" w:rsidRDefault="00692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EF57" w14:textId="77777777" w:rsidR="003A7376" w:rsidRDefault="003A7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85B87" w14:textId="77777777" w:rsidR="00870969" w:rsidRDefault="00870969">
      <w:pPr>
        <w:spacing w:after="0" w:line="240" w:lineRule="auto"/>
      </w:pPr>
      <w:r>
        <w:separator/>
      </w:r>
    </w:p>
  </w:footnote>
  <w:footnote w:type="continuationSeparator" w:id="0">
    <w:p w14:paraId="71CFAD4B" w14:textId="77777777" w:rsidR="00870969" w:rsidRDefault="00870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F20E" w14:textId="06CF3FB4" w:rsidR="003A7376" w:rsidRDefault="00870969">
    <w:pPr>
      <w:pStyle w:val="Header"/>
    </w:pPr>
    <w:r>
      <w:rPr>
        <w:noProof/>
      </w:rPr>
      <w:pict w14:anchorId="4BB55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73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1B90" w14:textId="7DF3D0ED" w:rsidR="003A7376" w:rsidRDefault="00870969">
    <w:pPr>
      <w:pStyle w:val="Header"/>
    </w:pPr>
    <w:r>
      <w:rPr>
        <w:noProof/>
      </w:rPr>
      <w:pict w14:anchorId="1E174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73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C797" w14:textId="32063537" w:rsidR="003A7376" w:rsidRDefault="00870969">
    <w:pPr>
      <w:pStyle w:val="Header"/>
    </w:pPr>
    <w:r>
      <w:rPr>
        <w:noProof/>
      </w:rPr>
      <w:pict w14:anchorId="00435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73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1055"/>
    <w:multiLevelType w:val="hybridMultilevel"/>
    <w:tmpl w:val="8E0004DC"/>
    <w:lvl w:ilvl="0" w:tplc="BD922A8E">
      <w:start w:val="1"/>
      <w:numFmt w:val="bullet"/>
      <w:lvlText w:val="•"/>
      <w:lvlJc w:val="left"/>
      <w:pPr>
        <w:tabs>
          <w:tab w:val="num" w:pos="720"/>
        </w:tabs>
        <w:ind w:left="720" w:hanging="360"/>
      </w:pPr>
      <w:rPr>
        <w:rFonts w:ascii="Arial" w:hAnsi="Arial" w:hint="default"/>
      </w:rPr>
    </w:lvl>
    <w:lvl w:ilvl="1" w:tplc="F808D974">
      <w:start w:val="1"/>
      <w:numFmt w:val="bullet"/>
      <w:lvlText w:val="•"/>
      <w:lvlJc w:val="left"/>
      <w:pPr>
        <w:tabs>
          <w:tab w:val="num" w:pos="1440"/>
        </w:tabs>
        <w:ind w:left="1440" w:hanging="360"/>
      </w:pPr>
      <w:rPr>
        <w:rFonts w:ascii="Arial" w:hAnsi="Arial" w:hint="default"/>
      </w:rPr>
    </w:lvl>
    <w:lvl w:ilvl="2" w:tplc="DFEC0364" w:tentative="1">
      <w:start w:val="1"/>
      <w:numFmt w:val="bullet"/>
      <w:lvlText w:val="•"/>
      <w:lvlJc w:val="left"/>
      <w:pPr>
        <w:tabs>
          <w:tab w:val="num" w:pos="2160"/>
        </w:tabs>
        <w:ind w:left="2160" w:hanging="360"/>
      </w:pPr>
      <w:rPr>
        <w:rFonts w:ascii="Arial" w:hAnsi="Arial" w:hint="default"/>
      </w:rPr>
    </w:lvl>
    <w:lvl w:ilvl="3" w:tplc="85B8444A" w:tentative="1">
      <w:start w:val="1"/>
      <w:numFmt w:val="bullet"/>
      <w:lvlText w:val="•"/>
      <w:lvlJc w:val="left"/>
      <w:pPr>
        <w:tabs>
          <w:tab w:val="num" w:pos="2880"/>
        </w:tabs>
        <w:ind w:left="2880" w:hanging="360"/>
      </w:pPr>
      <w:rPr>
        <w:rFonts w:ascii="Arial" w:hAnsi="Arial" w:hint="default"/>
      </w:rPr>
    </w:lvl>
    <w:lvl w:ilvl="4" w:tplc="33302C32" w:tentative="1">
      <w:start w:val="1"/>
      <w:numFmt w:val="bullet"/>
      <w:lvlText w:val="•"/>
      <w:lvlJc w:val="left"/>
      <w:pPr>
        <w:tabs>
          <w:tab w:val="num" w:pos="3600"/>
        </w:tabs>
        <w:ind w:left="3600" w:hanging="360"/>
      </w:pPr>
      <w:rPr>
        <w:rFonts w:ascii="Arial" w:hAnsi="Arial" w:hint="default"/>
      </w:rPr>
    </w:lvl>
    <w:lvl w:ilvl="5" w:tplc="F1D89AF8" w:tentative="1">
      <w:start w:val="1"/>
      <w:numFmt w:val="bullet"/>
      <w:lvlText w:val="•"/>
      <w:lvlJc w:val="left"/>
      <w:pPr>
        <w:tabs>
          <w:tab w:val="num" w:pos="4320"/>
        </w:tabs>
        <w:ind w:left="4320" w:hanging="360"/>
      </w:pPr>
      <w:rPr>
        <w:rFonts w:ascii="Arial" w:hAnsi="Arial" w:hint="default"/>
      </w:rPr>
    </w:lvl>
    <w:lvl w:ilvl="6" w:tplc="C56EB868" w:tentative="1">
      <w:start w:val="1"/>
      <w:numFmt w:val="bullet"/>
      <w:lvlText w:val="•"/>
      <w:lvlJc w:val="left"/>
      <w:pPr>
        <w:tabs>
          <w:tab w:val="num" w:pos="5040"/>
        </w:tabs>
        <w:ind w:left="5040" w:hanging="360"/>
      </w:pPr>
      <w:rPr>
        <w:rFonts w:ascii="Arial" w:hAnsi="Arial" w:hint="default"/>
      </w:rPr>
    </w:lvl>
    <w:lvl w:ilvl="7" w:tplc="E0A6F69A" w:tentative="1">
      <w:start w:val="1"/>
      <w:numFmt w:val="bullet"/>
      <w:lvlText w:val="•"/>
      <w:lvlJc w:val="left"/>
      <w:pPr>
        <w:tabs>
          <w:tab w:val="num" w:pos="5760"/>
        </w:tabs>
        <w:ind w:left="5760" w:hanging="360"/>
      </w:pPr>
      <w:rPr>
        <w:rFonts w:ascii="Arial" w:hAnsi="Arial" w:hint="default"/>
      </w:rPr>
    </w:lvl>
    <w:lvl w:ilvl="8" w:tplc="3CAC18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530BFE"/>
    <w:multiLevelType w:val="hybridMultilevel"/>
    <w:tmpl w:val="CAEE9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0D0373"/>
    <w:multiLevelType w:val="hybridMultilevel"/>
    <w:tmpl w:val="18409A70"/>
    <w:lvl w:ilvl="0" w:tplc="BD922A8E">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B1516D"/>
    <w:multiLevelType w:val="hybridMultilevel"/>
    <w:tmpl w:val="021EB454"/>
    <w:lvl w:ilvl="0" w:tplc="7FB0E730">
      <w:start w:val="1"/>
      <w:numFmt w:val="bullet"/>
      <w:lvlText w:val="•"/>
      <w:lvlJc w:val="left"/>
      <w:pPr>
        <w:tabs>
          <w:tab w:val="num" w:pos="720"/>
        </w:tabs>
        <w:ind w:left="720" w:hanging="360"/>
      </w:pPr>
      <w:rPr>
        <w:rFonts w:ascii="Arial" w:hAnsi="Arial" w:hint="default"/>
      </w:rPr>
    </w:lvl>
    <w:lvl w:ilvl="1" w:tplc="D4A2D5DE" w:tentative="1">
      <w:start w:val="1"/>
      <w:numFmt w:val="bullet"/>
      <w:lvlText w:val="•"/>
      <w:lvlJc w:val="left"/>
      <w:pPr>
        <w:tabs>
          <w:tab w:val="num" w:pos="1440"/>
        </w:tabs>
        <w:ind w:left="1440" w:hanging="360"/>
      </w:pPr>
      <w:rPr>
        <w:rFonts w:ascii="Arial" w:hAnsi="Arial" w:hint="default"/>
      </w:rPr>
    </w:lvl>
    <w:lvl w:ilvl="2" w:tplc="495E0EEA" w:tentative="1">
      <w:start w:val="1"/>
      <w:numFmt w:val="bullet"/>
      <w:lvlText w:val="•"/>
      <w:lvlJc w:val="left"/>
      <w:pPr>
        <w:tabs>
          <w:tab w:val="num" w:pos="2160"/>
        </w:tabs>
        <w:ind w:left="2160" w:hanging="360"/>
      </w:pPr>
      <w:rPr>
        <w:rFonts w:ascii="Arial" w:hAnsi="Arial" w:hint="default"/>
      </w:rPr>
    </w:lvl>
    <w:lvl w:ilvl="3" w:tplc="A2FE5AA8" w:tentative="1">
      <w:start w:val="1"/>
      <w:numFmt w:val="bullet"/>
      <w:lvlText w:val="•"/>
      <w:lvlJc w:val="left"/>
      <w:pPr>
        <w:tabs>
          <w:tab w:val="num" w:pos="2880"/>
        </w:tabs>
        <w:ind w:left="2880" w:hanging="360"/>
      </w:pPr>
      <w:rPr>
        <w:rFonts w:ascii="Arial" w:hAnsi="Arial" w:hint="default"/>
      </w:rPr>
    </w:lvl>
    <w:lvl w:ilvl="4" w:tplc="5A12DEAE" w:tentative="1">
      <w:start w:val="1"/>
      <w:numFmt w:val="bullet"/>
      <w:lvlText w:val="•"/>
      <w:lvlJc w:val="left"/>
      <w:pPr>
        <w:tabs>
          <w:tab w:val="num" w:pos="3600"/>
        </w:tabs>
        <w:ind w:left="3600" w:hanging="360"/>
      </w:pPr>
      <w:rPr>
        <w:rFonts w:ascii="Arial" w:hAnsi="Arial" w:hint="default"/>
      </w:rPr>
    </w:lvl>
    <w:lvl w:ilvl="5" w:tplc="51164CB2" w:tentative="1">
      <w:start w:val="1"/>
      <w:numFmt w:val="bullet"/>
      <w:lvlText w:val="•"/>
      <w:lvlJc w:val="left"/>
      <w:pPr>
        <w:tabs>
          <w:tab w:val="num" w:pos="4320"/>
        </w:tabs>
        <w:ind w:left="4320" w:hanging="360"/>
      </w:pPr>
      <w:rPr>
        <w:rFonts w:ascii="Arial" w:hAnsi="Arial" w:hint="default"/>
      </w:rPr>
    </w:lvl>
    <w:lvl w:ilvl="6" w:tplc="BC3E1F7A" w:tentative="1">
      <w:start w:val="1"/>
      <w:numFmt w:val="bullet"/>
      <w:lvlText w:val="•"/>
      <w:lvlJc w:val="left"/>
      <w:pPr>
        <w:tabs>
          <w:tab w:val="num" w:pos="5040"/>
        </w:tabs>
        <w:ind w:left="5040" w:hanging="360"/>
      </w:pPr>
      <w:rPr>
        <w:rFonts w:ascii="Arial" w:hAnsi="Arial" w:hint="default"/>
      </w:rPr>
    </w:lvl>
    <w:lvl w:ilvl="7" w:tplc="E912F0A4" w:tentative="1">
      <w:start w:val="1"/>
      <w:numFmt w:val="bullet"/>
      <w:lvlText w:val="•"/>
      <w:lvlJc w:val="left"/>
      <w:pPr>
        <w:tabs>
          <w:tab w:val="num" w:pos="5760"/>
        </w:tabs>
        <w:ind w:left="5760" w:hanging="360"/>
      </w:pPr>
      <w:rPr>
        <w:rFonts w:ascii="Arial" w:hAnsi="Arial" w:hint="default"/>
      </w:rPr>
    </w:lvl>
    <w:lvl w:ilvl="8" w:tplc="600E7B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01538F"/>
    <w:multiLevelType w:val="hybridMultilevel"/>
    <w:tmpl w:val="CF0EE482"/>
    <w:lvl w:ilvl="0" w:tplc="7FEE3D6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6032E"/>
    <w:multiLevelType w:val="hybridMultilevel"/>
    <w:tmpl w:val="72721CD0"/>
    <w:lvl w:ilvl="0" w:tplc="AA1ECE72">
      <w:start w:val="1"/>
      <w:numFmt w:val="bullet"/>
      <w:lvlText w:val="•"/>
      <w:lvlJc w:val="left"/>
      <w:pPr>
        <w:tabs>
          <w:tab w:val="num" w:pos="720"/>
        </w:tabs>
        <w:ind w:left="720" w:hanging="360"/>
      </w:pPr>
      <w:rPr>
        <w:rFonts w:ascii="Arial" w:hAnsi="Arial" w:hint="default"/>
      </w:rPr>
    </w:lvl>
    <w:lvl w:ilvl="1" w:tplc="607AAB96" w:tentative="1">
      <w:start w:val="1"/>
      <w:numFmt w:val="bullet"/>
      <w:lvlText w:val="•"/>
      <w:lvlJc w:val="left"/>
      <w:pPr>
        <w:tabs>
          <w:tab w:val="num" w:pos="1440"/>
        </w:tabs>
        <w:ind w:left="1440" w:hanging="360"/>
      </w:pPr>
      <w:rPr>
        <w:rFonts w:ascii="Arial" w:hAnsi="Arial" w:hint="default"/>
      </w:rPr>
    </w:lvl>
    <w:lvl w:ilvl="2" w:tplc="2280F59A" w:tentative="1">
      <w:start w:val="1"/>
      <w:numFmt w:val="bullet"/>
      <w:lvlText w:val="•"/>
      <w:lvlJc w:val="left"/>
      <w:pPr>
        <w:tabs>
          <w:tab w:val="num" w:pos="2160"/>
        </w:tabs>
        <w:ind w:left="2160" w:hanging="360"/>
      </w:pPr>
      <w:rPr>
        <w:rFonts w:ascii="Arial" w:hAnsi="Arial" w:hint="default"/>
      </w:rPr>
    </w:lvl>
    <w:lvl w:ilvl="3" w:tplc="D9FA095C" w:tentative="1">
      <w:start w:val="1"/>
      <w:numFmt w:val="bullet"/>
      <w:lvlText w:val="•"/>
      <w:lvlJc w:val="left"/>
      <w:pPr>
        <w:tabs>
          <w:tab w:val="num" w:pos="2880"/>
        </w:tabs>
        <w:ind w:left="2880" w:hanging="360"/>
      </w:pPr>
      <w:rPr>
        <w:rFonts w:ascii="Arial" w:hAnsi="Arial" w:hint="default"/>
      </w:rPr>
    </w:lvl>
    <w:lvl w:ilvl="4" w:tplc="8FDC729E" w:tentative="1">
      <w:start w:val="1"/>
      <w:numFmt w:val="bullet"/>
      <w:lvlText w:val="•"/>
      <w:lvlJc w:val="left"/>
      <w:pPr>
        <w:tabs>
          <w:tab w:val="num" w:pos="3600"/>
        </w:tabs>
        <w:ind w:left="3600" w:hanging="360"/>
      </w:pPr>
      <w:rPr>
        <w:rFonts w:ascii="Arial" w:hAnsi="Arial" w:hint="default"/>
      </w:rPr>
    </w:lvl>
    <w:lvl w:ilvl="5" w:tplc="743450E0" w:tentative="1">
      <w:start w:val="1"/>
      <w:numFmt w:val="bullet"/>
      <w:lvlText w:val="•"/>
      <w:lvlJc w:val="left"/>
      <w:pPr>
        <w:tabs>
          <w:tab w:val="num" w:pos="4320"/>
        </w:tabs>
        <w:ind w:left="4320" w:hanging="360"/>
      </w:pPr>
      <w:rPr>
        <w:rFonts w:ascii="Arial" w:hAnsi="Arial" w:hint="default"/>
      </w:rPr>
    </w:lvl>
    <w:lvl w:ilvl="6" w:tplc="3AD08D8E" w:tentative="1">
      <w:start w:val="1"/>
      <w:numFmt w:val="bullet"/>
      <w:lvlText w:val="•"/>
      <w:lvlJc w:val="left"/>
      <w:pPr>
        <w:tabs>
          <w:tab w:val="num" w:pos="5040"/>
        </w:tabs>
        <w:ind w:left="5040" w:hanging="360"/>
      </w:pPr>
      <w:rPr>
        <w:rFonts w:ascii="Arial" w:hAnsi="Arial" w:hint="default"/>
      </w:rPr>
    </w:lvl>
    <w:lvl w:ilvl="7" w:tplc="0366C166" w:tentative="1">
      <w:start w:val="1"/>
      <w:numFmt w:val="bullet"/>
      <w:lvlText w:val="•"/>
      <w:lvlJc w:val="left"/>
      <w:pPr>
        <w:tabs>
          <w:tab w:val="num" w:pos="5760"/>
        </w:tabs>
        <w:ind w:left="5760" w:hanging="360"/>
      </w:pPr>
      <w:rPr>
        <w:rFonts w:ascii="Arial" w:hAnsi="Arial" w:hint="default"/>
      </w:rPr>
    </w:lvl>
    <w:lvl w:ilvl="8" w:tplc="DCC0402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0017BF"/>
    <w:multiLevelType w:val="hybridMultilevel"/>
    <w:tmpl w:val="5130FA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293D68"/>
    <w:multiLevelType w:val="hybridMultilevel"/>
    <w:tmpl w:val="ECBC9386"/>
    <w:lvl w:ilvl="0" w:tplc="7FEE3D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714BA9"/>
    <w:multiLevelType w:val="hybridMultilevel"/>
    <w:tmpl w:val="4DDEBAF6"/>
    <w:lvl w:ilvl="0" w:tplc="F790DD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A4BF0"/>
    <w:multiLevelType w:val="hybridMultilevel"/>
    <w:tmpl w:val="E0220AE6"/>
    <w:lvl w:ilvl="0" w:tplc="74569A38">
      <w:start w:val="1"/>
      <w:numFmt w:val="bullet"/>
      <w:lvlText w:val="•"/>
      <w:lvlJc w:val="left"/>
      <w:pPr>
        <w:tabs>
          <w:tab w:val="num" w:pos="720"/>
        </w:tabs>
        <w:ind w:left="720" w:hanging="360"/>
      </w:pPr>
      <w:rPr>
        <w:rFonts w:ascii="Times New Roman" w:hAnsi="Times New Roman" w:hint="default"/>
      </w:rPr>
    </w:lvl>
    <w:lvl w:ilvl="1" w:tplc="D74861FE" w:tentative="1">
      <w:start w:val="1"/>
      <w:numFmt w:val="bullet"/>
      <w:lvlText w:val="•"/>
      <w:lvlJc w:val="left"/>
      <w:pPr>
        <w:tabs>
          <w:tab w:val="num" w:pos="1440"/>
        </w:tabs>
        <w:ind w:left="1440" w:hanging="360"/>
      </w:pPr>
      <w:rPr>
        <w:rFonts w:ascii="Times New Roman" w:hAnsi="Times New Roman" w:hint="default"/>
      </w:rPr>
    </w:lvl>
    <w:lvl w:ilvl="2" w:tplc="A6DA7E2C" w:tentative="1">
      <w:start w:val="1"/>
      <w:numFmt w:val="bullet"/>
      <w:lvlText w:val="•"/>
      <w:lvlJc w:val="left"/>
      <w:pPr>
        <w:tabs>
          <w:tab w:val="num" w:pos="2160"/>
        </w:tabs>
        <w:ind w:left="2160" w:hanging="360"/>
      </w:pPr>
      <w:rPr>
        <w:rFonts w:ascii="Times New Roman" w:hAnsi="Times New Roman" w:hint="default"/>
      </w:rPr>
    </w:lvl>
    <w:lvl w:ilvl="3" w:tplc="C1A2EB9C" w:tentative="1">
      <w:start w:val="1"/>
      <w:numFmt w:val="bullet"/>
      <w:lvlText w:val="•"/>
      <w:lvlJc w:val="left"/>
      <w:pPr>
        <w:tabs>
          <w:tab w:val="num" w:pos="2880"/>
        </w:tabs>
        <w:ind w:left="2880" w:hanging="360"/>
      </w:pPr>
      <w:rPr>
        <w:rFonts w:ascii="Times New Roman" w:hAnsi="Times New Roman" w:hint="default"/>
      </w:rPr>
    </w:lvl>
    <w:lvl w:ilvl="4" w:tplc="66CACA1C" w:tentative="1">
      <w:start w:val="1"/>
      <w:numFmt w:val="bullet"/>
      <w:lvlText w:val="•"/>
      <w:lvlJc w:val="left"/>
      <w:pPr>
        <w:tabs>
          <w:tab w:val="num" w:pos="3600"/>
        </w:tabs>
        <w:ind w:left="3600" w:hanging="360"/>
      </w:pPr>
      <w:rPr>
        <w:rFonts w:ascii="Times New Roman" w:hAnsi="Times New Roman" w:hint="default"/>
      </w:rPr>
    </w:lvl>
    <w:lvl w:ilvl="5" w:tplc="102CA64E" w:tentative="1">
      <w:start w:val="1"/>
      <w:numFmt w:val="bullet"/>
      <w:lvlText w:val="•"/>
      <w:lvlJc w:val="left"/>
      <w:pPr>
        <w:tabs>
          <w:tab w:val="num" w:pos="4320"/>
        </w:tabs>
        <w:ind w:left="4320" w:hanging="360"/>
      </w:pPr>
      <w:rPr>
        <w:rFonts w:ascii="Times New Roman" w:hAnsi="Times New Roman" w:hint="default"/>
      </w:rPr>
    </w:lvl>
    <w:lvl w:ilvl="6" w:tplc="86BC7166" w:tentative="1">
      <w:start w:val="1"/>
      <w:numFmt w:val="bullet"/>
      <w:lvlText w:val="•"/>
      <w:lvlJc w:val="left"/>
      <w:pPr>
        <w:tabs>
          <w:tab w:val="num" w:pos="5040"/>
        </w:tabs>
        <w:ind w:left="5040" w:hanging="360"/>
      </w:pPr>
      <w:rPr>
        <w:rFonts w:ascii="Times New Roman" w:hAnsi="Times New Roman" w:hint="default"/>
      </w:rPr>
    </w:lvl>
    <w:lvl w:ilvl="7" w:tplc="BFA252CA" w:tentative="1">
      <w:start w:val="1"/>
      <w:numFmt w:val="bullet"/>
      <w:lvlText w:val="•"/>
      <w:lvlJc w:val="left"/>
      <w:pPr>
        <w:tabs>
          <w:tab w:val="num" w:pos="5760"/>
        </w:tabs>
        <w:ind w:left="5760" w:hanging="360"/>
      </w:pPr>
      <w:rPr>
        <w:rFonts w:ascii="Times New Roman" w:hAnsi="Times New Roman" w:hint="default"/>
      </w:rPr>
    </w:lvl>
    <w:lvl w:ilvl="8" w:tplc="97AC2CA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84D2BD6"/>
    <w:multiLevelType w:val="hybridMultilevel"/>
    <w:tmpl w:val="F19C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43747"/>
    <w:multiLevelType w:val="hybridMultilevel"/>
    <w:tmpl w:val="CDE8BC40"/>
    <w:lvl w:ilvl="0" w:tplc="D83AD83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6655C"/>
    <w:multiLevelType w:val="hybridMultilevel"/>
    <w:tmpl w:val="82662A64"/>
    <w:lvl w:ilvl="0" w:tplc="89726BB8">
      <w:start w:val="1"/>
      <w:numFmt w:val="bullet"/>
      <w:lvlText w:val=""/>
      <w:lvlJc w:val="left"/>
      <w:pPr>
        <w:tabs>
          <w:tab w:val="num" w:pos="720"/>
        </w:tabs>
        <w:ind w:left="720" w:hanging="360"/>
      </w:pPr>
      <w:rPr>
        <w:rFonts w:ascii="Wingdings" w:hAnsi="Wingdings" w:hint="default"/>
      </w:rPr>
    </w:lvl>
    <w:lvl w:ilvl="1" w:tplc="121ABEE4" w:tentative="1">
      <w:start w:val="1"/>
      <w:numFmt w:val="bullet"/>
      <w:lvlText w:val=""/>
      <w:lvlJc w:val="left"/>
      <w:pPr>
        <w:tabs>
          <w:tab w:val="num" w:pos="1440"/>
        </w:tabs>
        <w:ind w:left="1440" w:hanging="360"/>
      </w:pPr>
      <w:rPr>
        <w:rFonts w:ascii="Wingdings" w:hAnsi="Wingdings" w:hint="default"/>
      </w:rPr>
    </w:lvl>
    <w:lvl w:ilvl="2" w:tplc="EABE2F3A" w:tentative="1">
      <w:start w:val="1"/>
      <w:numFmt w:val="bullet"/>
      <w:lvlText w:val=""/>
      <w:lvlJc w:val="left"/>
      <w:pPr>
        <w:tabs>
          <w:tab w:val="num" w:pos="2160"/>
        </w:tabs>
        <w:ind w:left="2160" w:hanging="360"/>
      </w:pPr>
      <w:rPr>
        <w:rFonts w:ascii="Wingdings" w:hAnsi="Wingdings" w:hint="default"/>
      </w:rPr>
    </w:lvl>
    <w:lvl w:ilvl="3" w:tplc="496E56DC" w:tentative="1">
      <w:start w:val="1"/>
      <w:numFmt w:val="bullet"/>
      <w:lvlText w:val=""/>
      <w:lvlJc w:val="left"/>
      <w:pPr>
        <w:tabs>
          <w:tab w:val="num" w:pos="2880"/>
        </w:tabs>
        <w:ind w:left="2880" w:hanging="360"/>
      </w:pPr>
      <w:rPr>
        <w:rFonts w:ascii="Wingdings" w:hAnsi="Wingdings" w:hint="default"/>
      </w:rPr>
    </w:lvl>
    <w:lvl w:ilvl="4" w:tplc="9FCE3986" w:tentative="1">
      <w:start w:val="1"/>
      <w:numFmt w:val="bullet"/>
      <w:lvlText w:val=""/>
      <w:lvlJc w:val="left"/>
      <w:pPr>
        <w:tabs>
          <w:tab w:val="num" w:pos="3600"/>
        </w:tabs>
        <w:ind w:left="3600" w:hanging="360"/>
      </w:pPr>
      <w:rPr>
        <w:rFonts w:ascii="Wingdings" w:hAnsi="Wingdings" w:hint="default"/>
      </w:rPr>
    </w:lvl>
    <w:lvl w:ilvl="5" w:tplc="148C7DA4" w:tentative="1">
      <w:start w:val="1"/>
      <w:numFmt w:val="bullet"/>
      <w:lvlText w:val=""/>
      <w:lvlJc w:val="left"/>
      <w:pPr>
        <w:tabs>
          <w:tab w:val="num" w:pos="4320"/>
        </w:tabs>
        <w:ind w:left="4320" w:hanging="360"/>
      </w:pPr>
      <w:rPr>
        <w:rFonts w:ascii="Wingdings" w:hAnsi="Wingdings" w:hint="default"/>
      </w:rPr>
    </w:lvl>
    <w:lvl w:ilvl="6" w:tplc="906C05C0" w:tentative="1">
      <w:start w:val="1"/>
      <w:numFmt w:val="bullet"/>
      <w:lvlText w:val=""/>
      <w:lvlJc w:val="left"/>
      <w:pPr>
        <w:tabs>
          <w:tab w:val="num" w:pos="5040"/>
        </w:tabs>
        <w:ind w:left="5040" w:hanging="360"/>
      </w:pPr>
      <w:rPr>
        <w:rFonts w:ascii="Wingdings" w:hAnsi="Wingdings" w:hint="default"/>
      </w:rPr>
    </w:lvl>
    <w:lvl w:ilvl="7" w:tplc="0CFEBF26" w:tentative="1">
      <w:start w:val="1"/>
      <w:numFmt w:val="bullet"/>
      <w:lvlText w:val=""/>
      <w:lvlJc w:val="left"/>
      <w:pPr>
        <w:tabs>
          <w:tab w:val="num" w:pos="5760"/>
        </w:tabs>
        <w:ind w:left="5760" w:hanging="360"/>
      </w:pPr>
      <w:rPr>
        <w:rFonts w:ascii="Wingdings" w:hAnsi="Wingdings" w:hint="default"/>
      </w:rPr>
    </w:lvl>
    <w:lvl w:ilvl="8" w:tplc="C15A0E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92C0B"/>
    <w:multiLevelType w:val="hybridMultilevel"/>
    <w:tmpl w:val="E10E5FA6"/>
    <w:lvl w:ilvl="0" w:tplc="C6E6F45E">
      <w:start w:val="1"/>
      <w:numFmt w:val="bullet"/>
      <w:lvlText w:val="•"/>
      <w:lvlJc w:val="left"/>
      <w:pPr>
        <w:tabs>
          <w:tab w:val="num" w:pos="720"/>
        </w:tabs>
        <w:ind w:left="720" w:hanging="360"/>
      </w:pPr>
      <w:rPr>
        <w:rFonts w:ascii="Arial" w:hAnsi="Arial" w:hint="default"/>
      </w:rPr>
    </w:lvl>
    <w:lvl w:ilvl="1" w:tplc="6E8ED140" w:tentative="1">
      <w:start w:val="1"/>
      <w:numFmt w:val="bullet"/>
      <w:lvlText w:val="•"/>
      <w:lvlJc w:val="left"/>
      <w:pPr>
        <w:tabs>
          <w:tab w:val="num" w:pos="1440"/>
        </w:tabs>
        <w:ind w:left="1440" w:hanging="360"/>
      </w:pPr>
      <w:rPr>
        <w:rFonts w:ascii="Arial" w:hAnsi="Arial" w:hint="default"/>
      </w:rPr>
    </w:lvl>
    <w:lvl w:ilvl="2" w:tplc="347C0330" w:tentative="1">
      <w:start w:val="1"/>
      <w:numFmt w:val="bullet"/>
      <w:lvlText w:val="•"/>
      <w:lvlJc w:val="left"/>
      <w:pPr>
        <w:tabs>
          <w:tab w:val="num" w:pos="2160"/>
        </w:tabs>
        <w:ind w:left="2160" w:hanging="360"/>
      </w:pPr>
      <w:rPr>
        <w:rFonts w:ascii="Arial" w:hAnsi="Arial" w:hint="default"/>
      </w:rPr>
    </w:lvl>
    <w:lvl w:ilvl="3" w:tplc="AD8698B6" w:tentative="1">
      <w:start w:val="1"/>
      <w:numFmt w:val="bullet"/>
      <w:lvlText w:val="•"/>
      <w:lvlJc w:val="left"/>
      <w:pPr>
        <w:tabs>
          <w:tab w:val="num" w:pos="2880"/>
        </w:tabs>
        <w:ind w:left="2880" w:hanging="360"/>
      </w:pPr>
      <w:rPr>
        <w:rFonts w:ascii="Arial" w:hAnsi="Arial" w:hint="default"/>
      </w:rPr>
    </w:lvl>
    <w:lvl w:ilvl="4" w:tplc="FEC0A270" w:tentative="1">
      <w:start w:val="1"/>
      <w:numFmt w:val="bullet"/>
      <w:lvlText w:val="•"/>
      <w:lvlJc w:val="left"/>
      <w:pPr>
        <w:tabs>
          <w:tab w:val="num" w:pos="3600"/>
        </w:tabs>
        <w:ind w:left="3600" w:hanging="360"/>
      </w:pPr>
      <w:rPr>
        <w:rFonts w:ascii="Arial" w:hAnsi="Arial" w:hint="default"/>
      </w:rPr>
    </w:lvl>
    <w:lvl w:ilvl="5" w:tplc="347251B8" w:tentative="1">
      <w:start w:val="1"/>
      <w:numFmt w:val="bullet"/>
      <w:lvlText w:val="•"/>
      <w:lvlJc w:val="left"/>
      <w:pPr>
        <w:tabs>
          <w:tab w:val="num" w:pos="4320"/>
        </w:tabs>
        <w:ind w:left="4320" w:hanging="360"/>
      </w:pPr>
      <w:rPr>
        <w:rFonts w:ascii="Arial" w:hAnsi="Arial" w:hint="default"/>
      </w:rPr>
    </w:lvl>
    <w:lvl w:ilvl="6" w:tplc="8014E832" w:tentative="1">
      <w:start w:val="1"/>
      <w:numFmt w:val="bullet"/>
      <w:lvlText w:val="•"/>
      <w:lvlJc w:val="left"/>
      <w:pPr>
        <w:tabs>
          <w:tab w:val="num" w:pos="5040"/>
        </w:tabs>
        <w:ind w:left="5040" w:hanging="360"/>
      </w:pPr>
      <w:rPr>
        <w:rFonts w:ascii="Arial" w:hAnsi="Arial" w:hint="default"/>
      </w:rPr>
    </w:lvl>
    <w:lvl w:ilvl="7" w:tplc="8280F640" w:tentative="1">
      <w:start w:val="1"/>
      <w:numFmt w:val="bullet"/>
      <w:lvlText w:val="•"/>
      <w:lvlJc w:val="left"/>
      <w:pPr>
        <w:tabs>
          <w:tab w:val="num" w:pos="5760"/>
        </w:tabs>
        <w:ind w:left="5760" w:hanging="360"/>
      </w:pPr>
      <w:rPr>
        <w:rFonts w:ascii="Arial" w:hAnsi="Arial" w:hint="default"/>
      </w:rPr>
    </w:lvl>
    <w:lvl w:ilvl="8" w:tplc="A55091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9640B6"/>
    <w:multiLevelType w:val="hybridMultilevel"/>
    <w:tmpl w:val="681424C2"/>
    <w:lvl w:ilvl="0" w:tplc="BD922A8E">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AE3180"/>
    <w:multiLevelType w:val="multilevel"/>
    <w:tmpl w:val="753A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2034BE"/>
    <w:multiLevelType w:val="hybridMultilevel"/>
    <w:tmpl w:val="7D40A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8F30D1"/>
    <w:multiLevelType w:val="hybridMultilevel"/>
    <w:tmpl w:val="DF3469B2"/>
    <w:lvl w:ilvl="0" w:tplc="605068A2">
      <w:start w:val="1"/>
      <w:numFmt w:val="bullet"/>
      <w:lvlText w:val="•"/>
      <w:lvlJc w:val="left"/>
      <w:pPr>
        <w:tabs>
          <w:tab w:val="num" w:pos="720"/>
        </w:tabs>
        <w:ind w:left="720" w:hanging="360"/>
      </w:pPr>
      <w:rPr>
        <w:rFonts w:ascii="Times New Roman" w:hAnsi="Times New Roman" w:hint="default"/>
      </w:rPr>
    </w:lvl>
    <w:lvl w:ilvl="1" w:tplc="A58EA28A" w:tentative="1">
      <w:start w:val="1"/>
      <w:numFmt w:val="bullet"/>
      <w:lvlText w:val="•"/>
      <w:lvlJc w:val="left"/>
      <w:pPr>
        <w:tabs>
          <w:tab w:val="num" w:pos="1440"/>
        </w:tabs>
        <w:ind w:left="1440" w:hanging="360"/>
      </w:pPr>
      <w:rPr>
        <w:rFonts w:ascii="Times New Roman" w:hAnsi="Times New Roman" w:hint="default"/>
      </w:rPr>
    </w:lvl>
    <w:lvl w:ilvl="2" w:tplc="1F3A46F0" w:tentative="1">
      <w:start w:val="1"/>
      <w:numFmt w:val="bullet"/>
      <w:lvlText w:val="•"/>
      <w:lvlJc w:val="left"/>
      <w:pPr>
        <w:tabs>
          <w:tab w:val="num" w:pos="2160"/>
        </w:tabs>
        <w:ind w:left="2160" w:hanging="360"/>
      </w:pPr>
      <w:rPr>
        <w:rFonts w:ascii="Times New Roman" w:hAnsi="Times New Roman" w:hint="default"/>
      </w:rPr>
    </w:lvl>
    <w:lvl w:ilvl="3" w:tplc="F9F014E4" w:tentative="1">
      <w:start w:val="1"/>
      <w:numFmt w:val="bullet"/>
      <w:lvlText w:val="•"/>
      <w:lvlJc w:val="left"/>
      <w:pPr>
        <w:tabs>
          <w:tab w:val="num" w:pos="2880"/>
        </w:tabs>
        <w:ind w:left="2880" w:hanging="360"/>
      </w:pPr>
      <w:rPr>
        <w:rFonts w:ascii="Times New Roman" w:hAnsi="Times New Roman" w:hint="default"/>
      </w:rPr>
    </w:lvl>
    <w:lvl w:ilvl="4" w:tplc="E640C638" w:tentative="1">
      <w:start w:val="1"/>
      <w:numFmt w:val="bullet"/>
      <w:lvlText w:val="•"/>
      <w:lvlJc w:val="left"/>
      <w:pPr>
        <w:tabs>
          <w:tab w:val="num" w:pos="3600"/>
        </w:tabs>
        <w:ind w:left="3600" w:hanging="360"/>
      </w:pPr>
      <w:rPr>
        <w:rFonts w:ascii="Times New Roman" w:hAnsi="Times New Roman" w:hint="default"/>
      </w:rPr>
    </w:lvl>
    <w:lvl w:ilvl="5" w:tplc="E19487EC" w:tentative="1">
      <w:start w:val="1"/>
      <w:numFmt w:val="bullet"/>
      <w:lvlText w:val="•"/>
      <w:lvlJc w:val="left"/>
      <w:pPr>
        <w:tabs>
          <w:tab w:val="num" w:pos="4320"/>
        </w:tabs>
        <w:ind w:left="4320" w:hanging="360"/>
      </w:pPr>
      <w:rPr>
        <w:rFonts w:ascii="Times New Roman" w:hAnsi="Times New Roman" w:hint="default"/>
      </w:rPr>
    </w:lvl>
    <w:lvl w:ilvl="6" w:tplc="E4F2C576" w:tentative="1">
      <w:start w:val="1"/>
      <w:numFmt w:val="bullet"/>
      <w:lvlText w:val="•"/>
      <w:lvlJc w:val="left"/>
      <w:pPr>
        <w:tabs>
          <w:tab w:val="num" w:pos="5040"/>
        </w:tabs>
        <w:ind w:left="5040" w:hanging="360"/>
      </w:pPr>
      <w:rPr>
        <w:rFonts w:ascii="Times New Roman" w:hAnsi="Times New Roman" w:hint="default"/>
      </w:rPr>
    </w:lvl>
    <w:lvl w:ilvl="7" w:tplc="B6B49D42" w:tentative="1">
      <w:start w:val="1"/>
      <w:numFmt w:val="bullet"/>
      <w:lvlText w:val="•"/>
      <w:lvlJc w:val="left"/>
      <w:pPr>
        <w:tabs>
          <w:tab w:val="num" w:pos="5760"/>
        </w:tabs>
        <w:ind w:left="5760" w:hanging="360"/>
      </w:pPr>
      <w:rPr>
        <w:rFonts w:ascii="Times New Roman" w:hAnsi="Times New Roman" w:hint="default"/>
      </w:rPr>
    </w:lvl>
    <w:lvl w:ilvl="8" w:tplc="5A68D0C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7363250"/>
    <w:multiLevelType w:val="hybridMultilevel"/>
    <w:tmpl w:val="C93A4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785977"/>
    <w:multiLevelType w:val="hybridMultilevel"/>
    <w:tmpl w:val="E6887114"/>
    <w:lvl w:ilvl="0" w:tplc="7B98DE02">
      <w:start w:val="1"/>
      <w:numFmt w:val="bullet"/>
      <w:lvlText w:val="•"/>
      <w:lvlJc w:val="left"/>
      <w:pPr>
        <w:tabs>
          <w:tab w:val="num" w:pos="720"/>
        </w:tabs>
        <w:ind w:left="720" w:hanging="360"/>
      </w:pPr>
      <w:rPr>
        <w:rFonts w:ascii="Arial" w:hAnsi="Arial" w:hint="default"/>
      </w:rPr>
    </w:lvl>
    <w:lvl w:ilvl="1" w:tplc="A1FCD154" w:tentative="1">
      <w:start w:val="1"/>
      <w:numFmt w:val="bullet"/>
      <w:lvlText w:val="•"/>
      <w:lvlJc w:val="left"/>
      <w:pPr>
        <w:tabs>
          <w:tab w:val="num" w:pos="1440"/>
        </w:tabs>
        <w:ind w:left="1440" w:hanging="360"/>
      </w:pPr>
      <w:rPr>
        <w:rFonts w:ascii="Arial" w:hAnsi="Arial" w:hint="default"/>
      </w:rPr>
    </w:lvl>
    <w:lvl w:ilvl="2" w:tplc="336E5F08" w:tentative="1">
      <w:start w:val="1"/>
      <w:numFmt w:val="bullet"/>
      <w:lvlText w:val="•"/>
      <w:lvlJc w:val="left"/>
      <w:pPr>
        <w:tabs>
          <w:tab w:val="num" w:pos="2160"/>
        </w:tabs>
        <w:ind w:left="2160" w:hanging="360"/>
      </w:pPr>
      <w:rPr>
        <w:rFonts w:ascii="Arial" w:hAnsi="Arial" w:hint="default"/>
      </w:rPr>
    </w:lvl>
    <w:lvl w:ilvl="3" w:tplc="322E7A48" w:tentative="1">
      <w:start w:val="1"/>
      <w:numFmt w:val="bullet"/>
      <w:lvlText w:val="•"/>
      <w:lvlJc w:val="left"/>
      <w:pPr>
        <w:tabs>
          <w:tab w:val="num" w:pos="2880"/>
        </w:tabs>
        <w:ind w:left="2880" w:hanging="360"/>
      </w:pPr>
      <w:rPr>
        <w:rFonts w:ascii="Arial" w:hAnsi="Arial" w:hint="default"/>
      </w:rPr>
    </w:lvl>
    <w:lvl w:ilvl="4" w:tplc="AA1A1150" w:tentative="1">
      <w:start w:val="1"/>
      <w:numFmt w:val="bullet"/>
      <w:lvlText w:val="•"/>
      <w:lvlJc w:val="left"/>
      <w:pPr>
        <w:tabs>
          <w:tab w:val="num" w:pos="3600"/>
        </w:tabs>
        <w:ind w:left="3600" w:hanging="360"/>
      </w:pPr>
      <w:rPr>
        <w:rFonts w:ascii="Arial" w:hAnsi="Arial" w:hint="default"/>
      </w:rPr>
    </w:lvl>
    <w:lvl w:ilvl="5" w:tplc="9850D6EC" w:tentative="1">
      <w:start w:val="1"/>
      <w:numFmt w:val="bullet"/>
      <w:lvlText w:val="•"/>
      <w:lvlJc w:val="left"/>
      <w:pPr>
        <w:tabs>
          <w:tab w:val="num" w:pos="4320"/>
        </w:tabs>
        <w:ind w:left="4320" w:hanging="360"/>
      </w:pPr>
      <w:rPr>
        <w:rFonts w:ascii="Arial" w:hAnsi="Arial" w:hint="default"/>
      </w:rPr>
    </w:lvl>
    <w:lvl w:ilvl="6" w:tplc="CB74C848" w:tentative="1">
      <w:start w:val="1"/>
      <w:numFmt w:val="bullet"/>
      <w:lvlText w:val="•"/>
      <w:lvlJc w:val="left"/>
      <w:pPr>
        <w:tabs>
          <w:tab w:val="num" w:pos="5040"/>
        </w:tabs>
        <w:ind w:left="5040" w:hanging="360"/>
      </w:pPr>
      <w:rPr>
        <w:rFonts w:ascii="Arial" w:hAnsi="Arial" w:hint="default"/>
      </w:rPr>
    </w:lvl>
    <w:lvl w:ilvl="7" w:tplc="11CE8040" w:tentative="1">
      <w:start w:val="1"/>
      <w:numFmt w:val="bullet"/>
      <w:lvlText w:val="•"/>
      <w:lvlJc w:val="left"/>
      <w:pPr>
        <w:tabs>
          <w:tab w:val="num" w:pos="5760"/>
        </w:tabs>
        <w:ind w:left="5760" w:hanging="360"/>
      </w:pPr>
      <w:rPr>
        <w:rFonts w:ascii="Arial" w:hAnsi="Arial" w:hint="default"/>
      </w:rPr>
    </w:lvl>
    <w:lvl w:ilvl="8" w:tplc="7E667C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FD62DA"/>
    <w:multiLevelType w:val="hybridMultilevel"/>
    <w:tmpl w:val="0958B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DD2110"/>
    <w:multiLevelType w:val="hybridMultilevel"/>
    <w:tmpl w:val="24BC8FC0"/>
    <w:lvl w:ilvl="0" w:tplc="7FEE3D66">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5973B2"/>
    <w:multiLevelType w:val="hybridMultilevel"/>
    <w:tmpl w:val="78829EE6"/>
    <w:lvl w:ilvl="0" w:tplc="6CA68E90">
      <w:start w:val="1"/>
      <w:numFmt w:val="bullet"/>
      <w:lvlText w:val="•"/>
      <w:lvlJc w:val="left"/>
      <w:pPr>
        <w:tabs>
          <w:tab w:val="num" w:pos="720"/>
        </w:tabs>
        <w:ind w:left="720" w:hanging="360"/>
      </w:pPr>
      <w:rPr>
        <w:rFonts w:ascii="Arial" w:hAnsi="Arial" w:hint="default"/>
      </w:rPr>
    </w:lvl>
    <w:lvl w:ilvl="1" w:tplc="B2A4DB2C" w:tentative="1">
      <w:start w:val="1"/>
      <w:numFmt w:val="bullet"/>
      <w:lvlText w:val="•"/>
      <w:lvlJc w:val="left"/>
      <w:pPr>
        <w:tabs>
          <w:tab w:val="num" w:pos="1440"/>
        </w:tabs>
        <w:ind w:left="1440" w:hanging="360"/>
      </w:pPr>
      <w:rPr>
        <w:rFonts w:ascii="Arial" w:hAnsi="Arial" w:hint="default"/>
      </w:rPr>
    </w:lvl>
    <w:lvl w:ilvl="2" w:tplc="D4AEA67E" w:tentative="1">
      <w:start w:val="1"/>
      <w:numFmt w:val="bullet"/>
      <w:lvlText w:val="•"/>
      <w:lvlJc w:val="left"/>
      <w:pPr>
        <w:tabs>
          <w:tab w:val="num" w:pos="2160"/>
        </w:tabs>
        <w:ind w:left="2160" w:hanging="360"/>
      </w:pPr>
      <w:rPr>
        <w:rFonts w:ascii="Arial" w:hAnsi="Arial" w:hint="default"/>
      </w:rPr>
    </w:lvl>
    <w:lvl w:ilvl="3" w:tplc="C19E6530" w:tentative="1">
      <w:start w:val="1"/>
      <w:numFmt w:val="bullet"/>
      <w:lvlText w:val="•"/>
      <w:lvlJc w:val="left"/>
      <w:pPr>
        <w:tabs>
          <w:tab w:val="num" w:pos="2880"/>
        </w:tabs>
        <w:ind w:left="2880" w:hanging="360"/>
      </w:pPr>
      <w:rPr>
        <w:rFonts w:ascii="Arial" w:hAnsi="Arial" w:hint="default"/>
      </w:rPr>
    </w:lvl>
    <w:lvl w:ilvl="4" w:tplc="47527F46" w:tentative="1">
      <w:start w:val="1"/>
      <w:numFmt w:val="bullet"/>
      <w:lvlText w:val="•"/>
      <w:lvlJc w:val="left"/>
      <w:pPr>
        <w:tabs>
          <w:tab w:val="num" w:pos="3600"/>
        </w:tabs>
        <w:ind w:left="3600" w:hanging="360"/>
      </w:pPr>
      <w:rPr>
        <w:rFonts w:ascii="Arial" w:hAnsi="Arial" w:hint="default"/>
      </w:rPr>
    </w:lvl>
    <w:lvl w:ilvl="5" w:tplc="00B0B21A" w:tentative="1">
      <w:start w:val="1"/>
      <w:numFmt w:val="bullet"/>
      <w:lvlText w:val="•"/>
      <w:lvlJc w:val="left"/>
      <w:pPr>
        <w:tabs>
          <w:tab w:val="num" w:pos="4320"/>
        </w:tabs>
        <w:ind w:left="4320" w:hanging="360"/>
      </w:pPr>
      <w:rPr>
        <w:rFonts w:ascii="Arial" w:hAnsi="Arial" w:hint="default"/>
      </w:rPr>
    </w:lvl>
    <w:lvl w:ilvl="6" w:tplc="430A210A" w:tentative="1">
      <w:start w:val="1"/>
      <w:numFmt w:val="bullet"/>
      <w:lvlText w:val="•"/>
      <w:lvlJc w:val="left"/>
      <w:pPr>
        <w:tabs>
          <w:tab w:val="num" w:pos="5040"/>
        </w:tabs>
        <w:ind w:left="5040" w:hanging="360"/>
      </w:pPr>
      <w:rPr>
        <w:rFonts w:ascii="Arial" w:hAnsi="Arial" w:hint="default"/>
      </w:rPr>
    </w:lvl>
    <w:lvl w:ilvl="7" w:tplc="D34C8ED6" w:tentative="1">
      <w:start w:val="1"/>
      <w:numFmt w:val="bullet"/>
      <w:lvlText w:val="•"/>
      <w:lvlJc w:val="left"/>
      <w:pPr>
        <w:tabs>
          <w:tab w:val="num" w:pos="5760"/>
        </w:tabs>
        <w:ind w:left="5760" w:hanging="360"/>
      </w:pPr>
      <w:rPr>
        <w:rFonts w:ascii="Arial" w:hAnsi="Arial" w:hint="default"/>
      </w:rPr>
    </w:lvl>
    <w:lvl w:ilvl="8" w:tplc="535C614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225639"/>
    <w:multiLevelType w:val="hybridMultilevel"/>
    <w:tmpl w:val="14F0BF64"/>
    <w:lvl w:ilvl="0" w:tplc="EB223FF4">
      <w:start w:val="1"/>
      <w:numFmt w:val="bullet"/>
      <w:lvlText w:val="•"/>
      <w:lvlJc w:val="left"/>
      <w:pPr>
        <w:tabs>
          <w:tab w:val="num" w:pos="720"/>
        </w:tabs>
        <w:ind w:left="720" w:hanging="360"/>
      </w:pPr>
      <w:rPr>
        <w:rFonts w:ascii="Times New Roman" w:hAnsi="Times New Roman" w:hint="default"/>
      </w:rPr>
    </w:lvl>
    <w:lvl w:ilvl="1" w:tplc="E5160C64" w:tentative="1">
      <w:start w:val="1"/>
      <w:numFmt w:val="bullet"/>
      <w:lvlText w:val="•"/>
      <w:lvlJc w:val="left"/>
      <w:pPr>
        <w:tabs>
          <w:tab w:val="num" w:pos="1440"/>
        </w:tabs>
        <w:ind w:left="1440" w:hanging="360"/>
      </w:pPr>
      <w:rPr>
        <w:rFonts w:ascii="Times New Roman" w:hAnsi="Times New Roman" w:hint="default"/>
      </w:rPr>
    </w:lvl>
    <w:lvl w:ilvl="2" w:tplc="9D485810" w:tentative="1">
      <w:start w:val="1"/>
      <w:numFmt w:val="bullet"/>
      <w:lvlText w:val="•"/>
      <w:lvlJc w:val="left"/>
      <w:pPr>
        <w:tabs>
          <w:tab w:val="num" w:pos="2160"/>
        </w:tabs>
        <w:ind w:left="2160" w:hanging="360"/>
      </w:pPr>
      <w:rPr>
        <w:rFonts w:ascii="Times New Roman" w:hAnsi="Times New Roman" w:hint="default"/>
      </w:rPr>
    </w:lvl>
    <w:lvl w:ilvl="3" w:tplc="CB609B22" w:tentative="1">
      <w:start w:val="1"/>
      <w:numFmt w:val="bullet"/>
      <w:lvlText w:val="•"/>
      <w:lvlJc w:val="left"/>
      <w:pPr>
        <w:tabs>
          <w:tab w:val="num" w:pos="2880"/>
        </w:tabs>
        <w:ind w:left="2880" w:hanging="360"/>
      </w:pPr>
      <w:rPr>
        <w:rFonts w:ascii="Times New Roman" w:hAnsi="Times New Roman" w:hint="default"/>
      </w:rPr>
    </w:lvl>
    <w:lvl w:ilvl="4" w:tplc="EB0841BE" w:tentative="1">
      <w:start w:val="1"/>
      <w:numFmt w:val="bullet"/>
      <w:lvlText w:val="•"/>
      <w:lvlJc w:val="left"/>
      <w:pPr>
        <w:tabs>
          <w:tab w:val="num" w:pos="3600"/>
        </w:tabs>
        <w:ind w:left="3600" w:hanging="360"/>
      </w:pPr>
      <w:rPr>
        <w:rFonts w:ascii="Times New Roman" w:hAnsi="Times New Roman" w:hint="default"/>
      </w:rPr>
    </w:lvl>
    <w:lvl w:ilvl="5" w:tplc="AB50A978" w:tentative="1">
      <w:start w:val="1"/>
      <w:numFmt w:val="bullet"/>
      <w:lvlText w:val="•"/>
      <w:lvlJc w:val="left"/>
      <w:pPr>
        <w:tabs>
          <w:tab w:val="num" w:pos="4320"/>
        </w:tabs>
        <w:ind w:left="4320" w:hanging="360"/>
      </w:pPr>
      <w:rPr>
        <w:rFonts w:ascii="Times New Roman" w:hAnsi="Times New Roman" w:hint="default"/>
      </w:rPr>
    </w:lvl>
    <w:lvl w:ilvl="6" w:tplc="ECC268A0" w:tentative="1">
      <w:start w:val="1"/>
      <w:numFmt w:val="bullet"/>
      <w:lvlText w:val="•"/>
      <w:lvlJc w:val="left"/>
      <w:pPr>
        <w:tabs>
          <w:tab w:val="num" w:pos="5040"/>
        </w:tabs>
        <w:ind w:left="5040" w:hanging="360"/>
      </w:pPr>
      <w:rPr>
        <w:rFonts w:ascii="Times New Roman" w:hAnsi="Times New Roman" w:hint="default"/>
      </w:rPr>
    </w:lvl>
    <w:lvl w:ilvl="7" w:tplc="22406FF4" w:tentative="1">
      <w:start w:val="1"/>
      <w:numFmt w:val="bullet"/>
      <w:lvlText w:val="•"/>
      <w:lvlJc w:val="left"/>
      <w:pPr>
        <w:tabs>
          <w:tab w:val="num" w:pos="5760"/>
        </w:tabs>
        <w:ind w:left="5760" w:hanging="360"/>
      </w:pPr>
      <w:rPr>
        <w:rFonts w:ascii="Times New Roman" w:hAnsi="Times New Roman" w:hint="default"/>
      </w:rPr>
    </w:lvl>
    <w:lvl w:ilvl="8" w:tplc="815E616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6874035"/>
    <w:multiLevelType w:val="multilevel"/>
    <w:tmpl w:val="753A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417CAB"/>
    <w:multiLevelType w:val="hybridMultilevel"/>
    <w:tmpl w:val="ED661ECA"/>
    <w:lvl w:ilvl="0" w:tplc="76842D94">
      <w:start w:val="1"/>
      <w:numFmt w:val="bullet"/>
      <w:lvlText w:val="•"/>
      <w:lvlJc w:val="left"/>
      <w:pPr>
        <w:tabs>
          <w:tab w:val="num" w:pos="720"/>
        </w:tabs>
        <w:ind w:left="720" w:hanging="360"/>
      </w:pPr>
      <w:rPr>
        <w:rFonts w:ascii="Times New Roman" w:hAnsi="Times New Roman" w:hint="default"/>
      </w:rPr>
    </w:lvl>
    <w:lvl w:ilvl="1" w:tplc="01E04508" w:tentative="1">
      <w:start w:val="1"/>
      <w:numFmt w:val="bullet"/>
      <w:lvlText w:val="•"/>
      <w:lvlJc w:val="left"/>
      <w:pPr>
        <w:tabs>
          <w:tab w:val="num" w:pos="1440"/>
        </w:tabs>
        <w:ind w:left="1440" w:hanging="360"/>
      </w:pPr>
      <w:rPr>
        <w:rFonts w:ascii="Times New Roman" w:hAnsi="Times New Roman" w:hint="default"/>
      </w:rPr>
    </w:lvl>
    <w:lvl w:ilvl="2" w:tplc="99C007DC" w:tentative="1">
      <w:start w:val="1"/>
      <w:numFmt w:val="bullet"/>
      <w:lvlText w:val="•"/>
      <w:lvlJc w:val="left"/>
      <w:pPr>
        <w:tabs>
          <w:tab w:val="num" w:pos="2160"/>
        </w:tabs>
        <w:ind w:left="2160" w:hanging="360"/>
      </w:pPr>
      <w:rPr>
        <w:rFonts w:ascii="Times New Roman" w:hAnsi="Times New Roman" w:hint="default"/>
      </w:rPr>
    </w:lvl>
    <w:lvl w:ilvl="3" w:tplc="CD189574" w:tentative="1">
      <w:start w:val="1"/>
      <w:numFmt w:val="bullet"/>
      <w:lvlText w:val="•"/>
      <w:lvlJc w:val="left"/>
      <w:pPr>
        <w:tabs>
          <w:tab w:val="num" w:pos="2880"/>
        </w:tabs>
        <w:ind w:left="2880" w:hanging="360"/>
      </w:pPr>
      <w:rPr>
        <w:rFonts w:ascii="Times New Roman" w:hAnsi="Times New Roman" w:hint="default"/>
      </w:rPr>
    </w:lvl>
    <w:lvl w:ilvl="4" w:tplc="12303650" w:tentative="1">
      <w:start w:val="1"/>
      <w:numFmt w:val="bullet"/>
      <w:lvlText w:val="•"/>
      <w:lvlJc w:val="left"/>
      <w:pPr>
        <w:tabs>
          <w:tab w:val="num" w:pos="3600"/>
        </w:tabs>
        <w:ind w:left="3600" w:hanging="360"/>
      </w:pPr>
      <w:rPr>
        <w:rFonts w:ascii="Times New Roman" w:hAnsi="Times New Roman" w:hint="default"/>
      </w:rPr>
    </w:lvl>
    <w:lvl w:ilvl="5" w:tplc="097AF5FE" w:tentative="1">
      <w:start w:val="1"/>
      <w:numFmt w:val="bullet"/>
      <w:lvlText w:val="•"/>
      <w:lvlJc w:val="left"/>
      <w:pPr>
        <w:tabs>
          <w:tab w:val="num" w:pos="4320"/>
        </w:tabs>
        <w:ind w:left="4320" w:hanging="360"/>
      </w:pPr>
      <w:rPr>
        <w:rFonts w:ascii="Times New Roman" w:hAnsi="Times New Roman" w:hint="default"/>
      </w:rPr>
    </w:lvl>
    <w:lvl w:ilvl="6" w:tplc="B0EE135A" w:tentative="1">
      <w:start w:val="1"/>
      <w:numFmt w:val="bullet"/>
      <w:lvlText w:val="•"/>
      <w:lvlJc w:val="left"/>
      <w:pPr>
        <w:tabs>
          <w:tab w:val="num" w:pos="5040"/>
        </w:tabs>
        <w:ind w:left="5040" w:hanging="360"/>
      </w:pPr>
      <w:rPr>
        <w:rFonts w:ascii="Times New Roman" w:hAnsi="Times New Roman" w:hint="default"/>
      </w:rPr>
    </w:lvl>
    <w:lvl w:ilvl="7" w:tplc="D82EECFC" w:tentative="1">
      <w:start w:val="1"/>
      <w:numFmt w:val="bullet"/>
      <w:lvlText w:val="•"/>
      <w:lvlJc w:val="left"/>
      <w:pPr>
        <w:tabs>
          <w:tab w:val="num" w:pos="5760"/>
        </w:tabs>
        <w:ind w:left="5760" w:hanging="360"/>
      </w:pPr>
      <w:rPr>
        <w:rFonts w:ascii="Times New Roman" w:hAnsi="Times New Roman" w:hint="default"/>
      </w:rPr>
    </w:lvl>
    <w:lvl w:ilvl="8" w:tplc="333602C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6B5088B"/>
    <w:multiLevelType w:val="hybridMultilevel"/>
    <w:tmpl w:val="EE84038E"/>
    <w:lvl w:ilvl="0" w:tplc="9EA46D9A">
      <w:start w:val="1"/>
      <w:numFmt w:val="bullet"/>
      <w:lvlText w:val="•"/>
      <w:lvlJc w:val="left"/>
      <w:pPr>
        <w:tabs>
          <w:tab w:val="num" w:pos="720"/>
        </w:tabs>
        <w:ind w:left="720" w:hanging="360"/>
      </w:pPr>
      <w:rPr>
        <w:rFonts w:ascii="Arial" w:hAnsi="Arial" w:hint="default"/>
      </w:rPr>
    </w:lvl>
    <w:lvl w:ilvl="1" w:tplc="46EAF5B8" w:tentative="1">
      <w:start w:val="1"/>
      <w:numFmt w:val="bullet"/>
      <w:lvlText w:val="•"/>
      <w:lvlJc w:val="left"/>
      <w:pPr>
        <w:tabs>
          <w:tab w:val="num" w:pos="1440"/>
        </w:tabs>
        <w:ind w:left="1440" w:hanging="360"/>
      </w:pPr>
      <w:rPr>
        <w:rFonts w:ascii="Arial" w:hAnsi="Arial" w:hint="default"/>
      </w:rPr>
    </w:lvl>
    <w:lvl w:ilvl="2" w:tplc="211EBF16" w:tentative="1">
      <w:start w:val="1"/>
      <w:numFmt w:val="bullet"/>
      <w:lvlText w:val="•"/>
      <w:lvlJc w:val="left"/>
      <w:pPr>
        <w:tabs>
          <w:tab w:val="num" w:pos="2160"/>
        </w:tabs>
        <w:ind w:left="2160" w:hanging="360"/>
      </w:pPr>
      <w:rPr>
        <w:rFonts w:ascii="Arial" w:hAnsi="Arial" w:hint="default"/>
      </w:rPr>
    </w:lvl>
    <w:lvl w:ilvl="3" w:tplc="21922444" w:tentative="1">
      <w:start w:val="1"/>
      <w:numFmt w:val="bullet"/>
      <w:lvlText w:val="•"/>
      <w:lvlJc w:val="left"/>
      <w:pPr>
        <w:tabs>
          <w:tab w:val="num" w:pos="2880"/>
        </w:tabs>
        <w:ind w:left="2880" w:hanging="360"/>
      </w:pPr>
      <w:rPr>
        <w:rFonts w:ascii="Arial" w:hAnsi="Arial" w:hint="default"/>
      </w:rPr>
    </w:lvl>
    <w:lvl w:ilvl="4" w:tplc="C352B8DE" w:tentative="1">
      <w:start w:val="1"/>
      <w:numFmt w:val="bullet"/>
      <w:lvlText w:val="•"/>
      <w:lvlJc w:val="left"/>
      <w:pPr>
        <w:tabs>
          <w:tab w:val="num" w:pos="3600"/>
        </w:tabs>
        <w:ind w:left="3600" w:hanging="360"/>
      </w:pPr>
      <w:rPr>
        <w:rFonts w:ascii="Arial" w:hAnsi="Arial" w:hint="default"/>
      </w:rPr>
    </w:lvl>
    <w:lvl w:ilvl="5" w:tplc="A6C45792" w:tentative="1">
      <w:start w:val="1"/>
      <w:numFmt w:val="bullet"/>
      <w:lvlText w:val="•"/>
      <w:lvlJc w:val="left"/>
      <w:pPr>
        <w:tabs>
          <w:tab w:val="num" w:pos="4320"/>
        </w:tabs>
        <w:ind w:left="4320" w:hanging="360"/>
      </w:pPr>
      <w:rPr>
        <w:rFonts w:ascii="Arial" w:hAnsi="Arial" w:hint="default"/>
      </w:rPr>
    </w:lvl>
    <w:lvl w:ilvl="6" w:tplc="ED1CE300" w:tentative="1">
      <w:start w:val="1"/>
      <w:numFmt w:val="bullet"/>
      <w:lvlText w:val="•"/>
      <w:lvlJc w:val="left"/>
      <w:pPr>
        <w:tabs>
          <w:tab w:val="num" w:pos="5040"/>
        </w:tabs>
        <w:ind w:left="5040" w:hanging="360"/>
      </w:pPr>
      <w:rPr>
        <w:rFonts w:ascii="Arial" w:hAnsi="Arial" w:hint="default"/>
      </w:rPr>
    </w:lvl>
    <w:lvl w:ilvl="7" w:tplc="1E6445A2" w:tentative="1">
      <w:start w:val="1"/>
      <w:numFmt w:val="bullet"/>
      <w:lvlText w:val="•"/>
      <w:lvlJc w:val="left"/>
      <w:pPr>
        <w:tabs>
          <w:tab w:val="num" w:pos="5760"/>
        </w:tabs>
        <w:ind w:left="5760" w:hanging="360"/>
      </w:pPr>
      <w:rPr>
        <w:rFonts w:ascii="Arial" w:hAnsi="Arial" w:hint="default"/>
      </w:rPr>
    </w:lvl>
    <w:lvl w:ilvl="8" w:tplc="AF90BD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F65597"/>
    <w:multiLevelType w:val="hybridMultilevel"/>
    <w:tmpl w:val="B2842114"/>
    <w:lvl w:ilvl="0" w:tplc="59B29490">
      <w:start w:val="1"/>
      <w:numFmt w:val="bullet"/>
      <w:lvlText w:val="•"/>
      <w:lvlJc w:val="left"/>
      <w:pPr>
        <w:tabs>
          <w:tab w:val="num" w:pos="720"/>
        </w:tabs>
        <w:ind w:left="720" w:hanging="360"/>
      </w:pPr>
      <w:rPr>
        <w:rFonts w:ascii="Arial" w:hAnsi="Arial" w:hint="default"/>
      </w:rPr>
    </w:lvl>
    <w:lvl w:ilvl="1" w:tplc="D0C241E8" w:tentative="1">
      <w:start w:val="1"/>
      <w:numFmt w:val="bullet"/>
      <w:lvlText w:val="•"/>
      <w:lvlJc w:val="left"/>
      <w:pPr>
        <w:tabs>
          <w:tab w:val="num" w:pos="1440"/>
        </w:tabs>
        <w:ind w:left="1440" w:hanging="360"/>
      </w:pPr>
      <w:rPr>
        <w:rFonts w:ascii="Arial" w:hAnsi="Arial" w:hint="default"/>
      </w:rPr>
    </w:lvl>
    <w:lvl w:ilvl="2" w:tplc="D7E8954C" w:tentative="1">
      <w:start w:val="1"/>
      <w:numFmt w:val="bullet"/>
      <w:lvlText w:val="•"/>
      <w:lvlJc w:val="left"/>
      <w:pPr>
        <w:tabs>
          <w:tab w:val="num" w:pos="2160"/>
        </w:tabs>
        <w:ind w:left="2160" w:hanging="360"/>
      </w:pPr>
      <w:rPr>
        <w:rFonts w:ascii="Arial" w:hAnsi="Arial" w:hint="default"/>
      </w:rPr>
    </w:lvl>
    <w:lvl w:ilvl="3" w:tplc="19D6A022" w:tentative="1">
      <w:start w:val="1"/>
      <w:numFmt w:val="bullet"/>
      <w:lvlText w:val="•"/>
      <w:lvlJc w:val="left"/>
      <w:pPr>
        <w:tabs>
          <w:tab w:val="num" w:pos="2880"/>
        </w:tabs>
        <w:ind w:left="2880" w:hanging="360"/>
      </w:pPr>
      <w:rPr>
        <w:rFonts w:ascii="Arial" w:hAnsi="Arial" w:hint="default"/>
      </w:rPr>
    </w:lvl>
    <w:lvl w:ilvl="4" w:tplc="D8548678" w:tentative="1">
      <w:start w:val="1"/>
      <w:numFmt w:val="bullet"/>
      <w:lvlText w:val="•"/>
      <w:lvlJc w:val="left"/>
      <w:pPr>
        <w:tabs>
          <w:tab w:val="num" w:pos="3600"/>
        </w:tabs>
        <w:ind w:left="3600" w:hanging="360"/>
      </w:pPr>
      <w:rPr>
        <w:rFonts w:ascii="Arial" w:hAnsi="Arial" w:hint="default"/>
      </w:rPr>
    </w:lvl>
    <w:lvl w:ilvl="5" w:tplc="3B36E432" w:tentative="1">
      <w:start w:val="1"/>
      <w:numFmt w:val="bullet"/>
      <w:lvlText w:val="•"/>
      <w:lvlJc w:val="left"/>
      <w:pPr>
        <w:tabs>
          <w:tab w:val="num" w:pos="4320"/>
        </w:tabs>
        <w:ind w:left="4320" w:hanging="360"/>
      </w:pPr>
      <w:rPr>
        <w:rFonts w:ascii="Arial" w:hAnsi="Arial" w:hint="default"/>
      </w:rPr>
    </w:lvl>
    <w:lvl w:ilvl="6" w:tplc="CE80BD48" w:tentative="1">
      <w:start w:val="1"/>
      <w:numFmt w:val="bullet"/>
      <w:lvlText w:val="•"/>
      <w:lvlJc w:val="left"/>
      <w:pPr>
        <w:tabs>
          <w:tab w:val="num" w:pos="5040"/>
        </w:tabs>
        <w:ind w:left="5040" w:hanging="360"/>
      </w:pPr>
      <w:rPr>
        <w:rFonts w:ascii="Arial" w:hAnsi="Arial" w:hint="default"/>
      </w:rPr>
    </w:lvl>
    <w:lvl w:ilvl="7" w:tplc="074666C0" w:tentative="1">
      <w:start w:val="1"/>
      <w:numFmt w:val="bullet"/>
      <w:lvlText w:val="•"/>
      <w:lvlJc w:val="left"/>
      <w:pPr>
        <w:tabs>
          <w:tab w:val="num" w:pos="5760"/>
        </w:tabs>
        <w:ind w:left="5760" w:hanging="360"/>
      </w:pPr>
      <w:rPr>
        <w:rFonts w:ascii="Arial" w:hAnsi="Arial" w:hint="default"/>
      </w:rPr>
    </w:lvl>
    <w:lvl w:ilvl="8" w:tplc="2CCABCC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101F33"/>
    <w:multiLevelType w:val="hybridMultilevel"/>
    <w:tmpl w:val="5A167C68"/>
    <w:lvl w:ilvl="0" w:tplc="0CE61B80">
      <w:start w:val="1"/>
      <w:numFmt w:val="bullet"/>
      <w:lvlText w:val=""/>
      <w:lvlJc w:val="left"/>
      <w:pPr>
        <w:tabs>
          <w:tab w:val="num" w:pos="720"/>
        </w:tabs>
        <w:ind w:left="720" w:hanging="360"/>
      </w:pPr>
      <w:rPr>
        <w:rFonts w:ascii="Wingdings" w:hAnsi="Wingdings" w:hint="default"/>
      </w:rPr>
    </w:lvl>
    <w:lvl w:ilvl="1" w:tplc="4F004504" w:tentative="1">
      <w:start w:val="1"/>
      <w:numFmt w:val="bullet"/>
      <w:lvlText w:val=""/>
      <w:lvlJc w:val="left"/>
      <w:pPr>
        <w:tabs>
          <w:tab w:val="num" w:pos="1440"/>
        </w:tabs>
        <w:ind w:left="1440" w:hanging="360"/>
      </w:pPr>
      <w:rPr>
        <w:rFonts w:ascii="Wingdings" w:hAnsi="Wingdings" w:hint="default"/>
      </w:rPr>
    </w:lvl>
    <w:lvl w:ilvl="2" w:tplc="2BB40526" w:tentative="1">
      <w:start w:val="1"/>
      <w:numFmt w:val="bullet"/>
      <w:lvlText w:val=""/>
      <w:lvlJc w:val="left"/>
      <w:pPr>
        <w:tabs>
          <w:tab w:val="num" w:pos="2160"/>
        </w:tabs>
        <w:ind w:left="2160" w:hanging="360"/>
      </w:pPr>
      <w:rPr>
        <w:rFonts w:ascii="Wingdings" w:hAnsi="Wingdings" w:hint="default"/>
      </w:rPr>
    </w:lvl>
    <w:lvl w:ilvl="3" w:tplc="CEB8E696" w:tentative="1">
      <w:start w:val="1"/>
      <w:numFmt w:val="bullet"/>
      <w:lvlText w:val=""/>
      <w:lvlJc w:val="left"/>
      <w:pPr>
        <w:tabs>
          <w:tab w:val="num" w:pos="2880"/>
        </w:tabs>
        <w:ind w:left="2880" w:hanging="360"/>
      </w:pPr>
      <w:rPr>
        <w:rFonts w:ascii="Wingdings" w:hAnsi="Wingdings" w:hint="default"/>
      </w:rPr>
    </w:lvl>
    <w:lvl w:ilvl="4" w:tplc="8D046394" w:tentative="1">
      <w:start w:val="1"/>
      <w:numFmt w:val="bullet"/>
      <w:lvlText w:val=""/>
      <w:lvlJc w:val="left"/>
      <w:pPr>
        <w:tabs>
          <w:tab w:val="num" w:pos="3600"/>
        </w:tabs>
        <w:ind w:left="3600" w:hanging="360"/>
      </w:pPr>
      <w:rPr>
        <w:rFonts w:ascii="Wingdings" w:hAnsi="Wingdings" w:hint="default"/>
      </w:rPr>
    </w:lvl>
    <w:lvl w:ilvl="5" w:tplc="797E4E46" w:tentative="1">
      <w:start w:val="1"/>
      <w:numFmt w:val="bullet"/>
      <w:lvlText w:val=""/>
      <w:lvlJc w:val="left"/>
      <w:pPr>
        <w:tabs>
          <w:tab w:val="num" w:pos="4320"/>
        </w:tabs>
        <w:ind w:left="4320" w:hanging="360"/>
      </w:pPr>
      <w:rPr>
        <w:rFonts w:ascii="Wingdings" w:hAnsi="Wingdings" w:hint="default"/>
      </w:rPr>
    </w:lvl>
    <w:lvl w:ilvl="6" w:tplc="25884F8E" w:tentative="1">
      <w:start w:val="1"/>
      <w:numFmt w:val="bullet"/>
      <w:lvlText w:val=""/>
      <w:lvlJc w:val="left"/>
      <w:pPr>
        <w:tabs>
          <w:tab w:val="num" w:pos="5040"/>
        </w:tabs>
        <w:ind w:left="5040" w:hanging="360"/>
      </w:pPr>
      <w:rPr>
        <w:rFonts w:ascii="Wingdings" w:hAnsi="Wingdings" w:hint="default"/>
      </w:rPr>
    </w:lvl>
    <w:lvl w:ilvl="7" w:tplc="7772C564" w:tentative="1">
      <w:start w:val="1"/>
      <w:numFmt w:val="bullet"/>
      <w:lvlText w:val=""/>
      <w:lvlJc w:val="left"/>
      <w:pPr>
        <w:tabs>
          <w:tab w:val="num" w:pos="5760"/>
        </w:tabs>
        <w:ind w:left="5760" w:hanging="360"/>
      </w:pPr>
      <w:rPr>
        <w:rFonts w:ascii="Wingdings" w:hAnsi="Wingdings" w:hint="default"/>
      </w:rPr>
    </w:lvl>
    <w:lvl w:ilvl="8" w:tplc="3542A72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F341B"/>
    <w:multiLevelType w:val="hybridMultilevel"/>
    <w:tmpl w:val="2BEA0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EA0A28"/>
    <w:multiLevelType w:val="hybridMultilevel"/>
    <w:tmpl w:val="B01CCBD8"/>
    <w:lvl w:ilvl="0" w:tplc="B22A9B72">
      <w:start w:val="1"/>
      <w:numFmt w:val="bullet"/>
      <w:lvlText w:val=""/>
      <w:lvlJc w:val="left"/>
      <w:pPr>
        <w:tabs>
          <w:tab w:val="num" w:pos="720"/>
        </w:tabs>
        <w:ind w:left="720" w:hanging="360"/>
      </w:pPr>
      <w:rPr>
        <w:rFonts w:ascii="Wingdings" w:hAnsi="Wingdings" w:hint="default"/>
      </w:rPr>
    </w:lvl>
    <w:lvl w:ilvl="1" w:tplc="0CD48230" w:tentative="1">
      <w:start w:val="1"/>
      <w:numFmt w:val="bullet"/>
      <w:lvlText w:val=""/>
      <w:lvlJc w:val="left"/>
      <w:pPr>
        <w:tabs>
          <w:tab w:val="num" w:pos="1440"/>
        </w:tabs>
        <w:ind w:left="1440" w:hanging="360"/>
      </w:pPr>
      <w:rPr>
        <w:rFonts w:ascii="Wingdings" w:hAnsi="Wingdings" w:hint="default"/>
      </w:rPr>
    </w:lvl>
    <w:lvl w:ilvl="2" w:tplc="0B70462A" w:tentative="1">
      <w:start w:val="1"/>
      <w:numFmt w:val="bullet"/>
      <w:lvlText w:val=""/>
      <w:lvlJc w:val="left"/>
      <w:pPr>
        <w:tabs>
          <w:tab w:val="num" w:pos="2160"/>
        </w:tabs>
        <w:ind w:left="2160" w:hanging="360"/>
      </w:pPr>
      <w:rPr>
        <w:rFonts w:ascii="Wingdings" w:hAnsi="Wingdings" w:hint="default"/>
      </w:rPr>
    </w:lvl>
    <w:lvl w:ilvl="3" w:tplc="0B9CA78C" w:tentative="1">
      <w:start w:val="1"/>
      <w:numFmt w:val="bullet"/>
      <w:lvlText w:val=""/>
      <w:lvlJc w:val="left"/>
      <w:pPr>
        <w:tabs>
          <w:tab w:val="num" w:pos="2880"/>
        </w:tabs>
        <w:ind w:left="2880" w:hanging="360"/>
      </w:pPr>
      <w:rPr>
        <w:rFonts w:ascii="Wingdings" w:hAnsi="Wingdings" w:hint="default"/>
      </w:rPr>
    </w:lvl>
    <w:lvl w:ilvl="4" w:tplc="29BED53C" w:tentative="1">
      <w:start w:val="1"/>
      <w:numFmt w:val="bullet"/>
      <w:lvlText w:val=""/>
      <w:lvlJc w:val="left"/>
      <w:pPr>
        <w:tabs>
          <w:tab w:val="num" w:pos="3600"/>
        </w:tabs>
        <w:ind w:left="3600" w:hanging="360"/>
      </w:pPr>
      <w:rPr>
        <w:rFonts w:ascii="Wingdings" w:hAnsi="Wingdings" w:hint="default"/>
      </w:rPr>
    </w:lvl>
    <w:lvl w:ilvl="5" w:tplc="D91457C8" w:tentative="1">
      <w:start w:val="1"/>
      <w:numFmt w:val="bullet"/>
      <w:lvlText w:val=""/>
      <w:lvlJc w:val="left"/>
      <w:pPr>
        <w:tabs>
          <w:tab w:val="num" w:pos="4320"/>
        </w:tabs>
        <w:ind w:left="4320" w:hanging="360"/>
      </w:pPr>
      <w:rPr>
        <w:rFonts w:ascii="Wingdings" w:hAnsi="Wingdings" w:hint="default"/>
      </w:rPr>
    </w:lvl>
    <w:lvl w:ilvl="6" w:tplc="F8906C56" w:tentative="1">
      <w:start w:val="1"/>
      <w:numFmt w:val="bullet"/>
      <w:lvlText w:val=""/>
      <w:lvlJc w:val="left"/>
      <w:pPr>
        <w:tabs>
          <w:tab w:val="num" w:pos="5040"/>
        </w:tabs>
        <w:ind w:left="5040" w:hanging="360"/>
      </w:pPr>
      <w:rPr>
        <w:rFonts w:ascii="Wingdings" w:hAnsi="Wingdings" w:hint="default"/>
      </w:rPr>
    </w:lvl>
    <w:lvl w:ilvl="7" w:tplc="A79A2830" w:tentative="1">
      <w:start w:val="1"/>
      <w:numFmt w:val="bullet"/>
      <w:lvlText w:val=""/>
      <w:lvlJc w:val="left"/>
      <w:pPr>
        <w:tabs>
          <w:tab w:val="num" w:pos="5760"/>
        </w:tabs>
        <w:ind w:left="5760" w:hanging="360"/>
      </w:pPr>
      <w:rPr>
        <w:rFonts w:ascii="Wingdings" w:hAnsi="Wingdings" w:hint="default"/>
      </w:rPr>
    </w:lvl>
    <w:lvl w:ilvl="8" w:tplc="39026F0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2E727D"/>
    <w:multiLevelType w:val="hybridMultilevel"/>
    <w:tmpl w:val="DDC434DA"/>
    <w:lvl w:ilvl="0" w:tplc="FA10C24C">
      <w:start w:val="1"/>
      <w:numFmt w:val="bullet"/>
      <w:lvlText w:val=""/>
      <w:lvlJc w:val="left"/>
      <w:pPr>
        <w:tabs>
          <w:tab w:val="num" w:pos="720"/>
        </w:tabs>
        <w:ind w:left="720" w:hanging="360"/>
      </w:pPr>
      <w:rPr>
        <w:rFonts w:ascii="Wingdings" w:hAnsi="Wingdings" w:hint="default"/>
      </w:rPr>
    </w:lvl>
    <w:lvl w:ilvl="1" w:tplc="6780FFBC" w:tentative="1">
      <w:start w:val="1"/>
      <w:numFmt w:val="bullet"/>
      <w:lvlText w:val=""/>
      <w:lvlJc w:val="left"/>
      <w:pPr>
        <w:tabs>
          <w:tab w:val="num" w:pos="1440"/>
        </w:tabs>
        <w:ind w:left="1440" w:hanging="360"/>
      </w:pPr>
      <w:rPr>
        <w:rFonts w:ascii="Wingdings" w:hAnsi="Wingdings" w:hint="default"/>
      </w:rPr>
    </w:lvl>
    <w:lvl w:ilvl="2" w:tplc="8A22B516" w:tentative="1">
      <w:start w:val="1"/>
      <w:numFmt w:val="bullet"/>
      <w:lvlText w:val=""/>
      <w:lvlJc w:val="left"/>
      <w:pPr>
        <w:tabs>
          <w:tab w:val="num" w:pos="2160"/>
        </w:tabs>
        <w:ind w:left="2160" w:hanging="360"/>
      </w:pPr>
      <w:rPr>
        <w:rFonts w:ascii="Wingdings" w:hAnsi="Wingdings" w:hint="default"/>
      </w:rPr>
    </w:lvl>
    <w:lvl w:ilvl="3" w:tplc="C2561082" w:tentative="1">
      <w:start w:val="1"/>
      <w:numFmt w:val="bullet"/>
      <w:lvlText w:val=""/>
      <w:lvlJc w:val="left"/>
      <w:pPr>
        <w:tabs>
          <w:tab w:val="num" w:pos="2880"/>
        </w:tabs>
        <w:ind w:left="2880" w:hanging="360"/>
      </w:pPr>
      <w:rPr>
        <w:rFonts w:ascii="Wingdings" w:hAnsi="Wingdings" w:hint="default"/>
      </w:rPr>
    </w:lvl>
    <w:lvl w:ilvl="4" w:tplc="C554C9F2" w:tentative="1">
      <w:start w:val="1"/>
      <w:numFmt w:val="bullet"/>
      <w:lvlText w:val=""/>
      <w:lvlJc w:val="left"/>
      <w:pPr>
        <w:tabs>
          <w:tab w:val="num" w:pos="3600"/>
        </w:tabs>
        <w:ind w:left="3600" w:hanging="360"/>
      </w:pPr>
      <w:rPr>
        <w:rFonts w:ascii="Wingdings" w:hAnsi="Wingdings" w:hint="default"/>
      </w:rPr>
    </w:lvl>
    <w:lvl w:ilvl="5" w:tplc="DDF6AF00" w:tentative="1">
      <w:start w:val="1"/>
      <w:numFmt w:val="bullet"/>
      <w:lvlText w:val=""/>
      <w:lvlJc w:val="left"/>
      <w:pPr>
        <w:tabs>
          <w:tab w:val="num" w:pos="4320"/>
        </w:tabs>
        <w:ind w:left="4320" w:hanging="360"/>
      </w:pPr>
      <w:rPr>
        <w:rFonts w:ascii="Wingdings" w:hAnsi="Wingdings" w:hint="default"/>
      </w:rPr>
    </w:lvl>
    <w:lvl w:ilvl="6" w:tplc="44A00470" w:tentative="1">
      <w:start w:val="1"/>
      <w:numFmt w:val="bullet"/>
      <w:lvlText w:val=""/>
      <w:lvlJc w:val="left"/>
      <w:pPr>
        <w:tabs>
          <w:tab w:val="num" w:pos="5040"/>
        </w:tabs>
        <w:ind w:left="5040" w:hanging="360"/>
      </w:pPr>
      <w:rPr>
        <w:rFonts w:ascii="Wingdings" w:hAnsi="Wingdings" w:hint="default"/>
      </w:rPr>
    </w:lvl>
    <w:lvl w:ilvl="7" w:tplc="A6AA60FC" w:tentative="1">
      <w:start w:val="1"/>
      <w:numFmt w:val="bullet"/>
      <w:lvlText w:val=""/>
      <w:lvlJc w:val="left"/>
      <w:pPr>
        <w:tabs>
          <w:tab w:val="num" w:pos="5760"/>
        </w:tabs>
        <w:ind w:left="5760" w:hanging="360"/>
      </w:pPr>
      <w:rPr>
        <w:rFonts w:ascii="Wingdings" w:hAnsi="Wingdings" w:hint="default"/>
      </w:rPr>
    </w:lvl>
    <w:lvl w:ilvl="8" w:tplc="2836F302"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3"/>
  </w:num>
  <w:num w:numId="4">
    <w:abstractNumId w:val="13"/>
  </w:num>
  <w:num w:numId="5">
    <w:abstractNumId w:val="27"/>
  </w:num>
  <w:num w:numId="6">
    <w:abstractNumId w:val="28"/>
  </w:num>
  <w:num w:numId="7">
    <w:abstractNumId w:val="12"/>
  </w:num>
  <w:num w:numId="8">
    <w:abstractNumId w:val="31"/>
  </w:num>
  <w:num w:numId="9">
    <w:abstractNumId w:val="30"/>
  </w:num>
  <w:num w:numId="10">
    <w:abstractNumId w:val="25"/>
  </w:num>
  <w:num w:numId="11">
    <w:abstractNumId w:val="23"/>
  </w:num>
  <w:num w:numId="12">
    <w:abstractNumId w:val="9"/>
  </w:num>
  <w:num w:numId="13">
    <w:abstractNumId w:val="26"/>
  </w:num>
  <w:num w:numId="14">
    <w:abstractNumId w:val="17"/>
  </w:num>
  <w:num w:numId="15">
    <w:abstractNumId w:val="22"/>
  </w:num>
  <w:num w:numId="16">
    <w:abstractNumId w:val="19"/>
  </w:num>
  <w:num w:numId="17">
    <w:abstractNumId w:val="0"/>
  </w:num>
  <w:num w:numId="18">
    <w:abstractNumId w:val="16"/>
  </w:num>
  <w:num w:numId="19">
    <w:abstractNumId w:val="11"/>
  </w:num>
  <w:num w:numId="20">
    <w:abstractNumId w:val="29"/>
  </w:num>
  <w:num w:numId="21">
    <w:abstractNumId w:val="1"/>
  </w:num>
  <w:num w:numId="22">
    <w:abstractNumId w:val="20"/>
  </w:num>
  <w:num w:numId="23">
    <w:abstractNumId w:val="15"/>
  </w:num>
  <w:num w:numId="24">
    <w:abstractNumId w:val="6"/>
  </w:num>
  <w:num w:numId="25">
    <w:abstractNumId w:val="7"/>
  </w:num>
  <w:num w:numId="26">
    <w:abstractNumId w:val="21"/>
  </w:num>
  <w:num w:numId="27">
    <w:abstractNumId w:val="10"/>
  </w:num>
  <w:num w:numId="28">
    <w:abstractNumId w:val="2"/>
  </w:num>
  <w:num w:numId="29">
    <w:abstractNumId w:val="14"/>
  </w:num>
  <w:num w:numId="30">
    <w:abstractNumId w:val="24"/>
  </w:num>
  <w:num w:numId="31">
    <w:abstractNumId w:val="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B7"/>
    <w:rsid w:val="00004CAC"/>
    <w:rsid w:val="00007127"/>
    <w:rsid w:val="00010917"/>
    <w:rsid w:val="00012120"/>
    <w:rsid w:val="00014297"/>
    <w:rsid w:val="000151A2"/>
    <w:rsid w:val="00024198"/>
    <w:rsid w:val="00030C19"/>
    <w:rsid w:val="000360E9"/>
    <w:rsid w:val="000372DD"/>
    <w:rsid w:val="000416DC"/>
    <w:rsid w:val="00041CCA"/>
    <w:rsid w:val="00061365"/>
    <w:rsid w:val="000701AA"/>
    <w:rsid w:val="0008405D"/>
    <w:rsid w:val="000840F2"/>
    <w:rsid w:val="00090FB7"/>
    <w:rsid w:val="000A044E"/>
    <w:rsid w:val="000A6D90"/>
    <w:rsid w:val="000B65D1"/>
    <w:rsid w:val="000D0011"/>
    <w:rsid w:val="000D5B09"/>
    <w:rsid w:val="000E0447"/>
    <w:rsid w:val="000E3E24"/>
    <w:rsid w:val="000F500D"/>
    <w:rsid w:val="000F6B48"/>
    <w:rsid w:val="001000AB"/>
    <w:rsid w:val="00100997"/>
    <w:rsid w:val="00102E52"/>
    <w:rsid w:val="00104F7C"/>
    <w:rsid w:val="00110015"/>
    <w:rsid w:val="001133E7"/>
    <w:rsid w:val="00113529"/>
    <w:rsid w:val="001211D6"/>
    <w:rsid w:val="00122074"/>
    <w:rsid w:val="00142BFF"/>
    <w:rsid w:val="001460F0"/>
    <w:rsid w:val="00150D97"/>
    <w:rsid w:val="00154F1C"/>
    <w:rsid w:val="00161445"/>
    <w:rsid w:val="00161CA7"/>
    <w:rsid w:val="00165532"/>
    <w:rsid w:val="001807AD"/>
    <w:rsid w:val="00182D84"/>
    <w:rsid w:val="00196812"/>
    <w:rsid w:val="001A31D8"/>
    <w:rsid w:val="001B0CF0"/>
    <w:rsid w:val="001B4E6E"/>
    <w:rsid w:val="001B557D"/>
    <w:rsid w:val="001B5CEC"/>
    <w:rsid w:val="001B5D6F"/>
    <w:rsid w:val="001C24AF"/>
    <w:rsid w:val="001C469F"/>
    <w:rsid w:val="001C7BBC"/>
    <w:rsid w:val="001D0781"/>
    <w:rsid w:val="00206976"/>
    <w:rsid w:val="00213019"/>
    <w:rsid w:val="0024631B"/>
    <w:rsid w:val="00253922"/>
    <w:rsid w:val="00257120"/>
    <w:rsid w:val="00261F2E"/>
    <w:rsid w:val="00262063"/>
    <w:rsid w:val="00263836"/>
    <w:rsid w:val="00267963"/>
    <w:rsid w:val="00272F2C"/>
    <w:rsid w:val="00276A83"/>
    <w:rsid w:val="0028329F"/>
    <w:rsid w:val="00297125"/>
    <w:rsid w:val="002B13C9"/>
    <w:rsid w:val="002B4EA4"/>
    <w:rsid w:val="002C0BE3"/>
    <w:rsid w:val="002C2C57"/>
    <w:rsid w:val="002C5A9A"/>
    <w:rsid w:val="002C75AA"/>
    <w:rsid w:val="00304B38"/>
    <w:rsid w:val="00304CFB"/>
    <w:rsid w:val="00305E10"/>
    <w:rsid w:val="00307302"/>
    <w:rsid w:val="0032214B"/>
    <w:rsid w:val="00322EE9"/>
    <w:rsid w:val="003318D6"/>
    <w:rsid w:val="0033319C"/>
    <w:rsid w:val="0033651C"/>
    <w:rsid w:val="003450EC"/>
    <w:rsid w:val="003468B5"/>
    <w:rsid w:val="00364AA8"/>
    <w:rsid w:val="00367E44"/>
    <w:rsid w:val="00370FE4"/>
    <w:rsid w:val="003829F6"/>
    <w:rsid w:val="003A11D8"/>
    <w:rsid w:val="003A1428"/>
    <w:rsid w:val="003A15EF"/>
    <w:rsid w:val="003A7376"/>
    <w:rsid w:val="003B2A53"/>
    <w:rsid w:val="003B5E0F"/>
    <w:rsid w:val="003B670F"/>
    <w:rsid w:val="003C1E0F"/>
    <w:rsid w:val="003E3340"/>
    <w:rsid w:val="003E5AEA"/>
    <w:rsid w:val="003E7F2F"/>
    <w:rsid w:val="003F23E9"/>
    <w:rsid w:val="004018D7"/>
    <w:rsid w:val="004024B3"/>
    <w:rsid w:val="0040320F"/>
    <w:rsid w:val="00407427"/>
    <w:rsid w:val="00407D38"/>
    <w:rsid w:val="004109EB"/>
    <w:rsid w:val="004157DB"/>
    <w:rsid w:val="004206BF"/>
    <w:rsid w:val="00421024"/>
    <w:rsid w:val="004269CD"/>
    <w:rsid w:val="004300A7"/>
    <w:rsid w:val="004301B2"/>
    <w:rsid w:val="004309EE"/>
    <w:rsid w:val="00432BAD"/>
    <w:rsid w:val="004330EE"/>
    <w:rsid w:val="0043517C"/>
    <w:rsid w:val="00445616"/>
    <w:rsid w:val="0045066C"/>
    <w:rsid w:val="00453433"/>
    <w:rsid w:val="004536F6"/>
    <w:rsid w:val="00453ED6"/>
    <w:rsid w:val="00457849"/>
    <w:rsid w:val="004625D9"/>
    <w:rsid w:val="0046290D"/>
    <w:rsid w:val="00464D3E"/>
    <w:rsid w:val="00465AE8"/>
    <w:rsid w:val="00470725"/>
    <w:rsid w:val="004740B0"/>
    <w:rsid w:val="00480F55"/>
    <w:rsid w:val="00482318"/>
    <w:rsid w:val="0049686D"/>
    <w:rsid w:val="004A031C"/>
    <w:rsid w:val="004A6015"/>
    <w:rsid w:val="004B16DB"/>
    <w:rsid w:val="004B36E5"/>
    <w:rsid w:val="004C311A"/>
    <w:rsid w:val="004D59B6"/>
    <w:rsid w:val="004E13A0"/>
    <w:rsid w:val="004E1849"/>
    <w:rsid w:val="004E462D"/>
    <w:rsid w:val="004E740F"/>
    <w:rsid w:val="004F02B4"/>
    <w:rsid w:val="004F0A9A"/>
    <w:rsid w:val="004F1BEF"/>
    <w:rsid w:val="004F23EB"/>
    <w:rsid w:val="004F34FC"/>
    <w:rsid w:val="004F40BA"/>
    <w:rsid w:val="004F64DE"/>
    <w:rsid w:val="00505020"/>
    <w:rsid w:val="00507563"/>
    <w:rsid w:val="00517C85"/>
    <w:rsid w:val="00526690"/>
    <w:rsid w:val="00540606"/>
    <w:rsid w:val="005420B5"/>
    <w:rsid w:val="0055244A"/>
    <w:rsid w:val="00563231"/>
    <w:rsid w:val="0056414D"/>
    <w:rsid w:val="00565E96"/>
    <w:rsid w:val="005759FE"/>
    <w:rsid w:val="00576951"/>
    <w:rsid w:val="005846CA"/>
    <w:rsid w:val="005A2767"/>
    <w:rsid w:val="005A2945"/>
    <w:rsid w:val="005A3288"/>
    <w:rsid w:val="005A4F4D"/>
    <w:rsid w:val="005D4108"/>
    <w:rsid w:val="005D54ED"/>
    <w:rsid w:val="005D7313"/>
    <w:rsid w:val="005D75E4"/>
    <w:rsid w:val="005E201B"/>
    <w:rsid w:val="005E44DD"/>
    <w:rsid w:val="005E4DB1"/>
    <w:rsid w:val="005E4DF3"/>
    <w:rsid w:val="005F1002"/>
    <w:rsid w:val="005F568F"/>
    <w:rsid w:val="00601A8F"/>
    <w:rsid w:val="00602F75"/>
    <w:rsid w:val="006030B6"/>
    <w:rsid w:val="006067FE"/>
    <w:rsid w:val="0061524E"/>
    <w:rsid w:val="00616FE9"/>
    <w:rsid w:val="00621603"/>
    <w:rsid w:val="00631CD1"/>
    <w:rsid w:val="00636913"/>
    <w:rsid w:val="0064189A"/>
    <w:rsid w:val="006521F2"/>
    <w:rsid w:val="00663C0E"/>
    <w:rsid w:val="006655AC"/>
    <w:rsid w:val="006723AA"/>
    <w:rsid w:val="0067739B"/>
    <w:rsid w:val="006808EF"/>
    <w:rsid w:val="00682ACA"/>
    <w:rsid w:val="00692CB7"/>
    <w:rsid w:val="00693487"/>
    <w:rsid w:val="00697FA7"/>
    <w:rsid w:val="006A1574"/>
    <w:rsid w:val="006A19CC"/>
    <w:rsid w:val="006A2BBC"/>
    <w:rsid w:val="006A3969"/>
    <w:rsid w:val="006A767E"/>
    <w:rsid w:val="006B6E4D"/>
    <w:rsid w:val="006C0F96"/>
    <w:rsid w:val="006C6310"/>
    <w:rsid w:val="006D2BD5"/>
    <w:rsid w:val="006E3374"/>
    <w:rsid w:val="006E4E71"/>
    <w:rsid w:val="006E7C16"/>
    <w:rsid w:val="006F0146"/>
    <w:rsid w:val="006F5EAD"/>
    <w:rsid w:val="006F6B07"/>
    <w:rsid w:val="00701156"/>
    <w:rsid w:val="00706AEE"/>
    <w:rsid w:val="007070B4"/>
    <w:rsid w:val="00712E06"/>
    <w:rsid w:val="00725CD7"/>
    <w:rsid w:val="00726364"/>
    <w:rsid w:val="00741E2F"/>
    <w:rsid w:val="00743C8B"/>
    <w:rsid w:val="00746332"/>
    <w:rsid w:val="007472D9"/>
    <w:rsid w:val="007513C1"/>
    <w:rsid w:val="0075235F"/>
    <w:rsid w:val="00757263"/>
    <w:rsid w:val="0076701B"/>
    <w:rsid w:val="00771E45"/>
    <w:rsid w:val="007740D9"/>
    <w:rsid w:val="00774150"/>
    <w:rsid w:val="007C2E72"/>
    <w:rsid w:val="007C70F1"/>
    <w:rsid w:val="007D2559"/>
    <w:rsid w:val="007D5BC9"/>
    <w:rsid w:val="007D7F53"/>
    <w:rsid w:val="007F3923"/>
    <w:rsid w:val="007F7BC8"/>
    <w:rsid w:val="008075E9"/>
    <w:rsid w:val="008140A3"/>
    <w:rsid w:val="00814E0F"/>
    <w:rsid w:val="008168B1"/>
    <w:rsid w:val="00817225"/>
    <w:rsid w:val="008172C4"/>
    <w:rsid w:val="008251CD"/>
    <w:rsid w:val="00830516"/>
    <w:rsid w:val="0083086B"/>
    <w:rsid w:val="0085074D"/>
    <w:rsid w:val="00861FBF"/>
    <w:rsid w:val="00864402"/>
    <w:rsid w:val="00870969"/>
    <w:rsid w:val="0087227D"/>
    <w:rsid w:val="00873927"/>
    <w:rsid w:val="00874249"/>
    <w:rsid w:val="00882754"/>
    <w:rsid w:val="008855EF"/>
    <w:rsid w:val="008856C7"/>
    <w:rsid w:val="00886CBD"/>
    <w:rsid w:val="00892632"/>
    <w:rsid w:val="008A5B0F"/>
    <w:rsid w:val="008B1BB5"/>
    <w:rsid w:val="008B64B4"/>
    <w:rsid w:val="008C7FAC"/>
    <w:rsid w:val="008F5F16"/>
    <w:rsid w:val="00900E12"/>
    <w:rsid w:val="00906A3B"/>
    <w:rsid w:val="009202A0"/>
    <w:rsid w:val="0092077E"/>
    <w:rsid w:val="00922F75"/>
    <w:rsid w:val="00922FF1"/>
    <w:rsid w:val="00925546"/>
    <w:rsid w:val="00930137"/>
    <w:rsid w:val="009406BB"/>
    <w:rsid w:val="00941949"/>
    <w:rsid w:val="0094590B"/>
    <w:rsid w:val="00951884"/>
    <w:rsid w:val="00952E45"/>
    <w:rsid w:val="00961061"/>
    <w:rsid w:val="00962274"/>
    <w:rsid w:val="00964865"/>
    <w:rsid w:val="0096586A"/>
    <w:rsid w:val="00967D75"/>
    <w:rsid w:val="00980D2E"/>
    <w:rsid w:val="00985DD9"/>
    <w:rsid w:val="00994606"/>
    <w:rsid w:val="009958D0"/>
    <w:rsid w:val="009A4F56"/>
    <w:rsid w:val="009B1920"/>
    <w:rsid w:val="009B24FA"/>
    <w:rsid w:val="009D4DB8"/>
    <w:rsid w:val="009F0FD7"/>
    <w:rsid w:val="00A002EF"/>
    <w:rsid w:val="00A06095"/>
    <w:rsid w:val="00A125D0"/>
    <w:rsid w:val="00A136A3"/>
    <w:rsid w:val="00A14D29"/>
    <w:rsid w:val="00A17902"/>
    <w:rsid w:val="00A20388"/>
    <w:rsid w:val="00A26893"/>
    <w:rsid w:val="00A30439"/>
    <w:rsid w:val="00A336FC"/>
    <w:rsid w:val="00A36431"/>
    <w:rsid w:val="00A55834"/>
    <w:rsid w:val="00A61F12"/>
    <w:rsid w:val="00A62C98"/>
    <w:rsid w:val="00A83DF6"/>
    <w:rsid w:val="00A859FC"/>
    <w:rsid w:val="00AA0466"/>
    <w:rsid w:val="00AB15A3"/>
    <w:rsid w:val="00AC016C"/>
    <w:rsid w:val="00AC0C9A"/>
    <w:rsid w:val="00AC2897"/>
    <w:rsid w:val="00AD619C"/>
    <w:rsid w:val="00AE6B0F"/>
    <w:rsid w:val="00AF0D12"/>
    <w:rsid w:val="00AF2349"/>
    <w:rsid w:val="00AF3B44"/>
    <w:rsid w:val="00B1342E"/>
    <w:rsid w:val="00B17B24"/>
    <w:rsid w:val="00B21134"/>
    <w:rsid w:val="00B225D5"/>
    <w:rsid w:val="00B23F22"/>
    <w:rsid w:val="00B26552"/>
    <w:rsid w:val="00B43F3C"/>
    <w:rsid w:val="00B45D03"/>
    <w:rsid w:val="00B50E40"/>
    <w:rsid w:val="00B648B0"/>
    <w:rsid w:val="00B701EF"/>
    <w:rsid w:val="00B83679"/>
    <w:rsid w:val="00B9255D"/>
    <w:rsid w:val="00B94BC7"/>
    <w:rsid w:val="00B95D07"/>
    <w:rsid w:val="00B979A6"/>
    <w:rsid w:val="00B97F03"/>
    <w:rsid w:val="00BA0D8A"/>
    <w:rsid w:val="00BA2E16"/>
    <w:rsid w:val="00BA67F4"/>
    <w:rsid w:val="00BA6836"/>
    <w:rsid w:val="00BB6DF8"/>
    <w:rsid w:val="00BB779A"/>
    <w:rsid w:val="00BC0AC5"/>
    <w:rsid w:val="00BD3E6E"/>
    <w:rsid w:val="00BE2B4F"/>
    <w:rsid w:val="00BF159D"/>
    <w:rsid w:val="00BF4244"/>
    <w:rsid w:val="00C01E02"/>
    <w:rsid w:val="00C16DCC"/>
    <w:rsid w:val="00C16EA1"/>
    <w:rsid w:val="00C2091D"/>
    <w:rsid w:val="00C22F20"/>
    <w:rsid w:val="00C24CEC"/>
    <w:rsid w:val="00C4045D"/>
    <w:rsid w:val="00C40E28"/>
    <w:rsid w:val="00C41516"/>
    <w:rsid w:val="00C46128"/>
    <w:rsid w:val="00C47FB3"/>
    <w:rsid w:val="00C63549"/>
    <w:rsid w:val="00C6387D"/>
    <w:rsid w:val="00C75284"/>
    <w:rsid w:val="00C8218D"/>
    <w:rsid w:val="00C82F71"/>
    <w:rsid w:val="00C83B05"/>
    <w:rsid w:val="00C9312B"/>
    <w:rsid w:val="00C97753"/>
    <w:rsid w:val="00CA34D3"/>
    <w:rsid w:val="00CA4F2C"/>
    <w:rsid w:val="00CD1589"/>
    <w:rsid w:val="00CD29E7"/>
    <w:rsid w:val="00CD2B63"/>
    <w:rsid w:val="00CD5AD0"/>
    <w:rsid w:val="00CD6264"/>
    <w:rsid w:val="00CD72DF"/>
    <w:rsid w:val="00CE1144"/>
    <w:rsid w:val="00CE175D"/>
    <w:rsid w:val="00CF532E"/>
    <w:rsid w:val="00CF5672"/>
    <w:rsid w:val="00CF6EA4"/>
    <w:rsid w:val="00CF701E"/>
    <w:rsid w:val="00D04BE3"/>
    <w:rsid w:val="00D05239"/>
    <w:rsid w:val="00D07E9D"/>
    <w:rsid w:val="00D13D9F"/>
    <w:rsid w:val="00D164D4"/>
    <w:rsid w:val="00D16606"/>
    <w:rsid w:val="00D26699"/>
    <w:rsid w:val="00D3239E"/>
    <w:rsid w:val="00D329B4"/>
    <w:rsid w:val="00D3575A"/>
    <w:rsid w:val="00D5395F"/>
    <w:rsid w:val="00D5658B"/>
    <w:rsid w:val="00D60A98"/>
    <w:rsid w:val="00D63416"/>
    <w:rsid w:val="00D64518"/>
    <w:rsid w:val="00D660BF"/>
    <w:rsid w:val="00D67DDD"/>
    <w:rsid w:val="00D74A3B"/>
    <w:rsid w:val="00D813AB"/>
    <w:rsid w:val="00D85CBC"/>
    <w:rsid w:val="00D87AD5"/>
    <w:rsid w:val="00D938C6"/>
    <w:rsid w:val="00D968B9"/>
    <w:rsid w:val="00DA0171"/>
    <w:rsid w:val="00DA63DA"/>
    <w:rsid w:val="00DB0345"/>
    <w:rsid w:val="00DB6BA7"/>
    <w:rsid w:val="00DC2DEF"/>
    <w:rsid w:val="00DD306A"/>
    <w:rsid w:val="00DD56AB"/>
    <w:rsid w:val="00DD624C"/>
    <w:rsid w:val="00DE46D5"/>
    <w:rsid w:val="00E02141"/>
    <w:rsid w:val="00E1075C"/>
    <w:rsid w:val="00E115E1"/>
    <w:rsid w:val="00E41E9B"/>
    <w:rsid w:val="00E475F3"/>
    <w:rsid w:val="00E52007"/>
    <w:rsid w:val="00E531CB"/>
    <w:rsid w:val="00E616D0"/>
    <w:rsid w:val="00E8103A"/>
    <w:rsid w:val="00E823BC"/>
    <w:rsid w:val="00E94B74"/>
    <w:rsid w:val="00E95109"/>
    <w:rsid w:val="00EA52C9"/>
    <w:rsid w:val="00EB0463"/>
    <w:rsid w:val="00EB368D"/>
    <w:rsid w:val="00EB45C8"/>
    <w:rsid w:val="00EB5288"/>
    <w:rsid w:val="00EC0527"/>
    <w:rsid w:val="00EC1792"/>
    <w:rsid w:val="00EC28DB"/>
    <w:rsid w:val="00EC428E"/>
    <w:rsid w:val="00ED5762"/>
    <w:rsid w:val="00ED716E"/>
    <w:rsid w:val="00EE2961"/>
    <w:rsid w:val="00EE4CF3"/>
    <w:rsid w:val="00EF2C58"/>
    <w:rsid w:val="00F00F46"/>
    <w:rsid w:val="00F01889"/>
    <w:rsid w:val="00F04C56"/>
    <w:rsid w:val="00F0794F"/>
    <w:rsid w:val="00F17DAB"/>
    <w:rsid w:val="00F20B38"/>
    <w:rsid w:val="00F233A8"/>
    <w:rsid w:val="00F256FB"/>
    <w:rsid w:val="00F343F5"/>
    <w:rsid w:val="00F37329"/>
    <w:rsid w:val="00F37891"/>
    <w:rsid w:val="00F42A29"/>
    <w:rsid w:val="00F43296"/>
    <w:rsid w:val="00F50C5E"/>
    <w:rsid w:val="00F605EB"/>
    <w:rsid w:val="00F6086D"/>
    <w:rsid w:val="00F60C5C"/>
    <w:rsid w:val="00F7574A"/>
    <w:rsid w:val="00F83DD7"/>
    <w:rsid w:val="00F848D6"/>
    <w:rsid w:val="00FA6DAC"/>
    <w:rsid w:val="00FB3E9B"/>
    <w:rsid w:val="00FC5258"/>
    <w:rsid w:val="00FD365B"/>
    <w:rsid w:val="00FD5302"/>
    <w:rsid w:val="00FE2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4F1024"/>
  <w15:chartTrackingRefBased/>
  <w15:docId w15:val="{79E39A21-45FC-496B-A8FB-62BD0506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9A6"/>
  </w:style>
  <w:style w:type="paragraph" w:styleId="Heading1">
    <w:name w:val="heading 1"/>
    <w:basedOn w:val="Normal"/>
    <w:next w:val="Normal"/>
    <w:link w:val="Heading1Char"/>
    <w:uiPriority w:val="9"/>
    <w:qFormat/>
    <w:rsid w:val="00692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CB7"/>
    <w:rPr>
      <w:rFonts w:eastAsiaTheme="majorEastAsia" w:cstheme="majorBidi"/>
      <w:color w:val="272727" w:themeColor="text1" w:themeTint="D8"/>
    </w:rPr>
  </w:style>
  <w:style w:type="paragraph" w:styleId="Title">
    <w:name w:val="Title"/>
    <w:basedOn w:val="Normal"/>
    <w:next w:val="Normal"/>
    <w:link w:val="TitleChar"/>
    <w:uiPriority w:val="10"/>
    <w:qFormat/>
    <w:rsid w:val="00692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CB7"/>
    <w:pPr>
      <w:spacing w:before="160"/>
      <w:jc w:val="center"/>
    </w:pPr>
    <w:rPr>
      <w:i/>
      <w:iCs/>
      <w:color w:val="404040" w:themeColor="text1" w:themeTint="BF"/>
    </w:rPr>
  </w:style>
  <w:style w:type="character" w:customStyle="1" w:styleId="QuoteChar">
    <w:name w:val="Quote Char"/>
    <w:basedOn w:val="DefaultParagraphFont"/>
    <w:link w:val="Quote"/>
    <w:uiPriority w:val="29"/>
    <w:rsid w:val="00692CB7"/>
    <w:rPr>
      <w:i/>
      <w:iCs/>
      <w:color w:val="404040" w:themeColor="text1" w:themeTint="BF"/>
    </w:rPr>
  </w:style>
  <w:style w:type="paragraph" w:styleId="ListParagraph">
    <w:name w:val="List Paragraph"/>
    <w:basedOn w:val="Normal"/>
    <w:uiPriority w:val="34"/>
    <w:qFormat/>
    <w:rsid w:val="00692CB7"/>
    <w:pPr>
      <w:ind w:left="720"/>
      <w:contextualSpacing/>
    </w:pPr>
  </w:style>
  <w:style w:type="character" w:styleId="IntenseEmphasis">
    <w:name w:val="Intense Emphasis"/>
    <w:basedOn w:val="DefaultParagraphFont"/>
    <w:uiPriority w:val="21"/>
    <w:qFormat/>
    <w:rsid w:val="00692CB7"/>
    <w:rPr>
      <w:i/>
      <w:iCs/>
      <w:color w:val="0F4761" w:themeColor="accent1" w:themeShade="BF"/>
    </w:rPr>
  </w:style>
  <w:style w:type="paragraph" w:styleId="IntenseQuote">
    <w:name w:val="Intense Quote"/>
    <w:basedOn w:val="Normal"/>
    <w:next w:val="Normal"/>
    <w:link w:val="IntenseQuoteChar"/>
    <w:uiPriority w:val="30"/>
    <w:qFormat/>
    <w:rsid w:val="00692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CB7"/>
    <w:rPr>
      <w:i/>
      <w:iCs/>
      <w:color w:val="0F4761" w:themeColor="accent1" w:themeShade="BF"/>
    </w:rPr>
  </w:style>
  <w:style w:type="character" w:styleId="IntenseReference">
    <w:name w:val="Intense Reference"/>
    <w:basedOn w:val="DefaultParagraphFont"/>
    <w:uiPriority w:val="32"/>
    <w:qFormat/>
    <w:rsid w:val="00692CB7"/>
    <w:rPr>
      <w:b/>
      <w:bCs/>
      <w:smallCaps/>
      <w:color w:val="0F4761" w:themeColor="accent1" w:themeShade="BF"/>
      <w:spacing w:val="5"/>
    </w:rPr>
  </w:style>
  <w:style w:type="paragraph" w:styleId="NormalWeb">
    <w:name w:val="Normal (Web)"/>
    <w:basedOn w:val="Normal"/>
    <w:uiPriority w:val="99"/>
    <w:semiHidden/>
    <w:unhideWhenUsed/>
    <w:rsid w:val="00692CB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692CB7"/>
    <w:pPr>
      <w:spacing w:after="0" w:line="240" w:lineRule="auto"/>
    </w:pPr>
  </w:style>
  <w:style w:type="table" w:styleId="TableGrid">
    <w:name w:val="Table Grid"/>
    <w:basedOn w:val="TableNormal"/>
    <w:uiPriority w:val="39"/>
    <w:rsid w:val="00692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CB7"/>
  </w:style>
  <w:style w:type="paragraph" w:styleId="Footer">
    <w:name w:val="footer"/>
    <w:basedOn w:val="Normal"/>
    <w:link w:val="FooterChar"/>
    <w:uiPriority w:val="99"/>
    <w:unhideWhenUsed/>
    <w:rsid w:val="00692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CB7"/>
  </w:style>
  <w:style w:type="character" w:styleId="Hyperlink">
    <w:name w:val="Hyperlink"/>
    <w:basedOn w:val="DefaultParagraphFont"/>
    <w:uiPriority w:val="99"/>
    <w:unhideWhenUsed/>
    <w:rsid w:val="00692CB7"/>
    <w:rPr>
      <w:color w:val="467886" w:themeColor="hyperlink"/>
      <w:u w:val="single"/>
    </w:rPr>
  </w:style>
  <w:style w:type="character" w:styleId="UnresolvedMention">
    <w:name w:val="Unresolved Mention"/>
    <w:basedOn w:val="DefaultParagraphFont"/>
    <w:uiPriority w:val="99"/>
    <w:semiHidden/>
    <w:unhideWhenUsed/>
    <w:rsid w:val="00692CB7"/>
    <w:rPr>
      <w:color w:val="605E5C"/>
      <w:shd w:val="clear" w:color="auto" w:fill="E1DFDD"/>
    </w:rPr>
  </w:style>
  <w:style w:type="character" w:styleId="CommentReference">
    <w:name w:val="annotation reference"/>
    <w:basedOn w:val="DefaultParagraphFont"/>
    <w:uiPriority w:val="99"/>
    <w:semiHidden/>
    <w:unhideWhenUsed/>
    <w:rsid w:val="00B94BC7"/>
    <w:rPr>
      <w:sz w:val="16"/>
      <w:szCs w:val="16"/>
    </w:rPr>
  </w:style>
  <w:style w:type="paragraph" w:styleId="CommentText">
    <w:name w:val="annotation text"/>
    <w:basedOn w:val="Normal"/>
    <w:link w:val="CommentTextChar"/>
    <w:uiPriority w:val="99"/>
    <w:unhideWhenUsed/>
    <w:rsid w:val="00B94BC7"/>
    <w:pPr>
      <w:spacing w:line="240" w:lineRule="auto"/>
    </w:pPr>
    <w:rPr>
      <w:sz w:val="20"/>
      <w:szCs w:val="20"/>
    </w:rPr>
  </w:style>
  <w:style w:type="character" w:customStyle="1" w:styleId="CommentTextChar">
    <w:name w:val="Comment Text Char"/>
    <w:basedOn w:val="DefaultParagraphFont"/>
    <w:link w:val="CommentText"/>
    <w:uiPriority w:val="99"/>
    <w:rsid w:val="00B94BC7"/>
    <w:rPr>
      <w:sz w:val="20"/>
      <w:szCs w:val="20"/>
    </w:rPr>
  </w:style>
  <w:style w:type="paragraph" w:styleId="CommentSubject">
    <w:name w:val="annotation subject"/>
    <w:basedOn w:val="CommentText"/>
    <w:next w:val="CommentText"/>
    <w:link w:val="CommentSubjectChar"/>
    <w:uiPriority w:val="99"/>
    <w:semiHidden/>
    <w:unhideWhenUsed/>
    <w:rsid w:val="00B94BC7"/>
    <w:rPr>
      <w:b/>
      <w:bCs/>
    </w:rPr>
  </w:style>
  <w:style w:type="character" w:customStyle="1" w:styleId="CommentSubjectChar">
    <w:name w:val="Comment Subject Char"/>
    <w:basedOn w:val="CommentTextChar"/>
    <w:link w:val="CommentSubject"/>
    <w:uiPriority w:val="99"/>
    <w:semiHidden/>
    <w:rsid w:val="00B94BC7"/>
    <w:rPr>
      <w:b/>
      <w:bCs/>
      <w:sz w:val="20"/>
      <w:szCs w:val="20"/>
    </w:rPr>
  </w:style>
  <w:style w:type="paragraph" w:customStyle="1" w:styleId="ds-markdown-paragraph">
    <w:name w:val="ds-markdown-paragraph"/>
    <w:basedOn w:val="Normal"/>
    <w:rsid w:val="000840F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840F2"/>
    <w:rPr>
      <w:b/>
      <w:bCs/>
    </w:rPr>
  </w:style>
  <w:style w:type="paragraph" w:styleId="BalloonText">
    <w:name w:val="Balloon Text"/>
    <w:basedOn w:val="Normal"/>
    <w:link w:val="BalloonTextChar"/>
    <w:uiPriority w:val="99"/>
    <w:semiHidden/>
    <w:unhideWhenUsed/>
    <w:rsid w:val="00B13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408098">
      <w:bodyDiv w:val="1"/>
      <w:marLeft w:val="0"/>
      <w:marRight w:val="0"/>
      <w:marTop w:val="0"/>
      <w:marBottom w:val="0"/>
      <w:divBdr>
        <w:top w:val="none" w:sz="0" w:space="0" w:color="auto"/>
        <w:left w:val="none" w:sz="0" w:space="0" w:color="auto"/>
        <w:bottom w:val="none" w:sz="0" w:space="0" w:color="auto"/>
        <w:right w:val="none" w:sz="0" w:space="0" w:color="auto"/>
      </w:divBdr>
      <w:divsChild>
        <w:div w:id="1578595130">
          <w:marLeft w:val="0"/>
          <w:marRight w:val="0"/>
          <w:marTop w:val="0"/>
          <w:marBottom w:val="0"/>
          <w:divBdr>
            <w:top w:val="none" w:sz="0" w:space="0" w:color="auto"/>
            <w:left w:val="none" w:sz="0" w:space="0" w:color="auto"/>
            <w:bottom w:val="none" w:sz="0" w:space="0" w:color="auto"/>
            <w:right w:val="none" w:sz="0" w:space="0" w:color="auto"/>
          </w:divBdr>
          <w:divsChild>
            <w:div w:id="663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leh.2019.05.005"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statista.com/chart/32000/education-gender-gap-persists-in-low-income-nati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6050</Words>
  <Characters>34488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 A</dc:creator>
  <cp:keywords/>
  <dc:description/>
  <cp:lastModifiedBy>SDI 1137</cp:lastModifiedBy>
  <cp:revision>3</cp:revision>
  <dcterms:created xsi:type="dcterms:W3CDTF">2025-12-14T20:56:00Z</dcterms:created>
  <dcterms:modified xsi:type="dcterms:W3CDTF">2025-12-15T08:09:00Z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80694f89-6134-4f06-b605-a2649755d7d7</vt:lpwstr>
  </property>
</Properties>
</file>